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CD4FA" w14:textId="7BCCABEF" w:rsidR="001E349B" w:rsidRPr="00BA749B" w:rsidRDefault="00BA749B" w:rsidP="00BA749B">
      <w:pPr>
        <w:pStyle w:val="Heading1un-numbered"/>
        <w:spacing w:before="800" w:after="0" w:line="240" w:lineRule="auto"/>
        <w:rPr>
          <w:b/>
          <w:bCs/>
          <w:sz w:val="36"/>
          <w:szCs w:val="36"/>
        </w:rPr>
      </w:pPr>
      <w:bookmarkStart w:id="0" w:name="BIT_CoverPage"/>
      <w:r w:rsidRPr="00BA749B">
        <w:rPr>
          <w:b/>
          <w:bCs/>
          <w:noProof/>
          <w:sz w:val="36"/>
          <w:szCs w:val="36"/>
        </w:rPr>
        <w:drawing>
          <wp:anchor distT="0" distB="0" distL="114300" distR="114300" simplePos="0" relativeHeight="251659278" behindDoc="0" locked="0" layoutInCell="1" allowOverlap="1" wp14:anchorId="0A3DD4EE" wp14:editId="62270BAF">
            <wp:simplePos x="0" y="0"/>
            <wp:positionH relativeFrom="margin">
              <wp:align>left</wp:align>
            </wp:positionH>
            <wp:positionV relativeFrom="paragraph">
              <wp:posOffset>609600</wp:posOffset>
            </wp:positionV>
            <wp:extent cx="5730875" cy="5730875"/>
            <wp:effectExtent l="0" t="0" r="3175" b="317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anchor>
        </w:drawing>
      </w:r>
      <w:r w:rsidRPr="00BA749B">
        <w:rPr>
          <w:noProof/>
          <w:sz w:val="36"/>
          <w:szCs w:val="36"/>
          <w:lang w:eastAsia="en-AU"/>
        </w:rPr>
        <w:drawing>
          <wp:anchor distT="0" distB="0" distL="114300" distR="114300" simplePos="0" relativeHeight="251658244" behindDoc="0" locked="0" layoutInCell="1" allowOverlap="1" wp14:anchorId="1D7386D4" wp14:editId="06D1CBD3">
            <wp:simplePos x="0" y="0"/>
            <wp:positionH relativeFrom="margin">
              <wp:align>left</wp:align>
            </wp:positionH>
            <wp:positionV relativeFrom="margin">
              <wp:align>top</wp:align>
            </wp:positionV>
            <wp:extent cx="2084070" cy="914400"/>
            <wp:effectExtent l="0" t="0" r="0" b="0"/>
            <wp:wrapNone/>
            <wp:docPr id="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Frontpage_Logo_Positiv">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r w:rsidR="00306D7C" w:rsidRPr="00BA749B">
        <w:rPr>
          <w:b/>
          <w:bCs/>
          <w:sz w:val="36"/>
          <w:szCs w:val="36"/>
        </w:rPr>
        <w:t>Demand Study of the National Aged Care Advocacy Program (NACAP)</w:t>
      </w:r>
    </w:p>
    <w:p w14:paraId="756FC35F" w14:textId="24F1693E" w:rsidR="00711B1E" w:rsidRDefault="00031008" w:rsidP="00306D7C">
      <w:r>
        <w:rPr>
          <w:noProof/>
          <w:lang w:eastAsia="en-AU"/>
        </w:rPr>
        <w:drawing>
          <wp:anchor distT="0" distB="0" distL="114300" distR="114300" simplePos="0" relativeHeight="251658246" behindDoc="0" locked="0" layoutInCell="1" allowOverlap="1" wp14:anchorId="74A82D15" wp14:editId="39850E82">
            <wp:simplePos x="0" y="0"/>
            <wp:positionH relativeFrom="page">
              <wp:posOffset>5154295</wp:posOffset>
            </wp:positionH>
            <wp:positionV relativeFrom="page">
              <wp:posOffset>9591040</wp:posOffset>
            </wp:positionV>
            <wp:extent cx="2003425" cy="528955"/>
            <wp:effectExtent l="0" t="0" r="0" b="0"/>
            <wp:wrapNone/>
            <wp:docPr id="52379519" name="Frontpage_Logo_Nega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Frontpage_Logo_Negativ" hidden="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bookmarkEnd w:id="0"/>
      <w:r w:rsidR="00711B1E">
        <w:t>Final report for Department of Health</w:t>
      </w:r>
    </w:p>
    <w:p w14:paraId="0483486B" w14:textId="31563E18" w:rsidR="001E349B" w:rsidRPr="000F05E4" w:rsidRDefault="00BA749B" w:rsidP="00711B1E">
      <w:r>
        <w:rPr>
          <w:noProof/>
          <w:lang w:eastAsia="en-AU"/>
        </w:rPr>
        <w:drawing>
          <wp:anchor distT="0" distB="0" distL="114300" distR="114300" simplePos="0" relativeHeight="251658245" behindDoc="0" locked="0" layoutInCell="1" allowOverlap="1" wp14:anchorId="4849560D" wp14:editId="408A5530">
            <wp:simplePos x="0" y="0"/>
            <wp:positionH relativeFrom="page">
              <wp:posOffset>4815205</wp:posOffset>
            </wp:positionH>
            <wp:positionV relativeFrom="bottomMargin">
              <wp:posOffset>-247650</wp:posOffset>
            </wp:positionV>
            <wp:extent cx="2005200" cy="529200"/>
            <wp:effectExtent l="0" t="0" r="0" b="0"/>
            <wp:wrapNone/>
            <wp:docPr id="47588279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Frontpage_Logo_Positiv">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711B1E">
        <w:t>30 March</w:t>
      </w:r>
      <w:r w:rsidR="00711B1E" w:rsidRPr="00907178">
        <w:t xml:space="preserve"> 2022</w:t>
      </w:r>
    </w:p>
    <w:p w14:paraId="3B7DDA9B" w14:textId="2FE51B42" w:rsidR="00D96296" w:rsidRDefault="00D96296" w:rsidP="008C16DC">
      <w:pPr>
        <w:pageBreakBefore/>
        <w:sectPr w:rsidR="00D96296" w:rsidSect="00494635">
          <w:headerReference w:type="default" r:id="rId15"/>
          <w:footerReference w:type="default" r:id="rId16"/>
          <w:pgSz w:w="11906" w:h="16838" w:code="9"/>
          <w:pgMar w:top="1440" w:right="4281" w:bottom="1440" w:left="1440" w:header="680" w:footer="425" w:gutter="0"/>
          <w:cols w:space="284"/>
          <w:titlePg/>
          <w:docGrid w:linePitch="360"/>
        </w:sectPr>
      </w:pPr>
    </w:p>
    <w:p w14:paraId="3334827F" w14:textId="77777777" w:rsidR="00762386" w:rsidRDefault="00762386" w:rsidP="00322D5E">
      <w:pPr>
        <w:spacing w:before="120" w:after="120"/>
      </w:pPr>
      <w:bookmarkStart w:id="1" w:name="_Ref94618732"/>
      <w:bookmarkStart w:id="2" w:name="LAN_ContentsRP"/>
      <w:bookmarkEnd w:id="1"/>
      <w:r>
        <w:lastRenderedPageBreak/>
        <w:t>Deloitte Access Economics is Australia’s pre-eminent economics advisory practice and a member of Deloitte's global economics group. For more information, please visit our website: www.deloitte.com/au/deloitte-access-economics</w:t>
      </w:r>
    </w:p>
    <w:p w14:paraId="007F0DF8" w14:textId="77777777" w:rsidR="00762386" w:rsidRDefault="00762386" w:rsidP="00322D5E">
      <w:pPr>
        <w:spacing w:before="120" w:after="120"/>
      </w:pPr>
      <w:r>
        <w:t xml:space="preserve">Deloitte refers to one or more of Deloitte </w:t>
      </w:r>
      <w:proofErr w:type="spellStart"/>
      <w:r>
        <w:t>Touche</w:t>
      </w:r>
      <w:proofErr w:type="spellEnd"/>
      <w:r>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25478FAE" w14:textId="77777777" w:rsidR="00762386" w:rsidRDefault="00762386" w:rsidP="00322D5E">
      <w:pPr>
        <w:spacing w:before="120" w:after="120"/>
      </w:pPr>
      <w:r>
        <w:t>Liability limited by a scheme approved under Professional Standards Legislation.</w:t>
      </w:r>
    </w:p>
    <w:p w14:paraId="455FBC9C" w14:textId="77777777" w:rsidR="00762386" w:rsidRDefault="00762386" w:rsidP="00322D5E">
      <w:pPr>
        <w:spacing w:before="120" w:after="120"/>
      </w:pPr>
      <w:r>
        <w:t>Member of Deloitte Asia Pacific Limited and the Deloitte Network.</w:t>
      </w:r>
    </w:p>
    <w:p w14:paraId="1A09B39B" w14:textId="04D38D12" w:rsidR="00490199" w:rsidRDefault="00762386" w:rsidP="00322D5E">
      <w:pPr>
        <w:spacing w:before="120" w:after="120"/>
        <w:rPr>
          <w:sz w:val="60"/>
        </w:rPr>
      </w:pPr>
      <w:r>
        <w:t xml:space="preserve">©2020 Deloitte Access Economics. Deloitte </w:t>
      </w:r>
      <w:proofErr w:type="spellStart"/>
      <w:r>
        <w:t>Touche</w:t>
      </w:r>
      <w:proofErr w:type="spellEnd"/>
      <w:r>
        <w:t xml:space="preserve"> Tohmatsu</w:t>
      </w:r>
      <w:r w:rsidR="00490199">
        <w:br w:type="page"/>
      </w:r>
    </w:p>
    <w:p w14:paraId="5142973A" w14:textId="6E71AD13" w:rsidR="002268CC" w:rsidRDefault="002268CC" w:rsidP="008E14C9">
      <w:pPr>
        <w:pStyle w:val="Heading1un-numbered"/>
      </w:pPr>
      <w:r>
        <w:lastRenderedPageBreak/>
        <w:t>Contents</w:t>
      </w:r>
      <w:bookmarkEnd w:id="2"/>
    </w:p>
    <w:p w14:paraId="76B3CD3F" w14:textId="5FD29F45" w:rsidR="005E14C1" w:rsidRDefault="002268CC">
      <w:pPr>
        <w:pStyle w:val="TOC1"/>
        <w:rPr>
          <w:rFonts w:asciiTheme="minorHAnsi" w:eastAsiaTheme="minorEastAsia" w:hAnsiTheme="minorHAnsi"/>
          <w:noProof/>
          <w:szCs w:val="22"/>
          <w:lang w:eastAsia="en-AU"/>
        </w:rPr>
      </w:pPr>
      <w:r>
        <w:fldChar w:fldCharType="begin"/>
      </w:r>
      <w:r>
        <w:instrText xml:space="preserve"> TOC \o "1</w:instrText>
      </w:r>
      <w:r w:rsidR="009C3FEE">
        <w:instrText>-3" \h \z \t "Executive Heading,</w:instrText>
      </w:r>
      <w:r>
        <w:instrText xml:space="preserve">1,Appendix_head_2,2,Appendix_head_3,3,Appendix_head_1,1" </w:instrText>
      </w:r>
      <w:r>
        <w:fldChar w:fldCharType="separate"/>
      </w:r>
      <w:hyperlink w:anchor="_Toc99437488" w:history="1">
        <w:r w:rsidR="005E14C1" w:rsidRPr="001B61D5">
          <w:rPr>
            <w:rStyle w:val="Hyperlink"/>
            <w:noProof/>
          </w:rPr>
          <w:t>Glossary</w:t>
        </w:r>
        <w:r w:rsidR="005E14C1">
          <w:rPr>
            <w:noProof/>
            <w:webHidden/>
          </w:rPr>
          <w:tab/>
        </w:r>
        <w:r w:rsidR="005E14C1">
          <w:rPr>
            <w:noProof/>
            <w:webHidden/>
          </w:rPr>
          <w:fldChar w:fldCharType="begin"/>
        </w:r>
        <w:r w:rsidR="005E14C1">
          <w:rPr>
            <w:noProof/>
            <w:webHidden/>
          </w:rPr>
          <w:instrText xml:space="preserve"> PAGEREF _Toc99437488 \h </w:instrText>
        </w:r>
        <w:r w:rsidR="005E14C1">
          <w:rPr>
            <w:noProof/>
            <w:webHidden/>
          </w:rPr>
        </w:r>
        <w:r w:rsidR="005E14C1">
          <w:rPr>
            <w:noProof/>
            <w:webHidden/>
          </w:rPr>
          <w:fldChar w:fldCharType="separate"/>
        </w:r>
        <w:r w:rsidR="00DC6A20">
          <w:rPr>
            <w:noProof/>
            <w:webHidden/>
          </w:rPr>
          <w:t>i</w:t>
        </w:r>
        <w:r w:rsidR="005E14C1">
          <w:rPr>
            <w:noProof/>
            <w:webHidden/>
          </w:rPr>
          <w:fldChar w:fldCharType="end"/>
        </w:r>
      </w:hyperlink>
    </w:p>
    <w:p w14:paraId="6AD5D076" w14:textId="6E2961AD" w:rsidR="005E14C1" w:rsidRDefault="00A96775">
      <w:pPr>
        <w:pStyle w:val="TOC1"/>
        <w:rPr>
          <w:rFonts w:asciiTheme="minorHAnsi" w:eastAsiaTheme="minorEastAsia" w:hAnsiTheme="minorHAnsi"/>
          <w:noProof/>
          <w:szCs w:val="22"/>
          <w:lang w:eastAsia="en-AU"/>
        </w:rPr>
      </w:pPr>
      <w:hyperlink w:anchor="_Toc99437489" w:history="1">
        <w:r w:rsidR="005E14C1" w:rsidRPr="001B61D5">
          <w:rPr>
            <w:rStyle w:val="Hyperlink"/>
            <w:noProof/>
          </w:rPr>
          <w:t>Executive summary</w:t>
        </w:r>
        <w:r w:rsidR="005E14C1">
          <w:rPr>
            <w:noProof/>
            <w:webHidden/>
          </w:rPr>
          <w:tab/>
        </w:r>
        <w:r w:rsidR="005E14C1">
          <w:rPr>
            <w:noProof/>
            <w:webHidden/>
          </w:rPr>
          <w:fldChar w:fldCharType="begin"/>
        </w:r>
        <w:r w:rsidR="005E14C1">
          <w:rPr>
            <w:noProof/>
            <w:webHidden/>
          </w:rPr>
          <w:instrText xml:space="preserve"> PAGEREF _Toc99437489 \h </w:instrText>
        </w:r>
        <w:r w:rsidR="005E14C1">
          <w:rPr>
            <w:noProof/>
            <w:webHidden/>
          </w:rPr>
        </w:r>
        <w:r w:rsidR="005E14C1">
          <w:rPr>
            <w:noProof/>
            <w:webHidden/>
          </w:rPr>
          <w:fldChar w:fldCharType="separate"/>
        </w:r>
        <w:r w:rsidR="00DC6A20">
          <w:rPr>
            <w:noProof/>
            <w:webHidden/>
          </w:rPr>
          <w:t>iv</w:t>
        </w:r>
        <w:r w:rsidR="005E14C1">
          <w:rPr>
            <w:noProof/>
            <w:webHidden/>
          </w:rPr>
          <w:fldChar w:fldCharType="end"/>
        </w:r>
      </w:hyperlink>
    </w:p>
    <w:p w14:paraId="27AB3255" w14:textId="2725215F" w:rsidR="005E14C1" w:rsidRDefault="00A96775">
      <w:pPr>
        <w:pStyle w:val="TOC2"/>
        <w:rPr>
          <w:rFonts w:asciiTheme="minorHAnsi" w:eastAsiaTheme="minorEastAsia" w:hAnsiTheme="minorHAnsi"/>
          <w:noProof/>
          <w:szCs w:val="22"/>
          <w:lang w:eastAsia="en-AU"/>
        </w:rPr>
      </w:pPr>
      <w:hyperlink w:anchor="_Toc99437490" w:history="1">
        <w:r w:rsidR="005E14C1" w:rsidRPr="001B61D5">
          <w:rPr>
            <w:rStyle w:val="Hyperlink"/>
            <w:noProof/>
          </w:rPr>
          <w:t>Current demand for NACAP</w:t>
        </w:r>
        <w:r w:rsidR="005E14C1">
          <w:rPr>
            <w:noProof/>
            <w:webHidden/>
          </w:rPr>
          <w:tab/>
        </w:r>
        <w:r w:rsidR="005E14C1">
          <w:rPr>
            <w:noProof/>
            <w:webHidden/>
          </w:rPr>
          <w:fldChar w:fldCharType="begin"/>
        </w:r>
        <w:r w:rsidR="005E14C1">
          <w:rPr>
            <w:noProof/>
            <w:webHidden/>
          </w:rPr>
          <w:instrText xml:space="preserve"> PAGEREF _Toc99437490 \h </w:instrText>
        </w:r>
        <w:r w:rsidR="005E14C1">
          <w:rPr>
            <w:noProof/>
            <w:webHidden/>
          </w:rPr>
        </w:r>
        <w:r w:rsidR="005E14C1">
          <w:rPr>
            <w:noProof/>
            <w:webHidden/>
          </w:rPr>
          <w:fldChar w:fldCharType="separate"/>
        </w:r>
        <w:r w:rsidR="00DC6A20">
          <w:rPr>
            <w:noProof/>
            <w:webHidden/>
          </w:rPr>
          <w:t>iv</w:t>
        </w:r>
        <w:r w:rsidR="005E14C1">
          <w:rPr>
            <w:noProof/>
            <w:webHidden/>
          </w:rPr>
          <w:fldChar w:fldCharType="end"/>
        </w:r>
      </w:hyperlink>
    </w:p>
    <w:p w14:paraId="6DB6BD45" w14:textId="3AED7592" w:rsidR="005E14C1" w:rsidRDefault="00A96775">
      <w:pPr>
        <w:pStyle w:val="TOC2"/>
        <w:rPr>
          <w:rFonts w:asciiTheme="minorHAnsi" w:eastAsiaTheme="minorEastAsia" w:hAnsiTheme="minorHAnsi"/>
          <w:noProof/>
          <w:szCs w:val="22"/>
          <w:lang w:eastAsia="en-AU"/>
        </w:rPr>
      </w:pPr>
      <w:hyperlink w:anchor="_Toc99437491" w:history="1">
        <w:r w:rsidR="005E14C1" w:rsidRPr="001B61D5">
          <w:rPr>
            <w:rStyle w:val="Hyperlink"/>
            <w:noProof/>
          </w:rPr>
          <w:t>Future demand for NACAP</w:t>
        </w:r>
        <w:r w:rsidR="005E14C1">
          <w:rPr>
            <w:noProof/>
            <w:webHidden/>
          </w:rPr>
          <w:tab/>
        </w:r>
        <w:r w:rsidR="005E14C1">
          <w:rPr>
            <w:noProof/>
            <w:webHidden/>
          </w:rPr>
          <w:fldChar w:fldCharType="begin"/>
        </w:r>
        <w:r w:rsidR="005E14C1">
          <w:rPr>
            <w:noProof/>
            <w:webHidden/>
          </w:rPr>
          <w:instrText xml:space="preserve"> PAGEREF _Toc99437491 \h </w:instrText>
        </w:r>
        <w:r w:rsidR="005E14C1">
          <w:rPr>
            <w:noProof/>
            <w:webHidden/>
          </w:rPr>
        </w:r>
        <w:r w:rsidR="005E14C1">
          <w:rPr>
            <w:noProof/>
            <w:webHidden/>
          </w:rPr>
          <w:fldChar w:fldCharType="separate"/>
        </w:r>
        <w:r w:rsidR="00DC6A20">
          <w:rPr>
            <w:noProof/>
            <w:webHidden/>
          </w:rPr>
          <w:t>vi</w:t>
        </w:r>
        <w:r w:rsidR="005E14C1">
          <w:rPr>
            <w:noProof/>
            <w:webHidden/>
          </w:rPr>
          <w:fldChar w:fldCharType="end"/>
        </w:r>
      </w:hyperlink>
    </w:p>
    <w:p w14:paraId="1687EA78" w14:textId="7BB5E9DE" w:rsidR="005E14C1" w:rsidRDefault="00A96775">
      <w:pPr>
        <w:pStyle w:val="TOC2"/>
        <w:rPr>
          <w:rFonts w:asciiTheme="minorHAnsi" w:eastAsiaTheme="minorEastAsia" w:hAnsiTheme="minorHAnsi"/>
          <w:noProof/>
          <w:szCs w:val="22"/>
          <w:lang w:eastAsia="en-AU"/>
        </w:rPr>
      </w:pPr>
      <w:hyperlink w:anchor="_Toc99437492" w:history="1">
        <w:r w:rsidR="005E14C1" w:rsidRPr="001B61D5">
          <w:rPr>
            <w:rStyle w:val="Hyperlink"/>
            <w:noProof/>
          </w:rPr>
          <w:t>Supply of the NACAP</w:t>
        </w:r>
        <w:r w:rsidR="005E14C1">
          <w:rPr>
            <w:noProof/>
            <w:webHidden/>
          </w:rPr>
          <w:tab/>
        </w:r>
        <w:r w:rsidR="005E14C1">
          <w:rPr>
            <w:noProof/>
            <w:webHidden/>
          </w:rPr>
          <w:fldChar w:fldCharType="begin"/>
        </w:r>
        <w:r w:rsidR="005E14C1">
          <w:rPr>
            <w:noProof/>
            <w:webHidden/>
          </w:rPr>
          <w:instrText xml:space="preserve"> PAGEREF _Toc99437492 \h </w:instrText>
        </w:r>
        <w:r w:rsidR="005E14C1">
          <w:rPr>
            <w:noProof/>
            <w:webHidden/>
          </w:rPr>
        </w:r>
        <w:r w:rsidR="005E14C1">
          <w:rPr>
            <w:noProof/>
            <w:webHidden/>
          </w:rPr>
          <w:fldChar w:fldCharType="separate"/>
        </w:r>
        <w:r w:rsidR="00DC6A20">
          <w:rPr>
            <w:noProof/>
            <w:webHidden/>
          </w:rPr>
          <w:t>viii</w:t>
        </w:r>
        <w:r w:rsidR="005E14C1">
          <w:rPr>
            <w:noProof/>
            <w:webHidden/>
          </w:rPr>
          <w:fldChar w:fldCharType="end"/>
        </w:r>
      </w:hyperlink>
    </w:p>
    <w:p w14:paraId="773AAE5E" w14:textId="1BFEE3C6" w:rsidR="005E14C1" w:rsidRDefault="00A96775">
      <w:pPr>
        <w:pStyle w:val="TOC2"/>
        <w:rPr>
          <w:rFonts w:asciiTheme="minorHAnsi" w:eastAsiaTheme="minorEastAsia" w:hAnsiTheme="minorHAnsi"/>
          <w:noProof/>
          <w:szCs w:val="22"/>
          <w:lang w:eastAsia="en-AU"/>
        </w:rPr>
      </w:pPr>
      <w:hyperlink w:anchor="_Toc99437493" w:history="1">
        <w:r w:rsidR="005E14C1" w:rsidRPr="001B61D5">
          <w:rPr>
            <w:rStyle w:val="Hyperlink"/>
            <w:noProof/>
          </w:rPr>
          <w:t>Future considerations</w:t>
        </w:r>
        <w:r w:rsidR="005E14C1">
          <w:rPr>
            <w:noProof/>
            <w:webHidden/>
          </w:rPr>
          <w:tab/>
        </w:r>
        <w:r w:rsidR="005E14C1">
          <w:rPr>
            <w:noProof/>
            <w:webHidden/>
          </w:rPr>
          <w:fldChar w:fldCharType="begin"/>
        </w:r>
        <w:r w:rsidR="005E14C1">
          <w:rPr>
            <w:noProof/>
            <w:webHidden/>
          </w:rPr>
          <w:instrText xml:space="preserve"> PAGEREF _Toc99437493 \h </w:instrText>
        </w:r>
        <w:r w:rsidR="005E14C1">
          <w:rPr>
            <w:noProof/>
            <w:webHidden/>
          </w:rPr>
        </w:r>
        <w:r w:rsidR="005E14C1">
          <w:rPr>
            <w:noProof/>
            <w:webHidden/>
          </w:rPr>
          <w:fldChar w:fldCharType="separate"/>
        </w:r>
        <w:r w:rsidR="00DC6A20">
          <w:rPr>
            <w:noProof/>
            <w:webHidden/>
          </w:rPr>
          <w:t>ix</w:t>
        </w:r>
        <w:r w:rsidR="005E14C1">
          <w:rPr>
            <w:noProof/>
            <w:webHidden/>
          </w:rPr>
          <w:fldChar w:fldCharType="end"/>
        </w:r>
      </w:hyperlink>
    </w:p>
    <w:p w14:paraId="214055DE" w14:textId="4B8E2BB8" w:rsidR="005E14C1" w:rsidRDefault="00A96775">
      <w:pPr>
        <w:pStyle w:val="TOC1"/>
        <w:rPr>
          <w:rFonts w:asciiTheme="minorHAnsi" w:eastAsiaTheme="minorEastAsia" w:hAnsiTheme="minorHAnsi"/>
          <w:noProof/>
          <w:szCs w:val="22"/>
          <w:lang w:eastAsia="en-AU"/>
        </w:rPr>
      </w:pPr>
      <w:hyperlink w:anchor="_Toc99437494" w:history="1">
        <w:r w:rsidR="005E14C1" w:rsidRPr="001B61D5">
          <w:rPr>
            <w:rStyle w:val="Hyperlink"/>
            <w:noProof/>
          </w:rPr>
          <w:t>1</w:t>
        </w:r>
        <w:r w:rsidR="005E14C1">
          <w:rPr>
            <w:rFonts w:asciiTheme="minorHAnsi" w:eastAsiaTheme="minorEastAsia" w:hAnsiTheme="minorHAnsi"/>
            <w:noProof/>
            <w:szCs w:val="22"/>
            <w:lang w:eastAsia="en-AU"/>
          </w:rPr>
          <w:tab/>
        </w:r>
        <w:r w:rsidR="005E14C1" w:rsidRPr="001B61D5">
          <w:rPr>
            <w:rStyle w:val="Hyperlink"/>
            <w:noProof/>
          </w:rPr>
          <w:t>Introduction</w:t>
        </w:r>
        <w:r w:rsidR="005E14C1">
          <w:rPr>
            <w:noProof/>
            <w:webHidden/>
          </w:rPr>
          <w:tab/>
        </w:r>
        <w:r w:rsidR="005E14C1">
          <w:rPr>
            <w:noProof/>
            <w:webHidden/>
          </w:rPr>
          <w:fldChar w:fldCharType="begin"/>
        </w:r>
        <w:r w:rsidR="005E14C1">
          <w:rPr>
            <w:noProof/>
            <w:webHidden/>
          </w:rPr>
          <w:instrText xml:space="preserve"> PAGEREF _Toc99437494 \h </w:instrText>
        </w:r>
        <w:r w:rsidR="005E14C1">
          <w:rPr>
            <w:noProof/>
            <w:webHidden/>
          </w:rPr>
        </w:r>
        <w:r w:rsidR="005E14C1">
          <w:rPr>
            <w:noProof/>
            <w:webHidden/>
          </w:rPr>
          <w:fldChar w:fldCharType="separate"/>
        </w:r>
        <w:r w:rsidR="00DC6A20">
          <w:rPr>
            <w:noProof/>
            <w:webHidden/>
          </w:rPr>
          <w:t>11</w:t>
        </w:r>
        <w:r w:rsidR="005E14C1">
          <w:rPr>
            <w:noProof/>
            <w:webHidden/>
          </w:rPr>
          <w:fldChar w:fldCharType="end"/>
        </w:r>
      </w:hyperlink>
    </w:p>
    <w:p w14:paraId="3C2AFA18" w14:textId="540103FB" w:rsidR="005E14C1" w:rsidRDefault="00A96775">
      <w:pPr>
        <w:pStyle w:val="TOC2"/>
        <w:tabs>
          <w:tab w:val="left" w:pos="1134"/>
        </w:tabs>
        <w:rPr>
          <w:rFonts w:asciiTheme="minorHAnsi" w:eastAsiaTheme="minorEastAsia" w:hAnsiTheme="minorHAnsi"/>
          <w:noProof/>
          <w:szCs w:val="22"/>
          <w:lang w:eastAsia="en-AU"/>
        </w:rPr>
      </w:pPr>
      <w:hyperlink w:anchor="_Toc99437495" w:history="1">
        <w:r w:rsidR="005E14C1" w:rsidRPr="001B61D5">
          <w:rPr>
            <w:rStyle w:val="Hyperlink"/>
            <w:noProof/>
          </w:rPr>
          <w:t>1.1</w:t>
        </w:r>
        <w:r w:rsidR="005E14C1">
          <w:rPr>
            <w:rFonts w:asciiTheme="minorHAnsi" w:eastAsiaTheme="minorEastAsia" w:hAnsiTheme="minorHAnsi"/>
            <w:noProof/>
            <w:szCs w:val="22"/>
            <w:lang w:eastAsia="en-AU"/>
          </w:rPr>
          <w:tab/>
        </w:r>
        <w:r w:rsidR="005E14C1" w:rsidRPr="001B61D5">
          <w:rPr>
            <w:rStyle w:val="Hyperlink"/>
            <w:noProof/>
          </w:rPr>
          <w:t>Background</w:t>
        </w:r>
        <w:r w:rsidR="005E14C1">
          <w:rPr>
            <w:noProof/>
            <w:webHidden/>
          </w:rPr>
          <w:tab/>
        </w:r>
        <w:r w:rsidR="005E14C1">
          <w:rPr>
            <w:noProof/>
            <w:webHidden/>
          </w:rPr>
          <w:fldChar w:fldCharType="begin"/>
        </w:r>
        <w:r w:rsidR="005E14C1">
          <w:rPr>
            <w:noProof/>
            <w:webHidden/>
          </w:rPr>
          <w:instrText xml:space="preserve"> PAGEREF _Toc99437495 \h </w:instrText>
        </w:r>
        <w:r w:rsidR="005E14C1">
          <w:rPr>
            <w:noProof/>
            <w:webHidden/>
          </w:rPr>
        </w:r>
        <w:r w:rsidR="005E14C1">
          <w:rPr>
            <w:noProof/>
            <w:webHidden/>
          </w:rPr>
          <w:fldChar w:fldCharType="separate"/>
        </w:r>
        <w:r w:rsidR="00DC6A20">
          <w:rPr>
            <w:noProof/>
            <w:webHidden/>
          </w:rPr>
          <w:t>11</w:t>
        </w:r>
        <w:r w:rsidR="005E14C1">
          <w:rPr>
            <w:noProof/>
            <w:webHidden/>
          </w:rPr>
          <w:fldChar w:fldCharType="end"/>
        </w:r>
      </w:hyperlink>
    </w:p>
    <w:p w14:paraId="57C93964" w14:textId="6D28D5AA" w:rsidR="005E14C1" w:rsidRDefault="00A96775">
      <w:pPr>
        <w:pStyle w:val="TOC3"/>
        <w:tabs>
          <w:tab w:val="left" w:pos="1261"/>
        </w:tabs>
        <w:rPr>
          <w:rFonts w:asciiTheme="minorHAnsi" w:eastAsiaTheme="minorEastAsia" w:hAnsiTheme="minorHAnsi"/>
          <w:noProof/>
          <w:szCs w:val="22"/>
          <w:lang w:eastAsia="en-AU"/>
        </w:rPr>
      </w:pPr>
      <w:hyperlink w:anchor="_Toc99437496" w:history="1">
        <w:r w:rsidR="005E14C1" w:rsidRPr="001B61D5">
          <w:rPr>
            <w:rStyle w:val="Hyperlink"/>
            <w:noProof/>
          </w:rPr>
          <w:t>1.1.1</w:t>
        </w:r>
        <w:r w:rsidR="005E14C1">
          <w:rPr>
            <w:rFonts w:asciiTheme="minorHAnsi" w:eastAsiaTheme="minorEastAsia" w:hAnsiTheme="minorHAnsi"/>
            <w:noProof/>
            <w:szCs w:val="22"/>
            <w:lang w:eastAsia="en-AU"/>
          </w:rPr>
          <w:tab/>
        </w:r>
        <w:r w:rsidR="005E14C1" w:rsidRPr="001B61D5">
          <w:rPr>
            <w:rStyle w:val="Hyperlink"/>
            <w:noProof/>
          </w:rPr>
          <w:t>The National Aged Care Advocacy Program (NACAP)</w:t>
        </w:r>
        <w:r w:rsidR="005E14C1">
          <w:rPr>
            <w:noProof/>
            <w:webHidden/>
          </w:rPr>
          <w:tab/>
        </w:r>
        <w:r w:rsidR="005E14C1">
          <w:rPr>
            <w:noProof/>
            <w:webHidden/>
          </w:rPr>
          <w:fldChar w:fldCharType="begin"/>
        </w:r>
        <w:r w:rsidR="005E14C1">
          <w:rPr>
            <w:noProof/>
            <w:webHidden/>
          </w:rPr>
          <w:instrText xml:space="preserve"> PAGEREF _Toc99437496 \h </w:instrText>
        </w:r>
        <w:r w:rsidR="005E14C1">
          <w:rPr>
            <w:noProof/>
            <w:webHidden/>
          </w:rPr>
        </w:r>
        <w:r w:rsidR="005E14C1">
          <w:rPr>
            <w:noProof/>
            <w:webHidden/>
          </w:rPr>
          <w:fldChar w:fldCharType="separate"/>
        </w:r>
        <w:r w:rsidR="00DC6A20">
          <w:rPr>
            <w:noProof/>
            <w:webHidden/>
          </w:rPr>
          <w:t>11</w:t>
        </w:r>
        <w:r w:rsidR="005E14C1">
          <w:rPr>
            <w:noProof/>
            <w:webHidden/>
          </w:rPr>
          <w:fldChar w:fldCharType="end"/>
        </w:r>
      </w:hyperlink>
    </w:p>
    <w:p w14:paraId="5DABA6E4" w14:textId="72DF47A2" w:rsidR="005E14C1" w:rsidRDefault="00A96775">
      <w:pPr>
        <w:pStyle w:val="TOC3"/>
        <w:tabs>
          <w:tab w:val="left" w:pos="1261"/>
        </w:tabs>
        <w:rPr>
          <w:rFonts w:asciiTheme="minorHAnsi" w:eastAsiaTheme="minorEastAsia" w:hAnsiTheme="minorHAnsi"/>
          <w:noProof/>
          <w:szCs w:val="22"/>
          <w:lang w:eastAsia="en-AU"/>
        </w:rPr>
      </w:pPr>
      <w:hyperlink w:anchor="_Toc99437497" w:history="1">
        <w:r w:rsidR="005E14C1" w:rsidRPr="001B61D5">
          <w:rPr>
            <w:rStyle w:val="Hyperlink"/>
            <w:noProof/>
          </w:rPr>
          <w:t>1.1.2</w:t>
        </w:r>
        <w:r w:rsidR="005E14C1">
          <w:rPr>
            <w:rFonts w:asciiTheme="minorHAnsi" w:eastAsiaTheme="minorEastAsia" w:hAnsiTheme="minorHAnsi"/>
            <w:noProof/>
            <w:szCs w:val="22"/>
            <w:lang w:eastAsia="en-AU"/>
          </w:rPr>
          <w:tab/>
        </w:r>
        <w:r w:rsidR="005E14C1" w:rsidRPr="001B61D5">
          <w:rPr>
            <w:rStyle w:val="Hyperlink"/>
            <w:noProof/>
          </w:rPr>
          <w:t>OPAN and SDOs</w:t>
        </w:r>
        <w:r w:rsidR="005E14C1">
          <w:rPr>
            <w:noProof/>
            <w:webHidden/>
          </w:rPr>
          <w:tab/>
        </w:r>
        <w:r w:rsidR="005E14C1">
          <w:rPr>
            <w:noProof/>
            <w:webHidden/>
          </w:rPr>
          <w:fldChar w:fldCharType="begin"/>
        </w:r>
        <w:r w:rsidR="005E14C1">
          <w:rPr>
            <w:noProof/>
            <w:webHidden/>
          </w:rPr>
          <w:instrText xml:space="preserve"> PAGEREF _Toc99437497 \h </w:instrText>
        </w:r>
        <w:r w:rsidR="005E14C1">
          <w:rPr>
            <w:noProof/>
            <w:webHidden/>
          </w:rPr>
        </w:r>
        <w:r w:rsidR="005E14C1">
          <w:rPr>
            <w:noProof/>
            <w:webHidden/>
          </w:rPr>
          <w:fldChar w:fldCharType="separate"/>
        </w:r>
        <w:r w:rsidR="00DC6A20">
          <w:rPr>
            <w:noProof/>
            <w:webHidden/>
          </w:rPr>
          <w:t>12</w:t>
        </w:r>
        <w:r w:rsidR="005E14C1">
          <w:rPr>
            <w:noProof/>
            <w:webHidden/>
          </w:rPr>
          <w:fldChar w:fldCharType="end"/>
        </w:r>
      </w:hyperlink>
    </w:p>
    <w:p w14:paraId="1D2E5272" w14:textId="7ECCB836" w:rsidR="005E14C1" w:rsidRDefault="00A96775">
      <w:pPr>
        <w:pStyle w:val="TOC3"/>
        <w:tabs>
          <w:tab w:val="left" w:pos="1261"/>
        </w:tabs>
        <w:rPr>
          <w:rFonts w:asciiTheme="minorHAnsi" w:eastAsiaTheme="minorEastAsia" w:hAnsiTheme="minorHAnsi"/>
          <w:noProof/>
          <w:szCs w:val="22"/>
          <w:lang w:eastAsia="en-AU"/>
        </w:rPr>
      </w:pPr>
      <w:hyperlink w:anchor="_Toc99437498" w:history="1">
        <w:r w:rsidR="005E14C1" w:rsidRPr="001B61D5">
          <w:rPr>
            <w:rStyle w:val="Hyperlink"/>
            <w:noProof/>
          </w:rPr>
          <w:t>1.1.3</w:t>
        </w:r>
        <w:r w:rsidR="005E14C1">
          <w:rPr>
            <w:rFonts w:asciiTheme="minorHAnsi" w:eastAsiaTheme="minorEastAsia" w:hAnsiTheme="minorHAnsi"/>
            <w:noProof/>
            <w:szCs w:val="22"/>
            <w:lang w:eastAsia="en-AU"/>
          </w:rPr>
          <w:tab/>
        </w:r>
        <w:r w:rsidR="005E14C1" w:rsidRPr="001B61D5">
          <w:rPr>
            <w:rStyle w:val="Hyperlink"/>
            <w:noProof/>
          </w:rPr>
          <w:t>The Royal Commission into Aged Care Quality and Safety</w:t>
        </w:r>
        <w:r w:rsidR="005E14C1">
          <w:rPr>
            <w:noProof/>
            <w:webHidden/>
          </w:rPr>
          <w:tab/>
        </w:r>
        <w:r w:rsidR="005E14C1">
          <w:rPr>
            <w:noProof/>
            <w:webHidden/>
          </w:rPr>
          <w:fldChar w:fldCharType="begin"/>
        </w:r>
        <w:r w:rsidR="005E14C1">
          <w:rPr>
            <w:noProof/>
            <w:webHidden/>
          </w:rPr>
          <w:instrText xml:space="preserve"> PAGEREF _Toc99437498 \h </w:instrText>
        </w:r>
        <w:r w:rsidR="005E14C1">
          <w:rPr>
            <w:noProof/>
            <w:webHidden/>
          </w:rPr>
        </w:r>
        <w:r w:rsidR="005E14C1">
          <w:rPr>
            <w:noProof/>
            <w:webHidden/>
          </w:rPr>
          <w:fldChar w:fldCharType="separate"/>
        </w:r>
        <w:r w:rsidR="00DC6A20">
          <w:rPr>
            <w:noProof/>
            <w:webHidden/>
          </w:rPr>
          <w:t>13</w:t>
        </w:r>
        <w:r w:rsidR="005E14C1">
          <w:rPr>
            <w:noProof/>
            <w:webHidden/>
          </w:rPr>
          <w:fldChar w:fldCharType="end"/>
        </w:r>
      </w:hyperlink>
    </w:p>
    <w:p w14:paraId="151D9C2F" w14:textId="0BFCB240" w:rsidR="005E14C1" w:rsidRDefault="00A96775">
      <w:pPr>
        <w:pStyle w:val="TOC2"/>
        <w:tabs>
          <w:tab w:val="left" w:pos="1134"/>
        </w:tabs>
        <w:rPr>
          <w:rFonts w:asciiTheme="minorHAnsi" w:eastAsiaTheme="minorEastAsia" w:hAnsiTheme="minorHAnsi"/>
          <w:noProof/>
          <w:szCs w:val="22"/>
          <w:lang w:eastAsia="en-AU"/>
        </w:rPr>
      </w:pPr>
      <w:hyperlink w:anchor="_Toc99437499" w:history="1">
        <w:r w:rsidR="005E14C1" w:rsidRPr="001B61D5">
          <w:rPr>
            <w:rStyle w:val="Hyperlink"/>
            <w:noProof/>
          </w:rPr>
          <w:t>1.2</w:t>
        </w:r>
        <w:r w:rsidR="005E14C1">
          <w:rPr>
            <w:rFonts w:asciiTheme="minorHAnsi" w:eastAsiaTheme="minorEastAsia" w:hAnsiTheme="minorHAnsi"/>
            <w:noProof/>
            <w:szCs w:val="22"/>
            <w:lang w:eastAsia="en-AU"/>
          </w:rPr>
          <w:tab/>
        </w:r>
        <w:r w:rsidR="005E14C1" w:rsidRPr="001B61D5">
          <w:rPr>
            <w:rStyle w:val="Hyperlink"/>
            <w:noProof/>
          </w:rPr>
          <w:t>Project scope and objectives</w:t>
        </w:r>
        <w:r w:rsidR="005E14C1">
          <w:rPr>
            <w:noProof/>
            <w:webHidden/>
          </w:rPr>
          <w:tab/>
        </w:r>
        <w:r w:rsidR="005E14C1">
          <w:rPr>
            <w:noProof/>
            <w:webHidden/>
          </w:rPr>
          <w:fldChar w:fldCharType="begin"/>
        </w:r>
        <w:r w:rsidR="005E14C1">
          <w:rPr>
            <w:noProof/>
            <w:webHidden/>
          </w:rPr>
          <w:instrText xml:space="preserve"> PAGEREF _Toc99437499 \h </w:instrText>
        </w:r>
        <w:r w:rsidR="005E14C1">
          <w:rPr>
            <w:noProof/>
            <w:webHidden/>
          </w:rPr>
        </w:r>
        <w:r w:rsidR="005E14C1">
          <w:rPr>
            <w:noProof/>
            <w:webHidden/>
          </w:rPr>
          <w:fldChar w:fldCharType="separate"/>
        </w:r>
        <w:r w:rsidR="00DC6A20">
          <w:rPr>
            <w:noProof/>
            <w:webHidden/>
          </w:rPr>
          <w:t>14</w:t>
        </w:r>
        <w:r w:rsidR="005E14C1">
          <w:rPr>
            <w:noProof/>
            <w:webHidden/>
          </w:rPr>
          <w:fldChar w:fldCharType="end"/>
        </w:r>
      </w:hyperlink>
    </w:p>
    <w:p w14:paraId="2BFD7677" w14:textId="06D60358" w:rsidR="005E14C1" w:rsidRDefault="00A96775">
      <w:pPr>
        <w:pStyle w:val="TOC2"/>
        <w:tabs>
          <w:tab w:val="left" w:pos="1134"/>
        </w:tabs>
        <w:rPr>
          <w:rFonts w:asciiTheme="minorHAnsi" w:eastAsiaTheme="minorEastAsia" w:hAnsiTheme="minorHAnsi"/>
          <w:noProof/>
          <w:szCs w:val="22"/>
          <w:lang w:eastAsia="en-AU"/>
        </w:rPr>
      </w:pPr>
      <w:hyperlink w:anchor="_Toc99437500" w:history="1">
        <w:r w:rsidR="005E14C1" w:rsidRPr="001B61D5">
          <w:rPr>
            <w:rStyle w:val="Hyperlink"/>
            <w:noProof/>
          </w:rPr>
          <w:t>1.3</w:t>
        </w:r>
        <w:r w:rsidR="005E14C1">
          <w:rPr>
            <w:rFonts w:asciiTheme="minorHAnsi" w:eastAsiaTheme="minorEastAsia" w:hAnsiTheme="minorHAnsi"/>
            <w:noProof/>
            <w:szCs w:val="22"/>
            <w:lang w:eastAsia="en-AU"/>
          </w:rPr>
          <w:tab/>
        </w:r>
        <w:r w:rsidR="005E14C1" w:rsidRPr="001B61D5">
          <w:rPr>
            <w:rStyle w:val="Hyperlink"/>
            <w:noProof/>
          </w:rPr>
          <w:t>Scope of this report</w:t>
        </w:r>
        <w:r w:rsidR="005E14C1">
          <w:rPr>
            <w:noProof/>
            <w:webHidden/>
          </w:rPr>
          <w:tab/>
        </w:r>
        <w:r w:rsidR="005E14C1">
          <w:rPr>
            <w:noProof/>
            <w:webHidden/>
          </w:rPr>
          <w:fldChar w:fldCharType="begin"/>
        </w:r>
        <w:r w:rsidR="005E14C1">
          <w:rPr>
            <w:noProof/>
            <w:webHidden/>
          </w:rPr>
          <w:instrText xml:space="preserve"> PAGEREF _Toc99437500 \h </w:instrText>
        </w:r>
        <w:r w:rsidR="005E14C1">
          <w:rPr>
            <w:noProof/>
            <w:webHidden/>
          </w:rPr>
        </w:r>
        <w:r w:rsidR="005E14C1">
          <w:rPr>
            <w:noProof/>
            <w:webHidden/>
          </w:rPr>
          <w:fldChar w:fldCharType="separate"/>
        </w:r>
        <w:r w:rsidR="00DC6A20">
          <w:rPr>
            <w:noProof/>
            <w:webHidden/>
          </w:rPr>
          <w:t>15</w:t>
        </w:r>
        <w:r w:rsidR="005E14C1">
          <w:rPr>
            <w:noProof/>
            <w:webHidden/>
          </w:rPr>
          <w:fldChar w:fldCharType="end"/>
        </w:r>
      </w:hyperlink>
    </w:p>
    <w:p w14:paraId="35B68055" w14:textId="64BC0D00" w:rsidR="005E14C1" w:rsidRDefault="00A96775">
      <w:pPr>
        <w:pStyle w:val="TOC1"/>
        <w:rPr>
          <w:rFonts w:asciiTheme="minorHAnsi" w:eastAsiaTheme="minorEastAsia" w:hAnsiTheme="minorHAnsi"/>
          <w:noProof/>
          <w:szCs w:val="22"/>
          <w:lang w:eastAsia="en-AU"/>
        </w:rPr>
      </w:pPr>
      <w:hyperlink w:anchor="_Toc99437501" w:history="1">
        <w:r w:rsidR="005E14C1" w:rsidRPr="001B61D5">
          <w:rPr>
            <w:rStyle w:val="Hyperlink"/>
            <w:noProof/>
          </w:rPr>
          <w:t>2</w:t>
        </w:r>
        <w:r w:rsidR="005E14C1">
          <w:rPr>
            <w:rFonts w:asciiTheme="minorHAnsi" w:eastAsiaTheme="minorEastAsia" w:hAnsiTheme="minorHAnsi"/>
            <w:noProof/>
            <w:szCs w:val="22"/>
            <w:lang w:eastAsia="en-AU"/>
          </w:rPr>
          <w:tab/>
        </w:r>
        <w:r w:rsidR="005E14C1" w:rsidRPr="001B61D5">
          <w:rPr>
            <w:rStyle w:val="Hyperlink"/>
            <w:noProof/>
          </w:rPr>
          <w:t>Overview of approach and methodology</w:t>
        </w:r>
        <w:r w:rsidR="005E14C1">
          <w:rPr>
            <w:noProof/>
            <w:webHidden/>
          </w:rPr>
          <w:tab/>
        </w:r>
        <w:r w:rsidR="005E14C1">
          <w:rPr>
            <w:noProof/>
            <w:webHidden/>
          </w:rPr>
          <w:fldChar w:fldCharType="begin"/>
        </w:r>
        <w:r w:rsidR="005E14C1">
          <w:rPr>
            <w:noProof/>
            <w:webHidden/>
          </w:rPr>
          <w:instrText xml:space="preserve"> PAGEREF _Toc99437501 \h </w:instrText>
        </w:r>
        <w:r w:rsidR="005E14C1">
          <w:rPr>
            <w:noProof/>
            <w:webHidden/>
          </w:rPr>
        </w:r>
        <w:r w:rsidR="005E14C1">
          <w:rPr>
            <w:noProof/>
            <w:webHidden/>
          </w:rPr>
          <w:fldChar w:fldCharType="separate"/>
        </w:r>
        <w:r w:rsidR="00DC6A20">
          <w:rPr>
            <w:noProof/>
            <w:webHidden/>
          </w:rPr>
          <w:t>16</w:t>
        </w:r>
        <w:r w:rsidR="005E14C1">
          <w:rPr>
            <w:noProof/>
            <w:webHidden/>
          </w:rPr>
          <w:fldChar w:fldCharType="end"/>
        </w:r>
      </w:hyperlink>
    </w:p>
    <w:p w14:paraId="35661333" w14:textId="7A5AF099" w:rsidR="005E14C1" w:rsidRDefault="00A96775">
      <w:pPr>
        <w:pStyle w:val="TOC2"/>
        <w:tabs>
          <w:tab w:val="left" w:pos="1134"/>
        </w:tabs>
        <w:rPr>
          <w:rFonts w:asciiTheme="minorHAnsi" w:eastAsiaTheme="minorEastAsia" w:hAnsiTheme="minorHAnsi"/>
          <w:noProof/>
          <w:szCs w:val="22"/>
          <w:lang w:eastAsia="en-AU"/>
        </w:rPr>
      </w:pPr>
      <w:hyperlink w:anchor="_Toc99437502" w:history="1">
        <w:r w:rsidR="005E14C1" w:rsidRPr="001B61D5">
          <w:rPr>
            <w:rStyle w:val="Hyperlink"/>
            <w:noProof/>
          </w:rPr>
          <w:t>2.1</w:t>
        </w:r>
        <w:r w:rsidR="005E14C1">
          <w:rPr>
            <w:rFonts w:asciiTheme="minorHAnsi" w:eastAsiaTheme="minorEastAsia" w:hAnsiTheme="minorHAnsi"/>
            <w:noProof/>
            <w:szCs w:val="22"/>
            <w:lang w:eastAsia="en-AU"/>
          </w:rPr>
          <w:tab/>
        </w:r>
        <w:r w:rsidR="005E14C1" w:rsidRPr="001B61D5">
          <w:rPr>
            <w:rStyle w:val="Hyperlink"/>
            <w:noProof/>
          </w:rPr>
          <w:t>Overview of approach</w:t>
        </w:r>
        <w:r w:rsidR="005E14C1">
          <w:rPr>
            <w:noProof/>
            <w:webHidden/>
          </w:rPr>
          <w:tab/>
        </w:r>
        <w:r w:rsidR="005E14C1">
          <w:rPr>
            <w:noProof/>
            <w:webHidden/>
          </w:rPr>
          <w:fldChar w:fldCharType="begin"/>
        </w:r>
        <w:r w:rsidR="005E14C1">
          <w:rPr>
            <w:noProof/>
            <w:webHidden/>
          </w:rPr>
          <w:instrText xml:space="preserve"> PAGEREF _Toc99437502 \h </w:instrText>
        </w:r>
        <w:r w:rsidR="005E14C1">
          <w:rPr>
            <w:noProof/>
            <w:webHidden/>
          </w:rPr>
        </w:r>
        <w:r w:rsidR="005E14C1">
          <w:rPr>
            <w:noProof/>
            <w:webHidden/>
          </w:rPr>
          <w:fldChar w:fldCharType="separate"/>
        </w:r>
        <w:r w:rsidR="00DC6A20">
          <w:rPr>
            <w:noProof/>
            <w:webHidden/>
          </w:rPr>
          <w:t>16</w:t>
        </w:r>
        <w:r w:rsidR="005E14C1">
          <w:rPr>
            <w:noProof/>
            <w:webHidden/>
          </w:rPr>
          <w:fldChar w:fldCharType="end"/>
        </w:r>
      </w:hyperlink>
    </w:p>
    <w:p w14:paraId="27FB4898" w14:textId="0FA94908" w:rsidR="005E14C1" w:rsidRDefault="00A96775">
      <w:pPr>
        <w:pStyle w:val="TOC3"/>
        <w:tabs>
          <w:tab w:val="left" w:pos="1261"/>
        </w:tabs>
        <w:rPr>
          <w:rFonts w:asciiTheme="minorHAnsi" w:eastAsiaTheme="minorEastAsia" w:hAnsiTheme="minorHAnsi"/>
          <w:noProof/>
          <w:szCs w:val="22"/>
          <w:lang w:eastAsia="en-AU"/>
        </w:rPr>
      </w:pPr>
      <w:hyperlink w:anchor="_Toc99437503" w:history="1">
        <w:r w:rsidR="005E14C1" w:rsidRPr="001B61D5">
          <w:rPr>
            <w:rStyle w:val="Hyperlink"/>
            <w:noProof/>
          </w:rPr>
          <w:t>2.1.1</w:t>
        </w:r>
        <w:r w:rsidR="005E14C1">
          <w:rPr>
            <w:rFonts w:asciiTheme="minorHAnsi" w:eastAsiaTheme="minorEastAsia" w:hAnsiTheme="minorHAnsi"/>
            <w:noProof/>
            <w:szCs w:val="22"/>
            <w:lang w:eastAsia="en-AU"/>
          </w:rPr>
          <w:tab/>
        </w:r>
        <w:r w:rsidR="005E14C1" w:rsidRPr="001B61D5">
          <w:rPr>
            <w:rStyle w:val="Hyperlink"/>
            <w:noProof/>
          </w:rPr>
          <w:t>Qualitative input</w:t>
        </w:r>
        <w:r w:rsidR="005E14C1">
          <w:rPr>
            <w:noProof/>
            <w:webHidden/>
          </w:rPr>
          <w:tab/>
        </w:r>
        <w:r w:rsidR="005E14C1">
          <w:rPr>
            <w:noProof/>
            <w:webHidden/>
          </w:rPr>
          <w:fldChar w:fldCharType="begin"/>
        </w:r>
        <w:r w:rsidR="005E14C1">
          <w:rPr>
            <w:noProof/>
            <w:webHidden/>
          </w:rPr>
          <w:instrText xml:space="preserve"> PAGEREF _Toc99437503 \h </w:instrText>
        </w:r>
        <w:r w:rsidR="005E14C1">
          <w:rPr>
            <w:noProof/>
            <w:webHidden/>
          </w:rPr>
        </w:r>
        <w:r w:rsidR="005E14C1">
          <w:rPr>
            <w:noProof/>
            <w:webHidden/>
          </w:rPr>
          <w:fldChar w:fldCharType="separate"/>
        </w:r>
        <w:r w:rsidR="00DC6A20">
          <w:rPr>
            <w:noProof/>
            <w:webHidden/>
          </w:rPr>
          <w:t>16</w:t>
        </w:r>
        <w:r w:rsidR="005E14C1">
          <w:rPr>
            <w:noProof/>
            <w:webHidden/>
          </w:rPr>
          <w:fldChar w:fldCharType="end"/>
        </w:r>
      </w:hyperlink>
    </w:p>
    <w:p w14:paraId="6E1CCA7B" w14:textId="3C384A7E" w:rsidR="005E14C1" w:rsidRDefault="00A96775">
      <w:pPr>
        <w:pStyle w:val="TOC3"/>
        <w:tabs>
          <w:tab w:val="left" w:pos="1261"/>
        </w:tabs>
        <w:rPr>
          <w:rFonts w:asciiTheme="minorHAnsi" w:eastAsiaTheme="minorEastAsia" w:hAnsiTheme="minorHAnsi"/>
          <w:noProof/>
          <w:szCs w:val="22"/>
          <w:lang w:eastAsia="en-AU"/>
        </w:rPr>
      </w:pPr>
      <w:hyperlink w:anchor="_Toc99437504" w:history="1">
        <w:r w:rsidR="005E14C1" w:rsidRPr="001B61D5">
          <w:rPr>
            <w:rStyle w:val="Hyperlink"/>
            <w:noProof/>
          </w:rPr>
          <w:t>2.1.2</w:t>
        </w:r>
        <w:r w:rsidR="005E14C1">
          <w:rPr>
            <w:rFonts w:asciiTheme="minorHAnsi" w:eastAsiaTheme="minorEastAsia" w:hAnsiTheme="minorHAnsi"/>
            <w:noProof/>
            <w:szCs w:val="22"/>
            <w:lang w:eastAsia="en-AU"/>
          </w:rPr>
          <w:tab/>
        </w:r>
        <w:r w:rsidR="005E14C1" w:rsidRPr="001B61D5">
          <w:rPr>
            <w:rStyle w:val="Hyperlink"/>
            <w:noProof/>
          </w:rPr>
          <w:t>Quantitative input</w:t>
        </w:r>
        <w:r w:rsidR="005E14C1">
          <w:rPr>
            <w:noProof/>
            <w:webHidden/>
          </w:rPr>
          <w:tab/>
        </w:r>
        <w:r w:rsidR="005E14C1">
          <w:rPr>
            <w:noProof/>
            <w:webHidden/>
          </w:rPr>
          <w:fldChar w:fldCharType="begin"/>
        </w:r>
        <w:r w:rsidR="005E14C1">
          <w:rPr>
            <w:noProof/>
            <w:webHidden/>
          </w:rPr>
          <w:instrText xml:space="preserve"> PAGEREF _Toc99437504 \h </w:instrText>
        </w:r>
        <w:r w:rsidR="005E14C1">
          <w:rPr>
            <w:noProof/>
            <w:webHidden/>
          </w:rPr>
        </w:r>
        <w:r w:rsidR="005E14C1">
          <w:rPr>
            <w:noProof/>
            <w:webHidden/>
          </w:rPr>
          <w:fldChar w:fldCharType="separate"/>
        </w:r>
        <w:r w:rsidR="00DC6A20">
          <w:rPr>
            <w:noProof/>
            <w:webHidden/>
          </w:rPr>
          <w:t>16</w:t>
        </w:r>
        <w:r w:rsidR="005E14C1">
          <w:rPr>
            <w:noProof/>
            <w:webHidden/>
          </w:rPr>
          <w:fldChar w:fldCharType="end"/>
        </w:r>
      </w:hyperlink>
    </w:p>
    <w:p w14:paraId="6190B3AA" w14:textId="353F045E" w:rsidR="005E14C1" w:rsidRDefault="00A96775">
      <w:pPr>
        <w:pStyle w:val="TOC2"/>
        <w:tabs>
          <w:tab w:val="left" w:pos="1134"/>
        </w:tabs>
        <w:rPr>
          <w:rFonts w:asciiTheme="minorHAnsi" w:eastAsiaTheme="minorEastAsia" w:hAnsiTheme="minorHAnsi"/>
          <w:noProof/>
          <w:szCs w:val="22"/>
          <w:lang w:eastAsia="en-AU"/>
        </w:rPr>
      </w:pPr>
      <w:hyperlink w:anchor="_Toc99437505" w:history="1">
        <w:r w:rsidR="005E14C1" w:rsidRPr="001B61D5">
          <w:rPr>
            <w:rStyle w:val="Hyperlink"/>
            <w:noProof/>
          </w:rPr>
          <w:t>2.2</w:t>
        </w:r>
        <w:r w:rsidR="005E14C1">
          <w:rPr>
            <w:rFonts w:asciiTheme="minorHAnsi" w:eastAsiaTheme="minorEastAsia" w:hAnsiTheme="minorHAnsi"/>
            <w:noProof/>
            <w:szCs w:val="22"/>
            <w:lang w:eastAsia="en-AU"/>
          </w:rPr>
          <w:tab/>
        </w:r>
        <w:r w:rsidR="005E14C1" w:rsidRPr="001B61D5">
          <w:rPr>
            <w:rStyle w:val="Hyperlink"/>
            <w:noProof/>
          </w:rPr>
          <w:t>Current demand</w:t>
        </w:r>
        <w:r w:rsidR="005E14C1">
          <w:rPr>
            <w:noProof/>
            <w:webHidden/>
          </w:rPr>
          <w:tab/>
        </w:r>
        <w:r w:rsidR="005E14C1">
          <w:rPr>
            <w:noProof/>
            <w:webHidden/>
          </w:rPr>
          <w:fldChar w:fldCharType="begin"/>
        </w:r>
        <w:r w:rsidR="005E14C1">
          <w:rPr>
            <w:noProof/>
            <w:webHidden/>
          </w:rPr>
          <w:instrText xml:space="preserve"> PAGEREF _Toc99437505 \h </w:instrText>
        </w:r>
        <w:r w:rsidR="005E14C1">
          <w:rPr>
            <w:noProof/>
            <w:webHidden/>
          </w:rPr>
        </w:r>
        <w:r w:rsidR="005E14C1">
          <w:rPr>
            <w:noProof/>
            <w:webHidden/>
          </w:rPr>
          <w:fldChar w:fldCharType="separate"/>
        </w:r>
        <w:r w:rsidR="00DC6A20">
          <w:rPr>
            <w:noProof/>
            <w:webHidden/>
          </w:rPr>
          <w:t>17</w:t>
        </w:r>
        <w:r w:rsidR="005E14C1">
          <w:rPr>
            <w:noProof/>
            <w:webHidden/>
          </w:rPr>
          <w:fldChar w:fldCharType="end"/>
        </w:r>
      </w:hyperlink>
    </w:p>
    <w:p w14:paraId="074958A7" w14:textId="429C0153" w:rsidR="005E14C1" w:rsidRDefault="00A96775">
      <w:pPr>
        <w:pStyle w:val="TOC3"/>
        <w:tabs>
          <w:tab w:val="left" w:pos="1261"/>
        </w:tabs>
        <w:rPr>
          <w:rFonts w:asciiTheme="minorHAnsi" w:eastAsiaTheme="minorEastAsia" w:hAnsiTheme="minorHAnsi"/>
          <w:noProof/>
          <w:szCs w:val="22"/>
          <w:lang w:eastAsia="en-AU"/>
        </w:rPr>
      </w:pPr>
      <w:hyperlink w:anchor="_Toc99437506" w:history="1">
        <w:r w:rsidR="005E14C1" w:rsidRPr="001B61D5">
          <w:rPr>
            <w:rStyle w:val="Hyperlink"/>
            <w:noProof/>
          </w:rPr>
          <w:t>2.2.1</w:t>
        </w:r>
        <w:r w:rsidR="005E14C1">
          <w:rPr>
            <w:rFonts w:asciiTheme="minorHAnsi" w:eastAsiaTheme="minorEastAsia" w:hAnsiTheme="minorHAnsi"/>
            <w:noProof/>
            <w:szCs w:val="22"/>
            <w:lang w:eastAsia="en-AU"/>
          </w:rPr>
          <w:tab/>
        </w:r>
        <w:r w:rsidR="005E14C1" w:rsidRPr="001B61D5">
          <w:rPr>
            <w:rStyle w:val="Hyperlink"/>
            <w:noProof/>
          </w:rPr>
          <w:t>Current met demand</w:t>
        </w:r>
        <w:r w:rsidR="005E14C1">
          <w:rPr>
            <w:noProof/>
            <w:webHidden/>
          </w:rPr>
          <w:tab/>
        </w:r>
        <w:r w:rsidR="005E14C1">
          <w:rPr>
            <w:noProof/>
            <w:webHidden/>
          </w:rPr>
          <w:fldChar w:fldCharType="begin"/>
        </w:r>
        <w:r w:rsidR="005E14C1">
          <w:rPr>
            <w:noProof/>
            <w:webHidden/>
          </w:rPr>
          <w:instrText xml:space="preserve"> PAGEREF _Toc99437506 \h </w:instrText>
        </w:r>
        <w:r w:rsidR="005E14C1">
          <w:rPr>
            <w:noProof/>
            <w:webHidden/>
          </w:rPr>
        </w:r>
        <w:r w:rsidR="005E14C1">
          <w:rPr>
            <w:noProof/>
            <w:webHidden/>
          </w:rPr>
          <w:fldChar w:fldCharType="separate"/>
        </w:r>
        <w:r w:rsidR="00DC6A20">
          <w:rPr>
            <w:noProof/>
            <w:webHidden/>
          </w:rPr>
          <w:t>18</w:t>
        </w:r>
        <w:r w:rsidR="005E14C1">
          <w:rPr>
            <w:noProof/>
            <w:webHidden/>
          </w:rPr>
          <w:fldChar w:fldCharType="end"/>
        </w:r>
      </w:hyperlink>
    </w:p>
    <w:p w14:paraId="23DAB49E" w14:textId="6DCB206C" w:rsidR="005E14C1" w:rsidRDefault="00A96775">
      <w:pPr>
        <w:pStyle w:val="TOC3"/>
        <w:tabs>
          <w:tab w:val="left" w:pos="1261"/>
        </w:tabs>
        <w:rPr>
          <w:rFonts w:asciiTheme="minorHAnsi" w:eastAsiaTheme="minorEastAsia" w:hAnsiTheme="minorHAnsi"/>
          <w:noProof/>
          <w:szCs w:val="22"/>
          <w:lang w:eastAsia="en-AU"/>
        </w:rPr>
      </w:pPr>
      <w:hyperlink w:anchor="_Toc99437507" w:history="1">
        <w:r w:rsidR="005E14C1" w:rsidRPr="001B61D5">
          <w:rPr>
            <w:rStyle w:val="Hyperlink"/>
            <w:noProof/>
          </w:rPr>
          <w:t>2.2.2</w:t>
        </w:r>
        <w:r w:rsidR="005E14C1">
          <w:rPr>
            <w:rFonts w:asciiTheme="minorHAnsi" w:eastAsiaTheme="minorEastAsia" w:hAnsiTheme="minorHAnsi"/>
            <w:noProof/>
            <w:szCs w:val="22"/>
            <w:lang w:eastAsia="en-AU"/>
          </w:rPr>
          <w:tab/>
        </w:r>
        <w:r w:rsidR="005E14C1" w:rsidRPr="001B61D5">
          <w:rPr>
            <w:rStyle w:val="Hyperlink"/>
            <w:noProof/>
          </w:rPr>
          <w:t>Current unmet demand</w:t>
        </w:r>
        <w:r w:rsidR="005E14C1">
          <w:rPr>
            <w:noProof/>
            <w:webHidden/>
          </w:rPr>
          <w:tab/>
        </w:r>
        <w:r w:rsidR="005E14C1">
          <w:rPr>
            <w:noProof/>
            <w:webHidden/>
          </w:rPr>
          <w:fldChar w:fldCharType="begin"/>
        </w:r>
        <w:r w:rsidR="005E14C1">
          <w:rPr>
            <w:noProof/>
            <w:webHidden/>
          </w:rPr>
          <w:instrText xml:space="preserve"> PAGEREF _Toc99437507 \h </w:instrText>
        </w:r>
        <w:r w:rsidR="005E14C1">
          <w:rPr>
            <w:noProof/>
            <w:webHidden/>
          </w:rPr>
        </w:r>
        <w:r w:rsidR="005E14C1">
          <w:rPr>
            <w:noProof/>
            <w:webHidden/>
          </w:rPr>
          <w:fldChar w:fldCharType="separate"/>
        </w:r>
        <w:r w:rsidR="00DC6A20">
          <w:rPr>
            <w:noProof/>
            <w:webHidden/>
          </w:rPr>
          <w:t>20</w:t>
        </w:r>
        <w:r w:rsidR="005E14C1">
          <w:rPr>
            <w:noProof/>
            <w:webHidden/>
          </w:rPr>
          <w:fldChar w:fldCharType="end"/>
        </w:r>
      </w:hyperlink>
    </w:p>
    <w:p w14:paraId="184FE2D9" w14:textId="556346B5" w:rsidR="005E14C1" w:rsidRDefault="00A96775">
      <w:pPr>
        <w:pStyle w:val="TOC2"/>
        <w:tabs>
          <w:tab w:val="left" w:pos="1134"/>
        </w:tabs>
        <w:rPr>
          <w:rFonts w:asciiTheme="minorHAnsi" w:eastAsiaTheme="minorEastAsia" w:hAnsiTheme="minorHAnsi"/>
          <w:noProof/>
          <w:szCs w:val="22"/>
          <w:lang w:eastAsia="en-AU"/>
        </w:rPr>
      </w:pPr>
      <w:hyperlink w:anchor="_Toc99437508" w:history="1">
        <w:r w:rsidR="005E14C1" w:rsidRPr="001B61D5">
          <w:rPr>
            <w:rStyle w:val="Hyperlink"/>
            <w:noProof/>
          </w:rPr>
          <w:t>2.3</w:t>
        </w:r>
        <w:r w:rsidR="005E14C1">
          <w:rPr>
            <w:rFonts w:asciiTheme="minorHAnsi" w:eastAsiaTheme="minorEastAsia" w:hAnsiTheme="minorHAnsi"/>
            <w:noProof/>
            <w:szCs w:val="22"/>
            <w:lang w:eastAsia="en-AU"/>
          </w:rPr>
          <w:tab/>
        </w:r>
        <w:r w:rsidR="005E14C1" w:rsidRPr="001B61D5">
          <w:rPr>
            <w:rStyle w:val="Hyperlink"/>
            <w:noProof/>
            <w:shd w:val="clear" w:color="auto" w:fill="FFFFFF"/>
          </w:rPr>
          <w:t>Future demand for information and advocacy</w:t>
        </w:r>
        <w:r w:rsidR="005E14C1">
          <w:rPr>
            <w:noProof/>
            <w:webHidden/>
          </w:rPr>
          <w:tab/>
        </w:r>
        <w:r w:rsidR="005E14C1">
          <w:rPr>
            <w:noProof/>
            <w:webHidden/>
          </w:rPr>
          <w:fldChar w:fldCharType="begin"/>
        </w:r>
        <w:r w:rsidR="005E14C1">
          <w:rPr>
            <w:noProof/>
            <w:webHidden/>
          </w:rPr>
          <w:instrText xml:space="preserve"> PAGEREF _Toc99437508 \h </w:instrText>
        </w:r>
        <w:r w:rsidR="005E14C1">
          <w:rPr>
            <w:noProof/>
            <w:webHidden/>
          </w:rPr>
        </w:r>
        <w:r w:rsidR="005E14C1">
          <w:rPr>
            <w:noProof/>
            <w:webHidden/>
          </w:rPr>
          <w:fldChar w:fldCharType="separate"/>
        </w:r>
        <w:r w:rsidR="00DC6A20">
          <w:rPr>
            <w:noProof/>
            <w:webHidden/>
          </w:rPr>
          <w:t>20</w:t>
        </w:r>
        <w:r w:rsidR="005E14C1">
          <w:rPr>
            <w:noProof/>
            <w:webHidden/>
          </w:rPr>
          <w:fldChar w:fldCharType="end"/>
        </w:r>
      </w:hyperlink>
    </w:p>
    <w:p w14:paraId="4BBE6351" w14:textId="7A9A7D38" w:rsidR="005E14C1" w:rsidRDefault="00A96775">
      <w:pPr>
        <w:pStyle w:val="TOC3"/>
        <w:tabs>
          <w:tab w:val="left" w:pos="1261"/>
        </w:tabs>
        <w:rPr>
          <w:rFonts w:asciiTheme="minorHAnsi" w:eastAsiaTheme="minorEastAsia" w:hAnsiTheme="minorHAnsi"/>
          <w:noProof/>
          <w:szCs w:val="22"/>
          <w:lang w:eastAsia="en-AU"/>
        </w:rPr>
      </w:pPr>
      <w:hyperlink w:anchor="_Toc99437509" w:history="1">
        <w:r w:rsidR="005E14C1" w:rsidRPr="001B61D5">
          <w:rPr>
            <w:rStyle w:val="Hyperlink"/>
            <w:noProof/>
          </w:rPr>
          <w:t>2.3.2</w:t>
        </w:r>
        <w:r w:rsidR="005E14C1">
          <w:rPr>
            <w:rFonts w:asciiTheme="minorHAnsi" w:eastAsiaTheme="minorEastAsia" w:hAnsiTheme="minorHAnsi"/>
            <w:noProof/>
            <w:szCs w:val="22"/>
            <w:lang w:eastAsia="en-AU"/>
          </w:rPr>
          <w:tab/>
        </w:r>
        <w:r w:rsidR="005E14C1" w:rsidRPr="001B61D5">
          <w:rPr>
            <w:rStyle w:val="Hyperlink"/>
            <w:noProof/>
          </w:rPr>
          <w:t>Total demand</w:t>
        </w:r>
        <w:r w:rsidR="005E14C1">
          <w:rPr>
            <w:noProof/>
            <w:webHidden/>
          </w:rPr>
          <w:tab/>
        </w:r>
        <w:r w:rsidR="005E14C1">
          <w:rPr>
            <w:noProof/>
            <w:webHidden/>
          </w:rPr>
          <w:fldChar w:fldCharType="begin"/>
        </w:r>
        <w:r w:rsidR="005E14C1">
          <w:rPr>
            <w:noProof/>
            <w:webHidden/>
          </w:rPr>
          <w:instrText xml:space="preserve"> PAGEREF _Toc99437509 \h </w:instrText>
        </w:r>
        <w:r w:rsidR="005E14C1">
          <w:rPr>
            <w:noProof/>
            <w:webHidden/>
          </w:rPr>
        </w:r>
        <w:r w:rsidR="005E14C1">
          <w:rPr>
            <w:noProof/>
            <w:webHidden/>
          </w:rPr>
          <w:fldChar w:fldCharType="separate"/>
        </w:r>
        <w:r w:rsidR="00DC6A20">
          <w:rPr>
            <w:noProof/>
            <w:webHidden/>
          </w:rPr>
          <w:t>20</w:t>
        </w:r>
        <w:r w:rsidR="005E14C1">
          <w:rPr>
            <w:noProof/>
            <w:webHidden/>
          </w:rPr>
          <w:fldChar w:fldCharType="end"/>
        </w:r>
      </w:hyperlink>
    </w:p>
    <w:p w14:paraId="61F4F503" w14:textId="3293AE32" w:rsidR="005E14C1" w:rsidRDefault="00A96775">
      <w:pPr>
        <w:pStyle w:val="TOC3"/>
        <w:tabs>
          <w:tab w:val="left" w:pos="1261"/>
        </w:tabs>
        <w:rPr>
          <w:rFonts w:asciiTheme="minorHAnsi" w:eastAsiaTheme="minorEastAsia" w:hAnsiTheme="minorHAnsi"/>
          <w:noProof/>
          <w:szCs w:val="22"/>
          <w:lang w:eastAsia="en-AU"/>
        </w:rPr>
      </w:pPr>
      <w:hyperlink w:anchor="_Toc99437510" w:history="1">
        <w:r w:rsidR="005E14C1" w:rsidRPr="001B61D5">
          <w:rPr>
            <w:rStyle w:val="Hyperlink"/>
            <w:noProof/>
          </w:rPr>
          <w:t>2.3.3</w:t>
        </w:r>
        <w:r w:rsidR="005E14C1">
          <w:rPr>
            <w:rFonts w:asciiTheme="minorHAnsi" w:eastAsiaTheme="minorEastAsia" w:hAnsiTheme="minorHAnsi"/>
            <w:noProof/>
            <w:szCs w:val="22"/>
            <w:lang w:eastAsia="en-AU"/>
          </w:rPr>
          <w:tab/>
        </w:r>
        <w:r w:rsidR="005E14C1" w:rsidRPr="001B61D5">
          <w:rPr>
            <w:rStyle w:val="Hyperlink"/>
            <w:noProof/>
          </w:rPr>
          <w:t>Met demand</w:t>
        </w:r>
        <w:r w:rsidR="005E14C1">
          <w:rPr>
            <w:noProof/>
            <w:webHidden/>
          </w:rPr>
          <w:tab/>
        </w:r>
        <w:r w:rsidR="005E14C1">
          <w:rPr>
            <w:noProof/>
            <w:webHidden/>
          </w:rPr>
          <w:fldChar w:fldCharType="begin"/>
        </w:r>
        <w:r w:rsidR="005E14C1">
          <w:rPr>
            <w:noProof/>
            <w:webHidden/>
          </w:rPr>
          <w:instrText xml:space="preserve"> PAGEREF _Toc99437510 \h </w:instrText>
        </w:r>
        <w:r w:rsidR="005E14C1">
          <w:rPr>
            <w:noProof/>
            <w:webHidden/>
          </w:rPr>
        </w:r>
        <w:r w:rsidR="005E14C1">
          <w:rPr>
            <w:noProof/>
            <w:webHidden/>
          </w:rPr>
          <w:fldChar w:fldCharType="separate"/>
        </w:r>
        <w:r w:rsidR="00DC6A20">
          <w:rPr>
            <w:noProof/>
            <w:webHidden/>
          </w:rPr>
          <w:t>23</w:t>
        </w:r>
        <w:r w:rsidR="005E14C1">
          <w:rPr>
            <w:noProof/>
            <w:webHidden/>
          </w:rPr>
          <w:fldChar w:fldCharType="end"/>
        </w:r>
      </w:hyperlink>
    </w:p>
    <w:p w14:paraId="0D686516" w14:textId="06FBA1C1" w:rsidR="005E14C1" w:rsidRDefault="00A96775">
      <w:pPr>
        <w:pStyle w:val="TOC3"/>
        <w:tabs>
          <w:tab w:val="left" w:pos="1261"/>
        </w:tabs>
        <w:rPr>
          <w:rFonts w:asciiTheme="minorHAnsi" w:eastAsiaTheme="minorEastAsia" w:hAnsiTheme="minorHAnsi"/>
          <w:noProof/>
          <w:szCs w:val="22"/>
          <w:lang w:eastAsia="en-AU"/>
        </w:rPr>
      </w:pPr>
      <w:hyperlink w:anchor="_Toc99437511" w:history="1">
        <w:r w:rsidR="005E14C1" w:rsidRPr="001B61D5">
          <w:rPr>
            <w:rStyle w:val="Hyperlink"/>
            <w:noProof/>
          </w:rPr>
          <w:t>2.3.4</w:t>
        </w:r>
        <w:r w:rsidR="005E14C1">
          <w:rPr>
            <w:rFonts w:asciiTheme="minorHAnsi" w:eastAsiaTheme="minorEastAsia" w:hAnsiTheme="minorHAnsi"/>
            <w:noProof/>
            <w:szCs w:val="22"/>
            <w:lang w:eastAsia="en-AU"/>
          </w:rPr>
          <w:tab/>
        </w:r>
        <w:r w:rsidR="005E14C1" w:rsidRPr="001B61D5">
          <w:rPr>
            <w:rStyle w:val="Hyperlink"/>
            <w:noProof/>
          </w:rPr>
          <w:t>Unmet demand</w:t>
        </w:r>
        <w:r w:rsidR="005E14C1">
          <w:rPr>
            <w:noProof/>
            <w:webHidden/>
          </w:rPr>
          <w:tab/>
        </w:r>
        <w:r w:rsidR="005E14C1">
          <w:rPr>
            <w:noProof/>
            <w:webHidden/>
          </w:rPr>
          <w:fldChar w:fldCharType="begin"/>
        </w:r>
        <w:r w:rsidR="005E14C1">
          <w:rPr>
            <w:noProof/>
            <w:webHidden/>
          </w:rPr>
          <w:instrText xml:space="preserve"> PAGEREF _Toc99437511 \h </w:instrText>
        </w:r>
        <w:r w:rsidR="005E14C1">
          <w:rPr>
            <w:noProof/>
            <w:webHidden/>
          </w:rPr>
        </w:r>
        <w:r w:rsidR="005E14C1">
          <w:rPr>
            <w:noProof/>
            <w:webHidden/>
          </w:rPr>
          <w:fldChar w:fldCharType="separate"/>
        </w:r>
        <w:r w:rsidR="00DC6A20">
          <w:rPr>
            <w:noProof/>
            <w:webHidden/>
          </w:rPr>
          <w:t>24</w:t>
        </w:r>
        <w:r w:rsidR="005E14C1">
          <w:rPr>
            <w:noProof/>
            <w:webHidden/>
          </w:rPr>
          <w:fldChar w:fldCharType="end"/>
        </w:r>
      </w:hyperlink>
    </w:p>
    <w:p w14:paraId="78FAAD2B" w14:textId="060B8CE3" w:rsidR="005E14C1" w:rsidRDefault="00A96775">
      <w:pPr>
        <w:pStyle w:val="TOC2"/>
        <w:tabs>
          <w:tab w:val="left" w:pos="1134"/>
        </w:tabs>
        <w:rPr>
          <w:rFonts w:asciiTheme="minorHAnsi" w:eastAsiaTheme="minorEastAsia" w:hAnsiTheme="minorHAnsi"/>
          <w:noProof/>
          <w:szCs w:val="22"/>
          <w:lang w:eastAsia="en-AU"/>
        </w:rPr>
      </w:pPr>
      <w:hyperlink w:anchor="_Toc99437512" w:history="1">
        <w:r w:rsidR="005E14C1" w:rsidRPr="001B61D5">
          <w:rPr>
            <w:rStyle w:val="Hyperlink"/>
            <w:noProof/>
          </w:rPr>
          <w:t>2.4</w:t>
        </w:r>
        <w:r w:rsidR="005E14C1">
          <w:rPr>
            <w:rFonts w:asciiTheme="minorHAnsi" w:eastAsiaTheme="minorEastAsia" w:hAnsiTheme="minorHAnsi"/>
            <w:noProof/>
            <w:szCs w:val="22"/>
            <w:lang w:eastAsia="en-AU"/>
          </w:rPr>
          <w:tab/>
        </w:r>
        <w:r w:rsidR="005E14C1" w:rsidRPr="001B61D5">
          <w:rPr>
            <w:rStyle w:val="Hyperlink"/>
            <w:noProof/>
          </w:rPr>
          <w:t>Future demand for education</w:t>
        </w:r>
        <w:r w:rsidR="005E14C1">
          <w:rPr>
            <w:noProof/>
            <w:webHidden/>
          </w:rPr>
          <w:tab/>
        </w:r>
        <w:r w:rsidR="005E14C1">
          <w:rPr>
            <w:noProof/>
            <w:webHidden/>
          </w:rPr>
          <w:fldChar w:fldCharType="begin"/>
        </w:r>
        <w:r w:rsidR="005E14C1">
          <w:rPr>
            <w:noProof/>
            <w:webHidden/>
          </w:rPr>
          <w:instrText xml:space="preserve"> PAGEREF _Toc99437512 \h </w:instrText>
        </w:r>
        <w:r w:rsidR="005E14C1">
          <w:rPr>
            <w:noProof/>
            <w:webHidden/>
          </w:rPr>
        </w:r>
        <w:r w:rsidR="005E14C1">
          <w:rPr>
            <w:noProof/>
            <w:webHidden/>
          </w:rPr>
          <w:fldChar w:fldCharType="separate"/>
        </w:r>
        <w:r w:rsidR="00DC6A20">
          <w:rPr>
            <w:noProof/>
            <w:webHidden/>
          </w:rPr>
          <w:t>24</w:t>
        </w:r>
        <w:r w:rsidR="005E14C1">
          <w:rPr>
            <w:noProof/>
            <w:webHidden/>
          </w:rPr>
          <w:fldChar w:fldCharType="end"/>
        </w:r>
      </w:hyperlink>
    </w:p>
    <w:p w14:paraId="43D242F5" w14:textId="2341DBEA" w:rsidR="005E14C1" w:rsidRDefault="00A96775">
      <w:pPr>
        <w:pStyle w:val="TOC3"/>
        <w:tabs>
          <w:tab w:val="left" w:pos="1261"/>
        </w:tabs>
        <w:rPr>
          <w:rFonts w:asciiTheme="minorHAnsi" w:eastAsiaTheme="minorEastAsia" w:hAnsiTheme="minorHAnsi"/>
          <w:noProof/>
          <w:szCs w:val="22"/>
          <w:lang w:eastAsia="en-AU"/>
        </w:rPr>
      </w:pPr>
      <w:hyperlink w:anchor="_Toc99437513" w:history="1">
        <w:r w:rsidR="005E14C1" w:rsidRPr="001B61D5">
          <w:rPr>
            <w:rStyle w:val="Hyperlink"/>
            <w:noProof/>
          </w:rPr>
          <w:t>2.4.1</w:t>
        </w:r>
        <w:r w:rsidR="005E14C1">
          <w:rPr>
            <w:rFonts w:asciiTheme="minorHAnsi" w:eastAsiaTheme="minorEastAsia" w:hAnsiTheme="minorHAnsi"/>
            <w:noProof/>
            <w:szCs w:val="22"/>
            <w:lang w:eastAsia="en-AU"/>
          </w:rPr>
          <w:tab/>
        </w:r>
        <w:r w:rsidR="005E14C1" w:rsidRPr="001B61D5">
          <w:rPr>
            <w:rStyle w:val="Hyperlink"/>
            <w:noProof/>
          </w:rPr>
          <w:t>Education sessions in residential aged care facilities</w:t>
        </w:r>
        <w:r w:rsidR="005E14C1">
          <w:rPr>
            <w:noProof/>
            <w:webHidden/>
          </w:rPr>
          <w:tab/>
        </w:r>
        <w:r w:rsidR="005E14C1">
          <w:rPr>
            <w:noProof/>
            <w:webHidden/>
          </w:rPr>
          <w:fldChar w:fldCharType="begin"/>
        </w:r>
        <w:r w:rsidR="005E14C1">
          <w:rPr>
            <w:noProof/>
            <w:webHidden/>
          </w:rPr>
          <w:instrText xml:space="preserve"> PAGEREF _Toc99437513 \h </w:instrText>
        </w:r>
        <w:r w:rsidR="005E14C1">
          <w:rPr>
            <w:noProof/>
            <w:webHidden/>
          </w:rPr>
        </w:r>
        <w:r w:rsidR="005E14C1">
          <w:rPr>
            <w:noProof/>
            <w:webHidden/>
          </w:rPr>
          <w:fldChar w:fldCharType="separate"/>
        </w:r>
        <w:r w:rsidR="00DC6A20">
          <w:rPr>
            <w:noProof/>
            <w:webHidden/>
          </w:rPr>
          <w:t>25</w:t>
        </w:r>
        <w:r w:rsidR="005E14C1">
          <w:rPr>
            <w:noProof/>
            <w:webHidden/>
          </w:rPr>
          <w:fldChar w:fldCharType="end"/>
        </w:r>
      </w:hyperlink>
    </w:p>
    <w:p w14:paraId="745F800D" w14:textId="49119E63" w:rsidR="005E14C1" w:rsidRDefault="00A96775">
      <w:pPr>
        <w:pStyle w:val="TOC3"/>
        <w:tabs>
          <w:tab w:val="left" w:pos="1261"/>
        </w:tabs>
        <w:rPr>
          <w:rFonts w:asciiTheme="minorHAnsi" w:eastAsiaTheme="minorEastAsia" w:hAnsiTheme="minorHAnsi"/>
          <w:noProof/>
          <w:szCs w:val="22"/>
          <w:lang w:eastAsia="en-AU"/>
        </w:rPr>
      </w:pPr>
      <w:hyperlink w:anchor="_Toc99437514" w:history="1">
        <w:r w:rsidR="005E14C1" w:rsidRPr="001B61D5">
          <w:rPr>
            <w:rStyle w:val="Hyperlink"/>
            <w:noProof/>
          </w:rPr>
          <w:t>2.4.2</w:t>
        </w:r>
        <w:r w:rsidR="005E14C1">
          <w:rPr>
            <w:rFonts w:asciiTheme="minorHAnsi" w:eastAsiaTheme="minorEastAsia" w:hAnsiTheme="minorHAnsi"/>
            <w:noProof/>
            <w:szCs w:val="22"/>
            <w:lang w:eastAsia="en-AU"/>
          </w:rPr>
          <w:tab/>
        </w:r>
        <w:r w:rsidR="005E14C1" w:rsidRPr="001B61D5">
          <w:rPr>
            <w:rStyle w:val="Hyperlink"/>
            <w:noProof/>
          </w:rPr>
          <w:t>Education sessions in community care</w:t>
        </w:r>
        <w:r w:rsidR="005E14C1">
          <w:rPr>
            <w:noProof/>
            <w:webHidden/>
          </w:rPr>
          <w:tab/>
        </w:r>
        <w:r w:rsidR="005E14C1">
          <w:rPr>
            <w:noProof/>
            <w:webHidden/>
          </w:rPr>
          <w:fldChar w:fldCharType="begin"/>
        </w:r>
        <w:r w:rsidR="005E14C1">
          <w:rPr>
            <w:noProof/>
            <w:webHidden/>
          </w:rPr>
          <w:instrText xml:space="preserve"> PAGEREF _Toc99437514 \h </w:instrText>
        </w:r>
        <w:r w:rsidR="005E14C1">
          <w:rPr>
            <w:noProof/>
            <w:webHidden/>
          </w:rPr>
        </w:r>
        <w:r w:rsidR="005E14C1">
          <w:rPr>
            <w:noProof/>
            <w:webHidden/>
          </w:rPr>
          <w:fldChar w:fldCharType="separate"/>
        </w:r>
        <w:r w:rsidR="00DC6A20">
          <w:rPr>
            <w:noProof/>
            <w:webHidden/>
          </w:rPr>
          <w:t>25</w:t>
        </w:r>
        <w:r w:rsidR="005E14C1">
          <w:rPr>
            <w:noProof/>
            <w:webHidden/>
          </w:rPr>
          <w:fldChar w:fldCharType="end"/>
        </w:r>
      </w:hyperlink>
    </w:p>
    <w:p w14:paraId="0EC064C4" w14:textId="50CC673C" w:rsidR="005E14C1" w:rsidRDefault="00A96775">
      <w:pPr>
        <w:pStyle w:val="TOC2"/>
        <w:tabs>
          <w:tab w:val="left" w:pos="1134"/>
        </w:tabs>
        <w:rPr>
          <w:rFonts w:asciiTheme="minorHAnsi" w:eastAsiaTheme="minorEastAsia" w:hAnsiTheme="minorHAnsi"/>
          <w:noProof/>
          <w:szCs w:val="22"/>
          <w:lang w:eastAsia="en-AU"/>
        </w:rPr>
      </w:pPr>
      <w:hyperlink w:anchor="_Toc99437515" w:history="1">
        <w:r w:rsidR="005E14C1" w:rsidRPr="001B61D5">
          <w:rPr>
            <w:rStyle w:val="Hyperlink"/>
            <w:noProof/>
          </w:rPr>
          <w:t>2.5</w:t>
        </w:r>
        <w:r w:rsidR="005E14C1">
          <w:rPr>
            <w:rFonts w:asciiTheme="minorHAnsi" w:eastAsiaTheme="minorEastAsia" w:hAnsiTheme="minorHAnsi"/>
            <w:noProof/>
            <w:szCs w:val="22"/>
            <w:lang w:eastAsia="en-AU"/>
          </w:rPr>
          <w:tab/>
        </w:r>
        <w:r w:rsidR="005E14C1" w:rsidRPr="001B61D5">
          <w:rPr>
            <w:rStyle w:val="Hyperlink"/>
            <w:noProof/>
          </w:rPr>
          <w:t>Supply</w:t>
        </w:r>
        <w:r w:rsidR="005E14C1">
          <w:rPr>
            <w:noProof/>
            <w:webHidden/>
          </w:rPr>
          <w:tab/>
        </w:r>
        <w:r w:rsidR="005E14C1">
          <w:rPr>
            <w:noProof/>
            <w:webHidden/>
          </w:rPr>
          <w:fldChar w:fldCharType="begin"/>
        </w:r>
        <w:r w:rsidR="005E14C1">
          <w:rPr>
            <w:noProof/>
            <w:webHidden/>
          </w:rPr>
          <w:instrText xml:space="preserve"> PAGEREF _Toc99437515 \h </w:instrText>
        </w:r>
        <w:r w:rsidR="005E14C1">
          <w:rPr>
            <w:noProof/>
            <w:webHidden/>
          </w:rPr>
        </w:r>
        <w:r w:rsidR="005E14C1">
          <w:rPr>
            <w:noProof/>
            <w:webHidden/>
          </w:rPr>
          <w:fldChar w:fldCharType="separate"/>
        </w:r>
        <w:r w:rsidR="00DC6A20">
          <w:rPr>
            <w:noProof/>
            <w:webHidden/>
          </w:rPr>
          <w:t>25</w:t>
        </w:r>
        <w:r w:rsidR="005E14C1">
          <w:rPr>
            <w:noProof/>
            <w:webHidden/>
          </w:rPr>
          <w:fldChar w:fldCharType="end"/>
        </w:r>
      </w:hyperlink>
    </w:p>
    <w:p w14:paraId="05E6785E" w14:textId="61B9F68F" w:rsidR="005E14C1" w:rsidRDefault="00A96775">
      <w:pPr>
        <w:pStyle w:val="TOC1"/>
        <w:rPr>
          <w:rFonts w:asciiTheme="minorHAnsi" w:eastAsiaTheme="minorEastAsia" w:hAnsiTheme="minorHAnsi"/>
          <w:noProof/>
          <w:szCs w:val="22"/>
          <w:lang w:eastAsia="en-AU"/>
        </w:rPr>
      </w:pPr>
      <w:hyperlink w:anchor="_Toc99437516" w:history="1">
        <w:r w:rsidR="005E14C1" w:rsidRPr="001B61D5">
          <w:rPr>
            <w:rStyle w:val="Hyperlink"/>
            <w:noProof/>
          </w:rPr>
          <w:t>3</w:t>
        </w:r>
        <w:r w:rsidR="005E14C1">
          <w:rPr>
            <w:rFonts w:asciiTheme="minorHAnsi" w:eastAsiaTheme="minorEastAsia" w:hAnsiTheme="minorHAnsi"/>
            <w:noProof/>
            <w:szCs w:val="22"/>
            <w:lang w:eastAsia="en-AU"/>
          </w:rPr>
          <w:tab/>
        </w:r>
        <w:r w:rsidR="005E14C1" w:rsidRPr="001B61D5">
          <w:rPr>
            <w:rStyle w:val="Hyperlink"/>
            <w:noProof/>
          </w:rPr>
          <w:t>Current demand for the NACAP</w:t>
        </w:r>
        <w:r w:rsidR="005E14C1">
          <w:rPr>
            <w:noProof/>
            <w:webHidden/>
          </w:rPr>
          <w:tab/>
        </w:r>
        <w:r w:rsidR="005E14C1">
          <w:rPr>
            <w:noProof/>
            <w:webHidden/>
          </w:rPr>
          <w:fldChar w:fldCharType="begin"/>
        </w:r>
        <w:r w:rsidR="005E14C1">
          <w:rPr>
            <w:noProof/>
            <w:webHidden/>
          </w:rPr>
          <w:instrText xml:space="preserve"> PAGEREF _Toc99437516 \h </w:instrText>
        </w:r>
        <w:r w:rsidR="005E14C1">
          <w:rPr>
            <w:noProof/>
            <w:webHidden/>
          </w:rPr>
        </w:r>
        <w:r w:rsidR="005E14C1">
          <w:rPr>
            <w:noProof/>
            <w:webHidden/>
          </w:rPr>
          <w:fldChar w:fldCharType="separate"/>
        </w:r>
        <w:r w:rsidR="00DC6A20">
          <w:rPr>
            <w:noProof/>
            <w:webHidden/>
          </w:rPr>
          <w:t>26</w:t>
        </w:r>
        <w:r w:rsidR="005E14C1">
          <w:rPr>
            <w:noProof/>
            <w:webHidden/>
          </w:rPr>
          <w:fldChar w:fldCharType="end"/>
        </w:r>
      </w:hyperlink>
    </w:p>
    <w:p w14:paraId="75A4545C" w14:textId="1D198470" w:rsidR="005E14C1" w:rsidRDefault="00A96775">
      <w:pPr>
        <w:pStyle w:val="TOC2"/>
        <w:tabs>
          <w:tab w:val="left" w:pos="1134"/>
        </w:tabs>
        <w:rPr>
          <w:rFonts w:asciiTheme="minorHAnsi" w:eastAsiaTheme="minorEastAsia" w:hAnsiTheme="minorHAnsi"/>
          <w:noProof/>
          <w:szCs w:val="22"/>
          <w:lang w:eastAsia="en-AU"/>
        </w:rPr>
      </w:pPr>
      <w:hyperlink w:anchor="_Toc99437517" w:history="1">
        <w:r w:rsidR="005E14C1" w:rsidRPr="001B61D5">
          <w:rPr>
            <w:rStyle w:val="Hyperlink"/>
            <w:noProof/>
          </w:rPr>
          <w:t>3.1</w:t>
        </w:r>
        <w:r w:rsidR="005E14C1">
          <w:rPr>
            <w:rFonts w:asciiTheme="minorHAnsi" w:eastAsiaTheme="minorEastAsia" w:hAnsiTheme="minorHAnsi"/>
            <w:noProof/>
            <w:szCs w:val="22"/>
            <w:lang w:eastAsia="en-AU"/>
          </w:rPr>
          <w:tab/>
        </w:r>
        <w:r w:rsidR="005E14C1" w:rsidRPr="001B61D5">
          <w:rPr>
            <w:rStyle w:val="Hyperlink"/>
            <w:noProof/>
          </w:rPr>
          <w:t>Current met demand</w:t>
        </w:r>
        <w:r w:rsidR="005E14C1">
          <w:rPr>
            <w:noProof/>
            <w:webHidden/>
          </w:rPr>
          <w:tab/>
        </w:r>
        <w:r w:rsidR="005E14C1">
          <w:rPr>
            <w:noProof/>
            <w:webHidden/>
          </w:rPr>
          <w:fldChar w:fldCharType="begin"/>
        </w:r>
        <w:r w:rsidR="005E14C1">
          <w:rPr>
            <w:noProof/>
            <w:webHidden/>
          </w:rPr>
          <w:instrText xml:space="preserve"> PAGEREF _Toc99437517 \h </w:instrText>
        </w:r>
        <w:r w:rsidR="005E14C1">
          <w:rPr>
            <w:noProof/>
            <w:webHidden/>
          </w:rPr>
        </w:r>
        <w:r w:rsidR="005E14C1">
          <w:rPr>
            <w:noProof/>
            <w:webHidden/>
          </w:rPr>
          <w:fldChar w:fldCharType="separate"/>
        </w:r>
        <w:r w:rsidR="00DC6A20">
          <w:rPr>
            <w:noProof/>
            <w:webHidden/>
          </w:rPr>
          <w:t>26</w:t>
        </w:r>
        <w:r w:rsidR="005E14C1">
          <w:rPr>
            <w:noProof/>
            <w:webHidden/>
          </w:rPr>
          <w:fldChar w:fldCharType="end"/>
        </w:r>
      </w:hyperlink>
    </w:p>
    <w:p w14:paraId="3C453FB0" w14:textId="00910E3A" w:rsidR="005E14C1" w:rsidRDefault="00A96775">
      <w:pPr>
        <w:pStyle w:val="TOC3"/>
        <w:tabs>
          <w:tab w:val="left" w:pos="1261"/>
        </w:tabs>
        <w:rPr>
          <w:rFonts w:asciiTheme="minorHAnsi" w:eastAsiaTheme="minorEastAsia" w:hAnsiTheme="minorHAnsi"/>
          <w:noProof/>
          <w:szCs w:val="22"/>
          <w:lang w:eastAsia="en-AU"/>
        </w:rPr>
      </w:pPr>
      <w:hyperlink w:anchor="_Toc99437518" w:history="1">
        <w:r w:rsidR="005E14C1" w:rsidRPr="001B61D5">
          <w:rPr>
            <w:rStyle w:val="Hyperlink"/>
            <w:noProof/>
          </w:rPr>
          <w:t>3.1.1</w:t>
        </w:r>
        <w:r w:rsidR="005E14C1">
          <w:rPr>
            <w:rFonts w:asciiTheme="minorHAnsi" w:eastAsiaTheme="minorEastAsia" w:hAnsiTheme="minorHAnsi"/>
            <w:noProof/>
            <w:szCs w:val="22"/>
            <w:lang w:eastAsia="en-AU"/>
          </w:rPr>
          <w:tab/>
        </w:r>
        <w:r w:rsidR="005E14C1" w:rsidRPr="001B61D5">
          <w:rPr>
            <w:rStyle w:val="Hyperlink"/>
            <w:noProof/>
          </w:rPr>
          <w:t>Overall usage of NACAP services in 2020/21</w:t>
        </w:r>
        <w:r w:rsidR="005E14C1">
          <w:rPr>
            <w:noProof/>
            <w:webHidden/>
          </w:rPr>
          <w:tab/>
        </w:r>
        <w:r w:rsidR="005E14C1">
          <w:rPr>
            <w:noProof/>
            <w:webHidden/>
          </w:rPr>
          <w:fldChar w:fldCharType="begin"/>
        </w:r>
        <w:r w:rsidR="005E14C1">
          <w:rPr>
            <w:noProof/>
            <w:webHidden/>
          </w:rPr>
          <w:instrText xml:space="preserve"> PAGEREF _Toc99437518 \h </w:instrText>
        </w:r>
        <w:r w:rsidR="005E14C1">
          <w:rPr>
            <w:noProof/>
            <w:webHidden/>
          </w:rPr>
        </w:r>
        <w:r w:rsidR="005E14C1">
          <w:rPr>
            <w:noProof/>
            <w:webHidden/>
          </w:rPr>
          <w:fldChar w:fldCharType="separate"/>
        </w:r>
        <w:r w:rsidR="00DC6A20">
          <w:rPr>
            <w:noProof/>
            <w:webHidden/>
          </w:rPr>
          <w:t>26</w:t>
        </w:r>
        <w:r w:rsidR="005E14C1">
          <w:rPr>
            <w:noProof/>
            <w:webHidden/>
          </w:rPr>
          <w:fldChar w:fldCharType="end"/>
        </w:r>
      </w:hyperlink>
    </w:p>
    <w:p w14:paraId="47A91CED" w14:textId="1A551A66" w:rsidR="005E14C1" w:rsidRDefault="00A96775">
      <w:pPr>
        <w:pStyle w:val="TOC3"/>
        <w:tabs>
          <w:tab w:val="left" w:pos="1261"/>
        </w:tabs>
        <w:rPr>
          <w:rFonts w:asciiTheme="minorHAnsi" w:eastAsiaTheme="minorEastAsia" w:hAnsiTheme="minorHAnsi"/>
          <w:noProof/>
          <w:szCs w:val="22"/>
          <w:lang w:eastAsia="en-AU"/>
        </w:rPr>
      </w:pPr>
      <w:hyperlink w:anchor="_Toc99437519" w:history="1">
        <w:r w:rsidR="005E14C1" w:rsidRPr="001B61D5">
          <w:rPr>
            <w:rStyle w:val="Hyperlink"/>
            <w:noProof/>
          </w:rPr>
          <w:t>3.1.2</w:t>
        </w:r>
        <w:r w:rsidR="005E14C1">
          <w:rPr>
            <w:rFonts w:asciiTheme="minorHAnsi" w:eastAsiaTheme="minorEastAsia" w:hAnsiTheme="minorHAnsi"/>
            <w:noProof/>
            <w:szCs w:val="22"/>
            <w:lang w:eastAsia="en-AU"/>
          </w:rPr>
          <w:tab/>
        </w:r>
        <w:r w:rsidR="005E14C1" w:rsidRPr="001B61D5">
          <w:rPr>
            <w:rStyle w:val="Hyperlink"/>
            <w:noProof/>
          </w:rPr>
          <w:t>Issues requiring advocacy</w:t>
        </w:r>
        <w:r w:rsidR="005E14C1">
          <w:rPr>
            <w:noProof/>
            <w:webHidden/>
          </w:rPr>
          <w:tab/>
        </w:r>
        <w:r w:rsidR="005E14C1">
          <w:rPr>
            <w:noProof/>
            <w:webHidden/>
          </w:rPr>
          <w:fldChar w:fldCharType="begin"/>
        </w:r>
        <w:r w:rsidR="005E14C1">
          <w:rPr>
            <w:noProof/>
            <w:webHidden/>
          </w:rPr>
          <w:instrText xml:space="preserve"> PAGEREF _Toc99437519 \h </w:instrText>
        </w:r>
        <w:r w:rsidR="005E14C1">
          <w:rPr>
            <w:noProof/>
            <w:webHidden/>
          </w:rPr>
        </w:r>
        <w:r w:rsidR="005E14C1">
          <w:rPr>
            <w:noProof/>
            <w:webHidden/>
          </w:rPr>
          <w:fldChar w:fldCharType="separate"/>
        </w:r>
        <w:r w:rsidR="00DC6A20">
          <w:rPr>
            <w:noProof/>
            <w:webHidden/>
          </w:rPr>
          <w:t>30</w:t>
        </w:r>
        <w:r w:rsidR="005E14C1">
          <w:rPr>
            <w:noProof/>
            <w:webHidden/>
          </w:rPr>
          <w:fldChar w:fldCharType="end"/>
        </w:r>
      </w:hyperlink>
    </w:p>
    <w:p w14:paraId="3DC78FB5" w14:textId="01D9D30A" w:rsidR="005E14C1" w:rsidRDefault="00A96775">
      <w:pPr>
        <w:pStyle w:val="TOC3"/>
        <w:tabs>
          <w:tab w:val="left" w:pos="1261"/>
        </w:tabs>
        <w:rPr>
          <w:rFonts w:asciiTheme="minorHAnsi" w:eastAsiaTheme="minorEastAsia" w:hAnsiTheme="minorHAnsi"/>
          <w:noProof/>
          <w:szCs w:val="22"/>
          <w:lang w:eastAsia="en-AU"/>
        </w:rPr>
      </w:pPr>
      <w:hyperlink w:anchor="_Toc99437520" w:history="1">
        <w:r w:rsidR="005E14C1" w:rsidRPr="001B61D5">
          <w:rPr>
            <w:rStyle w:val="Hyperlink"/>
            <w:noProof/>
          </w:rPr>
          <w:t>3.1.3</w:t>
        </w:r>
        <w:r w:rsidR="005E14C1">
          <w:rPr>
            <w:rFonts w:asciiTheme="minorHAnsi" w:eastAsiaTheme="minorEastAsia" w:hAnsiTheme="minorHAnsi"/>
            <w:noProof/>
            <w:szCs w:val="22"/>
            <w:lang w:eastAsia="en-AU"/>
          </w:rPr>
          <w:tab/>
        </w:r>
        <w:r w:rsidR="005E14C1" w:rsidRPr="001B61D5">
          <w:rPr>
            <w:rStyle w:val="Hyperlink"/>
            <w:noProof/>
          </w:rPr>
          <w:t>Current usage of NACAP services among vulnerable groups</w:t>
        </w:r>
        <w:r w:rsidR="005E14C1">
          <w:rPr>
            <w:noProof/>
            <w:webHidden/>
          </w:rPr>
          <w:tab/>
        </w:r>
        <w:r w:rsidR="005E14C1">
          <w:rPr>
            <w:noProof/>
            <w:webHidden/>
          </w:rPr>
          <w:fldChar w:fldCharType="begin"/>
        </w:r>
        <w:r w:rsidR="005E14C1">
          <w:rPr>
            <w:noProof/>
            <w:webHidden/>
          </w:rPr>
          <w:instrText xml:space="preserve"> PAGEREF _Toc99437520 \h </w:instrText>
        </w:r>
        <w:r w:rsidR="005E14C1">
          <w:rPr>
            <w:noProof/>
            <w:webHidden/>
          </w:rPr>
        </w:r>
        <w:r w:rsidR="005E14C1">
          <w:rPr>
            <w:noProof/>
            <w:webHidden/>
          </w:rPr>
          <w:fldChar w:fldCharType="separate"/>
        </w:r>
        <w:r w:rsidR="00DC6A20">
          <w:rPr>
            <w:noProof/>
            <w:webHidden/>
          </w:rPr>
          <w:t>31</w:t>
        </w:r>
        <w:r w:rsidR="005E14C1">
          <w:rPr>
            <w:noProof/>
            <w:webHidden/>
          </w:rPr>
          <w:fldChar w:fldCharType="end"/>
        </w:r>
      </w:hyperlink>
    </w:p>
    <w:p w14:paraId="2BE0E3E7" w14:textId="3E1784A5" w:rsidR="005E14C1" w:rsidRDefault="00A96775">
      <w:pPr>
        <w:pStyle w:val="TOC2"/>
        <w:tabs>
          <w:tab w:val="left" w:pos="1134"/>
        </w:tabs>
        <w:rPr>
          <w:rFonts w:asciiTheme="minorHAnsi" w:eastAsiaTheme="minorEastAsia" w:hAnsiTheme="minorHAnsi"/>
          <w:noProof/>
          <w:szCs w:val="22"/>
          <w:lang w:eastAsia="en-AU"/>
        </w:rPr>
      </w:pPr>
      <w:hyperlink w:anchor="_Toc99437521" w:history="1">
        <w:r w:rsidR="005E14C1" w:rsidRPr="001B61D5">
          <w:rPr>
            <w:rStyle w:val="Hyperlink"/>
            <w:noProof/>
          </w:rPr>
          <w:t>3.2</w:t>
        </w:r>
        <w:r w:rsidR="005E14C1">
          <w:rPr>
            <w:rFonts w:asciiTheme="minorHAnsi" w:eastAsiaTheme="minorEastAsia" w:hAnsiTheme="minorHAnsi"/>
            <w:noProof/>
            <w:szCs w:val="22"/>
            <w:lang w:eastAsia="en-AU"/>
          </w:rPr>
          <w:tab/>
        </w:r>
        <w:r w:rsidR="005E14C1" w:rsidRPr="001B61D5">
          <w:rPr>
            <w:rStyle w:val="Hyperlink"/>
            <w:noProof/>
          </w:rPr>
          <w:t>Current unmet demand</w:t>
        </w:r>
        <w:r w:rsidR="005E14C1">
          <w:rPr>
            <w:noProof/>
            <w:webHidden/>
          </w:rPr>
          <w:tab/>
        </w:r>
        <w:r w:rsidR="005E14C1">
          <w:rPr>
            <w:noProof/>
            <w:webHidden/>
          </w:rPr>
          <w:fldChar w:fldCharType="begin"/>
        </w:r>
        <w:r w:rsidR="005E14C1">
          <w:rPr>
            <w:noProof/>
            <w:webHidden/>
          </w:rPr>
          <w:instrText xml:space="preserve"> PAGEREF _Toc99437521 \h </w:instrText>
        </w:r>
        <w:r w:rsidR="005E14C1">
          <w:rPr>
            <w:noProof/>
            <w:webHidden/>
          </w:rPr>
        </w:r>
        <w:r w:rsidR="005E14C1">
          <w:rPr>
            <w:noProof/>
            <w:webHidden/>
          </w:rPr>
          <w:fldChar w:fldCharType="separate"/>
        </w:r>
        <w:r w:rsidR="00DC6A20">
          <w:rPr>
            <w:noProof/>
            <w:webHidden/>
          </w:rPr>
          <w:t>34</w:t>
        </w:r>
        <w:r w:rsidR="005E14C1">
          <w:rPr>
            <w:noProof/>
            <w:webHidden/>
          </w:rPr>
          <w:fldChar w:fldCharType="end"/>
        </w:r>
      </w:hyperlink>
    </w:p>
    <w:p w14:paraId="6D93E3E4" w14:textId="2648816A" w:rsidR="005E14C1" w:rsidRDefault="00A96775">
      <w:pPr>
        <w:pStyle w:val="TOC1"/>
        <w:rPr>
          <w:rFonts w:asciiTheme="minorHAnsi" w:eastAsiaTheme="minorEastAsia" w:hAnsiTheme="minorHAnsi"/>
          <w:noProof/>
          <w:szCs w:val="22"/>
          <w:lang w:eastAsia="en-AU"/>
        </w:rPr>
      </w:pPr>
      <w:hyperlink w:anchor="_Toc99437522" w:history="1">
        <w:r w:rsidR="005E14C1" w:rsidRPr="001B61D5">
          <w:rPr>
            <w:rStyle w:val="Hyperlink"/>
            <w:noProof/>
          </w:rPr>
          <w:t>4</w:t>
        </w:r>
        <w:r w:rsidR="005E14C1">
          <w:rPr>
            <w:rFonts w:asciiTheme="minorHAnsi" w:eastAsiaTheme="minorEastAsia" w:hAnsiTheme="minorHAnsi"/>
            <w:noProof/>
            <w:szCs w:val="22"/>
            <w:lang w:eastAsia="en-AU"/>
          </w:rPr>
          <w:tab/>
        </w:r>
        <w:r w:rsidR="005E14C1" w:rsidRPr="001B61D5">
          <w:rPr>
            <w:rStyle w:val="Hyperlink"/>
            <w:noProof/>
          </w:rPr>
          <w:t>Future demand</w:t>
        </w:r>
        <w:r w:rsidR="005E14C1">
          <w:rPr>
            <w:noProof/>
            <w:webHidden/>
          </w:rPr>
          <w:tab/>
        </w:r>
        <w:r w:rsidR="005E14C1">
          <w:rPr>
            <w:noProof/>
            <w:webHidden/>
          </w:rPr>
          <w:fldChar w:fldCharType="begin"/>
        </w:r>
        <w:r w:rsidR="005E14C1">
          <w:rPr>
            <w:noProof/>
            <w:webHidden/>
          </w:rPr>
          <w:instrText xml:space="preserve"> PAGEREF _Toc99437522 \h </w:instrText>
        </w:r>
        <w:r w:rsidR="005E14C1">
          <w:rPr>
            <w:noProof/>
            <w:webHidden/>
          </w:rPr>
        </w:r>
        <w:r w:rsidR="005E14C1">
          <w:rPr>
            <w:noProof/>
            <w:webHidden/>
          </w:rPr>
          <w:fldChar w:fldCharType="separate"/>
        </w:r>
        <w:r w:rsidR="00DC6A20">
          <w:rPr>
            <w:noProof/>
            <w:webHidden/>
          </w:rPr>
          <w:t>36</w:t>
        </w:r>
        <w:r w:rsidR="005E14C1">
          <w:rPr>
            <w:noProof/>
            <w:webHidden/>
          </w:rPr>
          <w:fldChar w:fldCharType="end"/>
        </w:r>
      </w:hyperlink>
    </w:p>
    <w:p w14:paraId="5D9A8CE6" w14:textId="0A6C61BC" w:rsidR="005E14C1" w:rsidRDefault="00A96775">
      <w:pPr>
        <w:pStyle w:val="TOC2"/>
        <w:tabs>
          <w:tab w:val="left" w:pos="1134"/>
        </w:tabs>
        <w:rPr>
          <w:rFonts w:asciiTheme="minorHAnsi" w:eastAsiaTheme="minorEastAsia" w:hAnsiTheme="minorHAnsi"/>
          <w:noProof/>
          <w:szCs w:val="22"/>
          <w:lang w:eastAsia="en-AU"/>
        </w:rPr>
      </w:pPr>
      <w:hyperlink w:anchor="_Toc99437523" w:history="1">
        <w:r w:rsidR="005E14C1" w:rsidRPr="001B61D5">
          <w:rPr>
            <w:rStyle w:val="Hyperlink"/>
            <w:noProof/>
            <w:lang w:eastAsia="en-AU"/>
          </w:rPr>
          <w:t>4.1</w:t>
        </w:r>
        <w:r w:rsidR="005E14C1">
          <w:rPr>
            <w:rFonts w:asciiTheme="minorHAnsi" w:eastAsiaTheme="minorEastAsia" w:hAnsiTheme="minorHAnsi"/>
            <w:noProof/>
            <w:szCs w:val="22"/>
            <w:lang w:eastAsia="en-AU"/>
          </w:rPr>
          <w:tab/>
        </w:r>
        <w:r w:rsidR="005E14C1" w:rsidRPr="001B61D5">
          <w:rPr>
            <w:rStyle w:val="Hyperlink"/>
            <w:noProof/>
            <w:lang w:eastAsia="en-AU"/>
          </w:rPr>
          <w:t>Trends influencing total demand</w:t>
        </w:r>
        <w:r w:rsidR="005E14C1">
          <w:rPr>
            <w:noProof/>
            <w:webHidden/>
          </w:rPr>
          <w:tab/>
        </w:r>
        <w:r w:rsidR="005E14C1">
          <w:rPr>
            <w:noProof/>
            <w:webHidden/>
          </w:rPr>
          <w:fldChar w:fldCharType="begin"/>
        </w:r>
        <w:r w:rsidR="005E14C1">
          <w:rPr>
            <w:noProof/>
            <w:webHidden/>
          </w:rPr>
          <w:instrText xml:space="preserve"> PAGEREF _Toc99437523 \h </w:instrText>
        </w:r>
        <w:r w:rsidR="005E14C1">
          <w:rPr>
            <w:noProof/>
            <w:webHidden/>
          </w:rPr>
        </w:r>
        <w:r w:rsidR="005E14C1">
          <w:rPr>
            <w:noProof/>
            <w:webHidden/>
          </w:rPr>
          <w:fldChar w:fldCharType="separate"/>
        </w:r>
        <w:r w:rsidR="00DC6A20">
          <w:rPr>
            <w:noProof/>
            <w:webHidden/>
          </w:rPr>
          <w:t>36</w:t>
        </w:r>
        <w:r w:rsidR="005E14C1">
          <w:rPr>
            <w:noProof/>
            <w:webHidden/>
          </w:rPr>
          <w:fldChar w:fldCharType="end"/>
        </w:r>
      </w:hyperlink>
    </w:p>
    <w:p w14:paraId="0D1C4320" w14:textId="1EACC8C1" w:rsidR="005E14C1" w:rsidRDefault="00A96775">
      <w:pPr>
        <w:pStyle w:val="TOC3"/>
        <w:tabs>
          <w:tab w:val="left" w:pos="1261"/>
        </w:tabs>
        <w:rPr>
          <w:rFonts w:asciiTheme="minorHAnsi" w:eastAsiaTheme="minorEastAsia" w:hAnsiTheme="minorHAnsi"/>
          <w:noProof/>
          <w:szCs w:val="22"/>
          <w:lang w:eastAsia="en-AU"/>
        </w:rPr>
      </w:pPr>
      <w:hyperlink w:anchor="_Toc99437524" w:history="1">
        <w:r w:rsidR="005E14C1" w:rsidRPr="001B61D5">
          <w:rPr>
            <w:rStyle w:val="Hyperlink"/>
            <w:noProof/>
          </w:rPr>
          <w:t>4.1.1</w:t>
        </w:r>
        <w:r w:rsidR="005E14C1">
          <w:rPr>
            <w:rFonts w:asciiTheme="minorHAnsi" w:eastAsiaTheme="minorEastAsia" w:hAnsiTheme="minorHAnsi"/>
            <w:noProof/>
            <w:szCs w:val="22"/>
            <w:lang w:eastAsia="en-AU"/>
          </w:rPr>
          <w:tab/>
        </w:r>
        <w:r w:rsidR="005E14C1" w:rsidRPr="001B61D5">
          <w:rPr>
            <w:rStyle w:val="Hyperlink"/>
            <w:noProof/>
          </w:rPr>
          <w:t>Demographic trends including life expectancy</w:t>
        </w:r>
        <w:r w:rsidR="005E14C1">
          <w:rPr>
            <w:noProof/>
            <w:webHidden/>
          </w:rPr>
          <w:tab/>
        </w:r>
        <w:r w:rsidR="005E14C1">
          <w:rPr>
            <w:noProof/>
            <w:webHidden/>
          </w:rPr>
          <w:fldChar w:fldCharType="begin"/>
        </w:r>
        <w:r w:rsidR="005E14C1">
          <w:rPr>
            <w:noProof/>
            <w:webHidden/>
          </w:rPr>
          <w:instrText xml:space="preserve"> PAGEREF _Toc99437524 \h </w:instrText>
        </w:r>
        <w:r w:rsidR="005E14C1">
          <w:rPr>
            <w:noProof/>
            <w:webHidden/>
          </w:rPr>
        </w:r>
        <w:r w:rsidR="005E14C1">
          <w:rPr>
            <w:noProof/>
            <w:webHidden/>
          </w:rPr>
          <w:fldChar w:fldCharType="separate"/>
        </w:r>
        <w:r w:rsidR="00DC6A20">
          <w:rPr>
            <w:noProof/>
            <w:webHidden/>
          </w:rPr>
          <w:t>36</w:t>
        </w:r>
        <w:r w:rsidR="005E14C1">
          <w:rPr>
            <w:noProof/>
            <w:webHidden/>
          </w:rPr>
          <w:fldChar w:fldCharType="end"/>
        </w:r>
      </w:hyperlink>
    </w:p>
    <w:p w14:paraId="1047E7DD" w14:textId="08380EF9" w:rsidR="005E14C1" w:rsidRDefault="00A96775">
      <w:pPr>
        <w:pStyle w:val="TOC3"/>
        <w:tabs>
          <w:tab w:val="left" w:pos="1261"/>
        </w:tabs>
        <w:rPr>
          <w:rFonts w:asciiTheme="minorHAnsi" w:eastAsiaTheme="minorEastAsia" w:hAnsiTheme="minorHAnsi"/>
          <w:noProof/>
          <w:szCs w:val="22"/>
          <w:lang w:eastAsia="en-AU"/>
        </w:rPr>
      </w:pPr>
      <w:hyperlink w:anchor="_Toc99437525" w:history="1">
        <w:r w:rsidR="005E14C1" w:rsidRPr="001B61D5">
          <w:rPr>
            <w:rStyle w:val="Hyperlink"/>
            <w:noProof/>
          </w:rPr>
          <w:t>4.1.2</w:t>
        </w:r>
        <w:r w:rsidR="005E14C1">
          <w:rPr>
            <w:rFonts w:asciiTheme="minorHAnsi" w:eastAsiaTheme="minorEastAsia" w:hAnsiTheme="minorHAnsi"/>
            <w:noProof/>
            <w:szCs w:val="22"/>
            <w:lang w:eastAsia="en-AU"/>
          </w:rPr>
          <w:tab/>
        </w:r>
        <w:r w:rsidR="005E14C1" w:rsidRPr="001B61D5">
          <w:rPr>
            <w:rStyle w:val="Hyperlink"/>
            <w:noProof/>
          </w:rPr>
          <w:t>Increasing dementia</w:t>
        </w:r>
        <w:r w:rsidR="005E14C1">
          <w:rPr>
            <w:noProof/>
            <w:webHidden/>
          </w:rPr>
          <w:tab/>
        </w:r>
        <w:r w:rsidR="005E14C1">
          <w:rPr>
            <w:noProof/>
            <w:webHidden/>
          </w:rPr>
          <w:fldChar w:fldCharType="begin"/>
        </w:r>
        <w:r w:rsidR="005E14C1">
          <w:rPr>
            <w:noProof/>
            <w:webHidden/>
          </w:rPr>
          <w:instrText xml:space="preserve"> PAGEREF _Toc99437525 \h </w:instrText>
        </w:r>
        <w:r w:rsidR="005E14C1">
          <w:rPr>
            <w:noProof/>
            <w:webHidden/>
          </w:rPr>
        </w:r>
        <w:r w:rsidR="005E14C1">
          <w:rPr>
            <w:noProof/>
            <w:webHidden/>
          </w:rPr>
          <w:fldChar w:fldCharType="separate"/>
        </w:r>
        <w:r w:rsidR="00DC6A20">
          <w:rPr>
            <w:noProof/>
            <w:webHidden/>
          </w:rPr>
          <w:t>36</w:t>
        </w:r>
        <w:r w:rsidR="005E14C1">
          <w:rPr>
            <w:noProof/>
            <w:webHidden/>
          </w:rPr>
          <w:fldChar w:fldCharType="end"/>
        </w:r>
      </w:hyperlink>
    </w:p>
    <w:p w14:paraId="3196B678" w14:textId="32F8628C" w:rsidR="005E14C1" w:rsidRDefault="00A96775">
      <w:pPr>
        <w:pStyle w:val="TOC3"/>
        <w:tabs>
          <w:tab w:val="left" w:pos="1261"/>
        </w:tabs>
        <w:rPr>
          <w:rFonts w:asciiTheme="minorHAnsi" w:eastAsiaTheme="minorEastAsia" w:hAnsiTheme="minorHAnsi"/>
          <w:noProof/>
          <w:szCs w:val="22"/>
          <w:lang w:eastAsia="en-AU"/>
        </w:rPr>
      </w:pPr>
      <w:hyperlink w:anchor="_Toc99437526" w:history="1">
        <w:r w:rsidR="005E14C1" w:rsidRPr="001B61D5">
          <w:rPr>
            <w:rStyle w:val="Hyperlink"/>
            <w:noProof/>
          </w:rPr>
          <w:t>4.1.3</w:t>
        </w:r>
        <w:r w:rsidR="005E14C1">
          <w:rPr>
            <w:rFonts w:asciiTheme="minorHAnsi" w:eastAsiaTheme="minorEastAsia" w:hAnsiTheme="minorHAnsi"/>
            <w:noProof/>
            <w:szCs w:val="22"/>
            <w:lang w:eastAsia="en-AU"/>
          </w:rPr>
          <w:tab/>
        </w:r>
        <w:r w:rsidR="005E14C1" w:rsidRPr="001B61D5">
          <w:rPr>
            <w:rStyle w:val="Hyperlink"/>
            <w:noProof/>
          </w:rPr>
          <w:t>Increase in aged care service utilisation</w:t>
        </w:r>
        <w:r w:rsidR="005E14C1">
          <w:rPr>
            <w:noProof/>
            <w:webHidden/>
          </w:rPr>
          <w:tab/>
        </w:r>
        <w:r w:rsidR="005E14C1">
          <w:rPr>
            <w:noProof/>
            <w:webHidden/>
          </w:rPr>
          <w:fldChar w:fldCharType="begin"/>
        </w:r>
        <w:r w:rsidR="005E14C1">
          <w:rPr>
            <w:noProof/>
            <w:webHidden/>
          </w:rPr>
          <w:instrText xml:space="preserve"> PAGEREF _Toc99437526 \h </w:instrText>
        </w:r>
        <w:r w:rsidR="005E14C1">
          <w:rPr>
            <w:noProof/>
            <w:webHidden/>
          </w:rPr>
        </w:r>
        <w:r w:rsidR="005E14C1">
          <w:rPr>
            <w:noProof/>
            <w:webHidden/>
          </w:rPr>
          <w:fldChar w:fldCharType="separate"/>
        </w:r>
        <w:r w:rsidR="00DC6A20">
          <w:rPr>
            <w:noProof/>
            <w:webHidden/>
          </w:rPr>
          <w:t>36</w:t>
        </w:r>
        <w:r w:rsidR="005E14C1">
          <w:rPr>
            <w:noProof/>
            <w:webHidden/>
          </w:rPr>
          <w:fldChar w:fldCharType="end"/>
        </w:r>
      </w:hyperlink>
    </w:p>
    <w:p w14:paraId="7DE2E15F" w14:textId="7CE7361D" w:rsidR="005E14C1" w:rsidRDefault="00A96775">
      <w:pPr>
        <w:pStyle w:val="TOC3"/>
        <w:tabs>
          <w:tab w:val="left" w:pos="1261"/>
        </w:tabs>
        <w:rPr>
          <w:rFonts w:asciiTheme="minorHAnsi" w:eastAsiaTheme="minorEastAsia" w:hAnsiTheme="minorHAnsi"/>
          <w:noProof/>
          <w:szCs w:val="22"/>
          <w:lang w:eastAsia="en-AU"/>
        </w:rPr>
      </w:pPr>
      <w:hyperlink w:anchor="_Toc99437527" w:history="1">
        <w:r w:rsidR="005E14C1" w:rsidRPr="001B61D5">
          <w:rPr>
            <w:rStyle w:val="Hyperlink"/>
            <w:noProof/>
          </w:rPr>
          <w:t>4.1.4</w:t>
        </w:r>
        <w:r w:rsidR="005E14C1">
          <w:rPr>
            <w:rFonts w:asciiTheme="minorHAnsi" w:eastAsiaTheme="minorEastAsia" w:hAnsiTheme="minorHAnsi"/>
            <w:noProof/>
            <w:szCs w:val="22"/>
            <w:lang w:eastAsia="en-AU"/>
          </w:rPr>
          <w:tab/>
        </w:r>
        <w:r w:rsidR="005E14C1" w:rsidRPr="001B61D5">
          <w:rPr>
            <w:rStyle w:val="Hyperlink"/>
            <w:noProof/>
          </w:rPr>
          <w:t>Growing complexity</w:t>
        </w:r>
        <w:r w:rsidR="005E14C1">
          <w:rPr>
            <w:noProof/>
            <w:webHidden/>
          </w:rPr>
          <w:tab/>
        </w:r>
        <w:r w:rsidR="005E14C1">
          <w:rPr>
            <w:noProof/>
            <w:webHidden/>
          </w:rPr>
          <w:fldChar w:fldCharType="begin"/>
        </w:r>
        <w:r w:rsidR="005E14C1">
          <w:rPr>
            <w:noProof/>
            <w:webHidden/>
          </w:rPr>
          <w:instrText xml:space="preserve"> PAGEREF _Toc99437527 \h </w:instrText>
        </w:r>
        <w:r w:rsidR="005E14C1">
          <w:rPr>
            <w:noProof/>
            <w:webHidden/>
          </w:rPr>
        </w:r>
        <w:r w:rsidR="005E14C1">
          <w:rPr>
            <w:noProof/>
            <w:webHidden/>
          </w:rPr>
          <w:fldChar w:fldCharType="separate"/>
        </w:r>
        <w:r w:rsidR="00DC6A20">
          <w:rPr>
            <w:noProof/>
            <w:webHidden/>
          </w:rPr>
          <w:t>36</w:t>
        </w:r>
        <w:r w:rsidR="005E14C1">
          <w:rPr>
            <w:noProof/>
            <w:webHidden/>
          </w:rPr>
          <w:fldChar w:fldCharType="end"/>
        </w:r>
      </w:hyperlink>
    </w:p>
    <w:p w14:paraId="03ECFA2B" w14:textId="109491EE" w:rsidR="005E14C1" w:rsidRDefault="00A96775">
      <w:pPr>
        <w:pStyle w:val="TOC3"/>
        <w:tabs>
          <w:tab w:val="left" w:pos="1261"/>
        </w:tabs>
        <w:rPr>
          <w:rFonts w:asciiTheme="minorHAnsi" w:eastAsiaTheme="minorEastAsia" w:hAnsiTheme="minorHAnsi"/>
          <w:noProof/>
          <w:szCs w:val="22"/>
          <w:lang w:eastAsia="en-AU"/>
        </w:rPr>
      </w:pPr>
      <w:hyperlink w:anchor="_Toc99437528" w:history="1">
        <w:r w:rsidR="005E14C1" w:rsidRPr="001B61D5">
          <w:rPr>
            <w:rStyle w:val="Hyperlink"/>
            <w:noProof/>
          </w:rPr>
          <w:t>4.1.5</w:t>
        </w:r>
        <w:r w:rsidR="005E14C1">
          <w:rPr>
            <w:rFonts w:asciiTheme="minorHAnsi" w:eastAsiaTheme="minorEastAsia" w:hAnsiTheme="minorHAnsi"/>
            <w:noProof/>
            <w:szCs w:val="22"/>
            <w:lang w:eastAsia="en-AU"/>
          </w:rPr>
          <w:tab/>
        </w:r>
        <w:r w:rsidR="005E14C1" w:rsidRPr="001B61D5">
          <w:rPr>
            <w:rStyle w:val="Hyperlink"/>
            <w:noProof/>
          </w:rPr>
          <w:t>Government policy and reform</w:t>
        </w:r>
        <w:r w:rsidR="005E14C1">
          <w:rPr>
            <w:noProof/>
            <w:webHidden/>
          </w:rPr>
          <w:tab/>
        </w:r>
        <w:r w:rsidR="005E14C1">
          <w:rPr>
            <w:noProof/>
            <w:webHidden/>
          </w:rPr>
          <w:fldChar w:fldCharType="begin"/>
        </w:r>
        <w:r w:rsidR="005E14C1">
          <w:rPr>
            <w:noProof/>
            <w:webHidden/>
          </w:rPr>
          <w:instrText xml:space="preserve"> PAGEREF _Toc99437528 \h </w:instrText>
        </w:r>
        <w:r w:rsidR="005E14C1">
          <w:rPr>
            <w:noProof/>
            <w:webHidden/>
          </w:rPr>
        </w:r>
        <w:r w:rsidR="005E14C1">
          <w:rPr>
            <w:noProof/>
            <w:webHidden/>
          </w:rPr>
          <w:fldChar w:fldCharType="separate"/>
        </w:r>
        <w:r w:rsidR="00DC6A20">
          <w:rPr>
            <w:noProof/>
            <w:webHidden/>
          </w:rPr>
          <w:t>37</w:t>
        </w:r>
        <w:r w:rsidR="005E14C1">
          <w:rPr>
            <w:noProof/>
            <w:webHidden/>
          </w:rPr>
          <w:fldChar w:fldCharType="end"/>
        </w:r>
      </w:hyperlink>
    </w:p>
    <w:p w14:paraId="3545F274" w14:textId="0C9C86DB" w:rsidR="005E14C1" w:rsidRDefault="00A96775">
      <w:pPr>
        <w:pStyle w:val="TOC3"/>
        <w:tabs>
          <w:tab w:val="left" w:pos="1261"/>
        </w:tabs>
        <w:rPr>
          <w:rFonts w:asciiTheme="minorHAnsi" w:eastAsiaTheme="minorEastAsia" w:hAnsiTheme="minorHAnsi"/>
          <w:noProof/>
          <w:szCs w:val="22"/>
          <w:lang w:eastAsia="en-AU"/>
        </w:rPr>
      </w:pPr>
      <w:hyperlink w:anchor="_Toc99437529" w:history="1">
        <w:r w:rsidR="005E14C1" w:rsidRPr="001B61D5">
          <w:rPr>
            <w:rStyle w:val="Hyperlink"/>
            <w:noProof/>
          </w:rPr>
          <w:t>4.1.6</w:t>
        </w:r>
        <w:r w:rsidR="005E14C1">
          <w:rPr>
            <w:rFonts w:asciiTheme="minorHAnsi" w:eastAsiaTheme="minorEastAsia" w:hAnsiTheme="minorHAnsi"/>
            <w:noProof/>
            <w:szCs w:val="22"/>
            <w:lang w:eastAsia="en-AU"/>
          </w:rPr>
          <w:tab/>
        </w:r>
        <w:r w:rsidR="005E14C1" w:rsidRPr="001B61D5">
          <w:rPr>
            <w:rStyle w:val="Hyperlink"/>
            <w:noProof/>
          </w:rPr>
          <w:t>Generational changes</w:t>
        </w:r>
        <w:r w:rsidR="005E14C1">
          <w:rPr>
            <w:noProof/>
            <w:webHidden/>
          </w:rPr>
          <w:tab/>
        </w:r>
        <w:r w:rsidR="005E14C1">
          <w:rPr>
            <w:noProof/>
            <w:webHidden/>
          </w:rPr>
          <w:fldChar w:fldCharType="begin"/>
        </w:r>
        <w:r w:rsidR="005E14C1">
          <w:rPr>
            <w:noProof/>
            <w:webHidden/>
          </w:rPr>
          <w:instrText xml:space="preserve"> PAGEREF _Toc99437529 \h </w:instrText>
        </w:r>
        <w:r w:rsidR="005E14C1">
          <w:rPr>
            <w:noProof/>
            <w:webHidden/>
          </w:rPr>
        </w:r>
        <w:r w:rsidR="005E14C1">
          <w:rPr>
            <w:noProof/>
            <w:webHidden/>
          </w:rPr>
          <w:fldChar w:fldCharType="separate"/>
        </w:r>
        <w:r w:rsidR="00DC6A20">
          <w:rPr>
            <w:noProof/>
            <w:webHidden/>
          </w:rPr>
          <w:t>37</w:t>
        </w:r>
        <w:r w:rsidR="005E14C1">
          <w:rPr>
            <w:noProof/>
            <w:webHidden/>
          </w:rPr>
          <w:fldChar w:fldCharType="end"/>
        </w:r>
      </w:hyperlink>
    </w:p>
    <w:p w14:paraId="577313C5" w14:textId="2A31A893" w:rsidR="005E14C1" w:rsidRDefault="00A96775">
      <w:pPr>
        <w:pStyle w:val="TOC2"/>
        <w:tabs>
          <w:tab w:val="left" w:pos="1134"/>
        </w:tabs>
        <w:rPr>
          <w:rFonts w:asciiTheme="minorHAnsi" w:eastAsiaTheme="minorEastAsia" w:hAnsiTheme="minorHAnsi"/>
          <w:noProof/>
          <w:szCs w:val="22"/>
          <w:lang w:eastAsia="en-AU"/>
        </w:rPr>
      </w:pPr>
      <w:hyperlink w:anchor="_Toc99437530" w:history="1">
        <w:r w:rsidR="005E14C1" w:rsidRPr="001B61D5">
          <w:rPr>
            <w:rStyle w:val="Hyperlink"/>
            <w:noProof/>
          </w:rPr>
          <w:t>4.2</w:t>
        </w:r>
        <w:r w:rsidR="005E14C1">
          <w:rPr>
            <w:rFonts w:asciiTheme="minorHAnsi" w:eastAsiaTheme="minorEastAsia" w:hAnsiTheme="minorHAnsi"/>
            <w:noProof/>
            <w:szCs w:val="22"/>
            <w:lang w:eastAsia="en-AU"/>
          </w:rPr>
          <w:tab/>
        </w:r>
        <w:r w:rsidR="005E14C1" w:rsidRPr="001B61D5">
          <w:rPr>
            <w:rStyle w:val="Hyperlink"/>
            <w:noProof/>
          </w:rPr>
          <w:t>Future total demand</w:t>
        </w:r>
        <w:r w:rsidR="005E14C1">
          <w:rPr>
            <w:noProof/>
            <w:webHidden/>
          </w:rPr>
          <w:tab/>
        </w:r>
        <w:r w:rsidR="005E14C1">
          <w:rPr>
            <w:noProof/>
            <w:webHidden/>
          </w:rPr>
          <w:fldChar w:fldCharType="begin"/>
        </w:r>
        <w:r w:rsidR="005E14C1">
          <w:rPr>
            <w:noProof/>
            <w:webHidden/>
          </w:rPr>
          <w:instrText xml:space="preserve"> PAGEREF _Toc99437530 \h </w:instrText>
        </w:r>
        <w:r w:rsidR="005E14C1">
          <w:rPr>
            <w:noProof/>
            <w:webHidden/>
          </w:rPr>
        </w:r>
        <w:r w:rsidR="005E14C1">
          <w:rPr>
            <w:noProof/>
            <w:webHidden/>
          </w:rPr>
          <w:fldChar w:fldCharType="separate"/>
        </w:r>
        <w:r w:rsidR="00DC6A20">
          <w:rPr>
            <w:noProof/>
            <w:webHidden/>
          </w:rPr>
          <w:t>37</w:t>
        </w:r>
        <w:r w:rsidR="005E14C1">
          <w:rPr>
            <w:noProof/>
            <w:webHidden/>
          </w:rPr>
          <w:fldChar w:fldCharType="end"/>
        </w:r>
      </w:hyperlink>
    </w:p>
    <w:p w14:paraId="74CA5F47" w14:textId="44F64F2A" w:rsidR="005E14C1" w:rsidRDefault="00A96775">
      <w:pPr>
        <w:pStyle w:val="TOC3"/>
        <w:tabs>
          <w:tab w:val="left" w:pos="1261"/>
        </w:tabs>
        <w:rPr>
          <w:rFonts w:asciiTheme="minorHAnsi" w:eastAsiaTheme="minorEastAsia" w:hAnsiTheme="minorHAnsi"/>
          <w:noProof/>
          <w:szCs w:val="22"/>
          <w:lang w:eastAsia="en-AU"/>
        </w:rPr>
      </w:pPr>
      <w:hyperlink w:anchor="_Toc99437531" w:history="1">
        <w:r w:rsidR="005E14C1" w:rsidRPr="001B61D5">
          <w:rPr>
            <w:rStyle w:val="Hyperlink"/>
            <w:noProof/>
          </w:rPr>
          <w:t>4.2.1</w:t>
        </w:r>
        <w:r w:rsidR="005E14C1">
          <w:rPr>
            <w:rFonts w:asciiTheme="minorHAnsi" w:eastAsiaTheme="minorEastAsia" w:hAnsiTheme="minorHAnsi"/>
            <w:noProof/>
            <w:szCs w:val="22"/>
            <w:lang w:eastAsia="en-AU"/>
          </w:rPr>
          <w:tab/>
        </w:r>
        <w:r w:rsidR="005E14C1" w:rsidRPr="001B61D5">
          <w:rPr>
            <w:rStyle w:val="Hyperlink"/>
            <w:noProof/>
          </w:rPr>
          <w:t>Future demand for information and advocacy cases</w:t>
        </w:r>
        <w:r w:rsidR="005E14C1">
          <w:rPr>
            <w:noProof/>
            <w:webHidden/>
          </w:rPr>
          <w:tab/>
        </w:r>
        <w:r w:rsidR="005E14C1">
          <w:rPr>
            <w:noProof/>
            <w:webHidden/>
          </w:rPr>
          <w:fldChar w:fldCharType="begin"/>
        </w:r>
        <w:r w:rsidR="005E14C1">
          <w:rPr>
            <w:noProof/>
            <w:webHidden/>
          </w:rPr>
          <w:instrText xml:space="preserve"> PAGEREF _Toc99437531 \h </w:instrText>
        </w:r>
        <w:r w:rsidR="005E14C1">
          <w:rPr>
            <w:noProof/>
            <w:webHidden/>
          </w:rPr>
        </w:r>
        <w:r w:rsidR="005E14C1">
          <w:rPr>
            <w:noProof/>
            <w:webHidden/>
          </w:rPr>
          <w:fldChar w:fldCharType="separate"/>
        </w:r>
        <w:r w:rsidR="00DC6A20">
          <w:rPr>
            <w:noProof/>
            <w:webHidden/>
          </w:rPr>
          <w:t>37</w:t>
        </w:r>
        <w:r w:rsidR="005E14C1">
          <w:rPr>
            <w:noProof/>
            <w:webHidden/>
          </w:rPr>
          <w:fldChar w:fldCharType="end"/>
        </w:r>
      </w:hyperlink>
    </w:p>
    <w:p w14:paraId="12B62A85" w14:textId="34DE63EA" w:rsidR="005E14C1" w:rsidRDefault="00A96775">
      <w:pPr>
        <w:pStyle w:val="TOC3"/>
        <w:tabs>
          <w:tab w:val="left" w:pos="1261"/>
        </w:tabs>
        <w:rPr>
          <w:rFonts w:asciiTheme="minorHAnsi" w:eastAsiaTheme="minorEastAsia" w:hAnsiTheme="minorHAnsi"/>
          <w:noProof/>
          <w:szCs w:val="22"/>
          <w:lang w:eastAsia="en-AU"/>
        </w:rPr>
      </w:pPr>
      <w:hyperlink w:anchor="_Toc99437532" w:history="1">
        <w:r w:rsidR="005E14C1" w:rsidRPr="001B61D5">
          <w:rPr>
            <w:rStyle w:val="Hyperlink"/>
            <w:noProof/>
          </w:rPr>
          <w:t>4.2.2</w:t>
        </w:r>
        <w:r w:rsidR="005E14C1">
          <w:rPr>
            <w:rFonts w:asciiTheme="minorHAnsi" w:eastAsiaTheme="minorEastAsia" w:hAnsiTheme="minorHAnsi"/>
            <w:noProof/>
            <w:szCs w:val="22"/>
            <w:lang w:eastAsia="en-AU"/>
          </w:rPr>
          <w:tab/>
        </w:r>
        <w:r w:rsidR="005E14C1" w:rsidRPr="001B61D5">
          <w:rPr>
            <w:rStyle w:val="Hyperlink"/>
            <w:noProof/>
          </w:rPr>
          <w:t>Future demand for education</w:t>
        </w:r>
        <w:r w:rsidR="005E14C1">
          <w:rPr>
            <w:noProof/>
            <w:webHidden/>
          </w:rPr>
          <w:tab/>
        </w:r>
        <w:r w:rsidR="005E14C1">
          <w:rPr>
            <w:noProof/>
            <w:webHidden/>
          </w:rPr>
          <w:fldChar w:fldCharType="begin"/>
        </w:r>
        <w:r w:rsidR="005E14C1">
          <w:rPr>
            <w:noProof/>
            <w:webHidden/>
          </w:rPr>
          <w:instrText xml:space="preserve"> PAGEREF _Toc99437532 \h </w:instrText>
        </w:r>
        <w:r w:rsidR="005E14C1">
          <w:rPr>
            <w:noProof/>
            <w:webHidden/>
          </w:rPr>
        </w:r>
        <w:r w:rsidR="005E14C1">
          <w:rPr>
            <w:noProof/>
            <w:webHidden/>
          </w:rPr>
          <w:fldChar w:fldCharType="separate"/>
        </w:r>
        <w:r w:rsidR="00DC6A20">
          <w:rPr>
            <w:noProof/>
            <w:webHidden/>
          </w:rPr>
          <w:t>38</w:t>
        </w:r>
        <w:r w:rsidR="005E14C1">
          <w:rPr>
            <w:noProof/>
            <w:webHidden/>
          </w:rPr>
          <w:fldChar w:fldCharType="end"/>
        </w:r>
      </w:hyperlink>
    </w:p>
    <w:p w14:paraId="7189F061" w14:textId="24693182" w:rsidR="005E14C1" w:rsidRDefault="00A96775">
      <w:pPr>
        <w:pStyle w:val="TOC2"/>
        <w:tabs>
          <w:tab w:val="left" w:pos="1134"/>
        </w:tabs>
        <w:rPr>
          <w:rFonts w:asciiTheme="minorHAnsi" w:eastAsiaTheme="minorEastAsia" w:hAnsiTheme="minorHAnsi"/>
          <w:noProof/>
          <w:szCs w:val="22"/>
          <w:lang w:eastAsia="en-AU"/>
        </w:rPr>
      </w:pPr>
      <w:hyperlink w:anchor="_Toc99437533" w:history="1">
        <w:r w:rsidR="005E14C1" w:rsidRPr="001B61D5">
          <w:rPr>
            <w:rStyle w:val="Hyperlink"/>
            <w:noProof/>
            <w:lang w:eastAsia="en-AU"/>
          </w:rPr>
          <w:t>4.3</w:t>
        </w:r>
        <w:r w:rsidR="005E14C1">
          <w:rPr>
            <w:rFonts w:asciiTheme="minorHAnsi" w:eastAsiaTheme="minorEastAsia" w:hAnsiTheme="minorHAnsi"/>
            <w:noProof/>
            <w:szCs w:val="22"/>
            <w:lang w:eastAsia="en-AU"/>
          </w:rPr>
          <w:tab/>
        </w:r>
        <w:r w:rsidR="005E14C1" w:rsidRPr="001B61D5">
          <w:rPr>
            <w:rStyle w:val="Hyperlink"/>
            <w:noProof/>
            <w:lang w:eastAsia="en-AU"/>
          </w:rPr>
          <w:t>Future met and unmet demand</w:t>
        </w:r>
        <w:r w:rsidR="005E14C1">
          <w:rPr>
            <w:noProof/>
            <w:webHidden/>
          </w:rPr>
          <w:tab/>
        </w:r>
        <w:r w:rsidR="005E14C1">
          <w:rPr>
            <w:noProof/>
            <w:webHidden/>
          </w:rPr>
          <w:fldChar w:fldCharType="begin"/>
        </w:r>
        <w:r w:rsidR="005E14C1">
          <w:rPr>
            <w:noProof/>
            <w:webHidden/>
          </w:rPr>
          <w:instrText xml:space="preserve"> PAGEREF _Toc99437533 \h </w:instrText>
        </w:r>
        <w:r w:rsidR="005E14C1">
          <w:rPr>
            <w:noProof/>
            <w:webHidden/>
          </w:rPr>
        </w:r>
        <w:r w:rsidR="005E14C1">
          <w:rPr>
            <w:noProof/>
            <w:webHidden/>
          </w:rPr>
          <w:fldChar w:fldCharType="separate"/>
        </w:r>
        <w:r w:rsidR="00DC6A20">
          <w:rPr>
            <w:noProof/>
            <w:webHidden/>
          </w:rPr>
          <w:t>39</w:t>
        </w:r>
        <w:r w:rsidR="005E14C1">
          <w:rPr>
            <w:noProof/>
            <w:webHidden/>
          </w:rPr>
          <w:fldChar w:fldCharType="end"/>
        </w:r>
      </w:hyperlink>
    </w:p>
    <w:p w14:paraId="53D79EB1" w14:textId="10AC7DCD" w:rsidR="005E14C1" w:rsidRDefault="00A96775">
      <w:pPr>
        <w:pStyle w:val="TOC2"/>
        <w:tabs>
          <w:tab w:val="left" w:pos="1134"/>
        </w:tabs>
        <w:rPr>
          <w:rFonts w:asciiTheme="minorHAnsi" w:eastAsiaTheme="minorEastAsia" w:hAnsiTheme="minorHAnsi"/>
          <w:noProof/>
          <w:szCs w:val="22"/>
          <w:lang w:eastAsia="en-AU"/>
        </w:rPr>
      </w:pPr>
      <w:hyperlink w:anchor="_Toc99437534" w:history="1">
        <w:r w:rsidR="005E14C1" w:rsidRPr="001B61D5">
          <w:rPr>
            <w:rStyle w:val="Hyperlink"/>
            <w:noProof/>
          </w:rPr>
          <w:t>4.4</w:t>
        </w:r>
        <w:r w:rsidR="005E14C1">
          <w:rPr>
            <w:rFonts w:asciiTheme="minorHAnsi" w:eastAsiaTheme="minorEastAsia" w:hAnsiTheme="minorHAnsi"/>
            <w:noProof/>
            <w:szCs w:val="22"/>
            <w:lang w:eastAsia="en-AU"/>
          </w:rPr>
          <w:tab/>
        </w:r>
        <w:r w:rsidR="005E14C1" w:rsidRPr="001B61D5">
          <w:rPr>
            <w:rStyle w:val="Hyperlink"/>
            <w:noProof/>
          </w:rPr>
          <w:t>Scenario modelling</w:t>
        </w:r>
        <w:r w:rsidR="005E14C1">
          <w:rPr>
            <w:noProof/>
            <w:webHidden/>
          </w:rPr>
          <w:tab/>
        </w:r>
        <w:r w:rsidR="005E14C1">
          <w:rPr>
            <w:noProof/>
            <w:webHidden/>
          </w:rPr>
          <w:fldChar w:fldCharType="begin"/>
        </w:r>
        <w:r w:rsidR="005E14C1">
          <w:rPr>
            <w:noProof/>
            <w:webHidden/>
          </w:rPr>
          <w:instrText xml:space="preserve"> PAGEREF _Toc99437534 \h </w:instrText>
        </w:r>
        <w:r w:rsidR="005E14C1">
          <w:rPr>
            <w:noProof/>
            <w:webHidden/>
          </w:rPr>
        </w:r>
        <w:r w:rsidR="005E14C1">
          <w:rPr>
            <w:noProof/>
            <w:webHidden/>
          </w:rPr>
          <w:fldChar w:fldCharType="separate"/>
        </w:r>
        <w:r w:rsidR="00DC6A20">
          <w:rPr>
            <w:noProof/>
            <w:webHidden/>
          </w:rPr>
          <w:t>41</w:t>
        </w:r>
        <w:r w:rsidR="005E14C1">
          <w:rPr>
            <w:noProof/>
            <w:webHidden/>
          </w:rPr>
          <w:fldChar w:fldCharType="end"/>
        </w:r>
      </w:hyperlink>
    </w:p>
    <w:p w14:paraId="11EFC40C" w14:textId="1E28C49B" w:rsidR="005E14C1" w:rsidRDefault="00A96775">
      <w:pPr>
        <w:pStyle w:val="TOC3"/>
        <w:tabs>
          <w:tab w:val="left" w:pos="1261"/>
        </w:tabs>
        <w:rPr>
          <w:rFonts w:asciiTheme="minorHAnsi" w:eastAsiaTheme="minorEastAsia" w:hAnsiTheme="minorHAnsi"/>
          <w:noProof/>
          <w:szCs w:val="22"/>
          <w:lang w:eastAsia="en-AU"/>
        </w:rPr>
      </w:pPr>
      <w:hyperlink w:anchor="_Toc99437535" w:history="1">
        <w:r w:rsidR="005E14C1" w:rsidRPr="001B61D5">
          <w:rPr>
            <w:rStyle w:val="Hyperlink"/>
            <w:noProof/>
          </w:rPr>
          <w:t>4.4.1</w:t>
        </w:r>
        <w:r w:rsidR="005E14C1">
          <w:rPr>
            <w:rFonts w:asciiTheme="minorHAnsi" w:eastAsiaTheme="minorEastAsia" w:hAnsiTheme="minorHAnsi"/>
            <w:noProof/>
            <w:szCs w:val="22"/>
            <w:lang w:eastAsia="en-AU"/>
          </w:rPr>
          <w:tab/>
        </w:r>
        <w:r w:rsidR="005E14C1" w:rsidRPr="001B61D5">
          <w:rPr>
            <w:rStyle w:val="Hyperlink"/>
            <w:noProof/>
          </w:rPr>
          <w:t>Scenario 1: 7% total demand rate for all recipients</w:t>
        </w:r>
        <w:r w:rsidR="005E14C1">
          <w:rPr>
            <w:noProof/>
            <w:webHidden/>
          </w:rPr>
          <w:tab/>
        </w:r>
        <w:r w:rsidR="005E14C1">
          <w:rPr>
            <w:noProof/>
            <w:webHidden/>
          </w:rPr>
          <w:fldChar w:fldCharType="begin"/>
        </w:r>
        <w:r w:rsidR="005E14C1">
          <w:rPr>
            <w:noProof/>
            <w:webHidden/>
          </w:rPr>
          <w:instrText xml:space="preserve"> PAGEREF _Toc99437535 \h </w:instrText>
        </w:r>
        <w:r w:rsidR="005E14C1">
          <w:rPr>
            <w:noProof/>
            <w:webHidden/>
          </w:rPr>
        </w:r>
        <w:r w:rsidR="005E14C1">
          <w:rPr>
            <w:noProof/>
            <w:webHidden/>
          </w:rPr>
          <w:fldChar w:fldCharType="separate"/>
        </w:r>
        <w:r w:rsidR="00DC6A20">
          <w:rPr>
            <w:noProof/>
            <w:webHidden/>
          </w:rPr>
          <w:t>41</w:t>
        </w:r>
        <w:r w:rsidR="005E14C1">
          <w:rPr>
            <w:noProof/>
            <w:webHidden/>
          </w:rPr>
          <w:fldChar w:fldCharType="end"/>
        </w:r>
      </w:hyperlink>
    </w:p>
    <w:p w14:paraId="3640A85F" w14:textId="5406F50C" w:rsidR="005E14C1" w:rsidRDefault="00A96775">
      <w:pPr>
        <w:pStyle w:val="TOC3"/>
        <w:tabs>
          <w:tab w:val="left" w:pos="1261"/>
        </w:tabs>
        <w:rPr>
          <w:rFonts w:asciiTheme="minorHAnsi" w:eastAsiaTheme="minorEastAsia" w:hAnsiTheme="minorHAnsi"/>
          <w:noProof/>
          <w:szCs w:val="22"/>
          <w:lang w:eastAsia="en-AU"/>
        </w:rPr>
      </w:pPr>
      <w:hyperlink w:anchor="_Toc99437536" w:history="1">
        <w:r w:rsidR="005E14C1" w:rsidRPr="001B61D5">
          <w:rPr>
            <w:rStyle w:val="Hyperlink"/>
            <w:noProof/>
          </w:rPr>
          <w:t>4.4.2</w:t>
        </w:r>
        <w:r w:rsidR="005E14C1">
          <w:rPr>
            <w:rFonts w:asciiTheme="minorHAnsi" w:eastAsiaTheme="minorEastAsia" w:hAnsiTheme="minorHAnsi"/>
            <w:noProof/>
            <w:szCs w:val="22"/>
            <w:lang w:eastAsia="en-AU"/>
          </w:rPr>
          <w:tab/>
        </w:r>
        <w:r w:rsidR="005E14C1" w:rsidRPr="001B61D5">
          <w:rPr>
            <w:rStyle w:val="Hyperlink"/>
            <w:noProof/>
          </w:rPr>
          <w:t>Scenario 2: Higher demand among vulnerability groups</w:t>
        </w:r>
        <w:r w:rsidR="005E14C1">
          <w:rPr>
            <w:noProof/>
            <w:webHidden/>
          </w:rPr>
          <w:tab/>
        </w:r>
        <w:r w:rsidR="005E14C1">
          <w:rPr>
            <w:noProof/>
            <w:webHidden/>
          </w:rPr>
          <w:fldChar w:fldCharType="begin"/>
        </w:r>
        <w:r w:rsidR="005E14C1">
          <w:rPr>
            <w:noProof/>
            <w:webHidden/>
          </w:rPr>
          <w:instrText xml:space="preserve"> PAGEREF _Toc99437536 \h </w:instrText>
        </w:r>
        <w:r w:rsidR="005E14C1">
          <w:rPr>
            <w:noProof/>
            <w:webHidden/>
          </w:rPr>
        </w:r>
        <w:r w:rsidR="005E14C1">
          <w:rPr>
            <w:noProof/>
            <w:webHidden/>
          </w:rPr>
          <w:fldChar w:fldCharType="separate"/>
        </w:r>
        <w:r w:rsidR="00DC6A20">
          <w:rPr>
            <w:noProof/>
            <w:webHidden/>
          </w:rPr>
          <w:t>42</w:t>
        </w:r>
        <w:r w:rsidR="005E14C1">
          <w:rPr>
            <w:noProof/>
            <w:webHidden/>
          </w:rPr>
          <w:fldChar w:fldCharType="end"/>
        </w:r>
      </w:hyperlink>
    </w:p>
    <w:p w14:paraId="69881E33" w14:textId="03062557" w:rsidR="005E14C1" w:rsidRDefault="00A96775">
      <w:pPr>
        <w:pStyle w:val="TOC1"/>
        <w:rPr>
          <w:rFonts w:asciiTheme="minorHAnsi" w:eastAsiaTheme="minorEastAsia" w:hAnsiTheme="minorHAnsi"/>
          <w:noProof/>
          <w:szCs w:val="22"/>
          <w:lang w:eastAsia="en-AU"/>
        </w:rPr>
      </w:pPr>
      <w:hyperlink w:anchor="_Toc99437537" w:history="1">
        <w:r w:rsidR="005E14C1" w:rsidRPr="001B61D5">
          <w:rPr>
            <w:rStyle w:val="Hyperlink"/>
            <w:noProof/>
          </w:rPr>
          <w:t>5</w:t>
        </w:r>
        <w:r w:rsidR="005E14C1">
          <w:rPr>
            <w:rFonts w:asciiTheme="minorHAnsi" w:eastAsiaTheme="minorEastAsia" w:hAnsiTheme="minorHAnsi"/>
            <w:noProof/>
            <w:szCs w:val="22"/>
            <w:lang w:eastAsia="en-AU"/>
          </w:rPr>
          <w:tab/>
        </w:r>
        <w:r w:rsidR="005E14C1" w:rsidRPr="001B61D5">
          <w:rPr>
            <w:rStyle w:val="Hyperlink"/>
            <w:noProof/>
          </w:rPr>
          <w:t>Supply of the NACAP</w:t>
        </w:r>
        <w:r w:rsidR="005E14C1">
          <w:rPr>
            <w:noProof/>
            <w:webHidden/>
          </w:rPr>
          <w:tab/>
        </w:r>
        <w:r w:rsidR="005E14C1">
          <w:rPr>
            <w:noProof/>
            <w:webHidden/>
          </w:rPr>
          <w:fldChar w:fldCharType="begin"/>
        </w:r>
        <w:r w:rsidR="005E14C1">
          <w:rPr>
            <w:noProof/>
            <w:webHidden/>
          </w:rPr>
          <w:instrText xml:space="preserve"> PAGEREF _Toc99437537 \h </w:instrText>
        </w:r>
        <w:r w:rsidR="005E14C1">
          <w:rPr>
            <w:noProof/>
            <w:webHidden/>
          </w:rPr>
        </w:r>
        <w:r w:rsidR="005E14C1">
          <w:rPr>
            <w:noProof/>
            <w:webHidden/>
          </w:rPr>
          <w:fldChar w:fldCharType="separate"/>
        </w:r>
        <w:r w:rsidR="00DC6A20">
          <w:rPr>
            <w:noProof/>
            <w:webHidden/>
          </w:rPr>
          <w:t>45</w:t>
        </w:r>
        <w:r w:rsidR="005E14C1">
          <w:rPr>
            <w:noProof/>
            <w:webHidden/>
          </w:rPr>
          <w:fldChar w:fldCharType="end"/>
        </w:r>
      </w:hyperlink>
    </w:p>
    <w:p w14:paraId="25FB74A1" w14:textId="4C0E511C" w:rsidR="005E14C1" w:rsidRDefault="00A96775">
      <w:pPr>
        <w:pStyle w:val="TOC2"/>
        <w:tabs>
          <w:tab w:val="left" w:pos="1134"/>
        </w:tabs>
        <w:rPr>
          <w:rFonts w:asciiTheme="minorHAnsi" w:eastAsiaTheme="minorEastAsia" w:hAnsiTheme="minorHAnsi"/>
          <w:noProof/>
          <w:szCs w:val="22"/>
          <w:lang w:eastAsia="en-AU"/>
        </w:rPr>
      </w:pPr>
      <w:hyperlink w:anchor="_Toc99437538" w:history="1">
        <w:r w:rsidR="005E14C1" w:rsidRPr="001B61D5">
          <w:rPr>
            <w:rStyle w:val="Hyperlink"/>
            <w:noProof/>
            <w:lang w:eastAsia="en-AU"/>
          </w:rPr>
          <w:t>5.1</w:t>
        </w:r>
        <w:r w:rsidR="005E14C1">
          <w:rPr>
            <w:rFonts w:asciiTheme="minorHAnsi" w:eastAsiaTheme="minorEastAsia" w:hAnsiTheme="minorHAnsi"/>
            <w:noProof/>
            <w:szCs w:val="22"/>
            <w:lang w:eastAsia="en-AU"/>
          </w:rPr>
          <w:tab/>
        </w:r>
        <w:r w:rsidR="005E14C1" w:rsidRPr="001B61D5">
          <w:rPr>
            <w:rStyle w:val="Hyperlink"/>
            <w:noProof/>
            <w:lang w:eastAsia="en-AU"/>
          </w:rPr>
          <w:t>OPAN’s capacity to meet the projected demand</w:t>
        </w:r>
        <w:r w:rsidR="005E14C1">
          <w:rPr>
            <w:noProof/>
            <w:webHidden/>
          </w:rPr>
          <w:tab/>
        </w:r>
        <w:r w:rsidR="005E14C1">
          <w:rPr>
            <w:noProof/>
            <w:webHidden/>
          </w:rPr>
          <w:fldChar w:fldCharType="begin"/>
        </w:r>
        <w:r w:rsidR="005E14C1">
          <w:rPr>
            <w:noProof/>
            <w:webHidden/>
          </w:rPr>
          <w:instrText xml:space="preserve"> PAGEREF _Toc99437538 \h </w:instrText>
        </w:r>
        <w:r w:rsidR="005E14C1">
          <w:rPr>
            <w:noProof/>
            <w:webHidden/>
          </w:rPr>
        </w:r>
        <w:r w:rsidR="005E14C1">
          <w:rPr>
            <w:noProof/>
            <w:webHidden/>
          </w:rPr>
          <w:fldChar w:fldCharType="separate"/>
        </w:r>
        <w:r w:rsidR="00DC6A20">
          <w:rPr>
            <w:noProof/>
            <w:webHidden/>
          </w:rPr>
          <w:t>45</w:t>
        </w:r>
        <w:r w:rsidR="005E14C1">
          <w:rPr>
            <w:noProof/>
            <w:webHidden/>
          </w:rPr>
          <w:fldChar w:fldCharType="end"/>
        </w:r>
      </w:hyperlink>
    </w:p>
    <w:p w14:paraId="3AB5FFC2" w14:textId="310B4E83" w:rsidR="005E14C1" w:rsidRDefault="00A96775">
      <w:pPr>
        <w:pStyle w:val="TOC3"/>
        <w:tabs>
          <w:tab w:val="left" w:pos="1261"/>
        </w:tabs>
        <w:rPr>
          <w:rFonts w:asciiTheme="minorHAnsi" w:eastAsiaTheme="minorEastAsia" w:hAnsiTheme="minorHAnsi"/>
          <w:noProof/>
          <w:szCs w:val="22"/>
          <w:lang w:eastAsia="en-AU"/>
        </w:rPr>
      </w:pPr>
      <w:hyperlink w:anchor="_Toc99437539" w:history="1">
        <w:r w:rsidR="005E14C1" w:rsidRPr="001B61D5">
          <w:rPr>
            <w:rStyle w:val="Hyperlink"/>
            <w:noProof/>
          </w:rPr>
          <w:t>5.1.2</w:t>
        </w:r>
        <w:r w:rsidR="005E14C1">
          <w:rPr>
            <w:rFonts w:asciiTheme="minorHAnsi" w:eastAsiaTheme="minorEastAsia" w:hAnsiTheme="minorHAnsi"/>
            <w:noProof/>
            <w:szCs w:val="22"/>
            <w:lang w:eastAsia="en-AU"/>
          </w:rPr>
          <w:tab/>
        </w:r>
        <w:r w:rsidR="005E14C1" w:rsidRPr="001B61D5">
          <w:rPr>
            <w:rStyle w:val="Hyperlink"/>
            <w:noProof/>
          </w:rPr>
          <w:t>Recruitment and retention of advocates</w:t>
        </w:r>
        <w:r w:rsidR="005E14C1">
          <w:rPr>
            <w:noProof/>
            <w:webHidden/>
          </w:rPr>
          <w:tab/>
        </w:r>
        <w:r w:rsidR="005E14C1">
          <w:rPr>
            <w:noProof/>
            <w:webHidden/>
          </w:rPr>
          <w:fldChar w:fldCharType="begin"/>
        </w:r>
        <w:r w:rsidR="005E14C1">
          <w:rPr>
            <w:noProof/>
            <w:webHidden/>
          </w:rPr>
          <w:instrText xml:space="preserve"> PAGEREF _Toc99437539 \h </w:instrText>
        </w:r>
        <w:r w:rsidR="005E14C1">
          <w:rPr>
            <w:noProof/>
            <w:webHidden/>
          </w:rPr>
        </w:r>
        <w:r w:rsidR="005E14C1">
          <w:rPr>
            <w:noProof/>
            <w:webHidden/>
          </w:rPr>
          <w:fldChar w:fldCharType="separate"/>
        </w:r>
        <w:r w:rsidR="00DC6A20">
          <w:rPr>
            <w:noProof/>
            <w:webHidden/>
          </w:rPr>
          <w:t>46</w:t>
        </w:r>
        <w:r w:rsidR="005E14C1">
          <w:rPr>
            <w:noProof/>
            <w:webHidden/>
          </w:rPr>
          <w:fldChar w:fldCharType="end"/>
        </w:r>
      </w:hyperlink>
    </w:p>
    <w:p w14:paraId="732182F3" w14:textId="5294324C" w:rsidR="005E14C1" w:rsidRDefault="00A96775">
      <w:pPr>
        <w:pStyle w:val="TOC3"/>
        <w:tabs>
          <w:tab w:val="left" w:pos="1261"/>
        </w:tabs>
        <w:rPr>
          <w:rFonts w:asciiTheme="minorHAnsi" w:eastAsiaTheme="minorEastAsia" w:hAnsiTheme="minorHAnsi"/>
          <w:noProof/>
          <w:szCs w:val="22"/>
          <w:lang w:eastAsia="en-AU"/>
        </w:rPr>
      </w:pPr>
      <w:hyperlink w:anchor="_Toc99437540" w:history="1">
        <w:r w:rsidR="005E14C1" w:rsidRPr="001B61D5">
          <w:rPr>
            <w:rStyle w:val="Hyperlink"/>
            <w:noProof/>
          </w:rPr>
          <w:t>5.1.3</w:t>
        </w:r>
        <w:r w:rsidR="005E14C1">
          <w:rPr>
            <w:rFonts w:asciiTheme="minorHAnsi" w:eastAsiaTheme="minorEastAsia" w:hAnsiTheme="minorHAnsi"/>
            <w:noProof/>
            <w:szCs w:val="22"/>
            <w:lang w:eastAsia="en-AU"/>
          </w:rPr>
          <w:tab/>
        </w:r>
        <w:r w:rsidR="005E14C1" w:rsidRPr="001B61D5">
          <w:rPr>
            <w:rStyle w:val="Hyperlink"/>
            <w:noProof/>
          </w:rPr>
          <w:t>Cultural, language, behavioural, and personal care needs</w:t>
        </w:r>
        <w:r w:rsidR="005E14C1">
          <w:rPr>
            <w:noProof/>
            <w:webHidden/>
          </w:rPr>
          <w:tab/>
        </w:r>
        <w:r w:rsidR="005E14C1">
          <w:rPr>
            <w:noProof/>
            <w:webHidden/>
          </w:rPr>
          <w:fldChar w:fldCharType="begin"/>
        </w:r>
        <w:r w:rsidR="005E14C1">
          <w:rPr>
            <w:noProof/>
            <w:webHidden/>
          </w:rPr>
          <w:instrText xml:space="preserve"> PAGEREF _Toc99437540 \h </w:instrText>
        </w:r>
        <w:r w:rsidR="005E14C1">
          <w:rPr>
            <w:noProof/>
            <w:webHidden/>
          </w:rPr>
        </w:r>
        <w:r w:rsidR="005E14C1">
          <w:rPr>
            <w:noProof/>
            <w:webHidden/>
          </w:rPr>
          <w:fldChar w:fldCharType="separate"/>
        </w:r>
        <w:r w:rsidR="00DC6A20">
          <w:rPr>
            <w:noProof/>
            <w:webHidden/>
          </w:rPr>
          <w:t>46</w:t>
        </w:r>
        <w:r w:rsidR="005E14C1">
          <w:rPr>
            <w:noProof/>
            <w:webHidden/>
          </w:rPr>
          <w:fldChar w:fldCharType="end"/>
        </w:r>
      </w:hyperlink>
    </w:p>
    <w:p w14:paraId="67A99D6F" w14:textId="1CF6EDA5" w:rsidR="005E14C1" w:rsidRDefault="00A96775">
      <w:pPr>
        <w:pStyle w:val="TOC3"/>
        <w:tabs>
          <w:tab w:val="left" w:pos="1261"/>
        </w:tabs>
        <w:rPr>
          <w:rFonts w:asciiTheme="minorHAnsi" w:eastAsiaTheme="minorEastAsia" w:hAnsiTheme="minorHAnsi"/>
          <w:noProof/>
          <w:szCs w:val="22"/>
          <w:lang w:eastAsia="en-AU"/>
        </w:rPr>
      </w:pPr>
      <w:hyperlink w:anchor="_Toc99437541" w:history="1">
        <w:r w:rsidR="005E14C1" w:rsidRPr="001B61D5">
          <w:rPr>
            <w:rStyle w:val="Hyperlink"/>
            <w:noProof/>
          </w:rPr>
          <w:t>5.1.4</w:t>
        </w:r>
        <w:r w:rsidR="005E14C1">
          <w:rPr>
            <w:rFonts w:asciiTheme="minorHAnsi" w:eastAsiaTheme="minorEastAsia" w:hAnsiTheme="minorHAnsi"/>
            <w:noProof/>
            <w:szCs w:val="22"/>
            <w:lang w:eastAsia="en-AU"/>
          </w:rPr>
          <w:tab/>
        </w:r>
        <w:r w:rsidR="005E14C1" w:rsidRPr="001B61D5">
          <w:rPr>
            <w:rStyle w:val="Hyperlink"/>
            <w:noProof/>
          </w:rPr>
          <w:t>Regional and remote areas</w:t>
        </w:r>
        <w:r w:rsidR="005E14C1">
          <w:rPr>
            <w:noProof/>
            <w:webHidden/>
          </w:rPr>
          <w:tab/>
        </w:r>
        <w:r w:rsidR="005E14C1">
          <w:rPr>
            <w:noProof/>
            <w:webHidden/>
          </w:rPr>
          <w:fldChar w:fldCharType="begin"/>
        </w:r>
        <w:r w:rsidR="005E14C1">
          <w:rPr>
            <w:noProof/>
            <w:webHidden/>
          </w:rPr>
          <w:instrText xml:space="preserve"> PAGEREF _Toc99437541 \h </w:instrText>
        </w:r>
        <w:r w:rsidR="005E14C1">
          <w:rPr>
            <w:noProof/>
            <w:webHidden/>
          </w:rPr>
        </w:r>
        <w:r w:rsidR="005E14C1">
          <w:rPr>
            <w:noProof/>
            <w:webHidden/>
          </w:rPr>
          <w:fldChar w:fldCharType="separate"/>
        </w:r>
        <w:r w:rsidR="00DC6A20">
          <w:rPr>
            <w:noProof/>
            <w:webHidden/>
          </w:rPr>
          <w:t>46</w:t>
        </w:r>
        <w:r w:rsidR="005E14C1">
          <w:rPr>
            <w:noProof/>
            <w:webHidden/>
          </w:rPr>
          <w:fldChar w:fldCharType="end"/>
        </w:r>
      </w:hyperlink>
    </w:p>
    <w:p w14:paraId="7109A096" w14:textId="6637CBF6" w:rsidR="005E14C1" w:rsidRDefault="00A96775">
      <w:pPr>
        <w:pStyle w:val="TOC2"/>
        <w:tabs>
          <w:tab w:val="left" w:pos="1134"/>
        </w:tabs>
        <w:rPr>
          <w:rFonts w:asciiTheme="minorHAnsi" w:eastAsiaTheme="minorEastAsia" w:hAnsiTheme="minorHAnsi"/>
          <w:noProof/>
          <w:szCs w:val="22"/>
          <w:lang w:eastAsia="en-AU"/>
        </w:rPr>
      </w:pPr>
      <w:hyperlink w:anchor="_Toc99437542" w:history="1">
        <w:r w:rsidR="005E14C1" w:rsidRPr="001B61D5">
          <w:rPr>
            <w:rStyle w:val="Hyperlink"/>
            <w:noProof/>
            <w:lang w:eastAsia="en-AU"/>
          </w:rPr>
          <w:t>5.2</w:t>
        </w:r>
        <w:r w:rsidR="005E14C1">
          <w:rPr>
            <w:rFonts w:asciiTheme="minorHAnsi" w:eastAsiaTheme="minorEastAsia" w:hAnsiTheme="minorHAnsi"/>
            <w:noProof/>
            <w:szCs w:val="22"/>
            <w:lang w:eastAsia="en-AU"/>
          </w:rPr>
          <w:tab/>
        </w:r>
        <w:r w:rsidR="005E14C1" w:rsidRPr="001B61D5">
          <w:rPr>
            <w:rStyle w:val="Hyperlink"/>
            <w:noProof/>
            <w:lang w:eastAsia="en-AU"/>
          </w:rPr>
          <w:t>Service design, monitoring and evaluation</w:t>
        </w:r>
        <w:r w:rsidR="005E14C1">
          <w:rPr>
            <w:noProof/>
            <w:webHidden/>
          </w:rPr>
          <w:tab/>
        </w:r>
        <w:r w:rsidR="005E14C1">
          <w:rPr>
            <w:noProof/>
            <w:webHidden/>
          </w:rPr>
          <w:fldChar w:fldCharType="begin"/>
        </w:r>
        <w:r w:rsidR="005E14C1">
          <w:rPr>
            <w:noProof/>
            <w:webHidden/>
          </w:rPr>
          <w:instrText xml:space="preserve"> PAGEREF _Toc99437542 \h </w:instrText>
        </w:r>
        <w:r w:rsidR="005E14C1">
          <w:rPr>
            <w:noProof/>
            <w:webHidden/>
          </w:rPr>
        </w:r>
        <w:r w:rsidR="005E14C1">
          <w:rPr>
            <w:noProof/>
            <w:webHidden/>
          </w:rPr>
          <w:fldChar w:fldCharType="separate"/>
        </w:r>
        <w:r w:rsidR="00DC6A20">
          <w:rPr>
            <w:noProof/>
            <w:webHidden/>
          </w:rPr>
          <w:t>46</w:t>
        </w:r>
        <w:r w:rsidR="005E14C1">
          <w:rPr>
            <w:noProof/>
            <w:webHidden/>
          </w:rPr>
          <w:fldChar w:fldCharType="end"/>
        </w:r>
      </w:hyperlink>
    </w:p>
    <w:p w14:paraId="19627E99" w14:textId="4668B080" w:rsidR="005E14C1" w:rsidRDefault="00A96775">
      <w:pPr>
        <w:pStyle w:val="TOC1"/>
        <w:rPr>
          <w:rFonts w:asciiTheme="minorHAnsi" w:eastAsiaTheme="minorEastAsia" w:hAnsiTheme="minorHAnsi"/>
          <w:noProof/>
          <w:szCs w:val="22"/>
          <w:lang w:eastAsia="en-AU"/>
        </w:rPr>
      </w:pPr>
      <w:hyperlink w:anchor="_Toc99437543" w:history="1">
        <w:r w:rsidR="005E14C1" w:rsidRPr="001B61D5">
          <w:rPr>
            <w:rStyle w:val="Hyperlink"/>
            <w:noProof/>
          </w:rPr>
          <w:t>6</w:t>
        </w:r>
        <w:r w:rsidR="005E14C1">
          <w:rPr>
            <w:rFonts w:asciiTheme="minorHAnsi" w:eastAsiaTheme="minorEastAsia" w:hAnsiTheme="minorHAnsi"/>
            <w:noProof/>
            <w:szCs w:val="22"/>
            <w:lang w:eastAsia="en-AU"/>
          </w:rPr>
          <w:tab/>
        </w:r>
        <w:r w:rsidR="005E14C1" w:rsidRPr="001B61D5">
          <w:rPr>
            <w:rStyle w:val="Hyperlink"/>
            <w:noProof/>
          </w:rPr>
          <w:t>Learnings from other advocacy programs and jurisdictions</w:t>
        </w:r>
        <w:r w:rsidR="005E14C1">
          <w:rPr>
            <w:noProof/>
            <w:webHidden/>
          </w:rPr>
          <w:tab/>
        </w:r>
        <w:r w:rsidR="005E14C1">
          <w:rPr>
            <w:noProof/>
            <w:webHidden/>
          </w:rPr>
          <w:fldChar w:fldCharType="begin"/>
        </w:r>
        <w:r w:rsidR="005E14C1">
          <w:rPr>
            <w:noProof/>
            <w:webHidden/>
          </w:rPr>
          <w:instrText xml:space="preserve"> PAGEREF _Toc99437543 \h </w:instrText>
        </w:r>
        <w:r w:rsidR="005E14C1">
          <w:rPr>
            <w:noProof/>
            <w:webHidden/>
          </w:rPr>
        </w:r>
        <w:r w:rsidR="005E14C1">
          <w:rPr>
            <w:noProof/>
            <w:webHidden/>
          </w:rPr>
          <w:fldChar w:fldCharType="separate"/>
        </w:r>
        <w:r w:rsidR="00DC6A20">
          <w:rPr>
            <w:noProof/>
            <w:webHidden/>
          </w:rPr>
          <w:t>49</w:t>
        </w:r>
        <w:r w:rsidR="005E14C1">
          <w:rPr>
            <w:noProof/>
            <w:webHidden/>
          </w:rPr>
          <w:fldChar w:fldCharType="end"/>
        </w:r>
      </w:hyperlink>
    </w:p>
    <w:p w14:paraId="729F80D5" w14:textId="1B0BBC64" w:rsidR="005E14C1" w:rsidRDefault="00A96775">
      <w:pPr>
        <w:pStyle w:val="TOC2"/>
        <w:tabs>
          <w:tab w:val="left" w:pos="1134"/>
        </w:tabs>
        <w:rPr>
          <w:rFonts w:asciiTheme="minorHAnsi" w:eastAsiaTheme="minorEastAsia" w:hAnsiTheme="minorHAnsi"/>
          <w:noProof/>
          <w:szCs w:val="22"/>
          <w:lang w:eastAsia="en-AU"/>
        </w:rPr>
      </w:pPr>
      <w:hyperlink w:anchor="_Toc99437544" w:history="1">
        <w:r w:rsidR="005E14C1" w:rsidRPr="001B61D5">
          <w:rPr>
            <w:rStyle w:val="Hyperlink"/>
            <w:noProof/>
          </w:rPr>
          <w:t>6.1</w:t>
        </w:r>
        <w:r w:rsidR="005E14C1">
          <w:rPr>
            <w:rFonts w:asciiTheme="minorHAnsi" w:eastAsiaTheme="minorEastAsia" w:hAnsiTheme="minorHAnsi"/>
            <w:noProof/>
            <w:szCs w:val="22"/>
            <w:lang w:eastAsia="en-AU"/>
          </w:rPr>
          <w:tab/>
        </w:r>
        <w:r w:rsidR="005E14C1" w:rsidRPr="001B61D5">
          <w:rPr>
            <w:rStyle w:val="Hyperlink"/>
            <w:noProof/>
          </w:rPr>
          <w:t>Disability advocacy in Australia</w:t>
        </w:r>
        <w:r w:rsidR="005E14C1">
          <w:rPr>
            <w:noProof/>
            <w:webHidden/>
          </w:rPr>
          <w:tab/>
        </w:r>
        <w:r w:rsidR="005E14C1">
          <w:rPr>
            <w:noProof/>
            <w:webHidden/>
          </w:rPr>
          <w:fldChar w:fldCharType="begin"/>
        </w:r>
        <w:r w:rsidR="005E14C1">
          <w:rPr>
            <w:noProof/>
            <w:webHidden/>
          </w:rPr>
          <w:instrText xml:space="preserve"> PAGEREF _Toc99437544 \h </w:instrText>
        </w:r>
        <w:r w:rsidR="005E14C1">
          <w:rPr>
            <w:noProof/>
            <w:webHidden/>
          </w:rPr>
        </w:r>
        <w:r w:rsidR="005E14C1">
          <w:rPr>
            <w:noProof/>
            <w:webHidden/>
          </w:rPr>
          <w:fldChar w:fldCharType="separate"/>
        </w:r>
        <w:r w:rsidR="00DC6A20">
          <w:rPr>
            <w:noProof/>
            <w:webHidden/>
          </w:rPr>
          <w:t>49</w:t>
        </w:r>
        <w:r w:rsidR="005E14C1">
          <w:rPr>
            <w:noProof/>
            <w:webHidden/>
          </w:rPr>
          <w:fldChar w:fldCharType="end"/>
        </w:r>
      </w:hyperlink>
    </w:p>
    <w:p w14:paraId="6C1E4FA1" w14:textId="3A118131" w:rsidR="005E14C1" w:rsidRDefault="00A96775">
      <w:pPr>
        <w:pStyle w:val="TOC2"/>
        <w:tabs>
          <w:tab w:val="left" w:pos="1134"/>
        </w:tabs>
        <w:rPr>
          <w:rFonts w:asciiTheme="minorHAnsi" w:eastAsiaTheme="minorEastAsia" w:hAnsiTheme="minorHAnsi"/>
          <w:noProof/>
          <w:szCs w:val="22"/>
          <w:lang w:eastAsia="en-AU"/>
        </w:rPr>
      </w:pPr>
      <w:hyperlink w:anchor="_Toc99437545" w:history="1">
        <w:r w:rsidR="005E14C1" w:rsidRPr="001B61D5">
          <w:rPr>
            <w:rStyle w:val="Hyperlink"/>
            <w:noProof/>
          </w:rPr>
          <w:t>6.2</w:t>
        </w:r>
        <w:r w:rsidR="005E14C1">
          <w:rPr>
            <w:rFonts w:asciiTheme="minorHAnsi" w:eastAsiaTheme="minorEastAsia" w:hAnsiTheme="minorHAnsi"/>
            <w:noProof/>
            <w:szCs w:val="22"/>
            <w:lang w:eastAsia="en-AU"/>
          </w:rPr>
          <w:tab/>
        </w:r>
        <w:r w:rsidR="005E14C1" w:rsidRPr="001B61D5">
          <w:rPr>
            <w:rStyle w:val="Hyperlink"/>
            <w:noProof/>
          </w:rPr>
          <w:t>Mental health advocacy in Australia</w:t>
        </w:r>
        <w:r w:rsidR="005E14C1">
          <w:rPr>
            <w:noProof/>
            <w:webHidden/>
          </w:rPr>
          <w:tab/>
        </w:r>
        <w:r w:rsidR="005E14C1">
          <w:rPr>
            <w:noProof/>
            <w:webHidden/>
          </w:rPr>
          <w:fldChar w:fldCharType="begin"/>
        </w:r>
        <w:r w:rsidR="005E14C1">
          <w:rPr>
            <w:noProof/>
            <w:webHidden/>
          </w:rPr>
          <w:instrText xml:space="preserve"> PAGEREF _Toc99437545 \h </w:instrText>
        </w:r>
        <w:r w:rsidR="005E14C1">
          <w:rPr>
            <w:noProof/>
            <w:webHidden/>
          </w:rPr>
        </w:r>
        <w:r w:rsidR="005E14C1">
          <w:rPr>
            <w:noProof/>
            <w:webHidden/>
          </w:rPr>
          <w:fldChar w:fldCharType="separate"/>
        </w:r>
        <w:r w:rsidR="00DC6A20">
          <w:rPr>
            <w:noProof/>
            <w:webHidden/>
          </w:rPr>
          <w:t>50</w:t>
        </w:r>
        <w:r w:rsidR="005E14C1">
          <w:rPr>
            <w:noProof/>
            <w:webHidden/>
          </w:rPr>
          <w:fldChar w:fldCharType="end"/>
        </w:r>
      </w:hyperlink>
    </w:p>
    <w:p w14:paraId="61E1D530" w14:textId="303303FD" w:rsidR="005E14C1" w:rsidRDefault="00A96775">
      <w:pPr>
        <w:pStyle w:val="TOC2"/>
        <w:tabs>
          <w:tab w:val="left" w:pos="1134"/>
        </w:tabs>
        <w:rPr>
          <w:rFonts w:asciiTheme="minorHAnsi" w:eastAsiaTheme="minorEastAsia" w:hAnsiTheme="minorHAnsi"/>
          <w:noProof/>
          <w:szCs w:val="22"/>
          <w:lang w:eastAsia="en-AU"/>
        </w:rPr>
      </w:pPr>
      <w:hyperlink w:anchor="_Toc99437546" w:history="1">
        <w:r w:rsidR="005E14C1" w:rsidRPr="001B61D5">
          <w:rPr>
            <w:rStyle w:val="Hyperlink"/>
            <w:noProof/>
          </w:rPr>
          <w:t>6.3</w:t>
        </w:r>
        <w:r w:rsidR="005E14C1">
          <w:rPr>
            <w:rFonts w:asciiTheme="minorHAnsi" w:eastAsiaTheme="minorEastAsia" w:hAnsiTheme="minorHAnsi"/>
            <w:noProof/>
            <w:szCs w:val="22"/>
            <w:lang w:eastAsia="en-AU"/>
          </w:rPr>
          <w:tab/>
        </w:r>
        <w:r w:rsidR="005E14C1" w:rsidRPr="001B61D5">
          <w:rPr>
            <w:rStyle w:val="Hyperlink"/>
            <w:noProof/>
          </w:rPr>
          <w:t>Advocacy for veterans in Australia</w:t>
        </w:r>
        <w:r w:rsidR="005E14C1">
          <w:rPr>
            <w:noProof/>
            <w:webHidden/>
          </w:rPr>
          <w:tab/>
        </w:r>
        <w:r w:rsidR="005E14C1">
          <w:rPr>
            <w:noProof/>
            <w:webHidden/>
          </w:rPr>
          <w:fldChar w:fldCharType="begin"/>
        </w:r>
        <w:r w:rsidR="005E14C1">
          <w:rPr>
            <w:noProof/>
            <w:webHidden/>
          </w:rPr>
          <w:instrText xml:space="preserve"> PAGEREF _Toc99437546 \h </w:instrText>
        </w:r>
        <w:r w:rsidR="005E14C1">
          <w:rPr>
            <w:noProof/>
            <w:webHidden/>
          </w:rPr>
        </w:r>
        <w:r w:rsidR="005E14C1">
          <w:rPr>
            <w:noProof/>
            <w:webHidden/>
          </w:rPr>
          <w:fldChar w:fldCharType="separate"/>
        </w:r>
        <w:r w:rsidR="00DC6A20">
          <w:rPr>
            <w:noProof/>
            <w:webHidden/>
          </w:rPr>
          <w:t>52</w:t>
        </w:r>
        <w:r w:rsidR="005E14C1">
          <w:rPr>
            <w:noProof/>
            <w:webHidden/>
          </w:rPr>
          <w:fldChar w:fldCharType="end"/>
        </w:r>
      </w:hyperlink>
    </w:p>
    <w:p w14:paraId="2FBC7C76" w14:textId="42D0F4EF" w:rsidR="005E14C1" w:rsidRDefault="00A96775">
      <w:pPr>
        <w:pStyle w:val="TOC2"/>
        <w:tabs>
          <w:tab w:val="left" w:pos="1134"/>
        </w:tabs>
        <w:rPr>
          <w:rFonts w:asciiTheme="minorHAnsi" w:eastAsiaTheme="minorEastAsia" w:hAnsiTheme="minorHAnsi"/>
          <w:noProof/>
          <w:szCs w:val="22"/>
          <w:lang w:eastAsia="en-AU"/>
        </w:rPr>
      </w:pPr>
      <w:hyperlink w:anchor="_Toc99437547" w:history="1">
        <w:r w:rsidR="005E14C1" w:rsidRPr="001B61D5">
          <w:rPr>
            <w:rStyle w:val="Hyperlink"/>
            <w:noProof/>
          </w:rPr>
          <w:t>6.4</w:t>
        </w:r>
        <w:r w:rsidR="005E14C1">
          <w:rPr>
            <w:rFonts w:asciiTheme="minorHAnsi" w:eastAsiaTheme="minorEastAsia" w:hAnsiTheme="minorHAnsi"/>
            <w:noProof/>
            <w:szCs w:val="22"/>
            <w:lang w:eastAsia="en-AU"/>
          </w:rPr>
          <w:tab/>
        </w:r>
        <w:r w:rsidR="005E14C1" w:rsidRPr="001B61D5">
          <w:rPr>
            <w:rStyle w:val="Hyperlink"/>
            <w:noProof/>
          </w:rPr>
          <w:t>International aged care advocacy experiences</w:t>
        </w:r>
        <w:r w:rsidR="005E14C1">
          <w:rPr>
            <w:noProof/>
            <w:webHidden/>
          </w:rPr>
          <w:tab/>
        </w:r>
        <w:r w:rsidR="005E14C1">
          <w:rPr>
            <w:noProof/>
            <w:webHidden/>
          </w:rPr>
          <w:fldChar w:fldCharType="begin"/>
        </w:r>
        <w:r w:rsidR="005E14C1">
          <w:rPr>
            <w:noProof/>
            <w:webHidden/>
          </w:rPr>
          <w:instrText xml:space="preserve"> PAGEREF _Toc99437547 \h </w:instrText>
        </w:r>
        <w:r w:rsidR="005E14C1">
          <w:rPr>
            <w:noProof/>
            <w:webHidden/>
          </w:rPr>
        </w:r>
        <w:r w:rsidR="005E14C1">
          <w:rPr>
            <w:noProof/>
            <w:webHidden/>
          </w:rPr>
          <w:fldChar w:fldCharType="separate"/>
        </w:r>
        <w:r w:rsidR="00DC6A20">
          <w:rPr>
            <w:noProof/>
            <w:webHidden/>
          </w:rPr>
          <w:t>53</w:t>
        </w:r>
        <w:r w:rsidR="005E14C1">
          <w:rPr>
            <w:noProof/>
            <w:webHidden/>
          </w:rPr>
          <w:fldChar w:fldCharType="end"/>
        </w:r>
      </w:hyperlink>
    </w:p>
    <w:p w14:paraId="6CFF9587" w14:textId="78AB9F4D" w:rsidR="005E14C1" w:rsidRDefault="00A96775">
      <w:pPr>
        <w:pStyle w:val="TOC3"/>
        <w:tabs>
          <w:tab w:val="left" w:pos="1261"/>
        </w:tabs>
        <w:rPr>
          <w:rFonts w:asciiTheme="minorHAnsi" w:eastAsiaTheme="minorEastAsia" w:hAnsiTheme="minorHAnsi"/>
          <w:noProof/>
          <w:szCs w:val="22"/>
          <w:lang w:eastAsia="en-AU"/>
        </w:rPr>
      </w:pPr>
      <w:hyperlink w:anchor="_Toc99437548" w:history="1">
        <w:r w:rsidR="005E14C1" w:rsidRPr="001B61D5">
          <w:rPr>
            <w:rStyle w:val="Hyperlink"/>
            <w:noProof/>
          </w:rPr>
          <w:t>6.4.1</w:t>
        </w:r>
        <w:r w:rsidR="005E14C1">
          <w:rPr>
            <w:rFonts w:asciiTheme="minorHAnsi" w:eastAsiaTheme="minorEastAsia" w:hAnsiTheme="minorHAnsi"/>
            <w:noProof/>
            <w:szCs w:val="22"/>
            <w:lang w:eastAsia="en-AU"/>
          </w:rPr>
          <w:tab/>
        </w:r>
        <w:r w:rsidR="005E14C1" w:rsidRPr="001B61D5">
          <w:rPr>
            <w:rStyle w:val="Hyperlink"/>
            <w:noProof/>
          </w:rPr>
          <w:t>Aged care advocacy in New Zealand (NZ)</w:t>
        </w:r>
        <w:r w:rsidR="005E14C1">
          <w:rPr>
            <w:noProof/>
            <w:webHidden/>
          </w:rPr>
          <w:tab/>
        </w:r>
        <w:r w:rsidR="005E14C1">
          <w:rPr>
            <w:noProof/>
            <w:webHidden/>
          </w:rPr>
          <w:fldChar w:fldCharType="begin"/>
        </w:r>
        <w:r w:rsidR="005E14C1">
          <w:rPr>
            <w:noProof/>
            <w:webHidden/>
          </w:rPr>
          <w:instrText xml:space="preserve"> PAGEREF _Toc99437548 \h </w:instrText>
        </w:r>
        <w:r w:rsidR="005E14C1">
          <w:rPr>
            <w:noProof/>
            <w:webHidden/>
          </w:rPr>
        </w:r>
        <w:r w:rsidR="005E14C1">
          <w:rPr>
            <w:noProof/>
            <w:webHidden/>
          </w:rPr>
          <w:fldChar w:fldCharType="separate"/>
        </w:r>
        <w:r w:rsidR="00DC6A20">
          <w:rPr>
            <w:noProof/>
            <w:webHidden/>
          </w:rPr>
          <w:t>53</w:t>
        </w:r>
        <w:r w:rsidR="005E14C1">
          <w:rPr>
            <w:noProof/>
            <w:webHidden/>
          </w:rPr>
          <w:fldChar w:fldCharType="end"/>
        </w:r>
      </w:hyperlink>
    </w:p>
    <w:p w14:paraId="24185401" w14:textId="2A7A363C" w:rsidR="005E14C1" w:rsidRDefault="00A96775">
      <w:pPr>
        <w:pStyle w:val="TOC3"/>
        <w:tabs>
          <w:tab w:val="left" w:pos="1261"/>
        </w:tabs>
        <w:rPr>
          <w:rFonts w:asciiTheme="minorHAnsi" w:eastAsiaTheme="minorEastAsia" w:hAnsiTheme="minorHAnsi"/>
          <w:noProof/>
          <w:szCs w:val="22"/>
          <w:lang w:eastAsia="en-AU"/>
        </w:rPr>
      </w:pPr>
      <w:hyperlink w:anchor="_Toc99437549" w:history="1">
        <w:r w:rsidR="005E14C1" w:rsidRPr="001B61D5">
          <w:rPr>
            <w:rStyle w:val="Hyperlink"/>
            <w:noProof/>
          </w:rPr>
          <w:t>6.4.2</w:t>
        </w:r>
        <w:r w:rsidR="005E14C1">
          <w:rPr>
            <w:rFonts w:asciiTheme="minorHAnsi" w:eastAsiaTheme="minorEastAsia" w:hAnsiTheme="minorHAnsi"/>
            <w:noProof/>
            <w:szCs w:val="22"/>
            <w:lang w:eastAsia="en-AU"/>
          </w:rPr>
          <w:tab/>
        </w:r>
        <w:r w:rsidR="005E14C1" w:rsidRPr="001B61D5">
          <w:rPr>
            <w:rStyle w:val="Hyperlink"/>
            <w:noProof/>
          </w:rPr>
          <w:t>Aged care advocacy in the United Kingdom (UK)</w:t>
        </w:r>
        <w:r w:rsidR="005E14C1">
          <w:rPr>
            <w:noProof/>
            <w:webHidden/>
          </w:rPr>
          <w:tab/>
        </w:r>
        <w:r w:rsidR="005E14C1">
          <w:rPr>
            <w:noProof/>
            <w:webHidden/>
          </w:rPr>
          <w:fldChar w:fldCharType="begin"/>
        </w:r>
        <w:r w:rsidR="005E14C1">
          <w:rPr>
            <w:noProof/>
            <w:webHidden/>
          </w:rPr>
          <w:instrText xml:space="preserve"> PAGEREF _Toc99437549 \h </w:instrText>
        </w:r>
        <w:r w:rsidR="005E14C1">
          <w:rPr>
            <w:noProof/>
            <w:webHidden/>
          </w:rPr>
        </w:r>
        <w:r w:rsidR="005E14C1">
          <w:rPr>
            <w:noProof/>
            <w:webHidden/>
          </w:rPr>
          <w:fldChar w:fldCharType="separate"/>
        </w:r>
        <w:r w:rsidR="00DC6A20">
          <w:rPr>
            <w:noProof/>
            <w:webHidden/>
          </w:rPr>
          <w:t>55</w:t>
        </w:r>
        <w:r w:rsidR="005E14C1">
          <w:rPr>
            <w:noProof/>
            <w:webHidden/>
          </w:rPr>
          <w:fldChar w:fldCharType="end"/>
        </w:r>
      </w:hyperlink>
    </w:p>
    <w:p w14:paraId="545B7CDC" w14:textId="093BF4A8" w:rsidR="005E14C1" w:rsidRDefault="00A96775">
      <w:pPr>
        <w:pStyle w:val="TOC3"/>
        <w:tabs>
          <w:tab w:val="left" w:pos="1261"/>
        </w:tabs>
        <w:rPr>
          <w:rFonts w:asciiTheme="minorHAnsi" w:eastAsiaTheme="minorEastAsia" w:hAnsiTheme="minorHAnsi"/>
          <w:noProof/>
          <w:szCs w:val="22"/>
          <w:lang w:eastAsia="en-AU"/>
        </w:rPr>
      </w:pPr>
      <w:hyperlink w:anchor="_Toc99437550" w:history="1">
        <w:r w:rsidR="005E14C1" w:rsidRPr="001B61D5">
          <w:rPr>
            <w:rStyle w:val="Hyperlink"/>
            <w:noProof/>
          </w:rPr>
          <w:t>6.4.3</w:t>
        </w:r>
        <w:r w:rsidR="005E14C1">
          <w:rPr>
            <w:rFonts w:asciiTheme="minorHAnsi" w:eastAsiaTheme="minorEastAsia" w:hAnsiTheme="minorHAnsi"/>
            <w:noProof/>
            <w:szCs w:val="22"/>
            <w:lang w:eastAsia="en-AU"/>
          </w:rPr>
          <w:tab/>
        </w:r>
        <w:r w:rsidR="005E14C1" w:rsidRPr="001B61D5">
          <w:rPr>
            <w:rStyle w:val="Hyperlink"/>
            <w:noProof/>
          </w:rPr>
          <w:t>Aged care advocacy in Canada</w:t>
        </w:r>
        <w:r w:rsidR="005E14C1">
          <w:rPr>
            <w:noProof/>
            <w:webHidden/>
          </w:rPr>
          <w:tab/>
        </w:r>
        <w:r w:rsidR="005E14C1">
          <w:rPr>
            <w:noProof/>
            <w:webHidden/>
          </w:rPr>
          <w:fldChar w:fldCharType="begin"/>
        </w:r>
        <w:r w:rsidR="005E14C1">
          <w:rPr>
            <w:noProof/>
            <w:webHidden/>
          </w:rPr>
          <w:instrText xml:space="preserve"> PAGEREF _Toc99437550 \h </w:instrText>
        </w:r>
        <w:r w:rsidR="005E14C1">
          <w:rPr>
            <w:noProof/>
            <w:webHidden/>
          </w:rPr>
        </w:r>
        <w:r w:rsidR="005E14C1">
          <w:rPr>
            <w:noProof/>
            <w:webHidden/>
          </w:rPr>
          <w:fldChar w:fldCharType="separate"/>
        </w:r>
        <w:r w:rsidR="00DC6A20">
          <w:rPr>
            <w:noProof/>
            <w:webHidden/>
          </w:rPr>
          <w:t>56</w:t>
        </w:r>
        <w:r w:rsidR="005E14C1">
          <w:rPr>
            <w:noProof/>
            <w:webHidden/>
          </w:rPr>
          <w:fldChar w:fldCharType="end"/>
        </w:r>
      </w:hyperlink>
    </w:p>
    <w:p w14:paraId="54D1DD3C" w14:textId="254B0D0F" w:rsidR="005E14C1" w:rsidRDefault="00A96775">
      <w:pPr>
        <w:pStyle w:val="TOC3"/>
        <w:tabs>
          <w:tab w:val="left" w:pos="1261"/>
        </w:tabs>
        <w:rPr>
          <w:rFonts w:asciiTheme="minorHAnsi" w:eastAsiaTheme="minorEastAsia" w:hAnsiTheme="minorHAnsi"/>
          <w:noProof/>
          <w:szCs w:val="22"/>
          <w:lang w:eastAsia="en-AU"/>
        </w:rPr>
      </w:pPr>
      <w:hyperlink w:anchor="_Toc99437551" w:history="1">
        <w:r w:rsidR="005E14C1" w:rsidRPr="001B61D5">
          <w:rPr>
            <w:rStyle w:val="Hyperlink"/>
            <w:noProof/>
          </w:rPr>
          <w:t>6.4.4</w:t>
        </w:r>
        <w:r w:rsidR="005E14C1">
          <w:rPr>
            <w:rFonts w:asciiTheme="minorHAnsi" w:eastAsiaTheme="minorEastAsia" w:hAnsiTheme="minorHAnsi"/>
            <w:noProof/>
            <w:szCs w:val="22"/>
            <w:lang w:eastAsia="en-AU"/>
          </w:rPr>
          <w:tab/>
        </w:r>
        <w:r w:rsidR="005E14C1" w:rsidRPr="001B61D5">
          <w:rPr>
            <w:rStyle w:val="Hyperlink"/>
            <w:noProof/>
          </w:rPr>
          <w:t>Summary of international comparisons and implications for NACAP</w:t>
        </w:r>
        <w:r w:rsidR="005E14C1">
          <w:rPr>
            <w:noProof/>
            <w:webHidden/>
          </w:rPr>
          <w:tab/>
        </w:r>
        <w:r w:rsidR="005E14C1">
          <w:rPr>
            <w:noProof/>
            <w:webHidden/>
          </w:rPr>
          <w:fldChar w:fldCharType="begin"/>
        </w:r>
        <w:r w:rsidR="005E14C1">
          <w:rPr>
            <w:noProof/>
            <w:webHidden/>
          </w:rPr>
          <w:instrText xml:space="preserve"> PAGEREF _Toc99437551 \h </w:instrText>
        </w:r>
        <w:r w:rsidR="005E14C1">
          <w:rPr>
            <w:noProof/>
            <w:webHidden/>
          </w:rPr>
        </w:r>
        <w:r w:rsidR="005E14C1">
          <w:rPr>
            <w:noProof/>
            <w:webHidden/>
          </w:rPr>
          <w:fldChar w:fldCharType="separate"/>
        </w:r>
        <w:r w:rsidR="00DC6A20">
          <w:rPr>
            <w:noProof/>
            <w:webHidden/>
          </w:rPr>
          <w:t>58</w:t>
        </w:r>
        <w:r w:rsidR="005E14C1">
          <w:rPr>
            <w:noProof/>
            <w:webHidden/>
          </w:rPr>
          <w:fldChar w:fldCharType="end"/>
        </w:r>
      </w:hyperlink>
    </w:p>
    <w:p w14:paraId="1221346C" w14:textId="0B8EEF15" w:rsidR="005E14C1" w:rsidRDefault="00A96775">
      <w:pPr>
        <w:pStyle w:val="TOC1"/>
        <w:rPr>
          <w:rFonts w:asciiTheme="minorHAnsi" w:eastAsiaTheme="minorEastAsia" w:hAnsiTheme="minorHAnsi"/>
          <w:noProof/>
          <w:szCs w:val="22"/>
          <w:lang w:eastAsia="en-AU"/>
        </w:rPr>
      </w:pPr>
      <w:hyperlink w:anchor="_Toc99437552" w:history="1">
        <w:r w:rsidR="005E14C1" w:rsidRPr="001B61D5">
          <w:rPr>
            <w:rStyle w:val="Hyperlink"/>
            <w:noProof/>
          </w:rPr>
          <w:t>7</w:t>
        </w:r>
        <w:r w:rsidR="005E14C1">
          <w:rPr>
            <w:rFonts w:asciiTheme="minorHAnsi" w:eastAsiaTheme="minorEastAsia" w:hAnsiTheme="minorHAnsi"/>
            <w:noProof/>
            <w:szCs w:val="22"/>
            <w:lang w:eastAsia="en-AU"/>
          </w:rPr>
          <w:tab/>
        </w:r>
        <w:r w:rsidR="005E14C1" w:rsidRPr="001B61D5">
          <w:rPr>
            <w:rStyle w:val="Hyperlink"/>
            <w:noProof/>
          </w:rPr>
          <w:t>Future considerations</w:t>
        </w:r>
        <w:r w:rsidR="005E14C1">
          <w:rPr>
            <w:noProof/>
            <w:webHidden/>
          </w:rPr>
          <w:tab/>
        </w:r>
        <w:r w:rsidR="005E14C1">
          <w:rPr>
            <w:noProof/>
            <w:webHidden/>
          </w:rPr>
          <w:fldChar w:fldCharType="begin"/>
        </w:r>
        <w:r w:rsidR="005E14C1">
          <w:rPr>
            <w:noProof/>
            <w:webHidden/>
          </w:rPr>
          <w:instrText xml:space="preserve"> PAGEREF _Toc99437552 \h </w:instrText>
        </w:r>
        <w:r w:rsidR="005E14C1">
          <w:rPr>
            <w:noProof/>
            <w:webHidden/>
          </w:rPr>
        </w:r>
        <w:r w:rsidR="005E14C1">
          <w:rPr>
            <w:noProof/>
            <w:webHidden/>
          </w:rPr>
          <w:fldChar w:fldCharType="separate"/>
        </w:r>
        <w:r w:rsidR="00DC6A20">
          <w:rPr>
            <w:noProof/>
            <w:webHidden/>
          </w:rPr>
          <w:t>61</w:t>
        </w:r>
        <w:r w:rsidR="005E14C1">
          <w:rPr>
            <w:noProof/>
            <w:webHidden/>
          </w:rPr>
          <w:fldChar w:fldCharType="end"/>
        </w:r>
      </w:hyperlink>
    </w:p>
    <w:p w14:paraId="1EE4BCBF" w14:textId="36368827" w:rsidR="005E14C1" w:rsidRDefault="00A96775">
      <w:pPr>
        <w:pStyle w:val="TOC2"/>
        <w:tabs>
          <w:tab w:val="left" w:pos="1134"/>
        </w:tabs>
        <w:rPr>
          <w:rFonts w:asciiTheme="minorHAnsi" w:eastAsiaTheme="minorEastAsia" w:hAnsiTheme="minorHAnsi"/>
          <w:noProof/>
          <w:szCs w:val="22"/>
          <w:lang w:eastAsia="en-AU"/>
        </w:rPr>
      </w:pPr>
      <w:hyperlink w:anchor="_Toc99437553" w:history="1">
        <w:r w:rsidR="005E14C1" w:rsidRPr="001B61D5">
          <w:rPr>
            <w:rStyle w:val="Hyperlink"/>
            <w:noProof/>
          </w:rPr>
          <w:t>7.1</w:t>
        </w:r>
        <w:r w:rsidR="005E14C1">
          <w:rPr>
            <w:rFonts w:asciiTheme="minorHAnsi" w:eastAsiaTheme="minorEastAsia" w:hAnsiTheme="minorHAnsi"/>
            <w:noProof/>
            <w:szCs w:val="22"/>
            <w:lang w:eastAsia="en-AU"/>
          </w:rPr>
          <w:tab/>
        </w:r>
        <w:r w:rsidR="005E14C1" w:rsidRPr="001B61D5">
          <w:rPr>
            <w:rStyle w:val="Hyperlink"/>
            <w:noProof/>
          </w:rPr>
          <w:t>Data limitations and assumptions</w:t>
        </w:r>
        <w:r w:rsidR="005E14C1">
          <w:rPr>
            <w:noProof/>
            <w:webHidden/>
          </w:rPr>
          <w:tab/>
        </w:r>
        <w:r w:rsidR="005E14C1">
          <w:rPr>
            <w:noProof/>
            <w:webHidden/>
          </w:rPr>
          <w:fldChar w:fldCharType="begin"/>
        </w:r>
        <w:r w:rsidR="005E14C1">
          <w:rPr>
            <w:noProof/>
            <w:webHidden/>
          </w:rPr>
          <w:instrText xml:space="preserve"> PAGEREF _Toc99437553 \h </w:instrText>
        </w:r>
        <w:r w:rsidR="005E14C1">
          <w:rPr>
            <w:noProof/>
            <w:webHidden/>
          </w:rPr>
        </w:r>
        <w:r w:rsidR="005E14C1">
          <w:rPr>
            <w:noProof/>
            <w:webHidden/>
          </w:rPr>
          <w:fldChar w:fldCharType="separate"/>
        </w:r>
        <w:r w:rsidR="00DC6A20">
          <w:rPr>
            <w:noProof/>
            <w:webHidden/>
          </w:rPr>
          <w:t>61</w:t>
        </w:r>
        <w:r w:rsidR="005E14C1">
          <w:rPr>
            <w:noProof/>
            <w:webHidden/>
          </w:rPr>
          <w:fldChar w:fldCharType="end"/>
        </w:r>
      </w:hyperlink>
    </w:p>
    <w:p w14:paraId="4829B6FD" w14:textId="0026AB4D" w:rsidR="005E14C1" w:rsidRDefault="00A96775">
      <w:pPr>
        <w:pStyle w:val="TOC2"/>
        <w:tabs>
          <w:tab w:val="left" w:pos="1134"/>
        </w:tabs>
        <w:rPr>
          <w:rFonts w:asciiTheme="minorHAnsi" w:eastAsiaTheme="minorEastAsia" w:hAnsiTheme="minorHAnsi"/>
          <w:noProof/>
          <w:szCs w:val="22"/>
          <w:lang w:eastAsia="en-AU"/>
        </w:rPr>
      </w:pPr>
      <w:hyperlink w:anchor="_Toc99437554" w:history="1">
        <w:r w:rsidR="005E14C1" w:rsidRPr="001B61D5">
          <w:rPr>
            <w:rStyle w:val="Hyperlink"/>
            <w:noProof/>
          </w:rPr>
          <w:t>7.2</w:t>
        </w:r>
        <w:r w:rsidR="005E14C1">
          <w:rPr>
            <w:rFonts w:asciiTheme="minorHAnsi" w:eastAsiaTheme="minorEastAsia" w:hAnsiTheme="minorHAnsi"/>
            <w:noProof/>
            <w:szCs w:val="22"/>
            <w:lang w:eastAsia="en-AU"/>
          </w:rPr>
          <w:tab/>
        </w:r>
        <w:r w:rsidR="005E14C1" w:rsidRPr="001B61D5">
          <w:rPr>
            <w:rStyle w:val="Hyperlink"/>
            <w:noProof/>
          </w:rPr>
          <w:t>National Minimum Dataset project</w:t>
        </w:r>
        <w:r w:rsidR="005E14C1">
          <w:rPr>
            <w:noProof/>
            <w:webHidden/>
          </w:rPr>
          <w:tab/>
        </w:r>
        <w:r w:rsidR="005E14C1">
          <w:rPr>
            <w:noProof/>
            <w:webHidden/>
          </w:rPr>
          <w:fldChar w:fldCharType="begin"/>
        </w:r>
        <w:r w:rsidR="005E14C1">
          <w:rPr>
            <w:noProof/>
            <w:webHidden/>
          </w:rPr>
          <w:instrText xml:space="preserve"> PAGEREF _Toc99437554 \h </w:instrText>
        </w:r>
        <w:r w:rsidR="005E14C1">
          <w:rPr>
            <w:noProof/>
            <w:webHidden/>
          </w:rPr>
        </w:r>
        <w:r w:rsidR="005E14C1">
          <w:rPr>
            <w:noProof/>
            <w:webHidden/>
          </w:rPr>
          <w:fldChar w:fldCharType="separate"/>
        </w:r>
        <w:r w:rsidR="00DC6A20">
          <w:rPr>
            <w:noProof/>
            <w:webHidden/>
          </w:rPr>
          <w:t>62</w:t>
        </w:r>
        <w:r w:rsidR="005E14C1">
          <w:rPr>
            <w:noProof/>
            <w:webHidden/>
          </w:rPr>
          <w:fldChar w:fldCharType="end"/>
        </w:r>
      </w:hyperlink>
    </w:p>
    <w:p w14:paraId="035DEC51" w14:textId="4D7E2377" w:rsidR="005E14C1" w:rsidRDefault="00A96775">
      <w:pPr>
        <w:pStyle w:val="TOC2"/>
        <w:tabs>
          <w:tab w:val="left" w:pos="1134"/>
        </w:tabs>
        <w:rPr>
          <w:rFonts w:asciiTheme="minorHAnsi" w:eastAsiaTheme="minorEastAsia" w:hAnsiTheme="minorHAnsi"/>
          <w:noProof/>
          <w:szCs w:val="22"/>
          <w:lang w:eastAsia="en-AU"/>
        </w:rPr>
      </w:pPr>
      <w:hyperlink w:anchor="_Toc99437555" w:history="1">
        <w:r w:rsidR="005E14C1" w:rsidRPr="001B61D5">
          <w:rPr>
            <w:rStyle w:val="Hyperlink"/>
            <w:noProof/>
          </w:rPr>
          <w:t>7.3</w:t>
        </w:r>
        <w:r w:rsidR="005E14C1">
          <w:rPr>
            <w:rFonts w:asciiTheme="minorHAnsi" w:eastAsiaTheme="minorEastAsia" w:hAnsiTheme="minorHAnsi"/>
            <w:noProof/>
            <w:szCs w:val="22"/>
            <w:lang w:eastAsia="en-AU"/>
          </w:rPr>
          <w:tab/>
        </w:r>
        <w:r w:rsidR="005E14C1" w:rsidRPr="001B61D5">
          <w:rPr>
            <w:rStyle w:val="Hyperlink"/>
            <w:noProof/>
          </w:rPr>
          <w:t>Using behavioural insights to increase uptake of the NACAP</w:t>
        </w:r>
        <w:r w:rsidR="005E14C1">
          <w:rPr>
            <w:noProof/>
            <w:webHidden/>
          </w:rPr>
          <w:tab/>
        </w:r>
        <w:r w:rsidR="005E14C1">
          <w:rPr>
            <w:noProof/>
            <w:webHidden/>
          </w:rPr>
          <w:fldChar w:fldCharType="begin"/>
        </w:r>
        <w:r w:rsidR="005E14C1">
          <w:rPr>
            <w:noProof/>
            <w:webHidden/>
          </w:rPr>
          <w:instrText xml:space="preserve"> PAGEREF _Toc99437555 \h </w:instrText>
        </w:r>
        <w:r w:rsidR="005E14C1">
          <w:rPr>
            <w:noProof/>
            <w:webHidden/>
          </w:rPr>
        </w:r>
        <w:r w:rsidR="005E14C1">
          <w:rPr>
            <w:noProof/>
            <w:webHidden/>
          </w:rPr>
          <w:fldChar w:fldCharType="separate"/>
        </w:r>
        <w:r w:rsidR="00DC6A20">
          <w:rPr>
            <w:noProof/>
            <w:webHidden/>
          </w:rPr>
          <w:t>62</w:t>
        </w:r>
        <w:r w:rsidR="005E14C1">
          <w:rPr>
            <w:noProof/>
            <w:webHidden/>
          </w:rPr>
          <w:fldChar w:fldCharType="end"/>
        </w:r>
      </w:hyperlink>
    </w:p>
    <w:p w14:paraId="453FA230" w14:textId="18A50B7D" w:rsidR="005E14C1" w:rsidRDefault="00A96775">
      <w:pPr>
        <w:pStyle w:val="TOC3"/>
        <w:tabs>
          <w:tab w:val="left" w:pos="1261"/>
        </w:tabs>
        <w:rPr>
          <w:rFonts w:asciiTheme="minorHAnsi" w:eastAsiaTheme="minorEastAsia" w:hAnsiTheme="minorHAnsi"/>
          <w:noProof/>
          <w:szCs w:val="22"/>
          <w:lang w:eastAsia="en-AU"/>
        </w:rPr>
      </w:pPr>
      <w:hyperlink w:anchor="_Toc99437556" w:history="1">
        <w:r w:rsidR="005E14C1" w:rsidRPr="001B61D5">
          <w:rPr>
            <w:rStyle w:val="Hyperlink"/>
            <w:noProof/>
            <w:lang w:val="en-GB"/>
          </w:rPr>
          <w:t>7.3.1</w:t>
        </w:r>
        <w:r w:rsidR="005E14C1">
          <w:rPr>
            <w:rFonts w:asciiTheme="minorHAnsi" w:eastAsiaTheme="minorEastAsia" w:hAnsiTheme="minorHAnsi"/>
            <w:noProof/>
            <w:szCs w:val="22"/>
            <w:lang w:eastAsia="en-AU"/>
          </w:rPr>
          <w:tab/>
        </w:r>
        <w:r w:rsidR="005E14C1" w:rsidRPr="001B61D5">
          <w:rPr>
            <w:rStyle w:val="Hyperlink"/>
            <w:noProof/>
            <w:lang w:val="en-GB"/>
          </w:rPr>
          <w:t>Project insights to increase take-up of NACAP</w:t>
        </w:r>
        <w:r w:rsidR="005E14C1">
          <w:rPr>
            <w:noProof/>
            <w:webHidden/>
          </w:rPr>
          <w:tab/>
        </w:r>
        <w:r w:rsidR="005E14C1">
          <w:rPr>
            <w:noProof/>
            <w:webHidden/>
          </w:rPr>
          <w:fldChar w:fldCharType="begin"/>
        </w:r>
        <w:r w:rsidR="005E14C1">
          <w:rPr>
            <w:noProof/>
            <w:webHidden/>
          </w:rPr>
          <w:instrText xml:space="preserve"> PAGEREF _Toc99437556 \h </w:instrText>
        </w:r>
        <w:r w:rsidR="005E14C1">
          <w:rPr>
            <w:noProof/>
            <w:webHidden/>
          </w:rPr>
        </w:r>
        <w:r w:rsidR="005E14C1">
          <w:rPr>
            <w:noProof/>
            <w:webHidden/>
          </w:rPr>
          <w:fldChar w:fldCharType="separate"/>
        </w:r>
        <w:r w:rsidR="00DC6A20">
          <w:rPr>
            <w:noProof/>
            <w:webHidden/>
          </w:rPr>
          <w:t>63</w:t>
        </w:r>
        <w:r w:rsidR="005E14C1">
          <w:rPr>
            <w:noProof/>
            <w:webHidden/>
          </w:rPr>
          <w:fldChar w:fldCharType="end"/>
        </w:r>
      </w:hyperlink>
    </w:p>
    <w:p w14:paraId="353DDF35" w14:textId="09F8543E" w:rsidR="005E14C1" w:rsidRDefault="00A96775">
      <w:pPr>
        <w:pStyle w:val="TOC1"/>
        <w:rPr>
          <w:rFonts w:asciiTheme="minorHAnsi" w:eastAsiaTheme="minorEastAsia" w:hAnsiTheme="minorHAnsi"/>
          <w:noProof/>
          <w:szCs w:val="22"/>
          <w:lang w:eastAsia="en-AU"/>
        </w:rPr>
      </w:pPr>
      <w:hyperlink w:anchor="_Toc99437557" w:history="1">
        <w:r w:rsidR="005E14C1" w:rsidRPr="001B61D5">
          <w:rPr>
            <w:rStyle w:val="Hyperlink"/>
            <w:noProof/>
          </w:rPr>
          <w:t>Endnotes</w:t>
        </w:r>
        <w:r w:rsidR="005E14C1">
          <w:rPr>
            <w:noProof/>
            <w:webHidden/>
          </w:rPr>
          <w:tab/>
        </w:r>
        <w:r w:rsidR="005E14C1">
          <w:rPr>
            <w:noProof/>
            <w:webHidden/>
          </w:rPr>
          <w:fldChar w:fldCharType="begin"/>
        </w:r>
        <w:r w:rsidR="005E14C1">
          <w:rPr>
            <w:noProof/>
            <w:webHidden/>
          </w:rPr>
          <w:instrText xml:space="preserve"> PAGEREF _Toc99437557 \h </w:instrText>
        </w:r>
        <w:r w:rsidR="005E14C1">
          <w:rPr>
            <w:noProof/>
            <w:webHidden/>
          </w:rPr>
        </w:r>
        <w:r w:rsidR="005E14C1">
          <w:rPr>
            <w:noProof/>
            <w:webHidden/>
          </w:rPr>
          <w:fldChar w:fldCharType="separate"/>
        </w:r>
        <w:r w:rsidR="00DC6A20">
          <w:rPr>
            <w:noProof/>
            <w:webHidden/>
          </w:rPr>
          <w:t>64</w:t>
        </w:r>
        <w:r w:rsidR="005E14C1">
          <w:rPr>
            <w:noProof/>
            <w:webHidden/>
          </w:rPr>
          <w:fldChar w:fldCharType="end"/>
        </w:r>
      </w:hyperlink>
    </w:p>
    <w:p w14:paraId="21A8D0F1" w14:textId="09B0E336" w:rsidR="005E14C1" w:rsidRDefault="00A96775">
      <w:pPr>
        <w:pStyle w:val="TOC1"/>
        <w:rPr>
          <w:rFonts w:asciiTheme="minorHAnsi" w:eastAsiaTheme="minorEastAsia" w:hAnsiTheme="minorHAnsi"/>
          <w:noProof/>
          <w:szCs w:val="22"/>
          <w:lang w:eastAsia="en-AU"/>
        </w:rPr>
      </w:pPr>
      <w:hyperlink w:anchor="_Toc99437558" w:history="1">
        <w:r w:rsidR="005E14C1" w:rsidRPr="001B61D5">
          <w:rPr>
            <w:rStyle w:val="Hyperlink"/>
            <w:noProof/>
          </w:rPr>
          <w:t>Appendix A - Detailed consultation approach</w:t>
        </w:r>
        <w:r w:rsidR="005E14C1">
          <w:rPr>
            <w:noProof/>
            <w:webHidden/>
          </w:rPr>
          <w:tab/>
        </w:r>
        <w:r w:rsidR="005E14C1">
          <w:rPr>
            <w:noProof/>
            <w:webHidden/>
          </w:rPr>
          <w:fldChar w:fldCharType="begin"/>
        </w:r>
        <w:r w:rsidR="005E14C1">
          <w:rPr>
            <w:noProof/>
            <w:webHidden/>
          </w:rPr>
          <w:instrText xml:space="preserve"> PAGEREF _Toc99437558 \h </w:instrText>
        </w:r>
        <w:r w:rsidR="005E14C1">
          <w:rPr>
            <w:noProof/>
            <w:webHidden/>
          </w:rPr>
        </w:r>
        <w:r w:rsidR="005E14C1">
          <w:rPr>
            <w:noProof/>
            <w:webHidden/>
          </w:rPr>
          <w:fldChar w:fldCharType="separate"/>
        </w:r>
        <w:r w:rsidR="00DC6A20">
          <w:rPr>
            <w:noProof/>
            <w:webHidden/>
          </w:rPr>
          <w:t>72</w:t>
        </w:r>
        <w:r w:rsidR="005E14C1">
          <w:rPr>
            <w:noProof/>
            <w:webHidden/>
          </w:rPr>
          <w:fldChar w:fldCharType="end"/>
        </w:r>
      </w:hyperlink>
    </w:p>
    <w:p w14:paraId="64647B79" w14:textId="1B52C0B3" w:rsidR="005E14C1" w:rsidRDefault="00A96775">
      <w:pPr>
        <w:pStyle w:val="TOC3"/>
        <w:tabs>
          <w:tab w:val="left" w:pos="1335"/>
        </w:tabs>
        <w:rPr>
          <w:rFonts w:asciiTheme="minorHAnsi" w:eastAsiaTheme="minorEastAsia" w:hAnsiTheme="minorHAnsi"/>
          <w:noProof/>
          <w:szCs w:val="22"/>
          <w:lang w:eastAsia="en-AU"/>
        </w:rPr>
      </w:pPr>
      <w:hyperlink w:anchor="_Toc99437559" w:history="1">
        <w:r w:rsidR="005E14C1" w:rsidRPr="001B61D5">
          <w:rPr>
            <w:rStyle w:val="Hyperlink"/>
            <w:noProof/>
            <w:lang w:eastAsia="en-AU"/>
          </w:rPr>
          <w:t>A.1.2.</w:t>
        </w:r>
        <w:r w:rsidR="005E14C1">
          <w:rPr>
            <w:rFonts w:asciiTheme="minorHAnsi" w:eastAsiaTheme="minorEastAsia" w:hAnsiTheme="minorHAnsi"/>
            <w:noProof/>
            <w:szCs w:val="22"/>
            <w:lang w:eastAsia="en-AU"/>
          </w:rPr>
          <w:tab/>
        </w:r>
        <w:r w:rsidR="005E14C1" w:rsidRPr="001B61D5">
          <w:rPr>
            <w:rStyle w:val="Hyperlink"/>
            <w:noProof/>
            <w:lang w:eastAsia="en-AU"/>
          </w:rPr>
          <w:t>Stakeholder consultation questions</w:t>
        </w:r>
        <w:r w:rsidR="005E14C1">
          <w:rPr>
            <w:noProof/>
            <w:webHidden/>
          </w:rPr>
          <w:tab/>
        </w:r>
        <w:r w:rsidR="005E14C1">
          <w:rPr>
            <w:noProof/>
            <w:webHidden/>
          </w:rPr>
          <w:fldChar w:fldCharType="begin"/>
        </w:r>
        <w:r w:rsidR="005E14C1">
          <w:rPr>
            <w:noProof/>
            <w:webHidden/>
          </w:rPr>
          <w:instrText xml:space="preserve"> PAGEREF _Toc99437559 \h </w:instrText>
        </w:r>
        <w:r w:rsidR="005E14C1">
          <w:rPr>
            <w:noProof/>
            <w:webHidden/>
          </w:rPr>
        </w:r>
        <w:r w:rsidR="005E14C1">
          <w:rPr>
            <w:noProof/>
            <w:webHidden/>
          </w:rPr>
          <w:fldChar w:fldCharType="separate"/>
        </w:r>
        <w:r w:rsidR="00DC6A20">
          <w:rPr>
            <w:noProof/>
            <w:webHidden/>
          </w:rPr>
          <w:t>74</w:t>
        </w:r>
        <w:r w:rsidR="005E14C1">
          <w:rPr>
            <w:noProof/>
            <w:webHidden/>
          </w:rPr>
          <w:fldChar w:fldCharType="end"/>
        </w:r>
      </w:hyperlink>
    </w:p>
    <w:p w14:paraId="7DE1CD8F" w14:textId="240CBE09" w:rsidR="005E14C1" w:rsidRDefault="00A96775">
      <w:pPr>
        <w:pStyle w:val="TOC1"/>
        <w:rPr>
          <w:rFonts w:asciiTheme="minorHAnsi" w:eastAsiaTheme="minorEastAsia" w:hAnsiTheme="minorHAnsi"/>
          <w:noProof/>
          <w:szCs w:val="22"/>
          <w:lang w:eastAsia="en-AU"/>
        </w:rPr>
      </w:pPr>
      <w:hyperlink w:anchor="_Toc99437560" w:history="1">
        <w:r w:rsidR="005E14C1" w:rsidRPr="001B61D5">
          <w:rPr>
            <w:rStyle w:val="Hyperlink"/>
            <w:noProof/>
          </w:rPr>
          <w:t>Appendix B - Program Expenditure</w:t>
        </w:r>
        <w:r w:rsidR="005E14C1">
          <w:rPr>
            <w:noProof/>
            <w:webHidden/>
          </w:rPr>
          <w:tab/>
        </w:r>
        <w:r w:rsidR="005E14C1">
          <w:rPr>
            <w:noProof/>
            <w:webHidden/>
          </w:rPr>
          <w:fldChar w:fldCharType="begin"/>
        </w:r>
        <w:r w:rsidR="005E14C1">
          <w:rPr>
            <w:noProof/>
            <w:webHidden/>
          </w:rPr>
          <w:instrText xml:space="preserve"> PAGEREF _Toc99437560 \h </w:instrText>
        </w:r>
        <w:r w:rsidR="005E14C1">
          <w:rPr>
            <w:noProof/>
            <w:webHidden/>
          </w:rPr>
        </w:r>
        <w:r w:rsidR="005E14C1">
          <w:rPr>
            <w:noProof/>
            <w:webHidden/>
          </w:rPr>
          <w:fldChar w:fldCharType="separate"/>
        </w:r>
        <w:r w:rsidR="00DC6A20">
          <w:rPr>
            <w:noProof/>
            <w:webHidden/>
          </w:rPr>
          <w:t>76</w:t>
        </w:r>
        <w:r w:rsidR="005E14C1">
          <w:rPr>
            <w:noProof/>
            <w:webHidden/>
          </w:rPr>
          <w:fldChar w:fldCharType="end"/>
        </w:r>
      </w:hyperlink>
    </w:p>
    <w:p w14:paraId="5A97E9C6" w14:textId="7F07E766" w:rsidR="005E14C1" w:rsidRDefault="00A96775">
      <w:pPr>
        <w:pStyle w:val="TOC1"/>
        <w:rPr>
          <w:rFonts w:asciiTheme="minorHAnsi" w:eastAsiaTheme="minorEastAsia" w:hAnsiTheme="minorHAnsi"/>
          <w:noProof/>
          <w:szCs w:val="22"/>
          <w:lang w:eastAsia="en-AU"/>
        </w:rPr>
      </w:pPr>
      <w:hyperlink w:anchor="_Toc99437561" w:history="1">
        <w:r w:rsidR="005E14C1" w:rsidRPr="001B61D5">
          <w:rPr>
            <w:rStyle w:val="Hyperlink"/>
            <w:noProof/>
            <w:lang w:eastAsia="en-AU"/>
          </w:rPr>
          <w:t>Limitation of our work</w:t>
        </w:r>
        <w:r w:rsidR="005E14C1">
          <w:rPr>
            <w:noProof/>
            <w:webHidden/>
          </w:rPr>
          <w:tab/>
        </w:r>
        <w:r w:rsidR="005E14C1">
          <w:rPr>
            <w:noProof/>
            <w:webHidden/>
          </w:rPr>
          <w:fldChar w:fldCharType="begin"/>
        </w:r>
        <w:r w:rsidR="005E14C1">
          <w:rPr>
            <w:noProof/>
            <w:webHidden/>
          </w:rPr>
          <w:instrText xml:space="preserve"> PAGEREF _Toc99437561 \h </w:instrText>
        </w:r>
        <w:r w:rsidR="005E14C1">
          <w:rPr>
            <w:noProof/>
            <w:webHidden/>
          </w:rPr>
        </w:r>
        <w:r w:rsidR="005E14C1">
          <w:rPr>
            <w:noProof/>
            <w:webHidden/>
          </w:rPr>
          <w:fldChar w:fldCharType="separate"/>
        </w:r>
        <w:r w:rsidR="00DC6A20">
          <w:rPr>
            <w:noProof/>
            <w:webHidden/>
          </w:rPr>
          <w:t>77</w:t>
        </w:r>
        <w:r w:rsidR="005E14C1">
          <w:rPr>
            <w:noProof/>
            <w:webHidden/>
          </w:rPr>
          <w:fldChar w:fldCharType="end"/>
        </w:r>
      </w:hyperlink>
    </w:p>
    <w:p w14:paraId="10F03077" w14:textId="10FE703B" w:rsidR="005E14C1" w:rsidRDefault="00A96775">
      <w:pPr>
        <w:pStyle w:val="TOC2"/>
        <w:rPr>
          <w:rFonts w:asciiTheme="minorHAnsi" w:eastAsiaTheme="minorEastAsia" w:hAnsiTheme="minorHAnsi"/>
          <w:noProof/>
          <w:szCs w:val="22"/>
          <w:lang w:eastAsia="en-AU"/>
        </w:rPr>
      </w:pPr>
      <w:hyperlink w:anchor="_Toc99437562" w:history="1">
        <w:r w:rsidR="005E14C1" w:rsidRPr="001B61D5">
          <w:rPr>
            <w:rStyle w:val="Hyperlink"/>
            <w:noProof/>
          </w:rPr>
          <w:t>General use restriction</w:t>
        </w:r>
        <w:r w:rsidR="005E14C1">
          <w:rPr>
            <w:noProof/>
            <w:webHidden/>
          </w:rPr>
          <w:tab/>
        </w:r>
        <w:r w:rsidR="005E14C1">
          <w:rPr>
            <w:noProof/>
            <w:webHidden/>
          </w:rPr>
          <w:fldChar w:fldCharType="begin"/>
        </w:r>
        <w:r w:rsidR="005E14C1">
          <w:rPr>
            <w:noProof/>
            <w:webHidden/>
          </w:rPr>
          <w:instrText xml:space="preserve"> PAGEREF _Toc99437562 \h </w:instrText>
        </w:r>
        <w:r w:rsidR="005E14C1">
          <w:rPr>
            <w:noProof/>
            <w:webHidden/>
          </w:rPr>
        </w:r>
        <w:r w:rsidR="005E14C1">
          <w:rPr>
            <w:noProof/>
            <w:webHidden/>
          </w:rPr>
          <w:fldChar w:fldCharType="separate"/>
        </w:r>
        <w:r w:rsidR="00DC6A20">
          <w:rPr>
            <w:noProof/>
            <w:webHidden/>
          </w:rPr>
          <w:t>77</w:t>
        </w:r>
        <w:r w:rsidR="005E14C1">
          <w:rPr>
            <w:noProof/>
            <w:webHidden/>
          </w:rPr>
          <w:fldChar w:fldCharType="end"/>
        </w:r>
      </w:hyperlink>
    </w:p>
    <w:p w14:paraId="2F0B4B4D" w14:textId="3E92084D" w:rsidR="00A6563E" w:rsidRDefault="002268CC" w:rsidP="00FC6122">
      <w:pPr>
        <w:sectPr w:rsidR="00A6563E" w:rsidSect="005F043A">
          <w:headerReference w:type="default" r:id="rId17"/>
          <w:footerReference w:type="default" r:id="rId18"/>
          <w:pgSz w:w="11906" w:h="16838" w:code="9"/>
          <w:pgMar w:top="1440" w:right="1440" w:bottom="1440" w:left="1440" w:header="680" w:footer="425" w:gutter="0"/>
          <w:cols w:space="284"/>
          <w:noEndnote/>
          <w:docGrid w:linePitch="360"/>
        </w:sectPr>
      </w:pPr>
      <w:r>
        <w:fldChar w:fldCharType="end"/>
      </w:r>
    </w:p>
    <w:p w14:paraId="5F5488BC" w14:textId="77777777" w:rsidR="00FC6122" w:rsidRDefault="00FC6122" w:rsidP="00FC6122">
      <w:pPr>
        <w:pStyle w:val="TOCHeading"/>
      </w:pPr>
      <w:bookmarkStart w:id="3" w:name="_Hlk482167878"/>
      <w:r>
        <w:lastRenderedPageBreak/>
        <w:t>Charts</w:t>
      </w:r>
    </w:p>
    <w:p w14:paraId="723A4A64" w14:textId="6E6EB2BA" w:rsidR="00D65DCD" w:rsidRDefault="00E023AD">
      <w:pPr>
        <w:pStyle w:val="TableofFigures"/>
        <w:tabs>
          <w:tab w:val="right" w:leader="dot" w:pos="9016"/>
        </w:tabs>
        <w:rPr>
          <w:rFonts w:asciiTheme="minorHAnsi" w:eastAsiaTheme="minorEastAsia" w:hAnsiTheme="minorHAnsi"/>
          <w:noProof/>
          <w:szCs w:val="22"/>
          <w:lang w:eastAsia="en-AU"/>
        </w:rPr>
      </w:pPr>
      <w:r>
        <w:fldChar w:fldCharType="begin"/>
      </w:r>
      <w:r>
        <w:instrText xml:space="preserve"> TOC \h \z \t "Caption_Chart,6,Exec Chart Caption,6,Appendix Chart Caption,6" \c "Table" </w:instrText>
      </w:r>
      <w:r>
        <w:fldChar w:fldCharType="separate"/>
      </w:r>
      <w:hyperlink w:anchor="_Toc99117029" w:history="1">
        <w:r w:rsidR="00D65DCD" w:rsidRPr="00C63A54">
          <w:rPr>
            <w:rStyle w:val="Hyperlink"/>
            <w:noProof/>
          </w:rPr>
          <w:t>Chart i : Advocacy usage (2020/21) in residential aged care and community care, by age.</w:t>
        </w:r>
        <w:r w:rsidR="00D65DCD">
          <w:rPr>
            <w:noProof/>
            <w:webHidden/>
          </w:rPr>
          <w:tab/>
        </w:r>
        <w:r w:rsidR="00D65DCD">
          <w:rPr>
            <w:noProof/>
            <w:webHidden/>
          </w:rPr>
          <w:fldChar w:fldCharType="begin"/>
        </w:r>
        <w:r w:rsidR="00D65DCD">
          <w:rPr>
            <w:noProof/>
            <w:webHidden/>
          </w:rPr>
          <w:instrText xml:space="preserve"> PAGEREF _Toc99117029 \h </w:instrText>
        </w:r>
        <w:r w:rsidR="00D65DCD">
          <w:rPr>
            <w:noProof/>
            <w:webHidden/>
          </w:rPr>
        </w:r>
        <w:r w:rsidR="00D65DCD">
          <w:rPr>
            <w:noProof/>
            <w:webHidden/>
          </w:rPr>
          <w:fldChar w:fldCharType="separate"/>
        </w:r>
        <w:r w:rsidR="00DC6A20">
          <w:rPr>
            <w:noProof/>
            <w:webHidden/>
          </w:rPr>
          <w:t>v</w:t>
        </w:r>
        <w:r w:rsidR="00D65DCD">
          <w:rPr>
            <w:noProof/>
            <w:webHidden/>
          </w:rPr>
          <w:fldChar w:fldCharType="end"/>
        </w:r>
      </w:hyperlink>
    </w:p>
    <w:p w14:paraId="4144C3C8" w14:textId="41835B60"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0" w:history="1">
        <w:r w:rsidR="00D65DCD" w:rsidRPr="00C63A54">
          <w:rPr>
            <w:rStyle w:val="Hyperlink"/>
            <w:noProof/>
          </w:rPr>
          <w:t>Chart ii : Advocacy usage among vulnerable populations</w:t>
        </w:r>
        <w:r w:rsidR="00D65DCD">
          <w:rPr>
            <w:noProof/>
            <w:webHidden/>
          </w:rPr>
          <w:tab/>
        </w:r>
        <w:r w:rsidR="00D65DCD">
          <w:rPr>
            <w:noProof/>
            <w:webHidden/>
          </w:rPr>
          <w:fldChar w:fldCharType="begin"/>
        </w:r>
        <w:r w:rsidR="00D65DCD">
          <w:rPr>
            <w:noProof/>
            <w:webHidden/>
          </w:rPr>
          <w:instrText xml:space="preserve"> PAGEREF _Toc99117030 \h </w:instrText>
        </w:r>
        <w:r w:rsidR="00D65DCD">
          <w:rPr>
            <w:noProof/>
            <w:webHidden/>
          </w:rPr>
        </w:r>
        <w:r w:rsidR="00D65DCD">
          <w:rPr>
            <w:noProof/>
            <w:webHidden/>
          </w:rPr>
          <w:fldChar w:fldCharType="separate"/>
        </w:r>
        <w:r w:rsidR="00DC6A20">
          <w:rPr>
            <w:noProof/>
            <w:webHidden/>
          </w:rPr>
          <w:t>vi</w:t>
        </w:r>
        <w:r w:rsidR="00D65DCD">
          <w:rPr>
            <w:noProof/>
            <w:webHidden/>
          </w:rPr>
          <w:fldChar w:fldCharType="end"/>
        </w:r>
      </w:hyperlink>
    </w:p>
    <w:p w14:paraId="0617A767" w14:textId="4F1E1374"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1" w:history="1">
        <w:r w:rsidR="00D65DCD" w:rsidRPr="00C63A54">
          <w:rPr>
            <w:rStyle w:val="Hyperlink"/>
            <w:noProof/>
          </w:rPr>
          <w:t xml:space="preserve">Chart iii : </w:t>
        </w:r>
        <w:r w:rsidR="00D65DCD" w:rsidRPr="00C63A54">
          <w:rPr>
            <w:rStyle w:val="Hyperlink"/>
            <w:noProof/>
            <w:lang w:eastAsia="en-AU"/>
          </w:rPr>
          <w:t>Usage rates across both residential and community aged care, 2020/21 to 2031/32</w:t>
        </w:r>
        <w:r w:rsidR="00D65DCD">
          <w:rPr>
            <w:noProof/>
            <w:webHidden/>
          </w:rPr>
          <w:tab/>
        </w:r>
        <w:r w:rsidR="00D65DCD">
          <w:rPr>
            <w:noProof/>
            <w:webHidden/>
          </w:rPr>
          <w:fldChar w:fldCharType="begin"/>
        </w:r>
        <w:r w:rsidR="00D65DCD">
          <w:rPr>
            <w:noProof/>
            <w:webHidden/>
          </w:rPr>
          <w:instrText xml:space="preserve"> PAGEREF _Toc99117031 \h </w:instrText>
        </w:r>
        <w:r w:rsidR="00D65DCD">
          <w:rPr>
            <w:noProof/>
            <w:webHidden/>
          </w:rPr>
        </w:r>
        <w:r w:rsidR="00D65DCD">
          <w:rPr>
            <w:noProof/>
            <w:webHidden/>
          </w:rPr>
          <w:fldChar w:fldCharType="separate"/>
        </w:r>
        <w:r w:rsidR="00DC6A20">
          <w:rPr>
            <w:noProof/>
            <w:webHidden/>
          </w:rPr>
          <w:t>viii</w:t>
        </w:r>
        <w:r w:rsidR="00D65DCD">
          <w:rPr>
            <w:noProof/>
            <w:webHidden/>
          </w:rPr>
          <w:fldChar w:fldCharType="end"/>
        </w:r>
      </w:hyperlink>
    </w:p>
    <w:p w14:paraId="547DC26E" w14:textId="712F2D61"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2" w:history="1">
        <w:r w:rsidR="00D65DCD" w:rsidRPr="00C63A54">
          <w:rPr>
            <w:rStyle w:val="Hyperlink"/>
            <w:noProof/>
          </w:rPr>
          <w:t>Chart 2.1 : Composition of the NACAP target population, by age</w:t>
        </w:r>
        <w:r w:rsidR="00D65DCD">
          <w:rPr>
            <w:noProof/>
            <w:webHidden/>
          </w:rPr>
          <w:tab/>
        </w:r>
        <w:r w:rsidR="00D65DCD">
          <w:rPr>
            <w:noProof/>
            <w:webHidden/>
          </w:rPr>
          <w:fldChar w:fldCharType="begin"/>
        </w:r>
        <w:r w:rsidR="00D65DCD">
          <w:rPr>
            <w:noProof/>
            <w:webHidden/>
          </w:rPr>
          <w:instrText xml:space="preserve"> PAGEREF _Toc99117032 \h </w:instrText>
        </w:r>
        <w:r w:rsidR="00D65DCD">
          <w:rPr>
            <w:noProof/>
            <w:webHidden/>
          </w:rPr>
        </w:r>
        <w:r w:rsidR="00D65DCD">
          <w:rPr>
            <w:noProof/>
            <w:webHidden/>
          </w:rPr>
          <w:fldChar w:fldCharType="separate"/>
        </w:r>
        <w:r w:rsidR="00DC6A20">
          <w:rPr>
            <w:noProof/>
            <w:webHidden/>
          </w:rPr>
          <w:t>21</w:t>
        </w:r>
        <w:r w:rsidR="00D65DCD">
          <w:rPr>
            <w:noProof/>
            <w:webHidden/>
          </w:rPr>
          <w:fldChar w:fldCharType="end"/>
        </w:r>
      </w:hyperlink>
    </w:p>
    <w:p w14:paraId="7798CFA6" w14:textId="4E450B8E"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3" w:history="1">
        <w:r w:rsidR="00D65DCD" w:rsidRPr="00C63A54">
          <w:rPr>
            <w:rStyle w:val="Hyperlink"/>
            <w:noProof/>
          </w:rPr>
          <w:t>Chart 2.2 : Composition of the NACAP target population, by care type</w:t>
        </w:r>
        <w:r w:rsidR="00D65DCD">
          <w:rPr>
            <w:noProof/>
            <w:webHidden/>
          </w:rPr>
          <w:tab/>
        </w:r>
        <w:r w:rsidR="00D65DCD">
          <w:rPr>
            <w:noProof/>
            <w:webHidden/>
          </w:rPr>
          <w:fldChar w:fldCharType="begin"/>
        </w:r>
        <w:r w:rsidR="00D65DCD">
          <w:rPr>
            <w:noProof/>
            <w:webHidden/>
          </w:rPr>
          <w:instrText xml:space="preserve"> PAGEREF _Toc99117033 \h </w:instrText>
        </w:r>
        <w:r w:rsidR="00D65DCD">
          <w:rPr>
            <w:noProof/>
            <w:webHidden/>
          </w:rPr>
        </w:r>
        <w:r w:rsidR="00D65DCD">
          <w:rPr>
            <w:noProof/>
            <w:webHidden/>
          </w:rPr>
          <w:fldChar w:fldCharType="separate"/>
        </w:r>
        <w:r w:rsidR="00DC6A20">
          <w:rPr>
            <w:noProof/>
            <w:webHidden/>
          </w:rPr>
          <w:t>22</w:t>
        </w:r>
        <w:r w:rsidR="00D65DCD">
          <w:rPr>
            <w:noProof/>
            <w:webHidden/>
          </w:rPr>
          <w:fldChar w:fldCharType="end"/>
        </w:r>
      </w:hyperlink>
    </w:p>
    <w:p w14:paraId="3C62FD67" w14:textId="2AF1596F"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4" w:history="1">
        <w:r w:rsidR="00D65DCD" w:rsidRPr="00C63A54">
          <w:rPr>
            <w:rStyle w:val="Hyperlink"/>
            <w:noProof/>
            <w:lang w:eastAsia="en-AU"/>
          </w:rPr>
          <w:t>Chart 2.3 : Projected NACAP target population from 2020/21 to 2031/32, by care type</w:t>
        </w:r>
        <w:r w:rsidR="00D65DCD">
          <w:rPr>
            <w:noProof/>
            <w:webHidden/>
          </w:rPr>
          <w:tab/>
        </w:r>
        <w:r w:rsidR="00D65DCD">
          <w:rPr>
            <w:noProof/>
            <w:webHidden/>
          </w:rPr>
          <w:fldChar w:fldCharType="begin"/>
        </w:r>
        <w:r w:rsidR="00D65DCD">
          <w:rPr>
            <w:noProof/>
            <w:webHidden/>
          </w:rPr>
          <w:instrText xml:space="preserve"> PAGEREF _Toc99117034 \h </w:instrText>
        </w:r>
        <w:r w:rsidR="00D65DCD">
          <w:rPr>
            <w:noProof/>
            <w:webHidden/>
          </w:rPr>
        </w:r>
        <w:r w:rsidR="00D65DCD">
          <w:rPr>
            <w:noProof/>
            <w:webHidden/>
          </w:rPr>
          <w:fldChar w:fldCharType="separate"/>
        </w:r>
        <w:r w:rsidR="00DC6A20">
          <w:rPr>
            <w:noProof/>
            <w:webHidden/>
          </w:rPr>
          <w:t>22</w:t>
        </w:r>
        <w:r w:rsidR="00D65DCD">
          <w:rPr>
            <w:noProof/>
            <w:webHidden/>
          </w:rPr>
          <w:fldChar w:fldCharType="end"/>
        </w:r>
      </w:hyperlink>
    </w:p>
    <w:p w14:paraId="3CA03A0D" w14:textId="1F7C8B6D"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5" w:history="1">
        <w:r w:rsidR="00D65DCD" w:rsidRPr="00C63A54">
          <w:rPr>
            <w:rStyle w:val="Hyperlink"/>
            <w:noProof/>
          </w:rPr>
          <w:t>Chart 2.4 : NACAP total agreement funding (less exclusions) and forecast service delivery, 2020/21 to 2031/32</w:t>
        </w:r>
        <w:r w:rsidR="00D65DCD">
          <w:rPr>
            <w:noProof/>
            <w:webHidden/>
          </w:rPr>
          <w:tab/>
        </w:r>
        <w:r w:rsidR="00D65DCD">
          <w:rPr>
            <w:noProof/>
            <w:webHidden/>
          </w:rPr>
          <w:fldChar w:fldCharType="begin"/>
        </w:r>
        <w:r w:rsidR="00D65DCD">
          <w:rPr>
            <w:noProof/>
            <w:webHidden/>
          </w:rPr>
          <w:instrText xml:space="preserve"> PAGEREF _Toc99117035 \h </w:instrText>
        </w:r>
        <w:r w:rsidR="00D65DCD">
          <w:rPr>
            <w:noProof/>
            <w:webHidden/>
          </w:rPr>
        </w:r>
        <w:r w:rsidR="00D65DCD">
          <w:rPr>
            <w:noProof/>
            <w:webHidden/>
          </w:rPr>
          <w:fldChar w:fldCharType="separate"/>
        </w:r>
        <w:r w:rsidR="00DC6A20">
          <w:rPr>
            <w:noProof/>
            <w:webHidden/>
          </w:rPr>
          <w:t>24</w:t>
        </w:r>
        <w:r w:rsidR="00D65DCD">
          <w:rPr>
            <w:noProof/>
            <w:webHidden/>
          </w:rPr>
          <w:fldChar w:fldCharType="end"/>
        </w:r>
      </w:hyperlink>
    </w:p>
    <w:p w14:paraId="69DFD232" w14:textId="2902FCE8"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6" w:history="1">
        <w:r w:rsidR="00D65DCD" w:rsidRPr="00C63A54">
          <w:rPr>
            <w:rStyle w:val="Hyperlink"/>
            <w:noProof/>
          </w:rPr>
          <w:t>Chart 3.1 : Information, advocacy, and education over 2018/19 to 2020/21</w:t>
        </w:r>
        <w:r w:rsidR="00D65DCD">
          <w:rPr>
            <w:noProof/>
            <w:webHidden/>
          </w:rPr>
          <w:tab/>
        </w:r>
        <w:r w:rsidR="00D65DCD">
          <w:rPr>
            <w:noProof/>
            <w:webHidden/>
          </w:rPr>
          <w:fldChar w:fldCharType="begin"/>
        </w:r>
        <w:r w:rsidR="00D65DCD">
          <w:rPr>
            <w:noProof/>
            <w:webHidden/>
          </w:rPr>
          <w:instrText xml:space="preserve"> PAGEREF _Toc99117036 \h </w:instrText>
        </w:r>
        <w:r w:rsidR="00D65DCD">
          <w:rPr>
            <w:noProof/>
            <w:webHidden/>
          </w:rPr>
        </w:r>
        <w:r w:rsidR="00D65DCD">
          <w:rPr>
            <w:noProof/>
            <w:webHidden/>
          </w:rPr>
          <w:fldChar w:fldCharType="separate"/>
        </w:r>
        <w:r w:rsidR="00DC6A20">
          <w:rPr>
            <w:noProof/>
            <w:webHidden/>
          </w:rPr>
          <w:t>26</w:t>
        </w:r>
        <w:r w:rsidR="00D65DCD">
          <w:rPr>
            <w:noProof/>
            <w:webHidden/>
          </w:rPr>
          <w:fldChar w:fldCharType="end"/>
        </w:r>
      </w:hyperlink>
    </w:p>
    <w:p w14:paraId="4A8FC153" w14:textId="74CEC01E"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7" w:history="1">
        <w:r w:rsidR="00D65DCD" w:rsidRPr="00C63A54">
          <w:rPr>
            <w:rStyle w:val="Hyperlink"/>
            <w:noProof/>
          </w:rPr>
          <w:t>Chart 3.2 : Information and advocacy cases in 2020/21 by SDO.</w:t>
        </w:r>
        <w:r w:rsidR="00D65DCD">
          <w:rPr>
            <w:noProof/>
            <w:webHidden/>
          </w:rPr>
          <w:tab/>
        </w:r>
        <w:r w:rsidR="00D65DCD">
          <w:rPr>
            <w:noProof/>
            <w:webHidden/>
          </w:rPr>
          <w:fldChar w:fldCharType="begin"/>
        </w:r>
        <w:r w:rsidR="00D65DCD">
          <w:rPr>
            <w:noProof/>
            <w:webHidden/>
          </w:rPr>
          <w:instrText xml:space="preserve"> PAGEREF _Toc99117037 \h </w:instrText>
        </w:r>
        <w:r w:rsidR="00D65DCD">
          <w:rPr>
            <w:noProof/>
            <w:webHidden/>
          </w:rPr>
        </w:r>
        <w:r w:rsidR="00D65DCD">
          <w:rPr>
            <w:noProof/>
            <w:webHidden/>
          </w:rPr>
          <w:fldChar w:fldCharType="separate"/>
        </w:r>
        <w:r w:rsidR="00DC6A20">
          <w:rPr>
            <w:noProof/>
            <w:webHidden/>
          </w:rPr>
          <w:t>28</w:t>
        </w:r>
        <w:r w:rsidR="00D65DCD">
          <w:rPr>
            <w:noProof/>
            <w:webHidden/>
          </w:rPr>
          <w:fldChar w:fldCharType="end"/>
        </w:r>
      </w:hyperlink>
    </w:p>
    <w:p w14:paraId="07F85BFB" w14:textId="20B438B7"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8" w:history="1">
        <w:r w:rsidR="00D65DCD" w:rsidRPr="00C63A54">
          <w:rPr>
            <w:rStyle w:val="Hyperlink"/>
            <w:noProof/>
          </w:rPr>
          <w:t>Chart 3.3 : Advocacy usage (2020/21) in residential aged care and community care, by age</w:t>
        </w:r>
        <w:r w:rsidR="00D65DCD">
          <w:rPr>
            <w:noProof/>
            <w:webHidden/>
          </w:rPr>
          <w:tab/>
        </w:r>
        <w:r w:rsidR="00D65DCD">
          <w:rPr>
            <w:noProof/>
            <w:webHidden/>
          </w:rPr>
          <w:fldChar w:fldCharType="begin"/>
        </w:r>
        <w:r w:rsidR="00D65DCD">
          <w:rPr>
            <w:noProof/>
            <w:webHidden/>
          </w:rPr>
          <w:instrText xml:space="preserve"> PAGEREF _Toc99117038 \h </w:instrText>
        </w:r>
        <w:r w:rsidR="00D65DCD">
          <w:rPr>
            <w:noProof/>
            <w:webHidden/>
          </w:rPr>
        </w:r>
        <w:r w:rsidR="00D65DCD">
          <w:rPr>
            <w:noProof/>
            <w:webHidden/>
          </w:rPr>
          <w:fldChar w:fldCharType="separate"/>
        </w:r>
        <w:r w:rsidR="00DC6A20">
          <w:rPr>
            <w:noProof/>
            <w:webHidden/>
          </w:rPr>
          <w:t>29</w:t>
        </w:r>
        <w:r w:rsidR="00D65DCD">
          <w:rPr>
            <w:noProof/>
            <w:webHidden/>
          </w:rPr>
          <w:fldChar w:fldCharType="end"/>
        </w:r>
      </w:hyperlink>
    </w:p>
    <w:p w14:paraId="5DED62F4" w14:textId="73364125"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39" w:history="1">
        <w:r w:rsidR="00D65DCD" w:rsidRPr="00C63A54">
          <w:rPr>
            <w:rStyle w:val="Hyperlink"/>
            <w:noProof/>
          </w:rPr>
          <w:t>Chart 3.4 : Information usage in residential aged care and community care, by age</w:t>
        </w:r>
        <w:r w:rsidR="00D65DCD">
          <w:rPr>
            <w:noProof/>
            <w:webHidden/>
          </w:rPr>
          <w:tab/>
        </w:r>
        <w:r w:rsidR="00D65DCD">
          <w:rPr>
            <w:noProof/>
            <w:webHidden/>
          </w:rPr>
          <w:fldChar w:fldCharType="begin"/>
        </w:r>
        <w:r w:rsidR="00D65DCD">
          <w:rPr>
            <w:noProof/>
            <w:webHidden/>
          </w:rPr>
          <w:instrText xml:space="preserve"> PAGEREF _Toc99117039 \h </w:instrText>
        </w:r>
        <w:r w:rsidR="00D65DCD">
          <w:rPr>
            <w:noProof/>
            <w:webHidden/>
          </w:rPr>
        </w:r>
        <w:r w:rsidR="00D65DCD">
          <w:rPr>
            <w:noProof/>
            <w:webHidden/>
          </w:rPr>
          <w:fldChar w:fldCharType="separate"/>
        </w:r>
        <w:r w:rsidR="00DC6A20">
          <w:rPr>
            <w:noProof/>
            <w:webHidden/>
          </w:rPr>
          <w:t>30</w:t>
        </w:r>
        <w:r w:rsidR="00D65DCD">
          <w:rPr>
            <w:noProof/>
            <w:webHidden/>
          </w:rPr>
          <w:fldChar w:fldCharType="end"/>
        </w:r>
      </w:hyperlink>
    </w:p>
    <w:p w14:paraId="76FA225F" w14:textId="301DA186"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0" w:history="1">
        <w:r w:rsidR="00D65DCD" w:rsidRPr="00C63A54">
          <w:rPr>
            <w:rStyle w:val="Hyperlink"/>
            <w:noProof/>
          </w:rPr>
          <w:t>Chart 3.5 : ACQSC complaints resolution data across 2019/20 to 2020/21 annual reports</w:t>
        </w:r>
        <w:r w:rsidR="00D65DCD">
          <w:rPr>
            <w:noProof/>
            <w:webHidden/>
          </w:rPr>
          <w:tab/>
        </w:r>
        <w:r w:rsidR="00D65DCD">
          <w:rPr>
            <w:noProof/>
            <w:webHidden/>
          </w:rPr>
          <w:fldChar w:fldCharType="begin"/>
        </w:r>
        <w:r w:rsidR="00D65DCD">
          <w:rPr>
            <w:noProof/>
            <w:webHidden/>
          </w:rPr>
          <w:instrText xml:space="preserve"> PAGEREF _Toc99117040 \h </w:instrText>
        </w:r>
        <w:r w:rsidR="00D65DCD">
          <w:rPr>
            <w:noProof/>
            <w:webHidden/>
          </w:rPr>
        </w:r>
        <w:r w:rsidR="00D65DCD">
          <w:rPr>
            <w:noProof/>
            <w:webHidden/>
          </w:rPr>
          <w:fldChar w:fldCharType="separate"/>
        </w:r>
        <w:r w:rsidR="00DC6A20">
          <w:rPr>
            <w:noProof/>
            <w:webHidden/>
          </w:rPr>
          <w:t>31</w:t>
        </w:r>
        <w:r w:rsidR="00D65DCD">
          <w:rPr>
            <w:noProof/>
            <w:webHidden/>
          </w:rPr>
          <w:fldChar w:fldCharType="end"/>
        </w:r>
      </w:hyperlink>
    </w:p>
    <w:p w14:paraId="7505A0C0" w14:textId="2040B6D8"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1" w:history="1">
        <w:r w:rsidR="00D65DCD" w:rsidRPr="00C63A54">
          <w:rPr>
            <w:rStyle w:val="Hyperlink"/>
            <w:noProof/>
          </w:rPr>
          <w:t>Table 3.1: Issues raised in complaints to ACQSC in 2020/21</w:t>
        </w:r>
        <w:r w:rsidR="00D65DCD">
          <w:rPr>
            <w:noProof/>
            <w:webHidden/>
          </w:rPr>
          <w:tab/>
        </w:r>
        <w:r w:rsidR="00D65DCD">
          <w:rPr>
            <w:noProof/>
            <w:webHidden/>
          </w:rPr>
          <w:fldChar w:fldCharType="begin"/>
        </w:r>
        <w:r w:rsidR="00D65DCD">
          <w:rPr>
            <w:noProof/>
            <w:webHidden/>
          </w:rPr>
          <w:instrText xml:space="preserve"> PAGEREF _Toc99117041 \h </w:instrText>
        </w:r>
        <w:r w:rsidR="00D65DCD">
          <w:rPr>
            <w:noProof/>
            <w:webHidden/>
          </w:rPr>
        </w:r>
        <w:r w:rsidR="00D65DCD">
          <w:rPr>
            <w:noProof/>
            <w:webHidden/>
          </w:rPr>
          <w:fldChar w:fldCharType="separate"/>
        </w:r>
        <w:r w:rsidR="00DC6A20">
          <w:rPr>
            <w:noProof/>
            <w:webHidden/>
          </w:rPr>
          <w:t>31</w:t>
        </w:r>
        <w:r w:rsidR="00D65DCD">
          <w:rPr>
            <w:noProof/>
            <w:webHidden/>
          </w:rPr>
          <w:fldChar w:fldCharType="end"/>
        </w:r>
      </w:hyperlink>
    </w:p>
    <w:p w14:paraId="73F4EAE5" w14:textId="0F8AD9D9"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2" w:history="1">
        <w:r w:rsidR="00D65DCD" w:rsidRPr="00C63A54">
          <w:rPr>
            <w:rStyle w:val="Hyperlink"/>
            <w:noProof/>
          </w:rPr>
          <w:t>Chart 3.6 : Advocacy and information usage among vulnerable populations, by setting</w:t>
        </w:r>
        <w:r w:rsidR="00D65DCD">
          <w:rPr>
            <w:noProof/>
            <w:webHidden/>
          </w:rPr>
          <w:tab/>
        </w:r>
        <w:r w:rsidR="00D65DCD">
          <w:rPr>
            <w:noProof/>
            <w:webHidden/>
          </w:rPr>
          <w:fldChar w:fldCharType="begin"/>
        </w:r>
        <w:r w:rsidR="00D65DCD">
          <w:rPr>
            <w:noProof/>
            <w:webHidden/>
          </w:rPr>
          <w:instrText xml:space="preserve"> PAGEREF _Toc99117042 \h </w:instrText>
        </w:r>
        <w:r w:rsidR="00D65DCD">
          <w:rPr>
            <w:noProof/>
            <w:webHidden/>
          </w:rPr>
        </w:r>
        <w:r w:rsidR="00D65DCD">
          <w:rPr>
            <w:noProof/>
            <w:webHidden/>
          </w:rPr>
          <w:fldChar w:fldCharType="separate"/>
        </w:r>
        <w:r w:rsidR="00DC6A20">
          <w:rPr>
            <w:noProof/>
            <w:webHidden/>
          </w:rPr>
          <w:t>32</w:t>
        </w:r>
        <w:r w:rsidR="00D65DCD">
          <w:rPr>
            <w:noProof/>
            <w:webHidden/>
          </w:rPr>
          <w:fldChar w:fldCharType="end"/>
        </w:r>
      </w:hyperlink>
    </w:p>
    <w:p w14:paraId="15E44ADB" w14:textId="4C93F271"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3" w:history="1">
        <w:r w:rsidR="00D65DCD" w:rsidRPr="00C63A54">
          <w:rPr>
            <w:rStyle w:val="Hyperlink"/>
            <w:noProof/>
            <w:lang w:eastAsia="en-AU"/>
          </w:rPr>
          <w:t>Chart 4.1 : Projected NACAP users from 2020/21 to 2031/32, by care type</w:t>
        </w:r>
        <w:r w:rsidR="00D65DCD">
          <w:rPr>
            <w:noProof/>
            <w:webHidden/>
          </w:rPr>
          <w:tab/>
        </w:r>
        <w:r w:rsidR="00D65DCD">
          <w:rPr>
            <w:noProof/>
            <w:webHidden/>
          </w:rPr>
          <w:fldChar w:fldCharType="begin"/>
        </w:r>
        <w:r w:rsidR="00D65DCD">
          <w:rPr>
            <w:noProof/>
            <w:webHidden/>
          </w:rPr>
          <w:instrText xml:space="preserve"> PAGEREF _Toc99117043 \h </w:instrText>
        </w:r>
        <w:r w:rsidR="00D65DCD">
          <w:rPr>
            <w:noProof/>
            <w:webHidden/>
          </w:rPr>
        </w:r>
        <w:r w:rsidR="00D65DCD">
          <w:rPr>
            <w:noProof/>
            <w:webHidden/>
          </w:rPr>
          <w:fldChar w:fldCharType="separate"/>
        </w:r>
        <w:r w:rsidR="00DC6A20">
          <w:rPr>
            <w:noProof/>
            <w:webHidden/>
          </w:rPr>
          <w:t>38</w:t>
        </w:r>
        <w:r w:rsidR="00D65DCD">
          <w:rPr>
            <w:noProof/>
            <w:webHidden/>
          </w:rPr>
          <w:fldChar w:fldCharType="end"/>
        </w:r>
      </w:hyperlink>
    </w:p>
    <w:p w14:paraId="72186A2E" w14:textId="497ADB61"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4" w:history="1">
        <w:r w:rsidR="00D65DCD" w:rsidRPr="00C63A54">
          <w:rPr>
            <w:rStyle w:val="Hyperlink"/>
            <w:noProof/>
            <w:lang w:eastAsia="en-AU"/>
          </w:rPr>
          <w:t>Chart 4.2 : Projected NACAP users from 2020/21 to 2031/32, by service type</w:t>
        </w:r>
        <w:r w:rsidR="00D65DCD">
          <w:rPr>
            <w:noProof/>
            <w:webHidden/>
          </w:rPr>
          <w:tab/>
        </w:r>
        <w:r w:rsidR="00D65DCD">
          <w:rPr>
            <w:noProof/>
            <w:webHidden/>
          </w:rPr>
          <w:fldChar w:fldCharType="begin"/>
        </w:r>
        <w:r w:rsidR="00D65DCD">
          <w:rPr>
            <w:noProof/>
            <w:webHidden/>
          </w:rPr>
          <w:instrText xml:space="preserve"> PAGEREF _Toc99117044 \h </w:instrText>
        </w:r>
        <w:r w:rsidR="00D65DCD">
          <w:rPr>
            <w:noProof/>
            <w:webHidden/>
          </w:rPr>
        </w:r>
        <w:r w:rsidR="00D65DCD">
          <w:rPr>
            <w:noProof/>
            <w:webHidden/>
          </w:rPr>
          <w:fldChar w:fldCharType="separate"/>
        </w:r>
        <w:r w:rsidR="00DC6A20">
          <w:rPr>
            <w:noProof/>
            <w:webHidden/>
          </w:rPr>
          <w:t>38</w:t>
        </w:r>
        <w:r w:rsidR="00D65DCD">
          <w:rPr>
            <w:noProof/>
            <w:webHidden/>
          </w:rPr>
          <w:fldChar w:fldCharType="end"/>
        </w:r>
      </w:hyperlink>
    </w:p>
    <w:p w14:paraId="2DAE5083" w14:textId="4D69CB7E"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5" w:history="1">
        <w:r w:rsidR="00D65DCD" w:rsidRPr="00C63A54">
          <w:rPr>
            <w:rStyle w:val="Hyperlink"/>
            <w:noProof/>
            <w:lang w:eastAsia="en-AU"/>
          </w:rPr>
          <w:t>Chart 4.3 : Demand for education sessions from 2020/21 to 2031/32, by care type</w:t>
        </w:r>
        <w:r w:rsidR="00D65DCD">
          <w:rPr>
            <w:noProof/>
            <w:webHidden/>
          </w:rPr>
          <w:tab/>
        </w:r>
        <w:r w:rsidR="00D65DCD">
          <w:rPr>
            <w:noProof/>
            <w:webHidden/>
          </w:rPr>
          <w:fldChar w:fldCharType="begin"/>
        </w:r>
        <w:r w:rsidR="00D65DCD">
          <w:rPr>
            <w:noProof/>
            <w:webHidden/>
          </w:rPr>
          <w:instrText xml:space="preserve"> PAGEREF _Toc99117045 \h </w:instrText>
        </w:r>
        <w:r w:rsidR="00D65DCD">
          <w:rPr>
            <w:noProof/>
            <w:webHidden/>
          </w:rPr>
        </w:r>
        <w:r w:rsidR="00D65DCD">
          <w:rPr>
            <w:noProof/>
            <w:webHidden/>
          </w:rPr>
          <w:fldChar w:fldCharType="separate"/>
        </w:r>
        <w:r w:rsidR="00DC6A20">
          <w:rPr>
            <w:noProof/>
            <w:webHidden/>
          </w:rPr>
          <w:t>39</w:t>
        </w:r>
        <w:r w:rsidR="00D65DCD">
          <w:rPr>
            <w:noProof/>
            <w:webHidden/>
          </w:rPr>
          <w:fldChar w:fldCharType="end"/>
        </w:r>
      </w:hyperlink>
    </w:p>
    <w:p w14:paraId="1353775A" w14:textId="01DB7C0A"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6" w:history="1">
        <w:r w:rsidR="00D65DCD" w:rsidRPr="00C63A54">
          <w:rPr>
            <w:rStyle w:val="Hyperlink"/>
            <w:noProof/>
          </w:rPr>
          <w:t>Chart 4.4 : Projection of education sessions delivered in residential aged care from 2020/21 to 2031/32, estimated actual delivery and targeted delivery</w:t>
        </w:r>
        <w:r w:rsidR="00D65DCD">
          <w:rPr>
            <w:noProof/>
            <w:webHidden/>
          </w:rPr>
          <w:tab/>
        </w:r>
        <w:r w:rsidR="00D65DCD">
          <w:rPr>
            <w:noProof/>
            <w:webHidden/>
          </w:rPr>
          <w:fldChar w:fldCharType="begin"/>
        </w:r>
        <w:r w:rsidR="00D65DCD">
          <w:rPr>
            <w:noProof/>
            <w:webHidden/>
          </w:rPr>
          <w:instrText xml:space="preserve"> PAGEREF _Toc99117046 \h </w:instrText>
        </w:r>
        <w:r w:rsidR="00D65DCD">
          <w:rPr>
            <w:noProof/>
            <w:webHidden/>
          </w:rPr>
        </w:r>
        <w:r w:rsidR="00D65DCD">
          <w:rPr>
            <w:noProof/>
            <w:webHidden/>
          </w:rPr>
          <w:fldChar w:fldCharType="separate"/>
        </w:r>
        <w:r w:rsidR="00DC6A20">
          <w:rPr>
            <w:noProof/>
            <w:webHidden/>
          </w:rPr>
          <w:t>39</w:t>
        </w:r>
        <w:r w:rsidR="00D65DCD">
          <w:rPr>
            <w:noProof/>
            <w:webHidden/>
          </w:rPr>
          <w:fldChar w:fldCharType="end"/>
        </w:r>
      </w:hyperlink>
    </w:p>
    <w:p w14:paraId="04166F4C" w14:textId="10DF4D80"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7" w:history="1">
        <w:r w:rsidR="00D65DCD" w:rsidRPr="00C63A54">
          <w:rPr>
            <w:rStyle w:val="Hyperlink"/>
            <w:noProof/>
            <w:lang w:eastAsia="en-AU"/>
          </w:rPr>
          <w:t xml:space="preserve">Chart 4.5 : Usage rates across both residential and community </w:t>
        </w:r>
        <w:r w:rsidR="00D65DCD" w:rsidRPr="00C63A54">
          <w:rPr>
            <w:rStyle w:val="Hyperlink"/>
            <w:noProof/>
          </w:rPr>
          <w:t>aged</w:t>
        </w:r>
        <w:r w:rsidR="00D65DCD" w:rsidRPr="00C63A54">
          <w:rPr>
            <w:rStyle w:val="Hyperlink"/>
            <w:noProof/>
            <w:lang w:eastAsia="en-AU"/>
          </w:rPr>
          <w:t xml:space="preserve"> care, 2020/21 to 2031/32</w:t>
        </w:r>
        <w:r w:rsidR="00D65DCD">
          <w:rPr>
            <w:noProof/>
            <w:webHidden/>
          </w:rPr>
          <w:tab/>
        </w:r>
        <w:r w:rsidR="00D65DCD">
          <w:rPr>
            <w:noProof/>
            <w:webHidden/>
          </w:rPr>
          <w:fldChar w:fldCharType="begin"/>
        </w:r>
        <w:r w:rsidR="00D65DCD">
          <w:rPr>
            <w:noProof/>
            <w:webHidden/>
          </w:rPr>
          <w:instrText xml:space="preserve"> PAGEREF _Toc99117047 \h </w:instrText>
        </w:r>
        <w:r w:rsidR="00D65DCD">
          <w:rPr>
            <w:noProof/>
            <w:webHidden/>
          </w:rPr>
        </w:r>
        <w:r w:rsidR="00D65DCD">
          <w:rPr>
            <w:noProof/>
            <w:webHidden/>
          </w:rPr>
          <w:fldChar w:fldCharType="separate"/>
        </w:r>
        <w:r w:rsidR="00DC6A20">
          <w:rPr>
            <w:noProof/>
            <w:webHidden/>
          </w:rPr>
          <w:t>40</w:t>
        </w:r>
        <w:r w:rsidR="00D65DCD">
          <w:rPr>
            <w:noProof/>
            <w:webHidden/>
          </w:rPr>
          <w:fldChar w:fldCharType="end"/>
        </w:r>
      </w:hyperlink>
    </w:p>
    <w:p w14:paraId="6BB8618A" w14:textId="426A3730"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8" w:history="1">
        <w:r w:rsidR="00D65DCD" w:rsidRPr="00C63A54">
          <w:rPr>
            <w:rStyle w:val="Hyperlink"/>
            <w:noProof/>
            <w:lang w:eastAsia="en-AU"/>
          </w:rPr>
          <w:t>Chart 4.6 : Advocacy usage rates, 2020/21 to 2031/32</w:t>
        </w:r>
        <w:r w:rsidR="00D65DCD">
          <w:rPr>
            <w:noProof/>
            <w:webHidden/>
          </w:rPr>
          <w:tab/>
        </w:r>
        <w:r w:rsidR="00D65DCD">
          <w:rPr>
            <w:noProof/>
            <w:webHidden/>
          </w:rPr>
          <w:fldChar w:fldCharType="begin"/>
        </w:r>
        <w:r w:rsidR="00D65DCD">
          <w:rPr>
            <w:noProof/>
            <w:webHidden/>
          </w:rPr>
          <w:instrText xml:space="preserve"> PAGEREF _Toc99117048 \h </w:instrText>
        </w:r>
        <w:r w:rsidR="00D65DCD">
          <w:rPr>
            <w:noProof/>
            <w:webHidden/>
          </w:rPr>
        </w:r>
        <w:r w:rsidR="00D65DCD">
          <w:rPr>
            <w:noProof/>
            <w:webHidden/>
          </w:rPr>
          <w:fldChar w:fldCharType="separate"/>
        </w:r>
        <w:r w:rsidR="00DC6A20">
          <w:rPr>
            <w:noProof/>
            <w:webHidden/>
          </w:rPr>
          <w:t>40</w:t>
        </w:r>
        <w:r w:rsidR="00D65DCD">
          <w:rPr>
            <w:noProof/>
            <w:webHidden/>
          </w:rPr>
          <w:fldChar w:fldCharType="end"/>
        </w:r>
      </w:hyperlink>
    </w:p>
    <w:p w14:paraId="1B82EE69" w14:textId="021059D8"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49" w:history="1">
        <w:r w:rsidR="00D65DCD" w:rsidRPr="00C63A54">
          <w:rPr>
            <w:rStyle w:val="Hyperlink"/>
            <w:noProof/>
            <w:lang w:eastAsia="en-AU"/>
          </w:rPr>
          <w:t>Chart 4.7 : Information usage rates, 2020/21 to 2031/32</w:t>
        </w:r>
        <w:r w:rsidR="00D65DCD">
          <w:rPr>
            <w:noProof/>
            <w:webHidden/>
          </w:rPr>
          <w:tab/>
        </w:r>
        <w:r w:rsidR="00D65DCD">
          <w:rPr>
            <w:noProof/>
            <w:webHidden/>
          </w:rPr>
          <w:fldChar w:fldCharType="begin"/>
        </w:r>
        <w:r w:rsidR="00D65DCD">
          <w:rPr>
            <w:noProof/>
            <w:webHidden/>
          </w:rPr>
          <w:instrText xml:space="preserve"> PAGEREF _Toc99117049 \h </w:instrText>
        </w:r>
        <w:r w:rsidR="00D65DCD">
          <w:rPr>
            <w:noProof/>
            <w:webHidden/>
          </w:rPr>
        </w:r>
        <w:r w:rsidR="00D65DCD">
          <w:rPr>
            <w:noProof/>
            <w:webHidden/>
          </w:rPr>
          <w:fldChar w:fldCharType="separate"/>
        </w:r>
        <w:r w:rsidR="00DC6A20">
          <w:rPr>
            <w:noProof/>
            <w:webHidden/>
          </w:rPr>
          <w:t>41</w:t>
        </w:r>
        <w:r w:rsidR="00D65DCD">
          <w:rPr>
            <w:noProof/>
            <w:webHidden/>
          </w:rPr>
          <w:fldChar w:fldCharType="end"/>
        </w:r>
      </w:hyperlink>
    </w:p>
    <w:p w14:paraId="0900EE9E" w14:textId="402E7FC8"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50" w:history="1">
        <w:r w:rsidR="00D65DCD" w:rsidRPr="00C63A54">
          <w:rPr>
            <w:rStyle w:val="Hyperlink"/>
            <w:noProof/>
            <w:lang w:eastAsia="en-AU"/>
          </w:rPr>
          <w:t xml:space="preserve">Chart 4.8 : Usage rates across both residential and community </w:t>
        </w:r>
        <w:r w:rsidR="00D65DCD" w:rsidRPr="00C63A54">
          <w:rPr>
            <w:rStyle w:val="Hyperlink"/>
            <w:noProof/>
          </w:rPr>
          <w:t>aged</w:t>
        </w:r>
        <w:r w:rsidR="00D65DCD" w:rsidRPr="00C63A54">
          <w:rPr>
            <w:rStyle w:val="Hyperlink"/>
            <w:noProof/>
            <w:lang w:eastAsia="en-AU"/>
          </w:rPr>
          <w:t xml:space="preserve"> care, 2020/21 to 2031/32</w:t>
        </w:r>
        <w:r w:rsidR="00D65DCD">
          <w:rPr>
            <w:noProof/>
            <w:webHidden/>
          </w:rPr>
          <w:tab/>
        </w:r>
        <w:r w:rsidR="00D65DCD">
          <w:rPr>
            <w:noProof/>
            <w:webHidden/>
          </w:rPr>
          <w:fldChar w:fldCharType="begin"/>
        </w:r>
        <w:r w:rsidR="00D65DCD">
          <w:rPr>
            <w:noProof/>
            <w:webHidden/>
          </w:rPr>
          <w:instrText xml:space="preserve"> PAGEREF _Toc99117050 \h </w:instrText>
        </w:r>
        <w:r w:rsidR="00D65DCD">
          <w:rPr>
            <w:noProof/>
            <w:webHidden/>
          </w:rPr>
        </w:r>
        <w:r w:rsidR="00D65DCD">
          <w:rPr>
            <w:noProof/>
            <w:webHidden/>
          </w:rPr>
          <w:fldChar w:fldCharType="separate"/>
        </w:r>
        <w:r w:rsidR="00DC6A20">
          <w:rPr>
            <w:noProof/>
            <w:webHidden/>
          </w:rPr>
          <w:t>41</w:t>
        </w:r>
        <w:r w:rsidR="00D65DCD">
          <w:rPr>
            <w:noProof/>
            <w:webHidden/>
          </w:rPr>
          <w:fldChar w:fldCharType="end"/>
        </w:r>
      </w:hyperlink>
    </w:p>
    <w:p w14:paraId="03CEC6EB" w14:textId="4E277A6C"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51" w:history="1">
        <w:r w:rsidR="00D65DCD" w:rsidRPr="00C63A54">
          <w:rPr>
            <w:rStyle w:val="Hyperlink"/>
            <w:noProof/>
            <w:lang w:eastAsia="en-AU"/>
          </w:rPr>
          <w:t>Chart 4.9 : Advocacy usage rates, 2020/21 to 2031/32</w:t>
        </w:r>
        <w:r w:rsidR="00D65DCD">
          <w:rPr>
            <w:noProof/>
            <w:webHidden/>
          </w:rPr>
          <w:tab/>
        </w:r>
        <w:r w:rsidR="00D65DCD">
          <w:rPr>
            <w:noProof/>
            <w:webHidden/>
          </w:rPr>
          <w:fldChar w:fldCharType="begin"/>
        </w:r>
        <w:r w:rsidR="00D65DCD">
          <w:rPr>
            <w:noProof/>
            <w:webHidden/>
          </w:rPr>
          <w:instrText xml:space="preserve"> PAGEREF _Toc99117051 \h </w:instrText>
        </w:r>
        <w:r w:rsidR="00D65DCD">
          <w:rPr>
            <w:noProof/>
            <w:webHidden/>
          </w:rPr>
        </w:r>
        <w:r w:rsidR="00D65DCD">
          <w:rPr>
            <w:noProof/>
            <w:webHidden/>
          </w:rPr>
          <w:fldChar w:fldCharType="separate"/>
        </w:r>
        <w:r w:rsidR="00DC6A20">
          <w:rPr>
            <w:noProof/>
            <w:webHidden/>
          </w:rPr>
          <w:t>42</w:t>
        </w:r>
        <w:r w:rsidR="00D65DCD">
          <w:rPr>
            <w:noProof/>
            <w:webHidden/>
          </w:rPr>
          <w:fldChar w:fldCharType="end"/>
        </w:r>
      </w:hyperlink>
    </w:p>
    <w:p w14:paraId="2EB1DC98" w14:textId="4A172FB0"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52" w:history="1">
        <w:r w:rsidR="00D65DCD" w:rsidRPr="00C63A54">
          <w:rPr>
            <w:rStyle w:val="Hyperlink"/>
            <w:noProof/>
            <w:lang w:eastAsia="en-AU"/>
          </w:rPr>
          <w:t>Chart 4.10 : Information usage rates, 2020/21 to 2031/32</w:t>
        </w:r>
        <w:r w:rsidR="00D65DCD">
          <w:rPr>
            <w:noProof/>
            <w:webHidden/>
          </w:rPr>
          <w:tab/>
        </w:r>
        <w:r w:rsidR="00D65DCD">
          <w:rPr>
            <w:noProof/>
            <w:webHidden/>
          </w:rPr>
          <w:fldChar w:fldCharType="begin"/>
        </w:r>
        <w:r w:rsidR="00D65DCD">
          <w:rPr>
            <w:noProof/>
            <w:webHidden/>
          </w:rPr>
          <w:instrText xml:space="preserve"> PAGEREF _Toc99117052 \h </w:instrText>
        </w:r>
        <w:r w:rsidR="00D65DCD">
          <w:rPr>
            <w:noProof/>
            <w:webHidden/>
          </w:rPr>
        </w:r>
        <w:r w:rsidR="00D65DCD">
          <w:rPr>
            <w:noProof/>
            <w:webHidden/>
          </w:rPr>
          <w:fldChar w:fldCharType="separate"/>
        </w:r>
        <w:r w:rsidR="00DC6A20">
          <w:rPr>
            <w:noProof/>
            <w:webHidden/>
          </w:rPr>
          <w:t>42</w:t>
        </w:r>
        <w:r w:rsidR="00D65DCD">
          <w:rPr>
            <w:noProof/>
            <w:webHidden/>
          </w:rPr>
          <w:fldChar w:fldCharType="end"/>
        </w:r>
      </w:hyperlink>
    </w:p>
    <w:p w14:paraId="78688809" w14:textId="27D5484D"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53" w:history="1">
        <w:r w:rsidR="00D65DCD" w:rsidRPr="00C63A54">
          <w:rPr>
            <w:rStyle w:val="Hyperlink"/>
            <w:noProof/>
            <w:lang w:eastAsia="en-AU"/>
          </w:rPr>
          <w:t xml:space="preserve">Chart 4.11 : Usage rates across both residential and community </w:t>
        </w:r>
        <w:r w:rsidR="00D65DCD" w:rsidRPr="00C63A54">
          <w:rPr>
            <w:rStyle w:val="Hyperlink"/>
            <w:noProof/>
          </w:rPr>
          <w:t>aged</w:t>
        </w:r>
        <w:r w:rsidR="00D65DCD" w:rsidRPr="00C63A54">
          <w:rPr>
            <w:rStyle w:val="Hyperlink"/>
            <w:noProof/>
            <w:lang w:eastAsia="en-AU"/>
          </w:rPr>
          <w:t xml:space="preserve"> care, 2020/21 to 2031/32</w:t>
        </w:r>
        <w:r w:rsidR="00D65DCD">
          <w:rPr>
            <w:noProof/>
            <w:webHidden/>
          </w:rPr>
          <w:tab/>
        </w:r>
        <w:r w:rsidR="00D65DCD">
          <w:rPr>
            <w:noProof/>
            <w:webHidden/>
          </w:rPr>
          <w:fldChar w:fldCharType="begin"/>
        </w:r>
        <w:r w:rsidR="00D65DCD">
          <w:rPr>
            <w:noProof/>
            <w:webHidden/>
          </w:rPr>
          <w:instrText xml:space="preserve"> PAGEREF _Toc99117053 \h </w:instrText>
        </w:r>
        <w:r w:rsidR="00D65DCD">
          <w:rPr>
            <w:noProof/>
            <w:webHidden/>
          </w:rPr>
        </w:r>
        <w:r w:rsidR="00D65DCD">
          <w:rPr>
            <w:noProof/>
            <w:webHidden/>
          </w:rPr>
          <w:fldChar w:fldCharType="separate"/>
        </w:r>
        <w:r w:rsidR="00DC6A20">
          <w:rPr>
            <w:noProof/>
            <w:webHidden/>
          </w:rPr>
          <w:t>43</w:t>
        </w:r>
        <w:r w:rsidR="00D65DCD">
          <w:rPr>
            <w:noProof/>
            <w:webHidden/>
          </w:rPr>
          <w:fldChar w:fldCharType="end"/>
        </w:r>
      </w:hyperlink>
    </w:p>
    <w:p w14:paraId="5D37B2C9" w14:textId="02806878"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54" w:history="1">
        <w:r w:rsidR="00D65DCD" w:rsidRPr="00C63A54">
          <w:rPr>
            <w:rStyle w:val="Hyperlink"/>
            <w:noProof/>
            <w:lang w:eastAsia="en-AU"/>
          </w:rPr>
          <w:t>Chart 4.12 : Advocacy usage rates, 2020/21 to 2031/32</w:t>
        </w:r>
        <w:r w:rsidR="00D65DCD">
          <w:rPr>
            <w:noProof/>
            <w:webHidden/>
          </w:rPr>
          <w:tab/>
        </w:r>
        <w:r w:rsidR="00D65DCD">
          <w:rPr>
            <w:noProof/>
            <w:webHidden/>
          </w:rPr>
          <w:fldChar w:fldCharType="begin"/>
        </w:r>
        <w:r w:rsidR="00D65DCD">
          <w:rPr>
            <w:noProof/>
            <w:webHidden/>
          </w:rPr>
          <w:instrText xml:space="preserve"> PAGEREF _Toc99117054 \h </w:instrText>
        </w:r>
        <w:r w:rsidR="00D65DCD">
          <w:rPr>
            <w:noProof/>
            <w:webHidden/>
          </w:rPr>
        </w:r>
        <w:r w:rsidR="00D65DCD">
          <w:rPr>
            <w:noProof/>
            <w:webHidden/>
          </w:rPr>
          <w:fldChar w:fldCharType="separate"/>
        </w:r>
        <w:r w:rsidR="00DC6A20">
          <w:rPr>
            <w:noProof/>
            <w:webHidden/>
          </w:rPr>
          <w:t>44</w:t>
        </w:r>
        <w:r w:rsidR="00D65DCD">
          <w:rPr>
            <w:noProof/>
            <w:webHidden/>
          </w:rPr>
          <w:fldChar w:fldCharType="end"/>
        </w:r>
      </w:hyperlink>
    </w:p>
    <w:p w14:paraId="3CD2AA0D" w14:textId="5D365151"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55" w:history="1">
        <w:r w:rsidR="00D65DCD" w:rsidRPr="00C63A54">
          <w:rPr>
            <w:rStyle w:val="Hyperlink"/>
            <w:noProof/>
            <w:lang w:eastAsia="en-AU"/>
          </w:rPr>
          <w:t>Chart 4.13 : Information usage rates, 2020/21 to 2031/32</w:t>
        </w:r>
        <w:r w:rsidR="00D65DCD">
          <w:rPr>
            <w:noProof/>
            <w:webHidden/>
          </w:rPr>
          <w:tab/>
        </w:r>
        <w:r w:rsidR="00D65DCD">
          <w:rPr>
            <w:noProof/>
            <w:webHidden/>
          </w:rPr>
          <w:fldChar w:fldCharType="begin"/>
        </w:r>
        <w:r w:rsidR="00D65DCD">
          <w:rPr>
            <w:noProof/>
            <w:webHidden/>
          </w:rPr>
          <w:instrText xml:space="preserve"> PAGEREF _Toc99117055 \h </w:instrText>
        </w:r>
        <w:r w:rsidR="00D65DCD">
          <w:rPr>
            <w:noProof/>
            <w:webHidden/>
          </w:rPr>
        </w:r>
        <w:r w:rsidR="00D65DCD">
          <w:rPr>
            <w:noProof/>
            <w:webHidden/>
          </w:rPr>
          <w:fldChar w:fldCharType="separate"/>
        </w:r>
        <w:r w:rsidR="00DC6A20">
          <w:rPr>
            <w:noProof/>
            <w:webHidden/>
          </w:rPr>
          <w:t>44</w:t>
        </w:r>
        <w:r w:rsidR="00D65DCD">
          <w:rPr>
            <w:noProof/>
            <w:webHidden/>
          </w:rPr>
          <w:fldChar w:fldCharType="end"/>
        </w:r>
      </w:hyperlink>
    </w:p>
    <w:p w14:paraId="78D2972D" w14:textId="64C63ADC"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56" w:history="1">
        <w:r w:rsidR="00D65DCD" w:rsidRPr="00C63A54">
          <w:rPr>
            <w:rStyle w:val="Hyperlink"/>
            <w:noProof/>
            <w:lang w:eastAsia="en-AU"/>
          </w:rPr>
          <w:t>Chart 5.1 : Supply of advocates prior to expansion and post expansion, by state</w:t>
        </w:r>
        <w:r w:rsidR="00D65DCD">
          <w:rPr>
            <w:noProof/>
            <w:webHidden/>
          </w:rPr>
          <w:tab/>
        </w:r>
        <w:r w:rsidR="00D65DCD">
          <w:rPr>
            <w:noProof/>
            <w:webHidden/>
          </w:rPr>
          <w:fldChar w:fldCharType="begin"/>
        </w:r>
        <w:r w:rsidR="00D65DCD">
          <w:rPr>
            <w:noProof/>
            <w:webHidden/>
          </w:rPr>
          <w:instrText xml:space="preserve"> PAGEREF _Toc99117056 \h </w:instrText>
        </w:r>
        <w:r w:rsidR="00D65DCD">
          <w:rPr>
            <w:noProof/>
            <w:webHidden/>
          </w:rPr>
        </w:r>
        <w:r w:rsidR="00D65DCD">
          <w:rPr>
            <w:noProof/>
            <w:webHidden/>
          </w:rPr>
          <w:fldChar w:fldCharType="separate"/>
        </w:r>
        <w:r w:rsidR="00DC6A20">
          <w:rPr>
            <w:noProof/>
            <w:webHidden/>
          </w:rPr>
          <w:t>45</w:t>
        </w:r>
        <w:r w:rsidR="00D65DCD">
          <w:rPr>
            <w:noProof/>
            <w:webHidden/>
          </w:rPr>
          <w:fldChar w:fldCharType="end"/>
        </w:r>
      </w:hyperlink>
    </w:p>
    <w:p w14:paraId="490E843D" w14:textId="599DE637" w:rsidR="00FC6122" w:rsidRDefault="00E023AD" w:rsidP="00FC6122">
      <w:r>
        <w:fldChar w:fldCharType="end"/>
      </w:r>
    </w:p>
    <w:p w14:paraId="4CF4003C" w14:textId="77777777" w:rsidR="00FC6122" w:rsidRDefault="00FC6122" w:rsidP="00FC6122"/>
    <w:p w14:paraId="47B9E31A" w14:textId="77777777" w:rsidR="00FC6122" w:rsidRDefault="00FC6122" w:rsidP="00FC6122">
      <w:pPr>
        <w:pStyle w:val="TOCHeading"/>
      </w:pPr>
      <w:r>
        <w:t>Tables</w:t>
      </w:r>
    </w:p>
    <w:p w14:paraId="57D0CA34" w14:textId="09330005" w:rsidR="00D65DCD" w:rsidRDefault="00F92805">
      <w:pPr>
        <w:pStyle w:val="TableofFigures"/>
        <w:tabs>
          <w:tab w:val="right" w:leader="dot" w:pos="9016"/>
        </w:tabs>
        <w:rPr>
          <w:rFonts w:asciiTheme="minorHAnsi" w:eastAsiaTheme="minorEastAsia" w:hAnsiTheme="minorHAnsi"/>
          <w:noProof/>
          <w:szCs w:val="22"/>
          <w:lang w:eastAsia="en-AU"/>
        </w:rPr>
      </w:pPr>
      <w:r>
        <w:fldChar w:fldCharType="begin"/>
      </w:r>
      <w:r>
        <w:instrText xml:space="preserve"> TOC \h \z \t "Caption_Table,8,Exec Table Caption,8,Appendix Table Caption,8" \c "Table" </w:instrText>
      </w:r>
      <w:r>
        <w:fldChar w:fldCharType="separate"/>
      </w:r>
      <w:hyperlink w:anchor="_Toc99117012" w:history="1">
        <w:r w:rsidR="00D65DCD" w:rsidRPr="00CC291F">
          <w:rPr>
            <w:rStyle w:val="Hyperlink"/>
            <w:noProof/>
          </w:rPr>
          <w:t>Table i : Trends that are likely to influence the demand for advocacy</w:t>
        </w:r>
        <w:r w:rsidR="00D65DCD">
          <w:rPr>
            <w:noProof/>
            <w:webHidden/>
          </w:rPr>
          <w:tab/>
        </w:r>
        <w:r w:rsidR="00D65DCD">
          <w:rPr>
            <w:noProof/>
            <w:webHidden/>
          </w:rPr>
          <w:fldChar w:fldCharType="begin"/>
        </w:r>
        <w:r w:rsidR="00D65DCD">
          <w:rPr>
            <w:noProof/>
            <w:webHidden/>
          </w:rPr>
          <w:instrText xml:space="preserve"> PAGEREF _Toc99117012 \h </w:instrText>
        </w:r>
        <w:r w:rsidR="00D65DCD">
          <w:rPr>
            <w:noProof/>
            <w:webHidden/>
          </w:rPr>
        </w:r>
        <w:r w:rsidR="00D65DCD">
          <w:rPr>
            <w:noProof/>
            <w:webHidden/>
          </w:rPr>
          <w:fldChar w:fldCharType="separate"/>
        </w:r>
        <w:r w:rsidR="00DC6A20">
          <w:rPr>
            <w:noProof/>
            <w:webHidden/>
          </w:rPr>
          <w:t>vii</w:t>
        </w:r>
        <w:r w:rsidR="00D65DCD">
          <w:rPr>
            <w:noProof/>
            <w:webHidden/>
          </w:rPr>
          <w:fldChar w:fldCharType="end"/>
        </w:r>
      </w:hyperlink>
    </w:p>
    <w:p w14:paraId="7FEA17BC" w14:textId="4F0C2AED"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13" w:history="1">
        <w:r w:rsidR="00D65DCD" w:rsidRPr="00CC291F">
          <w:rPr>
            <w:rStyle w:val="Hyperlink"/>
            <w:noProof/>
          </w:rPr>
          <w:t>Table ii : Key data limitations in current unit record data</w:t>
        </w:r>
        <w:r w:rsidR="00D65DCD">
          <w:rPr>
            <w:noProof/>
            <w:webHidden/>
          </w:rPr>
          <w:tab/>
        </w:r>
        <w:r w:rsidR="00D65DCD">
          <w:rPr>
            <w:noProof/>
            <w:webHidden/>
          </w:rPr>
          <w:fldChar w:fldCharType="begin"/>
        </w:r>
        <w:r w:rsidR="00D65DCD">
          <w:rPr>
            <w:noProof/>
            <w:webHidden/>
          </w:rPr>
          <w:instrText xml:space="preserve"> PAGEREF _Toc99117013 \h </w:instrText>
        </w:r>
        <w:r w:rsidR="00D65DCD">
          <w:rPr>
            <w:noProof/>
            <w:webHidden/>
          </w:rPr>
        </w:r>
        <w:r w:rsidR="00D65DCD">
          <w:rPr>
            <w:noProof/>
            <w:webHidden/>
          </w:rPr>
          <w:fldChar w:fldCharType="separate"/>
        </w:r>
        <w:r w:rsidR="00DC6A20">
          <w:rPr>
            <w:noProof/>
            <w:webHidden/>
          </w:rPr>
          <w:t>ix</w:t>
        </w:r>
        <w:r w:rsidR="00D65DCD">
          <w:rPr>
            <w:noProof/>
            <w:webHidden/>
          </w:rPr>
          <w:fldChar w:fldCharType="end"/>
        </w:r>
      </w:hyperlink>
    </w:p>
    <w:p w14:paraId="529D883F" w14:textId="0A4DB54E"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14" w:history="1">
        <w:r w:rsidR="00D65DCD" w:rsidRPr="00CC291F">
          <w:rPr>
            <w:rStyle w:val="Hyperlink"/>
            <w:noProof/>
          </w:rPr>
          <w:t>Table 2.1 : Summary of relevant characteristics in available data and corresponding data fields</w:t>
        </w:r>
        <w:r w:rsidR="00D65DCD">
          <w:rPr>
            <w:noProof/>
            <w:webHidden/>
          </w:rPr>
          <w:tab/>
        </w:r>
        <w:r w:rsidR="00D65DCD">
          <w:rPr>
            <w:noProof/>
            <w:webHidden/>
          </w:rPr>
          <w:fldChar w:fldCharType="begin"/>
        </w:r>
        <w:r w:rsidR="00D65DCD">
          <w:rPr>
            <w:noProof/>
            <w:webHidden/>
          </w:rPr>
          <w:instrText xml:space="preserve"> PAGEREF _Toc99117014 \h </w:instrText>
        </w:r>
        <w:r w:rsidR="00D65DCD">
          <w:rPr>
            <w:noProof/>
            <w:webHidden/>
          </w:rPr>
        </w:r>
        <w:r w:rsidR="00D65DCD">
          <w:rPr>
            <w:noProof/>
            <w:webHidden/>
          </w:rPr>
          <w:fldChar w:fldCharType="separate"/>
        </w:r>
        <w:r w:rsidR="00DC6A20">
          <w:rPr>
            <w:noProof/>
            <w:webHidden/>
          </w:rPr>
          <w:t>19</w:t>
        </w:r>
        <w:r w:rsidR="00D65DCD">
          <w:rPr>
            <w:noProof/>
            <w:webHidden/>
          </w:rPr>
          <w:fldChar w:fldCharType="end"/>
        </w:r>
      </w:hyperlink>
    </w:p>
    <w:p w14:paraId="0080C9F5" w14:textId="1163FC7D"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15" w:history="1">
        <w:r w:rsidR="00D65DCD" w:rsidRPr="00CC291F">
          <w:rPr>
            <w:rStyle w:val="Hyperlink"/>
            <w:noProof/>
          </w:rPr>
          <w:t>Table 2.2 : Summary of data sources for population estimates</w:t>
        </w:r>
        <w:r w:rsidR="00D65DCD">
          <w:rPr>
            <w:noProof/>
            <w:webHidden/>
          </w:rPr>
          <w:tab/>
        </w:r>
        <w:r w:rsidR="00D65DCD">
          <w:rPr>
            <w:noProof/>
            <w:webHidden/>
          </w:rPr>
          <w:fldChar w:fldCharType="begin"/>
        </w:r>
        <w:r w:rsidR="00D65DCD">
          <w:rPr>
            <w:noProof/>
            <w:webHidden/>
          </w:rPr>
          <w:instrText xml:space="preserve"> PAGEREF _Toc99117015 \h </w:instrText>
        </w:r>
        <w:r w:rsidR="00D65DCD">
          <w:rPr>
            <w:noProof/>
            <w:webHidden/>
          </w:rPr>
        </w:r>
        <w:r w:rsidR="00D65DCD">
          <w:rPr>
            <w:noProof/>
            <w:webHidden/>
          </w:rPr>
          <w:fldChar w:fldCharType="separate"/>
        </w:r>
        <w:r w:rsidR="00DC6A20">
          <w:rPr>
            <w:noProof/>
            <w:webHidden/>
          </w:rPr>
          <w:t>20</w:t>
        </w:r>
        <w:r w:rsidR="00D65DCD">
          <w:rPr>
            <w:noProof/>
            <w:webHidden/>
          </w:rPr>
          <w:fldChar w:fldCharType="end"/>
        </w:r>
      </w:hyperlink>
    </w:p>
    <w:p w14:paraId="67D07326" w14:textId="1E663206"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16" w:history="1">
        <w:r w:rsidR="00D65DCD" w:rsidRPr="00CC291F">
          <w:rPr>
            <w:rStyle w:val="Hyperlink"/>
            <w:noProof/>
          </w:rPr>
          <w:t>Table 3.1: Issues raised in complaints to ACQSC in 2020/21</w:t>
        </w:r>
        <w:r w:rsidR="00D65DCD">
          <w:rPr>
            <w:noProof/>
            <w:webHidden/>
          </w:rPr>
          <w:tab/>
        </w:r>
        <w:r w:rsidR="00D65DCD">
          <w:rPr>
            <w:noProof/>
            <w:webHidden/>
          </w:rPr>
          <w:fldChar w:fldCharType="begin"/>
        </w:r>
        <w:r w:rsidR="00D65DCD">
          <w:rPr>
            <w:noProof/>
            <w:webHidden/>
          </w:rPr>
          <w:instrText xml:space="preserve"> PAGEREF _Toc99117016 \h </w:instrText>
        </w:r>
        <w:r w:rsidR="00D65DCD">
          <w:rPr>
            <w:noProof/>
            <w:webHidden/>
          </w:rPr>
        </w:r>
        <w:r w:rsidR="00D65DCD">
          <w:rPr>
            <w:noProof/>
            <w:webHidden/>
          </w:rPr>
          <w:fldChar w:fldCharType="separate"/>
        </w:r>
        <w:r w:rsidR="00DC6A20">
          <w:rPr>
            <w:noProof/>
            <w:webHidden/>
          </w:rPr>
          <w:t>31</w:t>
        </w:r>
        <w:r w:rsidR="00D65DCD">
          <w:rPr>
            <w:noProof/>
            <w:webHidden/>
          </w:rPr>
          <w:fldChar w:fldCharType="end"/>
        </w:r>
      </w:hyperlink>
    </w:p>
    <w:p w14:paraId="42DE6D05" w14:textId="16830CB6"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17" w:history="1">
        <w:r w:rsidR="00D65DCD" w:rsidRPr="00CC291F">
          <w:rPr>
            <w:rStyle w:val="Hyperlink"/>
            <w:noProof/>
          </w:rPr>
          <w:t>Table 4.1 : Total demand rates modelled in Scenario 2, by vulnerability group</w:t>
        </w:r>
        <w:r w:rsidR="00D65DCD">
          <w:rPr>
            <w:noProof/>
            <w:webHidden/>
          </w:rPr>
          <w:tab/>
        </w:r>
        <w:r w:rsidR="00D65DCD">
          <w:rPr>
            <w:noProof/>
            <w:webHidden/>
          </w:rPr>
          <w:fldChar w:fldCharType="begin"/>
        </w:r>
        <w:r w:rsidR="00D65DCD">
          <w:rPr>
            <w:noProof/>
            <w:webHidden/>
          </w:rPr>
          <w:instrText xml:space="preserve"> PAGEREF _Toc99117017 \h </w:instrText>
        </w:r>
        <w:r w:rsidR="00D65DCD">
          <w:rPr>
            <w:noProof/>
            <w:webHidden/>
          </w:rPr>
        </w:r>
        <w:r w:rsidR="00D65DCD">
          <w:rPr>
            <w:noProof/>
            <w:webHidden/>
          </w:rPr>
          <w:fldChar w:fldCharType="separate"/>
        </w:r>
        <w:r w:rsidR="00DC6A20">
          <w:rPr>
            <w:noProof/>
            <w:webHidden/>
          </w:rPr>
          <w:t>43</w:t>
        </w:r>
        <w:r w:rsidR="00D65DCD">
          <w:rPr>
            <w:noProof/>
            <w:webHidden/>
          </w:rPr>
          <w:fldChar w:fldCharType="end"/>
        </w:r>
      </w:hyperlink>
    </w:p>
    <w:p w14:paraId="6A09338D" w14:textId="48009E28"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18" w:history="1">
        <w:r w:rsidR="00D65DCD" w:rsidRPr="00CC291F">
          <w:rPr>
            <w:rStyle w:val="Hyperlink"/>
            <w:noProof/>
          </w:rPr>
          <w:t>Table 6.1 : Summary of aged care advocacy in Australia, New Zealand, Canada, and UK</w:t>
        </w:r>
        <w:r w:rsidR="00D65DCD">
          <w:rPr>
            <w:noProof/>
            <w:webHidden/>
          </w:rPr>
          <w:tab/>
        </w:r>
        <w:r w:rsidR="00D65DCD">
          <w:rPr>
            <w:noProof/>
            <w:webHidden/>
          </w:rPr>
          <w:fldChar w:fldCharType="begin"/>
        </w:r>
        <w:r w:rsidR="00D65DCD">
          <w:rPr>
            <w:noProof/>
            <w:webHidden/>
          </w:rPr>
          <w:instrText xml:space="preserve"> PAGEREF _Toc99117018 \h </w:instrText>
        </w:r>
        <w:r w:rsidR="00D65DCD">
          <w:rPr>
            <w:noProof/>
            <w:webHidden/>
          </w:rPr>
        </w:r>
        <w:r w:rsidR="00D65DCD">
          <w:rPr>
            <w:noProof/>
            <w:webHidden/>
          </w:rPr>
          <w:fldChar w:fldCharType="separate"/>
        </w:r>
        <w:r w:rsidR="00DC6A20">
          <w:rPr>
            <w:noProof/>
            <w:webHidden/>
          </w:rPr>
          <w:t>59</w:t>
        </w:r>
        <w:r w:rsidR="00D65DCD">
          <w:rPr>
            <w:noProof/>
            <w:webHidden/>
          </w:rPr>
          <w:fldChar w:fldCharType="end"/>
        </w:r>
      </w:hyperlink>
    </w:p>
    <w:p w14:paraId="7E0BA726" w14:textId="1F3650E1"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19" w:history="1">
        <w:r w:rsidR="00D65DCD" w:rsidRPr="00CC291F">
          <w:rPr>
            <w:rStyle w:val="Hyperlink"/>
            <w:noProof/>
            <w:lang w:eastAsia="en-AU"/>
          </w:rPr>
          <w:t>Source: Deloitte Access Economics.</w:t>
        </w:r>
        <w:r w:rsidR="00D65DCD">
          <w:rPr>
            <w:noProof/>
            <w:webHidden/>
          </w:rPr>
          <w:tab/>
        </w:r>
        <w:r w:rsidR="00D65DCD">
          <w:rPr>
            <w:noProof/>
            <w:webHidden/>
          </w:rPr>
          <w:fldChar w:fldCharType="begin"/>
        </w:r>
        <w:r w:rsidR="00D65DCD">
          <w:rPr>
            <w:noProof/>
            <w:webHidden/>
          </w:rPr>
          <w:instrText xml:space="preserve"> PAGEREF _Toc99117019 \h </w:instrText>
        </w:r>
        <w:r w:rsidR="00D65DCD">
          <w:rPr>
            <w:noProof/>
            <w:webHidden/>
          </w:rPr>
        </w:r>
        <w:r w:rsidR="00D65DCD">
          <w:rPr>
            <w:noProof/>
            <w:webHidden/>
          </w:rPr>
          <w:fldChar w:fldCharType="separate"/>
        </w:r>
        <w:r w:rsidR="00DC6A20">
          <w:rPr>
            <w:noProof/>
            <w:webHidden/>
          </w:rPr>
          <w:t>60</w:t>
        </w:r>
        <w:r w:rsidR="00D65DCD">
          <w:rPr>
            <w:noProof/>
            <w:webHidden/>
          </w:rPr>
          <w:fldChar w:fldCharType="end"/>
        </w:r>
      </w:hyperlink>
    </w:p>
    <w:p w14:paraId="20185178" w14:textId="2D5732D0"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0" w:history="1">
        <w:r w:rsidR="00D65DCD" w:rsidRPr="00CC291F">
          <w:rPr>
            <w:rStyle w:val="Hyperlink"/>
            <w:noProof/>
          </w:rPr>
          <w:t>Table 7.1 : Key data limitations from OPAN unit record data</w:t>
        </w:r>
        <w:r w:rsidR="00D65DCD">
          <w:rPr>
            <w:noProof/>
            <w:webHidden/>
          </w:rPr>
          <w:tab/>
        </w:r>
        <w:r w:rsidR="00D65DCD">
          <w:rPr>
            <w:noProof/>
            <w:webHidden/>
          </w:rPr>
          <w:fldChar w:fldCharType="begin"/>
        </w:r>
        <w:r w:rsidR="00D65DCD">
          <w:rPr>
            <w:noProof/>
            <w:webHidden/>
          </w:rPr>
          <w:instrText xml:space="preserve"> PAGEREF _Toc99117020 \h </w:instrText>
        </w:r>
        <w:r w:rsidR="00D65DCD">
          <w:rPr>
            <w:noProof/>
            <w:webHidden/>
          </w:rPr>
        </w:r>
        <w:r w:rsidR="00D65DCD">
          <w:rPr>
            <w:noProof/>
            <w:webHidden/>
          </w:rPr>
          <w:fldChar w:fldCharType="separate"/>
        </w:r>
        <w:r w:rsidR="00DC6A20">
          <w:rPr>
            <w:noProof/>
            <w:webHidden/>
          </w:rPr>
          <w:t>61</w:t>
        </w:r>
        <w:r w:rsidR="00D65DCD">
          <w:rPr>
            <w:noProof/>
            <w:webHidden/>
          </w:rPr>
          <w:fldChar w:fldCharType="end"/>
        </w:r>
      </w:hyperlink>
    </w:p>
    <w:p w14:paraId="5FFA3B63" w14:textId="47C2E76A"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1" w:history="1">
        <w:r w:rsidR="00D65DCD" w:rsidRPr="00CC291F">
          <w:rPr>
            <w:rStyle w:val="Hyperlink"/>
            <w:noProof/>
          </w:rPr>
          <w:t>Table A.1 : Summary of stakeholders, consultation status and format</w:t>
        </w:r>
        <w:r w:rsidR="00D65DCD">
          <w:rPr>
            <w:noProof/>
            <w:webHidden/>
          </w:rPr>
          <w:tab/>
        </w:r>
        <w:r w:rsidR="00D65DCD">
          <w:rPr>
            <w:noProof/>
            <w:webHidden/>
          </w:rPr>
          <w:fldChar w:fldCharType="begin"/>
        </w:r>
        <w:r w:rsidR="00D65DCD">
          <w:rPr>
            <w:noProof/>
            <w:webHidden/>
          </w:rPr>
          <w:instrText xml:space="preserve"> PAGEREF _Toc99117021 \h </w:instrText>
        </w:r>
        <w:r w:rsidR="00D65DCD">
          <w:rPr>
            <w:noProof/>
            <w:webHidden/>
          </w:rPr>
        </w:r>
        <w:r w:rsidR="00D65DCD">
          <w:rPr>
            <w:noProof/>
            <w:webHidden/>
          </w:rPr>
          <w:fldChar w:fldCharType="separate"/>
        </w:r>
        <w:r w:rsidR="00DC6A20">
          <w:rPr>
            <w:noProof/>
            <w:webHidden/>
          </w:rPr>
          <w:t>72</w:t>
        </w:r>
        <w:r w:rsidR="00D65DCD">
          <w:rPr>
            <w:noProof/>
            <w:webHidden/>
          </w:rPr>
          <w:fldChar w:fldCharType="end"/>
        </w:r>
      </w:hyperlink>
    </w:p>
    <w:p w14:paraId="1DC53A28" w14:textId="4F9D00A4"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2" w:history="1">
        <w:r w:rsidR="00D65DCD" w:rsidRPr="00CC291F">
          <w:rPr>
            <w:rStyle w:val="Hyperlink"/>
            <w:noProof/>
          </w:rPr>
          <w:t>Table A.2 : NACAP Program Expenditure ($ millions)</w:t>
        </w:r>
        <w:r w:rsidR="00D65DCD">
          <w:rPr>
            <w:noProof/>
            <w:webHidden/>
          </w:rPr>
          <w:tab/>
        </w:r>
        <w:r w:rsidR="00D65DCD">
          <w:rPr>
            <w:noProof/>
            <w:webHidden/>
          </w:rPr>
          <w:fldChar w:fldCharType="begin"/>
        </w:r>
        <w:r w:rsidR="00D65DCD">
          <w:rPr>
            <w:noProof/>
            <w:webHidden/>
          </w:rPr>
          <w:instrText xml:space="preserve"> PAGEREF _Toc99117022 \h </w:instrText>
        </w:r>
        <w:r w:rsidR="00D65DCD">
          <w:rPr>
            <w:noProof/>
            <w:webHidden/>
          </w:rPr>
        </w:r>
        <w:r w:rsidR="00D65DCD">
          <w:rPr>
            <w:noProof/>
            <w:webHidden/>
          </w:rPr>
          <w:fldChar w:fldCharType="separate"/>
        </w:r>
        <w:r w:rsidR="00DC6A20">
          <w:rPr>
            <w:noProof/>
            <w:webHidden/>
          </w:rPr>
          <w:t>76</w:t>
        </w:r>
        <w:r w:rsidR="00D65DCD">
          <w:rPr>
            <w:noProof/>
            <w:webHidden/>
          </w:rPr>
          <w:fldChar w:fldCharType="end"/>
        </w:r>
      </w:hyperlink>
    </w:p>
    <w:p w14:paraId="414A261A" w14:textId="402A8AF2" w:rsidR="00FC6122" w:rsidRDefault="00F92805" w:rsidP="00FC6122">
      <w:r>
        <w:fldChar w:fldCharType="end"/>
      </w:r>
    </w:p>
    <w:p w14:paraId="54A47C20" w14:textId="77777777" w:rsidR="00FC6122" w:rsidRDefault="00FC6122" w:rsidP="00FC6122"/>
    <w:p w14:paraId="453AB8CF" w14:textId="77777777" w:rsidR="00FC6122" w:rsidRDefault="00FC6122" w:rsidP="00FC6122">
      <w:pPr>
        <w:pStyle w:val="TOCHeading"/>
      </w:pPr>
      <w:r>
        <w:t>Figures</w:t>
      </w:r>
    </w:p>
    <w:p w14:paraId="4B884F2D" w14:textId="6FA18521" w:rsidR="00D65DCD" w:rsidRDefault="00F92805">
      <w:pPr>
        <w:pStyle w:val="TableofFigures"/>
        <w:tabs>
          <w:tab w:val="right" w:leader="dot" w:pos="9016"/>
        </w:tabs>
        <w:rPr>
          <w:rFonts w:asciiTheme="minorHAnsi" w:eastAsiaTheme="minorEastAsia" w:hAnsiTheme="minorHAnsi"/>
          <w:noProof/>
          <w:szCs w:val="22"/>
          <w:lang w:eastAsia="en-AU"/>
        </w:rPr>
      </w:pPr>
      <w:r>
        <w:fldChar w:fldCharType="begin"/>
      </w:r>
      <w:r>
        <w:instrText xml:space="preserve"> TOC \h \z \t "Caption_Figure,7,Exec Figure Caption,7,Appendix Figure Caption,7" \c "Figure" </w:instrText>
      </w:r>
      <w:r>
        <w:fldChar w:fldCharType="separate"/>
      </w:r>
      <w:hyperlink w:anchor="_Toc99117023" w:history="1">
        <w:r w:rsidR="00D65DCD" w:rsidRPr="00014E7A">
          <w:rPr>
            <w:rStyle w:val="Hyperlink"/>
            <w:noProof/>
          </w:rPr>
          <w:t>Figure 1.1 : Overview of expanded NACAP</w:t>
        </w:r>
        <w:r w:rsidR="00D65DCD">
          <w:rPr>
            <w:noProof/>
            <w:webHidden/>
          </w:rPr>
          <w:tab/>
        </w:r>
        <w:r w:rsidR="00D65DCD">
          <w:rPr>
            <w:noProof/>
            <w:webHidden/>
          </w:rPr>
          <w:fldChar w:fldCharType="begin"/>
        </w:r>
        <w:r w:rsidR="00D65DCD">
          <w:rPr>
            <w:noProof/>
            <w:webHidden/>
          </w:rPr>
          <w:instrText xml:space="preserve"> PAGEREF _Toc99117023 \h </w:instrText>
        </w:r>
        <w:r w:rsidR="00D65DCD">
          <w:rPr>
            <w:noProof/>
            <w:webHidden/>
          </w:rPr>
        </w:r>
        <w:r w:rsidR="00D65DCD">
          <w:rPr>
            <w:noProof/>
            <w:webHidden/>
          </w:rPr>
          <w:fldChar w:fldCharType="separate"/>
        </w:r>
        <w:r w:rsidR="00DC6A20">
          <w:rPr>
            <w:noProof/>
            <w:webHidden/>
          </w:rPr>
          <w:t>12</w:t>
        </w:r>
        <w:r w:rsidR="00D65DCD">
          <w:rPr>
            <w:noProof/>
            <w:webHidden/>
          </w:rPr>
          <w:fldChar w:fldCharType="end"/>
        </w:r>
      </w:hyperlink>
    </w:p>
    <w:p w14:paraId="47525D65" w14:textId="38375B31"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4" w:history="1">
        <w:r w:rsidR="00D65DCD" w:rsidRPr="00014E7A">
          <w:rPr>
            <w:rStyle w:val="Hyperlink"/>
            <w:noProof/>
          </w:rPr>
          <w:t>Figure 1.2 : Royal Commission Recommendation 106</w:t>
        </w:r>
        <w:r w:rsidR="00D65DCD">
          <w:rPr>
            <w:noProof/>
            <w:webHidden/>
          </w:rPr>
          <w:tab/>
        </w:r>
        <w:r w:rsidR="00D65DCD">
          <w:rPr>
            <w:noProof/>
            <w:webHidden/>
          </w:rPr>
          <w:fldChar w:fldCharType="begin"/>
        </w:r>
        <w:r w:rsidR="00D65DCD">
          <w:rPr>
            <w:noProof/>
            <w:webHidden/>
          </w:rPr>
          <w:instrText xml:space="preserve"> PAGEREF _Toc99117024 \h </w:instrText>
        </w:r>
        <w:r w:rsidR="00D65DCD">
          <w:rPr>
            <w:noProof/>
            <w:webHidden/>
          </w:rPr>
        </w:r>
        <w:r w:rsidR="00D65DCD">
          <w:rPr>
            <w:noProof/>
            <w:webHidden/>
          </w:rPr>
          <w:fldChar w:fldCharType="separate"/>
        </w:r>
        <w:r w:rsidR="00DC6A20">
          <w:rPr>
            <w:noProof/>
            <w:webHidden/>
          </w:rPr>
          <w:t>14</w:t>
        </w:r>
        <w:r w:rsidR="00D65DCD">
          <w:rPr>
            <w:noProof/>
            <w:webHidden/>
          </w:rPr>
          <w:fldChar w:fldCharType="end"/>
        </w:r>
      </w:hyperlink>
    </w:p>
    <w:p w14:paraId="3DD5C2AF" w14:textId="535EB3AD"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5" w:history="1">
        <w:r w:rsidR="00D65DCD" w:rsidRPr="00014E7A">
          <w:rPr>
            <w:rStyle w:val="Hyperlink"/>
            <w:noProof/>
          </w:rPr>
          <w:t>Figure 2.1: Methodology framework</w:t>
        </w:r>
        <w:r w:rsidR="00D65DCD">
          <w:rPr>
            <w:noProof/>
            <w:webHidden/>
          </w:rPr>
          <w:tab/>
        </w:r>
        <w:r w:rsidR="00D65DCD">
          <w:rPr>
            <w:noProof/>
            <w:webHidden/>
          </w:rPr>
          <w:fldChar w:fldCharType="begin"/>
        </w:r>
        <w:r w:rsidR="00D65DCD">
          <w:rPr>
            <w:noProof/>
            <w:webHidden/>
          </w:rPr>
          <w:instrText xml:space="preserve"> PAGEREF _Toc99117025 \h </w:instrText>
        </w:r>
        <w:r w:rsidR="00D65DCD">
          <w:rPr>
            <w:noProof/>
            <w:webHidden/>
          </w:rPr>
        </w:r>
        <w:r w:rsidR="00D65DCD">
          <w:rPr>
            <w:noProof/>
            <w:webHidden/>
          </w:rPr>
          <w:fldChar w:fldCharType="separate"/>
        </w:r>
        <w:r w:rsidR="00DC6A20">
          <w:rPr>
            <w:noProof/>
            <w:webHidden/>
          </w:rPr>
          <w:t>17</w:t>
        </w:r>
        <w:r w:rsidR="00D65DCD">
          <w:rPr>
            <w:noProof/>
            <w:webHidden/>
          </w:rPr>
          <w:fldChar w:fldCharType="end"/>
        </w:r>
      </w:hyperlink>
    </w:p>
    <w:p w14:paraId="4C9A88FE" w14:textId="29502603"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6" w:history="1">
        <w:r w:rsidR="00D65DCD" w:rsidRPr="00014E7A">
          <w:rPr>
            <w:rStyle w:val="Hyperlink"/>
            <w:noProof/>
          </w:rPr>
          <w:t>Figure 2.2: Overview of current demand analysis</w:t>
        </w:r>
        <w:r w:rsidR="00D65DCD">
          <w:rPr>
            <w:noProof/>
            <w:webHidden/>
          </w:rPr>
          <w:tab/>
        </w:r>
        <w:r w:rsidR="00D65DCD">
          <w:rPr>
            <w:noProof/>
            <w:webHidden/>
          </w:rPr>
          <w:fldChar w:fldCharType="begin"/>
        </w:r>
        <w:r w:rsidR="00D65DCD">
          <w:rPr>
            <w:noProof/>
            <w:webHidden/>
          </w:rPr>
          <w:instrText xml:space="preserve"> PAGEREF _Toc99117026 \h </w:instrText>
        </w:r>
        <w:r w:rsidR="00D65DCD">
          <w:rPr>
            <w:noProof/>
            <w:webHidden/>
          </w:rPr>
        </w:r>
        <w:r w:rsidR="00D65DCD">
          <w:rPr>
            <w:noProof/>
            <w:webHidden/>
          </w:rPr>
          <w:fldChar w:fldCharType="separate"/>
        </w:r>
        <w:r w:rsidR="00DC6A20">
          <w:rPr>
            <w:noProof/>
            <w:webHidden/>
          </w:rPr>
          <w:t>18</w:t>
        </w:r>
        <w:r w:rsidR="00D65DCD">
          <w:rPr>
            <w:noProof/>
            <w:webHidden/>
          </w:rPr>
          <w:fldChar w:fldCharType="end"/>
        </w:r>
      </w:hyperlink>
    </w:p>
    <w:p w14:paraId="5F8654CF" w14:textId="5BED494A"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7" w:history="1">
        <w:r w:rsidR="00D65DCD" w:rsidRPr="00014E7A">
          <w:rPr>
            <w:rStyle w:val="Hyperlink"/>
            <w:noProof/>
          </w:rPr>
          <w:t xml:space="preserve">Figure 2.1 : </w:t>
        </w:r>
        <w:r w:rsidR="00D65DCD" w:rsidRPr="00014E7A">
          <w:rPr>
            <w:rStyle w:val="Hyperlink"/>
            <w:noProof/>
            <w:shd w:val="clear" w:color="auto" w:fill="FFFFFF"/>
          </w:rPr>
          <w:t>Overview of approach to the future demand analysis</w:t>
        </w:r>
        <w:r w:rsidR="00D65DCD">
          <w:rPr>
            <w:noProof/>
            <w:webHidden/>
          </w:rPr>
          <w:tab/>
        </w:r>
        <w:r w:rsidR="00D65DCD">
          <w:rPr>
            <w:noProof/>
            <w:webHidden/>
          </w:rPr>
          <w:fldChar w:fldCharType="begin"/>
        </w:r>
        <w:r w:rsidR="00D65DCD">
          <w:rPr>
            <w:noProof/>
            <w:webHidden/>
          </w:rPr>
          <w:instrText xml:space="preserve"> PAGEREF _Toc99117027 \h </w:instrText>
        </w:r>
        <w:r w:rsidR="00D65DCD">
          <w:rPr>
            <w:noProof/>
            <w:webHidden/>
          </w:rPr>
        </w:r>
        <w:r w:rsidR="00D65DCD">
          <w:rPr>
            <w:noProof/>
            <w:webHidden/>
          </w:rPr>
          <w:fldChar w:fldCharType="separate"/>
        </w:r>
        <w:r w:rsidR="00DC6A20">
          <w:rPr>
            <w:noProof/>
            <w:webHidden/>
          </w:rPr>
          <w:t>20</w:t>
        </w:r>
        <w:r w:rsidR="00D65DCD">
          <w:rPr>
            <w:noProof/>
            <w:webHidden/>
          </w:rPr>
          <w:fldChar w:fldCharType="end"/>
        </w:r>
      </w:hyperlink>
    </w:p>
    <w:p w14:paraId="3F706F8D" w14:textId="56D2FEAB" w:rsidR="00D65DCD" w:rsidRDefault="00A96775">
      <w:pPr>
        <w:pStyle w:val="TableofFigures"/>
        <w:tabs>
          <w:tab w:val="right" w:leader="dot" w:pos="9016"/>
        </w:tabs>
        <w:rPr>
          <w:rFonts w:asciiTheme="minorHAnsi" w:eastAsiaTheme="minorEastAsia" w:hAnsiTheme="minorHAnsi"/>
          <w:noProof/>
          <w:szCs w:val="22"/>
          <w:lang w:eastAsia="en-AU"/>
        </w:rPr>
      </w:pPr>
      <w:hyperlink w:anchor="_Toc99117028" w:history="1">
        <w:r w:rsidR="00D65DCD" w:rsidRPr="00014E7A">
          <w:rPr>
            <w:rStyle w:val="Hyperlink"/>
            <w:noProof/>
          </w:rPr>
          <w:t>Figure 5.1 : Program logic model for NACAP advocacy services</w:t>
        </w:r>
        <w:r w:rsidR="00D65DCD">
          <w:rPr>
            <w:noProof/>
            <w:webHidden/>
          </w:rPr>
          <w:tab/>
        </w:r>
        <w:r w:rsidR="00D65DCD">
          <w:rPr>
            <w:noProof/>
            <w:webHidden/>
          </w:rPr>
          <w:fldChar w:fldCharType="begin"/>
        </w:r>
        <w:r w:rsidR="00D65DCD">
          <w:rPr>
            <w:noProof/>
            <w:webHidden/>
          </w:rPr>
          <w:instrText xml:space="preserve"> PAGEREF _Toc99117028 \h </w:instrText>
        </w:r>
        <w:r w:rsidR="00D65DCD">
          <w:rPr>
            <w:noProof/>
            <w:webHidden/>
          </w:rPr>
        </w:r>
        <w:r w:rsidR="00D65DCD">
          <w:rPr>
            <w:noProof/>
            <w:webHidden/>
          </w:rPr>
          <w:fldChar w:fldCharType="separate"/>
        </w:r>
        <w:r w:rsidR="00DC6A20">
          <w:rPr>
            <w:noProof/>
            <w:webHidden/>
          </w:rPr>
          <w:t>48</w:t>
        </w:r>
        <w:r w:rsidR="00D65DCD">
          <w:rPr>
            <w:noProof/>
            <w:webHidden/>
          </w:rPr>
          <w:fldChar w:fldCharType="end"/>
        </w:r>
      </w:hyperlink>
    </w:p>
    <w:p w14:paraId="35165619" w14:textId="289C3418" w:rsidR="00F9113D" w:rsidRDefault="00F92805" w:rsidP="00485C27">
      <w:pPr>
        <w:sectPr w:rsidR="00F9113D" w:rsidSect="005F043A">
          <w:footerReference w:type="default" r:id="rId19"/>
          <w:pgSz w:w="11906" w:h="16838" w:code="9"/>
          <w:pgMar w:top="1440" w:right="1440" w:bottom="1440" w:left="1440" w:header="680" w:footer="425" w:gutter="0"/>
          <w:cols w:space="284"/>
          <w:noEndnote/>
          <w:docGrid w:linePitch="360"/>
        </w:sectPr>
      </w:pPr>
      <w:r>
        <w:fldChar w:fldCharType="end"/>
      </w:r>
      <w:bookmarkEnd w:id="3"/>
    </w:p>
    <w:p w14:paraId="34F1CF34" w14:textId="03717FB0" w:rsidR="00BF3260" w:rsidRDefault="00BF3260" w:rsidP="00BF3260">
      <w:pPr>
        <w:pStyle w:val="Heading1un-numbered"/>
      </w:pPr>
      <w:bookmarkStart w:id="4" w:name="_Toc462313127"/>
      <w:bookmarkStart w:id="5" w:name="_Toc462317836"/>
      <w:bookmarkStart w:id="6" w:name="_Toc462397801"/>
      <w:bookmarkStart w:id="7" w:name="_Toc463002428"/>
      <w:bookmarkStart w:id="8" w:name="_Toc472586340"/>
      <w:bookmarkStart w:id="9" w:name="_Toc482168118"/>
      <w:bookmarkStart w:id="10" w:name="_Toc482174905"/>
      <w:bookmarkStart w:id="11" w:name="_Toc94771817"/>
      <w:bookmarkStart w:id="12" w:name="_Toc99437488"/>
      <w:r>
        <w:lastRenderedPageBreak/>
        <w:t>Glossary</w:t>
      </w:r>
      <w:bookmarkEnd w:id="4"/>
      <w:bookmarkEnd w:id="5"/>
      <w:bookmarkEnd w:id="6"/>
      <w:bookmarkEnd w:id="7"/>
      <w:bookmarkEnd w:id="8"/>
      <w:bookmarkEnd w:id="9"/>
      <w:bookmarkEnd w:id="10"/>
      <w:bookmarkEnd w:id="11"/>
      <w:bookmarkEnd w:id="12"/>
    </w:p>
    <w:tbl>
      <w:tblPr>
        <w:tblStyle w:val="Deloittetable"/>
        <w:tblW w:w="5001" w:type="pct"/>
        <w:tblLook w:val="04A0" w:firstRow="1" w:lastRow="0" w:firstColumn="1" w:lastColumn="0" w:noHBand="0" w:noVBand="1"/>
      </w:tblPr>
      <w:tblGrid>
        <w:gridCol w:w="1984"/>
        <w:gridCol w:w="7044"/>
      </w:tblGrid>
      <w:tr w:rsidR="00120F50" w:rsidRPr="00865985" w14:paraId="494AA7C9" w14:textId="77777777" w:rsidTr="003E34CA">
        <w:trPr>
          <w:cnfStyle w:val="100000000000" w:firstRow="1" w:lastRow="0" w:firstColumn="0" w:lastColumn="0" w:oddVBand="0" w:evenVBand="0" w:oddHBand="0" w:evenHBand="0" w:firstRowFirstColumn="0" w:firstRowLastColumn="0" w:lastRowFirstColumn="0" w:lastRowLastColumn="0"/>
          <w:trHeight w:hRule="exact" w:val="602"/>
          <w:tblHeader/>
        </w:trPr>
        <w:tc>
          <w:tcPr>
            <w:tcW w:w="1099" w:type="pct"/>
          </w:tcPr>
          <w:p w14:paraId="76CB4C10" w14:textId="77777777" w:rsidR="00120F50" w:rsidRPr="00F8611B" w:rsidRDefault="00120F50" w:rsidP="006623EA">
            <w:pPr>
              <w:pStyle w:val="TabletextLeft"/>
              <w:rPr>
                <w:b/>
                <w:bCs/>
                <w:sz w:val="22"/>
                <w:szCs w:val="22"/>
              </w:rPr>
            </w:pPr>
            <w:r w:rsidRPr="00F8611B">
              <w:rPr>
                <w:b/>
                <w:bCs/>
                <w:sz w:val="22"/>
                <w:szCs w:val="22"/>
              </w:rPr>
              <w:t>Acronym</w:t>
            </w:r>
          </w:p>
        </w:tc>
        <w:tc>
          <w:tcPr>
            <w:tcW w:w="3901" w:type="pct"/>
          </w:tcPr>
          <w:p w14:paraId="70320083" w14:textId="4B1EC7E3" w:rsidR="00120F50" w:rsidRPr="00F8611B" w:rsidRDefault="00120F50" w:rsidP="006623EA">
            <w:pPr>
              <w:pStyle w:val="TabletextLeft"/>
              <w:rPr>
                <w:b/>
                <w:bCs/>
                <w:sz w:val="22"/>
                <w:szCs w:val="22"/>
              </w:rPr>
            </w:pPr>
            <w:r w:rsidRPr="00F8611B">
              <w:rPr>
                <w:b/>
                <w:bCs/>
                <w:sz w:val="22"/>
                <w:szCs w:val="22"/>
              </w:rPr>
              <w:t>Full name</w:t>
            </w:r>
          </w:p>
        </w:tc>
      </w:tr>
      <w:tr w:rsidR="00120F50" w:rsidRPr="00865985" w14:paraId="677976AD" w14:textId="77777777" w:rsidTr="005F49BF">
        <w:trPr>
          <w:trHeight w:hRule="exact" w:val="340"/>
        </w:trPr>
        <w:tc>
          <w:tcPr>
            <w:tcW w:w="1099" w:type="pct"/>
          </w:tcPr>
          <w:p w14:paraId="5013B025" w14:textId="3E9651D9" w:rsidR="00120F50" w:rsidRPr="00322D5E" w:rsidRDefault="00217240" w:rsidP="006623EA">
            <w:pPr>
              <w:pStyle w:val="TabletextLeft"/>
              <w:rPr>
                <w:sz w:val="22"/>
                <w:szCs w:val="22"/>
              </w:rPr>
            </w:pPr>
            <w:r w:rsidRPr="00322D5E">
              <w:rPr>
                <w:sz w:val="22"/>
                <w:szCs w:val="22"/>
              </w:rPr>
              <w:t>AAT</w:t>
            </w:r>
          </w:p>
        </w:tc>
        <w:tc>
          <w:tcPr>
            <w:tcW w:w="3901" w:type="pct"/>
          </w:tcPr>
          <w:p w14:paraId="1E596B63" w14:textId="27CEBE8F" w:rsidR="00120F50" w:rsidRPr="00322D5E" w:rsidRDefault="00217240" w:rsidP="006623EA">
            <w:pPr>
              <w:pStyle w:val="TabletextLeft"/>
              <w:rPr>
                <w:sz w:val="22"/>
                <w:szCs w:val="22"/>
              </w:rPr>
            </w:pPr>
            <w:r w:rsidRPr="00322D5E">
              <w:rPr>
                <w:sz w:val="22"/>
                <w:szCs w:val="22"/>
              </w:rPr>
              <w:t>Administrative Appeals Tribunal</w:t>
            </w:r>
          </w:p>
        </w:tc>
      </w:tr>
      <w:tr w:rsidR="00217240" w:rsidRPr="00865985" w14:paraId="02149C29" w14:textId="77777777" w:rsidTr="005F49BF">
        <w:trPr>
          <w:trHeight w:hRule="exact" w:val="340"/>
        </w:trPr>
        <w:tc>
          <w:tcPr>
            <w:tcW w:w="1099" w:type="pct"/>
          </w:tcPr>
          <w:p w14:paraId="0F03499C" w14:textId="254566F9" w:rsidR="00217240" w:rsidRPr="00322D5E" w:rsidRDefault="00217240" w:rsidP="00217240">
            <w:pPr>
              <w:pStyle w:val="TabletextLeft"/>
              <w:rPr>
                <w:sz w:val="22"/>
                <w:szCs w:val="22"/>
              </w:rPr>
            </w:pPr>
            <w:r w:rsidRPr="00322D5E">
              <w:rPr>
                <w:sz w:val="22"/>
                <w:szCs w:val="22"/>
              </w:rPr>
              <w:t>ABS</w:t>
            </w:r>
          </w:p>
        </w:tc>
        <w:tc>
          <w:tcPr>
            <w:tcW w:w="3901" w:type="pct"/>
          </w:tcPr>
          <w:p w14:paraId="0C2BA98F" w14:textId="728C1394" w:rsidR="00217240" w:rsidRPr="00322D5E" w:rsidRDefault="00217240" w:rsidP="00217240">
            <w:pPr>
              <w:pStyle w:val="TabletextLeft"/>
              <w:rPr>
                <w:sz w:val="22"/>
                <w:szCs w:val="22"/>
              </w:rPr>
            </w:pPr>
            <w:r w:rsidRPr="00322D5E">
              <w:rPr>
                <w:sz w:val="22"/>
                <w:szCs w:val="22"/>
              </w:rPr>
              <w:t>Australian Bureau of Statistics</w:t>
            </w:r>
          </w:p>
        </w:tc>
      </w:tr>
      <w:tr w:rsidR="00217240" w:rsidRPr="00865985" w14:paraId="08EB1456" w14:textId="77777777" w:rsidTr="005F49BF">
        <w:trPr>
          <w:trHeight w:hRule="exact" w:val="340"/>
        </w:trPr>
        <w:tc>
          <w:tcPr>
            <w:tcW w:w="1099" w:type="pct"/>
          </w:tcPr>
          <w:p w14:paraId="39CAB027" w14:textId="77777777" w:rsidR="00217240" w:rsidRPr="00322D5E" w:rsidRDefault="00217240" w:rsidP="00217240">
            <w:pPr>
              <w:pStyle w:val="TabletextLeft"/>
              <w:rPr>
                <w:sz w:val="22"/>
                <w:szCs w:val="22"/>
              </w:rPr>
            </w:pPr>
            <w:r w:rsidRPr="00322D5E">
              <w:rPr>
                <w:sz w:val="22"/>
                <w:szCs w:val="22"/>
              </w:rPr>
              <w:t>ACQSC</w:t>
            </w:r>
          </w:p>
        </w:tc>
        <w:tc>
          <w:tcPr>
            <w:tcW w:w="3901" w:type="pct"/>
          </w:tcPr>
          <w:p w14:paraId="2FD491D3" w14:textId="77777777" w:rsidR="00217240" w:rsidRPr="00322D5E" w:rsidRDefault="00217240" w:rsidP="00217240">
            <w:pPr>
              <w:pStyle w:val="TabletextLeft"/>
              <w:rPr>
                <w:sz w:val="22"/>
                <w:szCs w:val="22"/>
              </w:rPr>
            </w:pPr>
            <w:r w:rsidRPr="00322D5E">
              <w:rPr>
                <w:sz w:val="22"/>
                <w:szCs w:val="22"/>
              </w:rPr>
              <w:t>Aged Care Quality and Safety Commission</w:t>
            </w:r>
          </w:p>
        </w:tc>
      </w:tr>
      <w:tr w:rsidR="00217240" w:rsidRPr="00865985" w14:paraId="13A5A8A1" w14:textId="77777777" w:rsidTr="005F49BF">
        <w:trPr>
          <w:trHeight w:hRule="exact" w:val="340"/>
        </w:trPr>
        <w:tc>
          <w:tcPr>
            <w:tcW w:w="1099" w:type="pct"/>
          </w:tcPr>
          <w:p w14:paraId="3D77E210" w14:textId="77777777" w:rsidR="00217240" w:rsidRPr="00322D5E" w:rsidRDefault="00217240" w:rsidP="00217240">
            <w:pPr>
              <w:pStyle w:val="TabletextLeft"/>
              <w:rPr>
                <w:sz w:val="22"/>
                <w:szCs w:val="22"/>
              </w:rPr>
            </w:pPr>
            <w:r w:rsidRPr="00322D5E">
              <w:rPr>
                <w:sz w:val="22"/>
                <w:szCs w:val="22"/>
              </w:rPr>
              <w:t>ADA</w:t>
            </w:r>
          </w:p>
        </w:tc>
        <w:tc>
          <w:tcPr>
            <w:tcW w:w="3901" w:type="pct"/>
          </w:tcPr>
          <w:p w14:paraId="3B2849D8" w14:textId="77777777" w:rsidR="00217240" w:rsidRPr="00322D5E" w:rsidRDefault="00217240" w:rsidP="00217240">
            <w:pPr>
              <w:pStyle w:val="TabletextLeft"/>
              <w:rPr>
                <w:sz w:val="22"/>
                <w:szCs w:val="22"/>
              </w:rPr>
            </w:pPr>
            <w:r w:rsidRPr="00322D5E">
              <w:rPr>
                <w:sz w:val="22"/>
                <w:szCs w:val="22"/>
              </w:rPr>
              <w:t>Aged and Disability Advocacy</w:t>
            </w:r>
          </w:p>
        </w:tc>
      </w:tr>
      <w:tr w:rsidR="00217240" w:rsidRPr="00865985" w14:paraId="62262E2E" w14:textId="77777777" w:rsidTr="005F49BF">
        <w:trPr>
          <w:trHeight w:hRule="exact" w:val="340"/>
        </w:trPr>
        <w:tc>
          <w:tcPr>
            <w:tcW w:w="1099" w:type="pct"/>
          </w:tcPr>
          <w:p w14:paraId="5542F510" w14:textId="77777777" w:rsidR="00217240" w:rsidRPr="00322D5E" w:rsidRDefault="00217240" w:rsidP="00217240">
            <w:pPr>
              <w:pStyle w:val="TabletextLeft"/>
              <w:rPr>
                <w:sz w:val="22"/>
                <w:szCs w:val="22"/>
              </w:rPr>
            </w:pPr>
            <w:r w:rsidRPr="00322D5E">
              <w:rPr>
                <w:sz w:val="22"/>
                <w:szCs w:val="22"/>
              </w:rPr>
              <w:t>ADACAS</w:t>
            </w:r>
          </w:p>
        </w:tc>
        <w:tc>
          <w:tcPr>
            <w:tcW w:w="3901" w:type="pct"/>
          </w:tcPr>
          <w:p w14:paraId="04C05915" w14:textId="77777777" w:rsidR="00217240" w:rsidRPr="00322D5E" w:rsidRDefault="00217240" w:rsidP="00217240">
            <w:pPr>
              <w:pStyle w:val="TabletextLeft"/>
              <w:rPr>
                <w:sz w:val="22"/>
                <w:szCs w:val="22"/>
              </w:rPr>
            </w:pPr>
            <w:r w:rsidRPr="00322D5E">
              <w:rPr>
                <w:sz w:val="22"/>
                <w:szCs w:val="22"/>
              </w:rPr>
              <w:t>ACT Disability, Aged and Carer Advocacy Service</w:t>
            </w:r>
          </w:p>
        </w:tc>
      </w:tr>
      <w:tr w:rsidR="00217240" w:rsidRPr="00865985" w14:paraId="5C7E8A7B" w14:textId="77777777" w:rsidTr="005F49BF">
        <w:trPr>
          <w:trHeight w:hRule="exact" w:val="340"/>
        </w:trPr>
        <w:tc>
          <w:tcPr>
            <w:tcW w:w="1099" w:type="pct"/>
          </w:tcPr>
          <w:p w14:paraId="6DC67359" w14:textId="77777777" w:rsidR="00217240" w:rsidRPr="00322D5E" w:rsidRDefault="00217240" w:rsidP="00217240">
            <w:pPr>
              <w:pStyle w:val="TabletextLeft"/>
              <w:rPr>
                <w:sz w:val="22"/>
                <w:szCs w:val="22"/>
              </w:rPr>
            </w:pPr>
            <w:r w:rsidRPr="00322D5E">
              <w:rPr>
                <w:sz w:val="22"/>
                <w:szCs w:val="22"/>
              </w:rPr>
              <w:t>AFDO</w:t>
            </w:r>
          </w:p>
        </w:tc>
        <w:tc>
          <w:tcPr>
            <w:tcW w:w="3901" w:type="pct"/>
          </w:tcPr>
          <w:p w14:paraId="714418F6" w14:textId="77777777" w:rsidR="00217240" w:rsidRPr="00322D5E" w:rsidRDefault="00217240" w:rsidP="00217240">
            <w:pPr>
              <w:pStyle w:val="TabletextLeft"/>
              <w:rPr>
                <w:sz w:val="22"/>
                <w:szCs w:val="22"/>
              </w:rPr>
            </w:pPr>
            <w:r w:rsidRPr="00322D5E">
              <w:rPr>
                <w:sz w:val="22"/>
                <w:szCs w:val="22"/>
              </w:rPr>
              <w:t>Australia Federation for Disability Organisations</w:t>
            </w:r>
          </w:p>
        </w:tc>
      </w:tr>
      <w:tr w:rsidR="00217240" w:rsidRPr="00865985" w14:paraId="2EFE437C" w14:textId="77777777" w:rsidTr="005F49BF">
        <w:trPr>
          <w:trHeight w:hRule="exact" w:val="340"/>
        </w:trPr>
        <w:tc>
          <w:tcPr>
            <w:tcW w:w="1099" w:type="pct"/>
          </w:tcPr>
          <w:p w14:paraId="7D9366EC" w14:textId="77777777" w:rsidR="00217240" w:rsidRPr="00322D5E" w:rsidRDefault="00217240" w:rsidP="00217240">
            <w:pPr>
              <w:pStyle w:val="TabletextLeft"/>
              <w:rPr>
                <w:sz w:val="22"/>
                <w:szCs w:val="22"/>
              </w:rPr>
            </w:pPr>
            <w:r w:rsidRPr="00322D5E">
              <w:rPr>
                <w:sz w:val="22"/>
                <w:szCs w:val="22"/>
              </w:rPr>
              <w:t>AGNES</w:t>
            </w:r>
          </w:p>
        </w:tc>
        <w:tc>
          <w:tcPr>
            <w:tcW w:w="3901" w:type="pct"/>
          </w:tcPr>
          <w:p w14:paraId="1AE06E90" w14:textId="77777777" w:rsidR="00217240" w:rsidRPr="00322D5E" w:rsidRDefault="00217240" w:rsidP="00217240">
            <w:pPr>
              <w:pStyle w:val="TabletextLeft"/>
              <w:rPr>
                <w:sz w:val="22"/>
                <w:szCs w:val="22"/>
              </w:rPr>
            </w:pPr>
            <w:r w:rsidRPr="00322D5E">
              <w:rPr>
                <w:color w:val="000000" w:themeColor="text1"/>
                <w:sz w:val="22"/>
                <w:szCs w:val="22"/>
              </w:rPr>
              <w:t>Australian Government National Economic Simulation</w:t>
            </w:r>
          </w:p>
        </w:tc>
      </w:tr>
      <w:tr w:rsidR="00217240" w:rsidRPr="00865985" w14:paraId="41901008" w14:textId="77777777" w:rsidTr="005F49BF">
        <w:trPr>
          <w:trHeight w:hRule="exact" w:val="340"/>
        </w:trPr>
        <w:tc>
          <w:tcPr>
            <w:tcW w:w="1099" w:type="pct"/>
          </w:tcPr>
          <w:p w14:paraId="6B6FB639" w14:textId="77777777" w:rsidR="00217240" w:rsidRPr="00322D5E" w:rsidRDefault="00217240" w:rsidP="00217240">
            <w:pPr>
              <w:pStyle w:val="TabletextLeft"/>
              <w:rPr>
                <w:sz w:val="22"/>
                <w:szCs w:val="22"/>
              </w:rPr>
            </w:pPr>
            <w:r w:rsidRPr="00322D5E">
              <w:rPr>
                <w:sz w:val="22"/>
                <w:szCs w:val="22"/>
              </w:rPr>
              <w:t>AHSRI</w:t>
            </w:r>
          </w:p>
        </w:tc>
        <w:tc>
          <w:tcPr>
            <w:tcW w:w="3901" w:type="pct"/>
          </w:tcPr>
          <w:p w14:paraId="37AEA22B" w14:textId="77777777" w:rsidR="00217240" w:rsidRPr="00322D5E" w:rsidRDefault="00217240" w:rsidP="00217240">
            <w:pPr>
              <w:pStyle w:val="TabletextLeft"/>
              <w:rPr>
                <w:sz w:val="22"/>
                <w:szCs w:val="22"/>
              </w:rPr>
            </w:pPr>
            <w:r w:rsidRPr="00322D5E">
              <w:rPr>
                <w:sz w:val="22"/>
                <w:szCs w:val="22"/>
              </w:rPr>
              <w:t>Australian Health Services Research Institute</w:t>
            </w:r>
          </w:p>
        </w:tc>
      </w:tr>
      <w:tr w:rsidR="00217240" w:rsidRPr="00865985" w14:paraId="74428CE9" w14:textId="77777777" w:rsidTr="005F49BF">
        <w:trPr>
          <w:trHeight w:hRule="exact" w:val="340"/>
        </w:trPr>
        <w:tc>
          <w:tcPr>
            <w:tcW w:w="1099" w:type="pct"/>
          </w:tcPr>
          <w:p w14:paraId="4EC3D687" w14:textId="77777777" w:rsidR="00217240" w:rsidRPr="00322D5E" w:rsidRDefault="00217240" w:rsidP="00217240">
            <w:pPr>
              <w:pStyle w:val="TabletextLeft"/>
              <w:rPr>
                <w:sz w:val="22"/>
                <w:szCs w:val="22"/>
              </w:rPr>
            </w:pPr>
            <w:r w:rsidRPr="00322D5E">
              <w:rPr>
                <w:sz w:val="22"/>
                <w:szCs w:val="22"/>
              </w:rPr>
              <w:t>AIHW</w:t>
            </w:r>
          </w:p>
        </w:tc>
        <w:tc>
          <w:tcPr>
            <w:tcW w:w="3901" w:type="pct"/>
          </w:tcPr>
          <w:p w14:paraId="4A09C7CB" w14:textId="55F80D9D" w:rsidR="00217240" w:rsidRPr="00322D5E" w:rsidRDefault="00217240" w:rsidP="00217240">
            <w:pPr>
              <w:pStyle w:val="TabletextLeft"/>
              <w:rPr>
                <w:sz w:val="22"/>
                <w:szCs w:val="22"/>
              </w:rPr>
            </w:pPr>
            <w:r w:rsidRPr="00322D5E">
              <w:rPr>
                <w:sz w:val="22"/>
                <w:szCs w:val="22"/>
              </w:rPr>
              <w:t>Australian Institute of Health and Welfare</w:t>
            </w:r>
          </w:p>
        </w:tc>
      </w:tr>
      <w:tr w:rsidR="00217240" w:rsidRPr="00865985" w14:paraId="0C4E685A" w14:textId="77777777" w:rsidTr="005F49BF">
        <w:trPr>
          <w:trHeight w:hRule="exact" w:val="340"/>
        </w:trPr>
        <w:tc>
          <w:tcPr>
            <w:tcW w:w="1099" w:type="pct"/>
          </w:tcPr>
          <w:p w14:paraId="3BB5068F" w14:textId="6847BE1E" w:rsidR="00217240" w:rsidRPr="00322D5E" w:rsidRDefault="00217240" w:rsidP="00217240">
            <w:pPr>
              <w:pStyle w:val="TabletextLeft"/>
              <w:rPr>
                <w:sz w:val="22"/>
                <w:szCs w:val="22"/>
              </w:rPr>
            </w:pPr>
            <w:r w:rsidRPr="00322D5E">
              <w:rPr>
                <w:sz w:val="22"/>
                <w:szCs w:val="22"/>
              </w:rPr>
              <w:t>ARC</w:t>
            </w:r>
          </w:p>
        </w:tc>
        <w:tc>
          <w:tcPr>
            <w:tcW w:w="3901" w:type="pct"/>
          </w:tcPr>
          <w:p w14:paraId="2AC96C59" w14:textId="144291B9" w:rsidR="00217240" w:rsidRPr="00322D5E" w:rsidRDefault="00217240" w:rsidP="00217240">
            <w:pPr>
              <w:pStyle w:val="TabletextLeft"/>
              <w:rPr>
                <w:sz w:val="22"/>
                <w:szCs w:val="22"/>
              </w:rPr>
            </w:pPr>
            <w:r w:rsidRPr="00322D5E">
              <w:rPr>
                <w:sz w:val="22"/>
                <w:szCs w:val="22"/>
              </w:rPr>
              <w:t>Australian Research Council</w:t>
            </w:r>
          </w:p>
        </w:tc>
      </w:tr>
      <w:tr w:rsidR="00217240" w:rsidRPr="00865985" w14:paraId="399AEB88" w14:textId="77777777" w:rsidTr="005F49BF">
        <w:trPr>
          <w:trHeight w:hRule="exact" w:val="340"/>
        </w:trPr>
        <w:tc>
          <w:tcPr>
            <w:tcW w:w="1099" w:type="pct"/>
          </w:tcPr>
          <w:p w14:paraId="0540A59A" w14:textId="4044B56C" w:rsidR="00217240" w:rsidRPr="00322D5E" w:rsidRDefault="0015451F" w:rsidP="00217240">
            <w:pPr>
              <w:pStyle w:val="TabletextLeft"/>
              <w:rPr>
                <w:sz w:val="22"/>
                <w:szCs w:val="22"/>
              </w:rPr>
            </w:pPr>
            <w:r w:rsidRPr="00322D5E">
              <w:rPr>
                <w:sz w:val="22"/>
                <w:szCs w:val="22"/>
              </w:rPr>
              <w:t>ATDP</w:t>
            </w:r>
          </w:p>
        </w:tc>
        <w:tc>
          <w:tcPr>
            <w:tcW w:w="3901" w:type="pct"/>
          </w:tcPr>
          <w:p w14:paraId="1C1DADA2" w14:textId="4EFA0160" w:rsidR="00217240" w:rsidRPr="00322D5E" w:rsidRDefault="003E2D8D" w:rsidP="00217240">
            <w:pPr>
              <w:pStyle w:val="TabletextLeft"/>
              <w:rPr>
                <w:sz w:val="22"/>
                <w:szCs w:val="22"/>
              </w:rPr>
            </w:pPr>
            <w:r w:rsidRPr="00322D5E">
              <w:rPr>
                <w:sz w:val="22"/>
                <w:szCs w:val="22"/>
              </w:rPr>
              <w:t>Advocate Training and Development Program</w:t>
            </w:r>
          </w:p>
        </w:tc>
      </w:tr>
      <w:tr w:rsidR="00217240" w:rsidRPr="00865985" w14:paraId="2E78C477" w14:textId="77777777" w:rsidTr="005F49BF">
        <w:trPr>
          <w:trHeight w:hRule="exact" w:val="340"/>
        </w:trPr>
        <w:tc>
          <w:tcPr>
            <w:tcW w:w="1099" w:type="pct"/>
          </w:tcPr>
          <w:p w14:paraId="3824C280" w14:textId="77777777" w:rsidR="00217240" w:rsidRPr="00322D5E" w:rsidRDefault="00217240" w:rsidP="00217240">
            <w:pPr>
              <w:pStyle w:val="TabletextLeft"/>
              <w:rPr>
                <w:sz w:val="22"/>
                <w:szCs w:val="22"/>
              </w:rPr>
            </w:pPr>
            <w:r w:rsidRPr="00322D5E">
              <w:rPr>
                <w:sz w:val="22"/>
                <w:szCs w:val="22"/>
              </w:rPr>
              <w:t>CALD</w:t>
            </w:r>
          </w:p>
        </w:tc>
        <w:tc>
          <w:tcPr>
            <w:tcW w:w="3901" w:type="pct"/>
          </w:tcPr>
          <w:p w14:paraId="75468C14" w14:textId="77777777" w:rsidR="00217240" w:rsidRPr="00322D5E" w:rsidRDefault="00217240" w:rsidP="00217240">
            <w:pPr>
              <w:pStyle w:val="TabletextLeft"/>
              <w:rPr>
                <w:sz w:val="22"/>
                <w:szCs w:val="22"/>
              </w:rPr>
            </w:pPr>
            <w:r w:rsidRPr="00322D5E">
              <w:rPr>
                <w:sz w:val="22"/>
                <w:szCs w:val="22"/>
              </w:rPr>
              <w:t>Culturally and Linguistically Diverse</w:t>
            </w:r>
          </w:p>
        </w:tc>
      </w:tr>
      <w:tr w:rsidR="009B51EC" w:rsidRPr="00865985" w14:paraId="7C81A2FF" w14:textId="77777777" w:rsidTr="005F49BF">
        <w:trPr>
          <w:trHeight w:hRule="exact" w:val="340"/>
        </w:trPr>
        <w:tc>
          <w:tcPr>
            <w:tcW w:w="1099" w:type="pct"/>
          </w:tcPr>
          <w:p w14:paraId="04BBA967" w14:textId="69264E0A" w:rsidR="009B51EC" w:rsidRPr="00322D5E" w:rsidRDefault="009B51EC" w:rsidP="00217240">
            <w:pPr>
              <w:pStyle w:val="TabletextLeft"/>
              <w:rPr>
                <w:sz w:val="22"/>
                <w:szCs w:val="22"/>
              </w:rPr>
            </w:pPr>
            <w:r w:rsidRPr="00322D5E">
              <w:rPr>
                <w:sz w:val="22"/>
                <w:szCs w:val="22"/>
              </w:rPr>
              <w:t>CARF</w:t>
            </w:r>
          </w:p>
        </w:tc>
        <w:tc>
          <w:tcPr>
            <w:tcW w:w="3901" w:type="pct"/>
          </w:tcPr>
          <w:p w14:paraId="2E5E8E30" w14:textId="33245EBA" w:rsidR="009B51EC" w:rsidRPr="00322D5E" w:rsidRDefault="001F46AD" w:rsidP="00217240">
            <w:pPr>
              <w:pStyle w:val="TabletextLeft"/>
              <w:rPr>
                <w:sz w:val="22"/>
                <w:szCs w:val="22"/>
              </w:rPr>
            </w:pPr>
            <w:r w:rsidRPr="00322D5E">
              <w:rPr>
                <w:sz w:val="22"/>
                <w:szCs w:val="22"/>
              </w:rPr>
              <w:t>Commission on Accreditation of Rehabilitation Facilities</w:t>
            </w:r>
          </w:p>
        </w:tc>
      </w:tr>
      <w:tr w:rsidR="00217240" w:rsidRPr="00865985" w14:paraId="396316B2" w14:textId="77777777" w:rsidTr="005F49BF">
        <w:trPr>
          <w:trHeight w:hRule="exact" w:val="340"/>
        </w:trPr>
        <w:tc>
          <w:tcPr>
            <w:tcW w:w="1099" w:type="pct"/>
          </w:tcPr>
          <w:p w14:paraId="6A15E3F7" w14:textId="77777777" w:rsidR="00217240" w:rsidRPr="00322D5E" w:rsidRDefault="00217240" w:rsidP="00217240">
            <w:pPr>
              <w:pStyle w:val="TabletextLeft"/>
              <w:rPr>
                <w:sz w:val="22"/>
                <w:szCs w:val="22"/>
              </w:rPr>
            </w:pPr>
            <w:r w:rsidRPr="00322D5E">
              <w:rPr>
                <w:sz w:val="22"/>
                <w:szCs w:val="22"/>
              </w:rPr>
              <w:t>CCF</w:t>
            </w:r>
          </w:p>
        </w:tc>
        <w:tc>
          <w:tcPr>
            <w:tcW w:w="3901" w:type="pct"/>
          </w:tcPr>
          <w:p w14:paraId="64D779A8" w14:textId="77777777" w:rsidR="00217240" w:rsidRPr="00322D5E" w:rsidRDefault="00217240" w:rsidP="00217240">
            <w:pPr>
              <w:pStyle w:val="TabletextLeft"/>
              <w:rPr>
                <w:sz w:val="22"/>
                <w:szCs w:val="22"/>
              </w:rPr>
            </w:pPr>
            <w:r w:rsidRPr="00322D5E">
              <w:rPr>
                <w:sz w:val="22"/>
                <w:szCs w:val="22"/>
              </w:rPr>
              <w:t>Community Care Finder</w:t>
            </w:r>
          </w:p>
        </w:tc>
      </w:tr>
      <w:tr w:rsidR="00217240" w:rsidRPr="00865985" w14:paraId="7367878B" w14:textId="77777777" w:rsidTr="005F49BF">
        <w:trPr>
          <w:trHeight w:hRule="exact" w:val="340"/>
        </w:trPr>
        <w:tc>
          <w:tcPr>
            <w:tcW w:w="1099" w:type="pct"/>
          </w:tcPr>
          <w:p w14:paraId="296A7D63" w14:textId="77777777" w:rsidR="00217240" w:rsidRPr="00322D5E" w:rsidRDefault="00217240" w:rsidP="00217240">
            <w:pPr>
              <w:pStyle w:val="TabletextLeft"/>
              <w:rPr>
                <w:sz w:val="22"/>
                <w:szCs w:val="22"/>
              </w:rPr>
            </w:pPr>
            <w:r w:rsidRPr="00322D5E">
              <w:rPr>
                <w:sz w:val="22"/>
                <w:szCs w:val="22"/>
              </w:rPr>
              <w:t>CHSP</w:t>
            </w:r>
          </w:p>
        </w:tc>
        <w:tc>
          <w:tcPr>
            <w:tcW w:w="3901" w:type="pct"/>
          </w:tcPr>
          <w:p w14:paraId="755906D1" w14:textId="77777777" w:rsidR="00217240" w:rsidRPr="00322D5E" w:rsidRDefault="00217240" w:rsidP="00217240">
            <w:pPr>
              <w:pStyle w:val="TabletextLeft"/>
              <w:rPr>
                <w:sz w:val="22"/>
                <w:szCs w:val="22"/>
              </w:rPr>
            </w:pPr>
            <w:r w:rsidRPr="00322D5E">
              <w:rPr>
                <w:sz w:val="22"/>
                <w:szCs w:val="22"/>
              </w:rPr>
              <w:t>Commonwealth Home Support Programme</w:t>
            </w:r>
          </w:p>
        </w:tc>
      </w:tr>
      <w:tr w:rsidR="000D1C7C" w:rsidRPr="00865985" w14:paraId="7B060808" w14:textId="77777777" w:rsidTr="005F49BF">
        <w:trPr>
          <w:trHeight w:hRule="exact" w:val="340"/>
        </w:trPr>
        <w:tc>
          <w:tcPr>
            <w:tcW w:w="1099" w:type="pct"/>
          </w:tcPr>
          <w:p w14:paraId="7F897BD2" w14:textId="65AA7B00" w:rsidR="000D1C7C" w:rsidRPr="00322D5E" w:rsidRDefault="000D1C7C" w:rsidP="00217240">
            <w:pPr>
              <w:pStyle w:val="TabletextLeft"/>
              <w:rPr>
                <w:sz w:val="22"/>
                <w:szCs w:val="22"/>
              </w:rPr>
            </w:pPr>
            <w:r w:rsidRPr="00322D5E">
              <w:rPr>
                <w:sz w:val="22"/>
                <w:szCs w:val="22"/>
              </w:rPr>
              <w:t>CIHI</w:t>
            </w:r>
          </w:p>
        </w:tc>
        <w:tc>
          <w:tcPr>
            <w:tcW w:w="3901" w:type="pct"/>
          </w:tcPr>
          <w:p w14:paraId="58602205" w14:textId="2E95FD1A" w:rsidR="000D1C7C" w:rsidRPr="00322D5E" w:rsidRDefault="00F12BE1" w:rsidP="00217240">
            <w:pPr>
              <w:pStyle w:val="TabletextLeft"/>
              <w:rPr>
                <w:sz w:val="22"/>
                <w:szCs w:val="22"/>
              </w:rPr>
            </w:pPr>
            <w:r w:rsidRPr="00322D5E">
              <w:rPr>
                <w:sz w:val="22"/>
                <w:szCs w:val="22"/>
              </w:rPr>
              <w:t>Canadian Institute for Health Information</w:t>
            </w:r>
          </w:p>
        </w:tc>
      </w:tr>
      <w:tr w:rsidR="00217240" w:rsidRPr="00865985" w14:paraId="3D923BF9" w14:textId="77777777" w:rsidTr="005F49BF">
        <w:trPr>
          <w:trHeight w:hRule="exact" w:val="340"/>
        </w:trPr>
        <w:tc>
          <w:tcPr>
            <w:tcW w:w="1099" w:type="pct"/>
          </w:tcPr>
          <w:p w14:paraId="65C7D701" w14:textId="77777777" w:rsidR="00217240" w:rsidRPr="00322D5E" w:rsidRDefault="00217240" w:rsidP="00217240">
            <w:pPr>
              <w:pStyle w:val="TabletextLeft"/>
              <w:rPr>
                <w:sz w:val="22"/>
                <w:szCs w:val="22"/>
              </w:rPr>
            </w:pPr>
            <w:r w:rsidRPr="00322D5E">
              <w:rPr>
                <w:sz w:val="22"/>
                <w:szCs w:val="22"/>
              </w:rPr>
              <w:t>COTA</w:t>
            </w:r>
          </w:p>
        </w:tc>
        <w:tc>
          <w:tcPr>
            <w:tcW w:w="3901" w:type="pct"/>
          </w:tcPr>
          <w:p w14:paraId="3E9036C7" w14:textId="77777777" w:rsidR="00217240" w:rsidRPr="00322D5E" w:rsidRDefault="00217240" w:rsidP="00217240">
            <w:pPr>
              <w:pStyle w:val="TabletextLeft"/>
              <w:rPr>
                <w:sz w:val="22"/>
                <w:szCs w:val="22"/>
              </w:rPr>
            </w:pPr>
            <w:r w:rsidRPr="00322D5E">
              <w:rPr>
                <w:sz w:val="22"/>
                <w:szCs w:val="22"/>
              </w:rPr>
              <w:t>Council of the Ageing</w:t>
            </w:r>
          </w:p>
        </w:tc>
      </w:tr>
      <w:tr w:rsidR="00217240" w:rsidRPr="00865985" w14:paraId="16A207F2" w14:textId="77777777" w:rsidTr="005F49BF">
        <w:trPr>
          <w:trHeight w:hRule="exact" w:val="340"/>
        </w:trPr>
        <w:tc>
          <w:tcPr>
            <w:tcW w:w="1099" w:type="pct"/>
          </w:tcPr>
          <w:p w14:paraId="2E138478" w14:textId="77777777" w:rsidR="00217240" w:rsidRPr="00322D5E" w:rsidRDefault="00217240" w:rsidP="00217240">
            <w:pPr>
              <w:pStyle w:val="TabletextLeft"/>
              <w:rPr>
                <w:sz w:val="22"/>
                <w:szCs w:val="22"/>
              </w:rPr>
            </w:pPr>
            <w:proofErr w:type="spellStart"/>
            <w:r w:rsidRPr="00322D5E">
              <w:rPr>
                <w:sz w:val="22"/>
                <w:szCs w:val="22"/>
              </w:rPr>
              <w:t>CoS</w:t>
            </w:r>
            <w:proofErr w:type="spellEnd"/>
          </w:p>
        </w:tc>
        <w:tc>
          <w:tcPr>
            <w:tcW w:w="3901" w:type="pct"/>
          </w:tcPr>
          <w:p w14:paraId="3DCDAE3C" w14:textId="77777777" w:rsidR="00217240" w:rsidRPr="00322D5E" w:rsidRDefault="00217240" w:rsidP="00217240">
            <w:pPr>
              <w:pStyle w:val="TabletextLeft"/>
              <w:rPr>
                <w:sz w:val="22"/>
                <w:szCs w:val="22"/>
              </w:rPr>
            </w:pPr>
            <w:r w:rsidRPr="00322D5E">
              <w:rPr>
                <w:sz w:val="22"/>
                <w:szCs w:val="22"/>
              </w:rPr>
              <w:t>Commonwealth Continuity of Support</w:t>
            </w:r>
          </w:p>
        </w:tc>
      </w:tr>
      <w:tr w:rsidR="00217240" w:rsidRPr="00865985" w14:paraId="57177E38" w14:textId="77777777" w:rsidTr="005F49BF">
        <w:trPr>
          <w:trHeight w:hRule="exact" w:val="340"/>
        </w:trPr>
        <w:tc>
          <w:tcPr>
            <w:tcW w:w="1099" w:type="pct"/>
          </w:tcPr>
          <w:p w14:paraId="10AD29F5" w14:textId="1608041F" w:rsidR="00217240" w:rsidRPr="00322D5E" w:rsidRDefault="00217240" w:rsidP="00217240">
            <w:pPr>
              <w:pStyle w:val="TabletextLeft"/>
              <w:rPr>
                <w:sz w:val="22"/>
                <w:szCs w:val="22"/>
              </w:rPr>
            </w:pPr>
            <w:r w:rsidRPr="00322D5E">
              <w:rPr>
                <w:sz w:val="22"/>
                <w:szCs w:val="22"/>
              </w:rPr>
              <w:t>CPI</w:t>
            </w:r>
          </w:p>
        </w:tc>
        <w:tc>
          <w:tcPr>
            <w:tcW w:w="3901" w:type="pct"/>
          </w:tcPr>
          <w:p w14:paraId="5E2F492F" w14:textId="59FE312D" w:rsidR="00217240" w:rsidRPr="00322D5E" w:rsidRDefault="00217240" w:rsidP="00217240">
            <w:pPr>
              <w:pStyle w:val="TabletextLeft"/>
              <w:rPr>
                <w:sz w:val="22"/>
                <w:szCs w:val="22"/>
              </w:rPr>
            </w:pPr>
            <w:r w:rsidRPr="00322D5E">
              <w:rPr>
                <w:sz w:val="22"/>
                <w:szCs w:val="22"/>
              </w:rPr>
              <w:t>Consumer Price Index</w:t>
            </w:r>
          </w:p>
        </w:tc>
      </w:tr>
      <w:tr w:rsidR="00145D87" w:rsidRPr="00865985" w14:paraId="7573CD56" w14:textId="77777777" w:rsidTr="005F49BF">
        <w:trPr>
          <w:trHeight w:hRule="exact" w:val="340"/>
        </w:trPr>
        <w:tc>
          <w:tcPr>
            <w:tcW w:w="1099" w:type="pct"/>
          </w:tcPr>
          <w:p w14:paraId="388F79DF" w14:textId="531F2706" w:rsidR="00145D87" w:rsidRPr="00322D5E" w:rsidRDefault="00926F20" w:rsidP="00217240">
            <w:pPr>
              <w:pStyle w:val="TabletextLeft"/>
              <w:rPr>
                <w:sz w:val="22"/>
                <w:szCs w:val="22"/>
              </w:rPr>
            </w:pPr>
            <w:r w:rsidRPr="00322D5E">
              <w:rPr>
                <w:sz w:val="22"/>
                <w:szCs w:val="22"/>
              </w:rPr>
              <w:t>CPS</w:t>
            </w:r>
          </w:p>
        </w:tc>
        <w:tc>
          <w:tcPr>
            <w:tcW w:w="3901" w:type="pct"/>
          </w:tcPr>
          <w:p w14:paraId="73433C78" w14:textId="6D28E685" w:rsidR="00145D87" w:rsidRPr="00322D5E" w:rsidRDefault="00926F20" w:rsidP="00217240">
            <w:pPr>
              <w:pStyle w:val="TabletextLeft"/>
              <w:rPr>
                <w:sz w:val="22"/>
                <w:szCs w:val="22"/>
              </w:rPr>
            </w:pPr>
            <w:r w:rsidRPr="00322D5E">
              <w:rPr>
                <w:sz w:val="22"/>
                <w:szCs w:val="22"/>
              </w:rPr>
              <w:t xml:space="preserve">Conseil pour la protection des </w:t>
            </w:r>
            <w:proofErr w:type="spellStart"/>
            <w:r w:rsidRPr="00322D5E">
              <w:rPr>
                <w:sz w:val="22"/>
                <w:szCs w:val="22"/>
              </w:rPr>
              <w:t>malades</w:t>
            </w:r>
            <w:proofErr w:type="spellEnd"/>
          </w:p>
        </w:tc>
      </w:tr>
      <w:tr w:rsidR="0032115E" w:rsidRPr="00865985" w14:paraId="662FA329" w14:textId="77777777" w:rsidTr="005F49BF">
        <w:trPr>
          <w:trHeight w:hRule="exact" w:val="340"/>
        </w:trPr>
        <w:tc>
          <w:tcPr>
            <w:tcW w:w="1099" w:type="pct"/>
          </w:tcPr>
          <w:p w14:paraId="7082B7D0" w14:textId="1C48119A" w:rsidR="0032115E" w:rsidRPr="00322D5E" w:rsidRDefault="0032115E" w:rsidP="00217240">
            <w:pPr>
              <w:pStyle w:val="TabletextLeft"/>
              <w:rPr>
                <w:sz w:val="22"/>
                <w:szCs w:val="22"/>
              </w:rPr>
            </w:pPr>
            <w:r w:rsidRPr="00322D5E">
              <w:rPr>
                <w:sz w:val="22"/>
                <w:szCs w:val="22"/>
              </w:rPr>
              <w:t>DHB</w:t>
            </w:r>
          </w:p>
        </w:tc>
        <w:tc>
          <w:tcPr>
            <w:tcW w:w="3901" w:type="pct"/>
          </w:tcPr>
          <w:p w14:paraId="61D291C8" w14:textId="3085A16A" w:rsidR="0032115E" w:rsidRPr="00322D5E" w:rsidRDefault="00F05212" w:rsidP="00217240">
            <w:pPr>
              <w:pStyle w:val="TabletextLeft"/>
              <w:rPr>
                <w:sz w:val="22"/>
                <w:szCs w:val="22"/>
              </w:rPr>
            </w:pPr>
            <w:r w:rsidRPr="00322D5E">
              <w:rPr>
                <w:sz w:val="22"/>
                <w:szCs w:val="22"/>
              </w:rPr>
              <w:t>District Health Board</w:t>
            </w:r>
          </w:p>
        </w:tc>
      </w:tr>
      <w:tr w:rsidR="00F33B03" w:rsidRPr="00865985" w14:paraId="526585BA" w14:textId="77777777" w:rsidTr="005F49BF">
        <w:trPr>
          <w:trHeight w:hRule="exact" w:val="340"/>
        </w:trPr>
        <w:tc>
          <w:tcPr>
            <w:tcW w:w="1099" w:type="pct"/>
          </w:tcPr>
          <w:p w14:paraId="75835D25" w14:textId="054FCCC3" w:rsidR="00F33B03" w:rsidRPr="00322D5E" w:rsidRDefault="00F33B03" w:rsidP="00217240">
            <w:pPr>
              <w:pStyle w:val="TabletextLeft"/>
              <w:rPr>
                <w:sz w:val="22"/>
                <w:szCs w:val="22"/>
              </w:rPr>
            </w:pPr>
            <w:proofErr w:type="spellStart"/>
            <w:r w:rsidRPr="00322D5E">
              <w:rPr>
                <w:sz w:val="22"/>
                <w:szCs w:val="22"/>
              </w:rPr>
              <w:t>DoLS</w:t>
            </w:r>
            <w:proofErr w:type="spellEnd"/>
          </w:p>
        </w:tc>
        <w:tc>
          <w:tcPr>
            <w:tcW w:w="3901" w:type="pct"/>
          </w:tcPr>
          <w:p w14:paraId="4B9947D5" w14:textId="7F05BC90" w:rsidR="00F33B03" w:rsidRPr="00322D5E" w:rsidRDefault="001E4036" w:rsidP="00217240">
            <w:pPr>
              <w:pStyle w:val="TabletextLeft"/>
              <w:rPr>
                <w:sz w:val="22"/>
                <w:szCs w:val="22"/>
              </w:rPr>
            </w:pPr>
            <w:r w:rsidRPr="00322D5E">
              <w:rPr>
                <w:sz w:val="22"/>
                <w:szCs w:val="22"/>
              </w:rPr>
              <w:t>Deprivation of Liberty Safeguards</w:t>
            </w:r>
          </w:p>
        </w:tc>
      </w:tr>
      <w:tr w:rsidR="00217240" w:rsidRPr="00865985" w14:paraId="48B00860" w14:textId="77777777" w:rsidTr="005F49BF">
        <w:trPr>
          <w:trHeight w:hRule="exact" w:val="340"/>
        </w:trPr>
        <w:tc>
          <w:tcPr>
            <w:tcW w:w="1099" w:type="pct"/>
          </w:tcPr>
          <w:p w14:paraId="611781B7" w14:textId="77777777" w:rsidR="00217240" w:rsidRPr="00322D5E" w:rsidRDefault="00217240" w:rsidP="00217240">
            <w:pPr>
              <w:pStyle w:val="TabletextLeft"/>
              <w:rPr>
                <w:sz w:val="22"/>
                <w:szCs w:val="22"/>
              </w:rPr>
            </w:pPr>
            <w:r w:rsidRPr="00322D5E">
              <w:rPr>
                <w:sz w:val="22"/>
                <w:szCs w:val="22"/>
              </w:rPr>
              <w:t>DVA</w:t>
            </w:r>
          </w:p>
        </w:tc>
        <w:tc>
          <w:tcPr>
            <w:tcW w:w="3901" w:type="pct"/>
          </w:tcPr>
          <w:p w14:paraId="5DD8292A" w14:textId="77777777" w:rsidR="00217240" w:rsidRPr="00322D5E" w:rsidRDefault="00217240" w:rsidP="00217240">
            <w:pPr>
              <w:pStyle w:val="TabletextLeft"/>
              <w:rPr>
                <w:sz w:val="22"/>
                <w:szCs w:val="22"/>
              </w:rPr>
            </w:pPr>
            <w:r w:rsidRPr="00322D5E">
              <w:rPr>
                <w:sz w:val="22"/>
                <w:szCs w:val="22"/>
              </w:rPr>
              <w:t>Department of Veterans’ Affairs</w:t>
            </w:r>
          </w:p>
        </w:tc>
      </w:tr>
      <w:tr w:rsidR="00217240" w:rsidRPr="00865985" w14:paraId="7C40C16C" w14:textId="77777777" w:rsidTr="005F49BF">
        <w:trPr>
          <w:trHeight w:hRule="exact" w:val="340"/>
        </w:trPr>
        <w:tc>
          <w:tcPr>
            <w:tcW w:w="1099" w:type="pct"/>
          </w:tcPr>
          <w:p w14:paraId="243E15BB" w14:textId="77777777" w:rsidR="00217240" w:rsidRPr="00322D5E" w:rsidRDefault="00217240" w:rsidP="00217240">
            <w:pPr>
              <w:pStyle w:val="TabletextLeft"/>
              <w:rPr>
                <w:sz w:val="22"/>
                <w:szCs w:val="22"/>
              </w:rPr>
            </w:pPr>
            <w:r w:rsidRPr="00322D5E">
              <w:rPr>
                <w:sz w:val="22"/>
                <w:szCs w:val="22"/>
              </w:rPr>
              <w:t>EAAA</w:t>
            </w:r>
          </w:p>
        </w:tc>
        <w:tc>
          <w:tcPr>
            <w:tcW w:w="3901" w:type="pct"/>
          </w:tcPr>
          <w:p w14:paraId="7CD46C04" w14:textId="77777777" w:rsidR="00217240" w:rsidRPr="00322D5E" w:rsidRDefault="00217240" w:rsidP="00217240">
            <w:pPr>
              <w:pStyle w:val="TabletextLeft"/>
              <w:rPr>
                <w:sz w:val="22"/>
                <w:szCs w:val="22"/>
              </w:rPr>
            </w:pPr>
            <w:r w:rsidRPr="00322D5E">
              <w:rPr>
                <w:sz w:val="22"/>
                <w:szCs w:val="22"/>
              </w:rPr>
              <w:t>Elder Abuse Action Australia</w:t>
            </w:r>
          </w:p>
        </w:tc>
      </w:tr>
      <w:tr w:rsidR="00217240" w:rsidRPr="00865985" w14:paraId="57A15AE5" w14:textId="77777777" w:rsidTr="005F49BF">
        <w:trPr>
          <w:trHeight w:hRule="exact" w:val="340"/>
        </w:trPr>
        <w:tc>
          <w:tcPr>
            <w:tcW w:w="1099" w:type="pct"/>
          </w:tcPr>
          <w:p w14:paraId="5B4942B2" w14:textId="77777777" w:rsidR="00217240" w:rsidRPr="00322D5E" w:rsidRDefault="00217240" w:rsidP="00217240">
            <w:pPr>
              <w:pStyle w:val="TabletextLeft"/>
              <w:rPr>
                <w:sz w:val="22"/>
                <w:szCs w:val="22"/>
              </w:rPr>
            </w:pPr>
            <w:r w:rsidRPr="00322D5E">
              <w:rPr>
                <w:sz w:val="22"/>
                <w:szCs w:val="22"/>
              </w:rPr>
              <w:t>ELDAC</w:t>
            </w:r>
          </w:p>
        </w:tc>
        <w:tc>
          <w:tcPr>
            <w:tcW w:w="3901" w:type="pct"/>
          </w:tcPr>
          <w:p w14:paraId="24908740" w14:textId="77777777" w:rsidR="00217240" w:rsidRPr="00322D5E" w:rsidRDefault="00217240" w:rsidP="00217240">
            <w:pPr>
              <w:pStyle w:val="TabletextLeft"/>
              <w:rPr>
                <w:sz w:val="22"/>
                <w:szCs w:val="22"/>
              </w:rPr>
            </w:pPr>
            <w:r w:rsidRPr="00322D5E">
              <w:rPr>
                <w:sz w:val="22"/>
                <w:szCs w:val="22"/>
              </w:rPr>
              <w:t>End of Life Direction for Aged Care</w:t>
            </w:r>
          </w:p>
        </w:tc>
      </w:tr>
      <w:tr w:rsidR="00217240" w:rsidRPr="00865985" w14:paraId="31364770" w14:textId="77777777" w:rsidTr="005F49BF">
        <w:trPr>
          <w:trHeight w:hRule="exact" w:val="340"/>
        </w:trPr>
        <w:tc>
          <w:tcPr>
            <w:tcW w:w="1099" w:type="pct"/>
          </w:tcPr>
          <w:p w14:paraId="00400A56" w14:textId="288EF251" w:rsidR="00217240" w:rsidRPr="00322D5E" w:rsidRDefault="00217240" w:rsidP="00217240">
            <w:pPr>
              <w:pStyle w:val="TabletextLeft"/>
              <w:rPr>
                <w:sz w:val="22"/>
                <w:szCs w:val="22"/>
              </w:rPr>
            </w:pPr>
            <w:r w:rsidRPr="00322D5E">
              <w:rPr>
                <w:sz w:val="22"/>
                <w:szCs w:val="22"/>
              </w:rPr>
              <w:t>ESO</w:t>
            </w:r>
          </w:p>
        </w:tc>
        <w:tc>
          <w:tcPr>
            <w:tcW w:w="3901" w:type="pct"/>
          </w:tcPr>
          <w:p w14:paraId="33D944EF" w14:textId="256C5E38" w:rsidR="00217240" w:rsidRPr="00322D5E" w:rsidRDefault="00217240" w:rsidP="00217240">
            <w:pPr>
              <w:pStyle w:val="TabletextLeft"/>
              <w:rPr>
                <w:sz w:val="22"/>
                <w:szCs w:val="22"/>
              </w:rPr>
            </w:pPr>
            <w:r w:rsidRPr="00322D5E">
              <w:rPr>
                <w:sz w:val="22"/>
                <w:szCs w:val="22"/>
              </w:rPr>
              <w:t>Ex-Service Organisation</w:t>
            </w:r>
          </w:p>
        </w:tc>
      </w:tr>
      <w:tr w:rsidR="00217240" w:rsidRPr="00865985" w14:paraId="5B2CD639" w14:textId="77777777" w:rsidTr="005F49BF">
        <w:trPr>
          <w:trHeight w:hRule="exact" w:val="340"/>
        </w:trPr>
        <w:tc>
          <w:tcPr>
            <w:tcW w:w="1099" w:type="pct"/>
          </w:tcPr>
          <w:p w14:paraId="6428E951" w14:textId="77777777" w:rsidR="00217240" w:rsidRPr="00322D5E" w:rsidRDefault="00217240" w:rsidP="00217240">
            <w:pPr>
              <w:pStyle w:val="TabletextLeft"/>
              <w:rPr>
                <w:sz w:val="22"/>
                <w:szCs w:val="22"/>
              </w:rPr>
            </w:pPr>
            <w:r w:rsidRPr="00322D5E">
              <w:rPr>
                <w:sz w:val="22"/>
                <w:szCs w:val="22"/>
              </w:rPr>
              <w:t>FECCA</w:t>
            </w:r>
          </w:p>
        </w:tc>
        <w:tc>
          <w:tcPr>
            <w:tcW w:w="3901" w:type="pct"/>
          </w:tcPr>
          <w:p w14:paraId="108BB85F" w14:textId="77777777" w:rsidR="00217240" w:rsidRPr="00322D5E" w:rsidRDefault="00217240" w:rsidP="00217240">
            <w:pPr>
              <w:pStyle w:val="TabletextLeft"/>
              <w:rPr>
                <w:sz w:val="22"/>
                <w:szCs w:val="22"/>
              </w:rPr>
            </w:pPr>
            <w:r w:rsidRPr="00322D5E">
              <w:rPr>
                <w:sz w:val="22"/>
                <w:szCs w:val="22"/>
              </w:rPr>
              <w:t>Federation of Ethnic Communities Councils of Australia</w:t>
            </w:r>
          </w:p>
        </w:tc>
      </w:tr>
      <w:tr w:rsidR="00217240" w:rsidRPr="00865985" w14:paraId="28B83F45" w14:textId="77777777" w:rsidTr="005F49BF">
        <w:trPr>
          <w:trHeight w:hRule="exact" w:val="340"/>
        </w:trPr>
        <w:tc>
          <w:tcPr>
            <w:tcW w:w="1099" w:type="pct"/>
          </w:tcPr>
          <w:p w14:paraId="73E4CCA4" w14:textId="1AABAA72" w:rsidR="00217240" w:rsidRPr="00322D5E" w:rsidRDefault="00217240" w:rsidP="00217240">
            <w:pPr>
              <w:pStyle w:val="TabletextLeft"/>
              <w:rPr>
                <w:sz w:val="22"/>
                <w:szCs w:val="22"/>
              </w:rPr>
            </w:pPr>
            <w:r w:rsidRPr="00322D5E">
              <w:rPr>
                <w:sz w:val="22"/>
                <w:szCs w:val="22"/>
              </w:rPr>
              <w:t>FTE</w:t>
            </w:r>
          </w:p>
        </w:tc>
        <w:tc>
          <w:tcPr>
            <w:tcW w:w="3901" w:type="pct"/>
          </w:tcPr>
          <w:p w14:paraId="2B8BAEA8" w14:textId="4A14FC92" w:rsidR="00217240" w:rsidRPr="00322D5E" w:rsidRDefault="00217240" w:rsidP="00217240">
            <w:pPr>
              <w:pStyle w:val="TabletextLeft"/>
              <w:rPr>
                <w:sz w:val="22"/>
                <w:szCs w:val="22"/>
              </w:rPr>
            </w:pPr>
            <w:r w:rsidRPr="00322D5E">
              <w:rPr>
                <w:sz w:val="22"/>
                <w:szCs w:val="22"/>
              </w:rPr>
              <w:t>Full-time equivalent</w:t>
            </w:r>
          </w:p>
        </w:tc>
      </w:tr>
      <w:tr w:rsidR="00217240" w:rsidRPr="00865985" w14:paraId="3E755211" w14:textId="77777777" w:rsidTr="005F49BF">
        <w:trPr>
          <w:trHeight w:hRule="exact" w:val="340"/>
        </w:trPr>
        <w:tc>
          <w:tcPr>
            <w:tcW w:w="1099" w:type="pct"/>
          </w:tcPr>
          <w:p w14:paraId="62232E02" w14:textId="77777777" w:rsidR="00217240" w:rsidRPr="00322D5E" w:rsidRDefault="00217240" w:rsidP="00217240">
            <w:pPr>
              <w:pStyle w:val="TabletextLeft"/>
              <w:rPr>
                <w:sz w:val="22"/>
                <w:szCs w:val="22"/>
              </w:rPr>
            </w:pPr>
            <w:r w:rsidRPr="00322D5E">
              <w:rPr>
                <w:sz w:val="22"/>
                <w:szCs w:val="22"/>
              </w:rPr>
              <w:t>HCP</w:t>
            </w:r>
          </w:p>
        </w:tc>
        <w:tc>
          <w:tcPr>
            <w:tcW w:w="3901" w:type="pct"/>
          </w:tcPr>
          <w:p w14:paraId="7AA8F2BE" w14:textId="77777777" w:rsidR="00217240" w:rsidRPr="00322D5E" w:rsidRDefault="00217240" w:rsidP="00217240">
            <w:pPr>
              <w:pStyle w:val="TabletextLeft"/>
              <w:rPr>
                <w:sz w:val="22"/>
                <w:szCs w:val="22"/>
              </w:rPr>
            </w:pPr>
            <w:r w:rsidRPr="00322D5E">
              <w:rPr>
                <w:sz w:val="22"/>
                <w:szCs w:val="22"/>
              </w:rPr>
              <w:t>Home Care Packages</w:t>
            </w:r>
          </w:p>
        </w:tc>
      </w:tr>
      <w:tr w:rsidR="00C23C87" w:rsidRPr="00865985" w14:paraId="01C02823" w14:textId="77777777" w:rsidTr="005F49BF">
        <w:trPr>
          <w:trHeight w:hRule="exact" w:val="340"/>
        </w:trPr>
        <w:tc>
          <w:tcPr>
            <w:tcW w:w="1099" w:type="pct"/>
          </w:tcPr>
          <w:p w14:paraId="2F05B6D3" w14:textId="695A14CE" w:rsidR="00C23C87" w:rsidRPr="00322D5E" w:rsidRDefault="00C23C87" w:rsidP="00217240">
            <w:pPr>
              <w:pStyle w:val="TabletextLeft"/>
              <w:rPr>
                <w:sz w:val="22"/>
                <w:szCs w:val="22"/>
              </w:rPr>
            </w:pPr>
            <w:r w:rsidRPr="00322D5E">
              <w:rPr>
                <w:sz w:val="22"/>
                <w:szCs w:val="22"/>
              </w:rPr>
              <w:t>HQS</w:t>
            </w:r>
            <w:r w:rsidR="0032115E" w:rsidRPr="00322D5E">
              <w:rPr>
                <w:sz w:val="22"/>
                <w:szCs w:val="22"/>
              </w:rPr>
              <w:t>C</w:t>
            </w:r>
          </w:p>
        </w:tc>
        <w:tc>
          <w:tcPr>
            <w:tcW w:w="3901" w:type="pct"/>
          </w:tcPr>
          <w:p w14:paraId="09439BE4" w14:textId="1A1580EA" w:rsidR="00C23C87" w:rsidRPr="00322D5E" w:rsidRDefault="0032115E" w:rsidP="00217240">
            <w:pPr>
              <w:pStyle w:val="TabletextLeft"/>
              <w:rPr>
                <w:sz w:val="22"/>
                <w:szCs w:val="22"/>
              </w:rPr>
            </w:pPr>
            <w:r w:rsidRPr="00322D5E">
              <w:rPr>
                <w:sz w:val="22"/>
                <w:szCs w:val="22"/>
              </w:rPr>
              <w:t>Health Quality and Safety Commission</w:t>
            </w:r>
          </w:p>
        </w:tc>
      </w:tr>
      <w:tr w:rsidR="00ED6A12" w:rsidRPr="00865985" w14:paraId="3C4DCF6E" w14:textId="77777777" w:rsidTr="005F49BF">
        <w:trPr>
          <w:trHeight w:hRule="exact" w:val="340"/>
        </w:trPr>
        <w:tc>
          <w:tcPr>
            <w:tcW w:w="1099" w:type="pct"/>
          </w:tcPr>
          <w:p w14:paraId="62D06468" w14:textId="72EF670C" w:rsidR="00ED6A12" w:rsidRPr="00322D5E" w:rsidRDefault="00ED6A12" w:rsidP="00217240">
            <w:pPr>
              <w:pStyle w:val="TabletextLeft"/>
              <w:rPr>
                <w:sz w:val="22"/>
                <w:szCs w:val="22"/>
              </w:rPr>
            </w:pPr>
            <w:r w:rsidRPr="00322D5E">
              <w:rPr>
                <w:sz w:val="22"/>
                <w:szCs w:val="22"/>
              </w:rPr>
              <w:lastRenderedPageBreak/>
              <w:t>IMCA</w:t>
            </w:r>
          </w:p>
        </w:tc>
        <w:tc>
          <w:tcPr>
            <w:tcW w:w="3901" w:type="pct"/>
          </w:tcPr>
          <w:p w14:paraId="6FA8DDB1" w14:textId="63F7B53E" w:rsidR="00ED6A12" w:rsidRPr="00322D5E" w:rsidRDefault="00ED6A12" w:rsidP="00217240">
            <w:pPr>
              <w:pStyle w:val="TabletextLeft"/>
              <w:rPr>
                <w:sz w:val="22"/>
                <w:szCs w:val="22"/>
              </w:rPr>
            </w:pPr>
            <w:r w:rsidRPr="00322D5E">
              <w:rPr>
                <w:sz w:val="22"/>
                <w:szCs w:val="22"/>
              </w:rPr>
              <w:t>Independent Mental Capacity Advocate</w:t>
            </w:r>
          </w:p>
        </w:tc>
      </w:tr>
      <w:tr w:rsidR="00217240" w:rsidRPr="00865985" w14:paraId="2E149115" w14:textId="77777777" w:rsidTr="005F49BF">
        <w:trPr>
          <w:trHeight w:hRule="exact" w:val="340"/>
        </w:trPr>
        <w:tc>
          <w:tcPr>
            <w:tcW w:w="1099" w:type="pct"/>
          </w:tcPr>
          <w:p w14:paraId="35DA3782" w14:textId="77777777" w:rsidR="00217240" w:rsidRPr="00322D5E" w:rsidRDefault="00217240" w:rsidP="00217240">
            <w:pPr>
              <w:pStyle w:val="TabletextLeft"/>
              <w:rPr>
                <w:sz w:val="22"/>
                <w:szCs w:val="22"/>
              </w:rPr>
            </w:pPr>
            <w:r w:rsidRPr="00322D5E">
              <w:rPr>
                <w:sz w:val="22"/>
                <w:szCs w:val="22"/>
              </w:rPr>
              <w:t>IMHA</w:t>
            </w:r>
          </w:p>
        </w:tc>
        <w:tc>
          <w:tcPr>
            <w:tcW w:w="3901" w:type="pct"/>
          </w:tcPr>
          <w:p w14:paraId="0F904E32" w14:textId="77777777" w:rsidR="00217240" w:rsidRPr="00322D5E" w:rsidRDefault="00217240" w:rsidP="00217240">
            <w:pPr>
              <w:pStyle w:val="TabletextLeft"/>
              <w:rPr>
                <w:sz w:val="22"/>
                <w:szCs w:val="22"/>
              </w:rPr>
            </w:pPr>
            <w:r w:rsidRPr="00322D5E">
              <w:rPr>
                <w:sz w:val="22"/>
                <w:szCs w:val="22"/>
              </w:rPr>
              <w:t>Independent Mental Health Advocacy</w:t>
            </w:r>
          </w:p>
        </w:tc>
      </w:tr>
      <w:tr w:rsidR="00217240" w:rsidRPr="00865985" w14:paraId="62477B5A" w14:textId="77777777" w:rsidTr="005F49BF">
        <w:trPr>
          <w:trHeight w:hRule="exact" w:val="340"/>
        </w:trPr>
        <w:tc>
          <w:tcPr>
            <w:tcW w:w="1099" w:type="pct"/>
          </w:tcPr>
          <w:p w14:paraId="660E9FF4" w14:textId="77777777" w:rsidR="00217240" w:rsidRPr="00322D5E" w:rsidRDefault="00217240" w:rsidP="00217240">
            <w:pPr>
              <w:pStyle w:val="TabletextLeft"/>
              <w:rPr>
                <w:sz w:val="22"/>
                <w:szCs w:val="22"/>
              </w:rPr>
            </w:pPr>
            <w:r w:rsidRPr="00322D5E">
              <w:rPr>
                <w:sz w:val="22"/>
                <w:szCs w:val="22"/>
              </w:rPr>
              <w:t>LASA</w:t>
            </w:r>
          </w:p>
        </w:tc>
        <w:tc>
          <w:tcPr>
            <w:tcW w:w="3901" w:type="pct"/>
          </w:tcPr>
          <w:p w14:paraId="5A1B3EDD" w14:textId="77777777" w:rsidR="00217240" w:rsidRPr="00322D5E" w:rsidRDefault="00217240" w:rsidP="00217240">
            <w:pPr>
              <w:pStyle w:val="TabletextLeft"/>
              <w:rPr>
                <w:sz w:val="22"/>
                <w:szCs w:val="22"/>
              </w:rPr>
            </w:pPr>
            <w:r w:rsidRPr="00322D5E">
              <w:rPr>
                <w:sz w:val="22"/>
                <w:szCs w:val="22"/>
              </w:rPr>
              <w:t>Leading Age Services Australia</w:t>
            </w:r>
          </w:p>
        </w:tc>
      </w:tr>
      <w:tr w:rsidR="00217240" w:rsidRPr="00865985" w14:paraId="16741ABA" w14:textId="77777777" w:rsidTr="005F49BF">
        <w:trPr>
          <w:trHeight w:hRule="exact" w:val="340"/>
        </w:trPr>
        <w:tc>
          <w:tcPr>
            <w:tcW w:w="1099" w:type="pct"/>
          </w:tcPr>
          <w:p w14:paraId="6B540814" w14:textId="77777777" w:rsidR="00217240" w:rsidRPr="00322D5E" w:rsidRDefault="00217240" w:rsidP="00217240">
            <w:pPr>
              <w:pStyle w:val="TabletextLeft"/>
              <w:rPr>
                <w:sz w:val="22"/>
                <w:szCs w:val="22"/>
              </w:rPr>
            </w:pPr>
            <w:r w:rsidRPr="00322D5E">
              <w:rPr>
                <w:sz w:val="22"/>
                <w:szCs w:val="22"/>
              </w:rPr>
              <w:t>LGBTIQ+</w:t>
            </w:r>
          </w:p>
        </w:tc>
        <w:tc>
          <w:tcPr>
            <w:tcW w:w="3901" w:type="pct"/>
          </w:tcPr>
          <w:p w14:paraId="11C6E60C" w14:textId="77777777" w:rsidR="00217240" w:rsidRPr="00322D5E" w:rsidRDefault="00217240" w:rsidP="00217240">
            <w:pPr>
              <w:pStyle w:val="TabletextLeft"/>
              <w:rPr>
                <w:sz w:val="22"/>
                <w:szCs w:val="22"/>
              </w:rPr>
            </w:pPr>
            <w:r w:rsidRPr="00322D5E">
              <w:rPr>
                <w:sz w:val="22"/>
                <w:szCs w:val="22"/>
              </w:rPr>
              <w:t xml:space="preserve">Lesbian, gay, bisexual, trans/transgender, </w:t>
            </w:r>
            <w:proofErr w:type="gramStart"/>
            <w:r w:rsidRPr="00322D5E">
              <w:rPr>
                <w:sz w:val="22"/>
                <w:szCs w:val="22"/>
              </w:rPr>
              <w:t>intersex</w:t>
            </w:r>
            <w:proofErr w:type="gramEnd"/>
            <w:r w:rsidRPr="00322D5E">
              <w:rPr>
                <w:sz w:val="22"/>
                <w:szCs w:val="22"/>
              </w:rPr>
              <w:t xml:space="preserve"> and queer</w:t>
            </w:r>
          </w:p>
        </w:tc>
      </w:tr>
      <w:tr w:rsidR="00217240" w:rsidRPr="00865985" w14:paraId="69BCC153" w14:textId="77777777" w:rsidTr="005F49BF">
        <w:trPr>
          <w:trHeight w:hRule="exact" w:val="340"/>
        </w:trPr>
        <w:tc>
          <w:tcPr>
            <w:tcW w:w="1099" w:type="pct"/>
          </w:tcPr>
          <w:p w14:paraId="02D65920" w14:textId="1A5BF28A" w:rsidR="00217240" w:rsidRPr="00322D5E" w:rsidRDefault="00217240" w:rsidP="00217240">
            <w:pPr>
              <w:pStyle w:val="TabletextLeft"/>
              <w:rPr>
                <w:sz w:val="22"/>
                <w:szCs w:val="22"/>
              </w:rPr>
            </w:pPr>
            <w:r w:rsidRPr="00322D5E">
              <w:rPr>
                <w:sz w:val="22"/>
                <w:szCs w:val="22"/>
              </w:rPr>
              <w:t>LHS</w:t>
            </w:r>
          </w:p>
        </w:tc>
        <w:tc>
          <w:tcPr>
            <w:tcW w:w="3901" w:type="pct"/>
          </w:tcPr>
          <w:p w14:paraId="7425D080" w14:textId="0F1D875D" w:rsidR="00217240" w:rsidRPr="00322D5E" w:rsidRDefault="00217240" w:rsidP="00217240">
            <w:pPr>
              <w:pStyle w:val="TabletextLeft"/>
              <w:rPr>
                <w:sz w:val="22"/>
                <w:szCs w:val="22"/>
              </w:rPr>
            </w:pPr>
            <w:r w:rsidRPr="00322D5E">
              <w:rPr>
                <w:sz w:val="22"/>
                <w:szCs w:val="22"/>
              </w:rPr>
              <w:t>Left-hand side</w:t>
            </w:r>
          </w:p>
        </w:tc>
      </w:tr>
      <w:tr w:rsidR="00DC3E1E" w:rsidRPr="00865985" w14:paraId="36BC0FE9" w14:textId="77777777" w:rsidTr="005F49BF">
        <w:trPr>
          <w:trHeight w:hRule="exact" w:val="340"/>
        </w:trPr>
        <w:tc>
          <w:tcPr>
            <w:tcW w:w="1099" w:type="pct"/>
          </w:tcPr>
          <w:p w14:paraId="266A6AB5" w14:textId="59B9CC86" w:rsidR="00DC3E1E" w:rsidRPr="00322D5E" w:rsidRDefault="00DC3E1E" w:rsidP="00217240">
            <w:pPr>
              <w:pStyle w:val="TabletextLeft"/>
              <w:rPr>
                <w:sz w:val="22"/>
                <w:szCs w:val="22"/>
              </w:rPr>
            </w:pPr>
            <w:r w:rsidRPr="00322D5E">
              <w:rPr>
                <w:sz w:val="22"/>
                <w:szCs w:val="22"/>
              </w:rPr>
              <w:t xml:space="preserve">LTC </w:t>
            </w:r>
          </w:p>
        </w:tc>
        <w:tc>
          <w:tcPr>
            <w:tcW w:w="3901" w:type="pct"/>
          </w:tcPr>
          <w:p w14:paraId="5B8C76F2" w14:textId="78F09556" w:rsidR="00DC3E1E" w:rsidRPr="00322D5E" w:rsidRDefault="00DC3E1E" w:rsidP="00217240">
            <w:pPr>
              <w:pStyle w:val="TabletextLeft"/>
              <w:rPr>
                <w:sz w:val="22"/>
                <w:szCs w:val="22"/>
              </w:rPr>
            </w:pPr>
            <w:r w:rsidRPr="00322D5E">
              <w:rPr>
                <w:sz w:val="22"/>
                <w:szCs w:val="22"/>
              </w:rPr>
              <w:t>Long-term care</w:t>
            </w:r>
          </w:p>
        </w:tc>
      </w:tr>
      <w:tr w:rsidR="00217240" w:rsidRPr="00865985" w14:paraId="52B20960" w14:textId="77777777" w:rsidTr="005F49BF">
        <w:trPr>
          <w:trHeight w:hRule="exact" w:val="340"/>
        </w:trPr>
        <w:tc>
          <w:tcPr>
            <w:tcW w:w="1099" w:type="pct"/>
          </w:tcPr>
          <w:p w14:paraId="07029CD1" w14:textId="59CEB01A" w:rsidR="00217240" w:rsidRPr="00322D5E" w:rsidRDefault="00217240" w:rsidP="00217240">
            <w:pPr>
              <w:pStyle w:val="TabletextLeft"/>
              <w:rPr>
                <w:sz w:val="22"/>
                <w:szCs w:val="22"/>
              </w:rPr>
            </w:pPr>
            <w:r w:rsidRPr="00322D5E">
              <w:rPr>
                <w:sz w:val="22"/>
                <w:szCs w:val="22"/>
              </w:rPr>
              <w:t>MHAS</w:t>
            </w:r>
          </w:p>
        </w:tc>
        <w:tc>
          <w:tcPr>
            <w:tcW w:w="3901" w:type="pct"/>
          </w:tcPr>
          <w:p w14:paraId="0A46A198" w14:textId="345B922F" w:rsidR="00217240" w:rsidRPr="00322D5E" w:rsidRDefault="00217240" w:rsidP="00217240">
            <w:pPr>
              <w:pStyle w:val="TabletextLeft"/>
              <w:rPr>
                <w:sz w:val="22"/>
                <w:szCs w:val="22"/>
              </w:rPr>
            </w:pPr>
            <w:r w:rsidRPr="00322D5E">
              <w:rPr>
                <w:sz w:val="22"/>
                <w:szCs w:val="22"/>
              </w:rPr>
              <w:t>Mental Health Advocacy Service</w:t>
            </w:r>
          </w:p>
        </w:tc>
      </w:tr>
      <w:tr w:rsidR="00217240" w:rsidRPr="00865985" w14:paraId="17E893BC" w14:textId="77777777" w:rsidTr="005F49BF">
        <w:trPr>
          <w:trHeight w:hRule="exact" w:val="340"/>
        </w:trPr>
        <w:tc>
          <w:tcPr>
            <w:tcW w:w="1099" w:type="pct"/>
          </w:tcPr>
          <w:p w14:paraId="7F32062B" w14:textId="77777777" w:rsidR="00217240" w:rsidRPr="00322D5E" w:rsidRDefault="00217240" w:rsidP="00217240">
            <w:pPr>
              <w:pStyle w:val="TabletextLeft"/>
              <w:rPr>
                <w:sz w:val="22"/>
                <w:szCs w:val="22"/>
              </w:rPr>
            </w:pPr>
            <w:r w:rsidRPr="00322D5E">
              <w:rPr>
                <w:sz w:val="22"/>
                <w:szCs w:val="22"/>
              </w:rPr>
              <w:t>NACAP</w:t>
            </w:r>
          </w:p>
        </w:tc>
        <w:tc>
          <w:tcPr>
            <w:tcW w:w="3901" w:type="pct"/>
          </w:tcPr>
          <w:p w14:paraId="3D238D18" w14:textId="77777777" w:rsidR="00217240" w:rsidRPr="00322D5E" w:rsidRDefault="00217240" w:rsidP="00217240">
            <w:pPr>
              <w:pStyle w:val="TabletextLeft"/>
              <w:rPr>
                <w:sz w:val="22"/>
                <w:szCs w:val="22"/>
              </w:rPr>
            </w:pPr>
            <w:r w:rsidRPr="00322D5E">
              <w:rPr>
                <w:sz w:val="22"/>
                <w:szCs w:val="22"/>
              </w:rPr>
              <w:t>National Aged Care Advocacy Program</w:t>
            </w:r>
          </w:p>
        </w:tc>
      </w:tr>
      <w:tr w:rsidR="00217240" w:rsidRPr="00865985" w14:paraId="15D1ACEB" w14:textId="77777777" w:rsidTr="005F49BF">
        <w:trPr>
          <w:trHeight w:hRule="exact" w:val="340"/>
        </w:trPr>
        <w:tc>
          <w:tcPr>
            <w:tcW w:w="1099" w:type="pct"/>
          </w:tcPr>
          <w:p w14:paraId="507847BF" w14:textId="77777777" w:rsidR="00217240" w:rsidRPr="00322D5E" w:rsidRDefault="00217240" w:rsidP="00217240">
            <w:pPr>
              <w:pStyle w:val="TabletextLeft"/>
              <w:rPr>
                <w:sz w:val="22"/>
                <w:szCs w:val="22"/>
              </w:rPr>
            </w:pPr>
            <w:r w:rsidRPr="00322D5E">
              <w:rPr>
                <w:sz w:val="22"/>
                <w:szCs w:val="22"/>
              </w:rPr>
              <w:t>NACCHO</w:t>
            </w:r>
          </w:p>
        </w:tc>
        <w:tc>
          <w:tcPr>
            <w:tcW w:w="3901" w:type="pct"/>
          </w:tcPr>
          <w:p w14:paraId="316549EC" w14:textId="77777777" w:rsidR="00217240" w:rsidRPr="00322D5E" w:rsidRDefault="00217240" w:rsidP="00217240">
            <w:pPr>
              <w:pStyle w:val="TabletextLeft"/>
              <w:rPr>
                <w:sz w:val="22"/>
                <w:szCs w:val="22"/>
              </w:rPr>
            </w:pPr>
            <w:r w:rsidRPr="00322D5E">
              <w:rPr>
                <w:sz w:val="22"/>
                <w:szCs w:val="22"/>
              </w:rPr>
              <w:t>National Aboriginal Community Controlled Health Organisation</w:t>
            </w:r>
          </w:p>
        </w:tc>
      </w:tr>
      <w:tr w:rsidR="00217240" w:rsidRPr="00865985" w14:paraId="3E744818" w14:textId="77777777" w:rsidTr="005F49BF">
        <w:trPr>
          <w:trHeight w:hRule="exact" w:val="340"/>
        </w:trPr>
        <w:tc>
          <w:tcPr>
            <w:tcW w:w="1099" w:type="pct"/>
          </w:tcPr>
          <w:p w14:paraId="27E3601B" w14:textId="77777777" w:rsidR="00217240" w:rsidRPr="00322D5E" w:rsidRDefault="00217240" w:rsidP="00217240">
            <w:pPr>
              <w:pStyle w:val="TabletextLeft"/>
              <w:rPr>
                <w:sz w:val="22"/>
                <w:szCs w:val="22"/>
              </w:rPr>
            </w:pPr>
            <w:r w:rsidRPr="00322D5E">
              <w:rPr>
                <w:sz w:val="22"/>
                <w:szCs w:val="22"/>
              </w:rPr>
              <w:t>NAGATSIAC</w:t>
            </w:r>
          </w:p>
        </w:tc>
        <w:tc>
          <w:tcPr>
            <w:tcW w:w="3901" w:type="pct"/>
          </w:tcPr>
          <w:p w14:paraId="58EAB024" w14:textId="77777777" w:rsidR="00217240" w:rsidRPr="00322D5E" w:rsidRDefault="00217240" w:rsidP="00217240">
            <w:pPr>
              <w:pStyle w:val="TabletextLeft"/>
              <w:rPr>
                <w:sz w:val="22"/>
                <w:szCs w:val="22"/>
              </w:rPr>
            </w:pPr>
            <w:r w:rsidRPr="00322D5E">
              <w:rPr>
                <w:sz w:val="22"/>
                <w:szCs w:val="22"/>
              </w:rPr>
              <w:t>National Advisory Group for Aboriginal and Torres Strait Islander Aged Care</w:t>
            </w:r>
          </w:p>
        </w:tc>
      </w:tr>
      <w:tr w:rsidR="00217240" w:rsidRPr="00865985" w14:paraId="56F40252" w14:textId="77777777" w:rsidTr="005F49BF">
        <w:trPr>
          <w:trHeight w:hRule="exact" w:val="340"/>
        </w:trPr>
        <w:tc>
          <w:tcPr>
            <w:tcW w:w="1099" w:type="pct"/>
          </w:tcPr>
          <w:p w14:paraId="0DFE9398" w14:textId="77777777" w:rsidR="00217240" w:rsidRPr="00322D5E" w:rsidRDefault="00217240" w:rsidP="00217240">
            <w:pPr>
              <w:pStyle w:val="TabletextLeft"/>
              <w:rPr>
                <w:sz w:val="22"/>
                <w:szCs w:val="22"/>
              </w:rPr>
            </w:pPr>
            <w:r w:rsidRPr="00322D5E">
              <w:rPr>
                <w:sz w:val="22"/>
                <w:szCs w:val="22"/>
              </w:rPr>
              <w:t>NDAF</w:t>
            </w:r>
          </w:p>
        </w:tc>
        <w:tc>
          <w:tcPr>
            <w:tcW w:w="3901" w:type="pct"/>
          </w:tcPr>
          <w:p w14:paraId="7A70DDA5" w14:textId="77777777" w:rsidR="00217240" w:rsidRPr="00322D5E" w:rsidRDefault="00217240" w:rsidP="00217240">
            <w:pPr>
              <w:pStyle w:val="TabletextLeft"/>
              <w:rPr>
                <w:sz w:val="22"/>
                <w:szCs w:val="22"/>
              </w:rPr>
            </w:pPr>
            <w:r w:rsidRPr="00322D5E">
              <w:rPr>
                <w:bCs/>
                <w:sz w:val="22"/>
                <w:szCs w:val="22"/>
              </w:rPr>
              <w:t>National Disability Advocacy Framework</w:t>
            </w:r>
          </w:p>
        </w:tc>
      </w:tr>
      <w:tr w:rsidR="00217240" w:rsidRPr="00865985" w14:paraId="5A9DC117" w14:textId="77777777" w:rsidTr="005F49BF">
        <w:trPr>
          <w:trHeight w:hRule="exact" w:val="340"/>
        </w:trPr>
        <w:tc>
          <w:tcPr>
            <w:tcW w:w="1099" w:type="pct"/>
          </w:tcPr>
          <w:p w14:paraId="6A09D589" w14:textId="77777777" w:rsidR="00217240" w:rsidRPr="00322D5E" w:rsidRDefault="00217240" w:rsidP="00217240">
            <w:pPr>
              <w:pStyle w:val="TabletextLeft"/>
              <w:rPr>
                <w:sz w:val="22"/>
                <w:szCs w:val="22"/>
              </w:rPr>
            </w:pPr>
            <w:r w:rsidRPr="00322D5E">
              <w:rPr>
                <w:sz w:val="22"/>
                <w:szCs w:val="22"/>
              </w:rPr>
              <w:t>NDAP</w:t>
            </w:r>
          </w:p>
        </w:tc>
        <w:tc>
          <w:tcPr>
            <w:tcW w:w="3901" w:type="pct"/>
          </w:tcPr>
          <w:p w14:paraId="1651C921" w14:textId="77777777" w:rsidR="00217240" w:rsidRPr="00322D5E" w:rsidRDefault="00217240" w:rsidP="00217240">
            <w:pPr>
              <w:pStyle w:val="TabletextLeft"/>
              <w:rPr>
                <w:sz w:val="22"/>
                <w:szCs w:val="22"/>
              </w:rPr>
            </w:pPr>
            <w:r w:rsidRPr="00322D5E">
              <w:rPr>
                <w:bCs/>
                <w:sz w:val="22"/>
                <w:szCs w:val="22"/>
                <w:lang w:val="en-GB"/>
              </w:rPr>
              <w:t>National Disability Advocacy Program</w:t>
            </w:r>
          </w:p>
        </w:tc>
      </w:tr>
      <w:tr w:rsidR="00217240" w:rsidRPr="00865985" w14:paraId="408A253C" w14:textId="77777777" w:rsidTr="005F49BF">
        <w:trPr>
          <w:trHeight w:hRule="exact" w:val="340"/>
        </w:trPr>
        <w:tc>
          <w:tcPr>
            <w:tcW w:w="1099" w:type="pct"/>
          </w:tcPr>
          <w:p w14:paraId="710581D8" w14:textId="77777777" w:rsidR="00217240" w:rsidRPr="00322D5E" w:rsidRDefault="00217240" w:rsidP="00217240">
            <w:pPr>
              <w:pStyle w:val="TabletextLeft"/>
              <w:rPr>
                <w:sz w:val="22"/>
                <w:szCs w:val="22"/>
              </w:rPr>
            </w:pPr>
            <w:r w:rsidRPr="00322D5E">
              <w:rPr>
                <w:sz w:val="22"/>
                <w:szCs w:val="22"/>
              </w:rPr>
              <w:t>NDIS</w:t>
            </w:r>
          </w:p>
        </w:tc>
        <w:tc>
          <w:tcPr>
            <w:tcW w:w="3901" w:type="pct"/>
          </w:tcPr>
          <w:p w14:paraId="7B532A49" w14:textId="77777777" w:rsidR="00217240" w:rsidRPr="00322D5E" w:rsidRDefault="00217240" w:rsidP="00217240">
            <w:pPr>
              <w:pStyle w:val="TabletextLeft"/>
              <w:rPr>
                <w:sz w:val="22"/>
                <w:szCs w:val="22"/>
              </w:rPr>
            </w:pPr>
            <w:r w:rsidRPr="00322D5E">
              <w:rPr>
                <w:bCs/>
                <w:sz w:val="22"/>
                <w:szCs w:val="22"/>
                <w:lang w:val="en-GB"/>
              </w:rPr>
              <w:t xml:space="preserve">National Disability Insurance Scheme </w:t>
            </w:r>
          </w:p>
        </w:tc>
      </w:tr>
      <w:tr w:rsidR="00217240" w:rsidRPr="00865985" w14:paraId="79D71268" w14:textId="77777777" w:rsidTr="005F49BF">
        <w:trPr>
          <w:trHeight w:hRule="exact" w:val="340"/>
        </w:trPr>
        <w:tc>
          <w:tcPr>
            <w:tcW w:w="1099" w:type="pct"/>
          </w:tcPr>
          <w:p w14:paraId="308AACD7" w14:textId="3263B0F6" w:rsidR="00217240" w:rsidRPr="00322D5E" w:rsidRDefault="00217240" w:rsidP="00217240">
            <w:pPr>
              <w:pStyle w:val="TabletextLeft"/>
              <w:rPr>
                <w:sz w:val="22"/>
                <w:szCs w:val="22"/>
              </w:rPr>
            </w:pPr>
            <w:r w:rsidRPr="00322D5E">
              <w:rPr>
                <w:sz w:val="22"/>
                <w:szCs w:val="22"/>
              </w:rPr>
              <w:t>NMDS</w:t>
            </w:r>
          </w:p>
        </w:tc>
        <w:tc>
          <w:tcPr>
            <w:tcW w:w="3901" w:type="pct"/>
          </w:tcPr>
          <w:p w14:paraId="53157930" w14:textId="36BE6DF4" w:rsidR="00217240" w:rsidRPr="00322D5E" w:rsidRDefault="00217240" w:rsidP="00217240">
            <w:pPr>
              <w:pStyle w:val="TabletextLeft"/>
              <w:rPr>
                <w:sz w:val="22"/>
                <w:szCs w:val="22"/>
              </w:rPr>
            </w:pPr>
            <w:r w:rsidRPr="00322D5E">
              <w:rPr>
                <w:sz w:val="22"/>
                <w:szCs w:val="22"/>
              </w:rPr>
              <w:t>National Minimum Dataset</w:t>
            </w:r>
          </w:p>
        </w:tc>
      </w:tr>
      <w:tr w:rsidR="00217240" w:rsidRPr="00865985" w14:paraId="2799C69C" w14:textId="77777777" w:rsidTr="005F49BF">
        <w:trPr>
          <w:trHeight w:hRule="exact" w:val="340"/>
        </w:trPr>
        <w:tc>
          <w:tcPr>
            <w:tcW w:w="1099" w:type="pct"/>
          </w:tcPr>
          <w:p w14:paraId="0EC34C3C" w14:textId="77777777" w:rsidR="00217240" w:rsidRPr="00322D5E" w:rsidRDefault="00217240" w:rsidP="00217240">
            <w:pPr>
              <w:pStyle w:val="TabletextLeft"/>
              <w:rPr>
                <w:sz w:val="22"/>
                <w:szCs w:val="22"/>
              </w:rPr>
            </w:pPr>
            <w:r w:rsidRPr="00322D5E">
              <w:rPr>
                <w:sz w:val="22"/>
                <w:szCs w:val="22"/>
              </w:rPr>
              <w:t>NSA</w:t>
            </w:r>
          </w:p>
        </w:tc>
        <w:tc>
          <w:tcPr>
            <w:tcW w:w="3901" w:type="pct"/>
          </w:tcPr>
          <w:p w14:paraId="755060AD" w14:textId="77777777" w:rsidR="00217240" w:rsidRPr="00322D5E" w:rsidRDefault="00217240" w:rsidP="00217240">
            <w:pPr>
              <w:pStyle w:val="TabletextLeft"/>
              <w:rPr>
                <w:bCs/>
                <w:sz w:val="22"/>
                <w:szCs w:val="22"/>
                <w:lang w:val="en-GB"/>
              </w:rPr>
            </w:pPr>
            <w:r w:rsidRPr="00322D5E">
              <w:rPr>
                <w:bCs/>
                <w:sz w:val="22"/>
                <w:szCs w:val="22"/>
                <w:lang w:val="en-GB"/>
              </w:rPr>
              <w:t>National Seniors Australia</w:t>
            </w:r>
          </w:p>
        </w:tc>
      </w:tr>
      <w:tr w:rsidR="009210DC" w:rsidRPr="00865985" w14:paraId="2E298EC0" w14:textId="77777777" w:rsidTr="005F49BF">
        <w:trPr>
          <w:trHeight w:hRule="exact" w:val="340"/>
        </w:trPr>
        <w:tc>
          <w:tcPr>
            <w:tcW w:w="1099" w:type="pct"/>
          </w:tcPr>
          <w:p w14:paraId="38D2AB74" w14:textId="500D29A5" w:rsidR="009210DC" w:rsidRPr="00322D5E" w:rsidRDefault="009210DC" w:rsidP="00217240">
            <w:pPr>
              <w:pStyle w:val="TabletextLeft"/>
              <w:rPr>
                <w:sz w:val="22"/>
                <w:szCs w:val="22"/>
              </w:rPr>
            </w:pPr>
            <w:r w:rsidRPr="00322D5E">
              <w:rPr>
                <w:sz w:val="22"/>
                <w:szCs w:val="22"/>
              </w:rPr>
              <w:t>NZA</w:t>
            </w:r>
            <w:r w:rsidR="00A12AF3" w:rsidRPr="00322D5E">
              <w:rPr>
                <w:sz w:val="22"/>
                <w:szCs w:val="22"/>
              </w:rPr>
              <w:t>CA</w:t>
            </w:r>
          </w:p>
        </w:tc>
        <w:tc>
          <w:tcPr>
            <w:tcW w:w="3901" w:type="pct"/>
          </w:tcPr>
          <w:p w14:paraId="05086579" w14:textId="685D2967" w:rsidR="009210DC" w:rsidRPr="00322D5E" w:rsidRDefault="00075D93" w:rsidP="00217240">
            <w:pPr>
              <w:pStyle w:val="TabletextLeft"/>
              <w:rPr>
                <w:bCs/>
                <w:sz w:val="22"/>
                <w:szCs w:val="22"/>
                <w:lang w:val="en-GB"/>
              </w:rPr>
            </w:pPr>
            <w:r w:rsidRPr="00322D5E">
              <w:rPr>
                <w:bCs/>
                <w:sz w:val="22"/>
                <w:szCs w:val="22"/>
                <w:lang w:val="en-GB"/>
              </w:rPr>
              <w:t>New Zealand Aged Care Association</w:t>
            </w:r>
          </w:p>
        </w:tc>
      </w:tr>
      <w:tr w:rsidR="00217240" w:rsidRPr="00865985" w14:paraId="34BADD4F" w14:textId="77777777" w:rsidTr="005F49BF">
        <w:trPr>
          <w:trHeight w:hRule="exact" w:val="340"/>
        </w:trPr>
        <w:tc>
          <w:tcPr>
            <w:tcW w:w="1099" w:type="pct"/>
          </w:tcPr>
          <w:p w14:paraId="51650897" w14:textId="77777777" w:rsidR="00217240" w:rsidRPr="00322D5E" w:rsidRDefault="00217240" w:rsidP="00217240">
            <w:pPr>
              <w:pStyle w:val="TabletextLeft"/>
              <w:rPr>
                <w:sz w:val="22"/>
                <w:szCs w:val="22"/>
              </w:rPr>
            </w:pPr>
            <w:r w:rsidRPr="00322D5E">
              <w:rPr>
                <w:sz w:val="22"/>
                <w:szCs w:val="22"/>
              </w:rPr>
              <w:t>OPAAL</w:t>
            </w:r>
          </w:p>
        </w:tc>
        <w:tc>
          <w:tcPr>
            <w:tcW w:w="3901" w:type="pct"/>
          </w:tcPr>
          <w:p w14:paraId="2C07725B" w14:textId="77777777" w:rsidR="00217240" w:rsidRPr="00322D5E" w:rsidRDefault="00217240" w:rsidP="00217240">
            <w:pPr>
              <w:pStyle w:val="TabletextLeft"/>
              <w:rPr>
                <w:sz w:val="22"/>
                <w:szCs w:val="22"/>
              </w:rPr>
            </w:pPr>
            <w:r w:rsidRPr="00322D5E">
              <w:rPr>
                <w:sz w:val="22"/>
                <w:szCs w:val="22"/>
              </w:rPr>
              <w:t>Older People’s Advocacy Alliance</w:t>
            </w:r>
          </w:p>
        </w:tc>
      </w:tr>
      <w:tr w:rsidR="00217240" w:rsidRPr="00865985" w14:paraId="53A15436" w14:textId="77777777" w:rsidTr="005F49BF">
        <w:trPr>
          <w:trHeight w:hRule="exact" w:val="340"/>
        </w:trPr>
        <w:tc>
          <w:tcPr>
            <w:tcW w:w="1099" w:type="pct"/>
          </w:tcPr>
          <w:p w14:paraId="7FC8E7C7" w14:textId="77777777" w:rsidR="00217240" w:rsidRPr="00322D5E" w:rsidRDefault="00217240" w:rsidP="00217240">
            <w:pPr>
              <w:pStyle w:val="TabletextLeft"/>
              <w:rPr>
                <w:sz w:val="22"/>
                <w:szCs w:val="22"/>
              </w:rPr>
            </w:pPr>
            <w:r w:rsidRPr="00322D5E">
              <w:rPr>
                <w:sz w:val="22"/>
                <w:szCs w:val="22"/>
              </w:rPr>
              <w:t>OPAN</w:t>
            </w:r>
          </w:p>
        </w:tc>
        <w:tc>
          <w:tcPr>
            <w:tcW w:w="3901" w:type="pct"/>
          </w:tcPr>
          <w:p w14:paraId="5970B374" w14:textId="77777777" w:rsidR="00217240" w:rsidRPr="00322D5E" w:rsidRDefault="00217240" w:rsidP="00217240">
            <w:pPr>
              <w:pStyle w:val="TabletextLeft"/>
              <w:ind w:left="0"/>
              <w:rPr>
                <w:sz w:val="22"/>
                <w:szCs w:val="22"/>
              </w:rPr>
            </w:pPr>
            <w:r w:rsidRPr="00322D5E">
              <w:rPr>
                <w:sz w:val="22"/>
                <w:szCs w:val="22"/>
              </w:rPr>
              <w:t xml:space="preserve"> Older Person Advocacy Network</w:t>
            </w:r>
          </w:p>
        </w:tc>
      </w:tr>
      <w:tr w:rsidR="00145D87" w:rsidRPr="00865985" w14:paraId="6B891794" w14:textId="77777777" w:rsidTr="005F49BF">
        <w:trPr>
          <w:trHeight w:hRule="exact" w:val="340"/>
        </w:trPr>
        <w:tc>
          <w:tcPr>
            <w:tcW w:w="1099" w:type="pct"/>
          </w:tcPr>
          <w:p w14:paraId="2A0910B0" w14:textId="5D1E4A77" w:rsidR="00145D87" w:rsidRPr="00322D5E" w:rsidRDefault="00145D87" w:rsidP="00217240">
            <w:pPr>
              <w:pStyle w:val="TabletextLeft"/>
              <w:rPr>
                <w:sz w:val="22"/>
                <w:szCs w:val="22"/>
              </w:rPr>
            </w:pPr>
            <w:r w:rsidRPr="00322D5E">
              <w:rPr>
                <w:sz w:val="22"/>
                <w:szCs w:val="22"/>
              </w:rPr>
              <w:t>OSA</w:t>
            </w:r>
          </w:p>
        </w:tc>
        <w:tc>
          <w:tcPr>
            <w:tcW w:w="3901" w:type="pct"/>
          </w:tcPr>
          <w:p w14:paraId="38D2014F" w14:textId="272EC392" w:rsidR="00145D87" w:rsidRPr="00322D5E" w:rsidRDefault="00145D87" w:rsidP="00217240">
            <w:pPr>
              <w:pStyle w:val="TabletextLeft"/>
              <w:ind w:left="0"/>
              <w:rPr>
                <w:sz w:val="22"/>
                <w:szCs w:val="22"/>
              </w:rPr>
            </w:pPr>
            <w:r w:rsidRPr="00322D5E">
              <w:rPr>
                <w:sz w:val="22"/>
                <w:szCs w:val="22"/>
              </w:rPr>
              <w:t xml:space="preserve"> Office of the Seniors Advocate</w:t>
            </w:r>
          </w:p>
        </w:tc>
      </w:tr>
      <w:tr w:rsidR="00217240" w:rsidRPr="00865985" w14:paraId="6418B136" w14:textId="77777777" w:rsidTr="005F49BF">
        <w:trPr>
          <w:trHeight w:hRule="exact" w:val="340"/>
        </w:trPr>
        <w:tc>
          <w:tcPr>
            <w:tcW w:w="1099" w:type="pct"/>
          </w:tcPr>
          <w:p w14:paraId="6F288B1C" w14:textId="77777777" w:rsidR="00217240" w:rsidRPr="00322D5E" w:rsidRDefault="00217240" w:rsidP="00217240">
            <w:pPr>
              <w:pStyle w:val="TabletextLeft"/>
              <w:rPr>
                <w:sz w:val="22"/>
                <w:szCs w:val="22"/>
              </w:rPr>
            </w:pPr>
            <w:r w:rsidRPr="00322D5E">
              <w:rPr>
                <w:sz w:val="22"/>
                <w:szCs w:val="22"/>
              </w:rPr>
              <w:t>PHN</w:t>
            </w:r>
          </w:p>
        </w:tc>
        <w:tc>
          <w:tcPr>
            <w:tcW w:w="3901" w:type="pct"/>
          </w:tcPr>
          <w:p w14:paraId="016D95CE" w14:textId="77777777" w:rsidR="00217240" w:rsidRPr="00322D5E" w:rsidRDefault="00217240" w:rsidP="00217240">
            <w:pPr>
              <w:pStyle w:val="TabletextLeft"/>
              <w:ind w:left="0"/>
              <w:rPr>
                <w:sz w:val="22"/>
                <w:szCs w:val="22"/>
              </w:rPr>
            </w:pPr>
            <w:r w:rsidRPr="00322D5E">
              <w:rPr>
                <w:sz w:val="22"/>
                <w:szCs w:val="22"/>
              </w:rPr>
              <w:t xml:space="preserve"> Primary Health Network</w:t>
            </w:r>
          </w:p>
        </w:tc>
      </w:tr>
      <w:tr w:rsidR="00217240" w:rsidRPr="00865985" w14:paraId="470E42B3" w14:textId="77777777" w:rsidTr="005F49BF">
        <w:trPr>
          <w:trHeight w:hRule="exact" w:val="340"/>
        </w:trPr>
        <w:tc>
          <w:tcPr>
            <w:tcW w:w="1099" w:type="pct"/>
          </w:tcPr>
          <w:p w14:paraId="2253595C" w14:textId="77777777" w:rsidR="00217240" w:rsidRPr="00322D5E" w:rsidRDefault="00217240" w:rsidP="00217240">
            <w:pPr>
              <w:pStyle w:val="TabletextLeft"/>
              <w:rPr>
                <w:sz w:val="22"/>
                <w:szCs w:val="22"/>
              </w:rPr>
            </w:pPr>
            <w:r w:rsidRPr="00322D5E">
              <w:rPr>
                <w:sz w:val="22"/>
                <w:szCs w:val="22"/>
              </w:rPr>
              <w:t>PIAC</w:t>
            </w:r>
          </w:p>
        </w:tc>
        <w:tc>
          <w:tcPr>
            <w:tcW w:w="3901" w:type="pct"/>
          </w:tcPr>
          <w:p w14:paraId="7297DD36" w14:textId="77777777" w:rsidR="00217240" w:rsidRPr="00322D5E" w:rsidRDefault="00217240" w:rsidP="00217240">
            <w:pPr>
              <w:pStyle w:val="TabletextLeft"/>
              <w:ind w:left="0"/>
              <w:rPr>
                <w:sz w:val="22"/>
                <w:szCs w:val="22"/>
              </w:rPr>
            </w:pPr>
            <w:r w:rsidRPr="00322D5E">
              <w:rPr>
                <w:sz w:val="22"/>
                <w:szCs w:val="22"/>
              </w:rPr>
              <w:t xml:space="preserve"> Pathways in Aged Care</w:t>
            </w:r>
          </w:p>
        </w:tc>
      </w:tr>
      <w:tr w:rsidR="00217240" w:rsidRPr="00865985" w14:paraId="5A9FA814" w14:textId="77777777" w:rsidTr="005F49BF">
        <w:trPr>
          <w:trHeight w:hRule="exact" w:val="340"/>
        </w:trPr>
        <w:tc>
          <w:tcPr>
            <w:tcW w:w="1099" w:type="pct"/>
          </w:tcPr>
          <w:p w14:paraId="09219E07" w14:textId="77777777" w:rsidR="00217240" w:rsidRPr="00322D5E" w:rsidRDefault="00217240" w:rsidP="00217240">
            <w:pPr>
              <w:pStyle w:val="TabletextLeft"/>
              <w:rPr>
                <w:sz w:val="22"/>
                <w:szCs w:val="22"/>
              </w:rPr>
            </w:pPr>
            <w:r w:rsidRPr="00322D5E">
              <w:rPr>
                <w:sz w:val="22"/>
                <w:szCs w:val="22"/>
              </w:rPr>
              <w:t>PICAC</w:t>
            </w:r>
          </w:p>
        </w:tc>
        <w:tc>
          <w:tcPr>
            <w:tcW w:w="3901" w:type="pct"/>
          </w:tcPr>
          <w:p w14:paraId="69B83394" w14:textId="77777777" w:rsidR="00217240" w:rsidRPr="00322D5E" w:rsidRDefault="00217240" w:rsidP="00217240">
            <w:pPr>
              <w:pStyle w:val="TabletextLeft"/>
              <w:ind w:left="0"/>
              <w:rPr>
                <w:sz w:val="22"/>
                <w:szCs w:val="22"/>
              </w:rPr>
            </w:pPr>
            <w:r w:rsidRPr="00322D5E">
              <w:rPr>
                <w:sz w:val="22"/>
                <w:szCs w:val="22"/>
              </w:rPr>
              <w:t xml:space="preserve"> Partners in Culturally Appropriate Care</w:t>
            </w:r>
          </w:p>
        </w:tc>
      </w:tr>
      <w:tr w:rsidR="00217240" w:rsidRPr="00865985" w14:paraId="71CFA191" w14:textId="77777777" w:rsidTr="005F49BF">
        <w:trPr>
          <w:trHeight w:hRule="exact" w:val="340"/>
        </w:trPr>
        <w:tc>
          <w:tcPr>
            <w:tcW w:w="1099" w:type="pct"/>
          </w:tcPr>
          <w:p w14:paraId="39FFF603" w14:textId="77777777" w:rsidR="00217240" w:rsidRPr="00322D5E" w:rsidRDefault="00217240" w:rsidP="00217240">
            <w:pPr>
              <w:pStyle w:val="TabletextLeft"/>
              <w:rPr>
                <w:sz w:val="22"/>
                <w:szCs w:val="22"/>
              </w:rPr>
            </w:pPr>
            <w:r w:rsidRPr="00322D5E">
              <w:rPr>
                <w:sz w:val="22"/>
                <w:szCs w:val="22"/>
              </w:rPr>
              <w:t>PTSD</w:t>
            </w:r>
          </w:p>
        </w:tc>
        <w:tc>
          <w:tcPr>
            <w:tcW w:w="3901" w:type="pct"/>
          </w:tcPr>
          <w:p w14:paraId="2B8D9666" w14:textId="77777777" w:rsidR="00217240" w:rsidRPr="00322D5E" w:rsidRDefault="00217240" w:rsidP="00217240">
            <w:pPr>
              <w:pStyle w:val="TabletextLeft"/>
              <w:ind w:left="0"/>
              <w:rPr>
                <w:sz w:val="22"/>
                <w:szCs w:val="22"/>
              </w:rPr>
            </w:pPr>
            <w:r w:rsidRPr="00322D5E">
              <w:rPr>
                <w:sz w:val="22"/>
                <w:szCs w:val="22"/>
              </w:rPr>
              <w:t xml:space="preserve"> Post-traumatic stress disorder</w:t>
            </w:r>
          </w:p>
        </w:tc>
      </w:tr>
      <w:tr w:rsidR="00217240" w:rsidRPr="00865985" w14:paraId="24F7A7D9" w14:textId="77777777" w:rsidTr="005F49BF">
        <w:trPr>
          <w:trHeight w:hRule="exact" w:val="340"/>
        </w:trPr>
        <w:tc>
          <w:tcPr>
            <w:tcW w:w="1099" w:type="pct"/>
          </w:tcPr>
          <w:p w14:paraId="6A9539DB" w14:textId="09196F3E" w:rsidR="00217240" w:rsidRPr="00322D5E" w:rsidRDefault="00217240" w:rsidP="00217240">
            <w:pPr>
              <w:pStyle w:val="TabletextLeft"/>
              <w:rPr>
                <w:sz w:val="22"/>
                <w:szCs w:val="22"/>
              </w:rPr>
            </w:pPr>
            <w:r w:rsidRPr="00322D5E">
              <w:rPr>
                <w:sz w:val="22"/>
                <w:szCs w:val="22"/>
              </w:rPr>
              <w:t>QAMH</w:t>
            </w:r>
          </w:p>
        </w:tc>
        <w:tc>
          <w:tcPr>
            <w:tcW w:w="3901" w:type="pct"/>
          </w:tcPr>
          <w:p w14:paraId="79D96B55" w14:textId="0FD1A395" w:rsidR="00217240" w:rsidRPr="00322D5E" w:rsidRDefault="00217240" w:rsidP="00217240">
            <w:pPr>
              <w:pStyle w:val="TabletextLeft"/>
              <w:ind w:left="0"/>
              <w:rPr>
                <w:sz w:val="22"/>
                <w:szCs w:val="22"/>
              </w:rPr>
            </w:pPr>
            <w:r w:rsidRPr="00322D5E">
              <w:rPr>
                <w:sz w:val="22"/>
                <w:szCs w:val="22"/>
              </w:rPr>
              <w:t xml:space="preserve"> Queensland Alliance for Mental Health</w:t>
            </w:r>
          </w:p>
        </w:tc>
      </w:tr>
      <w:tr w:rsidR="00217240" w:rsidRPr="00865985" w14:paraId="4A8EAFB6" w14:textId="77777777" w:rsidTr="005F49BF">
        <w:trPr>
          <w:trHeight w:hRule="exact" w:val="340"/>
        </w:trPr>
        <w:tc>
          <w:tcPr>
            <w:tcW w:w="1099" w:type="pct"/>
          </w:tcPr>
          <w:p w14:paraId="47C4F997" w14:textId="7F7A58F4" w:rsidR="00217240" w:rsidRPr="00322D5E" w:rsidRDefault="00217240" w:rsidP="00217240">
            <w:pPr>
              <w:pStyle w:val="TabletextLeft"/>
              <w:rPr>
                <w:sz w:val="22"/>
                <w:szCs w:val="22"/>
              </w:rPr>
            </w:pPr>
            <w:r w:rsidRPr="00322D5E">
              <w:rPr>
                <w:sz w:val="22"/>
                <w:szCs w:val="22"/>
              </w:rPr>
              <w:t>RHS</w:t>
            </w:r>
          </w:p>
        </w:tc>
        <w:tc>
          <w:tcPr>
            <w:tcW w:w="3901" w:type="pct"/>
          </w:tcPr>
          <w:p w14:paraId="6AA8032C" w14:textId="67057350" w:rsidR="00217240" w:rsidRPr="00322D5E" w:rsidRDefault="00217240" w:rsidP="00217240">
            <w:pPr>
              <w:pStyle w:val="TabletextLeft"/>
              <w:ind w:left="0"/>
              <w:rPr>
                <w:sz w:val="22"/>
                <w:szCs w:val="22"/>
              </w:rPr>
            </w:pPr>
            <w:r w:rsidRPr="00322D5E">
              <w:rPr>
                <w:sz w:val="22"/>
                <w:szCs w:val="22"/>
              </w:rPr>
              <w:t xml:space="preserve"> Right-hand side</w:t>
            </w:r>
          </w:p>
        </w:tc>
      </w:tr>
      <w:tr w:rsidR="00217240" w:rsidRPr="00865985" w14:paraId="3B5EF9C5" w14:textId="77777777" w:rsidTr="005F49BF">
        <w:trPr>
          <w:trHeight w:hRule="exact" w:val="340"/>
        </w:trPr>
        <w:tc>
          <w:tcPr>
            <w:tcW w:w="1099" w:type="pct"/>
          </w:tcPr>
          <w:p w14:paraId="457621B3" w14:textId="77777777" w:rsidR="00217240" w:rsidRPr="00322D5E" w:rsidRDefault="00217240" w:rsidP="00217240">
            <w:pPr>
              <w:pStyle w:val="TabletextLeft"/>
              <w:rPr>
                <w:sz w:val="22"/>
                <w:szCs w:val="22"/>
              </w:rPr>
            </w:pPr>
            <w:r w:rsidRPr="00322D5E">
              <w:rPr>
                <w:sz w:val="22"/>
                <w:szCs w:val="22"/>
              </w:rPr>
              <w:t>RSL</w:t>
            </w:r>
          </w:p>
        </w:tc>
        <w:tc>
          <w:tcPr>
            <w:tcW w:w="3901" w:type="pct"/>
          </w:tcPr>
          <w:p w14:paraId="5FF7AAC4" w14:textId="77777777" w:rsidR="00217240" w:rsidRPr="00322D5E" w:rsidRDefault="00217240" w:rsidP="00217240">
            <w:pPr>
              <w:pStyle w:val="TabletextLeft"/>
              <w:ind w:left="0"/>
              <w:rPr>
                <w:sz w:val="22"/>
                <w:szCs w:val="22"/>
              </w:rPr>
            </w:pPr>
            <w:r w:rsidRPr="00322D5E">
              <w:rPr>
                <w:sz w:val="22"/>
                <w:szCs w:val="22"/>
              </w:rPr>
              <w:t xml:space="preserve"> Returned Services League</w:t>
            </w:r>
          </w:p>
        </w:tc>
      </w:tr>
      <w:tr w:rsidR="00217240" w:rsidRPr="00865985" w14:paraId="6928675E" w14:textId="77777777" w:rsidTr="005F49BF">
        <w:trPr>
          <w:trHeight w:hRule="exact" w:val="340"/>
        </w:trPr>
        <w:tc>
          <w:tcPr>
            <w:tcW w:w="1099" w:type="pct"/>
          </w:tcPr>
          <w:p w14:paraId="45A0C8DE" w14:textId="77777777" w:rsidR="00217240" w:rsidRPr="00322D5E" w:rsidRDefault="00217240" w:rsidP="00217240">
            <w:pPr>
              <w:pStyle w:val="TabletextLeft"/>
              <w:rPr>
                <w:sz w:val="22"/>
                <w:szCs w:val="22"/>
              </w:rPr>
            </w:pPr>
            <w:r w:rsidRPr="00322D5E">
              <w:rPr>
                <w:sz w:val="22"/>
                <w:szCs w:val="22"/>
              </w:rPr>
              <w:t>SDAC</w:t>
            </w:r>
          </w:p>
        </w:tc>
        <w:tc>
          <w:tcPr>
            <w:tcW w:w="3901" w:type="pct"/>
          </w:tcPr>
          <w:p w14:paraId="4446BF5F" w14:textId="77777777" w:rsidR="00217240" w:rsidRPr="00322D5E" w:rsidRDefault="00217240" w:rsidP="00217240">
            <w:pPr>
              <w:pStyle w:val="TabletextLeft"/>
              <w:ind w:left="0"/>
              <w:rPr>
                <w:sz w:val="22"/>
                <w:szCs w:val="22"/>
              </w:rPr>
            </w:pPr>
            <w:r w:rsidRPr="00322D5E">
              <w:rPr>
                <w:sz w:val="22"/>
                <w:szCs w:val="22"/>
              </w:rPr>
              <w:t xml:space="preserve"> Survey of Disability, Ageing, and Carers</w:t>
            </w:r>
          </w:p>
        </w:tc>
      </w:tr>
      <w:tr w:rsidR="00217240" w:rsidRPr="00865985" w14:paraId="2868B9B2" w14:textId="77777777" w:rsidTr="005F49BF">
        <w:trPr>
          <w:trHeight w:hRule="exact" w:val="340"/>
        </w:trPr>
        <w:tc>
          <w:tcPr>
            <w:tcW w:w="1099" w:type="pct"/>
          </w:tcPr>
          <w:p w14:paraId="4E126268" w14:textId="77777777" w:rsidR="00217240" w:rsidRPr="00322D5E" w:rsidRDefault="00217240" w:rsidP="00217240">
            <w:pPr>
              <w:pStyle w:val="TabletextLeft"/>
              <w:rPr>
                <w:sz w:val="22"/>
                <w:szCs w:val="22"/>
              </w:rPr>
            </w:pPr>
            <w:r w:rsidRPr="00322D5E">
              <w:rPr>
                <w:sz w:val="22"/>
                <w:szCs w:val="22"/>
              </w:rPr>
              <w:t>SDO</w:t>
            </w:r>
          </w:p>
        </w:tc>
        <w:tc>
          <w:tcPr>
            <w:tcW w:w="3901" w:type="pct"/>
          </w:tcPr>
          <w:p w14:paraId="325600C8" w14:textId="77777777" w:rsidR="00217240" w:rsidRPr="00322D5E" w:rsidRDefault="00217240" w:rsidP="00217240">
            <w:pPr>
              <w:pStyle w:val="TabletextLeft"/>
              <w:rPr>
                <w:sz w:val="22"/>
                <w:szCs w:val="22"/>
              </w:rPr>
            </w:pPr>
            <w:r w:rsidRPr="00322D5E">
              <w:rPr>
                <w:sz w:val="22"/>
                <w:szCs w:val="22"/>
              </w:rPr>
              <w:t>Service Delivery Organisation</w:t>
            </w:r>
          </w:p>
        </w:tc>
      </w:tr>
      <w:tr w:rsidR="00217240" w:rsidRPr="00865985" w14:paraId="33ADDCF7" w14:textId="77777777" w:rsidTr="005F49BF">
        <w:trPr>
          <w:trHeight w:hRule="exact" w:val="340"/>
        </w:trPr>
        <w:tc>
          <w:tcPr>
            <w:tcW w:w="1099" w:type="pct"/>
          </w:tcPr>
          <w:p w14:paraId="54A8AE9D" w14:textId="77777777" w:rsidR="00217240" w:rsidRPr="00322D5E" w:rsidRDefault="00217240" w:rsidP="00217240">
            <w:pPr>
              <w:pStyle w:val="TabletextLeft"/>
              <w:rPr>
                <w:sz w:val="22"/>
                <w:szCs w:val="22"/>
              </w:rPr>
            </w:pPr>
            <w:r w:rsidRPr="00322D5E">
              <w:rPr>
                <w:sz w:val="22"/>
                <w:szCs w:val="22"/>
              </w:rPr>
              <w:t>TPI</w:t>
            </w:r>
          </w:p>
        </w:tc>
        <w:tc>
          <w:tcPr>
            <w:tcW w:w="3901" w:type="pct"/>
          </w:tcPr>
          <w:p w14:paraId="663FABC7" w14:textId="77777777" w:rsidR="00217240" w:rsidRPr="00322D5E" w:rsidRDefault="00217240" w:rsidP="00217240">
            <w:pPr>
              <w:pStyle w:val="TabletextLeft"/>
              <w:rPr>
                <w:sz w:val="22"/>
                <w:szCs w:val="22"/>
              </w:rPr>
            </w:pPr>
            <w:r w:rsidRPr="00322D5E">
              <w:rPr>
                <w:sz w:val="22"/>
                <w:szCs w:val="22"/>
              </w:rPr>
              <w:t>Totally and Permanently Incapacitated veterans</w:t>
            </w:r>
          </w:p>
        </w:tc>
      </w:tr>
      <w:tr w:rsidR="00217240" w:rsidRPr="00865985" w14:paraId="6F9DFE0E" w14:textId="77777777" w:rsidTr="005F49BF">
        <w:trPr>
          <w:trHeight w:hRule="exact" w:val="340"/>
        </w:trPr>
        <w:tc>
          <w:tcPr>
            <w:tcW w:w="1099" w:type="pct"/>
          </w:tcPr>
          <w:p w14:paraId="10296F44" w14:textId="0B5C0DB2" w:rsidR="00217240" w:rsidRPr="00322D5E" w:rsidRDefault="00217240" w:rsidP="00217240">
            <w:pPr>
              <w:pStyle w:val="TabletextLeft"/>
              <w:rPr>
                <w:sz w:val="22"/>
                <w:szCs w:val="22"/>
              </w:rPr>
            </w:pPr>
            <w:r w:rsidRPr="00322D5E">
              <w:rPr>
                <w:sz w:val="22"/>
                <w:szCs w:val="22"/>
              </w:rPr>
              <w:t>VRB</w:t>
            </w:r>
          </w:p>
        </w:tc>
        <w:tc>
          <w:tcPr>
            <w:tcW w:w="3901" w:type="pct"/>
          </w:tcPr>
          <w:p w14:paraId="209E2FD7" w14:textId="05F942BF" w:rsidR="00217240" w:rsidRPr="00322D5E" w:rsidRDefault="00217240" w:rsidP="00217240">
            <w:pPr>
              <w:pStyle w:val="TabletextLeft"/>
              <w:rPr>
                <w:sz w:val="22"/>
                <w:szCs w:val="22"/>
              </w:rPr>
            </w:pPr>
            <w:r w:rsidRPr="00322D5E">
              <w:rPr>
                <w:sz w:val="22"/>
                <w:szCs w:val="22"/>
              </w:rPr>
              <w:t>Veteran Review Board</w:t>
            </w:r>
          </w:p>
        </w:tc>
      </w:tr>
      <w:tr w:rsidR="00217240" w:rsidRPr="00865985" w14:paraId="50126763" w14:textId="77777777" w:rsidTr="005F49BF">
        <w:trPr>
          <w:trHeight w:hRule="exact" w:val="340"/>
        </w:trPr>
        <w:tc>
          <w:tcPr>
            <w:tcW w:w="1099" w:type="pct"/>
          </w:tcPr>
          <w:p w14:paraId="0317BC0C" w14:textId="3D23A2F7" w:rsidR="00217240" w:rsidRPr="00322D5E" w:rsidRDefault="00217240" w:rsidP="00217240">
            <w:pPr>
              <w:pStyle w:val="TabletextLeft"/>
              <w:rPr>
                <w:sz w:val="22"/>
                <w:szCs w:val="22"/>
              </w:rPr>
            </w:pPr>
            <w:r w:rsidRPr="00322D5E">
              <w:rPr>
                <w:sz w:val="22"/>
                <w:szCs w:val="22"/>
              </w:rPr>
              <w:t>WPI</w:t>
            </w:r>
          </w:p>
        </w:tc>
        <w:tc>
          <w:tcPr>
            <w:tcW w:w="3901" w:type="pct"/>
          </w:tcPr>
          <w:p w14:paraId="4095DB7F" w14:textId="115838F8" w:rsidR="00217240" w:rsidRPr="00322D5E" w:rsidRDefault="00217240" w:rsidP="00217240">
            <w:pPr>
              <w:pStyle w:val="TabletextLeft"/>
              <w:rPr>
                <w:sz w:val="22"/>
                <w:szCs w:val="22"/>
              </w:rPr>
            </w:pPr>
            <w:r w:rsidRPr="00322D5E">
              <w:rPr>
                <w:sz w:val="22"/>
                <w:szCs w:val="22"/>
              </w:rPr>
              <w:t>Wage Price Index</w:t>
            </w:r>
          </w:p>
        </w:tc>
      </w:tr>
    </w:tbl>
    <w:p w14:paraId="61CDEF8E" w14:textId="08A5AAC3" w:rsidR="001E35F9" w:rsidRDefault="001E35F9" w:rsidP="00672300"/>
    <w:p w14:paraId="5694A9AB" w14:textId="77777777" w:rsidR="001E35F9" w:rsidRDefault="001E35F9">
      <w:pPr>
        <w:spacing w:after="0"/>
      </w:pPr>
      <w:r>
        <w:br w:type="page"/>
      </w:r>
    </w:p>
    <w:tbl>
      <w:tblPr>
        <w:tblStyle w:val="Deloittetable"/>
        <w:tblW w:w="0" w:type="auto"/>
        <w:tblLook w:val="04A0" w:firstRow="1" w:lastRow="0" w:firstColumn="1" w:lastColumn="0" w:noHBand="0" w:noVBand="1"/>
      </w:tblPr>
      <w:tblGrid>
        <w:gridCol w:w="1985"/>
        <w:gridCol w:w="7041"/>
      </w:tblGrid>
      <w:tr w:rsidR="000329E2" w14:paraId="5B27505D" w14:textId="77777777" w:rsidTr="005F49BF">
        <w:trPr>
          <w:cnfStyle w:val="100000000000" w:firstRow="1" w:lastRow="0" w:firstColumn="0" w:lastColumn="0" w:oddVBand="0" w:evenVBand="0" w:oddHBand="0" w:evenHBand="0" w:firstRowFirstColumn="0" w:firstRowLastColumn="0" w:lastRowFirstColumn="0" w:lastRowLastColumn="0"/>
          <w:trHeight w:hRule="exact" w:val="567"/>
        </w:trPr>
        <w:tc>
          <w:tcPr>
            <w:tcW w:w="1985" w:type="dxa"/>
          </w:tcPr>
          <w:p w14:paraId="4606C719" w14:textId="33E44958" w:rsidR="000329E2" w:rsidRPr="006D6E15" w:rsidRDefault="000329E2" w:rsidP="00672300">
            <w:pPr>
              <w:rPr>
                <w:b/>
                <w:bCs/>
              </w:rPr>
            </w:pPr>
            <w:r w:rsidRPr="006D6E15">
              <w:rPr>
                <w:b/>
                <w:bCs/>
              </w:rPr>
              <w:lastRenderedPageBreak/>
              <w:t>Term</w:t>
            </w:r>
          </w:p>
        </w:tc>
        <w:tc>
          <w:tcPr>
            <w:tcW w:w="7041" w:type="dxa"/>
          </w:tcPr>
          <w:p w14:paraId="0D10DE28" w14:textId="5901EC6C" w:rsidR="000329E2" w:rsidRPr="006D6E15" w:rsidRDefault="000329E2" w:rsidP="00672300">
            <w:pPr>
              <w:rPr>
                <w:b/>
                <w:bCs/>
              </w:rPr>
            </w:pPr>
            <w:r w:rsidRPr="006D6E15">
              <w:rPr>
                <w:b/>
                <w:bCs/>
              </w:rPr>
              <w:t>Description</w:t>
            </w:r>
          </w:p>
        </w:tc>
      </w:tr>
      <w:tr w:rsidR="006674C3" w14:paraId="3B944C62" w14:textId="77777777" w:rsidTr="005F49BF">
        <w:trPr>
          <w:trHeight w:hRule="exact" w:val="567"/>
        </w:trPr>
        <w:tc>
          <w:tcPr>
            <w:tcW w:w="1985" w:type="dxa"/>
          </w:tcPr>
          <w:p w14:paraId="0A197B12" w14:textId="55CA6241" w:rsidR="006674C3" w:rsidRDefault="00EF4B09" w:rsidP="00672300">
            <w:r>
              <w:t>Met demand</w:t>
            </w:r>
          </w:p>
        </w:tc>
        <w:tc>
          <w:tcPr>
            <w:tcW w:w="7041" w:type="dxa"/>
          </w:tcPr>
          <w:p w14:paraId="0E9314DE" w14:textId="50284C80" w:rsidR="006674C3" w:rsidRDefault="00EF4B09" w:rsidP="00672300">
            <w:r>
              <w:t>The number of people within the NACAP target population who received a service</w:t>
            </w:r>
          </w:p>
        </w:tc>
      </w:tr>
      <w:tr w:rsidR="00AB2C17" w14:paraId="27EEFC8F" w14:textId="77777777" w:rsidTr="005F49BF">
        <w:trPr>
          <w:trHeight w:hRule="exact" w:val="567"/>
        </w:trPr>
        <w:tc>
          <w:tcPr>
            <w:tcW w:w="1985" w:type="dxa"/>
          </w:tcPr>
          <w:p w14:paraId="573A2B66" w14:textId="557EB767" w:rsidR="00AB2C17" w:rsidRDefault="00AB2C17" w:rsidP="00AB2C17">
            <w:r>
              <w:t>Special needs groups</w:t>
            </w:r>
          </w:p>
        </w:tc>
        <w:tc>
          <w:tcPr>
            <w:tcW w:w="7041" w:type="dxa"/>
          </w:tcPr>
          <w:p w14:paraId="6D9FD659" w14:textId="794EC6F4" w:rsidR="00AB2C17" w:rsidRDefault="00AB2C17" w:rsidP="00AB2C17">
            <w:r>
              <w:t xml:space="preserve">As defined in </w:t>
            </w:r>
            <w:r>
              <w:rPr>
                <w:i/>
                <w:iCs/>
              </w:rPr>
              <w:t>Aged Care Act 1997</w:t>
            </w:r>
          </w:p>
        </w:tc>
      </w:tr>
      <w:tr w:rsidR="00AB2C17" w14:paraId="37916E0F" w14:textId="77777777" w:rsidTr="005F49BF">
        <w:trPr>
          <w:trHeight w:hRule="exact" w:val="567"/>
        </w:trPr>
        <w:tc>
          <w:tcPr>
            <w:tcW w:w="1985" w:type="dxa"/>
          </w:tcPr>
          <w:p w14:paraId="1FEB6029" w14:textId="5E3364FE" w:rsidR="00AB2C17" w:rsidRDefault="00AB2C17" w:rsidP="00AB2C17">
            <w:r>
              <w:t>Supply</w:t>
            </w:r>
          </w:p>
        </w:tc>
        <w:tc>
          <w:tcPr>
            <w:tcW w:w="7041" w:type="dxa"/>
          </w:tcPr>
          <w:p w14:paraId="23D4D8E4" w14:textId="74B642E8" w:rsidR="00AB2C17" w:rsidRDefault="00AB2C17" w:rsidP="00AB2C17">
            <w:r>
              <w:t>Services provided by the NACAP under current constraints</w:t>
            </w:r>
          </w:p>
        </w:tc>
      </w:tr>
      <w:tr w:rsidR="00AB2C17" w14:paraId="17202E60" w14:textId="77777777" w:rsidTr="005F49BF">
        <w:trPr>
          <w:trHeight w:hRule="exact" w:val="797"/>
        </w:trPr>
        <w:tc>
          <w:tcPr>
            <w:tcW w:w="1985" w:type="dxa"/>
          </w:tcPr>
          <w:p w14:paraId="73863D55" w14:textId="03D2EEBB" w:rsidR="00AB2C17" w:rsidRDefault="00AB2C17" w:rsidP="00AB2C17">
            <w:r>
              <w:t>Target population</w:t>
            </w:r>
          </w:p>
        </w:tc>
        <w:tc>
          <w:tcPr>
            <w:tcW w:w="7041" w:type="dxa"/>
          </w:tcPr>
          <w:p w14:paraId="7FEBE0E8" w14:textId="4E1D3A80" w:rsidR="00AB2C17" w:rsidRDefault="00AB2C17" w:rsidP="00AB2C17">
            <w:r>
              <w:rPr>
                <w:sz w:val="18"/>
              </w:rPr>
              <w:t>The population of older people who are eligible for NACAP services, defined as all recipients of aged care aged 65+ and Aboriginal and Torres Strait Islanders aged 50+</w:t>
            </w:r>
          </w:p>
        </w:tc>
      </w:tr>
      <w:tr w:rsidR="00AB2C17" w14:paraId="37CC70ED" w14:textId="77777777" w:rsidTr="005F49BF">
        <w:trPr>
          <w:trHeight w:hRule="exact" w:val="567"/>
        </w:trPr>
        <w:tc>
          <w:tcPr>
            <w:tcW w:w="1985" w:type="dxa"/>
          </w:tcPr>
          <w:p w14:paraId="298EA6A0" w14:textId="2C084092" w:rsidR="00AB2C17" w:rsidRDefault="00AB2C17" w:rsidP="00AB2C17">
            <w:r>
              <w:t>Total demand</w:t>
            </w:r>
          </w:p>
        </w:tc>
        <w:tc>
          <w:tcPr>
            <w:tcW w:w="7041" w:type="dxa"/>
          </w:tcPr>
          <w:p w14:paraId="609B1047" w14:textId="63A45F2E" w:rsidR="00AB2C17" w:rsidRDefault="006E3EAD" w:rsidP="00AB2C17">
            <w:r>
              <w:t>A measure of the total amount of demand for NACAP services that exists in the target population (met and unmet)</w:t>
            </w:r>
            <w:r w:rsidR="004D5E1A">
              <w:t xml:space="preserve"> based on illustrative total demand rates</w:t>
            </w:r>
          </w:p>
        </w:tc>
      </w:tr>
      <w:tr w:rsidR="00AB2C17" w14:paraId="32C9C732" w14:textId="77777777" w:rsidTr="005F49BF">
        <w:trPr>
          <w:trHeight w:hRule="exact" w:val="567"/>
        </w:trPr>
        <w:tc>
          <w:tcPr>
            <w:tcW w:w="1985" w:type="dxa"/>
          </w:tcPr>
          <w:p w14:paraId="27F12C75" w14:textId="79B566AC" w:rsidR="00AB2C17" w:rsidRDefault="00AB2C17" w:rsidP="00AB2C17">
            <w:r>
              <w:t>Unmet demand</w:t>
            </w:r>
          </w:p>
        </w:tc>
        <w:tc>
          <w:tcPr>
            <w:tcW w:w="7041" w:type="dxa"/>
          </w:tcPr>
          <w:p w14:paraId="6A434C0F" w14:textId="0EB97AF3" w:rsidR="00AB2C17" w:rsidRDefault="00AB2C17" w:rsidP="00AB2C17">
            <w:r>
              <w:rPr>
                <w:sz w:val="18"/>
              </w:rPr>
              <w:t>A</w:t>
            </w:r>
            <w:r w:rsidRPr="00DB271A">
              <w:rPr>
                <w:sz w:val="18"/>
              </w:rPr>
              <w:t xml:space="preserve"> measure of aged care users or potential users who would benefit from advocacy support</w:t>
            </w:r>
            <w:r>
              <w:rPr>
                <w:sz w:val="18"/>
              </w:rPr>
              <w:t xml:space="preserve"> but are not receiving a service</w:t>
            </w:r>
          </w:p>
        </w:tc>
      </w:tr>
    </w:tbl>
    <w:p w14:paraId="2ED17126" w14:textId="77777777" w:rsidR="00F9113D" w:rsidRPr="00672300" w:rsidRDefault="00F9113D" w:rsidP="00672300">
      <w:pPr>
        <w:sectPr w:rsidR="00F9113D" w:rsidRPr="00672300" w:rsidSect="005F043A">
          <w:headerReference w:type="default" r:id="rId20"/>
          <w:footerReference w:type="default" r:id="rId21"/>
          <w:pgSz w:w="11906" w:h="16838" w:code="9"/>
          <w:pgMar w:top="1440" w:right="1440" w:bottom="1440" w:left="1440" w:header="680" w:footer="425" w:gutter="0"/>
          <w:pgNumType w:fmt="lowerRoman" w:start="1"/>
          <w:cols w:space="284"/>
          <w:noEndnote/>
          <w:docGrid w:linePitch="360"/>
        </w:sectPr>
      </w:pPr>
    </w:p>
    <w:p w14:paraId="33EE7D5F" w14:textId="6730FC24" w:rsidR="00F9113D" w:rsidRDefault="00F9113D" w:rsidP="00731587">
      <w:pPr>
        <w:pStyle w:val="ExecutiveHeading"/>
      </w:pPr>
      <w:bookmarkStart w:id="13" w:name="_Toc215906318"/>
      <w:bookmarkStart w:id="14" w:name="_Toc227746675"/>
      <w:bookmarkStart w:id="15" w:name="_Toc227746679"/>
      <w:bookmarkStart w:id="16" w:name="_Toc227746683"/>
      <w:bookmarkStart w:id="17" w:name="_Toc227746687"/>
      <w:bookmarkStart w:id="18" w:name="_Toc227748309"/>
      <w:bookmarkStart w:id="19" w:name="_Toc227748327"/>
      <w:bookmarkStart w:id="20" w:name="_Toc227748331"/>
      <w:bookmarkStart w:id="21" w:name="_Toc227748335"/>
      <w:bookmarkStart w:id="22" w:name="_Toc227748374"/>
      <w:bookmarkStart w:id="23" w:name="_Toc227748378"/>
      <w:bookmarkStart w:id="24" w:name="_Toc227748382"/>
      <w:bookmarkStart w:id="25" w:name="_Toc227748494"/>
      <w:bookmarkStart w:id="26" w:name="_Toc227748498"/>
      <w:bookmarkStart w:id="27" w:name="_Toc228005205"/>
      <w:bookmarkStart w:id="28" w:name="_Toc228092496"/>
      <w:bookmarkStart w:id="29" w:name="_Toc228264951"/>
      <w:bookmarkStart w:id="30" w:name="_Toc228264973"/>
      <w:bookmarkStart w:id="31" w:name="_Toc228264977"/>
      <w:bookmarkStart w:id="32" w:name="_Toc228264981"/>
      <w:bookmarkStart w:id="33" w:name="_Toc228264985"/>
      <w:bookmarkStart w:id="34" w:name="_Toc228265215"/>
      <w:bookmarkStart w:id="35" w:name="_Toc288198024"/>
      <w:bookmarkStart w:id="36" w:name="_Toc448829185"/>
      <w:bookmarkStart w:id="37" w:name="_Toc456353381"/>
      <w:bookmarkStart w:id="38" w:name="_Toc462313128"/>
      <w:bookmarkStart w:id="39" w:name="_Toc462317837"/>
      <w:bookmarkStart w:id="40" w:name="_Toc462397802"/>
      <w:bookmarkStart w:id="41" w:name="_Toc463002429"/>
      <w:bookmarkStart w:id="42" w:name="_Toc472586341"/>
      <w:bookmarkStart w:id="43" w:name="_Toc482168119"/>
      <w:bookmarkStart w:id="44" w:name="_Toc482174906"/>
      <w:bookmarkStart w:id="45" w:name="_Toc94771818"/>
      <w:bookmarkStart w:id="46" w:name="_Toc99437489"/>
      <w:r w:rsidRPr="000B136C">
        <w:lastRenderedPageBreak/>
        <w:t>Executive summary</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BBDF9A2" w14:textId="7FA0B604" w:rsidR="00D315A6" w:rsidRDefault="001A5060" w:rsidP="009E240D">
      <w:pPr>
        <w:pStyle w:val="BodyText"/>
        <w:spacing w:after="120"/>
      </w:pPr>
      <w:r>
        <w:t xml:space="preserve">The National Aged Care Advocacy Program (NACAP) is funded by the Australian Government under the </w:t>
      </w:r>
      <w:r w:rsidRPr="00A113EE">
        <w:rPr>
          <w:i/>
        </w:rPr>
        <w:t>Aged Care Act 199</w:t>
      </w:r>
      <w:r>
        <w:rPr>
          <w:i/>
        </w:rPr>
        <w:t>7</w:t>
      </w:r>
      <w:r>
        <w:t xml:space="preserve"> (the Act). The NACAP provides free, independent, and confidential advocacy support, education, and information to older people (and their representatives) receiving, or seeking to receive, Australian Government funded aged care services.</w:t>
      </w:r>
      <w:r>
        <w:rPr>
          <w:rStyle w:val="EndnoteReference"/>
        </w:rPr>
        <w:endnoteReference w:id="2"/>
      </w:r>
      <w:r w:rsidR="00891472">
        <w:t xml:space="preserve">  </w:t>
      </w:r>
      <w:r w:rsidR="009B17CA" w:rsidRPr="009B17CA">
        <w:t>It also helps aged care service providers to understand their responsibilities and the consumer rights of the people they care for.</w:t>
      </w:r>
      <w:r w:rsidR="00B21150">
        <w:rPr>
          <w:rStyle w:val="EndnoteReference"/>
        </w:rPr>
        <w:endnoteReference w:id="3"/>
      </w:r>
    </w:p>
    <w:p w14:paraId="1D482B68" w14:textId="5373A599" w:rsidR="00C94F9B" w:rsidRDefault="00FC4AAE" w:rsidP="001D373F">
      <w:r w:rsidRPr="00FC4AAE">
        <w:t xml:space="preserve">The </w:t>
      </w:r>
      <w:r w:rsidR="00891472">
        <w:t>Older Persons Advocacy Network (</w:t>
      </w:r>
      <w:r w:rsidRPr="007E65DF">
        <w:t>OPAN</w:t>
      </w:r>
      <w:r w:rsidR="00891472">
        <w:t>)</w:t>
      </w:r>
      <w:r w:rsidRPr="007E65DF">
        <w:t xml:space="preserve"> is a national network of nine state and territory Service Delivery Organisations (SDOs) that deliver advocacy, information, and education services to older people and their families or representatives who are seeking or seeking to receive Commonwealth-funded aged care services.</w:t>
      </w:r>
    </w:p>
    <w:p w14:paraId="62FDB74C" w14:textId="16A4B906" w:rsidR="00FC4AAE" w:rsidRDefault="00B705BA" w:rsidP="001D373F">
      <w:r w:rsidRPr="007E65DF">
        <w:t>T</w:t>
      </w:r>
      <w:r w:rsidR="00FC4AAE" w:rsidRPr="007E65DF">
        <w:t xml:space="preserve">he coverage among older people eligible for the NACAP was 1.9% </w:t>
      </w:r>
      <w:r w:rsidR="003F337C" w:rsidRPr="007E65DF">
        <w:t>as of</w:t>
      </w:r>
      <w:r w:rsidR="00FC4AAE" w:rsidRPr="007E65DF">
        <w:t xml:space="preserve"> 2020/21.</w:t>
      </w:r>
      <w:r w:rsidR="001A6355" w:rsidRPr="007E65DF">
        <w:rPr>
          <w:rStyle w:val="EndnoteReference"/>
        </w:rPr>
        <w:endnoteReference w:id="4"/>
      </w:r>
      <w:r w:rsidR="00FC4AAE" w:rsidRPr="007E65DF">
        <w:t xml:space="preserve"> </w:t>
      </w:r>
      <w:r w:rsidR="00A734AC" w:rsidRPr="007E65DF">
        <w:t>The final report from the Royal Commission into</w:t>
      </w:r>
      <w:r w:rsidR="007E65DF" w:rsidRPr="007E65DF">
        <w:t xml:space="preserve"> Aged Care Quality and Safety</w:t>
      </w:r>
      <w:r w:rsidR="00A734AC" w:rsidRPr="007E65DF">
        <w:t>, published in March 2021, recommended the Australian Government legislatively recognise the role of advocacy services in empowering</w:t>
      </w:r>
      <w:r w:rsidR="002E0AB4">
        <w:t xml:space="preserve"> older people</w:t>
      </w:r>
      <w:r w:rsidR="00A734AC" w:rsidRPr="007E65DF">
        <w:t xml:space="preserve"> during a complaints process, and fund advocacy services to support people navigating the complexities of aged care.</w:t>
      </w:r>
      <w:r w:rsidR="00A734AC" w:rsidRPr="007E65DF">
        <w:rPr>
          <w:rStyle w:val="EndnoteReference"/>
        </w:rPr>
        <w:endnoteReference w:id="5"/>
      </w:r>
      <w:r w:rsidR="00A734AC" w:rsidRPr="007E65DF">
        <w:t xml:space="preserve"> </w:t>
      </w:r>
      <w:r w:rsidR="00FC4AAE" w:rsidRPr="007E65DF">
        <w:t xml:space="preserve">The Royal Commission recommended </w:t>
      </w:r>
      <w:r w:rsidR="00777856">
        <w:t>“</w:t>
      </w:r>
      <w:r w:rsidR="00FC4AAE" w:rsidRPr="007E65DF">
        <w:t xml:space="preserve">an immediate funding increase </w:t>
      </w:r>
      <w:r w:rsidR="00B0365F">
        <w:t xml:space="preserve">to enable a minimum of </w:t>
      </w:r>
      <w:r w:rsidR="00FC4AAE" w:rsidRPr="007E65DF">
        <w:t xml:space="preserve">5% of </w:t>
      </w:r>
      <w:r w:rsidR="00B0365F">
        <w:t>older people to access advocacy services</w:t>
      </w:r>
      <w:r w:rsidR="00777856">
        <w:t>”</w:t>
      </w:r>
      <w:r w:rsidR="007E65DF" w:rsidRPr="007E65DF">
        <w:t>.</w:t>
      </w:r>
    </w:p>
    <w:p w14:paraId="1C941505" w14:textId="485AD7DF" w:rsidR="00DD22FF" w:rsidRPr="00813F73" w:rsidRDefault="00FC4AAE" w:rsidP="00343D9E">
      <w:r w:rsidRPr="00FC4AAE">
        <w:t xml:space="preserve">The Department of Health (the Department) has engaged Deloitte to </w:t>
      </w:r>
      <w:r w:rsidR="00E0706C">
        <w:t xml:space="preserve">consider </w:t>
      </w:r>
      <w:r w:rsidR="007E65DF">
        <w:t>the</w:t>
      </w:r>
      <w:r w:rsidRPr="00FC4AAE">
        <w:t xml:space="preserve"> current and future demand for NACAP advocacy services, and the provision of these services.</w:t>
      </w:r>
    </w:p>
    <w:p w14:paraId="59138C0B" w14:textId="601864CB" w:rsidR="00426B45" w:rsidRDefault="00E8047E" w:rsidP="00E8047E">
      <w:r>
        <w:t xml:space="preserve">A mixed methods approach </w:t>
      </w:r>
      <w:r w:rsidR="00BD69CC">
        <w:t xml:space="preserve">has been </w:t>
      </w:r>
      <w:r>
        <w:t xml:space="preserve">used to undertake the demand study of the NACAP. This involved a combination of qualitative </w:t>
      </w:r>
      <w:r w:rsidR="00803C05">
        <w:t>consultation</w:t>
      </w:r>
      <w:r w:rsidR="00852E8D">
        <w:t xml:space="preserve">, </w:t>
      </w:r>
      <w:r w:rsidR="00803C05">
        <w:t>desktop research</w:t>
      </w:r>
      <w:r w:rsidR="00852E8D">
        <w:t xml:space="preserve">, </w:t>
      </w:r>
      <w:r>
        <w:t xml:space="preserve">and quantitative </w:t>
      </w:r>
      <w:r w:rsidR="00803C05">
        <w:t>modelling</w:t>
      </w:r>
      <w:r>
        <w:t xml:space="preserve"> to understand the </w:t>
      </w:r>
      <w:r w:rsidR="00F438C3">
        <w:t>current</w:t>
      </w:r>
      <w:r>
        <w:t xml:space="preserve"> and </w:t>
      </w:r>
      <w:r w:rsidR="00F438C3">
        <w:t>future</w:t>
      </w:r>
      <w:r>
        <w:t xml:space="preserve"> demand </w:t>
      </w:r>
      <w:r w:rsidR="00F438C3">
        <w:t>for NACAP services</w:t>
      </w:r>
      <w:r>
        <w:t xml:space="preserve">, and the </w:t>
      </w:r>
      <w:r w:rsidR="00F438C3">
        <w:t>supply of these services.</w:t>
      </w:r>
    </w:p>
    <w:p w14:paraId="7C35CB5D" w14:textId="28FEB5C1" w:rsidR="00F92805" w:rsidRPr="00343D9E" w:rsidRDefault="00E81428" w:rsidP="00F07A17">
      <w:pPr>
        <w:pStyle w:val="Heading2un-numbered"/>
      </w:pPr>
      <w:bookmarkStart w:id="47" w:name="_Toc99437490"/>
      <w:r w:rsidRPr="00343D9E">
        <w:t xml:space="preserve">Current </w:t>
      </w:r>
      <w:r w:rsidR="00F30CE3">
        <w:t>demand for NACAP</w:t>
      </w:r>
      <w:bookmarkEnd w:id="47"/>
      <w:r w:rsidR="00F30CE3">
        <w:t xml:space="preserve"> </w:t>
      </w:r>
    </w:p>
    <w:p w14:paraId="256A49DF" w14:textId="657737F4" w:rsidR="00F07A17" w:rsidRDefault="00DC25D6" w:rsidP="00DC25D6">
      <w:r>
        <w:t>Key findings from the analysis of current demand included:</w:t>
      </w:r>
    </w:p>
    <w:p w14:paraId="7CEF0949" w14:textId="22DFB755" w:rsidR="00581D94" w:rsidRDefault="00855B97" w:rsidP="00F178E7">
      <w:pPr>
        <w:pStyle w:val="ListParagraph"/>
        <w:numPr>
          <w:ilvl w:val="0"/>
          <w:numId w:val="45"/>
        </w:numPr>
      </w:pPr>
      <w:r>
        <w:t>Several barriers to accessing NACAP exist</w:t>
      </w:r>
    </w:p>
    <w:p w14:paraId="0A7120E2" w14:textId="21D05099" w:rsidR="003F3E60" w:rsidRDefault="003F3E60" w:rsidP="00301559">
      <w:pPr>
        <w:pStyle w:val="ListParagraph"/>
        <w:numPr>
          <w:ilvl w:val="1"/>
          <w:numId w:val="45"/>
        </w:numPr>
      </w:pPr>
      <w:r>
        <w:t>Approximately one-third of all NACAP information services are accessed by those outside of residential or community care</w:t>
      </w:r>
    </w:p>
    <w:p w14:paraId="5B1783B8" w14:textId="70E5700B" w:rsidR="00855B97" w:rsidRDefault="001B0583" w:rsidP="00F178E7">
      <w:pPr>
        <w:pStyle w:val="ListParagraph"/>
        <w:numPr>
          <w:ilvl w:val="0"/>
          <w:numId w:val="45"/>
        </w:numPr>
      </w:pPr>
      <w:r>
        <w:t xml:space="preserve">Of those who access NACAP, residential aged care recipients </w:t>
      </w:r>
      <w:r w:rsidR="002267DA">
        <w:t>have scope for higher usage of</w:t>
      </w:r>
      <w:r>
        <w:t xml:space="preserve"> advocacy services, compared to those who access it in the community</w:t>
      </w:r>
    </w:p>
    <w:p w14:paraId="396B2467" w14:textId="6CD246A4" w:rsidR="001B0583" w:rsidRDefault="00894190" w:rsidP="00F178E7">
      <w:pPr>
        <w:pStyle w:val="ListParagraph"/>
        <w:numPr>
          <w:ilvl w:val="0"/>
          <w:numId w:val="45"/>
        </w:numPr>
      </w:pPr>
      <w:r>
        <w:t>People living with dementia and experiencing elder abuse are low users of the service</w:t>
      </w:r>
      <w:r w:rsidR="00913768">
        <w:t>.</w:t>
      </w:r>
    </w:p>
    <w:p w14:paraId="47B138AF" w14:textId="107F3826" w:rsidR="00581D94" w:rsidRPr="00062570" w:rsidRDefault="00062570" w:rsidP="00693362">
      <w:pPr>
        <w:pStyle w:val="Heading3un-numbered"/>
      </w:pPr>
      <w:r w:rsidRPr="00062570">
        <w:t>Barriers to accessing NACAP</w:t>
      </w:r>
    </w:p>
    <w:p w14:paraId="23BAB2A9" w14:textId="062799B4" w:rsidR="003F1026" w:rsidRDefault="00E81428">
      <w:r>
        <w:t xml:space="preserve">In </w:t>
      </w:r>
      <w:r w:rsidRPr="009E5286">
        <w:t>2020/21</w:t>
      </w:r>
      <w:r w:rsidRPr="00E81428">
        <w:t xml:space="preserve"> OPAN and its SDO</w:t>
      </w:r>
      <w:r>
        <w:t>s</w:t>
      </w:r>
      <w:r w:rsidRPr="00E81428">
        <w:t xml:space="preserve"> delivered services to 1.9% of Australians</w:t>
      </w:r>
      <w:r w:rsidR="008230F8">
        <w:t xml:space="preserve"> </w:t>
      </w:r>
      <w:r w:rsidRPr="00E81428">
        <w:t>receiving aged care services</w:t>
      </w:r>
      <w:r w:rsidR="008531E4">
        <w:t>.</w:t>
      </w:r>
      <w:r w:rsidR="00625624">
        <w:t xml:space="preserve"> </w:t>
      </w:r>
      <w:r>
        <w:t>11,849 cases of information,</w:t>
      </w:r>
      <w:r w:rsidRPr="009E5286">
        <w:t xml:space="preserve"> </w:t>
      </w:r>
      <w:r w:rsidRPr="00F74E91">
        <w:t>8,826 cases of advocacy</w:t>
      </w:r>
      <w:r>
        <w:t xml:space="preserve">, and 1,310 sessions of education </w:t>
      </w:r>
      <w:r w:rsidRPr="009E5286">
        <w:t>were delivered</w:t>
      </w:r>
      <w:r w:rsidR="00625624">
        <w:t>.</w:t>
      </w:r>
      <w:r w:rsidR="001267D6">
        <w:t xml:space="preserve"> </w:t>
      </w:r>
      <w:r w:rsidR="00060975">
        <w:t xml:space="preserve">The three SDOs </w:t>
      </w:r>
      <w:r w:rsidR="001267D6">
        <w:t>in</w:t>
      </w:r>
      <w:r w:rsidR="001267D6" w:rsidRPr="001267D6">
        <w:t xml:space="preserve"> </w:t>
      </w:r>
      <w:r w:rsidR="001267D6" w:rsidRPr="001267D6">
        <w:lastRenderedPageBreak/>
        <w:t>NSW, SA</w:t>
      </w:r>
      <w:r w:rsidR="001267D6">
        <w:t xml:space="preserve"> </w:t>
      </w:r>
      <w:r w:rsidR="001267D6" w:rsidRPr="001267D6">
        <w:t>and Q</w:t>
      </w:r>
      <w:r w:rsidR="001107AF">
        <w:t>ueensland</w:t>
      </w:r>
      <w:r w:rsidR="001267D6" w:rsidRPr="001267D6">
        <w:t xml:space="preserve"> delivered the most advocacy</w:t>
      </w:r>
      <w:r w:rsidR="00BD7F14">
        <w:t xml:space="preserve"> </w:t>
      </w:r>
      <w:r w:rsidR="001267D6">
        <w:t>and information</w:t>
      </w:r>
      <w:r w:rsidR="001267D6" w:rsidRPr="001267D6">
        <w:t xml:space="preserve"> sessions</w:t>
      </w:r>
      <w:r w:rsidR="00BD7F14">
        <w:t>,</w:t>
      </w:r>
      <w:r w:rsidR="006F376A">
        <w:t xml:space="preserve"> </w:t>
      </w:r>
      <w:r w:rsidR="00060975">
        <w:t>providing</w:t>
      </w:r>
      <w:r w:rsidR="00BD7F14">
        <w:t xml:space="preserve"> 55% </w:t>
      </w:r>
      <w:r w:rsidR="00060975">
        <w:t>of advocacy and 66% of information services nationally</w:t>
      </w:r>
      <w:r w:rsidR="001267D6" w:rsidRPr="001267D6">
        <w:t>.</w:t>
      </w:r>
      <w:r w:rsidR="0055016A">
        <w:t xml:space="preserve"> </w:t>
      </w:r>
    </w:p>
    <w:p w14:paraId="2D6164B0" w14:textId="116A19C2" w:rsidR="002C5ADD" w:rsidRDefault="002C5ADD" w:rsidP="00D04181">
      <w:r>
        <w:t>Key barriers in accessing NACAP that were identified in consultations included:</w:t>
      </w:r>
    </w:p>
    <w:p w14:paraId="35B92678" w14:textId="148D69B8" w:rsidR="00D04181" w:rsidRPr="00B0365F" w:rsidRDefault="002C5ADD" w:rsidP="00F178E7">
      <w:pPr>
        <w:pStyle w:val="ListParagraph"/>
        <w:numPr>
          <w:ilvl w:val="0"/>
          <w:numId w:val="46"/>
        </w:numPr>
      </w:pPr>
      <w:r>
        <w:t xml:space="preserve">A lack of awareness of </w:t>
      </w:r>
      <w:r w:rsidR="004F467F">
        <w:t xml:space="preserve">both </w:t>
      </w:r>
      <w:r w:rsidR="00D04181">
        <w:t>what advocacy means,</w:t>
      </w:r>
      <w:r w:rsidR="008B0654">
        <w:t xml:space="preserve"> and</w:t>
      </w:r>
      <w:r w:rsidR="00D04181">
        <w:t xml:space="preserve"> of NACAP and the support it can provide</w:t>
      </w:r>
      <w:r w:rsidR="004945EF">
        <w:t>, both of which affect</w:t>
      </w:r>
      <w:r w:rsidR="003D60B0">
        <w:t xml:space="preserve"> </w:t>
      </w:r>
      <w:r w:rsidR="00D04181">
        <w:t>whether, and how, older people engage with the program</w:t>
      </w:r>
    </w:p>
    <w:p w14:paraId="28C4FEDF" w14:textId="7914AA39" w:rsidR="00AF4289" w:rsidRDefault="002C5ADD" w:rsidP="00F178E7">
      <w:pPr>
        <w:pStyle w:val="ListParagraph"/>
        <w:numPr>
          <w:ilvl w:val="0"/>
          <w:numId w:val="41"/>
        </w:numPr>
      </w:pPr>
      <w:r>
        <w:t xml:space="preserve">Individuals not wanting </w:t>
      </w:r>
      <w:r w:rsidR="004F7BEC">
        <w:t>to “</w:t>
      </w:r>
      <w:r w:rsidR="009B5A02">
        <w:t>mak</w:t>
      </w:r>
      <w:r w:rsidR="009A06B9">
        <w:t>e</w:t>
      </w:r>
      <w:r w:rsidR="009B5A02">
        <w:t xml:space="preserve"> a fuss”</w:t>
      </w:r>
      <w:r w:rsidR="008B1F95">
        <w:t xml:space="preserve"> or being seen to complain, </w:t>
      </w:r>
      <w:r w:rsidR="003D60B0">
        <w:t>due to a concern that this</w:t>
      </w:r>
      <w:r w:rsidR="008B1F95">
        <w:t xml:space="preserve"> could </w:t>
      </w:r>
      <w:r w:rsidR="005B7A00">
        <w:t>negatively affect</w:t>
      </w:r>
      <w:r w:rsidR="008B1F95">
        <w:t xml:space="preserve"> the care they receive</w:t>
      </w:r>
    </w:p>
    <w:p w14:paraId="1C2F8741" w14:textId="7B890DD1" w:rsidR="00E96FBD" w:rsidRDefault="00B0017B" w:rsidP="00E96FBD">
      <w:pPr>
        <w:pStyle w:val="ListParagraph"/>
        <w:numPr>
          <w:ilvl w:val="0"/>
          <w:numId w:val="41"/>
        </w:numPr>
      </w:pPr>
      <w:r>
        <w:t>Reliance on repre</w:t>
      </w:r>
      <w:r w:rsidR="00630ECC">
        <w:t>s</w:t>
      </w:r>
      <w:r w:rsidR="00E96FBD">
        <w:t>entatives to seek advocacy</w:t>
      </w:r>
    </w:p>
    <w:p w14:paraId="51536F1C" w14:textId="792D455B" w:rsidR="00681A82" w:rsidRPr="00B0365F" w:rsidRDefault="006A2D03" w:rsidP="00F178E7">
      <w:pPr>
        <w:pStyle w:val="ListParagraph"/>
        <w:numPr>
          <w:ilvl w:val="0"/>
          <w:numId w:val="41"/>
        </w:numPr>
      </w:pPr>
      <w:r>
        <w:t xml:space="preserve">Informal carers </w:t>
      </w:r>
      <w:r w:rsidR="00070605">
        <w:t xml:space="preserve">(unpaid caregivers such as family members) </w:t>
      </w:r>
      <w:r>
        <w:t>who are also p</w:t>
      </w:r>
      <w:r w:rsidR="00C252DC">
        <w:t>erpetrator</w:t>
      </w:r>
      <w:r>
        <w:t>s</w:t>
      </w:r>
      <w:r w:rsidR="00C252DC">
        <w:t xml:space="preserve"> of elder abuse</w:t>
      </w:r>
      <w:r w:rsidR="002C63E9">
        <w:t>, which</w:t>
      </w:r>
      <w:r w:rsidR="00C252DC">
        <w:t xml:space="preserve"> </w:t>
      </w:r>
      <w:r>
        <w:t xml:space="preserve">may </w:t>
      </w:r>
      <w:r w:rsidR="001E412C">
        <w:t>create barrier</w:t>
      </w:r>
      <w:r>
        <w:t>s</w:t>
      </w:r>
      <w:r w:rsidR="001E412C">
        <w:t xml:space="preserve"> for older people seeking NACAP assistance</w:t>
      </w:r>
    </w:p>
    <w:p w14:paraId="70E5521D" w14:textId="28EF00FF" w:rsidR="0005100D" w:rsidRPr="00B0365F" w:rsidRDefault="00BC4644" w:rsidP="00F178E7">
      <w:pPr>
        <w:pStyle w:val="ListParagraph"/>
        <w:numPr>
          <w:ilvl w:val="0"/>
          <w:numId w:val="41"/>
        </w:numPr>
      </w:pPr>
      <w:r>
        <w:t xml:space="preserve">Lack of </w:t>
      </w:r>
      <w:r w:rsidR="00224288">
        <w:t xml:space="preserve">trained staff in </w:t>
      </w:r>
      <w:r w:rsidR="00F44D4B">
        <w:t xml:space="preserve">understanding and </w:t>
      </w:r>
      <w:r w:rsidR="00224288">
        <w:t xml:space="preserve">delivering advocacy support that is </w:t>
      </w:r>
      <w:r w:rsidR="00F44D4B">
        <w:t>appropriate for</w:t>
      </w:r>
      <w:r w:rsidR="00224288">
        <w:t xml:space="preserve"> </w:t>
      </w:r>
      <w:r w:rsidR="003D1CB6">
        <w:t xml:space="preserve">the special </w:t>
      </w:r>
      <w:proofErr w:type="gramStart"/>
      <w:r w:rsidR="003D1CB6">
        <w:t>needs</w:t>
      </w:r>
      <w:proofErr w:type="gramEnd"/>
      <w:r w:rsidR="003D1CB6">
        <w:t xml:space="preserve"> group</w:t>
      </w:r>
      <w:r w:rsidR="00F44D4B">
        <w:t>s</w:t>
      </w:r>
      <w:r w:rsidR="002852C8">
        <w:t xml:space="preserve"> (as defined in Section </w:t>
      </w:r>
      <w:r w:rsidR="002852C8">
        <w:fldChar w:fldCharType="begin"/>
      </w:r>
      <w:r w:rsidR="002852C8">
        <w:instrText xml:space="preserve"> REF _Ref89085189 \r \h  \* MERGEFORMAT </w:instrText>
      </w:r>
      <w:r w:rsidR="002852C8">
        <w:fldChar w:fldCharType="separate"/>
      </w:r>
      <w:r w:rsidR="00DC6A20">
        <w:t>1.1.1</w:t>
      </w:r>
      <w:r w:rsidR="002852C8">
        <w:fldChar w:fldCharType="end"/>
      </w:r>
      <w:r w:rsidR="002852C8">
        <w:t>)</w:t>
      </w:r>
      <w:r w:rsidR="00690B3A">
        <w:t>.</w:t>
      </w:r>
    </w:p>
    <w:p w14:paraId="43A81061" w14:textId="58CABDDA" w:rsidR="002E038A" w:rsidRPr="00DC25D6" w:rsidRDefault="002E038A" w:rsidP="00693362">
      <w:pPr>
        <w:pStyle w:val="Heading3un-numbered"/>
      </w:pPr>
      <w:r w:rsidRPr="00DC25D6">
        <w:t xml:space="preserve">Residential aged care recipients </w:t>
      </w:r>
      <w:r w:rsidR="002267DA">
        <w:t xml:space="preserve">have scope for greater usage of </w:t>
      </w:r>
      <w:r w:rsidRPr="00DC25D6">
        <w:t>advocacy</w:t>
      </w:r>
    </w:p>
    <w:p w14:paraId="05A7B2E8" w14:textId="25E6FEB0" w:rsidR="003E2F07" w:rsidRDefault="001B5E28" w:rsidP="000705E7">
      <w:r>
        <w:t xml:space="preserve">Demand has been presented in </w:t>
      </w:r>
      <w:r>
        <w:rPr>
          <w:b/>
          <w:bCs/>
        </w:rPr>
        <w:t xml:space="preserve">usage rate </w:t>
      </w:r>
      <w:r>
        <w:t>terms, which represents the number of users of a service as a proportion</w:t>
      </w:r>
      <w:r w:rsidR="00C34FD5">
        <w:t xml:space="preserve"> of the total population </w:t>
      </w:r>
      <w:r w:rsidR="00107BFA">
        <w:t>in that cohort that is eligible for the services</w:t>
      </w:r>
      <w:r w:rsidR="006900BE">
        <w:t xml:space="preserve">, by user characteristics. </w:t>
      </w:r>
      <w:r w:rsidR="00CE0533">
        <w:t xml:space="preserve">Stratifying </w:t>
      </w:r>
      <w:r w:rsidR="00D04181">
        <w:t xml:space="preserve">the usage of </w:t>
      </w:r>
      <w:r w:rsidR="00CE0533">
        <w:t>NACAP services recipient by care type</w:t>
      </w:r>
      <w:r w:rsidR="00F54706">
        <w:t xml:space="preserve">, </w:t>
      </w:r>
      <w:r w:rsidR="00702082">
        <w:t>(</w:t>
      </w:r>
      <w:r w:rsidR="00F54706">
        <w:t>i.e.</w:t>
      </w:r>
      <w:r w:rsidR="00A85712">
        <w:t>,</w:t>
      </w:r>
      <w:r w:rsidR="00F54706">
        <w:t xml:space="preserve"> residential aged care, community care, and other</w:t>
      </w:r>
      <w:r w:rsidR="00702082">
        <w:t>)</w:t>
      </w:r>
      <w:r w:rsidR="00F54706">
        <w:t xml:space="preserve"> f</w:t>
      </w:r>
      <w:r w:rsidR="003E2F07">
        <w:t>ound</w:t>
      </w:r>
      <w:r w:rsidR="00F54706">
        <w:t xml:space="preserve"> that r</w:t>
      </w:r>
      <w:r w:rsidR="00FA7CD8" w:rsidRPr="00FA7CD8">
        <w:t xml:space="preserve">esidential aged care recipients </w:t>
      </w:r>
      <w:r w:rsidR="002267DA">
        <w:t>have scope for greater usage of</w:t>
      </w:r>
      <w:r w:rsidR="00FA7CD8" w:rsidRPr="00FA7CD8">
        <w:t xml:space="preserve"> advocacy (compared to community care) based on the current allocation.</w:t>
      </w:r>
      <w:r w:rsidR="00FA7CD8">
        <w:t xml:space="preserve"> </w:t>
      </w:r>
      <w:r w:rsidR="00FF6CAC">
        <w:t>P</w:t>
      </w:r>
      <w:r w:rsidR="00A81E99" w:rsidRPr="00A81E99">
        <w:t>rovision of advocacy is higher in community care relative to residential aged care</w:t>
      </w:r>
      <w:r w:rsidR="00796F66">
        <w:t xml:space="preserve"> (</w:t>
      </w:r>
      <w:r w:rsidR="005A49DF">
        <w:fldChar w:fldCharType="begin"/>
      </w:r>
      <w:r w:rsidR="005A49DF">
        <w:instrText xml:space="preserve"> REF _Ref95763527 \n \h </w:instrText>
      </w:r>
      <w:r w:rsidR="005A49DF">
        <w:fldChar w:fldCharType="separate"/>
      </w:r>
      <w:r w:rsidR="00DC6A20">
        <w:t xml:space="preserve">Chart </w:t>
      </w:r>
      <w:proofErr w:type="spellStart"/>
      <w:r w:rsidR="00DC6A20">
        <w:t>i</w:t>
      </w:r>
      <w:proofErr w:type="spellEnd"/>
      <w:r w:rsidR="005A49DF">
        <w:fldChar w:fldCharType="end"/>
      </w:r>
      <w:r w:rsidR="00796F66">
        <w:t>)</w:t>
      </w:r>
      <w:r w:rsidR="00FF6CAC">
        <w:t>.</w:t>
      </w:r>
      <w:bookmarkStart w:id="48" w:name="_Toc94776578"/>
    </w:p>
    <w:p w14:paraId="5C22DBD5" w14:textId="7C22AB66" w:rsidR="00FA7CD8" w:rsidRDefault="002D41D9" w:rsidP="002D41D9">
      <w:pPr>
        <w:pStyle w:val="ExecChartCaption"/>
      </w:pPr>
      <w:bookmarkStart w:id="49" w:name="_Ref95763527"/>
      <w:bookmarkStart w:id="50" w:name="_Toc99117029"/>
      <w:r>
        <w:t xml:space="preserve">: </w:t>
      </w:r>
      <w:r w:rsidR="00FA7CD8">
        <w:t>Advocacy usage (2020/21) in residential aged care and community care</w:t>
      </w:r>
      <w:r w:rsidR="00F04379">
        <w:t>,</w:t>
      </w:r>
      <w:r w:rsidR="00FA7CD8">
        <w:t xml:space="preserve"> by age</w:t>
      </w:r>
      <w:bookmarkEnd w:id="48"/>
      <w:r w:rsidR="000705E7">
        <w:t>.</w:t>
      </w:r>
      <w:bookmarkEnd w:id="49"/>
      <w:bookmarkEnd w:id="50"/>
    </w:p>
    <w:p w14:paraId="4A87F084" w14:textId="56E1FB60" w:rsidR="00FA7CD8" w:rsidRDefault="00D6301E" w:rsidP="00FA7CD8">
      <w:r>
        <w:rPr>
          <w:noProof/>
        </w:rPr>
        <w:drawing>
          <wp:anchor distT="0" distB="0" distL="114300" distR="114300" simplePos="0" relativeHeight="251658249" behindDoc="0" locked="0" layoutInCell="1" allowOverlap="1" wp14:anchorId="275D0DEA" wp14:editId="58A4C11C">
            <wp:simplePos x="0" y="0"/>
            <wp:positionH relativeFrom="margin">
              <wp:align>right</wp:align>
            </wp:positionH>
            <wp:positionV relativeFrom="paragraph">
              <wp:posOffset>7316</wp:posOffset>
            </wp:positionV>
            <wp:extent cx="2880000" cy="2512613"/>
            <wp:effectExtent l="0" t="0" r="0" b="2540"/>
            <wp:wrapNone/>
            <wp:docPr id="28" name="Chart 28">
              <a:extLst xmlns:a="http://schemas.openxmlformats.org/drawingml/2006/main">
                <a:ext uri="{FF2B5EF4-FFF2-40B4-BE49-F238E27FC236}">
                  <a16:creationId xmlns:a16="http://schemas.microsoft.com/office/drawing/2014/main" id="{424B668C-392A-4E0F-AF84-93385A474A9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F04379">
        <w:rPr>
          <w:noProof/>
        </w:rPr>
        <w:drawing>
          <wp:inline distT="0" distB="0" distL="0" distR="0" wp14:anchorId="48F891E1" wp14:editId="56971103">
            <wp:extent cx="2880000" cy="2416672"/>
            <wp:effectExtent l="0" t="0" r="0" b="3175"/>
            <wp:docPr id="26" name="Chart 26" descr="Residential aged care use of advocacy services by age, shows ages between 55-74 female and 70-84 male largest percentages.">
              <a:extLst xmlns:a="http://schemas.openxmlformats.org/drawingml/2006/main">
                <a:ext uri="{FF2B5EF4-FFF2-40B4-BE49-F238E27FC236}">
                  <a16:creationId xmlns:a16="http://schemas.microsoft.com/office/drawing/2014/main" id="{134CB5EF-0C94-45AC-B85B-4DB9EBBF0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9C9C22" w14:textId="77777777" w:rsidR="000A3851" w:rsidRPr="00822B05" w:rsidRDefault="000A3851" w:rsidP="000A3851">
      <w:pPr>
        <w:rPr>
          <w:color w:val="595959" w:themeColor="text1" w:themeTint="A6"/>
          <w:szCs w:val="22"/>
        </w:rPr>
      </w:pPr>
      <w:r w:rsidRPr="00822B05">
        <w:rPr>
          <w:color w:val="595959" w:themeColor="text1" w:themeTint="A6"/>
          <w:szCs w:val="22"/>
        </w:rPr>
        <w:t>Source: OPAN unit record data; OPAN Progress Report 2020/21; modelling by Deloitte Access Economics</w:t>
      </w:r>
    </w:p>
    <w:p w14:paraId="4941F6C9" w14:textId="53CC8198" w:rsidR="00B60CE6" w:rsidRPr="00B60CE6" w:rsidRDefault="00B60CE6" w:rsidP="00693362">
      <w:pPr>
        <w:pStyle w:val="Heading3un-numbered"/>
      </w:pPr>
      <w:r w:rsidRPr="00B60CE6">
        <w:lastRenderedPageBreak/>
        <w:t>Those outside of residential aged care and community care received around one quarter of advocacy services and one third of information services</w:t>
      </w:r>
    </w:p>
    <w:p w14:paraId="1217FABA" w14:textId="64249D8B" w:rsidR="004E144D" w:rsidRDefault="000705E7" w:rsidP="000705E7">
      <w:r>
        <w:t xml:space="preserve">The usage rate of advocacy and information services is significantly lower in the population outside of residential aged care and community care. </w:t>
      </w:r>
      <w:r w:rsidR="00CF7732">
        <w:t>While t</w:t>
      </w:r>
      <w:r w:rsidRPr="00FA7CD8">
        <w:t>hose outside of residential or community care received around one</w:t>
      </w:r>
      <w:r w:rsidR="00EB5DF4">
        <w:t>-</w:t>
      </w:r>
      <w:r w:rsidRPr="00FA7CD8">
        <w:t>quarter of advocacy services and one</w:t>
      </w:r>
      <w:r w:rsidR="00EB5DF4">
        <w:t>-</w:t>
      </w:r>
      <w:r w:rsidRPr="00FA7CD8">
        <w:t>third of information services</w:t>
      </w:r>
      <w:r w:rsidR="00BB4D75">
        <w:t xml:space="preserve"> delivered</w:t>
      </w:r>
      <w:r w:rsidR="003069AA">
        <w:t xml:space="preserve"> in the NACAP</w:t>
      </w:r>
      <w:r w:rsidR="00CF7732">
        <w:t xml:space="preserve">, </w:t>
      </w:r>
      <w:r w:rsidR="00BA4E89">
        <w:t xml:space="preserve">this still represents only a small proportion of </w:t>
      </w:r>
      <w:r w:rsidR="00CF7732">
        <w:t xml:space="preserve">the </w:t>
      </w:r>
      <w:r w:rsidR="00271911">
        <w:t>total</w:t>
      </w:r>
      <w:r w:rsidR="00CF7732">
        <w:t xml:space="preserve"> number of people in the population </w:t>
      </w:r>
      <w:r w:rsidR="0021263C">
        <w:t>who are not receiving formal care</w:t>
      </w:r>
      <w:r w:rsidRPr="00FA7CD8">
        <w:t>.</w:t>
      </w:r>
      <w:r w:rsidR="0021263C">
        <w:t xml:space="preserve"> </w:t>
      </w:r>
      <w:r w:rsidR="00BA4E89">
        <w:t xml:space="preserve">As there is a large population of people not receiving formal care, </w:t>
      </w:r>
      <w:r w:rsidR="00775D92">
        <w:t>this results in</w:t>
      </w:r>
      <w:r w:rsidR="00BD5532">
        <w:t xml:space="preserve"> a low usage rate </w:t>
      </w:r>
      <w:r w:rsidR="00F1351F">
        <w:t>for both information and advocacy</w:t>
      </w:r>
      <w:r w:rsidR="00775D92">
        <w:t xml:space="preserve"> for the cohort outside of formal care</w:t>
      </w:r>
      <w:r w:rsidR="00D1245A">
        <w:t xml:space="preserve">.  </w:t>
      </w:r>
    </w:p>
    <w:p w14:paraId="3EFB90B3" w14:textId="1B9C92D4" w:rsidR="00B60CE6" w:rsidRPr="00B60CE6" w:rsidRDefault="00B60CE6" w:rsidP="00693362">
      <w:pPr>
        <w:pStyle w:val="Heading3un-numbered"/>
      </w:pPr>
      <w:r w:rsidRPr="00B60CE6">
        <w:t>Those experiencing dementia and elder abuse are low users of the service</w:t>
      </w:r>
    </w:p>
    <w:p w14:paraId="722BAD1B" w14:textId="1B4CB698" w:rsidR="00B60CE6" w:rsidRDefault="00BA0BC3">
      <w:r>
        <w:t>Usage of a</w:t>
      </w:r>
      <w:r w:rsidRPr="00BA0BC3">
        <w:t xml:space="preserve">dvocacy </w:t>
      </w:r>
      <w:r>
        <w:t>service</w:t>
      </w:r>
      <w:r w:rsidRPr="00BA0BC3">
        <w:t xml:space="preserve"> was low among people with dementia and those experiencing elder abuse across residential aged care and community care.</w:t>
      </w:r>
    </w:p>
    <w:p w14:paraId="092186EB" w14:textId="67B6F3CD" w:rsidR="00BD3924" w:rsidRDefault="00BD3924" w:rsidP="00BD3924">
      <w:pPr>
        <w:pStyle w:val="ExecChartCaption"/>
      </w:pPr>
      <w:bookmarkStart w:id="51" w:name="_Toc99117030"/>
      <w:r>
        <w:t xml:space="preserve">: Advocacy </w:t>
      </w:r>
      <w:r w:rsidR="002D41D9">
        <w:t>usage among vulnerable populations</w:t>
      </w:r>
      <w:bookmarkEnd w:id="51"/>
    </w:p>
    <w:p w14:paraId="433B6B7B" w14:textId="60B99453" w:rsidR="00BF45E2" w:rsidRDefault="00BD3924">
      <w:r>
        <w:rPr>
          <w:noProof/>
        </w:rPr>
        <w:drawing>
          <wp:inline distT="0" distB="0" distL="0" distR="0" wp14:anchorId="4A7C0EAA" wp14:editId="09C1FFE5">
            <wp:extent cx="3473355" cy="2258060"/>
            <wp:effectExtent l="0" t="0" r="0" b="8890"/>
            <wp:docPr id="20" name="Chart 20" descr="Residential aged care and community care advocacy use is mostly among First Nations and cultural and linguistically diverse peoples.">
              <a:extLst xmlns:a="http://schemas.openxmlformats.org/drawingml/2006/main">
                <a:ext uri="{FF2B5EF4-FFF2-40B4-BE49-F238E27FC236}">
                  <a16:creationId xmlns:a16="http://schemas.microsoft.com/office/drawing/2014/main" id="{AEB7D549-DD3E-4921-9C67-364417665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E7CFD3" w14:textId="76FB8D49" w:rsidR="00A32E88" w:rsidRPr="000B6E33" w:rsidRDefault="00A32E88" w:rsidP="00A32E88">
      <w:pPr>
        <w:rPr>
          <w:szCs w:val="22"/>
        </w:rPr>
      </w:pPr>
      <w:r w:rsidRPr="00AA3FA9">
        <w:rPr>
          <w:color w:val="595959" w:themeColor="text1" w:themeTint="A6"/>
          <w:szCs w:val="22"/>
        </w:rPr>
        <w:t>Source: OPAN unit record data; OPAN Progress Report 2020/21; modelling by Deloitte Access Economics</w:t>
      </w:r>
      <w:r w:rsidR="00680732" w:rsidRPr="00AA3FA9">
        <w:rPr>
          <w:color w:val="595959" w:themeColor="text1" w:themeTint="A6"/>
          <w:szCs w:val="22"/>
        </w:rPr>
        <w:t>.</w:t>
      </w:r>
    </w:p>
    <w:p w14:paraId="6C210CF9" w14:textId="69059DB6" w:rsidR="00202332" w:rsidRDefault="00202332" w:rsidP="00202332">
      <w:pPr>
        <w:rPr>
          <w:bCs/>
        </w:rPr>
      </w:pPr>
      <w:r>
        <w:t xml:space="preserve">Consultations suggested that </w:t>
      </w:r>
      <w:r w:rsidR="00D84AB1" w:rsidRPr="005C6E41">
        <w:rPr>
          <w:bCs/>
          <w:lang w:val="en-GB"/>
        </w:rPr>
        <w:t>older</w:t>
      </w:r>
      <w:r w:rsidRPr="005C6E41">
        <w:rPr>
          <w:bCs/>
          <w:lang w:val="en-GB"/>
        </w:rPr>
        <w:t xml:space="preserve"> people with dementia</w:t>
      </w:r>
      <w:r>
        <w:rPr>
          <w:bCs/>
          <w:lang w:val="en-GB"/>
        </w:rPr>
        <w:t xml:space="preserve"> </w:t>
      </w:r>
      <w:r w:rsidR="00B87501">
        <w:rPr>
          <w:bCs/>
          <w:lang w:val="en-GB"/>
        </w:rPr>
        <w:t xml:space="preserve">often </w:t>
      </w:r>
      <w:r w:rsidRPr="005C6E41">
        <w:rPr>
          <w:bCs/>
          <w:lang w:val="en-GB"/>
        </w:rPr>
        <w:t>face barriers to seeking out advocacy for themselves, relying instead o</w:t>
      </w:r>
      <w:r>
        <w:rPr>
          <w:bCs/>
          <w:lang w:val="en-GB"/>
        </w:rPr>
        <w:t>n</w:t>
      </w:r>
      <w:r w:rsidRPr="005C6E41">
        <w:rPr>
          <w:bCs/>
          <w:lang w:val="en-GB"/>
        </w:rPr>
        <w:t xml:space="preserve"> carers</w:t>
      </w:r>
      <w:r w:rsidR="00745912">
        <w:rPr>
          <w:bCs/>
          <w:lang w:val="en-GB"/>
        </w:rPr>
        <w:t xml:space="preserve"> and representatives</w:t>
      </w:r>
      <w:r w:rsidRPr="005C6E41">
        <w:rPr>
          <w:bCs/>
          <w:lang w:val="en-GB"/>
        </w:rPr>
        <w:t xml:space="preserve"> to comprehend their requirements and find appropriate support. </w:t>
      </w:r>
      <w:r>
        <w:rPr>
          <w:bCs/>
          <w:lang w:val="en-GB"/>
        </w:rPr>
        <w:t xml:space="preserve">This places significant strain on the informal carer, who often is experiencing frailty and ageing themselves. </w:t>
      </w:r>
      <w:r>
        <w:rPr>
          <w:bCs/>
        </w:rPr>
        <w:t>In addition, o</w:t>
      </w:r>
      <w:r w:rsidRPr="005C6E41">
        <w:rPr>
          <w:bCs/>
        </w:rPr>
        <w:t xml:space="preserve">lder people with </w:t>
      </w:r>
      <w:r w:rsidR="00135901">
        <w:rPr>
          <w:bCs/>
        </w:rPr>
        <w:t>dementia</w:t>
      </w:r>
      <w:r w:rsidR="0072794E">
        <w:rPr>
          <w:bCs/>
        </w:rPr>
        <w:t xml:space="preserve"> </w:t>
      </w:r>
      <w:r w:rsidRPr="005C6E41">
        <w:rPr>
          <w:bCs/>
        </w:rPr>
        <w:t xml:space="preserve">who have no proper support network </w:t>
      </w:r>
      <w:r>
        <w:rPr>
          <w:bCs/>
        </w:rPr>
        <w:t>may face significant</w:t>
      </w:r>
      <w:r w:rsidRPr="005C6E41">
        <w:rPr>
          <w:bCs/>
        </w:rPr>
        <w:t xml:space="preserve"> barriers to access</w:t>
      </w:r>
      <w:r>
        <w:rPr>
          <w:bCs/>
        </w:rPr>
        <w:t>ing aged care services.</w:t>
      </w:r>
    </w:p>
    <w:p w14:paraId="4AFB9A9A" w14:textId="17804DAD" w:rsidR="00202332" w:rsidRDefault="00202332" w:rsidP="00202332">
      <w:pPr>
        <w:rPr>
          <w:bCs/>
        </w:rPr>
      </w:pPr>
      <w:r>
        <w:rPr>
          <w:bCs/>
        </w:rPr>
        <w:t>Many of these issues can be exacerbated by intersectional challenges.</w:t>
      </w:r>
      <w:r w:rsidRPr="005C6E41">
        <w:rPr>
          <w:bCs/>
        </w:rPr>
        <w:t xml:space="preserve"> Intersectionality</w:t>
      </w:r>
      <w:r w:rsidR="00751DDE">
        <w:rPr>
          <w:bCs/>
        </w:rPr>
        <w:t xml:space="preserve"> </w:t>
      </w:r>
      <w:r w:rsidR="00702775">
        <w:rPr>
          <w:szCs w:val="17"/>
          <w:lang w:val="en-US"/>
        </w:rPr>
        <w:t>r</w:t>
      </w:r>
      <w:r w:rsidR="008B2A2C" w:rsidRPr="00D708E0">
        <w:rPr>
          <w:szCs w:val="17"/>
          <w:lang w:val="en-US"/>
        </w:rPr>
        <w:t xml:space="preserve">efers to the </w:t>
      </w:r>
      <w:r w:rsidR="008B2A2C" w:rsidRPr="00672574">
        <w:rPr>
          <w:szCs w:val="17"/>
          <w:lang w:val="en-US"/>
        </w:rPr>
        <w:t xml:space="preserve">way in which different aspects of a person’s identity </w:t>
      </w:r>
      <w:r w:rsidR="008B2A2C" w:rsidRPr="00E00166">
        <w:rPr>
          <w:szCs w:val="17"/>
          <w:lang w:val="en-US"/>
        </w:rPr>
        <w:t xml:space="preserve">(such as race, gender, class, disability, sexuality and more) </w:t>
      </w:r>
      <w:r w:rsidR="008B2A2C" w:rsidRPr="005E1949">
        <w:rPr>
          <w:szCs w:val="17"/>
          <w:lang w:val="en-US"/>
        </w:rPr>
        <w:t xml:space="preserve">interact to produce </w:t>
      </w:r>
      <w:r w:rsidR="008B2A2C" w:rsidRPr="003B29D2">
        <w:rPr>
          <w:szCs w:val="17"/>
          <w:lang w:val="en-US"/>
        </w:rPr>
        <w:t xml:space="preserve">overlapping </w:t>
      </w:r>
      <w:r w:rsidR="008B2A2C" w:rsidRPr="00DB6405">
        <w:rPr>
          <w:szCs w:val="17"/>
          <w:lang w:val="en-US"/>
        </w:rPr>
        <w:t>form</w:t>
      </w:r>
      <w:r w:rsidR="008B2A2C" w:rsidRPr="007345C8">
        <w:rPr>
          <w:szCs w:val="17"/>
          <w:lang w:val="en-US"/>
        </w:rPr>
        <w:t>s o</w:t>
      </w:r>
      <w:r w:rsidR="008B2A2C" w:rsidRPr="002E602D">
        <w:rPr>
          <w:szCs w:val="17"/>
          <w:lang w:val="en-US"/>
        </w:rPr>
        <w:t>f</w:t>
      </w:r>
      <w:r w:rsidR="008B2A2C" w:rsidRPr="004267E6">
        <w:rPr>
          <w:szCs w:val="17"/>
          <w:lang w:val="en-US"/>
        </w:rPr>
        <w:t xml:space="preserve"> discrimination or disadvantage</w:t>
      </w:r>
      <w:r w:rsidR="009F403A">
        <w:rPr>
          <w:szCs w:val="17"/>
          <w:lang w:val="en-US"/>
        </w:rPr>
        <w:t xml:space="preserve">. Intersectionality </w:t>
      </w:r>
      <w:r w:rsidRPr="005C6E41">
        <w:rPr>
          <w:bCs/>
        </w:rPr>
        <w:t xml:space="preserve">between critical cohorts with </w:t>
      </w:r>
      <w:r>
        <w:rPr>
          <w:bCs/>
        </w:rPr>
        <w:t xml:space="preserve">disability, </w:t>
      </w:r>
      <w:r w:rsidR="009F403A">
        <w:rPr>
          <w:bCs/>
        </w:rPr>
        <w:t>dementia</w:t>
      </w:r>
      <w:r w:rsidRPr="005C6E41">
        <w:rPr>
          <w:bCs/>
        </w:rPr>
        <w:t>, language barriers, experiences of elder abuse, presen</w:t>
      </w:r>
      <w:r>
        <w:rPr>
          <w:bCs/>
        </w:rPr>
        <w:t>t</w:t>
      </w:r>
      <w:r w:rsidRPr="005C6E41">
        <w:rPr>
          <w:bCs/>
        </w:rPr>
        <w:t xml:space="preserve"> some of the greatest needs for advocacy.</w:t>
      </w:r>
    </w:p>
    <w:p w14:paraId="587147FC" w14:textId="6558A274" w:rsidR="00815B04" w:rsidRDefault="00DF3E4E" w:rsidP="00815B04">
      <w:pPr>
        <w:pStyle w:val="Heading2un-numbered"/>
      </w:pPr>
      <w:bookmarkStart w:id="52" w:name="_Toc99437491"/>
      <w:r w:rsidRPr="00343D9E">
        <w:lastRenderedPageBreak/>
        <w:t>Future demand</w:t>
      </w:r>
      <w:r w:rsidR="00815B04">
        <w:t xml:space="preserve"> for NACAP</w:t>
      </w:r>
      <w:bookmarkEnd w:id="52"/>
    </w:p>
    <w:p w14:paraId="3933E6B5" w14:textId="72807051" w:rsidR="00A622A4" w:rsidRDefault="00A622A4" w:rsidP="00A622A4">
      <w:r>
        <w:t xml:space="preserve">Key findings from the analysis of future </w:t>
      </w:r>
      <w:r w:rsidR="00A42721">
        <w:t xml:space="preserve">demand </w:t>
      </w:r>
      <w:r>
        <w:t>included:</w:t>
      </w:r>
    </w:p>
    <w:p w14:paraId="65FC44D9" w14:textId="06702D94" w:rsidR="00A622A4" w:rsidRDefault="00A622A4" w:rsidP="00F178E7">
      <w:pPr>
        <w:pStyle w:val="ListParagraph"/>
        <w:numPr>
          <w:ilvl w:val="0"/>
          <w:numId w:val="47"/>
        </w:numPr>
      </w:pPr>
      <w:r>
        <w:t>Several factors</w:t>
      </w:r>
      <w:r w:rsidR="00B03CB1">
        <w:t xml:space="preserve"> will influence the future demand for NACAP, including generational changes, demographic trends, government policy, </w:t>
      </w:r>
      <w:r w:rsidR="008E3140">
        <w:t>growing complexity of care needs and an increase in the supply of aged care services</w:t>
      </w:r>
      <w:r w:rsidR="0008450F">
        <w:t>.</w:t>
      </w:r>
    </w:p>
    <w:p w14:paraId="2B467588" w14:textId="2DAF2284" w:rsidR="00C50E7D" w:rsidRDefault="008E3140" w:rsidP="00F178E7">
      <w:pPr>
        <w:pStyle w:val="ListParagraph"/>
        <w:numPr>
          <w:ilvl w:val="0"/>
          <w:numId w:val="47"/>
        </w:numPr>
      </w:pPr>
      <w:r>
        <w:t xml:space="preserve">The expanded </w:t>
      </w:r>
      <w:r w:rsidR="00C50E7D">
        <w:t xml:space="preserve">NACAP funding boosts </w:t>
      </w:r>
      <w:r w:rsidR="0008450F">
        <w:t xml:space="preserve">– </w:t>
      </w:r>
      <w:r w:rsidR="00E61076">
        <w:t>scheduled to</w:t>
      </w:r>
      <w:r w:rsidR="00754443">
        <w:t xml:space="preserve"> increase program funding </w:t>
      </w:r>
      <w:r w:rsidR="00FE00D4">
        <w:t xml:space="preserve">from </w:t>
      </w:r>
      <w:r w:rsidR="00E65180">
        <w:t xml:space="preserve">$12.9 million in 2021/22 to $41.4 million in 2024/25 – </w:t>
      </w:r>
      <w:r w:rsidR="00C50E7D">
        <w:t xml:space="preserve">will alleviate </w:t>
      </w:r>
      <w:r w:rsidR="00A25F6D">
        <w:t xml:space="preserve">some </w:t>
      </w:r>
      <w:r w:rsidR="00C50E7D">
        <w:t>unmet demand for services in the short term</w:t>
      </w:r>
      <w:r w:rsidR="0008450F">
        <w:t>.</w:t>
      </w:r>
      <w:r w:rsidR="00745EAF">
        <w:t xml:space="preserve"> </w:t>
      </w:r>
      <w:r w:rsidR="0008450F">
        <w:t>H</w:t>
      </w:r>
      <w:r w:rsidR="00A25F6D">
        <w:t>owever, the gap in unmet demand will continue to grow over the longer term</w:t>
      </w:r>
      <w:r w:rsidR="0008450F">
        <w:t>.</w:t>
      </w:r>
    </w:p>
    <w:p w14:paraId="5AA2D033" w14:textId="2ABE32A2" w:rsidR="00DD154C" w:rsidRDefault="00DD154C" w:rsidP="00F178E7">
      <w:pPr>
        <w:pStyle w:val="ListParagraph"/>
        <w:numPr>
          <w:ilvl w:val="0"/>
          <w:numId w:val="47"/>
        </w:numPr>
      </w:pPr>
      <w:r>
        <w:t xml:space="preserve">Education sessions </w:t>
      </w:r>
      <w:r w:rsidR="00B950CA">
        <w:t xml:space="preserve">will </w:t>
      </w:r>
      <w:r w:rsidR="007B10B3">
        <w:t>need to</w:t>
      </w:r>
      <w:r w:rsidR="006003F0">
        <w:t xml:space="preserve"> in</w:t>
      </w:r>
      <w:r w:rsidR="00766572">
        <w:t xml:space="preserve">crease with the growth of residential aged care and community care </w:t>
      </w:r>
      <w:r w:rsidR="00482405">
        <w:t>use</w:t>
      </w:r>
      <w:r w:rsidR="006E65EE">
        <w:t>.</w:t>
      </w:r>
    </w:p>
    <w:p w14:paraId="3629838A" w14:textId="4A2735C2" w:rsidR="004B5E00" w:rsidRPr="000540EB" w:rsidRDefault="000540EB" w:rsidP="00693362">
      <w:pPr>
        <w:pStyle w:val="Heading3un-numbered"/>
      </w:pPr>
      <w:r w:rsidRPr="000540EB">
        <w:t>Factors influencing the future demand for NACAP</w:t>
      </w:r>
    </w:p>
    <w:p w14:paraId="6808F0D0" w14:textId="3030914F" w:rsidR="000540EB" w:rsidRDefault="008D55BD" w:rsidP="004B5E00">
      <w:r>
        <w:rPr>
          <w:lang w:eastAsia="en-AU"/>
        </w:rPr>
        <w:t>The demand for aged care advocacy is expected to grow over the coming years</w:t>
      </w:r>
      <w:r w:rsidR="00745EAF">
        <w:rPr>
          <w:lang w:eastAsia="en-AU"/>
        </w:rPr>
        <w:t>, as highlighted in consultations.</w:t>
      </w:r>
    </w:p>
    <w:p w14:paraId="04112284" w14:textId="2E2F3553" w:rsidR="009F0100" w:rsidRDefault="009F0100" w:rsidP="000013B5">
      <w:pPr>
        <w:pStyle w:val="ExecTableCaption"/>
      </w:pPr>
      <w:bookmarkStart w:id="53" w:name="_Ref89077315"/>
      <w:bookmarkStart w:id="54" w:name="_Toc99117012"/>
      <w:r>
        <w:lastRenderedPageBreak/>
        <w:t>: Trends that are likely to influence the demand for advocacy</w:t>
      </w:r>
      <w:bookmarkEnd w:id="53"/>
      <w:bookmarkEnd w:id="54"/>
    </w:p>
    <w:tbl>
      <w:tblPr>
        <w:tblStyle w:val="Deloittetable"/>
        <w:tblW w:w="9035" w:type="dxa"/>
        <w:tblLook w:val="04A0" w:firstRow="1" w:lastRow="0" w:firstColumn="1" w:lastColumn="0" w:noHBand="0" w:noVBand="1"/>
      </w:tblPr>
      <w:tblGrid>
        <w:gridCol w:w="6301"/>
        <w:gridCol w:w="2734"/>
      </w:tblGrid>
      <w:tr w:rsidR="009F0100" w14:paraId="090A8AA9" w14:textId="77777777" w:rsidTr="00745EAF">
        <w:trPr>
          <w:cnfStyle w:val="100000000000" w:firstRow="1" w:lastRow="0" w:firstColumn="0" w:lastColumn="0" w:oddVBand="0" w:evenVBand="0" w:oddHBand="0" w:evenHBand="0" w:firstRowFirstColumn="0" w:firstRowLastColumn="0" w:lastRowFirstColumn="0" w:lastRowLastColumn="0"/>
          <w:trHeight w:val="595"/>
        </w:trPr>
        <w:tc>
          <w:tcPr>
            <w:tcW w:w="6301" w:type="dxa"/>
          </w:tcPr>
          <w:p w14:paraId="2065C612" w14:textId="77777777" w:rsidR="009F0100" w:rsidRPr="00822B05" w:rsidRDefault="009F0100" w:rsidP="004765E1">
            <w:pPr>
              <w:keepNext/>
              <w:rPr>
                <w:b/>
              </w:rPr>
            </w:pPr>
            <w:r w:rsidRPr="00822B05">
              <w:rPr>
                <w:b/>
              </w:rPr>
              <w:t>Trend</w:t>
            </w:r>
          </w:p>
        </w:tc>
        <w:tc>
          <w:tcPr>
            <w:tcW w:w="2734" w:type="dxa"/>
          </w:tcPr>
          <w:p w14:paraId="7B6C6924" w14:textId="77777777" w:rsidR="009F0100" w:rsidRPr="00822B05" w:rsidRDefault="009F0100" w:rsidP="004765E1">
            <w:pPr>
              <w:keepNext/>
              <w:rPr>
                <w:b/>
              </w:rPr>
            </w:pPr>
            <w:r w:rsidRPr="00822B05">
              <w:rPr>
                <w:b/>
                <w:bCs/>
              </w:rPr>
              <w:t>Implications for future demand</w:t>
            </w:r>
          </w:p>
        </w:tc>
      </w:tr>
      <w:tr w:rsidR="009F0100" w14:paraId="31E3D459" w14:textId="77777777" w:rsidTr="00745EAF">
        <w:trPr>
          <w:trHeight w:val="595"/>
        </w:trPr>
        <w:tc>
          <w:tcPr>
            <w:tcW w:w="6301" w:type="dxa"/>
          </w:tcPr>
          <w:p w14:paraId="0DBC2025" w14:textId="77777777" w:rsidR="009F0100" w:rsidRDefault="009F0100" w:rsidP="004765E1">
            <w:pPr>
              <w:keepNext/>
            </w:pPr>
            <w:r>
              <w:rPr>
                <w:b/>
                <w:bCs/>
              </w:rPr>
              <w:t>Improving h</w:t>
            </w:r>
            <w:r w:rsidRPr="00F20A43">
              <w:rPr>
                <w:b/>
                <w:bCs/>
              </w:rPr>
              <w:t xml:space="preserve">ealth and </w:t>
            </w:r>
            <w:r>
              <w:rPr>
                <w:b/>
                <w:bCs/>
              </w:rPr>
              <w:t xml:space="preserve">growing </w:t>
            </w:r>
            <w:r w:rsidRPr="00F20A43">
              <w:rPr>
                <w:b/>
                <w:bCs/>
              </w:rPr>
              <w:t>longevity</w:t>
            </w:r>
            <w:r>
              <w:t xml:space="preserve"> such as higher life expectancies, and better recognition of health and disability needs.</w:t>
            </w:r>
          </w:p>
        </w:tc>
        <w:tc>
          <w:tcPr>
            <w:tcW w:w="2734" w:type="dxa"/>
          </w:tcPr>
          <w:p w14:paraId="0529DBD9" w14:textId="77777777" w:rsidR="009F0100" w:rsidRDefault="009F0100" w:rsidP="004765E1">
            <w:pPr>
              <w:keepNext/>
            </w:pPr>
            <w:r>
              <w:t>Likely to increase</w:t>
            </w:r>
          </w:p>
        </w:tc>
      </w:tr>
      <w:tr w:rsidR="009F0100" w14:paraId="7B515B6C" w14:textId="77777777" w:rsidTr="00745EAF">
        <w:trPr>
          <w:trHeight w:val="604"/>
        </w:trPr>
        <w:tc>
          <w:tcPr>
            <w:tcW w:w="6301" w:type="dxa"/>
          </w:tcPr>
          <w:p w14:paraId="0C561CDF" w14:textId="77777777" w:rsidR="009F0100" w:rsidRDefault="009F0100" w:rsidP="004765E1">
            <w:pPr>
              <w:keepNext/>
            </w:pPr>
            <w:r w:rsidRPr="00F20A43">
              <w:rPr>
                <w:b/>
                <w:bCs/>
              </w:rPr>
              <w:t>Increasing prevalence of dementia</w:t>
            </w:r>
            <w:r>
              <w:t xml:space="preserve"> as more people live into very advanced ages where dementia becomes more common</w:t>
            </w:r>
          </w:p>
        </w:tc>
        <w:tc>
          <w:tcPr>
            <w:tcW w:w="2734" w:type="dxa"/>
          </w:tcPr>
          <w:p w14:paraId="5E9E55E0" w14:textId="77777777" w:rsidR="009F0100" w:rsidRDefault="009F0100" w:rsidP="004765E1">
            <w:pPr>
              <w:keepNext/>
            </w:pPr>
            <w:r>
              <w:t>Likely to increase</w:t>
            </w:r>
          </w:p>
        </w:tc>
      </w:tr>
      <w:tr w:rsidR="009F0100" w14:paraId="452A29C8" w14:textId="77777777" w:rsidTr="00745EAF">
        <w:trPr>
          <w:trHeight w:val="818"/>
        </w:trPr>
        <w:tc>
          <w:tcPr>
            <w:tcW w:w="6301" w:type="dxa"/>
          </w:tcPr>
          <w:p w14:paraId="7B2D3165" w14:textId="140C7D49" w:rsidR="009F0100" w:rsidRDefault="009F0100" w:rsidP="004765E1">
            <w:pPr>
              <w:keepNext/>
            </w:pPr>
            <w:r>
              <w:t xml:space="preserve">A greater proportion of older people from </w:t>
            </w:r>
            <w:r w:rsidRPr="00F20A43">
              <w:rPr>
                <w:b/>
                <w:bCs/>
              </w:rPr>
              <w:t>special needs groups</w:t>
            </w:r>
            <w:r>
              <w:t xml:space="preserve"> (as defined in Section </w:t>
            </w:r>
            <w:r>
              <w:fldChar w:fldCharType="begin"/>
            </w:r>
            <w:r>
              <w:instrText xml:space="preserve"> REF _Ref89085189 \r \h </w:instrText>
            </w:r>
            <w:r w:rsidR="00745EAF">
              <w:instrText xml:space="preserve"> \* MERGEFORMAT </w:instrText>
            </w:r>
            <w:r>
              <w:fldChar w:fldCharType="separate"/>
            </w:r>
            <w:r w:rsidR="00DC6A20">
              <w:t>1.1.1</w:t>
            </w:r>
            <w:r>
              <w:fldChar w:fldCharType="end"/>
            </w:r>
            <w:r>
              <w:t>) entering old age will inform the support needed by older people</w:t>
            </w:r>
          </w:p>
        </w:tc>
        <w:tc>
          <w:tcPr>
            <w:tcW w:w="2734" w:type="dxa"/>
          </w:tcPr>
          <w:p w14:paraId="0FCCF6F1" w14:textId="77777777" w:rsidR="009F0100" w:rsidRDefault="009F0100" w:rsidP="004765E1">
            <w:pPr>
              <w:keepNext/>
            </w:pPr>
            <w:r>
              <w:t>Likely to increase</w:t>
            </w:r>
          </w:p>
        </w:tc>
      </w:tr>
      <w:tr w:rsidR="00C45148" w14:paraId="66E72191" w14:textId="77777777" w:rsidTr="00745EAF">
        <w:trPr>
          <w:trHeight w:val="818"/>
        </w:trPr>
        <w:tc>
          <w:tcPr>
            <w:tcW w:w="6301" w:type="dxa"/>
          </w:tcPr>
          <w:p w14:paraId="72C7733D" w14:textId="1DD749BE" w:rsidR="00C45148" w:rsidRDefault="00C45148" w:rsidP="00C45148">
            <w:pPr>
              <w:keepNext/>
            </w:pPr>
            <w:r>
              <w:t xml:space="preserve">The </w:t>
            </w:r>
            <w:r w:rsidRPr="00F20A43">
              <w:rPr>
                <w:b/>
                <w:bCs/>
              </w:rPr>
              <w:t>complexity</w:t>
            </w:r>
            <w:r>
              <w:t xml:space="preserve"> in the aged care system through greater tailoring to the care needs of older people at the individual level</w:t>
            </w:r>
          </w:p>
        </w:tc>
        <w:tc>
          <w:tcPr>
            <w:tcW w:w="2734" w:type="dxa"/>
          </w:tcPr>
          <w:p w14:paraId="689CEAC3" w14:textId="6734C3B4" w:rsidR="00C45148" w:rsidRDefault="00C45148" w:rsidP="00C45148">
            <w:pPr>
              <w:keepNext/>
            </w:pPr>
            <w:r>
              <w:t xml:space="preserve">Likely to increase </w:t>
            </w:r>
          </w:p>
        </w:tc>
      </w:tr>
      <w:tr w:rsidR="00C45148" w14:paraId="3572D600" w14:textId="77777777" w:rsidTr="00745EAF">
        <w:trPr>
          <w:trHeight w:val="818"/>
        </w:trPr>
        <w:tc>
          <w:tcPr>
            <w:tcW w:w="6301" w:type="dxa"/>
          </w:tcPr>
          <w:p w14:paraId="4B8875E0" w14:textId="6E44CDBE" w:rsidR="00C45148" w:rsidRDefault="00C45148" w:rsidP="00C45148">
            <w:pPr>
              <w:keepNext/>
            </w:pPr>
            <w:r w:rsidRPr="00F20A43">
              <w:rPr>
                <w:b/>
                <w:bCs/>
              </w:rPr>
              <w:t>Government reforms and aged care policy</w:t>
            </w:r>
            <w:r>
              <w:t>, including the introduction of new workforces to support navigation and awareness across the system (</w:t>
            </w:r>
            <w:proofErr w:type="gramStart"/>
            <w:r>
              <w:t>e.g.</w:t>
            </w:r>
            <w:proofErr w:type="gramEnd"/>
            <w:r>
              <w:t xml:space="preserve"> Community Care Finders); increased availability of services; and associated funding, governance, and quality and safety measures</w:t>
            </w:r>
          </w:p>
        </w:tc>
        <w:tc>
          <w:tcPr>
            <w:tcW w:w="2734" w:type="dxa"/>
          </w:tcPr>
          <w:p w14:paraId="4D1EE638" w14:textId="6095EDCE" w:rsidR="00C45148" w:rsidRDefault="00C45148" w:rsidP="00C45148">
            <w:pPr>
              <w:keepNext/>
            </w:pPr>
            <w:r>
              <w:t xml:space="preserve">Likely to increase during transition periods, however nature of advocacy will change to reflect reforms </w:t>
            </w:r>
          </w:p>
        </w:tc>
      </w:tr>
      <w:tr w:rsidR="00C45148" w14:paraId="69DBBD42" w14:textId="77777777" w:rsidTr="00745EAF">
        <w:trPr>
          <w:trHeight w:val="818"/>
        </w:trPr>
        <w:tc>
          <w:tcPr>
            <w:tcW w:w="6301" w:type="dxa"/>
          </w:tcPr>
          <w:p w14:paraId="3FB9FB15" w14:textId="72D0D45F" w:rsidR="00C45148" w:rsidRDefault="00C45148" w:rsidP="00C45148">
            <w:pPr>
              <w:keepNext/>
            </w:pPr>
            <w:r>
              <w:t xml:space="preserve">The </w:t>
            </w:r>
            <w:r w:rsidRPr="00F20A43">
              <w:rPr>
                <w:b/>
                <w:bCs/>
              </w:rPr>
              <w:t>program design</w:t>
            </w:r>
            <w:r>
              <w:t>, the funding model, the obligations placed on providers, and the incentives inherent in the system (to encourage use of advocacy) have a major bearing on demand and are all within the control of government</w:t>
            </w:r>
          </w:p>
        </w:tc>
        <w:tc>
          <w:tcPr>
            <w:tcW w:w="2734" w:type="dxa"/>
          </w:tcPr>
          <w:p w14:paraId="5CE21F68" w14:textId="507026DD" w:rsidR="00C45148" w:rsidRDefault="00C45148" w:rsidP="00C45148">
            <w:pPr>
              <w:keepNext/>
            </w:pPr>
            <w:r>
              <w:t>Likely to increase</w:t>
            </w:r>
          </w:p>
        </w:tc>
      </w:tr>
      <w:tr w:rsidR="00F63C49" w14:paraId="139A1973" w14:textId="77777777" w:rsidTr="00745EAF">
        <w:trPr>
          <w:trHeight w:val="818"/>
        </w:trPr>
        <w:tc>
          <w:tcPr>
            <w:tcW w:w="6301" w:type="dxa"/>
          </w:tcPr>
          <w:p w14:paraId="71F54D78" w14:textId="7EA57F48" w:rsidR="00F63C49" w:rsidRDefault="00F63C49" w:rsidP="00F63C49">
            <w:pPr>
              <w:keepNext/>
            </w:pPr>
            <w:r>
              <w:t xml:space="preserve">A </w:t>
            </w:r>
            <w:r w:rsidRPr="00F20A43">
              <w:rPr>
                <w:b/>
                <w:bCs/>
              </w:rPr>
              <w:t>generational shift</w:t>
            </w:r>
            <w:r>
              <w:t xml:space="preserve"> from one that accepts the services provided and is reluctant to complain, to people who are more cognisant of their rights and willing to protect them</w:t>
            </w:r>
          </w:p>
        </w:tc>
        <w:tc>
          <w:tcPr>
            <w:tcW w:w="2734" w:type="dxa"/>
          </w:tcPr>
          <w:p w14:paraId="6AA9EA9B" w14:textId="5C6E5D26" w:rsidR="00F63C49" w:rsidRDefault="00F63C49" w:rsidP="00F63C49">
            <w:pPr>
              <w:keepNext/>
            </w:pPr>
            <w:r>
              <w:t>Uncertain</w:t>
            </w:r>
          </w:p>
        </w:tc>
      </w:tr>
    </w:tbl>
    <w:p w14:paraId="45C19033" w14:textId="2D81759B" w:rsidR="009F0100" w:rsidRPr="00693362" w:rsidRDefault="00640E22" w:rsidP="009F0100">
      <w:pPr>
        <w:rPr>
          <w:szCs w:val="22"/>
        </w:rPr>
      </w:pPr>
      <w:r w:rsidRPr="00AA3FA9">
        <w:rPr>
          <w:color w:val="595959" w:themeColor="text1" w:themeTint="A6"/>
          <w:szCs w:val="22"/>
        </w:rPr>
        <w:t>Source: Deloitte Access Economics</w:t>
      </w:r>
    </w:p>
    <w:p w14:paraId="26FC5586" w14:textId="507C00C6" w:rsidR="00824F63" w:rsidRDefault="00946C3B" w:rsidP="00824F63">
      <w:r w:rsidRPr="00E60370">
        <w:t>T</w:t>
      </w:r>
      <w:r w:rsidR="002A1200" w:rsidRPr="00E60370">
        <w:t xml:space="preserve">he Royal Commission </w:t>
      </w:r>
      <w:r w:rsidR="002A1200" w:rsidRPr="002A1200">
        <w:t xml:space="preserve">recommended </w:t>
      </w:r>
      <w:r w:rsidR="009A2BB0">
        <w:t>“</w:t>
      </w:r>
      <w:r w:rsidR="00AC1104">
        <w:t xml:space="preserve">the </w:t>
      </w:r>
      <w:r w:rsidR="00824F63">
        <w:t>National Aged Care Advocacy Program should be provided with an immediate funding increase to:</w:t>
      </w:r>
    </w:p>
    <w:p w14:paraId="3969CF85" w14:textId="36CCF020" w:rsidR="00824F63" w:rsidRDefault="00824F63" w:rsidP="001320EB">
      <w:pPr>
        <w:pStyle w:val="ListParagraph"/>
        <w:numPr>
          <w:ilvl w:val="0"/>
          <w:numId w:val="51"/>
        </w:numPr>
      </w:pPr>
      <w:r>
        <w:t>enable a minimum of 5% of older people to access advocacy services</w:t>
      </w:r>
    </w:p>
    <w:p w14:paraId="2B4AF2FD" w14:textId="62EC20AF" w:rsidR="00824F63" w:rsidRDefault="00824F63" w:rsidP="001320EB">
      <w:pPr>
        <w:pStyle w:val="ListParagraph"/>
        <w:numPr>
          <w:ilvl w:val="0"/>
          <w:numId w:val="51"/>
        </w:numPr>
      </w:pPr>
      <w:r>
        <w:t>enable advocacy networks to</w:t>
      </w:r>
    </w:p>
    <w:p w14:paraId="7558AD4C" w14:textId="2F2F36DE" w:rsidR="00824F63" w:rsidRDefault="00824F63" w:rsidP="001320EB">
      <w:pPr>
        <w:pStyle w:val="ListParagraph"/>
        <w:numPr>
          <w:ilvl w:val="1"/>
          <w:numId w:val="54"/>
        </w:numPr>
        <w:ind w:left="1548" w:hanging="357"/>
      </w:pPr>
      <w:r>
        <w:t xml:space="preserve">provide </w:t>
      </w:r>
      <w:proofErr w:type="gramStart"/>
      <w:r>
        <w:t>education;</w:t>
      </w:r>
      <w:proofErr w:type="gramEnd"/>
    </w:p>
    <w:p w14:paraId="65FD3132" w14:textId="3B54CADC" w:rsidR="00824F63" w:rsidRDefault="00824F63" w:rsidP="001320EB">
      <w:pPr>
        <w:pStyle w:val="ListParagraph"/>
        <w:numPr>
          <w:ilvl w:val="1"/>
          <w:numId w:val="54"/>
        </w:numPr>
        <w:ind w:left="1548" w:hanging="357"/>
      </w:pPr>
      <w:r>
        <w:t>undertake systemic advocacy</w:t>
      </w:r>
    </w:p>
    <w:p w14:paraId="0A1CBF23" w14:textId="17AEB4FD" w:rsidR="00824F63" w:rsidRDefault="00824F63" w:rsidP="005D4629">
      <w:pPr>
        <w:pStyle w:val="ListParagraph"/>
        <w:numPr>
          <w:ilvl w:val="0"/>
          <w:numId w:val="51"/>
        </w:numPr>
      </w:pPr>
      <w:r>
        <w:t>support capacity building of the advocacy network through training of</w:t>
      </w:r>
      <w:r w:rsidR="00930153">
        <w:t xml:space="preserve"> </w:t>
      </w:r>
      <w:r>
        <w:t>formal advocates and the development of clear guidelines and processes</w:t>
      </w:r>
      <w:r w:rsidR="00930153">
        <w:t>”</w:t>
      </w:r>
      <w:r w:rsidR="00B526AF">
        <w:t>.</w:t>
      </w:r>
    </w:p>
    <w:p w14:paraId="41C820C2" w14:textId="651AAE70" w:rsidR="00586AF7" w:rsidRDefault="005F17E7" w:rsidP="00824F63">
      <w:r>
        <w:lastRenderedPageBreak/>
        <w:t>Desktop research</w:t>
      </w:r>
      <w:r w:rsidR="002C05CE">
        <w:t>, qualitative research</w:t>
      </w:r>
      <w:r w:rsidR="00FC4E3C">
        <w:t>,</w:t>
      </w:r>
      <w:r>
        <w:t xml:space="preserve"> and compari</w:t>
      </w:r>
      <w:r w:rsidR="00FC4E3C">
        <w:t>son of</w:t>
      </w:r>
      <w:r>
        <w:t xml:space="preserve"> aged care advocacy in other jurisdictions did not </w:t>
      </w:r>
      <w:r w:rsidR="00BD734A">
        <w:t xml:space="preserve">reveal the ideal </w:t>
      </w:r>
      <w:r w:rsidR="00066C8D">
        <w:t xml:space="preserve">proportion of people </w:t>
      </w:r>
      <w:r w:rsidR="00303900">
        <w:t xml:space="preserve">who </w:t>
      </w:r>
      <w:r w:rsidR="00066C8D">
        <w:t>should be accessing advocacy services.</w:t>
      </w:r>
      <w:r w:rsidR="002A1200" w:rsidRPr="00E60370">
        <w:t xml:space="preserve"> </w:t>
      </w:r>
      <w:r w:rsidR="009F6C99" w:rsidRPr="004148C5">
        <w:t xml:space="preserve">Given the challenges in determining </w:t>
      </w:r>
      <w:r w:rsidR="008C384F" w:rsidRPr="004148C5">
        <w:t xml:space="preserve">quantitative factors influencing demand, two scenarios were modelled, </w:t>
      </w:r>
      <w:r w:rsidR="004B3873">
        <w:t>1)</w:t>
      </w:r>
      <w:r w:rsidR="004B3873" w:rsidRPr="004148C5">
        <w:t xml:space="preserve"> </w:t>
      </w:r>
      <w:r w:rsidR="008C384F" w:rsidRPr="004148C5">
        <w:t xml:space="preserve">unmet demand </w:t>
      </w:r>
      <w:r w:rsidR="00586AF7" w:rsidRPr="004148C5">
        <w:t xml:space="preserve">across the target population at </w:t>
      </w:r>
      <w:r w:rsidR="004148C5" w:rsidRPr="004148C5">
        <w:t>7</w:t>
      </w:r>
      <w:r w:rsidR="00586AF7" w:rsidRPr="004148C5">
        <w:t xml:space="preserve">% </w:t>
      </w:r>
      <w:r w:rsidR="004B3873">
        <w:t xml:space="preserve">(rather than </w:t>
      </w:r>
      <w:r w:rsidR="00163AF8">
        <w:t xml:space="preserve">5%) </w:t>
      </w:r>
      <w:r w:rsidR="00586AF7" w:rsidRPr="004148C5">
        <w:t xml:space="preserve">and </w:t>
      </w:r>
      <w:r w:rsidR="00163AF8">
        <w:t xml:space="preserve">2) differentiated </w:t>
      </w:r>
      <w:r w:rsidR="004148C5" w:rsidRPr="004148C5">
        <w:t xml:space="preserve">total demand rates </w:t>
      </w:r>
      <w:r w:rsidR="00163AF8">
        <w:t>across</w:t>
      </w:r>
      <w:r w:rsidR="00163AF8" w:rsidRPr="004148C5">
        <w:t xml:space="preserve"> </w:t>
      </w:r>
      <w:r w:rsidR="004148C5" w:rsidRPr="004148C5">
        <w:t>vulnerability groups</w:t>
      </w:r>
      <w:r w:rsidR="004148C5" w:rsidRPr="004148C5">
        <w:rPr>
          <w:rStyle w:val="CommentReference"/>
        </w:rPr>
        <w:t xml:space="preserve">. </w:t>
      </w:r>
      <w:r w:rsidR="00A729E8">
        <w:t xml:space="preserve">The model </w:t>
      </w:r>
      <w:r w:rsidR="00CE40DE">
        <w:t>shows that e</w:t>
      </w:r>
      <w:r w:rsidR="00586AF7">
        <w:t xml:space="preserve">ven with the funding increase, a demand gap is shown to remain, particularly among recipients of </w:t>
      </w:r>
      <w:r w:rsidR="00555272">
        <w:t xml:space="preserve">advocacy in </w:t>
      </w:r>
      <w:r w:rsidR="00586AF7">
        <w:t>residential aged care.</w:t>
      </w:r>
    </w:p>
    <w:p w14:paraId="725EA616" w14:textId="5E579218" w:rsidR="00646C61" w:rsidRDefault="00646C61" w:rsidP="006A46B0">
      <w:pPr>
        <w:pStyle w:val="ExecChartCaption"/>
      </w:pPr>
      <w:bookmarkStart w:id="55" w:name="_Toc99117031"/>
      <w:r w:rsidRPr="00395B31">
        <w:t xml:space="preserve">: </w:t>
      </w:r>
      <w:r w:rsidR="00395B31">
        <w:rPr>
          <w:lang w:eastAsia="en-AU"/>
        </w:rPr>
        <w:t>Usage rates across both residential and community aged care, 2020/21 to 2031/32</w:t>
      </w:r>
      <w:bookmarkEnd w:id="55"/>
    </w:p>
    <w:p w14:paraId="4A574BE2" w14:textId="4BA2E0B1" w:rsidR="00A25F6D" w:rsidRDefault="00412910" w:rsidP="00930230">
      <w:r w:rsidRPr="00412910">
        <w:rPr>
          <w:noProof/>
        </w:rPr>
        <w:drawing>
          <wp:inline distT="0" distB="0" distL="0" distR="0" wp14:anchorId="270A9669" wp14:editId="348269DB">
            <wp:extent cx="5731510" cy="1914525"/>
            <wp:effectExtent l="0" t="0" r="2540" b="0"/>
            <wp:docPr id="12" name="Picture 12" descr="Advocacy use has increased in both residential and community aged care since 2020/21, the increase is expected to continue to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vocacy use has increased in both residential and community aged care since 2020/21, the increase is expected to continue to gr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914525"/>
                    </a:xfrm>
                    <a:prstGeom prst="rect">
                      <a:avLst/>
                    </a:prstGeom>
                    <a:noFill/>
                    <a:ln>
                      <a:noFill/>
                    </a:ln>
                  </pic:spPr>
                </pic:pic>
              </a:graphicData>
            </a:graphic>
          </wp:inline>
        </w:drawing>
      </w:r>
    </w:p>
    <w:p w14:paraId="4F3D0359" w14:textId="65B4E9EF" w:rsidR="00C56DD1" w:rsidRPr="00395B31" w:rsidRDefault="00C56DD1" w:rsidP="00C56DD1">
      <w:pPr>
        <w:pStyle w:val="Source"/>
      </w:pPr>
      <w:r w:rsidRPr="00AA3FA9">
        <w:t>Source: Deloitte Access Economics based on OPAN and AIHW data.</w:t>
      </w:r>
    </w:p>
    <w:p w14:paraId="5D844CEC" w14:textId="616B5D30" w:rsidR="00B80437" w:rsidRDefault="0037289C" w:rsidP="00930230">
      <w:r w:rsidRPr="00395B31">
        <w:t xml:space="preserve">Education sessions will </w:t>
      </w:r>
      <w:r w:rsidR="00AE11DF" w:rsidRPr="00395B31">
        <w:t>need to</w:t>
      </w:r>
      <w:r w:rsidRPr="00395B31">
        <w:t xml:space="preserve"> increase with the growth of residential aged care and community care </w:t>
      </w:r>
      <w:r w:rsidR="00C91E0B" w:rsidRPr="00395B31">
        <w:t>use</w:t>
      </w:r>
      <w:r w:rsidR="007E3CAA">
        <w:t>.</w:t>
      </w:r>
      <w:r w:rsidRPr="00395B31">
        <w:t xml:space="preserve"> </w:t>
      </w:r>
      <w:r w:rsidR="007A127E">
        <w:t xml:space="preserve">The current </w:t>
      </w:r>
      <w:r w:rsidR="00AC00CE" w:rsidRPr="00395B31">
        <w:t>soft target</w:t>
      </w:r>
      <w:r w:rsidR="00AC00CE">
        <w:t xml:space="preserve"> </w:t>
      </w:r>
      <w:r w:rsidR="00B80D5A">
        <w:t xml:space="preserve">set by SDOs </w:t>
      </w:r>
      <w:r w:rsidR="00AC00CE">
        <w:t>of at least 2 sessions per residential facility</w:t>
      </w:r>
      <w:r w:rsidR="00B80D5A">
        <w:t xml:space="preserve"> </w:t>
      </w:r>
      <w:r w:rsidR="007A127E">
        <w:t xml:space="preserve">per year </w:t>
      </w:r>
      <w:r w:rsidR="00726DE0">
        <w:t xml:space="preserve">will not be reached </w:t>
      </w:r>
      <w:r w:rsidR="00B80D5A">
        <w:t xml:space="preserve">without additional funding or a reallocation of </w:t>
      </w:r>
      <w:r w:rsidR="00831056">
        <w:t xml:space="preserve">existing </w:t>
      </w:r>
      <w:r w:rsidR="00B80D5A">
        <w:t>funding from advocacy and information to education</w:t>
      </w:r>
      <w:r w:rsidR="00AC00CE">
        <w:t>.</w:t>
      </w:r>
    </w:p>
    <w:p w14:paraId="2EBF7CA2" w14:textId="3141539F" w:rsidR="00431A4B" w:rsidRDefault="00B139F1" w:rsidP="00930230">
      <w:r>
        <w:t xml:space="preserve">Redesigning and </w:t>
      </w:r>
      <w:r w:rsidR="00431A4B">
        <w:t xml:space="preserve">targeting education sessions </w:t>
      </w:r>
      <w:r w:rsidR="000E1127">
        <w:t>to</w:t>
      </w:r>
      <w:r w:rsidR="007F5F9F">
        <w:t xml:space="preserve"> </w:t>
      </w:r>
      <w:r>
        <w:t>individuals in</w:t>
      </w:r>
      <w:r w:rsidR="00E95ACA">
        <w:t xml:space="preserve"> community settings</w:t>
      </w:r>
      <w:r w:rsidR="009A575F">
        <w:t xml:space="preserve"> </w:t>
      </w:r>
      <w:r w:rsidR="00431A4B">
        <w:t xml:space="preserve">is also likely to be required. </w:t>
      </w:r>
      <w:r w:rsidR="00DD65CF">
        <w:t>More than 75% of</w:t>
      </w:r>
      <w:r w:rsidR="00570328">
        <w:t xml:space="preserve"> education sessions </w:t>
      </w:r>
      <w:r w:rsidR="00DD65CF">
        <w:t>were</w:t>
      </w:r>
      <w:r w:rsidR="00570328">
        <w:t xml:space="preserve"> delivered in residential aged care facilities </w:t>
      </w:r>
      <w:r w:rsidR="00DD65CF">
        <w:t>in 2020/21</w:t>
      </w:r>
      <w:r w:rsidR="00570328">
        <w:t xml:space="preserve">, despite most of the target population residing in the community. </w:t>
      </w:r>
      <w:r w:rsidR="006A0B68">
        <w:t>Community care</w:t>
      </w:r>
      <w:r w:rsidR="00570328">
        <w:t xml:space="preserve"> is also where system growth and complexity </w:t>
      </w:r>
      <w:proofErr w:type="gramStart"/>
      <w:r w:rsidR="00570328">
        <w:t>is</w:t>
      </w:r>
      <w:proofErr w:type="gramEnd"/>
      <w:r w:rsidR="00570328">
        <w:t xml:space="preserve"> expected to be concentrated over the coming years.</w:t>
      </w:r>
    </w:p>
    <w:p w14:paraId="078A30A5" w14:textId="5B78F17F" w:rsidR="00BD0B16" w:rsidRDefault="00BD0B16" w:rsidP="00930230">
      <w:r>
        <w:rPr>
          <w:lang w:eastAsia="en-AU"/>
        </w:rPr>
        <w:t>The demand analysis suggests that the funding increases will not be sufficient to meet anticipated demand. At these levels, there is forecast to be a significant demand gap across both residential and community aged care and across information and advocacy services.</w:t>
      </w:r>
    </w:p>
    <w:p w14:paraId="2C342219" w14:textId="04B9E944" w:rsidR="00BA2E09" w:rsidRPr="00343D9E" w:rsidRDefault="00BA2E09" w:rsidP="004B5E00">
      <w:pPr>
        <w:pStyle w:val="Heading2un-numbered"/>
      </w:pPr>
      <w:bookmarkStart w:id="56" w:name="_Toc99437492"/>
      <w:r w:rsidRPr="00343D9E">
        <w:t>Supply of the NACAP</w:t>
      </w:r>
      <w:bookmarkEnd w:id="56"/>
    </w:p>
    <w:p w14:paraId="4C3F1679" w14:textId="45DE500B" w:rsidR="00F35921" w:rsidRDefault="00F35921" w:rsidP="00F35921">
      <w:pPr>
        <w:rPr>
          <w:lang w:eastAsia="en-AU"/>
        </w:rPr>
      </w:pPr>
      <w:r>
        <w:rPr>
          <w:lang w:eastAsia="en-AU"/>
        </w:rPr>
        <w:t xml:space="preserve">The ability of </w:t>
      </w:r>
      <w:r w:rsidR="00F712C6">
        <w:rPr>
          <w:lang w:eastAsia="en-AU"/>
        </w:rPr>
        <w:t xml:space="preserve">the NACAP </w:t>
      </w:r>
      <w:r>
        <w:rPr>
          <w:lang w:eastAsia="en-AU"/>
        </w:rPr>
        <w:t xml:space="preserve">to meet the projected demand will depend on the supply of advocates and their capacity and capability to meet the advocacy needs of the aged care population. Funding to </w:t>
      </w:r>
      <w:r w:rsidR="000729F9">
        <w:rPr>
          <w:lang w:eastAsia="en-AU"/>
        </w:rPr>
        <w:t xml:space="preserve">the program </w:t>
      </w:r>
      <w:r>
        <w:rPr>
          <w:lang w:eastAsia="en-AU"/>
        </w:rPr>
        <w:t>is increasing to help meet this anticipated demand. This funding boost will enable more advocates to be recruited and for investment in capacity building. The total number of</w:t>
      </w:r>
      <w:r w:rsidR="00B45C49">
        <w:rPr>
          <w:lang w:eastAsia="en-AU"/>
        </w:rPr>
        <w:t xml:space="preserve"> ful</w:t>
      </w:r>
      <w:r w:rsidR="003C793E">
        <w:rPr>
          <w:lang w:eastAsia="en-AU"/>
        </w:rPr>
        <w:t>l</w:t>
      </w:r>
      <w:r w:rsidR="003C793E">
        <w:rPr>
          <w:lang w:eastAsia="en-AU"/>
        </w:rPr>
        <w:noBreakHyphen/>
      </w:r>
      <w:r w:rsidR="00B45C49">
        <w:rPr>
          <w:lang w:eastAsia="en-AU"/>
        </w:rPr>
        <w:t>time equivalent (FTE)</w:t>
      </w:r>
      <w:r>
        <w:rPr>
          <w:lang w:eastAsia="en-AU"/>
        </w:rPr>
        <w:t xml:space="preserve"> advocates nationally prior to expansion was </w:t>
      </w:r>
      <w:r w:rsidR="00870770">
        <w:rPr>
          <w:lang w:eastAsia="en-AU"/>
        </w:rPr>
        <w:t>56</w:t>
      </w:r>
      <w:r>
        <w:rPr>
          <w:lang w:eastAsia="en-AU"/>
        </w:rPr>
        <w:t xml:space="preserve">, and this will increase to </w:t>
      </w:r>
      <w:r w:rsidR="00870770">
        <w:rPr>
          <w:lang w:eastAsia="en-AU"/>
        </w:rPr>
        <w:t>1</w:t>
      </w:r>
      <w:r w:rsidR="00235C29">
        <w:rPr>
          <w:lang w:eastAsia="en-AU"/>
        </w:rPr>
        <w:t>45</w:t>
      </w:r>
      <w:r w:rsidR="00870770">
        <w:rPr>
          <w:lang w:eastAsia="en-AU"/>
        </w:rPr>
        <w:t xml:space="preserve"> by 2024/25</w:t>
      </w:r>
      <w:r>
        <w:rPr>
          <w:lang w:eastAsia="en-AU"/>
        </w:rPr>
        <w:t>.</w:t>
      </w:r>
    </w:p>
    <w:p w14:paraId="5324AD44" w14:textId="05F96B2E" w:rsidR="00F35921" w:rsidRDefault="00931758" w:rsidP="00BA2E09">
      <w:r>
        <w:rPr>
          <w:lang w:eastAsia="en-AU"/>
        </w:rPr>
        <w:lastRenderedPageBreak/>
        <w:t xml:space="preserve">It is noted that analysis of the </w:t>
      </w:r>
      <w:r w:rsidR="00B45C49">
        <w:rPr>
          <w:lang w:eastAsia="en-AU"/>
        </w:rPr>
        <w:t xml:space="preserve">FTE </w:t>
      </w:r>
      <w:r w:rsidR="002D3313">
        <w:rPr>
          <w:lang w:eastAsia="en-AU"/>
        </w:rPr>
        <w:t>workers</w:t>
      </w:r>
      <w:r>
        <w:rPr>
          <w:lang w:eastAsia="en-AU"/>
        </w:rPr>
        <w:t xml:space="preserve"> required to meet the projected demand would require data regarding the total FTE hours per instance of service to establish an average time spent per advocacy and information case. While advocacy hours were available in the unit record data provided by OPAN, this measure did not represent FTE hours. As such, FTE </w:t>
      </w:r>
      <w:r w:rsidR="00B32CC6">
        <w:rPr>
          <w:lang w:eastAsia="en-AU"/>
        </w:rPr>
        <w:t xml:space="preserve">level </w:t>
      </w:r>
      <w:r>
        <w:rPr>
          <w:lang w:eastAsia="en-AU"/>
        </w:rPr>
        <w:t>analysis was not possible.</w:t>
      </w:r>
    </w:p>
    <w:p w14:paraId="670CF3AB" w14:textId="4C9169ED" w:rsidR="00BA2E09" w:rsidRDefault="000A5138" w:rsidP="00BA2E09">
      <w:r>
        <w:t>Notwithstanding this, s</w:t>
      </w:r>
      <w:r w:rsidR="00BA2E09" w:rsidRPr="006810C4">
        <w:t xml:space="preserve">takeholder consultations revealed key supply factors affecting the use of NACAP aged care services </w:t>
      </w:r>
      <w:r w:rsidR="00BA2E09">
        <w:t>are:</w:t>
      </w:r>
    </w:p>
    <w:p w14:paraId="76ECD81C" w14:textId="5AA05A11" w:rsidR="00BA2E09" w:rsidRDefault="00BA2E09" w:rsidP="00F178E7">
      <w:pPr>
        <w:pStyle w:val="ListParagraph"/>
        <w:numPr>
          <w:ilvl w:val="0"/>
          <w:numId w:val="32"/>
        </w:numPr>
        <w:ind w:left="357" w:hanging="357"/>
      </w:pPr>
      <w:r>
        <w:t>Recruitment and Retention of advocates</w:t>
      </w:r>
      <w:r w:rsidR="00683E33">
        <w:t>.</w:t>
      </w:r>
    </w:p>
    <w:p w14:paraId="772BA713" w14:textId="54AC17CA" w:rsidR="00BA2E09" w:rsidRDefault="00BA2E09" w:rsidP="00F178E7">
      <w:pPr>
        <w:pStyle w:val="ListParagraph"/>
        <w:numPr>
          <w:ilvl w:val="0"/>
          <w:numId w:val="32"/>
        </w:numPr>
        <w:ind w:left="357" w:hanging="357"/>
      </w:pPr>
      <w:r>
        <w:t>Cultural, language, behavioural, and personal care needs</w:t>
      </w:r>
      <w:r w:rsidR="00683E33">
        <w:t>.</w:t>
      </w:r>
    </w:p>
    <w:p w14:paraId="60B57C4F" w14:textId="69198383" w:rsidR="00BA2E09" w:rsidRDefault="00BA2E09" w:rsidP="00F178E7">
      <w:pPr>
        <w:pStyle w:val="ListParagraph"/>
        <w:numPr>
          <w:ilvl w:val="0"/>
          <w:numId w:val="32"/>
        </w:numPr>
        <w:ind w:left="357" w:hanging="357"/>
      </w:pPr>
      <w:r>
        <w:t>Providing services to regional and remote areas</w:t>
      </w:r>
      <w:r w:rsidR="00683E33">
        <w:t>.</w:t>
      </w:r>
    </w:p>
    <w:p w14:paraId="472ADDB5" w14:textId="2EEE9BA7" w:rsidR="00693D55" w:rsidRDefault="00AF38EA">
      <w:r>
        <w:rPr>
          <w:lang w:eastAsia="en-AU"/>
        </w:rPr>
        <w:t xml:space="preserve">As NACAP expands it is also important </w:t>
      </w:r>
      <w:r w:rsidR="006B44CD">
        <w:rPr>
          <w:lang w:eastAsia="en-AU"/>
        </w:rPr>
        <w:t>that</w:t>
      </w:r>
      <w:r>
        <w:rPr>
          <w:lang w:eastAsia="en-AU"/>
        </w:rPr>
        <w:t xml:space="preserve"> service design </w:t>
      </w:r>
      <w:r w:rsidR="006B44CD">
        <w:rPr>
          <w:lang w:eastAsia="en-AU"/>
        </w:rPr>
        <w:t xml:space="preserve">evolves </w:t>
      </w:r>
      <w:r>
        <w:rPr>
          <w:lang w:eastAsia="en-AU"/>
        </w:rPr>
        <w:t xml:space="preserve">to better meet the access and advocacy needs of its target population. </w:t>
      </w:r>
      <w:r w:rsidRPr="00F14C6A">
        <w:t xml:space="preserve">Stakeholders noted </w:t>
      </w:r>
      <w:proofErr w:type="gramStart"/>
      <w:r w:rsidRPr="00F14C6A">
        <w:t>a number of</w:t>
      </w:r>
      <w:proofErr w:type="gramEnd"/>
      <w:r w:rsidRPr="00F14C6A">
        <w:t xml:space="preserve"> constraints in the current program design. </w:t>
      </w:r>
      <w:r w:rsidR="00864FDB">
        <w:t>For example, s</w:t>
      </w:r>
      <w:r w:rsidR="00864FDB" w:rsidRPr="00F14C6A">
        <w:t xml:space="preserve">takeholders highlighted the need for greater levels of proactive advocacy, however, noted that this was likely limited within the existing NACAP due to capacity constraints. </w:t>
      </w:r>
      <w:r w:rsidR="00820AC4">
        <w:t>Under the expanded NACAP, t</w:t>
      </w:r>
      <w:r w:rsidR="00693D55">
        <w:t xml:space="preserve">he Older Persons Homecare Vulnerability Check-in Project will </w:t>
      </w:r>
      <w:r w:rsidR="004E32E0">
        <w:t>address this to some extent, by providing advocacy support preventatively</w:t>
      </w:r>
      <w:r w:rsidR="0026258A">
        <w:t xml:space="preserve">, and referrals to support organisations when </w:t>
      </w:r>
      <w:r w:rsidR="00B72E1C">
        <w:t>an older person is deemed vulnerable due to social isolation, risk of harm or neglect. This is a</w:t>
      </w:r>
      <w:r w:rsidR="00FD3E48">
        <w:t xml:space="preserve"> notable change from the previous model, which provided advocacy support only when requested by a client</w:t>
      </w:r>
      <w:r w:rsidR="00085B0B">
        <w:t xml:space="preserve">. </w:t>
      </w:r>
      <w:r w:rsidR="00F370A2">
        <w:t xml:space="preserve">In addition, the expanded NACAP will also contain other activities that will </w:t>
      </w:r>
      <w:r w:rsidR="00F370A2">
        <w:rPr>
          <w:lang w:eastAsia="en-AU"/>
        </w:rPr>
        <w:t xml:space="preserve">help </w:t>
      </w:r>
      <w:r w:rsidR="00F370A2" w:rsidRPr="00575424">
        <w:rPr>
          <w:lang w:eastAsia="en-AU"/>
        </w:rPr>
        <w:t xml:space="preserve">aged care service consumers and their families of choice to self-advocate for their aged care </w:t>
      </w:r>
      <w:proofErr w:type="gramStart"/>
      <w:r w:rsidR="00F370A2" w:rsidRPr="00575424">
        <w:rPr>
          <w:lang w:eastAsia="en-AU"/>
        </w:rPr>
        <w:t>rights</w:t>
      </w:r>
      <w:r w:rsidR="00F370A2">
        <w:rPr>
          <w:lang w:eastAsia="en-AU"/>
        </w:rPr>
        <w:t xml:space="preserve">, </w:t>
      </w:r>
      <w:r w:rsidR="009E5208">
        <w:rPr>
          <w:lang w:eastAsia="en-AU"/>
        </w:rPr>
        <w:t>and</w:t>
      </w:r>
      <w:proofErr w:type="gramEnd"/>
      <w:r w:rsidR="009E5208">
        <w:rPr>
          <w:lang w:eastAsia="en-AU"/>
        </w:rPr>
        <w:t xml:space="preserve"> </w:t>
      </w:r>
      <w:r w:rsidR="00F370A2">
        <w:rPr>
          <w:lang w:eastAsia="en-AU"/>
        </w:rPr>
        <w:t>develop greater insight into</w:t>
      </w:r>
      <w:r w:rsidR="009E5208">
        <w:rPr>
          <w:lang w:eastAsia="en-AU"/>
        </w:rPr>
        <w:t xml:space="preserve"> complicated areas of the aged care sector such as</w:t>
      </w:r>
      <w:r w:rsidR="00F370A2">
        <w:rPr>
          <w:lang w:eastAsia="en-AU"/>
        </w:rPr>
        <w:t xml:space="preserve"> Home Care service costs</w:t>
      </w:r>
      <w:r w:rsidR="009E5208">
        <w:rPr>
          <w:lang w:eastAsia="en-AU"/>
        </w:rPr>
        <w:t>. The expanded NACAP will also include a Diversity Education Project for aged care providers</w:t>
      </w:r>
      <w:r w:rsidR="00622709">
        <w:rPr>
          <w:lang w:eastAsia="en-AU"/>
        </w:rPr>
        <w:t xml:space="preserve"> on the delivery of culturally safe and inclusive services to people from diverse and marginalised groups. </w:t>
      </w:r>
    </w:p>
    <w:p w14:paraId="706E51E0" w14:textId="12D61031" w:rsidR="008C65AB" w:rsidRPr="00B10C01" w:rsidRDefault="008C1CC0">
      <w:pPr>
        <w:rPr>
          <w:lang w:eastAsia="en-AU"/>
        </w:rPr>
      </w:pPr>
      <w:r>
        <w:t xml:space="preserve">Ongoing </w:t>
      </w:r>
      <w:r>
        <w:rPr>
          <w:lang w:eastAsia="en-AU"/>
        </w:rPr>
        <w:t>m</w:t>
      </w:r>
      <w:r w:rsidR="00AF38EA">
        <w:rPr>
          <w:lang w:eastAsia="en-AU"/>
        </w:rPr>
        <w:t xml:space="preserve">onitoring and evaluation will be key to ensuring that NACAP continues to meet the needs of target populations through its activities. </w:t>
      </w:r>
      <w:r w:rsidR="004734BF">
        <w:rPr>
          <w:lang w:eastAsia="en-AU"/>
        </w:rPr>
        <w:t xml:space="preserve">Sound data capture practices will help the evaluation process. </w:t>
      </w:r>
      <w:r w:rsidR="00592003">
        <w:rPr>
          <w:lang w:eastAsia="en-AU"/>
        </w:rPr>
        <w:t>It is</w:t>
      </w:r>
      <w:r w:rsidR="00002793">
        <w:rPr>
          <w:lang w:eastAsia="en-AU"/>
        </w:rPr>
        <w:t xml:space="preserve"> </w:t>
      </w:r>
      <w:r w:rsidR="00592003">
        <w:rPr>
          <w:lang w:eastAsia="en-AU"/>
        </w:rPr>
        <w:t xml:space="preserve">envisaged that through the </w:t>
      </w:r>
      <w:r w:rsidR="00FD5A46">
        <w:rPr>
          <w:lang w:eastAsia="en-AU"/>
        </w:rPr>
        <w:t xml:space="preserve">current </w:t>
      </w:r>
      <w:r w:rsidR="00775C39">
        <w:rPr>
          <w:lang w:eastAsia="en-AU"/>
        </w:rPr>
        <w:t xml:space="preserve">National </w:t>
      </w:r>
      <w:r w:rsidR="00592003">
        <w:rPr>
          <w:lang w:eastAsia="en-AU"/>
        </w:rPr>
        <w:t xml:space="preserve">Minimum Dataset </w:t>
      </w:r>
      <w:r w:rsidR="00775C39">
        <w:rPr>
          <w:lang w:eastAsia="en-AU"/>
        </w:rPr>
        <w:t xml:space="preserve">(NMDS) </w:t>
      </w:r>
      <w:r w:rsidR="00592003">
        <w:rPr>
          <w:lang w:eastAsia="en-AU"/>
        </w:rPr>
        <w:t xml:space="preserve">project that a </w:t>
      </w:r>
      <w:r w:rsidR="003346D2">
        <w:rPr>
          <w:bCs/>
        </w:rPr>
        <w:t xml:space="preserve">nationally </w:t>
      </w:r>
      <w:r w:rsidR="00196918">
        <w:rPr>
          <w:bCs/>
        </w:rPr>
        <w:t>consistent</w:t>
      </w:r>
      <w:r w:rsidR="008C65AB">
        <w:rPr>
          <w:bCs/>
        </w:rPr>
        <w:t xml:space="preserve"> data collection </w:t>
      </w:r>
      <w:r w:rsidR="00AB2B77">
        <w:rPr>
          <w:bCs/>
        </w:rPr>
        <w:t xml:space="preserve">process </w:t>
      </w:r>
      <w:r w:rsidR="00592003">
        <w:rPr>
          <w:bCs/>
        </w:rPr>
        <w:t xml:space="preserve">will be developed which will </w:t>
      </w:r>
      <w:r w:rsidR="001F7A1B">
        <w:rPr>
          <w:bCs/>
        </w:rPr>
        <w:t>improve</w:t>
      </w:r>
      <w:r w:rsidR="001F7A1B" w:rsidRPr="001F7A1B">
        <w:rPr>
          <w:bCs/>
        </w:rPr>
        <w:t xml:space="preserve"> data and reporting capabilities across SDOs.</w:t>
      </w:r>
      <w:r w:rsidR="005F7D45">
        <w:rPr>
          <w:bCs/>
        </w:rPr>
        <w:t xml:space="preserve"> </w:t>
      </w:r>
    </w:p>
    <w:p w14:paraId="5ACE46DC" w14:textId="387C57FC" w:rsidR="006510A6" w:rsidRPr="009458FB" w:rsidRDefault="00904FE2" w:rsidP="004B5E00">
      <w:pPr>
        <w:pStyle w:val="Heading2un-numbered"/>
      </w:pPr>
      <w:bookmarkStart w:id="57" w:name="_Toc99437493"/>
      <w:r>
        <w:rPr>
          <w:bCs w:val="0"/>
        </w:rPr>
        <w:t>Future considerations</w:t>
      </w:r>
      <w:bookmarkEnd w:id="57"/>
    </w:p>
    <w:p w14:paraId="4B6852E9" w14:textId="713D67AB" w:rsidR="00CD06EC" w:rsidRDefault="009A5BD6">
      <w:bookmarkStart w:id="58" w:name="_Hlk94643412"/>
      <w:r>
        <w:t xml:space="preserve">This </w:t>
      </w:r>
      <w:r w:rsidR="003346D2">
        <w:t xml:space="preserve">report </w:t>
      </w:r>
      <w:r w:rsidR="00353472">
        <w:t>advances understanding of</w:t>
      </w:r>
      <w:r>
        <w:t xml:space="preserve"> potential demand for advocacy services now and into the future.</w:t>
      </w:r>
      <w:r w:rsidR="0070143F" w:rsidDel="0070143F">
        <w:t xml:space="preserve"> </w:t>
      </w:r>
    </w:p>
    <w:bookmarkEnd w:id="58"/>
    <w:p w14:paraId="648801FF" w14:textId="6EE2DB64" w:rsidR="0053779B" w:rsidRDefault="00F32AFD">
      <w:r>
        <w:t>The unit record data</w:t>
      </w:r>
      <w:r w:rsidR="00DA784A">
        <w:t xml:space="preserve"> provided by SDOs</w:t>
      </w:r>
      <w:r>
        <w:t xml:space="preserve"> </w:t>
      </w:r>
      <w:r w:rsidR="000B4355">
        <w:t>presented</w:t>
      </w:r>
      <w:r>
        <w:t xml:space="preserve"> significant gaps</w:t>
      </w:r>
      <w:r w:rsidR="00A84C46">
        <w:t xml:space="preserve"> that impacted</w:t>
      </w:r>
      <w:r w:rsidR="004476D1">
        <w:t xml:space="preserve"> </w:t>
      </w:r>
      <w:r w:rsidR="00A84C46">
        <w:t>demand estimation</w:t>
      </w:r>
      <w:r w:rsidR="00DA784A">
        <w:t xml:space="preserve"> for </w:t>
      </w:r>
      <w:r>
        <w:t>NACAP services</w:t>
      </w:r>
      <w:r w:rsidR="00465458">
        <w:t xml:space="preserve"> </w:t>
      </w:r>
      <w:r w:rsidR="00736C4F">
        <w:t>(</w:t>
      </w:r>
      <w:r w:rsidR="000013B5">
        <w:fldChar w:fldCharType="begin"/>
      </w:r>
      <w:r w:rsidR="000013B5">
        <w:instrText xml:space="preserve"> REF _Ref95299591 \r \h </w:instrText>
      </w:r>
      <w:r w:rsidR="000013B5">
        <w:fldChar w:fldCharType="separate"/>
      </w:r>
      <w:r w:rsidR="00DC6A20">
        <w:t>Table ii</w:t>
      </w:r>
      <w:r w:rsidR="000013B5">
        <w:fldChar w:fldCharType="end"/>
      </w:r>
      <w:r w:rsidR="00736C4F">
        <w:t>)</w:t>
      </w:r>
      <w:r>
        <w:t>.</w:t>
      </w:r>
    </w:p>
    <w:p w14:paraId="60499FBC" w14:textId="10078D2F" w:rsidR="002D6E86" w:rsidRDefault="00C06DE9" w:rsidP="00AE7C4D">
      <w:pPr>
        <w:pStyle w:val="ExecTableCaption"/>
      </w:pPr>
      <w:bookmarkStart w:id="59" w:name="_Toc99117013"/>
      <w:bookmarkStart w:id="60" w:name="_Ref95299591"/>
      <w:r>
        <w:lastRenderedPageBreak/>
        <w:t xml:space="preserve">: Key data limitations </w:t>
      </w:r>
      <w:r w:rsidR="004870B9">
        <w:t xml:space="preserve">in current </w:t>
      </w:r>
      <w:r>
        <w:t>unit record data</w:t>
      </w:r>
      <w:bookmarkEnd w:id="59"/>
      <w:bookmarkEnd w:id="60"/>
    </w:p>
    <w:tbl>
      <w:tblPr>
        <w:tblStyle w:val="Deloittetable"/>
        <w:tblW w:w="5000" w:type="pct"/>
        <w:tblLook w:val="04A0" w:firstRow="1" w:lastRow="0" w:firstColumn="1" w:lastColumn="0" w:noHBand="0" w:noVBand="1"/>
      </w:tblPr>
      <w:tblGrid>
        <w:gridCol w:w="2528"/>
        <w:gridCol w:w="3077"/>
        <w:gridCol w:w="3421"/>
      </w:tblGrid>
      <w:tr w:rsidR="000E499D" w14:paraId="3C740699" w14:textId="77777777" w:rsidTr="006C3981">
        <w:trPr>
          <w:cnfStyle w:val="100000000000" w:firstRow="1" w:lastRow="0" w:firstColumn="0" w:lastColumn="0" w:oddVBand="0" w:evenVBand="0" w:oddHBand="0" w:evenHBand="0" w:firstRowFirstColumn="0" w:firstRowLastColumn="0" w:lastRowFirstColumn="0" w:lastRowLastColumn="0"/>
          <w:trHeight w:val="308"/>
        </w:trPr>
        <w:tc>
          <w:tcPr>
            <w:tcW w:w="1158" w:type="pct"/>
          </w:tcPr>
          <w:p w14:paraId="6B108449" w14:textId="311231F3" w:rsidR="000E499D" w:rsidRPr="00960B6F" w:rsidRDefault="000F7F54" w:rsidP="006C3981">
            <w:pPr>
              <w:pStyle w:val="ListBullet2"/>
              <w:keepNext/>
              <w:numPr>
                <w:ilvl w:val="0"/>
                <w:numId w:val="0"/>
              </w:numPr>
              <w:rPr>
                <w:b/>
              </w:rPr>
            </w:pPr>
            <w:r w:rsidRPr="00960B6F">
              <w:rPr>
                <w:b/>
              </w:rPr>
              <w:t xml:space="preserve"> </w:t>
            </w:r>
            <w:r w:rsidR="000E499D" w:rsidRPr="00960B6F">
              <w:rPr>
                <w:b/>
              </w:rPr>
              <w:t>Area</w:t>
            </w:r>
          </w:p>
        </w:tc>
        <w:tc>
          <w:tcPr>
            <w:tcW w:w="1826" w:type="pct"/>
          </w:tcPr>
          <w:p w14:paraId="73AFE552" w14:textId="75AA89CE" w:rsidR="000E499D" w:rsidRPr="00960B6F" w:rsidRDefault="000F7F54" w:rsidP="006C3981">
            <w:pPr>
              <w:pStyle w:val="ListBullet2"/>
              <w:keepNext/>
              <w:numPr>
                <w:ilvl w:val="0"/>
                <w:numId w:val="0"/>
              </w:numPr>
              <w:rPr>
                <w:b/>
              </w:rPr>
            </w:pPr>
            <w:r w:rsidRPr="00960B6F">
              <w:rPr>
                <w:b/>
              </w:rPr>
              <w:t xml:space="preserve"> </w:t>
            </w:r>
            <w:r w:rsidR="000E499D" w:rsidRPr="00960B6F">
              <w:rPr>
                <w:b/>
              </w:rPr>
              <w:t>Limitations</w:t>
            </w:r>
          </w:p>
        </w:tc>
        <w:tc>
          <w:tcPr>
            <w:tcW w:w="2016" w:type="pct"/>
          </w:tcPr>
          <w:p w14:paraId="3C08E633" w14:textId="09221D88" w:rsidR="000E499D" w:rsidRPr="00960B6F" w:rsidRDefault="00087D4E" w:rsidP="006C3981">
            <w:pPr>
              <w:pStyle w:val="ListBullet2"/>
              <w:keepNext/>
              <w:numPr>
                <w:ilvl w:val="0"/>
                <w:numId w:val="0"/>
              </w:numPr>
              <w:rPr>
                <w:b/>
              </w:rPr>
            </w:pPr>
            <w:r w:rsidRPr="00960B6F">
              <w:rPr>
                <w:b/>
              </w:rPr>
              <w:t>Opportunities for future</w:t>
            </w:r>
            <w:r w:rsidR="000F7F54" w:rsidRPr="00960B6F">
              <w:rPr>
                <w:b/>
              </w:rPr>
              <w:t xml:space="preserve"> </w:t>
            </w:r>
            <w:r w:rsidR="000E499D" w:rsidRPr="00960B6F">
              <w:rPr>
                <w:b/>
              </w:rPr>
              <w:t>NACAP</w:t>
            </w:r>
            <w:r w:rsidRPr="00960B6F">
              <w:rPr>
                <w:b/>
              </w:rPr>
              <w:t xml:space="preserve"> data collection</w:t>
            </w:r>
          </w:p>
        </w:tc>
      </w:tr>
      <w:tr w:rsidR="000E499D" w14:paraId="3832BD1C" w14:textId="77777777" w:rsidTr="006C3981">
        <w:trPr>
          <w:trHeight w:val="1627"/>
        </w:trPr>
        <w:tc>
          <w:tcPr>
            <w:tcW w:w="1158" w:type="pct"/>
          </w:tcPr>
          <w:p w14:paraId="49A0C9D3" w14:textId="42F2AF14" w:rsidR="000E499D" w:rsidRPr="00F74E91" w:rsidRDefault="000F7F54" w:rsidP="006C3981">
            <w:pPr>
              <w:pStyle w:val="ListBullet2"/>
              <w:keepNext/>
              <w:numPr>
                <w:ilvl w:val="0"/>
                <w:numId w:val="0"/>
              </w:numPr>
              <w:rPr>
                <w:b/>
              </w:rPr>
            </w:pPr>
            <w:r>
              <w:rPr>
                <w:b/>
                <w:bCs/>
              </w:rPr>
              <w:t xml:space="preserve"> </w:t>
            </w:r>
            <w:r w:rsidR="00C45148">
              <w:rPr>
                <w:b/>
                <w:bCs/>
              </w:rPr>
              <w:t>C</w:t>
            </w:r>
            <w:r w:rsidR="000E499D" w:rsidRPr="00F74E91">
              <w:rPr>
                <w:b/>
                <w:bCs/>
              </w:rPr>
              <w:t>omprehensiveness</w:t>
            </w:r>
          </w:p>
        </w:tc>
        <w:tc>
          <w:tcPr>
            <w:tcW w:w="1826" w:type="pct"/>
          </w:tcPr>
          <w:p w14:paraId="386B7207" w14:textId="3560EF16" w:rsidR="000E499D" w:rsidRDefault="00443E6C" w:rsidP="006C3981">
            <w:pPr>
              <w:pStyle w:val="ListBullet2"/>
              <w:keepNext/>
              <w:numPr>
                <w:ilvl w:val="0"/>
                <w:numId w:val="0"/>
              </w:numPr>
              <w:ind w:left="57" w:right="0"/>
            </w:pPr>
            <w:r>
              <w:t>D</w:t>
            </w:r>
            <w:r w:rsidRPr="009E3669">
              <w:t>ata gaps</w:t>
            </w:r>
            <w:r>
              <w:t xml:space="preserve"> for user characteristics</w:t>
            </w:r>
            <w:r w:rsidRPr="009E3669">
              <w:t xml:space="preserve"> across states </w:t>
            </w:r>
            <w:r>
              <w:t xml:space="preserve">prevented an accurate analysis of how NACAP was reaching vulnerable populations across </w:t>
            </w:r>
            <w:r w:rsidR="003E61CC">
              <w:t>S</w:t>
            </w:r>
            <w:r>
              <w:t>tate</w:t>
            </w:r>
            <w:r w:rsidR="003E61CC">
              <w:t>s</w:t>
            </w:r>
          </w:p>
        </w:tc>
        <w:tc>
          <w:tcPr>
            <w:tcW w:w="2016" w:type="pct"/>
          </w:tcPr>
          <w:p w14:paraId="488F300A" w14:textId="77777777" w:rsidR="000E499D" w:rsidRDefault="000E499D" w:rsidP="006C3981">
            <w:pPr>
              <w:pStyle w:val="ListBullet2"/>
              <w:keepNext/>
              <w:numPr>
                <w:ilvl w:val="0"/>
                <w:numId w:val="0"/>
              </w:numPr>
              <w:ind w:left="57"/>
            </w:pPr>
            <w:r>
              <w:t>Encourage the recording of key features</w:t>
            </w:r>
            <w:r w:rsidRPr="006D4770">
              <w:t xml:space="preserve"> of a user such as whether they are experiencing elder abuse </w:t>
            </w:r>
            <w:r>
              <w:t>or have dementia. Doing so will enable a b</w:t>
            </w:r>
            <w:r w:rsidRPr="00A56D8D">
              <w:t>etter allocation of funding for NACAP services</w:t>
            </w:r>
            <w:r>
              <w:t xml:space="preserve"> across user needs</w:t>
            </w:r>
            <w:r w:rsidRPr="00A56D8D">
              <w:t>.</w:t>
            </w:r>
          </w:p>
        </w:tc>
      </w:tr>
      <w:tr w:rsidR="000E499D" w14:paraId="611F1284" w14:textId="77777777" w:rsidTr="006C3981">
        <w:trPr>
          <w:trHeight w:val="626"/>
        </w:trPr>
        <w:tc>
          <w:tcPr>
            <w:tcW w:w="1158" w:type="pct"/>
          </w:tcPr>
          <w:p w14:paraId="371D0182" w14:textId="7AF00CD9" w:rsidR="000E499D" w:rsidRPr="00F74E91" w:rsidRDefault="000F7F54" w:rsidP="006C3981">
            <w:pPr>
              <w:pStyle w:val="ListBullet2"/>
              <w:keepNext/>
              <w:numPr>
                <w:ilvl w:val="0"/>
                <w:numId w:val="0"/>
              </w:numPr>
              <w:rPr>
                <w:i/>
              </w:rPr>
            </w:pPr>
            <w:r>
              <w:rPr>
                <w:b/>
                <w:bCs/>
              </w:rPr>
              <w:t xml:space="preserve"> </w:t>
            </w:r>
            <w:r w:rsidR="000E499D" w:rsidRPr="00F74E91">
              <w:rPr>
                <w:b/>
                <w:bCs/>
              </w:rPr>
              <w:t>Consistency</w:t>
            </w:r>
          </w:p>
        </w:tc>
        <w:tc>
          <w:tcPr>
            <w:tcW w:w="1826" w:type="pct"/>
          </w:tcPr>
          <w:p w14:paraId="6ECFA999" w14:textId="1FC378CE" w:rsidR="000E499D" w:rsidRDefault="003E61CC" w:rsidP="006C3981">
            <w:pPr>
              <w:pStyle w:val="ListBullet2"/>
              <w:keepNext/>
              <w:numPr>
                <w:ilvl w:val="0"/>
                <w:numId w:val="0"/>
              </w:numPr>
              <w:ind w:left="57"/>
            </w:pPr>
            <w:r>
              <w:t>Inconsistent data capture across states for optional fields (e.g., CALD status) meant that usage rates for certain populations might have been under- or overestimated, depending on the operations within the State</w:t>
            </w:r>
          </w:p>
        </w:tc>
        <w:tc>
          <w:tcPr>
            <w:tcW w:w="2016" w:type="pct"/>
          </w:tcPr>
          <w:p w14:paraId="0C70DEC6" w14:textId="1F7E81FE" w:rsidR="000E499D" w:rsidRDefault="000E499D" w:rsidP="00834B06">
            <w:pPr>
              <w:pStyle w:val="ListBullet2"/>
              <w:keepNext/>
              <w:numPr>
                <w:ilvl w:val="0"/>
                <w:numId w:val="0"/>
              </w:numPr>
              <w:ind w:left="57"/>
            </w:pPr>
            <w:r w:rsidRPr="002C13C3">
              <w:t>Adopt consistent data capture to ensure consistent capture of characteristics across SDOs</w:t>
            </w:r>
            <w:r w:rsidR="002643CB">
              <w:t>.</w:t>
            </w:r>
            <w:r w:rsidRPr="002C13C3">
              <w:t xml:space="preserve"> </w:t>
            </w:r>
            <w:r w:rsidR="002643CB">
              <w:t>It is understood</w:t>
            </w:r>
            <w:r w:rsidRPr="002C13C3">
              <w:t xml:space="preserve"> that the minimum dataset project will </w:t>
            </w:r>
            <w:r w:rsidR="0005285B">
              <w:t xml:space="preserve">help to </w:t>
            </w:r>
            <w:r w:rsidRPr="002C13C3">
              <w:t>address this</w:t>
            </w:r>
            <w:r>
              <w:t>.</w:t>
            </w:r>
          </w:p>
        </w:tc>
      </w:tr>
      <w:tr w:rsidR="000E499D" w14:paraId="0CBFF5FC" w14:textId="77777777" w:rsidTr="006C3981">
        <w:trPr>
          <w:trHeight w:val="618"/>
        </w:trPr>
        <w:tc>
          <w:tcPr>
            <w:tcW w:w="1158" w:type="pct"/>
          </w:tcPr>
          <w:p w14:paraId="0DE46A1F" w14:textId="106A6AFC" w:rsidR="000E499D" w:rsidRPr="00F74E91" w:rsidRDefault="000F7F54" w:rsidP="006C3981">
            <w:pPr>
              <w:pStyle w:val="ListBullet2"/>
              <w:keepNext/>
              <w:numPr>
                <w:ilvl w:val="0"/>
                <w:numId w:val="0"/>
              </w:numPr>
              <w:rPr>
                <w:i/>
              </w:rPr>
            </w:pPr>
            <w:r>
              <w:rPr>
                <w:b/>
                <w:bCs/>
              </w:rPr>
              <w:t xml:space="preserve"> </w:t>
            </w:r>
            <w:r w:rsidR="000E499D" w:rsidRPr="00F74E91">
              <w:rPr>
                <w:b/>
                <w:bCs/>
              </w:rPr>
              <w:t>Quality</w:t>
            </w:r>
          </w:p>
        </w:tc>
        <w:tc>
          <w:tcPr>
            <w:tcW w:w="1826" w:type="pct"/>
          </w:tcPr>
          <w:p w14:paraId="0EC7D7E5" w14:textId="7742BBB0" w:rsidR="000E499D" w:rsidRDefault="00CC0D76" w:rsidP="006C3981">
            <w:pPr>
              <w:pStyle w:val="ListBullet2"/>
              <w:keepNext/>
              <w:numPr>
                <w:ilvl w:val="0"/>
                <w:numId w:val="0"/>
              </w:numPr>
              <w:ind w:left="57"/>
            </w:pPr>
            <w:r>
              <w:t xml:space="preserve">Instances of inaccurate </w:t>
            </w:r>
            <w:r w:rsidR="000E499D" w:rsidRPr="006F14CC">
              <w:t>data, with some records showing extreme values</w:t>
            </w:r>
            <w:r w:rsidR="003A4C99">
              <w:t>,</w:t>
            </w:r>
            <w:r w:rsidR="000E499D" w:rsidRPr="006F14CC">
              <w:t xml:space="preserve"> </w:t>
            </w:r>
            <w:r>
              <w:t>impeded an understanding of</w:t>
            </w:r>
            <w:r w:rsidR="000E499D" w:rsidRPr="006F14CC">
              <w:t xml:space="preserve"> the </w:t>
            </w:r>
            <w:r>
              <w:t>true user characteristics</w:t>
            </w:r>
          </w:p>
        </w:tc>
        <w:tc>
          <w:tcPr>
            <w:tcW w:w="2016" w:type="pct"/>
          </w:tcPr>
          <w:p w14:paraId="6B6B4196" w14:textId="77777777" w:rsidR="000E499D" w:rsidRDefault="000E499D" w:rsidP="006C3981">
            <w:pPr>
              <w:pStyle w:val="ListBullet2"/>
              <w:keepNext/>
              <w:numPr>
                <w:ilvl w:val="0"/>
                <w:numId w:val="0"/>
              </w:numPr>
              <w:ind w:left="57"/>
            </w:pPr>
            <w:r w:rsidRPr="000A2174">
              <w:t>Provide advocates with training on data definitions and data requirements</w:t>
            </w:r>
            <w:r>
              <w:t xml:space="preserve"> and c</w:t>
            </w:r>
            <w:r w:rsidRPr="000A2174">
              <w:t xml:space="preserve">onduct periodic data checks at SDO level to </w:t>
            </w:r>
            <w:r>
              <w:t>better</w:t>
            </w:r>
            <w:r w:rsidRPr="00845709">
              <w:t xml:space="preserve"> support prioritisation of needs</w:t>
            </w:r>
            <w:r>
              <w:t>.</w:t>
            </w:r>
          </w:p>
        </w:tc>
      </w:tr>
      <w:tr w:rsidR="00C45148" w14:paraId="0251883B" w14:textId="77777777" w:rsidTr="00A023A0">
        <w:trPr>
          <w:trHeight w:val="618"/>
        </w:trPr>
        <w:tc>
          <w:tcPr>
            <w:tcW w:w="1158" w:type="pct"/>
          </w:tcPr>
          <w:p w14:paraId="442732B9" w14:textId="54CB00DF" w:rsidR="00C45148" w:rsidRDefault="00C45148" w:rsidP="00C45148">
            <w:pPr>
              <w:pStyle w:val="ListBullet2"/>
              <w:keepNext/>
              <w:numPr>
                <w:ilvl w:val="0"/>
                <w:numId w:val="0"/>
              </w:numPr>
              <w:rPr>
                <w:b/>
                <w:bCs/>
              </w:rPr>
            </w:pPr>
            <w:r>
              <w:rPr>
                <w:b/>
                <w:bCs/>
              </w:rPr>
              <w:t xml:space="preserve"> </w:t>
            </w:r>
            <w:r w:rsidRPr="00F74E91">
              <w:rPr>
                <w:b/>
                <w:bCs/>
              </w:rPr>
              <w:t>Clarity</w:t>
            </w:r>
          </w:p>
        </w:tc>
        <w:tc>
          <w:tcPr>
            <w:tcW w:w="1826" w:type="pct"/>
          </w:tcPr>
          <w:p w14:paraId="2ED1ABF7" w14:textId="0811BA3E" w:rsidR="00C45148" w:rsidRDefault="006C3981" w:rsidP="00C45148">
            <w:pPr>
              <w:pStyle w:val="ListBullet2"/>
              <w:keepNext/>
              <w:numPr>
                <w:ilvl w:val="0"/>
                <w:numId w:val="0"/>
              </w:numPr>
              <w:ind w:left="57"/>
            </w:pPr>
            <w:r>
              <w:t>L</w:t>
            </w:r>
            <w:r w:rsidR="00C45148">
              <w:t xml:space="preserve">ack of clarity around whether </w:t>
            </w:r>
            <w:r w:rsidR="00520D24">
              <w:t xml:space="preserve">the </w:t>
            </w:r>
            <w:r w:rsidR="003C255F">
              <w:t xml:space="preserve">unit record data </w:t>
            </w:r>
            <w:r w:rsidR="00C45148">
              <w:t xml:space="preserve">captured the characteristics of </w:t>
            </w:r>
            <w:r w:rsidR="003C255F">
              <w:t xml:space="preserve">older people </w:t>
            </w:r>
            <w:r w:rsidR="00C45148">
              <w:t xml:space="preserve">or </w:t>
            </w:r>
            <w:r w:rsidR="00520D24">
              <w:t>those calling on behalf of the older people</w:t>
            </w:r>
            <w:r w:rsidR="00551A90">
              <w:t xml:space="preserve"> reduced data accuracy</w:t>
            </w:r>
          </w:p>
        </w:tc>
        <w:tc>
          <w:tcPr>
            <w:tcW w:w="2016" w:type="pct"/>
          </w:tcPr>
          <w:p w14:paraId="3CBEE485" w14:textId="674329F2" w:rsidR="00C45148" w:rsidRPr="000A2174" w:rsidRDefault="00C45148" w:rsidP="00C45148">
            <w:pPr>
              <w:pStyle w:val="ListBullet2"/>
              <w:keepNext/>
              <w:numPr>
                <w:ilvl w:val="0"/>
                <w:numId w:val="0"/>
              </w:numPr>
              <w:ind w:left="57"/>
            </w:pPr>
            <w:r w:rsidRPr="00E57AAC">
              <w:t>Provide an opportunity to capture information on the caller (in addition to the older person)</w:t>
            </w:r>
            <w:r w:rsidR="00974159">
              <w:t>.</w:t>
            </w:r>
            <w:r w:rsidRPr="00E57AAC">
              <w:t xml:space="preserve"> </w:t>
            </w:r>
            <w:r w:rsidR="00974159">
              <w:t>S</w:t>
            </w:r>
            <w:r w:rsidRPr="00E57AAC">
              <w:t>pecifically, whether they are the older person seeking help or a family member, loved one or a representative.</w:t>
            </w:r>
          </w:p>
        </w:tc>
      </w:tr>
    </w:tbl>
    <w:p w14:paraId="280D4D6F" w14:textId="6766568C" w:rsidR="0053779B" w:rsidRPr="00834B06" w:rsidRDefault="00A023A0">
      <w:pPr>
        <w:rPr>
          <w:szCs w:val="22"/>
        </w:rPr>
      </w:pPr>
      <w:r w:rsidRPr="00AA3FA9">
        <w:rPr>
          <w:color w:val="595959" w:themeColor="text1" w:themeTint="A6"/>
          <w:szCs w:val="22"/>
        </w:rPr>
        <w:t>Source: Deloitte Access Economics</w:t>
      </w:r>
    </w:p>
    <w:p w14:paraId="2CCB1119" w14:textId="15B10C81" w:rsidR="00D86F50" w:rsidRDefault="00F0730B" w:rsidP="00F068E3">
      <w:r>
        <w:t xml:space="preserve">Since </w:t>
      </w:r>
      <w:r w:rsidR="00D86F50" w:rsidRPr="00D86F50">
        <w:t xml:space="preserve">June 2021, </w:t>
      </w:r>
      <w:r w:rsidR="00DF749A">
        <w:t xml:space="preserve">the NMDS has been under development by OPAN. The NMDS will contain </w:t>
      </w:r>
      <w:r w:rsidR="00F068E3">
        <w:t>nationally consistent unit record data on aged care advocacy as part of the NACAP</w:t>
      </w:r>
      <w:r w:rsidR="00DF749A">
        <w:t>.</w:t>
      </w:r>
      <w:r w:rsidR="00F068E3">
        <w:t xml:space="preserve"> It is anticipated that the data collection for the </w:t>
      </w:r>
      <w:r w:rsidR="00DF749A">
        <w:t xml:space="preserve">NMDS </w:t>
      </w:r>
      <w:r w:rsidR="00F068E3">
        <w:t xml:space="preserve">will begin in April 2022 for all SDOs. </w:t>
      </w:r>
      <w:r w:rsidR="00F34AEA">
        <w:t>While t</w:t>
      </w:r>
      <w:r w:rsidR="00F068E3">
        <w:t xml:space="preserve">he </w:t>
      </w:r>
      <w:r w:rsidR="006A5610">
        <w:t xml:space="preserve">NMDS </w:t>
      </w:r>
      <w:r w:rsidR="00D86F50">
        <w:t xml:space="preserve">will </w:t>
      </w:r>
      <w:r w:rsidR="00F432A1">
        <w:t xml:space="preserve">help to </w:t>
      </w:r>
      <w:r w:rsidR="00D86F50">
        <w:t xml:space="preserve">address </w:t>
      </w:r>
      <w:r w:rsidR="00CF2666">
        <w:t xml:space="preserve">the identified issues </w:t>
      </w:r>
      <w:r w:rsidR="00D86F50">
        <w:t xml:space="preserve">in </w:t>
      </w:r>
      <w:r w:rsidR="00F068E3">
        <w:t xml:space="preserve">the current </w:t>
      </w:r>
      <w:r w:rsidR="00D86F50">
        <w:t>data collection</w:t>
      </w:r>
      <w:r w:rsidR="00F34AEA">
        <w:t xml:space="preserve"> it is important to keep </w:t>
      </w:r>
      <w:r w:rsidR="00BB4A96">
        <w:t xml:space="preserve">the current </w:t>
      </w:r>
      <w:r w:rsidR="006A5610">
        <w:t xml:space="preserve">data </w:t>
      </w:r>
      <w:r w:rsidR="00BB4A96">
        <w:t xml:space="preserve">challenges </w:t>
      </w:r>
      <w:r w:rsidR="006A5610">
        <w:t xml:space="preserve">and corresponding opportunities </w:t>
      </w:r>
      <w:r w:rsidR="00BB4A96">
        <w:t>in mind as</w:t>
      </w:r>
      <w:r w:rsidR="006A5610">
        <w:t xml:space="preserve"> the NMDS is developed and implemented to ensure that future </w:t>
      </w:r>
      <w:r w:rsidR="000245CA">
        <w:t>updates of this demand and supply analysis will be able to produce richer insights, such as state level projections.</w:t>
      </w:r>
    </w:p>
    <w:p w14:paraId="54F426C6" w14:textId="77777777" w:rsidR="0098098B" w:rsidRDefault="0098098B" w:rsidP="00B77A97">
      <w:r>
        <w:lastRenderedPageBreak/>
        <w:t>Future work may also wish to explore the use of behavio</w:t>
      </w:r>
      <w:r w:rsidR="00A206AD">
        <w:t>u</w:t>
      </w:r>
      <w:r>
        <w:t xml:space="preserve">rally informed approaches </w:t>
      </w:r>
      <w:r w:rsidR="00BE00BA">
        <w:t xml:space="preserve">which can be low-cost and effective ways to increase program take-up </w:t>
      </w:r>
      <w:r w:rsidR="00A206AD">
        <w:t>through improving communications and accessibility.</w:t>
      </w:r>
    </w:p>
    <w:p w14:paraId="0ABF69EF" w14:textId="77777777" w:rsidR="003C19AB" w:rsidRDefault="003C19AB">
      <w:pPr>
        <w:rPr>
          <w:vertAlign w:val="subscript"/>
        </w:rPr>
        <w:sectPr w:rsidR="003C19AB" w:rsidSect="005F043A">
          <w:headerReference w:type="default" r:id="rId26"/>
          <w:footerReference w:type="default" r:id="rId27"/>
          <w:pgSz w:w="11906" w:h="16838" w:code="9"/>
          <w:pgMar w:top="1440" w:right="1440" w:bottom="1440" w:left="1440" w:header="680" w:footer="425" w:gutter="0"/>
          <w:pgNumType w:fmt="lowerRoman"/>
          <w:cols w:space="284"/>
          <w:noEndnote/>
          <w:docGrid w:linePitch="360"/>
        </w:sectPr>
      </w:pPr>
      <w:bookmarkStart w:id="61" w:name="_Toc94771819"/>
    </w:p>
    <w:p w14:paraId="0629B89A" w14:textId="76FC0CA1" w:rsidR="00BF3260" w:rsidRDefault="00865E27" w:rsidP="00EC6D8D">
      <w:pPr>
        <w:pStyle w:val="Heading1"/>
      </w:pPr>
      <w:bookmarkStart w:id="62" w:name="_Toc99437494"/>
      <w:r>
        <w:lastRenderedPageBreak/>
        <w:t>Introduction</w:t>
      </w:r>
      <w:bookmarkEnd w:id="61"/>
      <w:bookmarkEnd w:id="62"/>
    </w:p>
    <w:p w14:paraId="099BA605" w14:textId="34E03D36" w:rsidR="004213EA" w:rsidRDefault="00865E27" w:rsidP="004213EA">
      <w:pPr>
        <w:pStyle w:val="Heading2"/>
      </w:pPr>
      <w:bookmarkStart w:id="63" w:name="_Toc94771820"/>
      <w:bookmarkStart w:id="64" w:name="_Toc99437495"/>
      <w:r>
        <w:t>Background</w:t>
      </w:r>
      <w:bookmarkEnd w:id="63"/>
      <w:bookmarkEnd w:id="64"/>
    </w:p>
    <w:p w14:paraId="3225F90C" w14:textId="4D37B49B" w:rsidR="00875ABD" w:rsidRDefault="00875ABD" w:rsidP="00875ABD">
      <w:r>
        <w:t xml:space="preserve">Aged care advocacy has been delivered in Australia since it was recommended by the </w:t>
      </w:r>
      <w:proofErr w:type="spellStart"/>
      <w:r>
        <w:t>Ronalds</w:t>
      </w:r>
      <w:proofErr w:type="spellEnd"/>
      <w:r>
        <w:t xml:space="preserve"> Review in 1989.</w:t>
      </w:r>
      <w:r>
        <w:rPr>
          <w:rStyle w:val="EndnoteReference"/>
        </w:rPr>
        <w:endnoteReference w:id="6"/>
      </w:r>
      <w:r>
        <w:t xml:space="preserve"> Under the Residential Advocacy Services Program, this Review resulted in funding for nine state and territory-based organisations to offer information and advocacy to persons receiving government-funded residential aged care. The program was renamed the National Aged Care Advocacy Program (NACAP) in 2002 to reflect the program's expansion to encompass people receiving non-residential aged care services. NACAP became a nationwide </w:t>
      </w:r>
      <w:r w:rsidR="001A5060">
        <w:t>program</w:t>
      </w:r>
      <w:r>
        <w:t xml:space="preserve"> overseen by </w:t>
      </w:r>
      <w:r w:rsidRPr="00FC4AAE">
        <w:t xml:space="preserve">Older Persons Advocacy </w:t>
      </w:r>
      <w:r w:rsidRPr="007E65DF">
        <w:t>Network (</w:t>
      </w:r>
      <w:r>
        <w:t>OPAN</w:t>
      </w:r>
      <w:r w:rsidRPr="007E65DF">
        <w:t>)</w:t>
      </w:r>
      <w:r>
        <w:t xml:space="preserve"> in 2017, with services provided by nine state and territory-based organisations (SDOs).</w:t>
      </w:r>
      <w:r>
        <w:rPr>
          <w:rStyle w:val="EndnoteReference"/>
        </w:rPr>
        <w:endnoteReference w:id="7"/>
      </w:r>
    </w:p>
    <w:p w14:paraId="4A99DE80" w14:textId="77777777" w:rsidR="00B84CAF" w:rsidRDefault="00B84CAF" w:rsidP="00163131">
      <w:pPr>
        <w:pStyle w:val="Heading3"/>
        <w:ind w:left="993" w:hanging="993"/>
      </w:pPr>
      <w:bookmarkStart w:id="65" w:name="_Toc85809806"/>
      <w:bookmarkStart w:id="66" w:name="_Ref89085189"/>
      <w:bookmarkStart w:id="67" w:name="_Toc90901069"/>
      <w:bookmarkStart w:id="68" w:name="_Toc94771821"/>
      <w:bookmarkStart w:id="69" w:name="_Toc99437496"/>
      <w:r>
        <w:t>The National Aged Care Advocacy Program (NACAP)</w:t>
      </w:r>
      <w:bookmarkEnd w:id="65"/>
      <w:bookmarkEnd w:id="66"/>
      <w:bookmarkEnd w:id="67"/>
      <w:bookmarkEnd w:id="68"/>
      <w:bookmarkEnd w:id="69"/>
    </w:p>
    <w:p w14:paraId="50FFB8C8" w14:textId="77777777" w:rsidR="00B84CAF" w:rsidRDefault="00B84CAF" w:rsidP="003D2E88">
      <w:r>
        <w:t xml:space="preserve">The National Aged Care Advocacy Program (NACAP) is funded by the Australian Government under the </w:t>
      </w:r>
      <w:r w:rsidRPr="00404C3F">
        <w:rPr>
          <w:i/>
          <w:iCs/>
        </w:rPr>
        <w:t>Aged Care Act 1997</w:t>
      </w:r>
      <w:r>
        <w:t xml:space="preserve"> (the Act). The NACAP provides free, independent, and confidential advocacy support, education, and information to older people (and their representatives) receiving, or seeking to receive, Australian Government funded aged care services.</w:t>
      </w:r>
      <w:r>
        <w:rPr>
          <w:rStyle w:val="EndnoteReference"/>
        </w:rPr>
        <w:endnoteReference w:id="8"/>
      </w:r>
    </w:p>
    <w:p w14:paraId="7D60AAA4" w14:textId="77777777" w:rsidR="00B84CAF" w:rsidRDefault="00B84CAF" w:rsidP="003D2E88">
      <w:r>
        <w:t>The NACAP objectives are met through the following activities:</w:t>
      </w:r>
    </w:p>
    <w:p w14:paraId="007F5B8E" w14:textId="77777777" w:rsidR="00B84CAF" w:rsidRDefault="00B84CAF" w:rsidP="00B84CAF">
      <w:pPr>
        <w:pStyle w:val="ListNumber"/>
      </w:pPr>
      <w:r>
        <w:t>Advocacy support and information: independent and individually focused aged care advocacy support and information to older people (including their families of choice or representatives) including to older people in rural, regional, and remote areas, and diverse groups.</w:t>
      </w:r>
    </w:p>
    <w:p w14:paraId="30E8015F" w14:textId="77777777" w:rsidR="00B84CAF" w:rsidRDefault="00B84CAF" w:rsidP="00B84CAF">
      <w:pPr>
        <w:pStyle w:val="ListNumber"/>
      </w:pPr>
      <w:r>
        <w:t>Outreach and education: outreach activities and education session to older people (including their families of choice or representatives) and aged care providers, to promote aged care consumer rights and raise awareness of elder abuse and prevention.</w:t>
      </w:r>
    </w:p>
    <w:p w14:paraId="4F89687D" w14:textId="77777777" w:rsidR="00B84CAF" w:rsidRPr="007434AE" w:rsidRDefault="00B84CAF" w:rsidP="00B84CAF">
      <w:pPr>
        <w:pStyle w:val="ListNumber"/>
      </w:pPr>
      <w:r>
        <w:t>Advocacy community development, Home Care vulnerability check-ins and Home Care cost education: independent programs to support older people (including their families of choice or representatives).</w:t>
      </w:r>
    </w:p>
    <w:p w14:paraId="657A539E" w14:textId="77777777" w:rsidR="00B84CAF" w:rsidRDefault="00B84CAF" w:rsidP="00B84CAF">
      <w:pPr>
        <w:pStyle w:val="ListNumber"/>
      </w:pPr>
      <w:r>
        <w:t>Support for aged care reform and emergencies: additional advocacy, education, and information to support aged care reforms for aged care providers, and consumers; and respond to emergency management issues that affect consumers of aged care services, their families of choice and carers, including but not limited to COVID-19 responses.</w:t>
      </w:r>
    </w:p>
    <w:p w14:paraId="20E6D294" w14:textId="0D9F09DF" w:rsidR="00B84CAF" w:rsidRDefault="00B84CAF" w:rsidP="00A05665">
      <w:pPr>
        <w:pStyle w:val="ListNumber"/>
        <w:spacing w:after="170"/>
      </w:pPr>
      <w:r>
        <w:t>Diversity education: education sessions to aged care providers and staff to understand and meet the needs of people from diverse background, characteristics, and life experiences in their care, including through online/digital systems.</w:t>
      </w:r>
      <w:r>
        <w:rPr>
          <w:rStyle w:val="EndnoteReference"/>
        </w:rPr>
        <w:endnoteReference w:id="9"/>
      </w:r>
    </w:p>
    <w:p w14:paraId="52294D1C" w14:textId="5EAFF578" w:rsidR="00B84CAF" w:rsidRPr="007A5AB6" w:rsidRDefault="00B84CAF" w:rsidP="003D2E88">
      <w:r>
        <w:t xml:space="preserve">The current </w:t>
      </w:r>
      <w:r w:rsidR="002919AA">
        <w:t xml:space="preserve">total </w:t>
      </w:r>
      <w:r>
        <w:t>program grant funding is $</w:t>
      </w:r>
      <w:r w:rsidR="00276CBD">
        <w:t>30.59</w:t>
      </w:r>
      <w:r w:rsidR="00841FB5">
        <w:t xml:space="preserve"> </w:t>
      </w:r>
      <w:r>
        <w:t>m</w:t>
      </w:r>
      <w:r w:rsidR="00841FB5">
        <w:t>illion</w:t>
      </w:r>
      <w:r>
        <w:t xml:space="preserve"> (ex</w:t>
      </w:r>
      <w:r w:rsidR="00841FB5">
        <w:t>cl</w:t>
      </w:r>
      <w:r>
        <w:t>. GST) in 2021/22 and will grow to $</w:t>
      </w:r>
      <w:r w:rsidR="00276CBD">
        <w:t>41.10</w:t>
      </w:r>
      <w:r w:rsidR="00841FB5">
        <w:t xml:space="preserve"> </w:t>
      </w:r>
      <w:r>
        <w:t>m</w:t>
      </w:r>
      <w:r w:rsidR="00841FB5">
        <w:t>illion</w:t>
      </w:r>
      <w:r>
        <w:t xml:space="preserve"> in 2024/25 to deliver the above activities and expand the reach of services across Australia.</w:t>
      </w:r>
    </w:p>
    <w:p w14:paraId="158000BE" w14:textId="77777777" w:rsidR="00B84CAF" w:rsidRPr="00F83A6A" w:rsidRDefault="00B84CAF" w:rsidP="00B84CAF">
      <w:pPr>
        <w:tabs>
          <w:tab w:val="num" w:pos="720"/>
        </w:tabs>
        <w:rPr>
          <w:b/>
          <w:bCs/>
        </w:rPr>
      </w:pPr>
      <w:r>
        <w:t xml:space="preserve">The NACAP is available to older </w:t>
      </w:r>
      <w:r w:rsidRPr="00AC2B0C">
        <w:t>people receiving Australian Government funded aged care services</w:t>
      </w:r>
      <w:r>
        <w:t xml:space="preserve">, </w:t>
      </w:r>
      <w:r w:rsidRPr="00AC2B0C">
        <w:t xml:space="preserve">people seeking to receive Australian Government funded aged care services (this may include prior to receiving an aged care </w:t>
      </w:r>
      <w:r w:rsidRPr="00AC2B0C">
        <w:lastRenderedPageBreak/>
        <w:t>assessment)</w:t>
      </w:r>
      <w:r>
        <w:t xml:space="preserve">, and the </w:t>
      </w:r>
      <w:r w:rsidRPr="00AC2B0C">
        <w:t>families</w:t>
      </w:r>
      <w:r>
        <w:t>, loved ones</w:t>
      </w:r>
      <w:r w:rsidRPr="00AC2B0C">
        <w:t xml:space="preserve"> or representatives of </w:t>
      </w:r>
      <w:r>
        <w:t>these groups</w:t>
      </w:r>
      <w:r w:rsidRPr="00AC2B0C">
        <w:t>.</w:t>
      </w:r>
      <w:r>
        <w:t xml:space="preserve"> These groups form the </w:t>
      </w:r>
      <w:r>
        <w:rPr>
          <w:b/>
          <w:bCs/>
        </w:rPr>
        <w:t>eligible population.</w:t>
      </w:r>
    </w:p>
    <w:p w14:paraId="799B1F75" w14:textId="17C62B66" w:rsidR="00B84CAF" w:rsidRPr="00293096" w:rsidRDefault="00B84CAF" w:rsidP="00633A6F">
      <w:pPr>
        <w:widowControl w:val="0"/>
        <w:autoSpaceDE w:val="0"/>
        <w:autoSpaceDN w:val="0"/>
        <w:adjustRightInd w:val="0"/>
        <w:spacing w:line="240" w:lineRule="auto"/>
      </w:pPr>
      <w:r>
        <w:t xml:space="preserve">The program </w:t>
      </w:r>
      <w:r w:rsidRPr="00411238">
        <w:t xml:space="preserve">aims to ensure the support offered is inclusive, reflects the diversity of the community and meets people's diverse needs, including </w:t>
      </w:r>
      <w:r>
        <w:t xml:space="preserve">those who identify as being from </w:t>
      </w:r>
      <w:r w:rsidR="006D5D37">
        <w:t>“</w:t>
      </w:r>
      <w:r>
        <w:t>special needs</w:t>
      </w:r>
      <w:r w:rsidR="006D5D37">
        <w:t>”</w:t>
      </w:r>
      <w:r>
        <w:t xml:space="preserve"> groups, as defined in the Act:</w:t>
      </w:r>
    </w:p>
    <w:p w14:paraId="4F12D11A" w14:textId="6F870C54" w:rsidR="00B84CAF" w:rsidRPr="00AC2B0C" w:rsidRDefault="00B84CAF" w:rsidP="00F178E7">
      <w:pPr>
        <w:pStyle w:val="ListBullet"/>
        <w:numPr>
          <w:ilvl w:val="0"/>
          <w:numId w:val="17"/>
        </w:numPr>
      </w:pPr>
      <w:r w:rsidRPr="00AC2B0C">
        <w:t>people from Aboriginal and/or Torres Strait Islander communities</w:t>
      </w:r>
    </w:p>
    <w:p w14:paraId="1FECA731" w14:textId="6E1D27A6" w:rsidR="00B84CAF" w:rsidRPr="00AC2B0C" w:rsidRDefault="00B84CAF" w:rsidP="00F178E7">
      <w:pPr>
        <w:pStyle w:val="ListBullet"/>
        <w:numPr>
          <w:ilvl w:val="0"/>
          <w:numId w:val="17"/>
        </w:numPr>
      </w:pPr>
      <w:r w:rsidRPr="00AC2B0C">
        <w:t>people from culturally and linguistically diverse (CALD) backgrounds</w:t>
      </w:r>
    </w:p>
    <w:p w14:paraId="54D6C6FC" w14:textId="613FF815" w:rsidR="00B84CAF" w:rsidRPr="00AC2B0C" w:rsidRDefault="00B84CAF" w:rsidP="00F178E7">
      <w:pPr>
        <w:pStyle w:val="ListBullet"/>
        <w:numPr>
          <w:ilvl w:val="0"/>
          <w:numId w:val="17"/>
        </w:numPr>
      </w:pPr>
      <w:r w:rsidRPr="00AC2B0C">
        <w:t>people who live in rural or remote areas</w:t>
      </w:r>
    </w:p>
    <w:p w14:paraId="4E9C96A0" w14:textId="2AF0EAA1" w:rsidR="00B84CAF" w:rsidRPr="00AC2B0C" w:rsidRDefault="00B84CAF" w:rsidP="00F178E7">
      <w:pPr>
        <w:pStyle w:val="ListBullet"/>
        <w:numPr>
          <w:ilvl w:val="0"/>
          <w:numId w:val="17"/>
        </w:numPr>
      </w:pPr>
      <w:r w:rsidRPr="00AC2B0C">
        <w:t>people who are financially or socially disadvantaged</w:t>
      </w:r>
    </w:p>
    <w:p w14:paraId="684B533C" w14:textId="7765DC8E" w:rsidR="00B84CAF" w:rsidRPr="00AC2B0C" w:rsidRDefault="00B84CAF" w:rsidP="00F178E7">
      <w:pPr>
        <w:pStyle w:val="ListBullet"/>
        <w:numPr>
          <w:ilvl w:val="0"/>
          <w:numId w:val="17"/>
        </w:numPr>
      </w:pPr>
      <w:r w:rsidRPr="00AC2B0C">
        <w:t>people who are veterans of the Australian Defence Force or an allied defence force including the spouse, widow, or widower of a veteran</w:t>
      </w:r>
    </w:p>
    <w:p w14:paraId="2CC52035" w14:textId="19CB2B06" w:rsidR="00B84CAF" w:rsidRPr="00AC2B0C" w:rsidRDefault="00B84CAF" w:rsidP="00F178E7">
      <w:pPr>
        <w:pStyle w:val="ListBullet"/>
        <w:numPr>
          <w:ilvl w:val="0"/>
          <w:numId w:val="17"/>
        </w:numPr>
      </w:pPr>
      <w:r w:rsidRPr="00AC2B0C">
        <w:t>people who are homeless, or at risk of becoming homeless</w:t>
      </w:r>
    </w:p>
    <w:p w14:paraId="21714AF3" w14:textId="77777777" w:rsidR="00B84CAF" w:rsidRPr="00AC2B0C" w:rsidRDefault="00B84CAF" w:rsidP="00F178E7">
      <w:pPr>
        <w:pStyle w:val="ListBullet"/>
        <w:numPr>
          <w:ilvl w:val="0"/>
          <w:numId w:val="17"/>
        </w:numPr>
      </w:pPr>
      <w:r w:rsidRPr="00AC2B0C">
        <w:t>people who are care leavers (which includes Forgotten Australians, Former Child Migrants and Stolen Generations)</w:t>
      </w:r>
    </w:p>
    <w:p w14:paraId="125520E0" w14:textId="77777777" w:rsidR="00B84CAF" w:rsidRPr="00AC2B0C" w:rsidRDefault="00B84CAF" w:rsidP="00F178E7">
      <w:pPr>
        <w:pStyle w:val="ListBullet"/>
        <w:numPr>
          <w:ilvl w:val="0"/>
          <w:numId w:val="17"/>
        </w:numPr>
      </w:pPr>
      <w:r w:rsidRPr="00AC2B0C">
        <w:t>parents separated from their children by forced adoption or removal</w:t>
      </w:r>
    </w:p>
    <w:p w14:paraId="66DAE79F" w14:textId="223E4D56" w:rsidR="00B84CAF" w:rsidRPr="00AC2B0C" w:rsidRDefault="00B84CAF" w:rsidP="00F178E7">
      <w:pPr>
        <w:pStyle w:val="ListBullet"/>
        <w:numPr>
          <w:ilvl w:val="0"/>
          <w:numId w:val="17"/>
        </w:numPr>
      </w:pPr>
      <w:r w:rsidRPr="00AC2B0C">
        <w:t>people from lesbian, gay, bisexual, trans/transgender, and intersex (LGBTI</w:t>
      </w:r>
      <w:r>
        <w:t>+</w:t>
      </w:r>
      <w:r w:rsidRPr="00AC2B0C">
        <w:t>) communities</w:t>
      </w:r>
    </w:p>
    <w:p w14:paraId="76F4AC14" w14:textId="77777777" w:rsidR="00B84CAF" w:rsidRPr="00AC2B0C" w:rsidRDefault="00B84CAF" w:rsidP="00F178E7">
      <w:pPr>
        <w:pStyle w:val="ListBullet"/>
        <w:numPr>
          <w:ilvl w:val="0"/>
          <w:numId w:val="17"/>
        </w:numPr>
      </w:pPr>
      <w:r w:rsidRPr="00AC2B0C">
        <w:t>people who are deaf or hard of hearing</w:t>
      </w:r>
    </w:p>
    <w:p w14:paraId="237A7BFF" w14:textId="77777777" w:rsidR="00B84CAF" w:rsidRPr="00AC2B0C" w:rsidRDefault="00B84CAF" w:rsidP="00F178E7">
      <w:pPr>
        <w:pStyle w:val="ListBullet"/>
        <w:numPr>
          <w:ilvl w:val="0"/>
          <w:numId w:val="17"/>
        </w:numPr>
      </w:pPr>
      <w:r>
        <w:t>p</w:t>
      </w:r>
      <w:r w:rsidRPr="00AC2B0C">
        <w:t>eople who are living with a disability</w:t>
      </w:r>
    </w:p>
    <w:p w14:paraId="2CF39B83" w14:textId="77777777" w:rsidR="00B84CAF" w:rsidRDefault="00B84CAF" w:rsidP="00F178E7">
      <w:pPr>
        <w:pStyle w:val="ListBullet"/>
        <w:numPr>
          <w:ilvl w:val="0"/>
          <w:numId w:val="17"/>
        </w:numPr>
        <w:spacing w:after="170"/>
      </w:pPr>
      <w:r>
        <w:t>p</w:t>
      </w:r>
      <w:r w:rsidRPr="00AC2B0C">
        <w:t>eople living with cognitive impairment including dementia or experiencing mental health conditions; and/or who have been exposed to significant trauma.</w:t>
      </w:r>
      <w:r>
        <w:rPr>
          <w:rStyle w:val="EndnoteReference"/>
        </w:rPr>
        <w:endnoteReference w:id="10"/>
      </w:r>
    </w:p>
    <w:p w14:paraId="18A1BB12" w14:textId="4B29B302" w:rsidR="00B84CAF" w:rsidRDefault="00B84CAF" w:rsidP="003D2E88">
      <w:r>
        <w:t xml:space="preserve">NACAP also delivers education and consumer rights and responsibilities to providers of Australian Government funded aged care services, which </w:t>
      </w:r>
      <w:r w:rsidR="00BF19C6">
        <w:t>includes</w:t>
      </w:r>
      <w:r>
        <w:t xml:space="preserve"> </w:t>
      </w:r>
      <w:r w:rsidR="00BF19C6">
        <w:t>r</w:t>
      </w:r>
      <w:r>
        <w:t xml:space="preserve">esidential aged care; </w:t>
      </w:r>
      <w:r w:rsidR="00851E7A">
        <w:t>h</w:t>
      </w:r>
      <w:r>
        <w:t xml:space="preserve">ome </w:t>
      </w:r>
      <w:r w:rsidR="00851E7A">
        <w:t>c</w:t>
      </w:r>
      <w:r>
        <w:t xml:space="preserve">are </w:t>
      </w:r>
      <w:r w:rsidR="00BF19C6">
        <w:t>p</w:t>
      </w:r>
      <w:r>
        <w:t>ackages (HCPs); Commonwealth Home Support Program</w:t>
      </w:r>
      <w:r w:rsidR="00E72299">
        <w:t>me</w:t>
      </w:r>
      <w:r>
        <w:t xml:space="preserve"> (CHSP) services; Commonwealth Continuity of Support (</w:t>
      </w:r>
      <w:proofErr w:type="spellStart"/>
      <w:r>
        <w:t>CoS</w:t>
      </w:r>
      <w:proofErr w:type="spellEnd"/>
      <w:r>
        <w:t>) Program; Commonwealth funded dementia services; and flexible care services.</w:t>
      </w:r>
    </w:p>
    <w:p w14:paraId="702EB069" w14:textId="2B859F88" w:rsidR="006D3138" w:rsidRDefault="006D3138" w:rsidP="003D2E88">
      <w:r w:rsidRPr="0029213A">
        <w:t>An overview of the NACAP and its activities are summarised</w:t>
      </w:r>
      <w:r>
        <w:t xml:space="preserve"> in</w:t>
      </w:r>
      <w:r w:rsidR="000013B5">
        <w:t xml:space="preserve"> </w:t>
      </w:r>
      <w:r w:rsidR="000013B5">
        <w:fldChar w:fldCharType="begin"/>
      </w:r>
      <w:r w:rsidR="000013B5">
        <w:instrText xml:space="preserve"> REF _Ref88657407 \r \h </w:instrText>
      </w:r>
      <w:r w:rsidR="000013B5">
        <w:fldChar w:fldCharType="separate"/>
      </w:r>
      <w:r w:rsidR="00DC6A20">
        <w:t>Figure 1.1</w:t>
      </w:r>
      <w:r w:rsidR="000013B5">
        <w:fldChar w:fldCharType="end"/>
      </w:r>
      <w:r w:rsidR="00215321">
        <w:t>.</w:t>
      </w:r>
    </w:p>
    <w:p w14:paraId="4A32B15E" w14:textId="1EAEF175" w:rsidR="006D3138" w:rsidRDefault="006D3138" w:rsidP="000013B5">
      <w:pPr>
        <w:pStyle w:val="CaptionFigure"/>
      </w:pPr>
      <w:bookmarkStart w:id="70" w:name="_Ref88657407"/>
      <w:bookmarkStart w:id="71" w:name="_Toc94771901"/>
      <w:bookmarkStart w:id="72" w:name="_Toc99117023"/>
      <w:r>
        <w:t>: Overview of expanded NACAP</w:t>
      </w:r>
      <w:bookmarkEnd w:id="70"/>
      <w:bookmarkEnd w:id="71"/>
      <w:bookmarkEnd w:id="72"/>
    </w:p>
    <w:p w14:paraId="15CB3B7E" w14:textId="0FD0C3E9" w:rsidR="006D3138" w:rsidRDefault="006D3138" w:rsidP="006D3138">
      <w:r>
        <w:rPr>
          <w:noProof/>
        </w:rPr>
        <w:drawing>
          <wp:inline distT="0" distB="0" distL="0" distR="0" wp14:anchorId="30B60A2B" wp14:editId="67890590">
            <wp:extent cx="5620126" cy="4341413"/>
            <wp:effectExtent l="0" t="0" r="0" b="0"/>
            <wp:docPr id="1489793613" name="Picture 1489793613" descr="The National Aged Care Advocacy Program (NACAP) provides independent program delivery, as well as education, advocacy and infor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3" name="Picture 1489793613" descr="The National Aged Care Advocacy Program (NACAP) provides independent program delivery, as well as education, advocacy and information services."/>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1982"/>
                    <a:stretch/>
                  </pic:blipFill>
                  <pic:spPr bwMode="auto">
                    <a:xfrm>
                      <a:off x="0" y="0"/>
                      <a:ext cx="5649176" cy="4363853"/>
                    </a:xfrm>
                    <a:prstGeom prst="rect">
                      <a:avLst/>
                    </a:prstGeom>
                    <a:noFill/>
                    <a:ln>
                      <a:noFill/>
                    </a:ln>
                    <a:extLst>
                      <a:ext uri="{53640926-AAD7-44D8-BBD7-CCE9431645EC}">
                        <a14:shadowObscured xmlns:a14="http://schemas.microsoft.com/office/drawing/2010/main"/>
                      </a:ext>
                    </a:extLst>
                  </pic:spPr>
                </pic:pic>
              </a:graphicData>
            </a:graphic>
          </wp:inline>
        </w:drawing>
      </w:r>
    </w:p>
    <w:p w14:paraId="0F926A26" w14:textId="31781694" w:rsidR="00B84CAF" w:rsidRDefault="00B84CAF" w:rsidP="003503BA">
      <w:pPr>
        <w:pStyle w:val="Heading3"/>
        <w:ind w:left="993" w:hanging="993"/>
      </w:pPr>
      <w:bookmarkStart w:id="73" w:name="_Toc90901070"/>
      <w:bookmarkStart w:id="74" w:name="_Toc94771822"/>
      <w:bookmarkStart w:id="75" w:name="_Toc99437497"/>
      <w:r>
        <w:t>OPAN and SDOs</w:t>
      </w:r>
      <w:bookmarkEnd w:id="73"/>
      <w:bookmarkEnd w:id="74"/>
      <w:bookmarkEnd w:id="75"/>
    </w:p>
    <w:p w14:paraId="7EFEE7A7" w14:textId="7DC53D4C" w:rsidR="00B84CAF" w:rsidRDefault="00B84CAF" w:rsidP="00876F9C">
      <w:r>
        <w:t xml:space="preserve">The </w:t>
      </w:r>
      <w:r w:rsidRPr="00D7779F">
        <w:t xml:space="preserve">Older Persons Advocacy </w:t>
      </w:r>
      <w:r>
        <w:t xml:space="preserve">Network </w:t>
      </w:r>
      <w:r w:rsidRPr="00D7779F">
        <w:t>(OPAN)</w:t>
      </w:r>
      <w:r>
        <w:t xml:space="preserve"> is a national network of nine state and territory organisations that deliver advocacy, information</w:t>
      </w:r>
      <w:r w:rsidR="00851E7A">
        <w:t>,</w:t>
      </w:r>
      <w:r>
        <w:t xml:space="preserve"> and education services to older people in metropolitan, regional, </w:t>
      </w:r>
      <w:proofErr w:type="gramStart"/>
      <w:r>
        <w:t>rural</w:t>
      </w:r>
      <w:proofErr w:type="gramEnd"/>
      <w:r>
        <w:t xml:space="preserve"> and remote Australia. OPAN is funded by the Australian Government to deliver the NACAP, via its Service Delivery Organisations (SDOs). There are nine SDOs</w:t>
      </w:r>
      <w:r w:rsidDel="009901EB">
        <w:t xml:space="preserve"> </w:t>
      </w:r>
      <w:r>
        <w:rPr>
          <w:lang w:val="en-US"/>
        </w:rPr>
        <w:t>– one in each state, the Australian Capital Territory, and two in the Northern Territory.</w:t>
      </w:r>
    </w:p>
    <w:p w14:paraId="1409E62F" w14:textId="77777777" w:rsidR="00B84CAF" w:rsidRDefault="00B84CAF" w:rsidP="00876F9C">
      <w:r>
        <w:t>OPAN’s purpose is to facilitate an environment that promotes human rights of older people and the ability for all older Australians to live well and be respected.</w:t>
      </w:r>
      <w:r>
        <w:rPr>
          <w:rStyle w:val="EndnoteReference"/>
        </w:rPr>
        <w:endnoteReference w:id="11"/>
      </w:r>
    </w:p>
    <w:p w14:paraId="5AD05DEF" w14:textId="239F5394" w:rsidR="00B84CAF" w:rsidRPr="005B704E" w:rsidRDefault="00B84CAF" w:rsidP="00D06559">
      <w:r>
        <w:t>OPAN aims to deliver a standardised, operationally efficient, highly connected service, enabling the consumer experience to be similar nationwide, while still responding to local issues and needs. NACAP is delivered physically and virtually, supported by a digital resource, a program website and 1800 telephone line.</w:t>
      </w:r>
    </w:p>
    <w:p w14:paraId="06B070E5" w14:textId="1F68E831" w:rsidR="00B84CAF" w:rsidRPr="008A18F9" w:rsidRDefault="00B84CAF" w:rsidP="00D06559">
      <w:r>
        <w:t xml:space="preserve">Key principles underpinning </w:t>
      </w:r>
      <w:r w:rsidR="007F0499">
        <w:t xml:space="preserve">the </w:t>
      </w:r>
      <w:r w:rsidR="00216A55">
        <w:t>NACAP</w:t>
      </w:r>
      <w:r>
        <w:t xml:space="preserve"> include:</w:t>
      </w:r>
    </w:p>
    <w:p w14:paraId="39E7B737" w14:textId="77777777" w:rsidR="00B84CAF" w:rsidRDefault="00B84CAF" w:rsidP="00F178E7">
      <w:pPr>
        <w:pStyle w:val="ListNumber"/>
        <w:numPr>
          <w:ilvl w:val="0"/>
          <w:numId w:val="49"/>
        </w:numPr>
      </w:pPr>
      <w:r w:rsidRPr="00882702">
        <w:t>Advancing human</w:t>
      </w:r>
      <w:r>
        <w:t xml:space="preserve"> rights of older people, particularly those seeking and receiving care, and those who are marginalised and vulnerable</w:t>
      </w:r>
    </w:p>
    <w:p w14:paraId="096C9166" w14:textId="77777777" w:rsidR="00B84CAF" w:rsidRPr="00B251D7" w:rsidRDefault="00B84CAF" w:rsidP="00D06559">
      <w:pPr>
        <w:pStyle w:val="ListNumber"/>
      </w:pPr>
      <w:r>
        <w:t>Supporting older people to bring their voices to the table, to advocate for themselves and to enable systemic advocacy based on their voices and experiences to drive the transformation of aged care</w:t>
      </w:r>
    </w:p>
    <w:p w14:paraId="2512B66C" w14:textId="77777777" w:rsidR="00B84CAF" w:rsidRPr="00BF50C5" w:rsidRDefault="00B84CAF" w:rsidP="00D06559">
      <w:pPr>
        <w:pStyle w:val="ListNumber"/>
      </w:pPr>
      <w:r>
        <w:t xml:space="preserve">Supporting older people to make choices, decisions, and </w:t>
      </w:r>
      <w:proofErr w:type="gramStart"/>
      <w:r>
        <w:t>take action</w:t>
      </w:r>
      <w:proofErr w:type="gramEnd"/>
    </w:p>
    <w:p w14:paraId="59ED01D5" w14:textId="77777777" w:rsidR="00B84CAF" w:rsidRDefault="00B84CAF" w:rsidP="00D06559">
      <w:pPr>
        <w:pStyle w:val="ListNumber"/>
      </w:pPr>
      <w:r>
        <w:t>Establishing strategic partnerships and alliances to enable OPAN to advance and uphold human rights of older people, and embrace diversity</w:t>
      </w:r>
    </w:p>
    <w:p w14:paraId="746C35D9" w14:textId="61B3A28A" w:rsidR="00B84CAF" w:rsidRPr="00152960" w:rsidRDefault="00B84CAF" w:rsidP="00D06559">
      <w:pPr>
        <w:pStyle w:val="ListNumber"/>
      </w:pPr>
      <w:r>
        <w:t xml:space="preserve">Building OPAN’s capability and striving to provide a broad range of information, </w:t>
      </w:r>
      <w:proofErr w:type="gramStart"/>
      <w:r>
        <w:t>education</w:t>
      </w:r>
      <w:proofErr w:type="gramEnd"/>
      <w:r>
        <w:t xml:space="preserve"> and advocacy services for older people (and their families and representatives) that are culturally safe and respectful, trauma-informed and responsive</w:t>
      </w:r>
    </w:p>
    <w:p w14:paraId="765AAE21" w14:textId="77777777" w:rsidR="00B84CAF" w:rsidRPr="00B2633F" w:rsidRDefault="00B84CAF" w:rsidP="00D06559">
      <w:pPr>
        <w:pStyle w:val="ListNumber"/>
        <w:spacing w:after="170"/>
      </w:pPr>
      <w:r>
        <w:t>Working with the network to deliver information, education and advocacy for older people receiving or seeking care.</w:t>
      </w:r>
      <w:r>
        <w:rPr>
          <w:rStyle w:val="EndnoteReference"/>
        </w:rPr>
        <w:endnoteReference w:id="12"/>
      </w:r>
    </w:p>
    <w:p w14:paraId="0FD72233" w14:textId="59E363D3" w:rsidR="00B84CAF" w:rsidRDefault="00B84CAF" w:rsidP="00D06559">
      <w:r>
        <w:t>OPAN and its SDO</w:t>
      </w:r>
      <w:r w:rsidR="0024050F">
        <w:t>s</w:t>
      </w:r>
      <w:r>
        <w:t xml:space="preserve"> delivered services to 1.9% of Australians receiving aged care services</w:t>
      </w:r>
      <w:r w:rsidR="00FB311D">
        <w:t xml:space="preserve"> in 2020/21. This</w:t>
      </w:r>
      <w:r>
        <w:t xml:space="preserve"> </w:t>
      </w:r>
      <w:r w:rsidR="00FB311D">
        <w:t xml:space="preserve">represents </w:t>
      </w:r>
      <w:r>
        <w:t>a</w:t>
      </w:r>
      <w:r w:rsidR="00FB311D">
        <w:t>n</w:t>
      </w:r>
      <w:r>
        <w:t xml:space="preserve"> 11% increase on the previous year.</w:t>
      </w:r>
      <w:r>
        <w:rPr>
          <w:rStyle w:val="EndnoteReference"/>
        </w:rPr>
        <w:endnoteReference w:id="13"/>
      </w:r>
      <w:r>
        <w:t xml:space="preserve"> The following services were provided across the network over 2020/21:</w:t>
      </w:r>
    </w:p>
    <w:p w14:paraId="7BC5ECB2" w14:textId="03796AC6" w:rsidR="00160BD4" w:rsidRDefault="001D2E51">
      <w:pPr>
        <w:spacing w:after="0"/>
      </w:pPr>
      <w:bookmarkStart w:id="76" w:name="_Toc90901071"/>
      <w:bookmarkStart w:id="77" w:name="_Toc94771823"/>
      <w:r w:rsidRPr="001D2E51">
        <w:rPr>
          <w:noProof/>
        </w:rPr>
        <w:drawing>
          <wp:inline distT="0" distB="0" distL="0" distR="0" wp14:anchorId="749DDCBB" wp14:editId="4AF30964">
            <wp:extent cx="5732145" cy="2605405"/>
            <wp:effectExtent l="0" t="0" r="1905" b="4445"/>
            <wp:docPr id="17" name="Picture 17" descr="OPAN has progressed activities in 2020-21 with 23,019 information and advocacy service events, 1,658 education service events, 6,389 special needs groups and 958 educatio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AN has progressed activities in 2020-21 with 23,019 information and advocacy service events, 1,658 education service events, 6,389 special needs groups and 958 education group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145" cy="2605405"/>
                    </a:xfrm>
                    <a:prstGeom prst="rect">
                      <a:avLst/>
                    </a:prstGeom>
                    <a:noFill/>
                    <a:ln>
                      <a:noFill/>
                    </a:ln>
                  </pic:spPr>
                </pic:pic>
              </a:graphicData>
            </a:graphic>
          </wp:inline>
        </w:drawing>
      </w:r>
    </w:p>
    <w:p w14:paraId="029D7523" w14:textId="43DB5C7E" w:rsidR="00461E35" w:rsidRPr="003D1D87" w:rsidRDefault="00461E35" w:rsidP="0016509A">
      <w:pPr>
        <w:pStyle w:val="Source"/>
        <w:rPr>
          <w:sz w:val="16"/>
          <w:szCs w:val="16"/>
        </w:rPr>
      </w:pPr>
      <w:r w:rsidRPr="00AA3FA9">
        <w:t>Source: OPAN Progress Report 2020/21</w:t>
      </w:r>
    </w:p>
    <w:p w14:paraId="47D0D862" w14:textId="2E40C46C" w:rsidR="00B84CAF" w:rsidRPr="004C2531" w:rsidRDefault="00B84CAF" w:rsidP="00B84CAF">
      <w:pPr>
        <w:pStyle w:val="Heading3"/>
      </w:pPr>
      <w:bookmarkStart w:id="78" w:name="_Toc99437498"/>
      <w:r>
        <w:t>The Royal Commission into Aged Care Quality and Safety</w:t>
      </w:r>
      <w:bookmarkEnd w:id="76"/>
      <w:bookmarkEnd w:id="77"/>
      <w:bookmarkEnd w:id="78"/>
    </w:p>
    <w:p w14:paraId="320A1539" w14:textId="32562610" w:rsidR="00B84CAF" w:rsidRPr="009E0218" w:rsidRDefault="00B84CAF" w:rsidP="00D06559">
      <w:r w:rsidRPr="009E0218">
        <w:t>The Royal Commission</w:t>
      </w:r>
      <w:r w:rsidRPr="009E0218" w:rsidDel="00B577FF">
        <w:t xml:space="preserve"> </w:t>
      </w:r>
      <w:r w:rsidR="00964D83">
        <w:t>(tabled 1 March 2021)</w:t>
      </w:r>
      <w:r w:rsidRPr="009E0218" w:rsidDel="00B577FF">
        <w:t xml:space="preserve"> </w:t>
      </w:r>
      <w:r>
        <w:t xml:space="preserve">identified the importance of </w:t>
      </w:r>
      <w:r w:rsidRPr="009E0218">
        <w:t xml:space="preserve">advocacy services </w:t>
      </w:r>
      <w:r>
        <w:t>in</w:t>
      </w:r>
      <w:r w:rsidRPr="009E0218">
        <w:t xml:space="preserve"> strengthening the consumer voice. The </w:t>
      </w:r>
      <w:r>
        <w:t>Royal</w:t>
      </w:r>
      <w:r w:rsidRPr="009E0218">
        <w:t xml:space="preserve"> Commission recommend</w:t>
      </w:r>
      <w:r>
        <w:t>ed</w:t>
      </w:r>
      <w:r w:rsidRPr="009E0218">
        <w:t xml:space="preserve"> the Australian Government legislatively recognise the role of advocacy services in empowering these voices during a complaints process, and fund advocacy services to support people navigating the complexities of aged care.</w:t>
      </w:r>
    </w:p>
    <w:p w14:paraId="2304E157" w14:textId="55659480" w:rsidR="003D2AD6" w:rsidRPr="003D2AD6" w:rsidRDefault="00B84CAF" w:rsidP="003D2AD6">
      <w:r w:rsidRPr="009E0218">
        <w:t>Recommendation 106</w:t>
      </w:r>
      <w:r w:rsidR="00CF4DB7">
        <w:t xml:space="preserve"> (see </w:t>
      </w:r>
      <w:r w:rsidR="00CF4DB7">
        <w:fldChar w:fldCharType="begin"/>
      </w:r>
      <w:r w:rsidR="00CF4DB7">
        <w:instrText xml:space="preserve"> REF _Ref95745908 \r \h </w:instrText>
      </w:r>
      <w:r w:rsidR="00CF4DB7">
        <w:fldChar w:fldCharType="separate"/>
      </w:r>
      <w:r w:rsidR="00DC6A20">
        <w:t>Figure 1.2</w:t>
      </w:r>
      <w:r w:rsidR="00CF4DB7">
        <w:fldChar w:fldCharType="end"/>
      </w:r>
      <w:r w:rsidR="00CF4DB7">
        <w:t xml:space="preserve">) </w:t>
      </w:r>
      <w:r w:rsidR="00E32CE6">
        <w:t xml:space="preserve">indicated that </w:t>
      </w:r>
      <w:r w:rsidR="00420726">
        <w:t>“the NACAP should be provided with an immediate funding increase to enable a minimum of 5% of older people to access advocacy services”</w:t>
      </w:r>
      <w:r w:rsidRPr="009E0218">
        <w:t xml:space="preserve">. </w:t>
      </w:r>
      <w:r>
        <w:t xml:space="preserve">The Australian Government has committed to this goal and has increased funding to support growth in services. Recommendation 106 </w:t>
      </w:r>
      <w:r w:rsidR="00997A58">
        <w:t xml:space="preserve">also </w:t>
      </w:r>
      <w:r>
        <w:t>identified the need to determine the extent of unmet demand for prompt advocacy services by people seeking or receiving aged care services</w:t>
      </w:r>
      <w:r w:rsidR="00997A58">
        <w:t xml:space="preserve">. </w:t>
      </w:r>
      <w:r>
        <w:t>identify the need for additional funding for the provision of education and systemic advocacy, and the capacity building of advocacy services.</w:t>
      </w:r>
      <w:r>
        <w:rPr>
          <w:rStyle w:val="EndnoteReference"/>
        </w:rPr>
        <w:endnoteReference w:id="14"/>
      </w:r>
      <w:bookmarkStart w:id="79" w:name="_Toc94771902"/>
      <w:bookmarkStart w:id="80" w:name="_Ref95745908"/>
      <w:bookmarkStart w:id="81" w:name="_Toc99117024"/>
      <w:r w:rsidR="003D2AD6">
        <w:br w:type="page"/>
      </w:r>
    </w:p>
    <w:p w14:paraId="03AC4EBC" w14:textId="090F177E" w:rsidR="00B84CAF" w:rsidRDefault="00CF4DB7" w:rsidP="005D4629">
      <w:pPr>
        <w:pStyle w:val="CaptionFigure"/>
      </w:pPr>
      <w:r>
        <w:t xml:space="preserve">: </w:t>
      </w:r>
      <w:r w:rsidR="00B84CAF">
        <w:t>Royal Commission Recommendation 106</w:t>
      </w:r>
      <w:bookmarkEnd w:id="79"/>
      <w:bookmarkEnd w:id="80"/>
      <w:bookmarkEnd w:id="81"/>
    </w:p>
    <w:p w14:paraId="0507BD67" w14:textId="77777777" w:rsidR="008256AB" w:rsidRDefault="008256AB" w:rsidP="007E13F7">
      <w:pPr>
        <w:pStyle w:val="Heading3un-numbered"/>
      </w:pPr>
      <w:r>
        <w:t>Recommendation 106: Enhanced advocacy</w:t>
      </w:r>
    </w:p>
    <w:p w14:paraId="045B0B53" w14:textId="77777777" w:rsidR="008256AB" w:rsidRDefault="008256AB" w:rsidP="007E13F7">
      <w:pPr>
        <w:pStyle w:val="BodyText"/>
        <w:numPr>
          <w:ilvl w:val="0"/>
          <w:numId w:val="108"/>
        </w:numPr>
      </w:pPr>
      <w:r>
        <w:t>By 1 July 2022, the Australian Government should, through the implementation unit responsible for implementation of the Royal Commission’s recommendations, complete a consultation with the contracted provider of services under the National Aged Care Advocacy Program to determine the extent of unmet demand for prompt advocacy services by people seeking or receiving aged care services. The consultation should also consider the need for:</w:t>
      </w:r>
    </w:p>
    <w:p w14:paraId="47514605" w14:textId="77777777" w:rsidR="008256AB" w:rsidRDefault="008256AB" w:rsidP="007E13F7">
      <w:pPr>
        <w:pStyle w:val="BodyText"/>
        <w:numPr>
          <w:ilvl w:val="1"/>
          <w:numId w:val="108"/>
        </w:numPr>
      </w:pPr>
      <w:r>
        <w:t>additional funding for the provision of education and systemic advocacy by the contracted provider of services.</w:t>
      </w:r>
    </w:p>
    <w:p w14:paraId="105D88C0" w14:textId="77777777" w:rsidR="008256AB" w:rsidRDefault="008256AB" w:rsidP="007E13F7">
      <w:pPr>
        <w:pStyle w:val="BodyText"/>
        <w:numPr>
          <w:ilvl w:val="1"/>
          <w:numId w:val="108"/>
        </w:numPr>
      </w:pPr>
      <w:r>
        <w:t>capacity building of advocacy services.</w:t>
      </w:r>
    </w:p>
    <w:p w14:paraId="1136CDDA" w14:textId="77777777" w:rsidR="008256AB" w:rsidRDefault="008256AB" w:rsidP="007E13F7">
      <w:pPr>
        <w:pStyle w:val="BodyText"/>
        <w:numPr>
          <w:ilvl w:val="0"/>
          <w:numId w:val="108"/>
        </w:numPr>
      </w:pPr>
      <w:proofErr w:type="gramStart"/>
      <w:r>
        <w:t>In light of</w:t>
      </w:r>
      <w:proofErr w:type="gramEnd"/>
      <w:r>
        <w:t xml:space="preserve"> the conclusions reached by the implementation unit after that consultation, the Australian Government should increase the funding of the National Aged Care Advocacy Program to establish a sustainable funding base that provides for increased coverage of the program to meet currently unmet demand for prompt advocacy services, including education, and systemic advocacy, as well as the infrastructure required to support an effective national network of advocacy organisations.</w:t>
      </w:r>
    </w:p>
    <w:p w14:paraId="229EC91C" w14:textId="77777777" w:rsidR="008256AB" w:rsidRDefault="008256AB" w:rsidP="007E13F7">
      <w:pPr>
        <w:pStyle w:val="BodyText"/>
        <w:numPr>
          <w:ilvl w:val="0"/>
          <w:numId w:val="108"/>
        </w:numPr>
      </w:pPr>
      <w:r>
        <w:t>As an interim measure, by 1 July 2021 the Australian Government should provide additional funding and other supports to enable the development of an effective national advocacy network. To this end, the National Aged Care Advocacy Program should be provided with an immediate funding increase to:</w:t>
      </w:r>
    </w:p>
    <w:p w14:paraId="6A761202" w14:textId="77777777" w:rsidR="008256AB" w:rsidRDefault="008256AB" w:rsidP="007E13F7">
      <w:pPr>
        <w:pStyle w:val="BodyText"/>
        <w:numPr>
          <w:ilvl w:val="1"/>
          <w:numId w:val="108"/>
        </w:numPr>
      </w:pPr>
      <w:r>
        <w:t>enable a minimum of 5% of older people to access advocacy services</w:t>
      </w:r>
    </w:p>
    <w:p w14:paraId="6CBBCAEE" w14:textId="77777777" w:rsidR="008256AB" w:rsidRDefault="008256AB" w:rsidP="007E13F7">
      <w:pPr>
        <w:pStyle w:val="BodyText"/>
        <w:numPr>
          <w:ilvl w:val="1"/>
          <w:numId w:val="108"/>
        </w:numPr>
      </w:pPr>
      <w:r>
        <w:t>enable advocacy networks to</w:t>
      </w:r>
    </w:p>
    <w:p w14:paraId="62896377" w14:textId="77777777" w:rsidR="008256AB" w:rsidRDefault="008256AB" w:rsidP="007E13F7">
      <w:pPr>
        <w:pStyle w:val="BodyText"/>
        <w:numPr>
          <w:ilvl w:val="2"/>
          <w:numId w:val="108"/>
        </w:numPr>
      </w:pPr>
      <w:r>
        <w:t xml:space="preserve">provide </w:t>
      </w:r>
      <w:proofErr w:type="gramStart"/>
      <w:r>
        <w:t>education;</w:t>
      </w:r>
      <w:proofErr w:type="gramEnd"/>
    </w:p>
    <w:p w14:paraId="240F804C" w14:textId="77777777" w:rsidR="00912183" w:rsidRDefault="008256AB" w:rsidP="007E13F7">
      <w:pPr>
        <w:pStyle w:val="BodyText"/>
        <w:numPr>
          <w:ilvl w:val="2"/>
          <w:numId w:val="108"/>
        </w:numPr>
      </w:pPr>
      <w:r>
        <w:t>undertake systemic advocacy</w:t>
      </w:r>
    </w:p>
    <w:p w14:paraId="04554057" w14:textId="225B4FC2" w:rsidR="00B84CAF" w:rsidRPr="007F540D" w:rsidRDefault="008256AB" w:rsidP="007E13F7">
      <w:pPr>
        <w:pStyle w:val="BodyText"/>
        <w:numPr>
          <w:ilvl w:val="1"/>
          <w:numId w:val="108"/>
        </w:numPr>
      </w:pPr>
      <w:r>
        <w:t>support capacity building of the advocacy network through training of</w:t>
      </w:r>
      <w:r w:rsidR="00912183">
        <w:t xml:space="preserve"> </w:t>
      </w:r>
      <w:r>
        <w:t>formal advocates and the development of clear guidelines and processes</w:t>
      </w:r>
      <w:r w:rsidR="00912183">
        <w:t xml:space="preserve"> </w:t>
      </w:r>
      <w:r>
        <w:t>to support a nationally consistent advocacy service.</w:t>
      </w:r>
    </w:p>
    <w:p w14:paraId="08C17D93" w14:textId="268F4E2A" w:rsidR="00865E27" w:rsidRDefault="00ED439C" w:rsidP="00865E27">
      <w:pPr>
        <w:pStyle w:val="Heading2"/>
      </w:pPr>
      <w:bookmarkStart w:id="82" w:name="_Toc94771824"/>
      <w:bookmarkStart w:id="83" w:name="_Toc99437499"/>
      <w:r>
        <w:t xml:space="preserve">Project </w:t>
      </w:r>
      <w:bookmarkEnd w:id="82"/>
      <w:r w:rsidR="00C67A76">
        <w:t>scope and objectives</w:t>
      </w:r>
      <w:bookmarkEnd w:id="83"/>
    </w:p>
    <w:p w14:paraId="434EB6AD" w14:textId="468D5677" w:rsidR="005B1640" w:rsidRPr="003D53C3" w:rsidRDefault="005B1640" w:rsidP="005B1640">
      <w:pPr>
        <w:rPr>
          <w:rFonts w:asciiTheme="minorHAnsi" w:hAnsiTheme="minorHAnsi"/>
          <w:lang w:val="en-US"/>
        </w:rPr>
      </w:pPr>
      <w:r w:rsidRPr="003D53C3">
        <w:rPr>
          <w:rFonts w:asciiTheme="minorHAnsi" w:hAnsiTheme="minorHAnsi"/>
          <w:lang w:val="en-US"/>
        </w:rPr>
        <w:t>The Department of Health (the Department) engaged Deloitte to inform an understanding of current and future demand for NACAP advocacy services, and the provision of these services.</w:t>
      </w:r>
      <w:r w:rsidRPr="003D53C3">
        <w:rPr>
          <w:rStyle w:val="FootnoteReference"/>
          <w:rFonts w:asciiTheme="minorHAnsi" w:hAnsiTheme="minorHAnsi"/>
        </w:rPr>
        <w:footnoteReference w:id="2"/>
      </w:r>
      <w:r w:rsidRPr="003D53C3">
        <w:rPr>
          <w:rFonts w:asciiTheme="minorHAnsi" w:hAnsiTheme="minorHAnsi"/>
          <w:lang w:val="en-US"/>
        </w:rPr>
        <w:t xml:space="preserve"> Th</w:t>
      </w:r>
      <w:r w:rsidR="00D559A1" w:rsidRPr="003D53C3">
        <w:rPr>
          <w:rFonts w:asciiTheme="minorHAnsi" w:hAnsiTheme="minorHAnsi"/>
          <w:lang w:val="en-US"/>
        </w:rPr>
        <w:t>is</w:t>
      </w:r>
      <w:r w:rsidRPr="003D53C3">
        <w:rPr>
          <w:rFonts w:asciiTheme="minorHAnsi" w:hAnsiTheme="minorHAnsi"/>
          <w:lang w:val="en-US"/>
        </w:rPr>
        <w:t xml:space="preserve"> project estimate</w:t>
      </w:r>
      <w:r w:rsidR="00D559A1" w:rsidRPr="003D53C3">
        <w:rPr>
          <w:rFonts w:asciiTheme="minorHAnsi" w:hAnsiTheme="minorHAnsi"/>
          <w:lang w:val="en-US"/>
        </w:rPr>
        <w:t>s</w:t>
      </w:r>
      <w:r w:rsidRPr="003D53C3">
        <w:rPr>
          <w:rFonts w:asciiTheme="minorHAnsi" w:hAnsiTheme="minorHAnsi"/>
          <w:lang w:val="en-US"/>
        </w:rPr>
        <w:t xml:space="preserve"> the current met and unmet demand for NACAP services, the future demand for NACAP services until 2032/33, and the supply of NACAP services.</w:t>
      </w:r>
    </w:p>
    <w:p w14:paraId="26910C69" w14:textId="3674DF32" w:rsidR="00FF0E05" w:rsidRPr="005B704E" w:rsidRDefault="00FF0E05" w:rsidP="00FF0E05">
      <w:pPr>
        <w:rPr>
          <w:lang w:val="en-US"/>
        </w:rPr>
      </w:pPr>
      <w:r>
        <w:rPr>
          <w:lang w:val="en-US"/>
        </w:rPr>
        <w:t>The intent of the project was to study</w:t>
      </w:r>
      <w:r w:rsidRPr="005B704E">
        <w:rPr>
          <w:lang w:val="en-US"/>
        </w:rPr>
        <w:t>:</w:t>
      </w:r>
    </w:p>
    <w:p w14:paraId="2595D49D" w14:textId="19E7C6F4" w:rsidR="00FF0E05" w:rsidRPr="005B704E" w:rsidRDefault="00B85A3E" w:rsidP="00F178E7">
      <w:pPr>
        <w:pStyle w:val="ListBullet"/>
        <w:numPr>
          <w:ilvl w:val="0"/>
          <w:numId w:val="50"/>
        </w:numPr>
        <w:rPr>
          <w:lang w:val="en-US"/>
        </w:rPr>
      </w:pPr>
      <w:r>
        <w:rPr>
          <w:lang w:val="en-US"/>
        </w:rPr>
        <w:t xml:space="preserve">current met demand </w:t>
      </w:r>
      <w:r w:rsidR="00FF0E05" w:rsidRPr="005B704E">
        <w:rPr>
          <w:lang w:val="en-US"/>
        </w:rPr>
        <w:t>with comparison</w:t>
      </w:r>
      <w:r>
        <w:rPr>
          <w:lang w:val="en-US"/>
        </w:rPr>
        <w:t>s</w:t>
      </w:r>
      <w:r w:rsidR="00FF0E05" w:rsidRPr="005B704E">
        <w:rPr>
          <w:lang w:val="en-US"/>
        </w:rPr>
        <w:t xml:space="preserve"> </w:t>
      </w:r>
      <w:r>
        <w:rPr>
          <w:lang w:val="en-US"/>
        </w:rPr>
        <w:t xml:space="preserve">to </w:t>
      </w:r>
      <w:r w:rsidR="00FF0E05" w:rsidRPr="005B704E">
        <w:rPr>
          <w:lang w:val="en-US"/>
        </w:rPr>
        <w:t>current estimated unmet demand, including across service offerings in advocacy support, information, education and outreach</w:t>
      </w:r>
      <w:r w:rsidR="000D6093">
        <w:rPr>
          <w:lang w:val="en-US"/>
        </w:rPr>
        <w:t>,</w:t>
      </w:r>
      <w:r w:rsidR="00FF0E05" w:rsidRPr="005B704E">
        <w:rPr>
          <w:lang w:val="en-US"/>
        </w:rPr>
        <w:t xml:space="preserve"> and the range of case time across these</w:t>
      </w:r>
      <w:r w:rsidR="00FF0E05" w:rsidRPr="005B704E" w:rsidDel="000D6093">
        <w:rPr>
          <w:lang w:val="en-US"/>
        </w:rPr>
        <w:t xml:space="preserve"> </w:t>
      </w:r>
      <w:r w:rsidR="00847050">
        <w:rPr>
          <w:lang w:val="en-US"/>
        </w:rPr>
        <w:t>categories of service</w:t>
      </w:r>
    </w:p>
    <w:p w14:paraId="000A54EB" w14:textId="77777777" w:rsidR="00FF0E05" w:rsidRPr="005B704E" w:rsidRDefault="00FF0E05" w:rsidP="00F178E7">
      <w:pPr>
        <w:pStyle w:val="ListBullet"/>
        <w:numPr>
          <w:ilvl w:val="0"/>
          <w:numId w:val="50"/>
        </w:numPr>
        <w:rPr>
          <w:lang w:val="en-US"/>
        </w:rPr>
      </w:pPr>
      <w:r w:rsidRPr="005B704E">
        <w:rPr>
          <w:lang w:val="en-US"/>
        </w:rPr>
        <w:t xml:space="preserve">emerging demographic impacts including changes in consumer </w:t>
      </w:r>
      <w:proofErr w:type="spellStart"/>
      <w:r w:rsidRPr="005B704E">
        <w:rPr>
          <w:lang w:val="en-US"/>
        </w:rPr>
        <w:t>behaviour</w:t>
      </w:r>
      <w:proofErr w:type="spellEnd"/>
      <w:r w:rsidRPr="005B704E">
        <w:rPr>
          <w:lang w:val="en-US"/>
        </w:rPr>
        <w:t xml:space="preserve"> and expectations</w:t>
      </w:r>
    </w:p>
    <w:p w14:paraId="27687298" w14:textId="6BC84A8A" w:rsidR="00FF0E05" w:rsidRPr="005B704E" w:rsidRDefault="00FF0E05" w:rsidP="00F178E7">
      <w:pPr>
        <w:pStyle w:val="ListBullet"/>
        <w:numPr>
          <w:ilvl w:val="0"/>
          <w:numId w:val="50"/>
        </w:numPr>
        <w:rPr>
          <w:lang w:val="en-US"/>
        </w:rPr>
      </w:pPr>
      <w:r w:rsidRPr="005B704E">
        <w:rPr>
          <w:lang w:val="en-US"/>
        </w:rPr>
        <w:t>impacts of an expanded NACAP (commencing 2021</w:t>
      </w:r>
      <w:r w:rsidR="00914D71">
        <w:rPr>
          <w:lang w:val="en-US"/>
        </w:rPr>
        <w:t>/</w:t>
      </w:r>
      <w:r w:rsidRPr="005B704E">
        <w:rPr>
          <w:lang w:val="en-US"/>
        </w:rPr>
        <w:t>22) with increased outreach, community development and education activities, and flexible and emerging models of individual advocacy</w:t>
      </w:r>
    </w:p>
    <w:p w14:paraId="6D010609" w14:textId="77777777" w:rsidR="00FF0E05" w:rsidRPr="005B704E" w:rsidRDefault="00FF0E05" w:rsidP="00F178E7">
      <w:pPr>
        <w:pStyle w:val="ListBullet"/>
        <w:numPr>
          <w:ilvl w:val="0"/>
          <w:numId w:val="50"/>
        </w:numPr>
        <w:spacing w:after="170"/>
        <w:rPr>
          <w:lang w:val="en-US"/>
        </w:rPr>
      </w:pPr>
      <w:r w:rsidRPr="005B704E">
        <w:rPr>
          <w:lang w:val="en-US"/>
        </w:rPr>
        <w:t>anticipated impacts or learnings from other service systems and reform programs, including, but not limited to navigation supports, aged care consumer supports, disability and mental health advocacy, elder abuse hubs and the Aged Care Quality and Safety Commission (ACQSC).</w:t>
      </w:r>
    </w:p>
    <w:p w14:paraId="500DCF06" w14:textId="2B10E4C9" w:rsidR="00AD6390" w:rsidRDefault="00AD6390" w:rsidP="008A78EF">
      <w:pPr>
        <w:rPr>
          <w:rFonts w:asciiTheme="minorHAnsi" w:hAnsiTheme="minorHAnsi"/>
          <w:lang w:val="en-US"/>
        </w:rPr>
      </w:pPr>
      <w:r>
        <w:rPr>
          <w:rFonts w:asciiTheme="minorHAnsi" w:hAnsiTheme="minorHAnsi"/>
          <w:lang w:val="en-US"/>
        </w:rPr>
        <w:t xml:space="preserve">A mixed methods approach was </w:t>
      </w:r>
      <w:r w:rsidR="009B2439">
        <w:rPr>
          <w:rFonts w:asciiTheme="minorHAnsi" w:hAnsiTheme="minorHAnsi"/>
          <w:lang w:val="en-US"/>
        </w:rPr>
        <w:t xml:space="preserve">taken to make best use of the quantitative and qualitative data available. </w:t>
      </w:r>
      <w:r w:rsidR="00FF634D">
        <w:rPr>
          <w:rFonts w:asciiTheme="minorHAnsi" w:hAnsiTheme="minorHAnsi"/>
          <w:lang w:val="en-US"/>
        </w:rPr>
        <w:t xml:space="preserve">This </w:t>
      </w:r>
      <w:r w:rsidR="002E54CD">
        <w:rPr>
          <w:rFonts w:asciiTheme="minorHAnsi" w:hAnsiTheme="minorHAnsi"/>
          <w:lang w:val="en-US"/>
        </w:rPr>
        <w:t xml:space="preserve">involved the synthesis of insights from an extensive stakeholder consultation process </w:t>
      </w:r>
      <w:r w:rsidR="00B37903">
        <w:rPr>
          <w:rFonts w:asciiTheme="minorHAnsi" w:hAnsiTheme="minorHAnsi"/>
          <w:lang w:val="en-US"/>
        </w:rPr>
        <w:t xml:space="preserve">with quantitative </w:t>
      </w:r>
      <w:r w:rsidR="00943307">
        <w:rPr>
          <w:rFonts w:asciiTheme="minorHAnsi" w:hAnsiTheme="minorHAnsi"/>
          <w:lang w:val="en-US"/>
        </w:rPr>
        <w:t xml:space="preserve">modelling outputs. </w:t>
      </w:r>
      <w:r w:rsidR="00B025B0">
        <w:rPr>
          <w:rFonts w:asciiTheme="minorHAnsi" w:hAnsiTheme="minorHAnsi"/>
          <w:lang w:val="en-US"/>
        </w:rPr>
        <w:t>The mixed methods approach allow</w:t>
      </w:r>
      <w:r w:rsidR="00CD644E">
        <w:rPr>
          <w:rFonts w:asciiTheme="minorHAnsi" w:hAnsiTheme="minorHAnsi"/>
          <w:lang w:val="en-US"/>
        </w:rPr>
        <w:t>ed</w:t>
      </w:r>
      <w:r w:rsidR="00B025B0">
        <w:rPr>
          <w:rFonts w:asciiTheme="minorHAnsi" w:hAnsiTheme="minorHAnsi"/>
          <w:lang w:val="en-US"/>
        </w:rPr>
        <w:t xml:space="preserve"> for a deeper understanding of demand and supply of the NACAP, especially given that several data limitations were identified throughout the project. </w:t>
      </w:r>
      <w:r w:rsidR="00256EE0">
        <w:rPr>
          <w:rFonts w:asciiTheme="minorHAnsi" w:hAnsiTheme="minorHAnsi"/>
          <w:lang w:val="en-US"/>
        </w:rPr>
        <w:t xml:space="preserve">Opportunities for future work once data limitations have been addressed – particularly through the implementation of the </w:t>
      </w:r>
      <w:r w:rsidR="00B96819">
        <w:rPr>
          <w:rFonts w:asciiTheme="minorHAnsi" w:hAnsiTheme="minorHAnsi"/>
          <w:lang w:val="en-US"/>
        </w:rPr>
        <w:t>NMDS</w:t>
      </w:r>
      <w:r w:rsidR="00256EE0">
        <w:rPr>
          <w:rFonts w:asciiTheme="minorHAnsi" w:hAnsiTheme="minorHAnsi"/>
          <w:lang w:val="en-US"/>
        </w:rPr>
        <w:t xml:space="preserve"> – </w:t>
      </w:r>
      <w:r w:rsidR="00642970">
        <w:rPr>
          <w:rFonts w:asciiTheme="minorHAnsi" w:hAnsiTheme="minorHAnsi"/>
          <w:lang w:val="en-US"/>
        </w:rPr>
        <w:t>are proposed at the end of this report.</w:t>
      </w:r>
    </w:p>
    <w:p w14:paraId="7ACFBA8D" w14:textId="7F6B0002" w:rsidR="00CC4571" w:rsidRDefault="00CC4571" w:rsidP="00A81AA1">
      <w:pPr>
        <w:pStyle w:val="Heading2"/>
      </w:pPr>
      <w:bookmarkStart w:id="84" w:name="_Toc94771825"/>
      <w:bookmarkStart w:id="85" w:name="_Toc99437500"/>
      <w:r>
        <w:t xml:space="preserve">Scope </w:t>
      </w:r>
      <w:r w:rsidR="00B17891">
        <w:t xml:space="preserve">of </w:t>
      </w:r>
      <w:r w:rsidR="00BE433B">
        <w:t>this report</w:t>
      </w:r>
      <w:bookmarkEnd w:id="84"/>
      <w:bookmarkEnd w:id="85"/>
    </w:p>
    <w:p w14:paraId="438E4480" w14:textId="4CC963E2" w:rsidR="005D07A3" w:rsidRDefault="00D737C2" w:rsidP="00A81AA1">
      <w:r>
        <w:t>This</w:t>
      </w:r>
      <w:r w:rsidR="006527F9">
        <w:t xml:space="preserve"> </w:t>
      </w:r>
      <w:r w:rsidR="007741AD">
        <w:t xml:space="preserve">report includes </w:t>
      </w:r>
      <w:r w:rsidR="00247F48">
        <w:t xml:space="preserve">findings from the current demand analysis, future demand analysis, supply </w:t>
      </w:r>
      <w:r w:rsidR="00CD1FAA">
        <w:t xml:space="preserve">analysis, </w:t>
      </w:r>
      <w:r w:rsidR="00142DAD">
        <w:t xml:space="preserve">and </w:t>
      </w:r>
      <w:r w:rsidR="00927254">
        <w:t xml:space="preserve">insights on the </w:t>
      </w:r>
      <w:r w:rsidR="00DD6DD7">
        <w:t>additional</w:t>
      </w:r>
      <w:r w:rsidR="001F5434">
        <w:t xml:space="preserve"> support required to meet future demands. </w:t>
      </w:r>
      <w:r w:rsidR="00887DAA">
        <w:t>T</w:t>
      </w:r>
      <w:r w:rsidR="00C457B5">
        <w:t xml:space="preserve">his report also </w:t>
      </w:r>
      <w:r w:rsidR="0069515B">
        <w:t xml:space="preserve">includes </w:t>
      </w:r>
      <w:r w:rsidR="00A219E5">
        <w:t xml:space="preserve">selected </w:t>
      </w:r>
      <w:r w:rsidR="004C504F">
        <w:t xml:space="preserve">findings from </w:t>
      </w:r>
      <w:r w:rsidR="00815E79">
        <w:t xml:space="preserve">the extensive </w:t>
      </w:r>
      <w:r w:rsidR="00A83D75">
        <w:t xml:space="preserve">consultations </w:t>
      </w:r>
      <w:r w:rsidR="00CD1BAC">
        <w:t xml:space="preserve">with </w:t>
      </w:r>
      <w:r w:rsidR="004D2CDD">
        <w:t xml:space="preserve">aged care advocacy </w:t>
      </w:r>
      <w:r w:rsidR="00F56506">
        <w:t xml:space="preserve">stakeholders. </w:t>
      </w:r>
      <w:r w:rsidR="00D57999">
        <w:t>An overview</w:t>
      </w:r>
      <w:r w:rsidR="00837E86">
        <w:t xml:space="preserve"> of </w:t>
      </w:r>
      <w:r w:rsidR="00BF5169">
        <w:t>the consultation</w:t>
      </w:r>
      <w:r w:rsidR="007B43DB">
        <w:t xml:space="preserve"> </w:t>
      </w:r>
      <w:r w:rsidR="009278A3">
        <w:t>approach</w:t>
      </w:r>
      <w:r w:rsidR="007B43DB">
        <w:t xml:space="preserve"> </w:t>
      </w:r>
      <w:r w:rsidR="00BF5169">
        <w:t xml:space="preserve">is in </w:t>
      </w:r>
      <w:r w:rsidR="00D57999">
        <w:t>A</w:t>
      </w:r>
      <w:r w:rsidR="000C4DFF">
        <w:t>ppendix A</w:t>
      </w:r>
      <w:r w:rsidR="007F5738">
        <w:t xml:space="preserve">. </w:t>
      </w:r>
      <w:r w:rsidR="00BF5169">
        <w:t xml:space="preserve">Full details of the consultation </w:t>
      </w:r>
      <w:r w:rsidR="00C11FA1">
        <w:t xml:space="preserve">and </w:t>
      </w:r>
      <w:r w:rsidR="00BF5169">
        <w:t xml:space="preserve">its </w:t>
      </w:r>
      <w:r w:rsidR="00C11FA1">
        <w:t xml:space="preserve">findings </w:t>
      </w:r>
      <w:r w:rsidR="00BF5169">
        <w:t>are available</w:t>
      </w:r>
      <w:r w:rsidR="00202139">
        <w:t xml:space="preserve"> in the </w:t>
      </w:r>
      <w:r w:rsidR="00196142">
        <w:rPr>
          <w:i/>
        </w:rPr>
        <w:t xml:space="preserve">Early Findings </w:t>
      </w:r>
      <w:r w:rsidR="00440B12">
        <w:rPr>
          <w:i/>
        </w:rPr>
        <w:t>Report</w:t>
      </w:r>
      <w:r w:rsidR="000C4DFF">
        <w:rPr>
          <w:i/>
        </w:rPr>
        <w:t xml:space="preserve"> </w:t>
      </w:r>
      <w:r w:rsidR="00BF5169">
        <w:rPr>
          <w:i/>
          <w:iCs/>
        </w:rPr>
        <w:t>– November 2021.</w:t>
      </w:r>
    </w:p>
    <w:p w14:paraId="5242CD51" w14:textId="06A3055A" w:rsidR="008442BA" w:rsidRDefault="008442BA" w:rsidP="00EB441B">
      <w:pPr>
        <w:pStyle w:val="Heading1"/>
      </w:pPr>
      <w:bookmarkStart w:id="86" w:name="_Toc94771826"/>
      <w:bookmarkStart w:id="87" w:name="_Toc99437501"/>
      <w:bookmarkStart w:id="88" w:name="_Toc447626781"/>
      <w:r>
        <w:t>Overview of approach</w:t>
      </w:r>
      <w:bookmarkEnd w:id="86"/>
      <w:r w:rsidR="00A70C28">
        <w:t xml:space="preserve"> and methodology</w:t>
      </w:r>
      <w:bookmarkEnd w:id="87"/>
    </w:p>
    <w:p w14:paraId="7D00E5D7" w14:textId="29685511" w:rsidR="00EA7F83" w:rsidRDefault="00F5746C" w:rsidP="00EA7F83">
      <w:r>
        <w:t>This chapter provides an overview of the approach used, including how qualitative and quantitative analysis was synthesised to provide insights on current demand, future demand</w:t>
      </w:r>
      <w:r w:rsidR="000A31D2">
        <w:t>,</w:t>
      </w:r>
      <w:r>
        <w:t xml:space="preserve"> and supply.</w:t>
      </w:r>
    </w:p>
    <w:p w14:paraId="0A706B87" w14:textId="22E5F9EB" w:rsidR="00323C2C" w:rsidRDefault="00096E17" w:rsidP="00323C2C">
      <w:pPr>
        <w:pStyle w:val="Heading2"/>
      </w:pPr>
      <w:bookmarkStart w:id="89" w:name="_Toc99437502"/>
      <w:r>
        <w:t xml:space="preserve">Overview of </w:t>
      </w:r>
      <w:r w:rsidR="003D66E3">
        <w:t>approach</w:t>
      </w:r>
      <w:bookmarkEnd w:id="89"/>
    </w:p>
    <w:p w14:paraId="0F463357" w14:textId="77777777" w:rsidR="00F5746C" w:rsidRDefault="00B902C6" w:rsidP="00EA7F83">
      <w:r>
        <w:t>A mixed methods approach was used to undertake the demand study of the NACAP. This involved a combination of stakeholder consultations, desktop research, and quantitative modelling to understand the current and future demand for NACAP services, and the supply of these services.</w:t>
      </w:r>
    </w:p>
    <w:p w14:paraId="14D258E8" w14:textId="335DB51C" w:rsidR="00CE734F" w:rsidRDefault="007A23A1" w:rsidP="003503BA">
      <w:pPr>
        <w:pStyle w:val="Heading3"/>
        <w:ind w:left="993" w:hanging="993"/>
      </w:pPr>
      <w:bookmarkStart w:id="90" w:name="_Ref97728140"/>
      <w:bookmarkStart w:id="91" w:name="_Toc99437503"/>
      <w:r>
        <w:t>Qualitative input</w:t>
      </w:r>
      <w:bookmarkEnd w:id="90"/>
      <w:bookmarkEnd w:id="91"/>
    </w:p>
    <w:p w14:paraId="267E5FF2" w14:textId="45D891E1" w:rsidR="00EA7F83" w:rsidRDefault="00EA7F83" w:rsidP="00EA7F83">
      <w:r>
        <w:t>The qualitative aspects of the methodology primarily involved desktop research and stakeholder consultation. The desktop research involved a targeted review of publicly available literature and data, as well as documents and data provided by OPAN, the SDOs and other project stakeholders. This was complemented by an extensive consultation process with aged care advocacy stakeholders</w:t>
      </w:r>
      <w:r w:rsidR="001839A6">
        <w:t>, including</w:t>
      </w:r>
      <w:r w:rsidR="001839A6" w:rsidRPr="00F372C2">
        <w:t xml:space="preserve"> aged care peak bodies, aged care consumer and carer advocacy groups, organisations representing care issues for older Australians (e.g., mental health, disability etc.), relevant Commonwealth and jurisdictional government bodies, and subject matter experts</w:t>
      </w:r>
      <w:r w:rsidR="001839A6">
        <w:t xml:space="preserve"> </w:t>
      </w:r>
      <w:r>
        <w:t xml:space="preserve">(see </w:t>
      </w:r>
      <w:r w:rsidR="0051797B">
        <w:fldChar w:fldCharType="begin"/>
      </w:r>
      <w:r w:rsidR="0051797B">
        <w:instrText xml:space="preserve"> REF _Ref91147164 \n \h </w:instrText>
      </w:r>
      <w:r w:rsidR="0051797B">
        <w:fldChar w:fldCharType="separate"/>
      </w:r>
      <w:r w:rsidR="00DC6A20">
        <w:t>Table A.1</w:t>
      </w:r>
      <w:r w:rsidR="0051797B">
        <w:fldChar w:fldCharType="end"/>
      </w:r>
      <w:r w:rsidR="0051797B">
        <w:t xml:space="preserve"> </w:t>
      </w:r>
      <w:r>
        <w:t>for list of stakeholder organisations and interview guide).</w:t>
      </w:r>
      <w:r w:rsidR="00BF212E">
        <w:t xml:space="preserve"> </w:t>
      </w:r>
      <w:r w:rsidR="003B7109" w:rsidRPr="00D86F50">
        <w:t>Consultations were conducted as virtual sessions over Microsoft Teams as focus groups or individual organisation interviews</w:t>
      </w:r>
      <w:r w:rsidR="003B7109">
        <w:t xml:space="preserve"> and the sessions</w:t>
      </w:r>
      <w:r w:rsidR="003B7109" w:rsidRPr="00D86F50">
        <w:t xml:space="preserve"> w</w:t>
      </w:r>
      <w:r w:rsidR="003B7109">
        <w:t>ere</w:t>
      </w:r>
      <w:r w:rsidR="003B7109" w:rsidRPr="00D86F50">
        <w:t xml:space="preserve"> guided by semi-structured interview scripts containing the questions for discussion</w:t>
      </w:r>
      <w:r w:rsidR="003B7109">
        <w:t xml:space="preserve">. </w:t>
      </w:r>
      <w:r w:rsidR="00BF212E">
        <w:t xml:space="preserve">The qualitative consultations </w:t>
      </w:r>
      <w:r w:rsidR="00E1223E">
        <w:t>captured stakeholder perspectives</w:t>
      </w:r>
      <w:r w:rsidR="00BF212E">
        <w:t xml:space="preserve"> </w:t>
      </w:r>
      <w:r w:rsidR="00E174F0">
        <w:t>regarding the issues subject to consideration</w:t>
      </w:r>
      <w:r w:rsidR="00BF212E">
        <w:t>.</w:t>
      </w:r>
    </w:p>
    <w:p w14:paraId="771D0893" w14:textId="2891B6E8" w:rsidR="00EB340A" w:rsidRDefault="00EB340A" w:rsidP="00273D92">
      <w:pPr>
        <w:pStyle w:val="Heading3"/>
        <w:ind w:left="993" w:hanging="993"/>
      </w:pPr>
      <w:bookmarkStart w:id="92" w:name="_Toc99437504"/>
      <w:r>
        <w:t>Quantitative input</w:t>
      </w:r>
      <w:bookmarkEnd w:id="92"/>
    </w:p>
    <w:p w14:paraId="59337DAF" w14:textId="5685BF6B" w:rsidR="00EA7F83" w:rsidRDefault="00EA7F83" w:rsidP="00EA7F83">
      <w:r>
        <w:t xml:space="preserve">The quantitative </w:t>
      </w:r>
      <w:r w:rsidR="002C2093">
        <w:t>aspects</w:t>
      </w:r>
      <w:r>
        <w:t xml:space="preserve"> of the methodology involved data gathering, cleansing, and analysis to enable the modelling of demand for and supply of the NACAP. </w:t>
      </w:r>
      <w:r w:rsidR="00204658">
        <w:t>Data were sourced primarily from OPAN (</w:t>
      </w:r>
      <w:r w:rsidR="00BA0403">
        <w:t xml:space="preserve">program data in the form of </w:t>
      </w:r>
      <w:r w:rsidR="0018162F">
        <w:t>a unit record</w:t>
      </w:r>
      <w:r w:rsidR="00204658">
        <w:t>)</w:t>
      </w:r>
      <w:r w:rsidR="0018162F">
        <w:t xml:space="preserve">, the </w:t>
      </w:r>
      <w:r w:rsidR="006E6DE6" w:rsidRPr="00865985">
        <w:t>Australian Bureau of Statistics</w:t>
      </w:r>
      <w:r w:rsidR="006E6DE6">
        <w:t xml:space="preserve"> (</w:t>
      </w:r>
      <w:r w:rsidR="0018162F">
        <w:t>ABS</w:t>
      </w:r>
      <w:r w:rsidR="006E6DE6">
        <w:t>)</w:t>
      </w:r>
      <w:r w:rsidR="0018162F">
        <w:t xml:space="preserve"> (population data),</w:t>
      </w:r>
      <w:r w:rsidR="0011442E">
        <w:t xml:space="preserve"> and </w:t>
      </w:r>
      <w:r w:rsidR="00A827D8" w:rsidRPr="00865985">
        <w:t>Australian Institute of Health</w:t>
      </w:r>
      <w:r w:rsidR="00A827D8">
        <w:t xml:space="preserve"> (</w:t>
      </w:r>
      <w:r w:rsidR="0011442E">
        <w:t>AIHW</w:t>
      </w:r>
      <w:r w:rsidR="00A827D8">
        <w:t>)</w:t>
      </w:r>
      <w:r w:rsidR="0011442E">
        <w:t xml:space="preserve"> (GEN Aged Care data). </w:t>
      </w:r>
      <w:r>
        <w:t xml:space="preserve">A methodology workshop was conducted </w:t>
      </w:r>
      <w:r w:rsidR="00651EAC">
        <w:t xml:space="preserve">with the Project Governance Group (PGG) </w:t>
      </w:r>
      <w:r>
        <w:t>in the early stages of the methodology development to test the approach and determine the availability of data. The approach was subsequently refined to reflect feedback from the workshop and consultations.</w:t>
      </w:r>
      <w:r w:rsidR="004176A0">
        <w:t xml:space="preserve"> </w:t>
      </w:r>
      <w:r w:rsidR="00CB39E6">
        <w:t xml:space="preserve">As with any modelling approach there are limits to what can be suitably and reliability quantified and for this project this was especially the case </w:t>
      </w:r>
      <w:r w:rsidR="002E2ADC">
        <w:t>due to the limited data available on some key demographic characteristics. Where this is the case</w:t>
      </w:r>
      <w:r w:rsidR="00762AD0">
        <w:t>,</w:t>
      </w:r>
      <w:r w:rsidR="002E2ADC">
        <w:t xml:space="preserve"> we have combined qualitative insights </w:t>
      </w:r>
      <w:r w:rsidR="00714C82">
        <w:t>to contextualise, complement and extend the quantitative findings.</w:t>
      </w:r>
    </w:p>
    <w:p w14:paraId="4690F32D" w14:textId="78AA2938" w:rsidR="00DF1752" w:rsidRDefault="00E2627F" w:rsidP="00EA7F83">
      <w:r>
        <w:fldChar w:fldCharType="begin"/>
      </w:r>
      <w:r>
        <w:instrText xml:space="preserve"> REF _Ref95763606 \n \h </w:instrText>
      </w:r>
      <w:r>
        <w:fldChar w:fldCharType="separate"/>
      </w:r>
      <w:r w:rsidR="00DC6A20">
        <w:t>Figure 2.1</w:t>
      </w:r>
      <w:r>
        <w:fldChar w:fldCharType="end"/>
      </w:r>
      <w:r>
        <w:t xml:space="preserve"> </w:t>
      </w:r>
      <w:r w:rsidR="00EA7F83">
        <w:t xml:space="preserve">presents an overarching methodology framework for the project, demonstrating how the different components of the analysis fit together. The analysis </w:t>
      </w:r>
      <w:r w:rsidR="00651EAC">
        <w:t>estimates</w:t>
      </w:r>
      <w:r w:rsidR="00EA7F83">
        <w:t xml:space="preserve"> the extent of current and future demand (both met and unmet) and </w:t>
      </w:r>
      <w:r w:rsidR="00BD4C2A">
        <w:t xml:space="preserve">NACAP’s </w:t>
      </w:r>
      <w:r w:rsidR="00EA7F83">
        <w:t>ability to meet the demand for aged care advocacy.</w:t>
      </w:r>
    </w:p>
    <w:p w14:paraId="3977C7CD" w14:textId="4EEB7F78" w:rsidR="00DF1752" w:rsidRDefault="008A5A33" w:rsidP="008A5A33">
      <w:pPr>
        <w:pStyle w:val="Caption"/>
      </w:pPr>
      <w:bookmarkStart w:id="93" w:name="_Ref94786055"/>
      <w:bookmarkStart w:id="94" w:name="_Toc99117025"/>
      <w:r>
        <w:t xml:space="preserve">Figure </w:t>
      </w:r>
      <w:r w:rsidR="00076D8A">
        <w:fldChar w:fldCharType="begin"/>
      </w:r>
      <w:r w:rsidR="00076D8A">
        <w:instrText xml:space="preserve"> STYLEREF 1 \s </w:instrText>
      </w:r>
      <w:r w:rsidR="00076D8A">
        <w:fldChar w:fldCharType="separate"/>
      </w:r>
      <w:r w:rsidR="00DC6A20">
        <w:rPr>
          <w:noProof/>
        </w:rPr>
        <w:t>2</w:t>
      </w:r>
      <w:r w:rsidR="00076D8A">
        <w:fldChar w:fldCharType="end"/>
      </w:r>
      <w:r w:rsidR="00076D8A">
        <w:t>.</w:t>
      </w:r>
      <w:r w:rsidR="00076D8A">
        <w:fldChar w:fldCharType="begin"/>
      </w:r>
      <w:r w:rsidR="00076D8A">
        <w:instrText xml:space="preserve"> SEQ Figure \* ARABIC \s 1 </w:instrText>
      </w:r>
      <w:r w:rsidR="00076D8A">
        <w:fldChar w:fldCharType="separate"/>
      </w:r>
      <w:r w:rsidR="00DC6A20">
        <w:rPr>
          <w:noProof/>
        </w:rPr>
        <w:t>1</w:t>
      </w:r>
      <w:r w:rsidR="00076D8A">
        <w:fldChar w:fldCharType="end"/>
      </w:r>
      <w:r w:rsidR="00810987">
        <w:t>:</w:t>
      </w:r>
      <w:r w:rsidR="00F77D82">
        <w:t xml:space="preserve"> Methodology framework</w:t>
      </w:r>
      <w:bookmarkEnd w:id="93"/>
      <w:bookmarkEnd w:id="94"/>
    </w:p>
    <w:p w14:paraId="11FF9D09" w14:textId="605FF2AB" w:rsidR="00F77D82" w:rsidRPr="00F77D82" w:rsidRDefault="002054E6" w:rsidP="00F77D82">
      <w:r w:rsidRPr="002054E6">
        <w:rPr>
          <w:noProof/>
        </w:rPr>
        <w:drawing>
          <wp:inline distT="0" distB="0" distL="0" distR="0" wp14:anchorId="0ED230BC" wp14:editId="233774AD">
            <wp:extent cx="5732145" cy="5646420"/>
            <wp:effectExtent l="0" t="0" r="1905" b="0"/>
            <wp:docPr id="55" name="Picture 55" descr="Methodology of reviewing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ethodology of reviewing the progr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5646420"/>
                    </a:xfrm>
                    <a:prstGeom prst="rect">
                      <a:avLst/>
                    </a:prstGeom>
                    <a:noFill/>
                    <a:ln>
                      <a:noFill/>
                    </a:ln>
                  </pic:spPr>
                </pic:pic>
              </a:graphicData>
            </a:graphic>
          </wp:inline>
        </w:drawing>
      </w:r>
    </w:p>
    <w:p w14:paraId="78939DF7" w14:textId="5FDF030C" w:rsidR="00F54B5E" w:rsidRPr="007475BD" w:rsidRDefault="00F54B5E" w:rsidP="00AD2908">
      <w:pPr>
        <w:pStyle w:val="Source"/>
      </w:pPr>
      <w:r w:rsidRPr="007475BD">
        <w:t>Source: Deloitte Access Economics</w:t>
      </w:r>
      <w:r w:rsidR="00AD2908">
        <w:t>.</w:t>
      </w:r>
    </w:p>
    <w:p w14:paraId="337BFD2F" w14:textId="3AC3844C" w:rsidR="00735913" w:rsidRDefault="00735913" w:rsidP="001C6059">
      <w:r>
        <w:t>For the purpose</w:t>
      </w:r>
      <w:r w:rsidR="00213250">
        <w:t>s</w:t>
      </w:r>
      <w:r>
        <w:t xml:space="preserve"> of this report, </w:t>
      </w:r>
      <w:r w:rsidR="00213250">
        <w:t xml:space="preserve">the </w:t>
      </w:r>
      <w:r>
        <w:t xml:space="preserve">older population </w:t>
      </w:r>
      <w:r w:rsidR="00213250">
        <w:t xml:space="preserve">captures Aboriginal and Torres Strait Islander peoples </w:t>
      </w:r>
      <w:r>
        <w:t>aged 50 and over</w:t>
      </w:r>
      <w:r w:rsidR="00213250">
        <w:t xml:space="preserve"> and non</w:t>
      </w:r>
      <w:r w:rsidR="0099742D">
        <w:t>-</w:t>
      </w:r>
      <w:r w:rsidR="00213250">
        <w:t>Aboriginal</w:t>
      </w:r>
      <w:r w:rsidR="00A133F2">
        <w:t xml:space="preserve"> </w:t>
      </w:r>
      <w:r w:rsidR="00213250">
        <w:t>and Torres Strait Islander people aged 65 and over</w:t>
      </w:r>
      <w:r>
        <w:t>. The population eligible for NACAP service</w:t>
      </w:r>
      <w:r w:rsidR="00EB06D7">
        <w:t>s</w:t>
      </w:r>
      <w:r>
        <w:t xml:space="preserve"> are either people receiving Australian Government funded aged care services, or people seeking to receive Australian Government funded aged care services (this may include prior to receiving an aged care assessment),</w:t>
      </w:r>
      <w:r w:rsidR="0058279D">
        <w:t xml:space="preserve"> and families, loved ones and</w:t>
      </w:r>
      <w:r>
        <w:t xml:space="preserve"> representatives of the above.</w:t>
      </w:r>
    </w:p>
    <w:p w14:paraId="6E4CD8DF" w14:textId="7CEF4955" w:rsidR="00B42B8A" w:rsidRPr="00B04B03" w:rsidRDefault="00B42B8A" w:rsidP="007A23A1">
      <w:pPr>
        <w:pStyle w:val="Heading2"/>
      </w:pPr>
      <w:bookmarkStart w:id="95" w:name="_Toc94771827"/>
      <w:bookmarkStart w:id="96" w:name="_Toc99437505"/>
      <w:r w:rsidRPr="00B04B03">
        <w:t xml:space="preserve">Current </w:t>
      </w:r>
      <w:bookmarkEnd w:id="95"/>
      <w:r w:rsidR="0013079D">
        <w:t>d</w:t>
      </w:r>
      <w:r w:rsidRPr="00B04B03">
        <w:t>emand</w:t>
      </w:r>
      <w:bookmarkEnd w:id="96"/>
    </w:p>
    <w:p w14:paraId="695A00AF" w14:textId="7E5C7E49" w:rsidR="006A165A" w:rsidRDefault="006F6409" w:rsidP="001C6059">
      <w:r>
        <w:t>The current demand for NACAP services comprise</w:t>
      </w:r>
      <w:r w:rsidR="00A56597">
        <w:t>s</w:t>
      </w:r>
      <w:r>
        <w:t xml:space="preserve"> current met and unmet demand</w:t>
      </w:r>
      <w:r w:rsidR="009C7186">
        <w:t xml:space="preserve"> </w:t>
      </w:r>
      <w:r w:rsidR="000A0BB2">
        <w:t xml:space="preserve">for NACAP in FY-2020/21. </w:t>
      </w:r>
      <w:r w:rsidR="00CD7957">
        <w:t xml:space="preserve">Current met demand </w:t>
      </w:r>
      <w:r w:rsidR="00230BE3">
        <w:t xml:space="preserve">is the demand that has been satisfied by the provision of </w:t>
      </w:r>
      <w:r w:rsidR="00DE68DF">
        <w:t xml:space="preserve">NACAP </w:t>
      </w:r>
      <w:r w:rsidR="00230BE3">
        <w:t xml:space="preserve">services. Current unmet demand is the </w:t>
      </w:r>
      <w:r w:rsidR="00DE68DF">
        <w:t>NACAP</w:t>
      </w:r>
      <w:r w:rsidR="00230BE3">
        <w:t xml:space="preserve"> demand that has not been </w:t>
      </w:r>
      <w:r w:rsidR="006C7D01">
        <w:t>addressed</w:t>
      </w:r>
      <w:r w:rsidR="00230BE3">
        <w:t xml:space="preserve"> </w:t>
      </w:r>
      <w:r w:rsidR="00515C5C">
        <w:t>in the current provision of services</w:t>
      </w:r>
      <w:r w:rsidR="00230BE3">
        <w:t>, due to supply restrictions or unknown demand.</w:t>
      </w:r>
      <w:r w:rsidR="009C7186">
        <w:t xml:space="preserve"> </w:t>
      </w:r>
      <w:r w:rsidR="006A165A">
        <w:t xml:space="preserve">Demand </w:t>
      </w:r>
      <w:r w:rsidR="0032192A">
        <w:t>was measured in terms of usage rate</w:t>
      </w:r>
      <w:r w:rsidR="00C16420">
        <w:t>s</w:t>
      </w:r>
      <w:r w:rsidR="0032192A">
        <w:t>, capturing the number of NACAP service users as a proportion of the eligible population in the cohort.</w:t>
      </w:r>
      <w:r w:rsidR="00F61D38">
        <w:t xml:space="preserve"> The total eligible population was sourced from publicly available data inclusive of demographic characteristics and interactions with the aged care system.</w:t>
      </w:r>
    </w:p>
    <w:p w14:paraId="397D60EC" w14:textId="7BC30752" w:rsidR="00F61D38" w:rsidRDefault="009B7998" w:rsidP="0038083D">
      <w:pPr>
        <w:pStyle w:val="Heading3"/>
        <w:ind w:left="993" w:hanging="993"/>
      </w:pPr>
      <w:bookmarkStart w:id="97" w:name="_Toc94771828"/>
      <w:bookmarkStart w:id="98" w:name="_Toc99437506"/>
      <w:r>
        <w:t xml:space="preserve">Current </w:t>
      </w:r>
      <w:bookmarkEnd w:id="97"/>
      <w:r w:rsidR="00513654">
        <w:t>m</w:t>
      </w:r>
      <w:r>
        <w:t xml:space="preserve">et </w:t>
      </w:r>
      <w:r w:rsidR="00513654">
        <w:t>d</w:t>
      </w:r>
      <w:r>
        <w:t>emand</w:t>
      </w:r>
      <w:bookmarkEnd w:id="98"/>
    </w:p>
    <w:p w14:paraId="4D07D385" w14:textId="6FF01290" w:rsidR="00970716" w:rsidRPr="00EA218B" w:rsidRDefault="00970716" w:rsidP="00970716">
      <w:r>
        <w:t xml:space="preserve">The current demand for NACAP services comprises current met and unmet demand for NACAP in FY-2020/21. Current met demand is the demand that has been satisfied by the provision of NACAP services. Current unmet demand is the NACAP demand that has not been satisfied by </w:t>
      </w:r>
      <w:r w:rsidR="00284AFE">
        <w:t>the program</w:t>
      </w:r>
      <w:r>
        <w:t xml:space="preserve"> due to supply restrictions or unknown demand.</w:t>
      </w:r>
    </w:p>
    <w:p w14:paraId="404A6AA9" w14:textId="5B9A030A" w:rsidR="00970716" w:rsidRDefault="008A5A33" w:rsidP="008A5A33">
      <w:pPr>
        <w:pStyle w:val="Caption"/>
      </w:pPr>
      <w:bookmarkStart w:id="99" w:name="_Toc99117026"/>
      <w:r>
        <w:t xml:space="preserve">Figure </w:t>
      </w:r>
      <w:r w:rsidR="00076D8A">
        <w:fldChar w:fldCharType="begin"/>
      </w:r>
      <w:r w:rsidR="00076D8A">
        <w:instrText xml:space="preserve"> STYLEREF 1 \s </w:instrText>
      </w:r>
      <w:r w:rsidR="00076D8A">
        <w:fldChar w:fldCharType="separate"/>
      </w:r>
      <w:r w:rsidR="00DC6A20">
        <w:rPr>
          <w:noProof/>
        </w:rPr>
        <w:t>2</w:t>
      </w:r>
      <w:r w:rsidR="00076D8A">
        <w:fldChar w:fldCharType="end"/>
      </w:r>
      <w:r w:rsidR="00076D8A">
        <w:t>.</w:t>
      </w:r>
      <w:r w:rsidR="00076D8A">
        <w:fldChar w:fldCharType="begin"/>
      </w:r>
      <w:r w:rsidR="00076D8A">
        <w:instrText xml:space="preserve"> SEQ Figure \* ARABIC \s 1 </w:instrText>
      </w:r>
      <w:r w:rsidR="00076D8A">
        <w:fldChar w:fldCharType="separate"/>
      </w:r>
      <w:r w:rsidR="00DC6A20">
        <w:rPr>
          <w:noProof/>
        </w:rPr>
        <w:t>2</w:t>
      </w:r>
      <w:r w:rsidR="00076D8A">
        <w:fldChar w:fldCharType="end"/>
      </w:r>
      <w:r w:rsidR="00970716">
        <w:t>: Overview of current demand analysis</w:t>
      </w:r>
      <w:bookmarkEnd w:id="99"/>
    </w:p>
    <w:p w14:paraId="01EAAAF7" w14:textId="56BE2566" w:rsidR="00970716" w:rsidRDefault="00970716" w:rsidP="00970716">
      <w:r w:rsidRPr="00C37CB3">
        <w:rPr>
          <w:noProof/>
        </w:rPr>
        <w:drawing>
          <wp:inline distT="0" distB="0" distL="0" distR="0" wp14:anchorId="22AD89D8" wp14:editId="722F5069">
            <wp:extent cx="3555187" cy="3235660"/>
            <wp:effectExtent l="0" t="0" r="7620" b="3175"/>
            <wp:docPr id="47" name="Picture 47" descr="Current met demand was estimated using the unit record data received and progress report data received from OP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rrent met demand was estimated using the unit record data received and progress report data received from OPA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6163" cy="3254750"/>
                    </a:xfrm>
                    <a:prstGeom prst="rect">
                      <a:avLst/>
                    </a:prstGeom>
                    <a:noFill/>
                    <a:ln>
                      <a:noFill/>
                    </a:ln>
                  </pic:spPr>
                </pic:pic>
              </a:graphicData>
            </a:graphic>
          </wp:inline>
        </w:drawing>
      </w:r>
    </w:p>
    <w:p w14:paraId="01D18AF5" w14:textId="26BE47B8" w:rsidR="008152A0" w:rsidRDefault="00BB6412" w:rsidP="008152A0">
      <w:r w:rsidRPr="00241FB1">
        <w:t>Current met demand</w:t>
      </w:r>
      <w:r w:rsidRPr="00F432EA">
        <w:rPr>
          <w:b/>
          <w:bCs/>
        </w:rPr>
        <w:t xml:space="preserve"> </w:t>
      </w:r>
      <w:r w:rsidRPr="00F432EA">
        <w:t>was estimated using the unit record data received from SDOs and progress report data received from OPAN. The number of users derived from these datasets were compared to the total eligible population (i.e., older people interacting with aged care services) to understand how the current us</w:t>
      </w:r>
      <w:r w:rsidR="002806D0">
        <w:t>age rates</w:t>
      </w:r>
      <w:r w:rsidRPr="00F432EA">
        <w:t xml:space="preserve"> of N</w:t>
      </w:r>
      <w:r w:rsidRPr="00241FB1">
        <w:t xml:space="preserve">ACAP services compares to the </w:t>
      </w:r>
      <w:r w:rsidR="00443229">
        <w:t xml:space="preserve">minimum </w:t>
      </w:r>
      <w:r w:rsidRPr="00241FB1">
        <w:t xml:space="preserve">5% usage target </w:t>
      </w:r>
      <w:r w:rsidR="00BD2B35">
        <w:t>recommended</w:t>
      </w:r>
      <w:r w:rsidR="00BD2B35" w:rsidRPr="00241FB1">
        <w:t xml:space="preserve"> </w:t>
      </w:r>
      <w:r w:rsidRPr="00241FB1">
        <w:t>by the Royal Commission.</w:t>
      </w:r>
    </w:p>
    <w:p w14:paraId="7BC3AFE9" w14:textId="726BAD0D" w:rsidR="008152A0" w:rsidRDefault="008152A0" w:rsidP="008152A0">
      <w:pPr>
        <w:rPr>
          <w:lang w:eastAsia="en-AU"/>
        </w:rPr>
      </w:pPr>
      <w:r w:rsidRPr="0047038C">
        <w:t xml:space="preserve">The demand was measured in </w:t>
      </w:r>
      <w:r w:rsidRPr="00A3450F">
        <w:rPr>
          <w:b/>
          <w:bCs/>
        </w:rPr>
        <w:t>usage rate</w:t>
      </w:r>
      <w:r w:rsidRPr="0047038C">
        <w:t xml:space="preserve"> terms, which captures the number of users of a service as a proportion of the total population in that cohort that is eligible for the services</w:t>
      </w:r>
      <w:r>
        <w:t>, by user characteristic</w:t>
      </w:r>
      <w:r w:rsidRPr="0047038C">
        <w:t>.</w:t>
      </w:r>
      <w:r>
        <w:t xml:space="preserve"> Usage rates were used as they are a useful metric to convey the uptake of the services among the eligible population, by key demographic characteristics. This enables an analysis of unmet demand across population cohorts.</w:t>
      </w:r>
      <w:r>
        <w:rPr>
          <w:lang w:eastAsia="en-AU"/>
        </w:rPr>
        <w:t xml:space="preserve"> A summary of the relevant characteristics captured in the unit record data is provided </w:t>
      </w:r>
      <w:r w:rsidR="006D57D7">
        <w:rPr>
          <w:lang w:eastAsia="en-AU"/>
        </w:rPr>
        <w:t xml:space="preserve">in </w:t>
      </w:r>
      <w:r w:rsidR="006D57D7">
        <w:rPr>
          <w:lang w:eastAsia="en-AU"/>
        </w:rPr>
        <w:fldChar w:fldCharType="begin"/>
      </w:r>
      <w:r w:rsidR="006D57D7">
        <w:rPr>
          <w:lang w:eastAsia="en-AU"/>
        </w:rPr>
        <w:instrText xml:space="preserve"> REF _Ref95746859 \r \h </w:instrText>
      </w:r>
      <w:r w:rsidR="006D57D7">
        <w:rPr>
          <w:lang w:eastAsia="en-AU"/>
        </w:rPr>
      </w:r>
      <w:r w:rsidR="006D57D7">
        <w:rPr>
          <w:lang w:eastAsia="en-AU"/>
        </w:rPr>
        <w:fldChar w:fldCharType="separate"/>
      </w:r>
      <w:r w:rsidR="00DC6A20">
        <w:rPr>
          <w:lang w:eastAsia="en-AU"/>
        </w:rPr>
        <w:t>Table 2.1</w:t>
      </w:r>
      <w:r w:rsidR="006D57D7">
        <w:rPr>
          <w:lang w:eastAsia="en-AU"/>
        </w:rPr>
        <w:fldChar w:fldCharType="end"/>
      </w:r>
      <w:r w:rsidR="006D57D7">
        <w:rPr>
          <w:lang w:eastAsia="en-AU"/>
        </w:rPr>
        <w:t>.</w:t>
      </w:r>
    </w:p>
    <w:p w14:paraId="6F9238A2" w14:textId="33FF6023" w:rsidR="007441B6" w:rsidRDefault="006D57D7" w:rsidP="00941883">
      <w:pPr>
        <w:pStyle w:val="CaptionTable"/>
      </w:pPr>
      <w:bookmarkStart w:id="100" w:name="_Ref95746859"/>
      <w:bookmarkStart w:id="101" w:name="_Toc99117014"/>
      <w:r>
        <w:t xml:space="preserve">: </w:t>
      </w:r>
      <w:r w:rsidR="007441B6">
        <w:t xml:space="preserve">Summary of relevant characteristics </w:t>
      </w:r>
      <w:r w:rsidR="00AF299E">
        <w:t xml:space="preserve">in available data </w:t>
      </w:r>
      <w:r w:rsidR="007441B6">
        <w:t xml:space="preserve">and corresponding </w:t>
      </w:r>
      <w:r w:rsidR="00AD77E1">
        <w:t xml:space="preserve">data </w:t>
      </w:r>
      <w:r w:rsidR="007441B6">
        <w:t>fields</w:t>
      </w:r>
      <w:bookmarkEnd w:id="100"/>
      <w:bookmarkEnd w:id="101"/>
    </w:p>
    <w:tbl>
      <w:tblPr>
        <w:tblStyle w:val="Deloittetable"/>
        <w:tblW w:w="9072" w:type="dxa"/>
        <w:tblLook w:val="04A0" w:firstRow="1" w:lastRow="0" w:firstColumn="1" w:lastColumn="0" w:noHBand="0" w:noVBand="1"/>
      </w:tblPr>
      <w:tblGrid>
        <w:gridCol w:w="2410"/>
        <w:gridCol w:w="6662"/>
      </w:tblGrid>
      <w:tr w:rsidR="007441B6" w14:paraId="05563215" w14:textId="77777777" w:rsidTr="003D1D87">
        <w:trPr>
          <w:cnfStyle w:val="100000000000" w:firstRow="1" w:lastRow="0" w:firstColumn="0" w:lastColumn="0" w:oddVBand="0" w:evenVBand="0" w:oddHBand="0" w:evenHBand="0" w:firstRowFirstColumn="0" w:firstRowLastColumn="0" w:lastRowFirstColumn="0" w:lastRowLastColumn="0"/>
        </w:trPr>
        <w:tc>
          <w:tcPr>
            <w:tcW w:w="2410" w:type="dxa"/>
          </w:tcPr>
          <w:p w14:paraId="57938401" w14:textId="77777777" w:rsidR="007441B6" w:rsidRPr="00860C99" w:rsidRDefault="007441B6" w:rsidP="00941883">
            <w:pPr>
              <w:keepNext/>
              <w:rPr>
                <w:b/>
                <w:lang w:eastAsia="en-AU"/>
              </w:rPr>
            </w:pPr>
            <w:r w:rsidRPr="00860C99">
              <w:rPr>
                <w:b/>
                <w:lang w:eastAsia="en-AU"/>
              </w:rPr>
              <w:t>Characteristic</w:t>
            </w:r>
          </w:p>
        </w:tc>
        <w:tc>
          <w:tcPr>
            <w:tcW w:w="6662" w:type="dxa"/>
          </w:tcPr>
          <w:p w14:paraId="513BFC98" w14:textId="77777777" w:rsidR="007441B6" w:rsidRPr="00860C99" w:rsidRDefault="007441B6" w:rsidP="00941883">
            <w:pPr>
              <w:keepNext/>
              <w:rPr>
                <w:b/>
                <w:lang w:eastAsia="en-AU"/>
              </w:rPr>
            </w:pPr>
            <w:r w:rsidRPr="00860C99">
              <w:rPr>
                <w:b/>
                <w:lang w:eastAsia="en-AU"/>
              </w:rPr>
              <w:t>Fields</w:t>
            </w:r>
          </w:p>
        </w:tc>
      </w:tr>
      <w:tr w:rsidR="007441B6" w14:paraId="7865D27A" w14:textId="77777777" w:rsidTr="003D1D87">
        <w:tc>
          <w:tcPr>
            <w:tcW w:w="2410" w:type="dxa"/>
          </w:tcPr>
          <w:p w14:paraId="56CC0175" w14:textId="77777777" w:rsidR="007441B6" w:rsidRPr="00481D0F" w:rsidRDefault="007441B6" w:rsidP="00941883">
            <w:pPr>
              <w:keepNext/>
              <w:rPr>
                <w:b/>
                <w:lang w:eastAsia="en-AU"/>
              </w:rPr>
            </w:pPr>
            <w:r w:rsidRPr="00481D0F">
              <w:rPr>
                <w:b/>
                <w:lang w:eastAsia="en-AU"/>
              </w:rPr>
              <w:t>Service type</w:t>
            </w:r>
          </w:p>
        </w:tc>
        <w:tc>
          <w:tcPr>
            <w:tcW w:w="6662" w:type="dxa"/>
          </w:tcPr>
          <w:p w14:paraId="6B60B753" w14:textId="77777777" w:rsidR="007441B6" w:rsidRDefault="007441B6" w:rsidP="00941883">
            <w:pPr>
              <w:keepNext/>
              <w:rPr>
                <w:lang w:eastAsia="en-AU"/>
              </w:rPr>
            </w:pPr>
            <w:r>
              <w:rPr>
                <w:lang w:eastAsia="en-AU"/>
              </w:rPr>
              <w:t>‘Information’, ‘Advocacy’, ‘Education’</w:t>
            </w:r>
          </w:p>
        </w:tc>
      </w:tr>
      <w:tr w:rsidR="007441B6" w14:paraId="375C32E5" w14:textId="77777777" w:rsidTr="003D1D87">
        <w:tc>
          <w:tcPr>
            <w:tcW w:w="2410" w:type="dxa"/>
          </w:tcPr>
          <w:p w14:paraId="75487EBD" w14:textId="77777777" w:rsidR="007441B6" w:rsidRPr="00481D0F" w:rsidRDefault="007441B6" w:rsidP="00941883">
            <w:pPr>
              <w:keepNext/>
              <w:rPr>
                <w:b/>
                <w:lang w:eastAsia="en-AU"/>
              </w:rPr>
            </w:pPr>
            <w:r w:rsidRPr="00481D0F">
              <w:rPr>
                <w:b/>
                <w:lang w:eastAsia="en-AU"/>
              </w:rPr>
              <w:t>Care type</w:t>
            </w:r>
          </w:p>
        </w:tc>
        <w:tc>
          <w:tcPr>
            <w:tcW w:w="6662" w:type="dxa"/>
          </w:tcPr>
          <w:p w14:paraId="79331291" w14:textId="77777777" w:rsidR="007441B6" w:rsidRDefault="007441B6" w:rsidP="00941883">
            <w:pPr>
              <w:keepNext/>
              <w:rPr>
                <w:lang w:eastAsia="en-AU"/>
              </w:rPr>
            </w:pPr>
            <w:r>
              <w:rPr>
                <w:lang w:eastAsia="en-AU"/>
              </w:rPr>
              <w:t>‘Residential aged care’, ‘Community care’, ‘Other’</w:t>
            </w:r>
          </w:p>
        </w:tc>
      </w:tr>
      <w:tr w:rsidR="007441B6" w14:paraId="28F89539" w14:textId="77777777" w:rsidTr="003D1D87">
        <w:tc>
          <w:tcPr>
            <w:tcW w:w="2410" w:type="dxa"/>
          </w:tcPr>
          <w:p w14:paraId="67195C85" w14:textId="77777777" w:rsidR="007441B6" w:rsidRPr="00481D0F" w:rsidRDefault="007441B6" w:rsidP="00941883">
            <w:pPr>
              <w:keepNext/>
              <w:rPr>
                <w:b/>
                <w:lang w:eastAsia="en-AU"/>
              </w:rPr>
            </w:pPr>
            <w:r w:rsidRPr="00481D0F">
              <w:rPr>
                <w:b/>
                <w:lang w:eastAsia="en-AU"/>
              </w:rPr>
              <w:t>Location</w:t>
            </w:r>
          </w:p>
        </w:tc>
        <w:tc>
          <w:tcPr>
            <w:tcW w:w="6662" w:type="dxa"/>
          </w:tcPr>
          <w:p w14:paraId="52FF58A5" w14:textId="77777777" w:rsidR="007441B6" w:rsidRDefault="007441B6" w:rsidP="00941883">
            <w:pPr>
              <w:keepNext/>
              <w:rPr>
                <w:lang w:eastAsia="en-AU"/>
              </w:rPr>
            </w:pPr>
            <w:r>
              <w:rPr>
                <w:lang w:eastAsia="en-AU"/>
              </w:rPr>
              <w:t>‘Metro’, ‘Regional’</w:t>
            </w:r>
          </w:p>
        </w:tc>
      </w:tr>
      <w:tr w:rsidR="007441B6" w14:paraId="05A3B00F" w14:textId="77777777" w:rsidTr="003D1D87">
        <w:tc>
          <w:tcPr>
            <w:tcW w:w="2410" w:type="dxa"/>
          </w:tcPr>
          <w:p w14:paraId="63817908" w14:textId="77777777" w:rsidR="007441B6" w:rsidRPr="00481D0F" w:rsidRDefault="007441B6" w:rsidP="00941883">
            <w:pPr>
              <w:keepNext/>
              <w:rPr>
                <w:b/>
                <w:lang w:eastAsia="en-AU"/>
              </w:rPr>
            </w:pPr>
            <w:r w:rsidRPr="00481D0F">
              <w:rPr>
                <w:b/>
                <w:lang w:eastAsia="en-AU"/>
              </w:rPr>
              <w:t>Age</w:t>
            </w:r>
          </w:p>
        </w:tc>
        <w:tc>
          <w:tcPr>
            <w:tcW w:w="6662" w:type="dxa"/>
          </w:tcPr>
          <w:p w14:paraId="790D1320" w14:textId="77777777" w:rsidR="007441B6" w:rsidRDefault="007441B6" w:rsidP="00941883">
            <w:pPr>
              <w:keepNext/>
              <w:rPr>
                <w:lang w:eastAsia="en-AU"/>
              </w:rPr>
            </w:pPr>
            <w:r>
              <w:rPr>
                <w:lang w:eastAsia="en-AU"/>
              </w:rPr>
              <w:t>‘&lt;50’, ‘50-54’, ‘55-59’, ‘60-64’, ‘65-69’, ‘70-74’, ‘75-79’, ‘80-84’, ‘85-89’, ‘90-94’, ‘95-99’, ‘100+’</w:t>
            </w:r>
          </w:p>
        </w:tc>
      </w:tr>
      <w:tr w:rsidR="007441B6" w14:paraId="0D56962C" w14:textId="77777777" w:rsidTr="003D1D87">
        <w:tc>
          <w:tcPr>
            <w:tcW w:w="2410" w:type="dxa"/>
          </w:tcPr>
          <w:p w14:paraId="73A5E59F" w14:textId="77777777" w:rsidR="007441B6" w:rsidRPr="000C42C2" w:rsidRDefault="007441B6" w:rsidP="00941883">
            <w:pPr>
              <w:keepNext/>
              <w:rPr>
                <w:b/>
                <w:lang w:eastAsia="en-AU"/>
              </w:rPr>
            </w:pPr>
            <w:r w:rsidRPr="000C42C2">
              <w:rPr>
                <w:b/>
                <w:lang w:eastAsia="en-AU"/>
              </w:rPr>
              <w:t>Gender</w:t>
            </w:r>
          </w:p>
        </w:tc>
        <w:tc>
          <w:tcPr>
            <w:tcW w:w="6662" w:type="dxa"/>
          </w:tcPr>
          <w:p w14:paraId="3E66EB1D" w14:textId="77777777" w:rsidR="007441B6" w:rsidRDefault="007441B6" w:rsidP="00941883">
            <w:pPr>
              <w:keepNext/>
              <w:rPr>
                <w:lang w:eastAsia="en-AU"/>
              </w:rPr>
            </w:pPr>
            <w:r>
              <w:rPr>
                <w:lang w:eastAsia="en-AU"/>
              </w:rPr>
              <w:t xml:space="preserve">‘Female’, ‘Male’, ‘Other’ </w:t>
            </w:r>
          </w:p>
        </w:tc>
      </w:tr>
      <w:tr w:rsidR="007441B6" w14:paraId="5FA51F73" w14:textId="77777777" w:rsidTr="003D1D87">
        <w:tc>
          <w:tcPr>
            <w:tcW w:w="2410" w:type="dxa"/>
          </w:tcPr>
          <w:p w14:paraId="4DCBD945" w14:textId="77777777" w:rsidR="007441B6" w:rsidRPr="000C42C2" w:rsidRDefault="007441B6" w:rsidP="00941883">
            <w:pPr>
              <w:keepNext/>
              <w:rPr>
                <w:b/>
                <w:lang w:eastAsia="en-AU"/>
              </w:rPr>
            </w:pPr>
            <w:r w:rsidRPr="000C42C2">
              <w:rPr>
                <w:b/>
                <w:lang w:eastAsia="en-AU"/>
              </w:rPr>
              <w:t>Dementia</w:t>
            </w:r>
          </w:p>
        </w:tc>
        <w:tc>
          <w:tcPr>
            <w:tcW w:w="6662" w:type="dxa"/>
          </w:tcPr>
          <w:p w14:paraId="205B0A41" w14:textId="77777777" w:rsidR="007441B6" w:rsidRDefault="007441B6" w:rsidP="00941883">
            <w:pPr>
              <w:keepNext/>
              <w:rPr>
                <w:lang w:eastAsia="en-AU"/>
              </w:rPr>
            </w:pPr>
            <w:r>
              <w:rPr>
                <w:lang w:eastAsia="en-AU"/>
              </w:rPr>
              <w:t>‘Yes’, ‘No’</w:t>
            </w:r>
          </w:p>
        </w:tc>
      </w:tr>
      <w:tr w:rsidR="007441B6" w14:paraId="1B754482" w14:textId="77777777" w:rsidTr="003D1D87">
        <w:tc>
          <w:tcPr>
            <w:tcW w:w="2410" w:type="dxa"/>
          </w:tcPr>
          <w:p w14:paraId="5CB475B0" w14:textId="77777777" w:rsidR="007441B6" w:rsidRPr="000C42C2" w:rsidRDefault="007441B6" w:rsidP="00941883">
            <w:pPr>
              <w:keepNext/>
              <w:rPr>
                <w:b/>
                <w:lang w:eastAsia="en-AU"/>
              </w:rPr>
            </w:pPr>
            <w:r w:rsidRPr="000C42C2">
              <w:rPr>
                <w:b/>
                <w:lang w:eastAsia="en-AU"/>
              </w:rPr>
              <w:t xml:space="preserve">Aboriginal and Torres Strait </w:t>
            </w:r>
            <w:r>
              <w:rPr>
                <w:b/>
                <w:bCs/>
                <w:lang w:eastAsia="en-AU"/>
              </w:rPr>
              <w:t>I</w:t>
            </w:r>
            <w:r w:rsidRPr="000C42C2">
              <w:rPr>
                <w:b/>
                <w:bCs/>
                <w:lang w:eastAsia="en-AU"/>
              </w:rPr>
              <w:t>slander</w:t>
            </w:r>
            <w:r w:rsidRPr="000C42C2">
              <w:rPr>
                <w:b/>
                <w:lang w:eastAsia="en-AU"/>
              </w:rPr>
              <w:t xml:space="preserve"> </w:t>
            </w:r>
          </w:p>
        </w:tc>
        <w:tc>
          <w:tcPr>
            <w:tcW w:w="6662" w:type="dxa"/>
          </w:tcPr>
          <w:p w14:paraId="1213C4E5" w14:textId="77777777" w:rsidR="007441B6" w:rsidRDefault="007441B6" w:rsidP="00941883">
            <w:pPr>
              <w:keepNext/>
              <w:rPr>
                <w:lang w:eastAsia="en-AU"/>
              </w:rPr>
            </w:pPr>
            <w:r>
              <w:rPr>
                <w:lang w:eastAsia="en-AU"/>
              </w:rPr>
              <w:t>‘Yes’, ‘No’</w:t>
            </w:r>
          </w:p>
        </w:tc>
      </w:tr>
      <w:tr w:rsidR="007441B6" w14:paraId="35C76F0E" w14:textId="77777777" w:rsidTr="003D1D87">
        <w:tc>
          <w:tcPr>
            <w:tcW w:w="2410" w:type="dxa"/>
          </w:tcPr>
          <w:p w14:paraId="7CD1F55B" w14:textId="77777777" w:rsidR="007441B6" w:rsidRPr="000C42C2" w:rsidRDefault="007441B6" w:rsidP="00941883">
            <w:pPr>
              <w:keepNext/>
              <w:rPr>
                <w:b/>
                <w:lang w:eastAsia="en-AU"/>
              </w:rPr>
            </w:pPr>
            <w:r w:rsidRPr="000C42C2">
              <w:rPr>
                <w:b/>
                <w:lang w:eastAsia="en-AU"/>
              </w:rPr>
              <w:t>Elder abuse</w:t>
            </w:r>
          </w:p>
        </w:tc>
        <w:tc>
          <w:tcPr>
            <w:tcW w:w="6662" w:type="dxa"/>
          </w:tcPr>
          <w:p w14:paraId="1DBEA4DD" w14:textId="77777777" w:rsidR="007441B6" w:rsidRDefault="007441B6" w:rsidP="00941883">
            <w:pPr>
              <w:keepNext/>
              <w:rPr>
                <w:lang w:eastAsia="en-AU"/>
              </w:rPr>
            </w:pPr>
            <w:r>
              <w:rPr>
                <w:lang w:eastAsia="en-AU"/>
              </w:rPr>
              <w:t>‘Yes’, ‘No’</w:t>
            </w:r>
          </w:p>
        </w:tc>
      </w:tr>
      <w:tr w:rsidR="007441B6" w14:paraId="4742698D" w14:textId="77777777" w:rsidTr="003D1D87">
        <w:tc>
          <w:tcPr>
            <w:tcW w:w="2410" w:type="dxa"/>
          </w:tcPr>
          <w:p w14:paraId="3EFC2B7A" w14:textId="77777777" w:rsidR="007441B6" w:rsidRPr="000C42C2" w:rsidRDefault="007441B6" w:rsidP="00941883">
            <w:pPr>
              <w:keepNext/>
              <w:rPr>
                <w:b/>
                <w:lang w:eastAsia="en-AU"/>
              </w:rPr>
            </w:pPr>
            <w:r w:rsidRPr="000C42C2">
              <w:rPr>
                <w:b/>
                <w:lang w:eastAsia="en-AU"/>
              </w:rPr>
              <w:t xml:space="preserve">CALD </w:t>
            </w:r>
          </w:p>
        </w:tc>
        <w:tc>
          <w:tcPr>
            <w:tcW w:w="6662" w:type="dxa"/>
          </w:tcPr>
          <w:p w14:paraId="6B1CB46B" w14:textId="77777777" w:rsidR="007441B6" w:rsidRDefault="007441B6" w:rsidP="00941883">
            <w:pPr>
              <w:keepNext/>
              <w:rPr>
                <w:lang w:eastAsia="en-AU"/>
              </w:rPr>
            </w:pPr>
            <w:r>
              <w:rPr>
                <w:lang w:eastAsia="en-AU"/>
              </w:rPr>
              <w:t>‘Yes’, ‘No’</w:t>
            </w:r>
          </w:p>
        </w:tc>
      </w:tr>
    </w:tbl>
    <w:p w14:paraId="59D829A7" w14:textId="77777777" w:rsidR="007441B6" w:rsidRPr="008A4C65" w:rsidRDefault="007441B6" w:rsidP="00941883">
      <w:pPr>
        <w:pStyle w:val="Source"/>
        <w:keepNext/>
        <w:rPr>
          <w:rFonts w:eastAsia="Times New Roman" w:cs="Times New Roman"/>
          <w:szCs w:val="14"/>
          <w:lang w:eastAsia="en-AU"/>
        </w:rPr>
      </w:pPr>
      <w:r w:rsidRPr="008A4C65">
        <w:rPr>
          <w:szCs w:val="14"/>
          <w:lang w:eastAsia="en-AU"/>
        </w:rPr>
        <w:t>Source:</w:t>
      </w:r>
      <w:r w:rsidRPr="008A4C65">
        <w:rPr>
          <w:rFonts w:eastAsia="Times New Roman" w:cs="Times New Roman"/>
          <w:szCs w:val="14"/>
          <w:lang w:eastAsia="en-AU"/>
        </w:rPr>
        <w:t xml:space="preserve"> OPAN unit record data with recoding by Deloitte Access Economics.</w:t>
      </w:r>
    </w:p>
    <w:p w14:paraId="43CA75DE" w14:textId="4C7FCBFE" w:rsidR="007441B6" w:rsidRDefault="007441B6" w:rsidP="00432593">
      <w:r>
        <w:t>Given significant data gaps in the unit record data, two key assumptions were made.</w:t>
      </w:r>
    </w:p>
    <w:p w14:paraId="49189AFE" w14:textId="6CD23129" w:rsidR="007441B6" w:rsidRDefault="007441B6" w:rsidP="00F178E7">
      <w:pPr>
        <w:pStyle w:val="ListNumber"/>
        <w:numPr>
          <w:ilvl w:val="0"/>
          <w:numId w:val="44"/>
        </w:numPr>
      </w:pPr>
      <w:r>
        <w:t>The distribution of NACAP services across the user characteristics were assumed to be the same as that in Queensland</w:t>
      </w:r>
      <w:r w:rsidR="00F654E8">
        <w:t xml:space="preserve">’s </w:t>
      </w:r>
      <w:r w:rsidR="00AA530C" w:rsidRPr="00865985">
        <w:t>Aged and Disability Advocacy</w:t>
      </w:r>
      <w:r w:rsidR="00AA530C">
        <w:t xml:space="preserve"> </w:t>
      </w:r>
      <w:r w:rsidR="00F654E8">
        <w:t>(</w:t>
      </w:r>
      <w:r>
        <w:t>ADA) for all jurisdictions.</w:t>
      </w:r>
    </w:p>
    <w:p w14:paraId="0DDE63F1" w14:textId="376C866A" w:rsidR="002B77F9" w:rsidRDefault="007441B6" w:rsidP="00432593">
      <w:pPr>
        <w:pStyle w:val="ListNumber"/>
        <w:spacing w:after="170"/>
      </w:pPr>
      <w:r>
        <w:t>Given the missing unit record data for NT, ACT and Tasmania, the distribution of NACAP services from Queensland was applied to the total instances of services captured in the progress reports, to derive a full dataset.</w:t>
      </w:r>
    </w:p>
    <w:p w14:paraId="4499D64D" w14:textId="3B28F11C" w:rsidR="00C32542" w:rsidRDefault="00C32542" w:rsidP="003B6CD7">
      <w:r>
        <w:t>State-based variations in data are likely a result of the different accounting rules for data collection across states, as well as resource differences. Historical differences in funding across states has enabled some SDOs, such as Queensland (ADA) to allocate more resources to delivering NACAP services. This is reflected in the higher servicing rate relative to the older population in the state, when compared to other states such as NSW</w:t>
      </w:r>
      <w:r w:rsidR="009918B5">
        <w:t>’s Senior Rights Service</w:t>
      </w:r>
      <w:r>
        <w:t xml:space="preserve"> (SRS) and might also have resulted in better data capture for users. </w:t>
      </w:r>
    </w:p>
    <w:p w14:paraId="56959727" w14:textId="2ED08931" w:rsidR="00AE3442" w:rsidRDefault="00AE3442" w:rsidP="00E11620">
      <w:pPr>
        <w:pStyle w:val="Heading4"/>
      </w:pPr>
      <w:r>
        <w:t>Population characteristics</w:t>
      </w:r>
    </w:p>
    <w:p w14:paraId="43D4867D" w14:textId="2C19A840" w:rsidR="00AE3442" w:rsidRDefault="00AE3442" w:rsidP="00AE3442">
      <w:pPr>
        <w:rPr>
          <w:lang w:eastAsia="en-AU"/>
        </w:rPr>
      </w:pPr>
      <w:r>
        <w:rPr>
          <w:lang w:eastAsia="en-AU"/>
        </w:rPr>
        <w:t xml:space="preserve">The eligible population with a given set of characteristics was derived </w:t>
      </w:r>
      <w:r w:rsidR="005F7150">
        <w:rPr>
          <w:lang w:eastAsia="en-AU"/>
        </w:rPr>
        <w:t>by combining publicly available data from the ABS and AIHW.</w:t>
      </w:r>
      <w:r w:rsidR="003435D1">
        <w:rPr>
          <w:lang w:eastAsia="en-AU"/>
        </w:rPr>
        <w:t xml:space="preserve"> </w:t>
      </w:r>
      <w:r w:rsidR="00120910">
        <w:rPr>
          <w:lang w:eastAsia="en-AU"/>
        </w:rPr>
        <w:t xml:space="preserve">The </w:t>
      </w:r>
      <w:r w:rsidR="00272D17">
        <w:rPr>
          <w:lang w:eastAsia="en-AU"/>
        </w:rPr>
        <w:t>total target</w:t>
      </w:r>
      <w:r w:rsidR="00120910">
        <w:rPr>
          <w:lang w:eastAsia="en-AU"/>
        </w:rPr>
        <w:t xml:space="preserve"> population </w:t>
      </w:r>
      <w:r w:rsidR="00272D17">
        <w:rPr>
          <w:lang w:eastAsia="en-AU"/>
        </w:rPr>
        <w:t>was first split by</w:t>
      </w:r>
      <w:r w:rsidR="0068574D">
        <w:rPr>
          <w:lang w:eastAsia="en-AU"/>
        </w:rPr>
        <w:t xml:space="preserve"> care </w:t>
      </w:r>
      <w:r w:rsidR="00272D17">
        <w:rPr>
          <w:lang w:eastAsia="en-AU"/>
        </w:rPr>
        <w:t>type</w:t>
      </w:r>
      <w:r w:rsidR="0068574D">
        <w:rPr>
          <w:lang w:eastAsia="en-AU"/>
        </w:rPr>
        <w:t xml:space="preserve"> using </w:t>
      </w:r>
      <w:r w:rsidR="00DF0964">
        <w:rPr>
          <w:lang w:eastAsia="en-AU"/>
        </w:rPr>
        <w:t>AIHW GEN Aged Care data</w:t>
      </w:r>
      <w:r w:rsidR="00FD655D">
        <w:rPr>
          <w:lang w:eastAsia="en-AU"/>
        </w:rPr>
        <w:t xml:space="preserve">. </w:t>
      </w:r>
      <w:r w:rsidR="00247B60">
        <w:rPr>
          <w:lang w:eastAsia="en-AU"/>
        </w:rPr>
        <w:t xml:space="preserve">These data enabled age- and gender-specific usage rates of aged </w:t>
      </w:r>
      <w:r w:rsidR="00437A46">
        <w:rPr>
          <w:lang w:eastAsia="en-AU"/>
        </w:rPr>
        <w:t xml:space="preserve">care to be calculated and subsequently applied to </w:t>
      </w:r>
      <w:r w:rsidR="003F517F">
        <w:rPr>
          <w:lang w:eastAsia="en-AU"/>
        </w:rPr>
        <w:t xml:space="preserve">the projected population base (from ABS). </w:t>
      </w:r>
      <w:r w:rsidR="000825A3">
        <w:rPr>
          <w:lang w:eastAsia="en-AU"/>
        </w:rPr>
        <w:t xml:space="preserve">The size of the CALD, Aboriginal and Torres Strait Islander, elder abuse, and dementia population groups were estimated by applying </w:t>
      </w:r>
      <w:r w:rsidR="00194EB9">
        <w:rPr>
          <w:lang w:eastAsia="en-AU"/>
        </w:rPr>
        <w:t xml:space="preserve">prevalence rates to the </w:t>
      </w:r>
      <w:r w:rsidR="00327C3E">
        <w:rPr>
          <w:lang w:eastAsia="en-AU"/>
        </w:rPr>
        <w:t>overall recipient population.</w:t>
      </w:r>
      <w:r w:rsidR="002B4899">
        <w:rPr>
          <w:lang w:eastAsia="en-AU"/>
        </w:rPr>
        <w:t xml:space="preserve"> The data sources for each of these </w:t>
      </w:r>
      <w:r w:rsidR="00E43EC6">
        <w:rPr>
          <w:lang w:eastAsia="en-AU"/>
        </w:rPr>
        <w:t>population groups is provided in</w:t>
      </w:r>
      <w:r w:rsidR="006E5AE4">
        <w:rPr>
          <w:lang w:eastAsia="en-AU"/>
        </w:rPr>
        <w:t xml:space="preserve"> </w:t>
      </w:r>
      <w:r w:rsidR="00673F81">
        <w:rPr>
          <w:lang w:eastAsia="en-AU"/>
        </w:rPr>
        <w:t>Table 2.2.</w:t>
      </w:r>
    </w:p>
    <w:p w14:paraId="4B3842A6" w14:textId="66EBCECF" w:rsidR="00AE3442" w:rsidRDefault="005F7150" w:rsidP="00867B62">
      <w:pPr>
        <w:pStyle w:val="CaptionTable"/>
      </w:pPr>
      <w:bookmarkStart w:id="102" w:name="_Ref95298042"/>
      <w:bookmarkStart w:id="103" w:name="_Ref95231584"/>
      <w:bookmarkStart w:id="104" w:name="_Toc99117015"/>
      <w:r>
        <w:t xml:space="preserve">: </w:t>
      </w:r>
      <w:bookmarkEnd w:id="102"/>
      <w:r w:rsidR="00AE3442">
        <w:t>Summary of data sources for population estimates</w:t>
      </w:r>
      <w:bookmarkEnd w:id="103"/>
      <w:bookmarkEnd w:id="104"/>
      <w:r w:rsidR="00AE3442">
        <w:t xml:space="preserve"> </w:t>
      </w:r>
    </w:p>
    <w:tbl>
      <w:tblPr>
        <w:tblStyle w:val="Deloittetable"/>
        <w:tblW w:w="9026" w:type="dxa"/>
        <w:tblLook w:val="04A0" w:firstRow="1" w:lastRow="0" w:firstColumn="1" w:lastColumn="0" w:noHBand="0" w:noVBand="1"/>
      </w:tblPr>
      <w:tblGrid>
        <w:gridCol w:w="1829"/>
        <w:gridCol w:w="3468"/>
        <w:gridCol w:w="3729"/>
      </w:tblGrid>
      <w:tr w:rsidR="00AE3442" w14:paraId="7F4B3AFE" w14:textId="77777777" w:rsidTr="00CA5695">
        <w:trPr>
          <w:cnfStyle w:val="100000000000" w:firstRow="1" w:lastRow="0" w:firstColumn="0" w:lastColumn="0" w:oddVBand="0" w:evenVBand="0" w:oddHBand="0" w:evenHBand="0" w:firstRowFirstColumn="0" w:firstRowLastColumn="0" w:lastRowFirstColumn="0" w:lastRowLastColumn="0"/>
          <w:trHeight w:val="232"/>
          <w:tblHeader/>
        </w:trPr>
        <w:tc>
          <w:tcPr>
            <w:tcW w:w="1701" w:type="dxa"/>
          </w:tcPr>
          <w:p w14:paraId="4861C0F5" w14:textId="77777777" w:rsidR="00AE3442" w:rsidRPr="005274DB" w:rsidRDefault="00AE3442" w:rsidP="00AE3442">
            <w:pPr>
              <w:rPr>
                <w:b/>
                <w:lang w:eastAsia="en-AU"/>
              </w:rPr>
            </w:pPr>
            <w:r w:rsidRPr="005274DB">
              <w:rPr>
                <w:b/>
                <w:lang w:eastAsia="en-AU"/>
              </w:rPr>
              <w:t>Characteristic</w:t>
            </w:r>
          </w:p>
        </w:tc>
        <w:tc>
          <w:tcPr>
            <w:tcW w:w="3525" w:type="dxa"/>
          </w:tcPr>
          <w:p w14:paraId="69344AFF" w14:textId="325521CC" w:rsidR="00AE3442" w:rsidRPr="005274DB" w:rsidRDefault="00A54F0B" w:rsidP="00AE3442">
            <w:pPr>
              <w:rPr>
                <w:b/>
                <w:lang w:eastAsia="en-AU"/>
              </w:rPr>
            </w:pPr>
            <w:r w:rsidRPr="005274DB">
              <w:rPr>
                <w:b/>
                <w:lang w:eastAsia="en-AU"/>
              </w:rPr>
              <w:t>Description</w:t>
            </w:r>
          </w:p>
        </w:tc>
        <w:tc>
          <w:tcPr>
            <w:tcW w:w="3800" w:type="dxa"/>
          </w:tcPr>
          <w:p w14:paraId="162E0A3B" w14:textId="77777777" w:rsidR="00AE3442" w:rsidRPr="005274DB" w:rsidRDefault="00AE3442" w:rsidP="00AE3442">
            <w:pPr>
              <w:rPr>
                <w:b/>
                <w:lang w:eastAsia="en-AU"/>
              </w:rPr>
            </w:pPr>
            <w:r w:rsidRPr="005274DB">
              <w:rPr>
                <w:b/>
                <w:lang w:eastAsia="en-AU"/>
              </w:rPr>
              <w:t>Source</w:t>
            </w:r>
          </w:p>
        </w:tc>
      </w:tr>
      <w:tr w:rsidR="00AE3442" w14:paraId="7010B512" w14:textId="77777777" w:rsidTr="00A54F0B">
        <w:trPr>
          <w:trHeight w:val="224"/>
        </w:trPr>
        <w:tc>
          <w:tcPr>
            <w:tcW w:w="1701" w:type="dxa"/>
          </w:tcPr>
          <w:p w14:paraId="04232002" w14:textId="77777777" w:rsidR="00AE3442" w:rsidRPr="00A1445B" w:rsidRDefault="00AE3442" w:rsidP="00AE3442">
            <w:pPr>
              <w:rPr>
                <w:b/>
                <w:lang w:eastAsia="en-AU"/>
              </w:rPr>
            </w:pPr>
            <w:r w:rsidRPr="00A1445B">
              <w:rPr>
                <w:b/>
                <w:lang w:eastAsia="en-AU"/>
              </w:rPr>
              <w:t xml:space="preserve">Care </w:t>
            </w:r>
            <w:r w:rsidRPr="00A1445B">
              <w:rPr>
                <w:b/>
                <w:bCs/>
                <w:lang w:eastAsia="en-AU"/>
              </w:rPr>
              <w:t>type</w:t>
            </w:r>
          </w:p>
        </w:tc>
        <w:tc>
          <w:tcPr>
            <w:tcW w:w="3525" w:type="dxa"/>
          </w:tcPr>
          <w:p w14:paraId="528F9869" w14:textId="484487E7" w:rsidR="00AE3442" w:rsidRDefault="00A54F0B" w:rsidP="00AE3442">
            <w:pPr>
              <w:rPr>
                <w:lang w:eastAsia="en-AU"/>
              </w:rPr>
            </w:pPr>
            <w:r>
              <w:rPr>
                <w:lang w:eastAsia="en-AU"/>
              </w:rPr>
              <w:t xml:space="preserve">The number of recipients of </w:t>
            </w:r>
            <w:r w:rsidR="005D531A">
              <w:rPr>
                <w:lang w:eastAsia="en-AU"/>
              </w:rPr>
              <w:t xml:space="preserve">residential or community </w:t>
            </w:r>
            <w:r>
              <w:rPr>
                <w:lang w:eastAsia="en-AU"/>
              </w:rPr>
              <w:t>aged care</w:t>
            </w:r>
            <w:r w:rsidR="005D531A">
              <w:rPr>
                <w:lang w:eastAsia="en-AU"/>
              </w:rPr>
              <w:t>.</w:t>
            </w:r>
          </w:p>
        </w:tc>
        <w:tc>
          <w:tcPr>
            <w:tcW w:w="3800" w:type="dxa"/>
          </w:tcPr>
          <w:p w14:paraId="69D6CA03" w14:textId="77777777" w:rsidR="00AE3442" w:rsidRDefault="00AE3442" w:rsidP="00AE3442">
            <w:pPr>
              <w:rPr>
                <w:lang w:eastAsia="en-AU"/>
              </w:rPr>
            </w:pPr>
            <w:r>
              <w:rPr>
                <w:lang w:eastAsia="en-AU"/>
              </w:rPr>
              <w:t>AIHW (2021), GEN Aged Care – People using aged care 30 June 2020</w:t>
            </w:r>
          </w:p>
        </w:tc>
      </w:tr>
      <w:tr w:rsidR="00AE3442" w14:paraId="1899DD43" w14:textId="77777777" w:rsidTr="00A54F0B">
        <w:trPr>
          <w:trHeight w:val="224"/>
        </w:trPr>
        <w:tc>
          <w:tcPr>
            <w:tcW w:w="1701" w:type="dxa"/>
          </w:tcPr>
          <w:p w14:paraId="4BFF6787" w14:textId="77777777" w:rsidR="00AE3442" w:rsidRPr="00A1445B" w:rsidRDefault="00AE3442" w:rsidP="00AE3442">
            <w:pPr>
              <w:rPr>
                <w:b/>
                <w:lang w:eastAsia="en-AU"/>
              </w:rPr>
            </w:pPr>
            <w:r w:rsidRPr="00A1445B">
              <w:rPr>
                <w:b/>
                <w:lang w:eastAsia="en-AU"/>
              </w:rPr>
              <w:t>CALD</w:t>
            </w:r>
          </w:p>
        </w:tc>
        <w:tc>
          <w:tcPr>
            <w:tcW w:w="3525" w:type="dxa"/>
          </w:tcPr>
          <w:p w14:paraId="203386C7" w14:textId="378545FF" w:rsidR="00AE3442" w:rsidRDefault="005C6009" w:rsidP="00AE3442">
            <w:pPr>
              <w:rPr>
                <w:lang w:eastAsia="en-AU"/>
              </w:rPr>
            </w:pPr>
            <w:r>
              <w:rPr>
                <w:lang w:eastAsia="en-AU"/>
              </w:rPr>
              <w:t>The number of recipients of residential or community aged care who are identified as being of a culturally or linguistically diverse background.</w:t>
            </w:r>
          </w:p>
        </w:tc>
        <w:tc>
          <w:tcPr>
            <w:tcW w:w="3800" w:type="dxa"/>
          </w:tcPr>
          <w:p w14:paraId="73C646DF" w14:textId="77777777" w:rsidR="00AE3442" w:rsidRDefault="00AE3442" w:rsidP="00AE3442">
            <w:pPr>
              <w:rPr>
                <w:lang w:eastAsia="en-AU"/>
              </w:rPr>
            </w:pPr>
            <w:r>
              <w:rPr>
                <w:lang w:eastAsia="en-AU"/>
              </w:rPr>
              <w:t>AIHW (2021), GEN Aged Care – People using aged care 30 June 2020</w:t>
            </w:r>
          </w:p>
        </w:tc>
      </w:tr>
      <w:tr w:rsidR="00AE3442" w14:paraId="6FED83BA" w14:textId="77777777" w:rsidTr="00A54F0B">
        <w:trPr>
          <w:trHeight w:val="232"/>
        </w:trPr>
        <w:tc>
          <w:tcPr>
            <w:tcW w:w="1701" w:type="dxa"/>
          </w:tcPr>
          <w:p w14:paraId="61CA1DBE" w14:textId="77777777" w:rsidR="00AE3442" w:rsidRPr="00A1445B" w:rsidRDefault="00AE3442" w:rsidP="00AE3442">
            <w:pPr>
              <w:rPr>
                <w:b/>
                <w:lang w:eastAsia="en-AU"/>
              </w:rPr>
            </w:pPr>
            <w:r w:rsidRPr="00A1445B">
              <w:rPr>
                <w:b/>
                <w:lang w:eastAsia="en-AU"/>
              </w:rPr>
              <w:t>Aboriginal and Torres Strait Islander</w:t>
            </w:r>
          </w:p>
        </w:tc>
        <w:tc>
          <w:tcPr>
            <w:tcW w:w="3525" w:type="dxa"/>
          </w:tcPr>
          <w:p w14:paraId="21E3EA07" w14:textId="528942A3" w:rsidR="00AE3442" w:rsidRDefault="00BB4361" w:rsidP="00AE3442">
            <w:pPr>
              <w:rPr>
                <w:lang w:eastAsia="en-AU"/>
              </w:rPr>
            </w:pPr>
            <w:r>
              <w:rPr>
                <w:lang w:eastAsia="en-AU"/>
              </w:rPr>
              <w:t>The number of recipients of residential or community aged care who are identified as being of an Aboriginal or Torres Strait Islander background.</w:t>
            </w:r>
          </w:p>
        </w:tc>
        <w:tc>
          <w:tcPr>
            <w:tcW w:w="3800" w:type="dxa"/>
          </w:tcPr>
          <w:p w14:paraId="3F95C684" w14:textId="77777777" w:rsidR="00AE3442" w:rsidRDefault="00AE3442" w:rsidP="00AE3442">
            <w:pPr>
              <w:rPr>
                <w:lang w:eastAsia="en-AU"/>
              </w:rPr>
            </w:pPr>
            <w:r>
              <w:rPr>
                <w:lang w:eastAsia="en-AU"/>
              </w:rPr>
              <w:t>AIHW (2021), GEN Aged Care – People using aged care 30 June 2020</w:t>
            </w:r>
          </w:p>
        </w:tc>
      </w:tr>
      <w:tr w:rsidR="00AE3442" w14:paraId="402057E9" w14:textId="77777777" w:rsidTr="00A54F0B">
        <w:trPr>
          <w:trHeight w:val="8"/>
        </w:trPr>
        <w:tc>
          <w:tcPr>
            <w:tcW w:w="1701" w:type="dxa"/>
          </w:tcPr>
          <w:p w14:paraId="05E3653E" w14:textId="77777777" w:rsidR="00AE3442" w:rsidRPr="00A1445B" w:rsidRDefault="00AE3442" w:rsidP="00AE3442">
            <w:pPr>
              <w:rPr>
                <w:b/>
                <w:lang w:eastAsia="en-AU"/>
              </w:rPr>
            </w:pPr>
            <w:r w:rsidRPr="00A1445B">
              <w:rPr>
                <w:b/>
                <w:lang w:eastAsia="en-AU"/>
              </w:rPr>
              <w:t>Elder Abuse</w:t>
            </w:r>
          </w:p>
        </w:tc>
        <w:tc>
          <w:tcPr>
            <w:tcW w:w="3525" w:type="dxa"/>
          </w:tcPr>
          <w:p w14:paraId="7FAFB9EF" w14:textId="396EC7A6" w:rsidR="00AE3442" w:rsidRDefault="00BB4361" w:rsidP="00AE3442">
            <w:pPr>
              <w:rPr>
                <w:lang w:eastAsia="en-AU"/>
              </w:rPr>
            </w:pPr>
            <w:r>
              <w:rPr>
                <w:lang w:eastAsia="en-AU"/>
              </w:rPr>
              <w:t>The number of recipients of residential or community aged care who are subjected to elder abuse</w:t>
            </w:r>
            <w:r w:rsidR="00BD0133">
              <w:rPr>
                <w:lang w:eastAsia="en-AU"/>
              </w:rPr>
              <w:t>.</w:t>
            </w:r>
          </w:p>
        </w:tc>
        <w:tc>
          <w:tcPr>
            <w:tcW w:w="3800" w:type="dxa"/>
          </w:tcPr>
          <w:p w14:paraId="137D11CB" w14:textId="25B40441" w:rsidR="00AE3442" w:rsidRDefault="00AE3442" w:rsidP="00AE3442">
            <w:pPr>
              <w:rPr>
                <w:lang w:eastAsia="en-AU"/>
              </w:rPr>
            </w:pPr>
            <w:r>
              <w:rPr>
                <w:lang w:eastAsia="en-AU"/>
              </w:rPr>
              <w:t xml:space="preserve">Australian Institute of Family Studies (2021), National Elder Abuse Prevalence Study; </w:t>
            </w:r>
            <w:r w:rsidR="00604501">
              <w:rPr>
                <w:lang w:eastAsia="en-AU"/>
              </w:rPr>
              <w:t>Post et al (2010)</w:t>
            </w:r>
          </w:p>
        </w:tc>
      </w:tr>
      <w:tr w:rsidR="00AE3442" w14:paraId="7F00B5CB" w14:textId="77777777" w:rsidTr="00A54F0B">
        <w:trPr>
          <w:trHeight w:val="8"/>
        </w:trPr>
        <w:tc>
          <w:tcPr>
            <w:tcW w:w="1701" w:type="dxa"/>
          </w:tcPr>
          <w:p w14:paraId="33D96435" w14:textId="77777777" w:rsidR="00AE3442" w:rsidRPr="00A1445B" w:rsidRDefault="00AE3442" w:rsidP="00AE3442">
            <w:pPr>
              <w:rPr>
                <w:b/>
                <w:lang w:eastAsia="en-AU"/>
              </w:rPr>
            </w:pPr>
            <w:r w:rsidRPr="00A1445B">
              <w:rPr>
                <w:b/>
                <w:lang w:eastAsia="en-AU"/>
              </w:rPr>
              <w:t>Dementia</w:t>
            </w:r>
          </w:p>
        </w:tc>
        <w:tc>
          <w:tcPr>
            <w:tcW w:w="3525" w:type="dxa"/>
          </w:tcPr>
          <w:p w14:paraId="35E60192" w14:textId="789E9BDD" w:rsidR="00AE3442" w:rsidRDefault="003435D1" w:rsidP="00AE3442">
            <w:pPr>
              <w:rPr>
                <w:lang w:eastAsia="en-AU"/>
              </w:rPr>
            </w:pPr>
            <w:r>
              <w:rPr>
                <w:lang w:eastAsia="en-AU"/>
              </w:rPr>
              <w:t>The number of recipients of residential or community aged care who are living with dementia.</w:t>
            </w:r>
          </w:p>
        </w:tc>
        <w:tc>
          <w:tcPr>
            <w:tcW w:w="3800" w:type="dxa"/>
          </w:tcPr>
          <w:p w14:paraId="53D72058" w14:textId="77777777" w:rsidR="00AE3442" w:rsidRDefault="00AE3442" w:rsidP="00AE3442">
            <w:pPr>
              <w:rPr>
                <w:lang w:eastAsia="en-AU"/>
              </w:rPr>
            </w:pPr>
            <w:r>
              <w:rPr>
                <w:lang w:eastAsia="en-AU"/>
              </w:rPr>
              <w:t>AIHW (2021), Dementia in Australia</w:t>
            </w:r>
          </w:p>
        </w:tc>
      </w:tr>
    </w:tbl>
    <w:p w14:paraId="594B272D" w14:textId="77777777" w:rsidR="00AE3442" w:rsidRPr="00762A66" w:rsidRDefault="00AE3442" w:rsidP="00432593">
      <w:pPr>
        <w:pStyle w:val="Source"/>
        <w:rPr>
          <w:rFonts w:eastAsia="Times New Roman" w:cs="Times New Roman"/>
          <w:sz w:val="17"/>
          <w:szCs w:val="22"/>
          <w:lang w:eastAsia="en-AU"/>
        </w:rPr>
      </w:pPr>
      <w:r w:rsidRPr="00762A66">
        <w:rPr>
          <w:lang w:eastAsia="en-AU"/>
        </w:rPr>
        <w:t>Source:</w:t>
      </w:r>
      <w:r>
        <w:rPr>
          <w:rFonts w:eastAsia="Times New Roman" w:cs="Times New Roman"/>
          <w:sz w:val="17"/>
          <w:szCs w:val="22"/>
          <w:lang w:eastAsia="en-AU"/>
        </w:rPr>
        <w:t xml:space="preserve"> </w:t>
      </w:r>
      <w:r w:rsidRPr="003D1D87">
        <w:rPr>
          <w:lang w:eastAsia="en-AU"/>
        </w:rPr>
        <w:t>As listed in table.</w:t>
      </w:r>
    </w:p>
    <w:p w14:paraId="0442D5BC" w14:textId="27855279" w:rsidR="000A22E7" w:rsidRDefault="000A22E7" w:rsidP="0038083D">
      <w:pPr>
        <w:pStyle w:val="Heading3"/>
        <w:ind w:left="993" w:hanging="993"/>
      </w:pPr>
      <w:bookmarkStart w:id="105" w:name="_Toc94771829"/>
      <w:bookmarkStart w:id="106" w:name="_Toc99437507"/>
      <w:r>
        <w:t xml:space="preserve">Current </w:t>
      </w:r>
      <w:bookmarkEnd w:id="105"/>
      <w:r w:rsidR="00E160E2">
        <w:t>u</w:t>
      </w:r>
      <w:r>
        <w:t xml:space="preserve">nmet </w:t>
      </w:r>
      <w:r w:rsidR="00E160E2">
        <w:t>d</w:t>
      </w:r>
      <w:r>
        <w:t>emand</w:t>
      </w:r>
      <w:bookmarkEnd w:id="106"/>
    </w:p>
    <w:p w14:paraId="3514C631" w14:textId="0DD42B9C" w:rsidR="00B406CE" w:rsidRDefault="00D47786" w:rsidP="000C0DF1">
      <w:r>
        <w:t>Q</w:t>
      </w:r>
      <w:r w:rsidR="00B406CE">
        <w:t>uantitative and qualitative approach</w:t>
      </w:r>
      <w:r w:rsidR="006D51C6">
        <w:t xml:space="preserve">es </w:t>
      </w:r>
      <w:r>
        <w:t>were</w:t>
      </w:r>
      <w:r w:rsidR="006D51C6">
        <w:t xml:space="preserve"> </w:t>
      </w:r>
      <w:r w:rsidR="00B406CE">
        <w:t xml:space="preserve">used to analyse current unmet demand. </w:t>
      </w:r>
      <w:r w:rsidR="00912058">
        <w:t>C</w:t>
      </w:r>
      <w:r w:rsidR="00B406CE">
        <w:t xml:space="preserve">urrent unmet demand was estimated as the difference between the usage rate in FY21 and </w:t>
      </w:r>
      <w:r w:rsidR="00D36B36">
        <w:t>a</w:t>
      </w:r>
      <w:r w:rsidR="00B406CE">
        <w:t xml:space="preserve"> </w:t>
      </w:r>
      <w:r w:rsidR="00B406CE" w:rsidRPr="00097626">
        <w:t xml:space="preserve">5% </w:t>
      </w:r>
      <w:r w:rsidR="00236BD9">
        <w:t>target</w:t>
      </w:r>
      <w:r w:rsidR="00CE553A">
        <w:t>, which is based on</w:t>
      </w:r>
      <w:r w:rsidR="00B406CE" w:rsidRPr="00097626">
        <w:t xml:space="preserve"> the Royal Commission</w:t>
      </w:r>
      <w:r w:rsidR="00CE553A">
        <w:t>’s recommendation of an</w:t>
      </w:r>
      <w:r w:rsidR="00F56A48" w:rsidRPr="00F56A48">
        <w:t xml:space="preserve"> </w:t>
      </w:r>
      <w:r w:rsidR="00F56A48">
        <w:t>“immediate funding increase to enable a minimum of 5% of older people to access advocacy services”.</w:t>
      </w:r>
      <w:r w:rsidR="00496018">
        <w:rPr>
          <w:rStyle w:val="EndnoteReference"/>
        </w:rPr>
        <w:endnoteReference w:id="15"/>
      </w:r>
      <w:r w:rsidR="00A636BB">
        <w:t xml:space="preserve"> This quantitative analysis was complemented by the consultation process </w:t>
      </w:r>
      <w:r w:rsidR="009A7953">
        <w:t xml:space="preserve">detailed in </w:t>
      </w:r>
      <w:r w:rsidR="009A7953">
        <w:fldChar w:fldCharType="begin"/>
      </w:r>
      <w:r w:rsidR="009A7953">
        <w:instrText xml:space="preserve"> REF _Ref97728140 \r \h </w:instrText>
      </w:r>
      <w:r w:rsidR="009A7953">
        <w:fldChar w:fldCharType="separate"/>
      </w:r>
      <w:r w:rsidR="00DC6A20">
        <w:t>2.1.1</w:t>
      </w:r>
      <w:r w:rsidR="009A7953">
        <w:fldChar w:fldCharType="end"/>
      </w:r>
      <w:r w:rsidR="00A2598E">
        <w:t xml:space="preserve"> </w:t>
      </w:r>
      <w:r w:rsidR="00A636BB">
        <w:t>to identify where unmet demand is most likely to exist at present.</w:t>
      </w:r>
    </w:p>
    <w:p w14:paraId="0C82E9EE" w14:textId="4F731F0E" w:rsidR="004A5F15" w:rsidRDefault="00227A7A" w:rsidP="007A23A1">
      <w:pPr>
        <w:pStyle w:val="Heading2"/>
        <w:rPr>
          <w:shd w:val="clear" w:color="auto" w:fill="FFFFFF"/>
        </w:rPr>
      </w:pPr>
      <w:bookmarkStart w:id="107" w:name="_Toc99117077"/>
      <w:bookmarkStart w:id="108" w:name="_Ref95295157"/>
      <w:bookmarkStart w:id="109" w:name="_Toc99437508"/>
      <w:bookmarkStart w:id="110" w:name="_Toc94771830"/>
      <w:bookmarkEnd w:id="107"/>
      <w:r>
        <w:rPr>
          <w:shd w:val="clear" w:color="auto" w:fill="FFFFFF"/>
        </w:rPr>
        <w:t xml:space="preserve">Future </w:t>
      </w:r>
      <w:r w:rsidR="0013079D">
        <w:rPr>
          <w:shd w:val="clear" w:color="auto" w:fill="FFFFFF"/>
        </w:rPr>
        <w:t>d</w:t>
      </w:r>
      <w:r>
        <w:rPr>
          <w:shd w:val="clear" w:color="auto" w:fill="FFFFFF"/>
        </w:rPr>
        <w:t>emand</w:t>
      </w:r>
      <w:r w:rsidR="00B45775">
        <w:rPr>
          <w:shd w:val="clear" w:color="auto" w:fill="FFFFFF"/>
        </w:rPr>
        <w:t xml:space="preserve"> for information and advocacy</w:t>
      </w:r>
      <w:bookmarkEnd w:id="108"/>
      <w:bookmarkEnd w:id="109"/>
    </w:p>
    <w:bookmarkEnd w:id="110"/>
    <w:p w14:paraId="5D0869A8" w14:textId="735D99A7" w:rsidR="00A16E23" w:rsidRDefault="001A1D82" w:rsidP="001343D3">
      <w:pPr>
        <w:rPr>
          <w:shd w:val="clear" w:color="auto" w:fill="FFFFFF"/>
        </w:rPr>
      </w:pPr>
      <w:r>
        <w:rPr>
          <w:shd w:val="clear" w:color="auto" w:fill="FFFFFF"/>
        </w:rPr>
        <w:t>The f</w:t>
      </w:r>
      <w:r w:rsidR="00EC2CF8">
        <w:rPr>
          <w:shd w:val="clear" w:color="auto" w:fill="FFFFFF"/>
        </w:rPr>
        <w:t xml:space="preserve">uture demand for NACAP services was estimated by combining the analysis of the unit record data </w:t>
      </w:r>
      <w:r w:rsidR="0063178C">
        <w:rPr>
          <w:shd w:val="clear" w:color="auto" w:fill="FFFFFF"/>
        </w:rPr>
        <w:t>for</w:t>
      </w:r>
      <w:r w:rsidR="00FA4107">
        <w:rPr>
          <w:shd w:val="clear" w:color="auto" w:fill="FFFFFF"/>
        </w:rPr>
        <w:t xml:space="preserve"> current met demand </w:t>
      </w:r>
      <w:r w:rsidR="00EC2CF8">
        <w:rPr>
          <w:shd w:val="clear" w:color="auto" w:fill="FFFFFF"/>
        </w:rPr>
        <w:t xml:space="preserve">with </w:t>
      </w:r>
      <w:r w:rsidR="00B71C12">
        <w:rPr>
          <w:shd w:val="clear" w:color="auto" w:fill="FFFFFF"/>
        </w:rPr>
        <w:t xml:space="preserve">projections of the NACAP target population </w:t>
      </w:r>
      <w:r w:rsidR="0063178C">
        <w:rPr>
          <w:shd w:val="clear" w:color="auto" w:fill="FFFFFF"/>
        </w:rPr>
        <w:t>going forward</w:t>
      </w:r>
      <w:r w:rsidR="00EC2CF8">
        <w:rPr>
          <w:shd w:val="clear" w:color="auto" w:fill="FFFFFF"/>
        </w:rPr>
        <w:t>.</w:t>
      </w:r>
      <w:r w:rsidR="00B71C12">
        <w:rPr>
          <w:shd w:val="clear" w:color="auto" w:fill="FFFFFF"/>
        </w:rPr>
        <w:t xml:space="preserve"> The target population was established </w:t>
      </w:r>
      <w:r w:rsidR="001478A3">
        <w:rPr>
          <w:shd w:val="clear" w:color="auto" w:fill="FFFFFF"/>
        </w:rPr>
        <w:t>by projecting</w:t>
      </w:r>
      <w:r w:rsidR="00B71C12">
        <w:rPr>
          <w:shd w:val="clear" w:color="auto" w:fill="FFFFFF"/>
        </w:rPr>
        <w:t xml:space="preserve"> the </w:t>
      </w:r>
      <w:r w:rsidR="00633DD8">
        <w:rPr>
          <w:shd w:val="clear" w:color="auto" w:fill="FFFFFF"/>
        </w:rPr>
        <w:t>number of recipients</w:t>
      </w:r>
      <w:r w:rsidR="001478A3">
        <w:rPr>
          <w:shd w:val="clear" w:color="auto" w:fill="FFFFFF"/>
        </w:rPr>
        <w:t xml:space="preserve"> of </w:t>
      </w:r>
      <w:r w:rsidR="00955907">
        <w:rPr>
          <w:shd w:val="clear" w:color="auto" w:fill="FFFFFF"/>
        </w:rPr>
        <w:t xml:space="preserve">aged care between 2020/21 and 2031/32. </w:t>
      </w:r>
      <w:r w:rsidR="00A16E23">
        <w:rPr>
          <w:shd w:val="clear" w:color="auto" w:fill="FFFFFF"/>
        </w:rPr>
        <w:t xml:space="preserve">The number of services delivered each year (supply) was estimated by </w:t>
      </w:r>
      <w:r w:rsidR="00F22512">
        <w:rPr>
          <w:shd w:val="clear" w:color="auto" w:fill="FFFFFF"/>
        </w:rPr>
        <w:t xml:space="preserve">accounting </w:t>
      </w:r>
      <w:r w:rsidR="00A16E23">
        <w:rPr>
          <w:shd w:val="clear" w:color="auto" w:fill="FFFFFF"/>
        </w:rPr>
        <w:t xml:space="preserve">for </w:t>
      </w:r>
      <w:r w:rsidR="007542B4">
        <w:rPr>
          <w:shd w:val="clear" w:color="auto" w:fill="FFFFFF"/>
        </w:rPr>
        <w:t>the forthcoming increase in funding</w:t>
      </w:r>
      <w:r w:rsidR="003756FB">
        <w:rPr>
          <w:shd w:val="clear" w:color="auto" w:fill="FFFFFF"/>
        </w:rPr>
        <w:t xml:space="preserve">, adjusted for growth in the </w:t>
      </w:r>
      <w:r w:rsidR="008B6807">
        <w:rPr>
          <w:shd w:val="clear" w:color="auto" w:fill="FFFFFF"/>
        </w:rPr>
        <w:t>cost</w:t>
      </w:r>
      <w:r w:rsidR="003756FB">
        <w:rPr>
          <w:shd w:val="clear" w:color="auto" w:fill="FFFFFF"/>
        </w:rPr>
        <w:t xml:space="preserve"> of delivering services.</w:t>
      </w:r>
      <w:r w:rsidR="00684A3F">
        <w:rPr>
          <w:shd w:val="clear" w:color="auto" w:fill="FFFFFF"/>
        </w:rPr>
        <w:t xml:space="preserve"> This process is discussed further below.</w:t>
      </w:r>
    </w:p>
    <w:p w14:paraId="1F22A060" w14:textId="3078B6CF" w:rsidR="00072332" w:rsidRDefault="005F7150" w:rsidP="00867B62">
      <w:pPr>
        <w:pStyle w:val="CaptionFigure"/>
        <w:rPr>
          <w:shd w:val="clear" w:color="auto" w:fill="FFFFFF"/>
        </w:rPr>
      </w:pPr>
      <w:bookmarkStart w:id="111" w:name="_Toc94771903"/>
      <w:bookmarkStart w:id="112" w:name="_Toc94771904"/>
      <w:bookmarkStart w:id="113" w:name="_Ref95142952"/>
      <w:bookmarkStart w:id="114" w:name="_Ref95763606"/>
      <w:bookmarkStart w:id="115" w:name="_Toc99117027"/>
      <w:bookmarkEnd w:id="111"/>
      <w:r>
        <w:t xml:space="preserve">: </w:t>
      </w:r>
      <w:r w:rsidR="00072332">
        <w:rPr>
          <w:shd w:val="clear" w:color="auto" w:fill="FFFFFF"/>
        </w:rPr>
        <w:t>Overview of approach to the future demand analysis</w:t>
      </w:r>
      <w:bookmarkEnd w:id="112"/>
      <w:bookmarkEnd w:id="113"/>
      <w:bookmarkEnd w:id="114"/>
      <w:bookmarkEnd w:id="115"/>
    </w:p>
    <w:p w14:paraId="45329D27" w14:textId="02AB5F5A" w:rsidR="002E4390" w:rsidRDefault="00201136" w:rsidP="001343D3">
      <w:pPr>
        <w:rPr>
          <w:shd w:val="clear" w:color="auto" w:fill="FFFFFF"/>
        </w:rPr>
      </w:pPr>
      <w:r w:rsidRPr="00201136">
        <w:rPr>
          <w:shd w:val="clear" w:color="auto" w:fill="FFFFFF"/>
        </w:rPr>
        <w:t xml:space="preserve"> </w:t>
      </w:r>
      <w:r w:rsidR="00B47C05" w:rsidRPr="00B47C05">
        <w:rPr>
          <w:noProof/>
        </w:rPr>
        <w:drawing>
          <wp:inline distT="0" distB="0" distL="0" distR="0" wp14:anchorId="5B070084" wp14:editId="286F56A0">
            <wp:extent cx="4468633" cy="996852"/>
            <wp:effectExtent l="0" t="0" r="0" b="0"/>
            <wp:docPr id="50" name="Picture 50" descr="Illustration of the approach to future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llustration of the approach to future dema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1826" cy="1017641"/>
                    </a:xfrm>
                    <a:prstGeom prst="rect">
                      <a:avLst/>
                    </a:prstGeom>
                    <a:noFill/>
                    <a:ln>
                      <a:noFill/>
                    </a:ln>
                  </pic:spPr>
                </pic:pic>
              </a:graphicData>
            </a:graphic>
          </wp:inline>
        </w:drawing>
      </w:r>
    </w:p>
    <w:p w14:paraId="53D4FE5E" w14:textId="0EF4FB46" w:rsidR="00D67757" w:rsidRPr="00754FEB" w:rsidRDefault="00E72EB6" w:rsidP="0038083D">
      <w:pPr>
        <w:pStyle w:val="Heading3"/>
        <w:ind w:left="993" w:hanging="993"/>
      </w:pPr>
      <w:bookmarkStart w:id="116" w:name="_Toc94771834"/>
      <w:bookmarkStart w:id="117" w:name="_Toc99437509"/>
      <w:bookmarkStart w:id="118" w:name="_Toc94771831"/>
      <w:r>
        <w:t>Total demand</w:t>
      </w:r>
      <w:bookmarkEnd w:id="116"/>
      <w:bookmarkEnd w:id="117"/>
    </w:p>
    <w:p w14:paraId="0F128EC4" w14:textId="7E1F5B19" w:rsidR="003E7443" w:rsidRDefault="00E72EB6" w:rsidP="00D67757">
      <w:r>
        <w:t xml:space="preserve">The future total demand was estimated by establishing the size of the NACAP </w:t>
      </w:r>
      <w:r w:rsidRPr="006439B8">
        <w:rPr>
          <w:b/>
        </w:rPr>
        <w:t>target population</w:t>
      </w:r>
      <w:r>
        <w:t xml:space="preserve"> in each year between now and 2031/32</w:t>
      </w:r>
      <w:r w:rsidR="001A4B8A">
        <w:t xml:space="preserve"> and multiplying by the relevant </w:t>
      </w:r>
      <w:r w:rsidR="006439B8" w:rsidRPr="006439B8">
        <w:rPr>
          <w:b/>
          <w:bCs/>
        </w:rPr>
        <w:t>maximum</w:t>
      </w:r>
      <w:r w:rsidR="00BF64C5" w:rsidRPr="006439B8">
        <w:rPr>
          <w:b/>
          <w:bCs/>
        </w:rPr>
        <w:t xml:space="preserve"> </w:t>
      </w:r>
      <w:r w:rsidR="00FB247F">
        <w:rPr>
          <w:b/>
        </w:rPr>
        <w:t xml:space="preserve">total </w:t>
      </w:r>
      <w:r w:rsidR="00BF64C5" w:rsidRPr="006439B8">
        <w:rPr>
          <w:b/>
        </w:rPr>
        <w:t>demand rate</w:t>
      </w:r>
      <w:r w:rsidR="00BF64C5">
        <w:t>.</w:t>
      </w:r>
    </w:p>
    <w:p w14:paraId="2C04EAAA" w14:textId="13F6C43F" w:rsidR="00945B27" w:rsidRPr="00983CE5" w:rsidRDefault="00945B27" w:rsidP="00945B27">
      <w:r w:rsidRPr="00983CE5">
        <w:t xml:space="preserve">The </w:t>
      </w:r>
      <w:r w:rsidRPr="00983CE5">
        <w:rPr>
          <w:b/>
          <w:bCs/>
        </w:rPr>
        <w:t>NACAP target population</w:t>
      </w:r>
      <w:r w:rsidRPr="00983CE5">
        <w:t xml:space="preserve"> was used as the basis for determining the total demand for NACAP services over the coming years. </w:t>
      </w:r>
      <w:r w:rsidR="004202A4" w:rsidRPr="00983CE5">
        <w:t xml:space="preserve">The target population is based on the number of recipients of aged care – both residential and community-based. </w:t>
      </w:r>
      <w:r w:rsidR="002F5010" w:rsidRPr="00983CE5">
        <w:t xml:space="preserve">It was </w:t>
      </w:r>
      <w:r w:rsidR="00983CE5" w:rsidRPr="00983CE5">
        <w:t xml:space="preserve">estimated </w:t>
      </w:r>
      <w:r w:rsidRPr="00983CE5">
        <w:t>by projecting the size of the aged care sector between 2020/21 and 2031/32.</w:t>
      </w:r>
    </w:p>
    <w:p w14:paraId="53AB4A48" w14:textId="77777777" w:rsidR="00945B27" w:rsidRPr="005704CF" w:rsidRDefault="00945B27" w:rsidP="00945B27">
      <w:r w:rsidRPr="00983CE5">
        <w:t xml:space="preserve">As Australia’s population ages, so too does NACAP’s target population. Over time, more older Australians will be eligible to receive services through the NACAP and these individuals will be older, on average, than they are today. We used population projections from various sources to estimate the size of the future target population. Data for the target population were extracted from ABS Series B Population Projections for non-Indigenous Australians and from the ARC Centre of Excellence in Population Ageing Research for Indigenous Australians. Data for the aged care systems </w:t>
      </w:r>
      <w:r w:rsidRPr="005704CF">
        <w:t>were taken from AIHW’s Gen Aged Care Data.</w:t>
      </w:r>
    </w:p>
    <w:p w14:paraId="6D4D93C8" w14:textId="6DC8E4A0" w:rsidR="00945B27" w:rsidRPr="005704CF" w:rsidRDefault="00A45ACC" w:rsidP="00945B27">
      <w:r>
        <w:t xml:space="preserve">Chart 2.1 </w:t>
      </w:r>
      <w:r w:rsidR="00945B27" w:rsidRPr="005704CF">
        <w:t>shows how the age distribution of the NACAP target population will change between now and 2031/32. The share of the target population in all age groups above 80, except for 85-89, will grow by between 0.5 and 1.9 percentage points. In contrast, all age groups below the age of 80 will comprise a smaller share of the target population by the end of the forecast period.</w:t>
      </w:r>
    </w:p>
    <w:p w14:paraId="542B4183" w14:textId="77777777" w:rsidR="00945B27" w:rsidRPr="001D42FF" w:rsidRDefault="00945B27" w:rsidP="00BA4C5B">
      <w:pPr>
        <w:pStyle w:val="CaptionChart"/>
        <w:ind w:left="0"/>
      </w:pPr>
      <w:bookmarkStart w:id="119" w:name="_Toc99117032"/>
      <w:r w:rsidRPr="00FF7485">
        <w:t xml:space="preserve">: Composition of the NACAP </w:t>
      </w:r>
      <w:r w:rsidRPr="00090FB3">
        <w:t>target population, by age</w:t>
      </w:r>
      <w:bookmarkEnd w:id="119"/>
    </w:p>
    <w:p w14:paraId="1A7D2120" w14:textId="77777777" w:rsidR="00945B27" w:rsidRPr="005704CF" w:rsidRDefault="00945B27" w:rsidP="00945B27">
      <w:pPr>
        <w:rPr>
          <w:lang w:val="en-US" w:eastAsia="en-AU"/>
        </w:rPr>
      </w:pPr>
      <w:r w:rsidRPr="005704CF">
        <w:rPr>
          <w:noProof/>
        </w:rPr>
        <w:drawing>
          <wp:inline distT="0" distB="0" distL="0" distR="0" wp14:anchorId="78D77B82" wp14:editId="272C822B">
            <wp:extent cx="4541783" cy="3130550"/>
            <wp:effectExtent l="0" t="0" r="0" b="0"/>
            <wp:docPr id="41" name="Picture 41" descr="Age distribution of the NACAP target population will change, the share of the target population in all age groups above 80, except for 85-89, will grow by between 0.5 and 1.9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ge distribution of the NACAP target population will change, the share of the target population in all age groups above 80, except for 85-89, will grow by between 0.5 and 1.9 percentage poi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3736" cy="3159468"/>
                    </a:xfrm>
                    <a:prstGeom prst="rect">
                      <a:avLst/>
                    </a:prstGeom>
                    <a:noFill/>
                    <a:ln>
                      <a:noFill/>
                    </a:ln>
                  </pic:spPr>
                </pic:pic>
              </a:graphicData>
            </a:graphic>
          </wp:inline>
        </w:drawing>
      </w:r>
    </w:p>
    <w:p w14:paraId="4D6C76A1" w14:textId="77777777" w:rsidR="00945B27" w:rsidRPr="005704CF" w:rsidRDefault="00945B27" w:rsidP="00945B27">
      <w:pPr>
        <w:pStyle w:val="Source"/>
        <w:rPr>
          <w:lang w:val="en-US" w:eastAsia="en-AU"/>
        </w:rPr>
      </w:pPr>
      <w:r w:rsidRPr="005704CF">
        <w:rPr>
          <w:lang w:val="en-US" w:eastAsia="en-AU"/>
        </w:rPr>
        <w:t xml:space="preserve">Source: GEN Aged Care data; </w:t>
      </w:r>
      <w:proofErr w:type="spellStart"/>
      <w:r w:rsidRPr="005704CF">
        <w:rPr>
          <w:lang w:val="en-US" w:eastAsia="en-AU"/>
        </w:rPr>
        <w:t>StewartBrown</w:t>
      </w:r>
      <w:proofErr w:type="spellEnd"/>
      <w:r w:rsidRPr="005704CF">
        <w:rPr>
          <w:lang w:val="en-US" w:eastAsia="en-AU"/>
        </w:rPr>
        <w:t xml:space="preserve"> Aged Care Financial Performance Survey Sector Report (June 2021).</w:t>
      </w:r>
    </w:p>
    <w:p w14:paraId="550FEC8F" w14:textId="66EAA56E" w:rsidR="00945B27" w:rsidRPr="00890C94" w:rsidRDefault="00376286" w:rsidP="00945B27">
      <w:pPr>
        <w:rPr>
          <w:lang w:val="en-US" w:eastAsia="en-AU"/>
        </w:rPr>
      </w:pPr>
      <w:r w:rsidRPr="00890C94">
        <w:rPr>
          <w:lang w:val="en-US" w:eastAsia="en-AU"/>
        </w:rPr>
        <w:fldChar w:fldCharType="begin"/>
      </w:r>
      <w:r w:rsidRPr="00890C94">
        <w:rPr>
          <w:lang w:val="en-US" w:eastAsia="en-AU"/>
        </w:rPr>
        <w:instrText xml:space="preserve"> REF _Ref95299362 \r \h </w:instrText>
      </w:r>
      <w:r w:rsidR="00890C94">
        <w:rPr>
          <w:lang w:val="en-US" w:eastAsia="en-AU"/>
        </w:rPr>
        <w:instrText xml:space="preserve"> \* MERGEFORMAT </w:instrText>
      </w:r>
      <w:r w:rsidRPr="00890C94">
        <w:rPr>
          <w:lang w:val="en-US" w:eastAsia="en-AU"/>
        </w:rPr>
      </w:r>
      <w:r w:rsidRPr="00890C94">
        <w:rPr>
          <w:lang w:val="en-US" w:eastAsia="en-AU"/>
        </w:rPr>
        <w:fldChar w:fldCharType="separate"/>
      </w:r>
      <w:r w:rsidR="00DC6A20">
        <w:rPr>
          <w:lang w:val="en-US" w:eastAsia="en-AU"/>
        </w:rPr>
        <w:t>Chart 2.2</w:t>
      </w:r>
      <w:r w:rsidRPr="00890C94">
        <w:rPr>
          <w:lang w:val="en-US" w:eastAsia="en-AU"/>
        </w:rPr>
        <w:fldChar w:fldCharType="end"/>
      </w:r>
      <w:r w:rsidR="00945B27" w:rsidRPr="00890C94">
        <w:rPr>
          <w:lang w:val="en-US" w:eastAsia="en-AU"/>
        </w:rPr>
        <w:t xml:space="preserve"> presents the same target population data distributed by care type. Rapid growth is expected in the community care system over the next few years</w:t>
      </w:r>
      <w:r w:rsidR="00A74B6F" w:rsidRPr="00890C94">
        <w:rPr>
          <w:lang w:val="en-US" w:eastAsia="en-AU"/>
        </w:rPr>
        <w:t xml:space="preserve"> as new packages are added to the system</w:t>
      </w:r>
      <w:r w:rsidR="00945B27" w:rsidRPr="00890C94">
        <w:rPr>
          <w:lang w:val="en-US" w:eastAsia="en-AU"/>
        </w:rPr>
        <w:t xml:space="preserve">. This </w:t>
      </w:r>
      <w:r w:rsidR="00980CDC">
        <w:rPr>
          <w:lang w:val="en-US" w:eastAsia="en-AU"/>
        </w:rPr>
        <w:t xml:space="preserve">is reflected </w:t>
      </w:r>
      <w:r w:rsidR="00945B27" w:rsidRPr="00890C94">
        <w:rPr>
          <w:lang w:val="en-US" w:eastAsia="en-AU"/>
        </w:rPr>
        <w:t xml:space="preserve">in the chart, with most of the </w:t>
      </w:r>
      <w:r w:rsidR="00980CDC">
        <w:rPr>
          <w:lang w:val="en-US" w:eastAsia="en-AU"/>
        </w:rPr>
        <w:t xml:space="preserve">compositional change </w:t>
      </w:r>
      <w:r w:rsidR="00945B27" w:rsidRPr="00890C94">
        <w:rPr>
          <w:lang w:val="en-US" w:eastAsia="en-AU"/>
        </w:rPr>
        <w:t>projected to take place between now and 2023/24</w:t>
      </w:r>
      <w:r w:rsidR="00980CDC">
        <w:rPr>
          <w:lang w:val="en-US" w:eastAsia="en-AU"/>
        </w:rPr>
        <w:t xml:space="preserve">. </w:t>
      </w:r>
      <w:r w:rsidR="000F6E2A">
        <w:rPr>
          <w:lang w:val="en-US" w:eastAsia="en-AU"/>
        </w:rPr>
        <w:t xml:space="preserve">This captures the </w:t>
      </w:r>
      <w:r w:rsidR="00FA7645">
        <w:rPr>
          <w:lang w:val="en-US" w:eastAsia="en-AU"/>
        </w:rPr>
        <w:t xml:space="preserve">additional </w:t>
      </w:r>
      <w:r w:rsidR="003E14C4">
        <w:rPr>
          <w:lang w:val="en-US" w:eastAsia="en-AU"/>
        </w:rPr>
        <w:t xml:space="preserve">80,000 home care packages that are scheduled to be released over </w:t>
      </w:r>
      <w:r w:rsidR="00FA7645">
        <w:rPr>
          <w:lang w:val="en-US" w:eastAsia="en-AU"/>
        </w:rPr>
        <w:t xml:space="preserve">the </w:t>
      </w:r>
      <w:r w:rsidR="003E14C4">
        <w:rPr>
          <w:lang w:val="en-US" w:eastAsia="en-AU"/>
        </w:rPr>
        <w:t>2021/22 and 2022/23</w:t>
      </w:r>
      <w:r w:rsidR="00FA7645">
        <w:rPr>
          <w:lang w:val="en-US" w:eastAsia="en-AU"/>
        </w:rPr>
        <w:t xml:space="preserve"> financial years as well as the </w:t>
      </w:r>
      <w:r w:rsidR="003443EE">
        <w:rPr>
          <w:lang w:val="en-US" w:eastAsia="en-AU"/>
        </w:rPr>
        <w:t>nearly 40,000 packages that were added in the 2020/21 financial year</w:t>
      </w:r>
      <w:r w:rsidR="003E14C4">
        <w:rPr>
          <w:lang w:val="en-US" w:eastAsia="en-AU"/>
        </w:rPr>
        <w:t xml:space="preserve">. </w:t>
      </w:r>
      <w:r w:rsidR="00945B27" w:rsidRPr="00890C94">
        <w:rPr>
          <w:lang w:val="en-US" w:eastAsia="en-AU"/>
        </w:rPr>
        <w:t>By the end of the forecast period, the composition of Australia’s aged care system will have shifted from a 45/55 split to 40/60.</w:t>
      </w:r>
    </w:p>
    <w:p w14:paraId="5EF2FD45" w14:textId="77777777" w:rsidR="00945B27" w:rsidRPr="00890C94" w:rsidRDefault="00945B27" w:rsidP="00BA4C5B">
      <w:pPr>
        <w:pStyle w:val="CaptionChart"/>
        <w:ind w:left="0"/>
      </w:pPr>
      <w:bookmarkStart w:id="120" w:name="_Ref95299362"/>
      <w:bookmarkStart w:id="121" w:name="_Toc99117033"/>
      <w:r w:rsidRPr="00890C94">
        <w:t>: Composition of the NACAP target population, by care type</w:t>
      </w:r>
      <w:bookmarkEnd w:id="120"/>
      <w:bookmarkEnd w:id="121"/>
    </w:p>
    <w:p w14:paraId="2AEB194F" w14:textId="77777777" w:rsidR="00945B27" w:rsidRPr="00890C94" w:rsidRDefault="00945B27" w:rsidP="00945B27">
      <w:pPr>
        <w:rPr>
          <w:lang w:val="en-US" w:eastAsia="en-AU"/>
        </w:rPr>
      </w:pPr>
      <w:r w:rsidRPr="00890C94">
        <w:rPr>
          <w:noProof/>
        </w:rPr>
        <w:drawing>
          <wp:inline distT="0" distB="0" distL="0" distR="0" wp14:anchorId="0087399D" wp14:editId="08CF23EE">
            <wp:extent cx="4096512" cy="1901189"/>
            <wp:effectExtent l="0" t="0" r="0" b="0"/>
            <wp:docPr id="42" name="Picture 42" descr="Care type population remain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re type population remains consta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1045" cy="1912575"/>
                    </a:xfrm>
                    <a:prstGeom prst="rect">
                      <a:avLst/>
                    </a:prstGeom>
                    <a:noFill/>
                    <a:ln>
                      <a:noFill/>
                    </a:ln>
                  </pic:spPr>
                </pic:pic>
              </a:graphicData>
            </a:graphic>
          </wp:inline>
        </w:drawing>
      </w:r>
    </w:p>
    <w:p w14:paraId="1836ABFE" w14:textId="24C65630" w:rsidR="00945B27" w:rsidRPr="00836BF2" w:rsidRDefault="00945B27" w:rsidP="00945B27">
      <w:pPr>
        <w:pStyle w:val="Source"/>
        <w:rPr>
          <w:lang w:val="en-US" w:eastAsia="en-AU"/>
        </w:rPr>
      </w:pPr>
      <w:r w:rsidRPr="00890C94">
        <w:rPr>
          <w:lang w:val="en-US" w:eastAsia="en-AU"/>
        </w:rPr>
        <w:t xml:space="preserve">Source: GEN Aged Care data; </w:t>
      </w:r>
      <w:proofErr w:type="spellStart"/>
      <w:r w:rsidRPr="00890C94">
        <w:rPr>
          <w:lang w:val="en-US" w:eastAsia="en-AU"/>
        </w:rPr>
        <w:t>StewartBrown</w:t>
      </w:r>
      <w:proofErr w:type="spellEnd"/>
      <w:r w:rsidRPr="00890C94">
        <w:rPr>
          <w:lang w:val="en-US" w:eastAsia="en-AU"/>
        </w:rPr>
        <w:t xml:space="preserve"> Aged Care Financial Performance Survey Sector Report (June 2021).</w:t>
      </w:r>
    </w:p>
    <w:p w14:paraId="49DB7239" w14:textId="7915A33F" w:rsidR="00A358FE" w:rsidRDefault="00376286" w:rsidP="00A358FE">
      <w:pPr>
        <w:rPr>
          <w:lang w:eastAsia="en-AU"/>
        </w:rPr>
      </w:pPr>
      <w:r>
        <w:rPr>
          <w:lang w:eastAsia="en-AU"/>
        </w:rPr>
        <w:fldChar w:fldCharType="begin"/>
      </w:r>
      <w:r>
        <w:rPr>
          <w:lang w:eastAsia="en-AU"/>
        </w:rPr>
        <w:instrText xml:space="preserve"> REF _Ref95299378 \r \h </w:instrText>
      </w:r>
      <w:r>
        <w:rPr>
          <w:lang w:eastAsia="en-AU"/>
        </w:rPr>
      </w:r>
      <w:r>
        <w:rPr>
          <w:lang w:eastAsia="en-AU"/>
        </w:rPr>
        <w:fldChar w:fldCharType="separate"/>
      </w:r>
      <w:r w:rsidR="00DC6A20">
        <w:rPr>
          <w:lang w:eastAsia="en-AU"/>
        </w:rPr>
        <w:t>Chart 2.3</w:t>
      </w:r>
      <w:r>
        <w:rPr>
          <w:lang w:eastAsia="en-AU"/>
        </w:rPr>
        <w:fldChar w:fldCharType="end"/>
      </w:r>
      <w:r>
        <w:rPr>
          <w:lang w:eastAsia="en-AU"/>
        </w:rPr>
        <w:t xml:space="preserve"> </w:t>
      </w:r>
      <w:r w:rsidR="00A358FE">
        <w:rPr>
          <w:lang w:eastAsia="en-AU"/>
        </w:rPr>
        <w:t xml:space="preserve">presents projections of the size of the NACAP target population from the present year until the end of the forecast period. The figures in this chart account for </w:t>
      </w:r>
      <w:r w:rsidR="00A358FE" w:rsidRPr="00050A1E">
        <w:rPr>
          <w:b/>
          <w:bCs/>
          <w:lang w:eastAsia="en-AU"/>
        </w:rPr>
        <w:t>population growth and ageing, and the planned expansion of the home care system by applying an additional growth factor to home care recipients</w:t>
      </w:r>
      <w:r w:rsidR="00A358FE">
        <w:rPr>
          <w:lang w:eastAsia="en-AU"/>
        </w:rPr>
        <w:t>. A corresponding offset was applied to the residential aged care population.</w:t>
      </w:r>
    </w:p>
    <w:p w14:paraId="02B9CF00" w14:textId="77777777" w:rsidR="00A358FE" w:rsidRDefault="00A358FE" w:rsidP="00A358FE">
      <w:pPr>
        <w:rPr>
          <w:highlight w:val="yellow"/>
          <w:lang w:eastAsia="en-AU"/>
        </w:rPr>
      </w:pPr>
      <w:r>
        <w:rPr>
          <w:lang w:eastAsia="en-AU"/>
        </w:rPr>
        <w:t>The target population is projected to grow from around 420,000 to nearly 700,000 over this time. Most growth will occur in the community care system, with a rapid expansion in the number of available home care places to occur over the next few years. Growth in residential aged care will be much more subdued, as the focus of aged care delivery shifts more towards recipient’s homes and the community.</w:t>
      </w:r>
    </w:p>
    <w:p w14:paraId="2D46E1C2" w14:textId="77777777" w:rsidR="00A358FE" w:rsidRDefault="00A358FE" w:rsidP="00BA4C5B">
      <w:pPr>
        <w:pStyle w:val="CaptionChart"/>
        <w:ind w:left="0"/>
        <w:rPr>
          <w:lang w:eastAsia="en-AU"/>
        </w:rPr>
      </w:pPr>
      <w:bookmarkStart w:id="122" w:name="_Ref95299378"/>
      <w:bookmarkStart w:id="123" w:name="_Toc99117034"/>
      <w:r w:rsidRPr="00BF6334">
        <w:rPr>
          <w:lang w:eastAsia="en-AU"/>
        </w:rPr>
        <w:t xml:space="preserve">: </w:t>
      </w:r>
      <w:r>
        <w:rPr>
          <w:lang w:eastAsia="en-AU"/>
        </w:rPr>
        <w:t xml:space="preserve">Projected </w:t>
      </w:r>
      <w:r w:rsidRPr="00BF6334">
        <w:rPr>
          <w:lang w:eastAsia="en-AU"/>
        </w:rPr>
        <w:t>NACAP target population</w:t>
      </w:r>
      <w:r>
        <w:rPr>
          <w:lang w:eastAsia="en-AU"/>
        </w:rPr>
        <w:t xml:space="preserve"> from </w:t>
      </w:r>
      <w:r w:rsidRPr="00BF6334">
        <w:rPr>
          <w:lang w:eastAsia="en-AU"/>
        </w:rPr>
        <w:t>2020/21 to 2031/32</w:t>
      </w:r>
      <w:r>
        <w:rPr>
          <w:lang w:eastAsia="en-AU"/>
        </w:rPr>
        <w:t>, by care type</w:t>
      </w:r>
      <w:bookmarkEnd w:id="122"/>
      <w:bookmarkEnd w:id="123"/>
    </w:p>
    <w:p w14:paraId="134F9025" w14:textId="77777777" w:rsidR="00A358FE" w:rsidRPr="00BF6334" w:rsidRDefault="00A358FE" w:rsidP="00A358FE">
      <w:pPr>
        <w:rPr>
          <w:lang w:eastAsia="en-AU"/>
        </w:rPr>
      </w:pPr>
      <w:r w:rsidRPr="00A1775D">
        <w:rPr>
          <w:noProof/>
        </w:rPr>
        <w:drawing>
          <wp:inline distT="0" distB="0" distL="0" distR="0" wp14:anchorId="370D8A7D" wp14:editId="26258BFA">
            <wp:extent cx="4525577" cy="2505600"/>
            <wp:effectExtent l="0" t="0" r="0" b="0"/>
            <wp:docPr id="1489793609" name="Picture 1489793609" descr="Project target population by care type constantly increases into the projecte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9" name="Picture 1489793609" descr="Project target population by care type constantly increases into the projected 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5577" cy="2505600"/>
                    </a:xfrm>
                    <a:prstGeom prst="rect">
                      <a:avLst/>
                    </a:prstGeom>
                    <a:noFill/>
                    <a:ln>
                      <a:noFill/>
                    </a:ln>
                  </pic:spPr>
                </pic:pic>
              </a:graphicData>
            </a:graphic>
          </wp:inline>
        </w:drawing>
      </w:r>
    </w:p>
    <w:p w14:paraId="6E599C8D" w14:textId="77777777" w:rsidR="00A358FE" w:rsidRDefault="00A358FE" w:rsidP="00A358FE">
      <w:pPr>
        <w:pStyle w:val="Source"/>
        <w:keepNext/>
        <w:rPr>
          <w:lang w:eastAsia="en-AU"/>
        </w:rPr>
      </w:pPr>
      <w:r w:rsidRPr="00BF6334">
        <w:rPr>
          <w:lang w:eastAsia="en-AU"/>
        </w:rPr>
        <w:t>Source: Deloitte Access Economics analysis of AIHW data.</w:t>
      </w:r>
    </w:p>
    <w:p w14:paraId="1C432DEB" w14:textId="7CD36998" w:rsidR="00184AA5" w:rsidRDefault="00184AA5" w:rsidP="00D67757">
      <w:r>
        <w:t xml:space="preserve">The total demand rate was taken to be a </w:t>
      </w:r>
      <w:r w:rsidRPr="00A128B4">
        <w:t xml:space="preserve">constant </w:t>
      </w:r>
      <w:r w:rsidR="005143B2">
        <w:t>5</w:t>
      </w:r>
      <w:r w:rsidRPr="00A128B4">
        <w:t>%</w:t>
      </w:r>
      <w:r>
        <w:t xml:space="preserve"> in each year of projections. Th</w:t>
      </w:r>
      <w:r w:rsidR="00793A9A">
        <w:t>e</w:t>
      </w:r>
      <w:r>
        <w:t xml:space="preserve"> </w:t>
      </w:r>
      <w:r w:rsidR="005143B2">
        <w:t>5</w:t>
      </w:r>
      <w:r w:rsidRPr="00A128B4">
        <w:t>%</w:t>
      </w:r>
      <w:r>
        <w:t xml:space="preserve"> </w:t>
      </w:r>
      <w:r w:rsidR="00793A9A">
        <w:t>figure</w:t>
      </w:r>
      <w:r>
        <w:t xml:space="preserve"> is based on the recommendations of the Aged Care Royal Commission</w:t>
      </w:r>
      <w:r w:rsidR="0093577E">
        <w:t xml:space="preserve">, which </w:t>
      </w:r>
      <w:r w:rsidR="00BC089B">
        <w:t xml:space="preserve">suggested an </w:t>
      </w:r>
      <w:r w:rsidR="00101959">
        <w:t>“</w:t>
      </w:r>
      <w:r w:rsidR="00BC089B">
        <w:t>immediate funding increase to enable a minimum of 5% of older people to access advocacy services</w:t>
      </w:r>
      <w:r w:rsidR="00101959">
        <w:t>”</w:t>
      </w:r>
      <w:r>
        <w:t>.</w:t>
      </w:r>
      <w:r w:rsidR="0090150A">
        <w:rPr>
          <w:rStyle w:val="EndnoteReference"/>
        </w:rPr>
        <w:endnoteReference w:id="16"/>
      </w:r>
      <w:r>
        <w:t xml:space="preserve"> </w:t>
      </w:r>
      <w:r w:rsidR="00497478">
        <w:t xml:space="preserve">Consultations and international and sectoral comparisons did not reveal what </w:t>
      </w:r>
      <w:r w:rsidR="00DD6EDF">
        <w:t>an</w:t>
      </w:r>
      <w:r w:rsidR="00497478">
        <w:t xml:space="preserve"> optimal level of advocacy </w:t>
      </w:r>
      <w:r w:rsidR="00DD6EDF">
        <w:t xml:space="preserve">should be. In recognition that the 5% </w:t>
      </w:r>
      <w:r w:rsidR="00402675">
        <w:t xml:space="preserve">recommendation in the Royal Commission was described as a minimum, we also conducted scenario analysis </w:t>
      </w:r>
      <w:r w:rsidR="0041206A">
        <w:t>considering a higher target usage rate.</w:t>
      </w:r>
      <w:r w:rsidR="00402675">
        <w:t xml:space="preserve"> </w:t>
      </w:r>
      <w:r w:rsidR="0041206A">
        <w:t>The s</w:t>
      </w:r>
      <w:r w:rsidR="00B8647B">
        <w:t xml:space="preserve">cenario modelling </w:t>
      </w:r>
      <w:r w:rsidR="00F358DA">
        <w:t>conducted</w:t>
      </w:r>
      <w:r w:rsidR="0041206A">
        <w:t xml:space="preserve"> considered t</w:t>
      </w:r>
      <w:r w:rsidR="007004D2">
        <w:t xml:space="preserve">wo </w:t>
      </w:r>
      <w:r w:rsidR="00B55232">
        <w:t xml:space="preserve">different demand rates to the 5% - the first scenario was </w:t>
      </w:r>
      <w:r w:rsidR="00B8647B">
        <w:t xml:space="preserve">a 7% </w:t>
      </w:r>
      <w:r w:rsidR="00283463">
        <w:t>maximum demand rate</w:t>
      </w:r>
      <w:r w:rsidR="00B55232">
        <w:t>,</w:t>
      </w:r>
      <w:r w:rsidR="00283463">
        <w:t xml:space="preserve"> </w:t>
      </w:r>
      <w:r w:rsidR="007307C4">
        <w:t xml:space="preserve">and </w:t>
      </w:r>
      <w:r w:rsidR="00B55232">
        <w:t xml:space="preserve">the second scenario </w:t>
      </w:r>
      <w:r w:rsidR="00F358DA">
        <w:t>wa</w:t>
      </w:r>
      <w:r w:rsidR="00B55232">
        <w:t xml:space="preserve">s </w:t>
      </w:r>
      <w:r w:rsidR="007307C4">
        <w:t>a</w:t>
      </w:r>
      <w:r w:rsidR="009A748D">
        <w:t xml:space="preserve"> cohort dependent usage rate</w:t>
      </w:r>
      <w:r w:rsidR="00283463">
        <w:t>.</w:t>
      </w:r>
    </w:p>
    <w:p w14:paraId="54AF1C51" w14:textId="77777777" w:rsidR="007E13F7" w:rsidRPr="007E13F7" w:rsidRDefault="007E13F7" w:rsidP="00206084">
      <w:pPr>
        <w:pStyle w:val="Heading3un-numbered"/>
        <w:pBdr>
          <w:top w:val="single" w:sz="12" w:space="1" w:color="00A3E0"/>
          <w:left w:val="single" w:sz="12" w:space="4" w:color="00A3E0"/>
          <w:bottom w:val="single" w:sz="12" w:space="1" w:color="00A3E0"/>
          <w:right w:val="single" w:sz="12" w:space="4" w:color="00A3E0"/>
        </w:pBdr>
        <w:rPr>
          <w:shd w:val="clear" w:color="auto" w:fill="FFFFFF"/>
        </w:rPr>
      </w:pPr>
      <w:r w:rsidRPr="007E13F7">
        <w:rPr>
          <w:shd w:val="clear" w:color="auto" w:fill="FFFFFF"/>
        </w:rPr>
        <w:t>Box 2.1: Estimating total demand for aged care advocacy</w:t>
      </w:r>
    </w:p>
    <w:p w14:paraId="5CDE4270" w14:textId="77777777" w:rsidR="007E13F7" w:rsidRPr="007E13F7" w:rsidRDefault="007E13F7" w:rsidP="00206084">
      <w:pPr>
        <w:pBdr>
          <w:top w:val="single" w:sz="12" w:space="1" w:color="00A3E0"/>
          <w:left w:val="single" w:sz="12" w:space="4" w:color="00A3E0"/>
          <w:bottom w:val="single" w:sz="12" w:space="1" w:color="00A3E0"/>
          <w:right w:val="single" w:sz="12" w:space="4" w:color="00A3E0"/>
        </w:pBdr>
        <w:rPr>
          <w:shd w:val="clear" w:color="auto" w:fill="FFFFFF"/>
        </w:rPr>
      </w:pPr>
      <w:r w:rsidRPr="007E13F7">
        <w:rPr>
          <w:shd w:val="clear" w:color="auto" w:fill="FFFFFF"/>
        </w:rPr>
        <w:t xml:space="preserve">The NACAP is being expanded in response to Recommendation 106 of the Aged Care Royal Commission. This recommendation was based on findings within the report that the consumer voice in aged care is relatively weak and that the coverage of organisations that support these consumers is insufficient. The recommendation included – among other things – an “immediate funding increase to enable a minimum of 5% of older people to access advocacy services”. </w:t>
      </w:r>
    </w:p>
    <w:p w14:paraId="55A7BBEC" w14:textId="77777777" w:rsidR="007E13F7" w:rsidRPr="007E13F7" w:rsidRDefault="007E13F7" w:rsidP="00206084">
      <w:pPr>
        <w:pBdr>
          <w:top w:val="single" w:sz="12" w:space="1" w:color="00A3E0"/>
          <w:left w:val="single" w:sz="12" w:space="4" w:color="00A3E0"/>
          <w:bottom w:val="single" w:sz="12" w:space="1" w:color="00A3E0"/>
          <w:right w:val="single" w:sz="12" w:space="4" w:color="00A3E0"/>
        </w:pBdr>
        <w:rPr>
          <w:shd w:val="clear" w:color="auto" w:fill="FFFFFF"/>
        </w:rPr>
      </w:pPr>
      <w:r w:rsidRPr="007E13F7">
        <w:rPr>
          <w:shd w:val="clear" w:color="auto" w:fill="FFFFFF"/>
        </w:rPr>
        <w:t>Based on the target population projections presented in Chart 2.</w:t>
      </w:r>
      <w:r w:rsidRPr="007E13F7" w:rsidDel="00A4570A">
        <w:rPr>
          <w:shd w:val="clear" w:color="auto" w:fill="FFFFFF"/>
        </w:rPr>
        <w:t>3</w:t>
      </w:r>
      <w:r w:rsidRPr="007E13F7">
        <w:rPr>
          <w:shd w:val="clear" w:color="auto" w:fill="FFFFFF"/>
        </w:rPr>
        <w:t>, this would be equivalent to nearly 20,000 older people living in residential aged care and 23,000 recipients of community care. This will rise to over 27,000 residential care and 46,000 community care recipients by 2031/32.</w:t>
      </w:r>
    </w:p>
    <w:p w14:paraId="1EE12288" w14:textId="77777777" w:rsidR="007E13F7" w:rsidRPr="007E13F7" w:rsidRDefault="007E13F7" w:rsidP="00206084">
      <w:pPr>
        <w:pBdr>
          <w:top w:val="single" w:sz="12" w:space="1" w:color="00A3E0"/>
          <w:left w:val="single" w:sz="12" w:space="4" w:color="00A3E0"/>
          <w:bottom w:val="single" w:sz="12" w:space="1" w:color="00A3E0"/>
          <w:right w:val="single" w:sz="12" w:space="4" w:color="00A3E0"/>
        </w:pBdr>
        <w:rPr>
          <w:shd w:val="clear" w:color="auto" w:fill="FFFFFF"/>
        </w:rPr>
      </w:pPr>
      <w:r w:rsidRPr="007E13F7">
        <w:rPr>
          <w:shd w:val="clear" w:color="auto" w:fill="FFFFFF"/>
        </w:rPr>
        <w:t xml:space="preserve">One of the aims of this study was to estimate the level of unmet demand for aged care advocacy that may exist at present and in future years. While it is recognised that the Royal Commission recommended a </w:t>
      </w:r>
      <w:r w:rsidRPr="007E13F7">
        <w:rPr>
          <w:i/>
          <w:iCs/>
          <w:shd w:val="clear" w:color="auto" w:fill="FFFFFF"/>
        </w:rPr>
        <w:t xml:space="preserve">minimum </w:t>
      </w:r>
      <w:r w:rsidRPr="007E13F7">
        <w:rPr>
          <w:shd w:val="clear" w:color="auto" w:fill="FFFFFF"/>
        </w:rPr>
        <w:t>5% of older people to have access to the NACAP, this 5% level has been used as an illustrative upper bound to which met demand can be compared. This means that the estimates of unmet demand are built on a consistent 5% of the NACAP target population over the forecast period.</w:t>
      </w:r>
    </w:p>
    <w:p w14:paraId="3DF66E0F" w14:textId="77777777" w:rsidR="007E13F7" w:rsidRPr="007E13F7" w:rsidRDefault="007E13F7" w:rsidP="00206084">
      <w:pPr>
        <w:pBdr>
          <w:top w:val="single" w:sz="12" w:space="1" w:color="00A3E0"/>
          <w:left w:val="single" w:sz="12" w:space="4" w:color="00A3E0"/>
          <w:bottom w:val="single" w:sz="12" w:space="1" w:color="00A3E0"/>
          <w:right w:val="single" w:sz="12" w:space="4" w:color="00A3E0"/>
        </w:pBdr>
        <w:rPr>
          <w:shd w:val="clear" w:color="auto" w:fill="FFFFFF"/>
        </w:rPr>
      </w:pPr>
      <w:r w:rsidRPr="007E13F7">
        <w:rPr>
          <w:shd w:val="clear" w:color="auto" w:fill="FFFFFF"/>
        </w:rPr>
        <w:t>The consultation process did not identify an alternative “optimal” level of demand for advocacy. Unmet demand that may exist at present has been almost completely unobserved. Moreover, it is likely to be largely unobservable. Consumers generally do not become aware of advocacy services until they have a critical need for them. This means that the usual tool through which unmet demand would be measured – a survey – is not feasible. Respondents to such a survey would not have sufficient information to understand whether they have an unmet need.</w:t>
      </w:r>
    </w:p>
    <w:p w14:paraId="31E90732" w14:textId="77777777" w:rsidR="007E13F7" w:rsidRPr="007E13F7" w:rsidRDefault="007E13F7" w:rsidP="00206084">
      <w:pPr>
        <w:pBdr>
          <w:top w:val="single" w:sz="12" w:space="1" w:color="00A3E0"/>
          <w:left w:val="single" w:sz="12" w:space="4" w:color="00A3E0"/>
          <w:bottom w:val="single" w:sz="12" w:space="1" w:color="00A3E0"/>
          <w:right w:val="single" w:sz="12" w:space="4" w:color="00A3E0"/>
        </w:pBdr>
        <w:rPr>
          <w:shd w:val="clear" w:color="auto" w:fill="FFFFFF"/>
        </w:rPr>
      </w:pPr>
      <w:r w:rsidRPr="007E13F7">
        <w:rPr>
          <w:shd w:val="clear" w:color="auto" w:fill="FFFFFF"/>
        </w:rPr>
        <w:t>Future work could be undertaken by OPAN with the aim of understanding the awareness and usage of the NACAP by older persons. This would give a clearer view of the extent of unmet demand for the NACAP that exists in the aged care population. However, it is critical that any such research is complemented by improved program data collection through the NMDS.</w:t>
      </w:r>
    </w:p>
    <w:p w14:paraId="24047C15" w14:textId="65961F12" w:rsidR="005B4863" w:rsidRPr="0038083D" w:rsidRDefault="00A71C8D" w:rsidP="00B10C01">
      <w:pPr>
        <w:pStyle w:val="Heading3"/>
        <w:ind w:left="992" w:hanging="992"/>
      </w:pPr>
      <w:bookmarkStart w:id="124" w:name="_Toc99437510"/>
      <w:bookmarkEnd w:id="118"/>
      <w:r w:rsidRPr="0038083D">
        <w:t>Met demand</w:t>
      </w:r>
      <w:bookmarkEnd w:id="124"/>
    </w:p>
    <w:p w14:paraId="009CDF39" w14:textId="6D8422D0" w:rsidR="000A3B34" w:rsidRDefault="000A3B34" w:rsidP="000A3B34">
      <w:pPr>
        <w:rPr>
          <w:lang w:val="en-US" w:eastAsia="en-AU"/>
        </w:rPr>
      </w:pPr>
      <w:r>
        <w:rPr>
          <w:lang w:val="en-US" w:eastAsia="en-AU"/>
        </w:rPr>
        <w:t xml:space="preserve">Future met demand equates to the number of services delivered in a year. The number of services delivered in a year is calculated as total funding in that year divided </w:t>
      </w:r>
      <w:r w:rsidR="00FE4210">
        <w:rPr>
          <w:lang w:val="en-US" w:eastAsia="en-AU"/>
        </w:rPr>
        <w:t xml:space="preserve">by </w:t>
      </w:r>
      <w:r>
        <w:rPr>
          <w:lang w:val="en-US" w:eastAsia="en-AU"/>
        </w:rPr>
        <w:t>the cost of service.</w:t>
      </w:r>
    </w:p>
    <w:p w14:paraId="1D2C3319" w14:textId="45924302" w:rsidR="000A3B34" w:rsidRDefault="000A3B34" w:rsidP="000A3B34">
      <w:pPr>
        <w:pStyle w:val="ListBullet"/>
        <w:rPr>
          <w:lang w:val="en-US"/>
        </w:rPr>
      </w:pPr>
      <w:r>
        <w:rPr>
          <w:lang w:val="en-US" w:eastAsia="en-AU"/>
        </w:rPr>
        <w:t xml:space="preserve">Total funding in a particular </w:t>
      </w:r>
      <w:r w:rsidR="0061744C">
        <w:rPr>
          <w:lang w:val="en-US" w:eastAsia="en-AU"/>
        </w:rPr>
        <w:t xml:space="preserve">year </w:t>
      </w:r>
      <w:r>
        <w:rPr>
          <w:lang w:val="en-US" w:eastAsia="en-AU"/>
        </w:rPr>
        <w:t xml:space="preserve">is based on the forward estimates for </w:t>
      </w:r>
      <w:r>
        <w:rPr>
          <w:lang w:val="en-US"/>
        </w:rPr>
        <w:t xml:space="preserve">the NACAP </w:t>
      </w:r>
      <w:r w:rsidR="0040461F">
        <w:rPr>
          <w:lang w:val="en-US"/>
        </w:rPr>
        <w:t>total agreement funding</w:t>
      </w:r>
      <w:r w:rsidR="00E93E08">
        <w:rPr>
          <w:lang w:val="en-US"/>
        </w:rPr>
        <w:t xml:space="preserve">. </w:t>
      </w:r>
      <w:r w:rsidR="00DA2642">
        <w:rPr>
          <w:lang w:val="en-US"/>
        </w:rPr>
        <w:t xml:space="preserve">For this analysis, </w:t>
      </w:r>
      <w:r w:rsidR="00E93E08">
        <w:rPr>
          <w:lang w:val="en-US"/>
        </w:rPr>
        <w:t xml:space="preserve">COVID support (2020/21 only), Emergency &amp; Additional Reform Advocacy, and Diversity Education Project funding </w:t>
      </w:r>
      <w:r w:rsidR="00DA2642">
        <w:rPr>
          <w:lang w:val="en-US"/>
        </w:rPr>
        <w:t>were</w:t>
      </w:r>
      <w:r w:rsidR="00E93E08">
        <w:rPr>
          <w:lang w:val="en-US"/>
        </w:rPr>
        <w:t xml:space="preserve"> excluded.</w:t>
      </w:r>
      <w:r w:rsidR="00B56027">
        <w:rPr>
          <w:lang w:val="en-US"/>
        </w:rPr>
        <w:t xml:space="preserve"> </w:t>
      </w:r>
      <w:r w:rsidR="00B56027" w:rsidRPr="00B56027">
        <w:rPr>
          <w:lang w:val="en-US"/>
        </w:rPr>
        <w:t xml:space="preserve">The NACAP budget that has been used to inform the modelling for the Demand Study is $148.99 (GST exclusive) over the period 2020-21 to 2024-25. Note, the total budget for the NACAP over this period is $165.75 million (GST exclusive), however this includes $10.6 million (GST exclusive) for emergency responses during times of crisis and $6.16 million (GST exclusive) for diversity education for aged care providers. For this study, funding for these two activities is excluded from the NACAP budget as they are distinct from the provision of general advocacy support, </w:t>
      </w:r>
      <w:proofErr w:type="gramStart"/>
      <w:r w:rsidR="00B56027" w:rsidRPr="00B56027">
        <w:rPr>
          <w:lang w:val="en-US"/>
        </w:rPr>
        <w:t>education</w:t>
      </w:r>
      <w:proofErr w:type="gramEnd"/>
      <w:r w:rsidR="00B56027" w:rsidRPr="00B56027">
        <w:rPr>
          <w:lang w:val="en-US"/>
        </w:rPr>
        <w:t xml:space="preserve"> and information. </w:t>
      </w:r>
      <w:r w:rsidR="00E762B3">
        <w:rPr>
          <w:lang w:val="en-US"/>
        </w:rPr>
        <w:t xml:space="preserve">Forward estimates covered </w:t>
      </w:r>
      <w:r w:rsidR="0061744C">
        <w:rPr>
          <w:lang w:val="en-US"/>
        </w:rPr>
        <w:t>the years 2020/21 through 2024/25.</w:t>
      </w:r>
      <w:r w:rsidR="0012039F">
        <w:rPr>
          <w:lang w:val="en-US"/>
        </w:rPr>
        <w:t xml:space="preserve"> Accounting for the exclusions, total agreement funding is budgeted to rise from around $12 million in 2020/21 to </w:t>
      </w:r>
      <w:r w:rsidR="00B80313">
        <w:rPr>
          <w:lang w:val="en-US"/>
        </w:rPr>
        <w:t>nearly $38 million by 2024/25.</w:t>
      </w:r>
      <w:r w:rsidR="00B210E0">
        <w:rPr>
          <w:lang w:eastAsia="en-AU"/>
        </w:rPr>
        <w:t xml:space="preserve"> </w:t>
      </w:r>
      <w:r>
        <w:rPr>
          <w:lang w:val="en-US"/>
        </w:rPr>
        <w:t xml:space="preserve">As the forecast horizon went beyond the forward estimates, the out years </w:t>
      </w:r>
      <w:r w:rsidR="005F7150">
        <w:rPr>
          <w:lang w:val="en-US"/>
        </w:rPr>
        <w:t>assumed</w:t>
      </w:r>
      <w:r w:rsidR="0093017F">
        <w:rPr>
          <w:lang w:val="en-US"/>
        </w:rPr>
        <w:t xml:space="preserve"> that funding grows in line with the size of the aged care system (i.e., the number of recipients).</w:t>
      </w:r>
      <w:r w:rsidR="00433498">
        <w:rPr>
          <w:lang w:val="en-US"/>
        </w:rPr>
        <w:t xml:space="preserve"> </w:t>
      </w:r>
      <w:r w:rsidR="00433498" w:rsidRPr="00433498">
        <w:rPr>
          <w:lang w:val="en-US"/>
        </w:rPr>
        <w:t>Detailed program expenditure information is provided at</w:t>
      </w:r>
      <w:r w:rsidR="00433498">
        <w:rPr>
          <w:lang w:val="en-US"/>
        </w:rPr>
        <w:t xml:space="preserve"> Appendix B.</w:t>
      </w:r>
    </w:p>
    <w:p w14:paraId="43B11210" w14:textId="2EB8C874" w:rsidR="000A3B34" w:rsidRDefault="000A3B34" w:rsidP="00506453">
      <w:pPr>
        <w:pStyle w:val="ListBullet"/>
        <w:spacing w:after="170"/>
        <w:rPr>
          <w:lang w:val="en-US"/>
        </w:rPr>
      </w:pPr>
      <w:r>
        <w:rPr>
          <w:lang w:val="en-US"/>
        </w:rPr>
        <w:t>A current cost per service was calculated by dividing the available funding in FY21 by the number of services delivered in FY21. This cost per service was then inflated using a weighted measure of the consumer price index (CPI) and the wage price index (WPI)</w:t>
      </w:r>
      <w:r w:rsidR="007C5F41">
        <w:rPr>
          <w:lang w:val="en-US"/>
        </w:rPr>
        <w:t xml:space="preserve"> to determine a cost per service for each year of the forecast period</w:t>
      </w:r>
      <w:r>
        <w:rPr>
          <w:lang w:val="en-US"/>
        </w:rPr>
        <w:t>. This was done to approximate increases in the unit cost of delivering services for providers. A weighted average of wages growth and inflation was used to proxy for the cost structure of service providers.</w:t>
      </w:r>
    </w:p>
    <w:p w14:paraId="7B0EB5D4" w14:textId="53A6F332" w:rsidR="000A3B34" w:rsidRDefault="00506453" w:rsidP="00790971">
      <w:pPr>
        <w:rPr>
          <w:lang w:val="en-US"/>
        </w:rPr>
      </w:pPr>
      <w:r>
        <w:rPr>
          <w:lang w:val="en-US"/>
        </w:rPr>
        <w:fldChar w:fldCharType="begin"/>
      </w:r>
      <w:r>
        <w:rPr>
          <w:lang w:val="en-US"/>
        </w:rPr>
        <w:instrText xml:space="preserve"> REF _Ref95301537 \w \h </w:instrText>
      </w:r>
      <w:r>
        <w:rPr>
          <w:lang w:val="en-US"/>
        </w:rPr>
      </w:r>
      <w:r>
        <w:rPr>
          <w:lang w:val="en-US"/>
        </w:rPr>
        <w:fldChar w:fldCharType="separate"/>
      </w:r>
      <w:r w:rsidR="00DC6A20">
        <w:rPr>
          <w:lang w:val="en-US"/>
        </w:rPr>
        <w:t>Chart 2.4</w:t>
      </w:r>
      <w:r>
        <w:rPr>
          <w:lang w:val="en-US"/>
        </w:rPr>
        <w:fldChar w:fldCharType="end"/>
      </w:r>
      <w:r>
        <w:rPr>
          <w:lang w:val="en-US"/>
        </w:rPr>
        <w:t xml:space="preserve"> shows the relationship between the NACAP Core Business Activity Funding and the number of services that will be delivered. </w:t>
      </w:r>
      <w:r w:rsidR="00B546A7">
        <w:rPr>
          <w:lang w:val="en-US"/>
        </w:rPr>
        <w:t xml:space="preserve">The largest increase in core funding occurs between 2020/21 and 2021/22, with </w:t>
      </w:r>
      <w:r w:rsidR="00F3677C">
        <w:rPr>
          <w:lang w:val="en-US"/>
        </w:rPr>
        <w:t xml:space="preserve">the total budget rising from around $12 million to </w:t>
      </w:r>
      <w:r w:rsidR="008A169F">
        <w:rPr>
          <w:lang w:val="en-US"/>
        </w:rPr>
        <w:t>over $30</w:t>
      </w:r>
      <w:r w:rsidR="00F3677C">
        <w:rPr>
          <w:lang w:val="en-US"/>
        </w:rPr>
        <w:t xml:space="preserve"> million. </w:t>
      </w:r>
      <w:r w:rsidR="003B0BA8">
        <w:rPr>
          <w:lang w:val="en-US"/>
        </w:rPr>
        <w:t xml:space="preserve">Adjusted for the cost of delivering services, this sees service delivery rise from </w:t>
      </w:r>
      <w:r w:rsidR="00052AED">
        <w:rPr>
          <w:lang w:val="en-US"/>
        </w:rPr>
        <w:t xml:space="preserve">20,679 to </w:t>
      </w:r>
      <w:r w:rsidR="00C23674">
        <w:rPr>
          <w:lang w:val="en-US"/>
        </w:rPr>
        <w:t>52,796</w:t>
      </w:r>
      <w:r w:rsidR="00052AED">
        <w:rPr>
          <w:lang w:val="en-US"/>
        </w:rPr>
        <w:t xml:space="preserve">. Substantial growth will also be </w:t>
      </w:r>
      <w:proofErr w:type="spellStart"/>
      <w:r w:rsidR="00052AED">
        <w:rPr>
          <w:lang w:val="en-US"/>
        </w:rPr>
        <w:t>reali</w:t>
      </w:r>
      <w:r w:rsidR="00064930">
        <w:rPr>
          <w:lang w:val="en-US"/>
        </w:rPr>
        <w:t>s</w:t>
      </w:r>
      <w:r w:rsidR="00052AED">
        <w:rPr>
          <w:lang w:val="en-US"/>
        </w:rPr>
        <w:t>ed</w:t>
      </w:r>
      <w:proofErr w:type="spellEnd"/>
      <w:r w:rsidR="00052AED">
        <w:rPr>
          <w:lang w:val="en-US"/>
        </w:rPr>
        <w:t xml:space="preserve"> in 2022/23, with the number of services delivered rising again to </w:t>
      </w:r>
      <w:r w:rsidR="00C23674">
        <w:rPr>
          <w:lang w:val="en-US"/>
        </w:rPr>
        <w:t>66,168</w:t>
      </w:r>
      <w:r w:rsidR="00052AED">
        <w:rPr>
          <w:lang w:val="en-US"/>
        </w:rPr>
        <w:t xml:space="preserve">. </w:t>
      </w:r>
      <w:r w:rsidR="002A25E9">
        <w:rPr>
          <w:lang w:val="en-US"/>
        </w:rPr>
        <w:t>More gradual growth is observed beyond that.</w:t>
      </w:r>
    </w:p>
    <w:p w14:paraId="262B33DA" w14:textId="65FC0CDF" w:rsidR="000A3B34" w:rsidRDefault="000A3B34" w:rsidP="00BA4C5B">
      <w:pPr>
        <w:pStyle w:val="CaptionChart"/>
        <w:ind w:left="0"/>
      </w:pPr>
      <w:bookmarkStart w:id="125" w:name="_Ref95301537"/>
      <w:bookmarkStart w:id="126" w:name="_Toc99117035"/>
      <w:r>
        <w:t xml:space="preserve">: NACAP </w:t>
      </w:r>
      <w:r w:rsidR="00F57DDC">
        <w:t xml:space="preserve">total agreement funding (less exclusions) </w:t>
      </w:r>
      <w:r>
        <w:t>and forecast service delivery, 2020/21 to 2031/32</w:t>
      </w:r>
      <w:bookmarkEnd w:id="125"/>
      <w:bookmarkEnd w:id="126"/>
    </w:p>
    <w:p w14:paraId="6270FB40" w14:textId="7781BE16" w:rsidR="000A3B34" w:rsidRDefault="008A169F" w:rsidP="000A3B34">
      <w:pPr>
        <w:rPr>
          <w:lang w:val="en-US"/>
        </w:rPr>
      </w:pPr>
      <w:r w:rsidRPr="008A169F">
        <w:rPr>
          <w:lang w:val="en-US"/>
        </w:rPr>
        <w:t xml:space="preserve"> </w:t>
      </w:r>
      <w:r w:rsidR="009C7991" w:rsidRPr="009C7991">
        <w:rPr>
          <w:noProof/>
        </w:rPr>
        <w:drawing>
          <wp:inline distT="0" distB="0" distL="0" distR="0" wp14:anchorId="23245181" wp14:editId="2AF8DD01">
            <wp:extent cx="4744563" cy="2671638"/>
            <wp:effectExtent l="0" t="0" r="0" b="0"/>
            <wp:docPr id="16" name="Picture 16" descr="Funding forecast for the OPAN service is expected to increase aligned to delive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unding forecast for the OPAN service is expected to increase aligned to delivery requiremen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2067" cy="2675863"/>
                    </a:xfrm>
                    <a:prstGeom prst="rect">
                      <a:avLst/>
                    </a:prstGeom>
                    <a:noFill/>
                    <a:ln>
                      <a:noFill/>
                    </a:ln>
                  </pic:spPr>
                </pic:pic>
              </a:graphicData>
            </a:graphic>
          </wp:inline>
        </w:drawing>
      </w:r>
    </w:p>
    <w:p w14:paraId="2363A3EA" w14:textId="52037DA5" w:rsidR="000A3B34" w:rsidRDefault="000A3B34" w:rsidP="000A3B34">
      <w:pPr>
        <w:pStyle w:val="Source"/>
        <w:rPr>
          <w:lang w:val="en-US" w:eastAsia="en-AU"/>
        </w:rPr>
      </w:pPr>
      <w:r>
        <w:rPr>
          <w:lang w:val="en-US" w:eastAsia="en-AU"/>
        </w:rPr>
        <w:t>Source: Department of Health (2021); data provided by OPAN; Australian Bureau of Statistics CPI and WPI data.</w:t>
      </w:r>
      <w:r w:rsidR="00FC6E63">
        <w:rPr>
          <w:lang w:val="en-US" w:eastAsia="en-AU"/>
        </w:rPr>
        <w:br/>
        <w:t>Note: LHS = left-hand side; RHS = right-hand side.</w:t>
      </w:r>
    </w:p>
    <w:p w14:paraId="4093FD6F" w14:textId="54C4C574" w:rsidR="000A3B34" w:rsidRDefault="000A3B34" w:rsidP="000A3B34">
      <w:r>
        <w:t xml:space="preserve">Once total number of services delivered were determined, the current demand profile presented in Section </w:t>
      </w:r>
      <w:r>
        <w:fldChar w:fldCharType="begin"/>
      </w:r>
      <w:r>
        <w:instrText xml:space="preserve"> REF _Ref94696161 \r \h </w:instrText>
      </w:r>
      <w:r>
        <w:fldChar w:fldCharType="separate"/>
      </w:r>
      <w:r w:rsidR="00DC6A20">
        <w:t>3.1</w:t>
      </w:r>
      <w:r>
        <w:fldChar w:fldCharType="end"/>
      </w:r>
      <w:r>
        <w:t xml:space="preserve"> was used to distribute the total number of services delivered (i.e.</w:t>
      </w:r>
      <w:r w:rsidR="0063684B">
        <w:t>,</w:t>
      </w:r>
      <w:r>
        <w:t xml:space="preserve"> the projected met demand) over the coming years. This means that it is assumed the current distribution of services (for example, across care types and service types) remains constant between now and 2031/32. It is possible that adjustments to this distribution will be made over the forecast period to address areas with greater unmet demand</w:t>
      </w:r>
      <w:r w:rsidR="00280131">
        <w:t>,</w:t>
      </w:r>
      <w:r>
        <w:t xml:space="preserve"> but this type of shift is not captured in the projections.</w:t>
      </w:r>
    </w:p>
    <w:p w14:paraId="563853BC" w14:textId="6DC9D3EA" w:rsidR="00754FEB" w:rsidRPr="00754FEB" w:rsidRDefault="00A71C8D" w:rsidP="0038083D">
      <w:pPr>
        <w:pStyle w:val="Heading3"/>
        <w:ind w:left="993" w:hanging="993"/>
      </w:pPr>
      <w:bookmarkStart w:id="127" w:name="_Toc99437511"/>
      <w:r>
        <w:t>Unmet demand</w:t>
      </w:r>
      <w:bookmarkEnd w:id="127"/>
    </w:p>
    <w:p w14:paraId="3C29E593" w14:textId="47663C04" w:rsidR="00A71C8D" w:rsidRPr="00A71C8D" w:rsidRDefault="0046589F" w:rsidP="00A71C8D">
      <w:r>
        <w:t xml:space="preserve">Future unmet demand was </w:t>
      </w:r>
      <w:r w:rsidR="002E0227">
        <w:t xml:space="preserve">approximated by subtracting the met demand from the estimated total demand in each year of the projections. </w:t>
      </w:r>
      <w:r w:rsidR="00F87F33">
        <w:t xml:space="preserve">This means that the main parameters affecting unmet demand are the rate of maximum demand </w:t>
      </w:r>
      <w:r w:rsidR="00DD4C0F">
        <w:t xml:space="preserve">and the </w:t>
      </w:r>
      <w:r w:rsidR="00EF7731">
        <w:t xml:space="preserve">NACAP </w:t>
      </w:r>
      <w:r w:rsidR="00F57DDC">
        <w:t>total agreement funding (less exclusions)</w:t>
      </w:r>
      <w:r w:rsidR="00DD4C0F">
        <w:t>.</w:t>
      </w:r>
      <w:r w:rsidR="007D5F4C">
        <w:t xml:space="preserve"> Unmet demand rises with the </w:t>
      </w:r>
      <w:r w:rsidR="00D56A19">
        <w:t>total</w:t>
      </w:r>
      <w:r w:rsidR="007D5F4C">
        <w:t xml:space="preserve"> demand rate and falls </w:t>
      </w:r>
      <w:r w:rsidR="00E121DB">
        <w:t>as more funding is provided.</w:t>
      </w:r>
    </w:p>
    <w:p w14:paraId="1BDA9329" w14:textId="4AC51982" w:rsidR="004854C2" w:rsidRDefault="004854C2" w:rsidP="00624397">
      <w:pPr>
        <w:pStyle w:val="Heading2"/>
      </w:pPr>
      <w:bookmarkStart w:id="128" w:name="_Toc94771833"/>
      <w:bookmarkStart w:id="129" w:name="_Toc99437512"/>
      <w:bookmarkStart w:id="130" w:name="_Toc94771835"/>
      <w:bookmarkEnd w:id="128"/>
      <w:r>
        <w:t>Future demand for education</w:t>
      </w:r>
      <w:bookmarkEnd w:id="129"/>
    </w:p>
    <w:p w14:paraId="096F22FD" w14:textId="60A39472" w:rsidR="00E06178" w:rsidRDefault="00F36BE3" w:rsidP="00280131">
      <w:r>
        <w:t xml:space="preserve">The future demand for education </w:t>
      </w:r>
      <w:r w:rsidR="002417DC">
        <w:t>was</w:t>
      </w:r>
      <w:r w:rsidR="00E26679">
        <w:t xml:space="preserve"> estimated by </w:t>
      </w:r>
      <w:r w:rsidR="002417DC">
        <w:t xml:space="preserve">applying </w:t>
      </w:r>
      <w:r w:rsidR="004D178F">
        <w:t>a</w:t>
      </w:r>
      <w:r w:rsidR="00F352C9">
        <w:t xml:space="preserve"> growth </w:t>
      </w:r>
      <w:r w:rsidR="004D178F">
        <w:t xml:space="preserve">factor to the current </w:t>
      </w:r>
      <w:r w:rsidR="00642690">
        <w:t xml:space="preserve">year estimate of education sessions </w:t>
      </w:r>
      <w:r w:rsidR="00F352C9">
        <w:t xml:space="preserve">in </w:t>
      </w:r>
      <w:r w:rsidR="00642690">
        <w:t xml:space="preserve">2020/21. The growth factor </w:t>
      </w:r>
      <w:r w:rsidR="0029177E">
        <w:t xml:space="preserve">includes the estimated growth in the number of residential aged care facilities and the number of community care packages </w:t>
      </w:r>
      <w:r w:rsidR="002E168E">
        <w:t>through to</w:t>
      </w:r>
      <w:r w:rsidR="0029177E">
        <w:t xml:space="preserve"> 2030/31, and the estimated </w:t>
      </w:r>
      <w:r w:rsidR="006E2C6B">
        <w:t>growth in</w:t>
      </w:r>
      <w:r w:rsidR="00367505">
        <w:t xml:space="preserve"> the </w:t>
      </w:r>
      <w:r w:rsidR="006E2C6B">
        <w:t>delivery</w:t>
      </w:r>
      <w:r>
        <w:t xml:space="preserve"> of education </w:t>
      </w:r>
      <w:r w:rsidR="006E2C6B">
        <w:t>session</w:t>
      </w:r>
      <w:r w:rsidR="0093689E">
        <w:t>s</w:t>
      </w:r>
      <w:r w:rsidR="006E2C6B">
        <w:t xml:space="preserve"> based on the </w:t>
      </w:r>
      <w:r w:rsidR="00E06178">
        <w:t>increase in funding for NACAP services</w:t>
      </w:r>
      <w:r w:rsidR="0093689E">
        <w:t>.</w:t>
      </w:r>
    </w:p>
    <w:p w14:paraId="61A86E83" w14:textId="550C5402" w:rsidR="005402D6" w:rsidRDefault="005402D6" w:rsidP="00280131">
      <w:r>
        <w:t xml:space="preserve">It should be noted that COVID-19 has had a significant impact on the </w:t>
      </w:r>
      <w:r w:rsidR="003E63EC">
        <w:t xml:space="preserve">ability of SDOs to deliver education sessions. </w:t>
      </w:r>
      <w:r w:rsidR="00A663B5">
        <w:t xml:space="preserve">Lockdowns and a tightening of </w:t>
      </w:r>
      <w:r w:rsidR="006104D2">
        <w:t xml:space="preserve">visitational rules at residential aged care facilities mean that both residential and community education sessions </w:t>
      </w:r>
      <w:r w:rsidR="00C50B44">
        <w:t>have been</w:t>
      </w:r>
      <w:r w:rsidR="006104D2">
        <w:t xml:space="preserve"> affected.</w:t>
      </w:r>
      <w:r w:rsidR="00C50B44">
        <w:t xml:space="preserve"> This is reflected in the </w:t>
      </w:r>
      <w:r w:rsidR="004E1BED">
        <w:t>figures reported below for the COVID-affected year of 2019/20.</w:t>
      </w:r>
    </w:p>
    <w:p w14:paraId="51C9DF6F" w14:textId="60129AFD" w:rsidR="007D4ACD" w:rsidRPr="00754FEB" w:rsidRDefault="007D4ACD" w:rsidP="007D4ACD">
      <w:pPr>
        <w:pStyle w:val="Heading3"/>
        <w:ind w:left="1021"/>
      </w:pPr>
      <w:bookmarkStart w:id="131" w:name="_Toc99437513"/>
      <w:r>
        <w:t>Education sessions in residential aged care facilities</w:t>
      </w:r>
      <w:bookmarkEnd w:id="131"/>
    </w:p>
    <w:p w14:paraId="35232657" w14:textId="0B3F04E9" w:rsidR="0093689E" w:rsidRDefault="00D75898" w:rsidP="00280131">
      <w:r>
        <w:t xml:space="preserve">The total number of residential aged care facilities for 2020/21 was 2,695 based on </w:t>
      </w:r>
      <w:r w:rsidR="005E62D9">
        <w:t>GEN Aged Care</w:t>
      </w:r>
      <w:r>
        <w:t xml:space="preserve"> data</w:t>
      </w:r>
      <w:r w:rsidR="005E62D9">
        <w:t>.</w:t>
      </w:r>
      <w:r w:rsidR="004D0C36">
        <w:t xml:space="preserve"> </w:t>
      </w:r>
      <w:r w:rsidR="00DB67FA">
        <w:t xml:space="preserve">Consultations with </w:t>
      </w:r>
      <w:r w:rsidR="004D0C36">
        <w:t xml:space="preserve">SDOs </w:t>
      </w:r>
      <w:r w:rsidR="00DB67FA">
        <w:t xml:space="preserve">indicated </w:t>
      </w:r>
      <w:r w:rsidR="004D0C36">
        <w:t xml:space="preserve">a soft target </w:t>
      </w:r>
      <w:r w:rsidR="0075690A">
        <w:t xml:space="preserve">set by the SDOs was </w:t>
      </w:r>
      <w:r w:rsidR="004D0C36">
        <w:t>to visit each facility at least twice per year</w:t>
      </w:r>
      <w:r w:rsidR="0075690A">
        <w:t xml:space="preserve">, and </w:t>
      </w:r>
      <w:r w:rsidR="005F7150">
        <w:t xml:space="preserve">four </w:t>
      </w:r>
      <w:r w:rsidR="0075690A">
        <w:t xml:space="preserve">times per year </w:t>
      </w:r>
      <w:r w:rsidR="00F6640E">
        <w:t>if possible</w:t>
      </w:r>
      <w:r w:rsidR="0075690A">
        <w:t xml:space="preserve">. </w:t>
      </w:r>
      <w:r w:rsidR="006779E1">
        <w:t>A conservative assumption of 2 visits per year</w:t>
      </w:r>
      <w:r w:rsidR="004D0C36">
        <w:t xml:space="preserve"> results in </w:t>
      </w:r>
      <w:r w:rsidR="007F4889">
        <w:t xml:space="preserve">5,390 sessions delivered per year across all residential aged care facilities. </w:t>
      </w:r>
      <w:r w:rsidR="003A2A1F">
        <w:t>This compares to t</w:t>
      </w:r>
      <w:r w:rsidR="007F4889">
        <w:t xml:space="preserve">he </w:t>
      </w:r>
      <w:r w:rsidR="003A2A1F">
        <w:t xml:space="preserve">current </w:t>
      </w:r>
      <w:r w:rsidR="00DC116D">
        <w:t xml:space="preserve">number of </w:t>
      </w:r>
      <w:r w:rsidR="00A84ABE">
        <w:t>actual education</w:t>
      </w:r>
      <w:r w:rsidR="00DC116D">
        <w:t xml:space="preserve"> sessions delivered </w:t>
      </w:r>
      <w:r w:rsidR="002018E5">
        <w:t xml:space="preserve">in residential aged care facilities </w:t>
      </w:r>
      <w:r w:rsidR="00DC116D">
        <w:t xml:space="preserve">nationally </w:t>
      </w:r>
      <w:r w:rsidR="003A2A1F">
        <w:t>of</w:t>
      </w:r>
      <w:r w:rsidR="00A84ABE">
        <w:t xml:space="preserve"> 951 </w:t>
      </w:r>
      <w:r w:rsidR="00DC116D">
        <w:t>in 2020/21</w:t>
      </w:r>
      <w:r w:rsidR="00A84ABE">
        <w:t xml:space="preserve">, </w:t>
      </w:r>
      <w:r w:rsidR="005B38D6">
        <w:t xml:space="preserve">1,112 in </w:t>
      </w:r>
      <w:r w:rsidR="0030705F">
        <w:t>2019/20 and 1,553 in 20</w:t>
      </w:r>
      <w:r w:rsidR="0021449C">
        <w:t>18/</w:t>
      </w:r>
      <w:r w:rsidR="00907C65">
        <w:t>19</w:t>
      </w:r>
      <w:r w:rsidR="0021449C">
        <w:t xml:space="preserve">. </w:t>
      </w:r>
      <w:r w:rsidR="00870030">
        <w:t>This is 18-29% of the sessions necessary to conduct two sessions per year per facility.</w:t>
      </w:r>
    </w:p>
    <w:p w14:paraId="39C7B811" w14:textId="3D1E9F9D" w:rsidR="007D4ACD" w:rsidRPr="00754FEB" w:rsidRDefault="007D4ACD" w:rsidP="007D4ACD">
      <w:pPr>
        <w:pStyle w:val="Heading3"/>
        <w:ind w:left="1021"/>
      </w:pPr>
      <w:bookmarkStart w:id="132" w:name="_Toc99437514"/>
      <w:r>
        <w:t>Education sessions in community care</w:t>
      </w:r>
      <w:bookmarkEnd w:id="132"/>
    </w:p>
    <w:p w14:paraId="1E116E3B" w14:textId="5C0A1E73" w:rsidR="008F3A0B" w:rsidRDefault="00FB69D7" w:rsidP="00280131">
      <w:r w:rsidRPr="007D4ACD">
        <w:t>E</w:t>
      </w:r>
      <w:r w:rsidR="001C0D6E" w:rsidRPr="007D4ACD">
        <w:t xml:space="preserve">ducation sessions </w:t>
      </w:r>
      <w:r w:rsidR="00DE2802" w:rsidRPr="007D4ACD">
        <w:t xml:space="preserve">in </w:t>
      </w:r>
      <w:r w:rsidR="00BF3B5B" w:rsidRPr="007D4ACD">
        <w:t xml:space="preserve">community care </w:t>
      </w:r>
      <w:r w:rsidR="006611F4">
        <w:t>are harder to estimate</w:t>
      </w:r>
      <w:r w:rsidR="0008459A">
        <w:t xml:space="preserve"> due to</w:t>
      </w:r>
      <w:r w:rsidR="00BF3B5B" w:rsidRPr="007D4ACD">
        <w:t xml:space="preserve"> </w:t>
      </w:r>
      <w:r w:rsidR="00124EC6">
        <w:t>variations in settings of deliver</w:t>
      </w:r>
      <w:r w:rsidR="00DD0582">
        <w:t xml:space="preserve">y. </w:t>
      </w:r>
      <w:r w:rsidR="00E15043">
        <w:t xml:space="preserve">Sessions in the community </w:t>
      </w:r>
      <w:r w:rsidRPr="007D4ACD">
        <w:t>were</w:t>
      </w:r>
      <w:r w:rsidR="00BF3B5B" w:rsidRPr="007D4ACD">
        <w:t xml:space="preserve"> estimated using a similar approach</w:t>
      </w:r>
      <w:r w:rsidR="007E2051" w:rsidRPr="007D4ACD">
        <w:t xml:space="preserve">, </w:t>
      </w:r>
      <w:r w:rsidR="00A5461F">
        <w:t>using</w:t>
      </w:r>
      <w:r w:rsidR="00201A57" w:rsidRPr="007D4ACD">
        <w:t xml:space="preserve"> the total number of community care recipients. </w:t>
      </w:r>
      <w:r w:rsidRPr="007D4ACD">
        <w:t xml:space="preserve">The </w:t>
      </w:r>
      <w:r w:rsidR="00121701" w:rsidRPr="007D4ACD">
        <w:t xml:space="preserve">number of education sessions delivered nationally across all SDOs was </w:t>
      </w:r>
      <w:r w:rsidR="003043C2" w:rsidRPr="007D4ACD">
        <w:t xml:space="preserve">359 in 2020/21, 446 in 2019/20 and </w:t>
      </w:r>
      <w:r w:rsidR="00BD1882" w:rsidRPr="007D4ACD">
        <w:t xml:space="preserve">557 in </w:t>
      </w:r>
      <w:r w:rsidR="001C0C8A" w:rsidRPr="007D4ACD">
        <w:t>2018/19</w:t>
      </w:r>
      <w:r w:rsidR="00213DB2">
        <w:t xml:space="preserve"> as reflected in OPAN reports</w:t>
      </w:r>
      <w:r w:rsidR="001C0C8A" w:rsidRPr="007D4ACD">
        <w:t xml:space="preserve">. </w:t>
      </w:r>
      <w:r w:rsidR="00C47799">
        <w:t xml:space="preserve">Assuming there are </w:t>
      </w:r>
      <w:r w:rsidR="00F15502">
        <w:t>on</w:t>
      </w:r>
      <w:r w:rsidR="00C47799">
        <w:t xml:space="preserve"> average </w:t>
      </w:r>
      <w:r w:rsidR="00F15502">
        <w:t>22</w:t>
      </w:r>
      <w:r w:rsidR="00C47799">
        <w:t xml:space="preserve"> attendees per session in community care </w:t>
      </w:r>
      <w:r w:rsidR="00F15502">
        <w:t>(</w:t>
      </w:r>
      <w:r w:rsidR="00C47799">
        <w:t>based on OPAN unit record data</w:t>
      </w:r>
      <w:r w:rsidR="00F15502">
        <w:t>)</w:t>
      </w:r>
      <w:r w:rsidR="006F37D3">
        <w:t xml:space="preserve">, this is </w:t>
      </w:r>
      <w:r w:rsidR="00F15502">
        <w:t xml:space="preserve">currently </w:t>
      </w:r>
      <w:r w:rsidR="006F37D3">
        <w:t xml:space="preserve">reaching </w:t>
      </w:r>
      <w:r w:rsidR="00F15502">
        <w:t>5.3</w:t>
      </w:r>
      <w:r w:rsidR="006F37D3">
        <w:t>% of</w:t>
      </w:r>
      <w:r w:rsidR="00817E49">
        <w:t xml:space="preserve"> community care recipients.</w:t>
      </w:r>
    </w:p>
    <w:p w14:paraId="10F0E3F0" w14:textId="5C5AA0E0" w:rsidR="00F07739" w:rsidRDefault="00C852E1" w:rsidP="00624397">
      <w:pPr>
        <w:pStyle w:val="Heading2"/>
      </w:pPr>
      <w:bookmarkStart w:id="133" w:name="_Toc99437515"/>
      <w:r w:rsidRPr="00624397">
        <w:t>Supply</w:t>
      </w:r>
      <w:bookmarkEnd w:id="130"/>
      <w:bookmarkEnd w:id="133"/>
    </w:p>
    <w:p w14:paraId="0EFA9425" w14:textId="79ED3C83" w:rsidR="00EF5521" w:rsidRDefault="00E121DB" w:rsidP="009F3844">
      <w:r>
        <w:t xml:space="preserve">The supply analysis was largely qualitative due to data limitations. OPAN, SDOs and other relevant stakeholders were consulted to gain insights into the key challenges affecting the supply for aged care advocacy. The focus was on the factors that </w:t>
      </w:r>
      <w:r w:rsidR="000F2143">
        <w:t xml:space="preserve">affect service delivery. </w:t>
      </w:r>
      <w:r w:rsidR="00471091">
        <w:t xml:space="preserve">Other factors </w:t>
      </w:r>
      <w:r w:rsidR="002E7CB7">
        <w:t>relating to supply, such as government funding and program requirements (as defined by government), were not explored.</w:t>
      </w:r>
    </w:p>
    <w:p w14:paraId="39784986" w14:textId="108F2C6F" w:rsidR="00F07739" w:rsidRPr="00683171" w:rsidRDefault="00005832" w:rsidP="00683171">
      <w:pPr>
        <w:rPr>
          <w:lang w:val="en-GB"/>
        </w:rPr>
      </w:pPr>
      <w:r>
        <w:rPr>
          <w:lang w:val="en-GB"/>
        </w:rPr>
        <w:t xml:space="preserve">The supply component also involved the development of a program logic. This identifies </w:t>
      </w:r>
      <w:r w:rsidR="003336D8">
        <w:rPr>
          <w:lang w:val="en-GB"/>
        </w:rPr>
        <w:t xml:space="preserve">relevant </w:t>
      </w:r>
      <w:r w:rsidR="00D85A39">
        <w:rPr>
          <w:lang w:val="en-GB"/>
        </w:rPr>
        <w:t xml:space="preserve">performance measures to monitor and evaluate the effectiveness and outcomes of </w:t>
      </w:r>
      <w:r>
        <w:rPr>
          <w:lang w:val="en-GB"/>
        </w:rPr>
        <w:t>the NACAP.</w:t>
      </w:r>
      <w:r w:rsidR="00D85A39">
        <w:rPr>
          <w:lang w:val="en-GB"/>
        </w:rPr>
        <w:t xml:space="preserve"> The program logic was developed </w:t>
      </w:r>
      <w:r w:rsidR="00D85A39">
        <w:t>collaboratively with the Department of Health, OPAN and other key stakeholders</w:t>
      </w:r>
      <w:r w:rsidR="00663036">
        <w:t xml:space="preserve"> in the </w:t>
      </w:r>
      <w:r w:rsidR="00660AC9">
        <w:t>PGG</w:t>
      </w:r>
      <w:r w:rsidR="005C0A07">
        <w:t>. It drew on</w:t>
      </w:r>
      <w:r w:rsidR="00D85A39">
        <w:t xml:space="preserve"> information from the expanded NACAP framework, feedback from the stakeholders during the methodology </w:t>
      </w:r>
      <w:r w:rsidR="00E9249E">
        <w:t>workshop</w:t>
      </w:r>
      <w:r w:rsidR="00D85A39">
        <w:t>, and the existing program logic framework provided by OPAN.</w:t>
      </w:r>
      <w:r w:rsidR="00F07739">
        <w:br w:type="page"/>
      </w:r>
    </w:p>
    <w:p w14:paraId="0E5017BB" w14:textId="7F3BC17A" w:rsidR="0031686D" w:rsidRDefault="00464633" w:rsidP="00EA253E">
      <w:pPr>
        <w:pStyle w:val="Heading1"/>
      </w:pPr>
      <w:bookmarkStart w:id="134" w:name="_Toc94771836"/>
      <w:bookmarkStart w:id="135" w:name="_Toc99437516"/>
      <w:bookmarkStart w:id="136" w:name="_Ref94211875"/>
      <w:bookmarkEnd w:id="88"/>
      <w:r>
        <w:t>Current d</w:t>
      </w:r>
      <w:r w:rsidR="0031686D">
        <w:t>emand for the NACAP</w:t>
      </w:r>
      <w:bookmarkEnd w:id="134"/>
      <w:bookmarkEnd w:id="135"/>
    </w:p>
    <w:p w14:paraId="500A7878" w14:textId="21D7E045" w:rsidR="009C5887" w:rsidRDefault="001F68A6" w:rsidP="009C5887">
      <w:pPr>
        <w:rPr>
          <w:lang w:eastAsia="en-AU"/>
        </w:rPr>
      </w:pPr>
      <w:r>
        <w:t xml:space="preserve">The purpose of the demand analysis is to develop a detailed understanding of the </w:t>
      </w:r>
      <w:r w:rsidR="009E3D93">
        <w:t xml:space="preserve">demand of </w:t>
      </w:r>
      <w:r w:rsidR="00885BA1">
        <w:t xml:space="preserve">current </w:t>
      </w:r>
      <w:r w:rsidR="00660AC9">
        <w:t>users and</w:t>
      </w:r>
      <w:r w:rsidR="00394470">
        <w:t xml:space="preserve"> </w:t>
      </w:r>
      <w:r w:rsidR="00344184">
        <w:t>provide insights into</w:t>
      </w:r>
      <w:r w:rsidR="009C2011">
        <w:t xml:space="preserve"> the </w:t>
      </w:r>
      <w:r w:rsidR="009675FE">
        <w:t xml:space="preserve">current </w:t>
      </w:r>
      <w:r w:rsidR="00F05F1B">
        <w:t>unmet demand for the</w:t>
      </w:r>
      <w:r w:rsidR="007F1108">
        <w:t xml:space="preserve"> </w:t>
      </w:r>
      <w:r w:rsidR="003919DB">
        <w:t>NACAP</w:t>
      </w:r>
      <w:r w:rsidR="009D4AB4" w:rsidDel="00394470">
        <w:t>.</w:t>
      </w:r>
      <w:r w:rsidR="009D4AB4">
        <w:t xml:space="preserve"> </w:t>
      </w:r>
      <w:r w:rsidR="009C5887">
        <w:rPr>
          <w:lang w:eastAsia="en-AU"/>
        </w:rPr>
        <w:t>The current demand for NACAP services consists of the current met and unmet demand for NACAP in FY-2020/21.</w:t>
      </w:r>
      <w:r w:rsidR="00D8361E">
        <w:rPr>
          <w:lang w:eastAsia="en-AU"/>
        </w:rPr>
        <w:t xml:space="preserve"> </w:t>
      </w:r>
      <w:r w:rsidR="00A445B0" w:rsidRPr="00A445B0">
        <w:rPr>
          <w:lang w:eastAsia="en-AU"/>
        </w:rPr>
        <w:t xml:space="preserve">Current met demand is the </w:t>
      </w:r>
      <w:r w:rsidR="00771944">
        <w:rPr>
          <w:lang w:eastAsia="en-AU"/>
        </w:rPr>
        <w:t xml:space="preserve">demand for </w:t>
      </w:r>
      <w:r w:rsidR="00A445B0" w:rsidRPr="00A445B0">
        <w:rPr>
          <w:lang w:eastAsia="en-AU"/>
        </w:rPr>
        <w:t xml:space="preserve">services </w:t>
      </w:r>
      <w:r w:rsidR="001304BB">
        <w:rPr>
          <w:lang w:eastAsia="en-AU"/>
        </w:rPr>
        <w:t xml:space="preserve">that were </w:t>
      </w:r>
      <w:r w:rsidR="00414672">
        <w:rPr>
          <w:lang w:eastAsia="en-AU"/>
        </w:rPr>
        <w:t xml:space="preserve">delivered </w:t>
      </w:r>
      <w:r w:rsidR="009B4FF3">
        <w:rPr>
          <w:lang w:eastAsia="en-AU"/>
        </w:rPr>
        <w:t>through</w:t>
      </w:r>
      <w:r w:rsidR="00A445B0" w:rsidRPr="00A445B0">
        <w:rPr>
          <w:lang w:eastAsia="en-AU"/>
        </w:rPr>
        <w:t xml:space="preserve"> </w:t>
      </w:r>
      <w:r w:rsidR="00771944">
        <w:rPr>
          <w:lang w:eastAsia="en-AU"/>
        </w:rPr>
        <w:t>the NACAP</w:t>
      </w:r>
      <w:r w:rsidR="00A445B0" w:rsidRPr="00A445B0">
        <w:rPr>
          <w:lang w:eastAsia="en-AU"/>
        </w:rPr>
        <w:t xml:space="preserve">. Current unmet demand is the demand </w:t>
      </w:r>
      <w:r w:rsidR="001304BB">
        <w:rPr>
          <w:lang w:eastAsia="en-AU"/>
        </w:rPr>
        <w:t xml:space="preserve">for services </w:t>
      </w:r>
      <w:r w:rsidR="00A445B0" w:rsidRPr="00A445B0">
        <w:rPr>
          <w:lang w:eastAsia="en-AU"/>
        </w:rPr>
        <w:t xml:space="preserve">that has not been satisfied by </w:t>
      </w:r>
      <w:r w:rsidR="001304BB">
        <w:rPr>
          <w:lang w:eastAsia="en-AU"/>
        </w:rPr>
        <w:t>the NACAP</w:t>
      </w:r>
      <w:r w:rsidR="00A445B0" w:rsidRPr="00A445B0">
        <w:rPr>
          <w:lang w:eastAsia="en-AU"/>
        </w:rPr>
        <w:t>, due to supply restrictions or unknown demand.</w:t>
      </w:r>
      <w:r w:rsidR="00B84EB5">
        <w:rPr>
          <w:lang w:eastAsia="en-AU"/>
        </w:rPr>
        <w:t xml:space="preserve"> </w:t>
      </w:r>
      <w:r w:rsidR="00F100F6">
        <w:rPr>
          <w:lang w:eastAsia="en-AU"/>
        </w:rPr>
        <w:t>Consultations</w:t>
      </w:r>
      <w:r w:rsidR="00B84EB5">
        <w:rPr>
          <w:lang w:eastAsia="en-AU"/>
        </w:rPr>
        <w:t xml:space="preserve"> </w:t>
      </w:r>
      <w:r w:rsidR="00347C04">
        <w:rPr>
          <w:lang w:eastAsia="en-AU"/>
        </w:rPr>
        <w:t xml:space="preserve">with stakeholders and desktop research </w:t>
      </w:r>
      <w:r w:rsidR="00C027D2">
        <w:rPr>
          <w:lang w:eastAsia="en-AU"/>
        </w:rPr>
        <w:t xml:space="preserve">revealed </w:t>
      </w:r>
      <w:r w:rsidR="00851446">
        <w:rPr>
          <w:lang w:eastAsia="en-AU"/>
        </w:rPr>
        <w:t xml:space="preserve">the challenges </w:t>
      </w:r>
      <w:r w:rsidR="00C2622B">
        <w:rPr>
          <w:lang w:eastAsia="en-AU"/>
        </w:rPr>
        <w:t xml:space="preserve">that </w:t>
      </w:r>
      <w:r w:rsidR="00851446">
        <w:rPr>
          <w:lang w:eastAsia="en-AU"/>
        </w:rPr>
        <w:t xml:space="preserve">exist </w:t>
      </w:r>
      <w:r w:rsidR="00C2622B">
        <w:rPr>
          <w:lang w:eastAsia="en-AU"/>
        </w:rPr>
        <w:t>in</w:t>
      </w:r>
      <w:r w:rsidR="00851446">
        <w:rPr>
          <w:lang w:eastAsia="en-AU"/>
        </w:rPr>
        <w:t xml:space="preserve"> preventing </w:t>
      </w:r>
      <w:r w:rsidR="00D00013">
        <w:rPr>
          <w:lang w:eastAsia="en-AU"/>
        </w:rPr>
        <w:t>access</w:t>
      </w:r>
      <w:r w:rsidR="00A35ACE">
        <w:rPr>
          <w:lang w:eastAsia="en-AU"/>
        </w:rPr>
        <w:t xml:space="preserve"> to </w:t>
      </w:r>
      <w:r w:rsidR="007A779D">
        <w:rPr>
          <w:lang w:eastAsia="en-AU"/>
        </w:rPr>
        <w:t xml:space="preserve">the </w:t>
      </w:r>
      <w:r w:rsidR="00A35ACE">
        <w:rPr>
          <w:lang w:eastAsia="en-AU"/>
        </w:rPr>
        <w:t>NACAP</w:t>
      </w:r>
      <w:r w:rsidR="00F100F6">
        <w:rPr>
          <w:lang w:eastAsia="en-AU"/>
        </w:rPr>
        <w:t>, contributing to unmet demand</w:t>
      </w:r>
      <w:r w:rsidR="00D00013">
        <w:rPr>
          <w:lang w:eastAsia="en-AU"/>
        </w:rPr>
        <w:t>.</w:t>
      </w:r>
    </w:p>
    <w:p w14:paraId="27E8258F" w14:textId="0EB00995" w:rsidR="008C16DC" w:rsidRDefault="00865E27" w:rsidP="004A7262">
      <w:pPr>
        <w:pStyle w:val="Heading2"/>
      </w:pPr>
      <w:bookmarkStart w:id="137" w:name="_Ref94696161"/>
      <w:bookmarkStart w:id="138" w:name="_Toc94771837"/>
      <w:bookmarkStart w:id="139" w:name="_Toc99437517"/>
      <w:r>
        <w:t xml:space="preserve">Current </w:t>
      </w:r>
      <w:r w:rsidR="009C5887">
        <w:t xml:space="preserve">met </w:t>
      </w:r>
      <w:r>
        <w:t>demand</w:t>
      </w:r>
      <w:bookmarkEnd w:id="136"/>
      <w:bookmarkEnd w:id="137"/>
      <w:bookmarkEnd w:id="138"/>
      <w:bookmarkEnd w:id="139"/>
    </w:p>
    <w:p w14:paraId="01530D25" w14:textId="11ACD6FA" w:rsidR="000839A7" w:rsidRPr="00C97620" w:rsidRDefault="00925993" w:rsidP="0038083D">
      <w:pPr>
        <w:pStyle w:val="Heading3"/>
        <w:ind w:left="993" w:hanging="993"/>
      </w:pPr>
      <w:bookmarkStart w:id="140" w:name="_Toc94771838"/>
      <w:bookmarkStart w:id="141" w:name="_Toc99437518"/>
      <w:r>
        <w:t>Overall u</w:t>
      </w:r>
      <w:r w:rsidR="00533517" w:rsidRPr="00BC2FED">
        <w:t>sage of NACAP services in 2020/21</w:t>
      </w:r>
      <w:bookmarkEnd w:id="140"/>
      <w:bookmarkEnd w:id="141"/>
    </w:p>
    <w:p w14:paraId="259BA0B0" w14:textId="71C37AB9" w:rsidR="00BF7998" w:rsidRDefault="00BF7998" w:rsidP="0047038C">
      <w:r w:rsidRPr="006B073F">
        <w:t xml:space="preserve">Based on the </w:t>
      </w:r>
      <w:r w:rsidRPr="00EA253E">
        <w:t xml:space="preserve">OPAN progress report </w:t>
      </w:r>
      <w:r w:rsidR="006E2565">
        <w:t xml:space="preserve">data </w:t>
      </w:r>
      <w:r w:rsidRPr="009E5286">
        <w:t>for 2020/21,</w:t>
      </w:r>
      <w:r>
        <w:t xml:space="preserve"> 11,849 cases of information</w:t>
      </w:r>
      <w:r w:rsidR="00C6771D">
        <w:t>,</w:t>
      </w:r>
      <w:r w:rsidRPr="009E5286">
        <w:t xml:space="preserve"> </w:t>
      </w:r>
      <w:r w:rsidRPr="00EA253E">
        <w:t>8,826 cases of advocacy</w:t>
      </w:r>
      <w:r w:rsidR="00C6771D">
        <w:t xml:space="preserve">, and 1,310 sessions of education </w:t>
      </w:r>
      <w:r w:rsidRPr="009E5286">
        <w:t>were delivered nationally</w:t>
      </w:r>
      <w:r w:rsidR="00900F02">
        <w:t xml:space="preserve"> (see </w:t>
      </w:r>
      <w:r w:rsidR="00A11607">
        <w:fldChar w:fldCharType="begin"/>
      </w:r>
      <w:r w:rsidR="00A11607">
        <w:instrText xml:space="preserve"> REF _Ref94596658 \r \h </w:instrText>
      </w:r>
      <w:r w:rsidR="00A11607">
        <w:fldChar w:fldCharType="separate"/>
      </w:r>
      <w:r w:rsidR="00DC6A20">
        <w:t>Chart 3.1</w:t>
      </w:r>
      <w:r w:rsidR="00A11607">
        <w:fldChar w:fldCharType="end"/>
      </w:r>
      <w:r w:rsidR="00D34EB1">
        <w:t>).</w:t>
      </w:r>
      <w:r w:rsidR="00DA1D21">
        <w:t xml:space="preserve"> </w:t>
      </w:r>
      <w:r w:rsidR="002E4750">
        <w:t>A case</w:t>
      </w:r>
      <w:r w:rsidR="00AF67FA">
        <w:t xml:space="preserve"> refers to </w:t>
      </w:r>
      <w:r w:rsidR="00A22729">
        <w:t xml:space="preserve">one instance of </w:t>
      </w:r>
      <w:r w:rsidR="00B23D86">
        <w:t>service</w:t>
      </w:r>
      <w:r w:rsidR="00A43CE2">
        <w:t xml:space="preserve"> </w:t>
      </w:r>
      <w:r w:rsidR="00063C4A">
        <w:t xml:space="preserve">delivered </w:t>
      </w:r>
      <w:r w:rsidR="00A43CE2">
        <w:t>to a user, while a session refers to</w:t>
      </w:r>
      <w:r w:rsidR="00557812">
        <w:t xml:space="preserve"> </w:t>
      </w:r>
      <w:r w:rsidR="005608D0">
        <w:t xml:space="preserve">education being delivered </w:t>
      </w:r>
      <w:r w:rsidR="00CC2C74">
        <w:t xml:space="preserve">to </w:t>
      </w:r>
      <w:r w:rsidR="00030E78">
        <w:t>multiple attendees</w:t>
      </w:r>
      <w:r w:rsidR="00FA535A">
        <w:t>.</w:t>
      </w:r>
      <w:r w:rsidR="00EA5047">
        <w:rPr>
          <w:rStyle w:val="FootnoteReference"/>
        </w:rPr>
        <w:footnoteReference w:id="3"/>
      </w:r>
    </w:p>
    <w:p w14:paraId="24C739D2" w14:textId="310E9DEF" w:rsidR="00A72387" w:rsidRPr="0047038C" w:rsidRDefault="00A72387" w:rsidP="00BA4C5B">
      <w:pPr>
        <w:pStyle w:val="CaptionChart"/>
        <w:ind w:left="0"/>
      </w:pPr>
      <w:bookmarkStart w:id="142" w:name="_Ref94596658"/>
      <w:bookmarkStart w:id="143" w:name="_Toc94776580"/>
      <w:bookmarkStart w:id="144" w:name="_Toc99117036"/>
      <w:r>
        <w:t xml:space="preserve">: </w:t>
      </w:r>
      <w:r w:rsidR="00E124E5">
        <w:t>I</w:t>
      </w:r>
      <w:r w:rsidRPr="00FA66E6">
        <w:t>nformation</w:t>
      </w:r>
      <w:r>
        <w:t xml:space="preserve">, advocacy, and education </w:t>
      </w:r>
      <w:r w:rsidR="00FA66E6" w:rsidRPr="006F1B76">
        <w:t>over 2018/19 to</w:t>
      </w:r>
      <w:r>
        <w:t xml:space="preserve"> 2020/21</w:t>
      </w:r>
      <w:bookmarkEnd w:id="142"/>
      <w:bookmarkEnd w:id="143"/>
      <w:bookmarkEnd w:id="144"/>
    </w:p>
    <w:p w14:paraId="6F221F6F" w14:textId="556D99CC" w:rsidR="00D46A1B" w:rsidRDefault="00996BC8" w:rsidP="00EA253E">
      <w:pPr>
        <w:rPr>
          <w:highlight w:val="cyan"/>
        </w:rPr>
      </w:pPr>
      <w:r>
        <w:rPr>
          <w:noProof/>
        </w:rPr>
        <w:drawing>
          <wp:inline distT="0" distB="0" distL="0" distR="0" wp14:anchorId="409C0A8F" wp14:editId="3314B466">
            <wp:extent cx="5029200" cy="2756535"/>
            <wp:effectExtent l="0" t="0" r="0" b="0"/>
            <wp:docPr id="19" name="Chart 19" descr="Use of information and advocacy services have increased constantly over time, education services have decreased.">
              <a:extLst xmlns:a="http://schemas.openxmlformats.org/drawingml/2006/main">
                <a:ext uri="{FF2B5EF4-FFF2-40B4-BE49-F238E27FC236}">
                  <a16:creationId xmlns:a16="http://schemas.microsoft.com/office/drawing/2014/main" id="{BE85C249-B990-4DE8-9DDE-836ECFFEC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DB184D6" w14:textId="4A20DE72" w:rsidR="009B610F" w:rsidRPr="00683171" w:rsidRDefault="006B2C1B" w:rsidP="009B610F">
      <w:pPr>
        <w:pStyle w:val="Caption"/>
        <w:rPr>
          <w:szCs w:val="22"/>
        </w:rPr>
      </w:pPr>
      <w:r w:rsidRPr="00683171">
        <w:rPr>
          <w:szCs w:val="22"/>
        </w:rPr>
        <w:t xml:space="preserve">Source: </w:t>
      </w:r>
      <w:r w:rsidR="00A977CA" w:rsidRPr="00683171">
        <w:rPr>
          <w:szCs w:val="22"/>
        </w:rPr>
        <w:t xml:space="preserve">Data extract based on </w:t>
      </w:r>
      <w:r w:rsidR="00236400" w:rsidRPr="00683171">
        <w:rPr>
          <w:szCs w:val="22"/>
        </w:rPr>
        <w:t>OPAN Progress report</w:t>
      </w:r>
      <w:r w:rsidR="00A977CA" w:rsidRPr="00683171">
        <w:rPr>
          <w:szCs w:val="22"/>
        </w:rPr>
        <w:t>s</w:t>
      </w:r>
    </w:p>
    <w:p w14:paraId="3D1261EB" w14:textId="5C02D48D" w:rsidR="007B00AC" w:rsidRDefault="001C699B" w:rsidP="005338CB">
      <w:r>
        <w:t>Information and advocacy</w:t>
      </w:r>
      <w:r w:rsidR="00E124E5">
        <w:t xml:space="preserve"> cases steadily increased over time</w:t>
      </w:r>
      <w:r w:rsidR="003E3CD8">
        <w:t xml:space="preserve">; however, education </w:t>
      </w:r>
      <w:r w:rsidR="000E09DD">
        <w:t xml:space="preserve">sessions </w:t>
      </w:r>
      <w:r w:rsidR="003E3CD8">
        <w:t>decreased over the same period.</w:t>
      </w:r>
      <w:r>
        <w:t xml:space="preserve"> </w:t>
      </w:r>
      <w:r w:rsidR="00CC0FBC">
        <w:t>The redirection of education resources to information and advocacy and COVID-19 impacts on access to residential facilities</w:t>
      </w:r>
      <w:r w:rsidR="007B0DA5">
        <w:t xml:space="preserve"> both impacted on the NACAP’s ability to achieve its education targets. </w:t>
      </w:r>
      <w:r w:rsidR="00F733EE">
        <w:t xml:space="preserve">These constraints meant that </w:t>
      </w:r>
      <w:r w:rsidR="00332E50">
        <w:t>the NACAP reached 66% of its annual delivery target for 2021.</w:t>
      </w:r>
      <w:r w:rsidR="005338CB" w:rsidRPr="009B5223">
        <w:rPr>
          <w:rStyle w:val="EndnoteReference"/>
        </w:rPr>
        <w:endnoteReference w:id="17"/>
      </w:r>
      <w:r w:rsidR="0053006A">
        <w:rPr>
          <w:color w:val="FF0000"/>
        </w:rPr>
        <w:t xml:space="preserve"> </w:t>
      </w:r>
      <w:r w:rsidR="000E09DD" w:rsidRPr="006F1B76">
        <w:t>Box 3.1 outlines the impact of COVID-19 on aged care delivery across the sector</w:t>
      </w:r>
      <w:r w:rsidR="000E09DD">
        <w:t>.</w:t>
      </w:r>
    </w:p>
    <w:p w14:paraId="7E51459B" w14:textId="77777777" w:rsidR="006747DB" w:rsidRPr="006747DB" w:rsidRDefault="006747DB" w:rsidP="000A553B">
      <w:pPr>
        <w:pStyle w:val="Heading3un-numbered"/>
        <w:pBdr>
          <w:top w:val="single" w:sz="12" w:space="1" w:color="00A3E0"/>
          <w:left w:val="single" w:sz="12" w:space="4" w:color="00A3E0"/>
          <w:bottom w:val="single" w:sz="12" w:space="1" w:color="00A3E0"/>
          <w:right w:val="single" w:sz="12" w:space="4" w:color="00A3E0"/>
        </w:pBdr>
        <w:rPr>
          <w:lang w:val="en-GB"/>
        </w:rPr>
      </w:pPr>
      <w:r w:rsidRPr="006747DB">
        <w:rPr>
          <w:lang w:val="en-GB"/>
        </w:rPr>
        <w:t>Box 3.1: The impact of COVID-19 on aged care advocacy</w:t>
      </w:r>
    </w:p>
    <w:p w14:paraId="0EE84991" w14:textId="77777777" w:rsidR="006747DB" w:rsidRPr="006747DB" w:rsidRDefault="006747DB" w:rsidP="000A553B">
      <w:pPr>
        <w:pBdr>
          <w:top w:val="single" w:sz="12" w:space="1" w:color="00A3E0"/>
          <w:left w:val="single" w:sz="12" w:space="4" w:color="00A3E0"/>
          <w:bottom w:val="single" w:sz="12" w:space="1" w:color="00A3E0"/>
          <w:right w:val="single" w:sz="12" w:space="4" w:color="00A3E0"/>
        </w:pBdr>
      </w:pPr>
      <w:r w:rsidRPr="006747DB">
        <w:t xml:space="preserve">The COVID-19 pandemic is continuing to significantly affect the aged care sector. Major impacts have included: deaths of older people within residential aged care, family members being prevented from visiting residents, border controls causing pressure on an already strained workforce, and movements to rural areas leading to changes in service delivery models. Department of Health data reveals that, as of 28 January 2022, there were </w:t>
      </w:r>
      <w:r w:rsidRPr="006747DB">
        <w:rPr>
          <w:b/>
          <w:bCs/>
        </w:rPr>
        <w:t xml:space="preserve">657 </w:t>
      </w:r>
      <w:r w:rsidRPr="006747DB">
        <w:rPr>
          <w:b/>
        </w:rPr>
        <w:t>COVID-19 related deaths</w:t>
      </w:r>
      <w:r w:rsidRPr="006747DB">
        <w:t xml:space="preserve"> in residential aged care facilities since July </w:t>
      </w:r>
      <w:proofErr w:type="gramStart"/>
      <w:r w:rsidRPr="006747DB">
        <w:t>2021.</w:t>
      </w:r>
      <w:r w:rsidRPr="006747DB">
        <w:rPr>
          <w:vertAlign w:val="superscript"/>
        </w:rPr>
        <w:t>†</w:t>
      </w:r>
      <w:proofErr w:type="gramEnd"/>
    </w:p>
    <w:p w14:paraId="005AF5B4" w14:textId="77777777" w:rsidR="006747DB" w:rsidRPr="006747DB" w:rsidRDefault="006747DB" w:rsidP="000A553B">
      <w:pPr>
        <w:pBdr>
          <w:top w:val="single" w:sz="12" w:space="1" w:color="00A3E0"/>
          <w:left w:val="single" w:sz="12" w:space="4" w:color="00A3E0"/>
          <w:bottom w:val="single" w:sz="12" w:space="1" w:color="00A3E0"/>
          <w:right w:val="single" w:sz="12" w:space="4" w:color="00A3E0"/>
        </w:pBdr>
      </w:pPr>
      <w:r w:rsidRPr="006747DB">
        <w:t>COVID-19 lead to a spike in complaints to the Aged Care Quality and Safety Commission (ACQSC). There were 9,218 complaints made by aged care recipients in 2020/2021, compared with 7,816 in 2018/19 (the last financial year not affected by COVID-19). This represents an 18% increase in complaints across all care types. Common issues reported in residential aged care include the quality of food provided, treatment of pressure wounds, and the provision of medication. Home care complaints tend to revolve more around fees and charges, and what items they are eligible for in their package. Some of these challenges were exacerbated by the pandemic, especially as closures of facilities meant families were not able to visit residential aged care facilities.</w:t>
      </w:r>
    </w:p>
    <w:p w14:paraId="3C90AC71" w14:textId="77777777" w:rsidR="006747DB" w:rsidRPr="006747DB" w:rsidRDefault="006747DB" w:rsidP="000A553B">
      <w:pPr>
        <w:pBdr>
          <w:top w:val="single" w:sz="12" w:space="1" w:color="00A3E0"/>
          <w:left w:val="single" w:sz="12" w:space="4" w:color="00A3E0"/>
          <w:bottom w:val="single" w:sz="12" w:space="1" w:color="00A3E0"/>
          <w:right w:val="single" w:sz="12" w:space="4" w:color="00A3E0"/>
        </w:pBdr>
      </w:pPr>
      <w:r w:rsidRPr="006747DB">
        <w:t xml:space="preserve">COVID-19 lockdowns have also affected the way NACAP services are delivered. Restrictions on face-to-face meetings resulted in significant decreases in education sessions delivered during lockdowns, but sessions picked up once restrictions were removed. For the period between January and June 2021, OPAN was able to meet 90% of the target residential aged care cohort to deliver education sessions (645 sessions). However, full targets were not met due to some facilities continuing to restrict access to advocates even after state-wide lockdowns were lifted. </w:t>
      </w:r>
    </w:p>
    <w:p w14:paraId="153451C8" w14:textId="77777777" w:rsidR="006747DB" w:rsidRPr="006747DB" w:rsidRDefault="006747DB" w:rsidP="000A553B">
      <w:pPr>
        <w:pBdr>
          <w:top w:val="single" w:sz="12" w:space="1" w:color="00A3E0"/>
          <w:left w:val="single" w:sz="12" w:space="4" w:color="00A3E0"/>
          <w:bottom w:val="single" w:sz="12" w:space="1" w:color="00A3E0"/>
          <w:right w:val="single" w:sz="12" w:space="4" w:color="00A3E0"/>
        </w:pBdr>
      </w:pPr>
      <w:r w:rsidRPr="006747DB">
        <w:t>The pandemic has and continues to impact service delivery by SDOs. One example of this is the addition of vaccine webinars in January and February 2021. The vaccine webinars reportedly gathered a large and diverse viewer base, with 6,588 attending the first webinar and 2,608 attending the second. The audience consisted of older people, families, and representatives (26%); aged care workers (41%); community visitors (4%); and various other groups (29%).</w:t>
      </w:r>
    </w:p>
    <w:p w14:paraId="133228A5" w14:textId="77777777" w:rsidR="006747DB" w:rsidRPr="006747DB" w:rsidRDefault="006747DB" w:rsidP="000A553B">
      <w:pPr>
        <w:pBdr>
          <w:top w:val="single" w:sz="12" w:space="1" w:color="00A3E0"/>
          <w:left w:val="single" w:sz="12" w:space="4" w:color="00A3E0"/>
          <w:bottom w:val="single" w:sz="12" w:space="1" w:color="00A3E0"/>
          <w:right w:val="single" w:sz="12" w:space="4" w:color="00A3E0"/>
        </w:pBdr>
      </w:pPr>
      <w:r w:rsidRPr="006747DB">
        <w:t xml:space="preserve">The pivot towards virtual models of NACAP service delivery will likely be a lasting change, demanding more training and development for more mixed service delivery. Populations in rural and remote areas are likely to benefit from greater adoption of virtual delivery methods. This will be particularly important if the recent trend towards higher population growth in these areas continues. </w:t>
      </w:r>
    </w:p>
    <w:p w14:paraId="064E0442" w14:textId="77777777" w:rsidR="006747DB" w:rsidRPr="006747DB" w:rsidRDefault="006747DB" w:rsidP="000A553B">
      <w:pPr>
        <w:pBdr>
          <w:top w:val="single" w:sz="12" w:space="1" w:color="00A3E0"/>
          <w:left w:val="single" w:sz="12" w:space="4" w:color="00A3E0"/>
          <w:bottom w:val="single" w:sz="12" w:space="1" w:color="00A3E0"/>
          <w:right w:val="single" w:sz="12" w:space="4" w:color="00A3E0"/>
        </w:pBdr>
      </w:pPr>
      <w:r w:rsidRPr="006747DB">
        <w:t>COVID-19 is expected to have lasting impacts on the aged care sector. These impacts are not all apparent yet, but some are already affecting key aspects of the sector. The pandemic has impacted the way aged care operates from precautionary procedures to limit spread between staff and/or residents to direct impact on staffing availability as staff contract or are exposed to COVID-19. These lasting impacts may have flow-on effects on the demand for the NACAP services.</w:t>
      </w:r>
    </w:p>
    <w:p w14:paraId="7A0601EF" w14:textId="77777777" w:rsidR="006747DB" w:rsidRPr="006747DB" w:rsidRDefault="006747DB" w:rsidP="000A553B">
      <w:pPr>
        <w:pBdr>
          <w:top w:val="single" w:sz="12" w:space="1" w:color="00A3E0"/>
          <w:left w:val="single" w:sz="12" w:space="4" w:color="00A3E0"/>
          <w:bottom w:val="single" w:sz="12" w:space="1" w:color="00A3E0"/>
          <w:right w:val="single" w:sz="12" w:space="4" w:color="00A3E0"/>
        </w:pBdr>
        <w:rPr>
          <w:iCs/>
        </w:rPr>
      </w:pPr>
      <w:r w:rsidRPr="006747DB">
        <w:rPr>
          <w:iCs/>
          <w:vertAlign w:val="superscript"/>
        </w:rPr>
        <w:t>†</w:t>
      </w:r>
      <w:r w:rsidRPr="006747DB">
        <w:rPr>
          <w:iCs/>
        </w:rPr>
        <w:t>Source: Department of Health (2022), COVID-19 outbreaks in Australian residential aged care facilities – national snapshot; Aged Care Quality and Safety Commission (ACQSC) 2021, Sector Performance Data; insights from stakeholder consultation.</w:t>
      </w:r>
    </w:p>
    <w:p w14:paraId="205A4661" w14:textId="7192D692" w:rsidR="00767D38" w:rsidRPr="009B7DC1" w:rsidRDefault="003322FD" w:rsidP="00767D38">
      <w:r>
        <w:t>Information</w:t>
      </w:r>
      <w:r w:rsidR="00B8459C">
        <w:t xml:space="preserve"> and advocacy</w:t>
      </w:r>
      <w:r>
        <w:t xml:space="preserve"> cases also varied</w:t>
      </w:r>
      <w:r w:rsidR="002A4CB2">
        <w:t xml:space="preserve"> by SDO</w:t>
      </w:r>
      <w:r w:rsidR="000E1BAD">
        <w:t xml:space="preserve"> (see </w:t>
      </w:r>
      <w:r w:rsidR="00111DE6">
        <w:fldChar w:fldCharType="begin"/>
      </w:r>
      <w:r w:rsidR="00111DE6">
        <w:instrText xml:space="preserve"> REF _Ref94530858 \n \h </w:instrText>
      </w:r>
      <w:r w:rsidR="00111DE6">
        <w:fldChar w:fldCharType="separate"/>
      </w:r>
      <w:r w:rsidR="00DC6A20">
        <w:t>Chart 3.2</w:t>
      </w:r>
      <w:r w:rsidR="00111DE6">
        <w:fldChar w:fldCharType="end"/>
      </w:r>
      <w:r w:rsidR="000E1BAD">
        <w:t>)</w:t>
      </w:r>
      <w:r w:rsidR="002A4CB2">
        <w:t xml:space="preserve">. The distribution of cases across service types was varied. </w:t>
      </w:r>
      <w:r w:rsidR="00767D38" w:rsidRPr="009B7DC1">
        <w:t xml:space="preserve">By </w:t>
      </w:r>
      <w:r w:rsidR="00767D38">
        <w:t>s</w:t>
      </w:r>
      <w:r w:rsidR="00767D38" w:rsidRPr="009B7DC1">
        <w:t>tate, NSW (SRS), Vic (ERA) and Q</w:t>
      </w:r>
      <w:r w:rsidR="001107AF">
        <w:t>ueensland</w:t>
      </w:r>
      <w:r w:rsidR="00767D38" w:rsidRPr="009B7DC1">
        <w:t xml:space="preserve"> (ADA) delivered the highest number of information </w:t>
      </w:r>
      <w:r w:rsidR="00E1294D">
        <w:t>cases</w:t>
      </w:r>
      <w:r w:rsidR="0096775B" w:rsidRPr="0096775B">
        <w:t xml:space="preserve">, making up 60% of the sessions </w:t>
      </w:r>
      <w:r w:rsidR="00767D38">
        <w:t>in aggregate</w:t>
      </w:r>
      <w:r w:rsidR="0096775B" w:rsidRPr="0096775B">
        <w:t>.</w:t>
      </w:r>
      <w:r w:rsidR="00767D38">
        <w:t xml:space="preserve"> </w:t>
      </w:r>
      <w:r w:rsidR="00767D38" w:rsidRPr="009B7DC1">
        <w:t xml:space="preserve">NSW (SRS), SA (ARAS) </w:t>
      </w:r>
      <w:r w:rsidR="00767D38" w:rsidRPr="006B073F">
        <w:t>and</w:t>
      </w:r>
      <w:r w:rsidR="00767D38" w:rsidRPr="009B7DC1">
        <w:t xml:space="preserve"> </w:t>
      </w:r>
      <w:r w:rsidR="001107AF" w:rsidRPr="009B7DC1">
        <w:t>Q</w:t>
      </w:r>
      <w:r w:rsidR="001107AF">
        <w:t>ueensland</w:t>
      </w:r>
      <w:r w:rsidR="001107AF" w:rsidRPr="009B7DC1">
        <w:t xml:space="preserve"> </w:t>
      </w:r>
      <w:r w:rsidR="00767D38" w:rsidRPr="009B7DC1">
        <w:t xml:space="preserve">(ADA) </w:t>
      </w:r>
      <w:r w:rsidR="00767D38" w:rsidRPr="006B073F">
        <w:t>deliver</w:t>
      </w:r>
      <w:r w:rsidR="00D558B2" w:rsidRPr="00D558B2">
        <w:t xml:space="preserve">ed the most advocacy </w:t>
      </w:r>
      <w:r w:rsidR="00E1294D">
        <w:t>cases</w:t>
      </w:r>
      <w:r w:rsidR="00D558B2" w:rsidRPr="00D558B2">
        <w:t xml:space="preserve">, making up just over half (55%) of the </w:t>
      </w:r>
      <w:r w:rsidR="00E1294D">
        <w:t>cases</w:t>
      </w:r>
      <w:r w:rsidR="00D558B2" w:rsidRPr="00D558B2">
        <w:t xml:space="preserve"> delivered nationally</w:t>
      </w:r>
      <w:r w:rsidR="00767D38">
        <w:t>.</w:t>
      </w:r>
    </w:p>
    <w:p w14:paraId="00623624" w14:textId="3F2EF5B3" w:rsidR="002A4CB2" w:rsidRDefault="00483F77" w:rsidP="002A4CB2">
      <w:r>
        <w:t>In aggregate, o</w:t>
      </w:r>
      <w:r w:rsidR="002A4CB2">
        <w:t xml:space="preserve">ver 23,000 information and advocacy </w:t>
      </w:r>
      <w:r w:rsidR="00E1294D" w:rsidRPr="006F1B76">
        <w:t>cases</w:t>
      </w:r>
      <w:r w:rsidR="002A4CB2">
        <w:t xml:space="preserve"> were delivered to clients in 2020/21, 10.4% of which were related to elder abuse. A further 6,400 </w:t>
      </w:r>
      <w:r w:rsidR="00E1294D" w:rsidRPr="00E1294D">
        <w:t>cases</w:t>
      </w:r>
      <w:r w:rsidR="002A4CB2">
        <w:t xml:space="preserve"> of advocacy were delivered to individuals who identified with at least one special needs group. Finally, over 2,600 education sessions were delivered, 50% of which </w:t>
      </w:r>
      <w:r w:rsidR="00154160">
        <w:t>included attendees who had expe</w:t>
      </w:r>
      <w:r w:rsidR="002A4CB2">
        <w:t>r</w:t>
      </w:r>
      <w:r w:rsidR="00154160">
        <w:t>ienced</w:t>
      </w:r>
      <w:r w:rsidR="002A4CB2">
        <w:t xml:space="preserve"> elder abuse or </w:t>
      </w:r>
      <w:r w:rsidR="003F2C59">
        <w:t xml:space="preserve">were </w:t>
      </w:r>
      <w:r w:rsidR="00807B17">
        <w:t>from</w:t>
      </w:r>
      <w:r w:rsidR="002A4CB2">
        <w:t xml:space="preserve"> special needs groups.</w:t>
      </w:r>
      <w:r w:rsidR="006925A2">
        <w:t xml:space="preserve"> This</w:t>
      </w:r>
      <w:r w:rsidR="004851BF">
        <w:t xml:space="preserve"> well</w:t>
      </w:r>
      <w:r w:rsidR="006925A2">
        <w:t xml:space="preserve"> excee</w:t>
      </w:r>
      <w:r w:rsidR="00B321B4">
        <w:t xml:space="preserve">ds </w:t>
      </w:r>
      <w:r w:rsidR="00B94FDC">
        <w:t>OPAN</w:t>
      </w:r>
      <w:r w:rsidR="0040083F">
        <w:t xml:space="preserve">’s </w:t>
      </w:r>
      <w:r w:rsidR="00B321B4">
        <w:t>target</w:t>
      </w:r>
      <w:r w:rsidR="0045427D">
        <w:t xml:space="preserve"> of 20% </w:t>
      </w:r>
      <w:r w:rsidR="00AA21F8">
        <w:t xml:space="preserve">of education sessions </w:t>
      </w:r>
      <w:r w:rsidR="004851BF">
        <w:t>including special needs groups.</w:t>
      </w:r>
    </w:p>
    <w:p w14:paraId="51488CE0" w14:textId="6FB37A3D" w:rsidR="00886E55" w:rsidRDefault="00886E55" w:rsidP="00BA4C5B">
      <w:pPr>
        <w:pStyle w:val="CaptionChart"/>
        <w:ind w:left="0"/>
      </w:pPr>
      <w:bookmarkStart w:id="145" w:name="_Ref94530858"/>
      <w:bookmarkStart w:id="146" w:name="_Toc94776581"/>
      <w:bookmarkStart w:id="147" w:name="_Toc99117037"/>
      <w:r>
        <w:t xml:space="preserve">: </w:t>
      </w:r>
      <w:r w:rsidR="0034411B">
        <w:t xml:space="preserve">Information and advocacy </w:t>
      </w:r>
      <w:r w:rsidR="00EE0807">
        <w:t>cases</w:t>
      </w:r>
      <w:r w:rsidR="0034411B">
        <w:t xml:space="preserve"> in 2020/21 by SDO.</w:t>
      </w:r>
      <w:bookmarkEnd w:id="145"/>
      <w:bookmarkEnd w:id="146"/>
      <w:bookmarkEnd w:id="147"/>
    </w:p>
    <w:p w14:paraId="45F76A7F" w14:textId="31AAEB4D" w:rsidR="00244926" w:rsidRPr="00C22F81" w:rsidRDefault="00244926" w:rsidP="00932D2F">
      <w:r>
        <w:rPr>
          <w:noProof/>
        </w:rPr>
        <w:drawing>
          <wp:inline distT="0" distB="0" distL="0" distR="0" wp14:anchorId="0511B2EE" wp14:editId="4946168F">
            <wp:extent cx="5740842" cy="2258170"/>
            <wp:effectExtent l="0" t="0" r="0" b="8890"/>
            <wp:docPr id="45" name="Chart 45" descr="Services have mostly been used in NSW, Victoria and Queensland as aligned with population sizes.">
              <a:extLst xmlns:a="http://schemas.openxmlformats.org/drawingml/2006/main">
                <a:ext uri="{FF2B5EF4-FFF2-40B4-BE49-F238E27FC236}">
                  <a16:creationId xmlns:a16="http://schemas.microsoft.com/office/drawing/2014/main" id="{2133AF89-1BFD-4BD7-A21E-4A0576015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0DCDD5" w14:textId="1105A3E7" w:rsidR="00EC1D52" w:rsidRPr="000A553B" w:rsidRDefault="0034411B">
      <w:pPr>
        <w:rPr>
          <w:color w:val="75787B" w:themeColor="accent6"/>
          <w:szCs w:val="22"/>
        </w:rPr>
      </w:pPr>
      <w:r w:rsidRPr="00CD7B13">
        <w:rPr>
          <w:color w:val="595959" w:themeColor="text1" w:themeTint="A6"/>
          <w:szCs w:val="22"/>
        </w:rPr>
        <w:t>Source: OPAN Progress report 2020/21</w:t>
      </w:r>
    </w:p>
    <w:p w14:paraId="137B09CF" w14:textId="16A1B42F" w:rsidR="005F5568" w:rsidRDefault="00764EA3" w:rsidP="0034411B">
      <w:r>
        <w:fldChar w:fldCharType="begin"/>
      </w:r>
      <w:r>
        <w:instrText xml:space="preserve"> REF _Ref94530858 \n \h </w:instrText>
      </w:r>
      <w:r>
        <w:fldChar w:fldCharType="separate"/>
      </w:r>
      <w:r w:rsidR="00DC6A20">
        <w:t>Chart 3.2</w:t>
      </w:r>
      <w:r>
        <w:fldChar w:fldCharType="end"/>
      </w:r>
      <w:r>
        <w:t xml:space="preserve"> shows that there was significant variation in the types of services delivered across the country in 2020/21. </w:t>
      </w:r>
      <w:r w:rsidR="009F2EE8">
        <w:t>Across all SDOs, e</w:t>
      </w:r>
      <w:r>
        <w:t xml:space="preserve">ducation sessions were heavily affected by COVID-19 due to restrictions on access to residential aged care facilities as well as </w:t>
      </w:r>
      <w:r w:rsidR="00052D78">
        <w:t xml:space="preserve">social distancing </w:t>
      </w:r>
      <w:r>
        <w:t>limitations on activity within the community.</w:t>
      </w:r>
    </w:p>
    <w:p w14:paraId="5F8002ED" w14:textId="460CE39F" w:rsidR="007728B8" w:rsidRDefault="002B73EB" w:rsidP="007728B8">
      <w:r>
        <w:t>The differences in information and advocacy usage across states</w:t>
      </w:r>
      <w:r w:rsidR="004567EF">
        <w:t xml:space="preserve"> reflect state-based population variations as well as </w:t>
      </w:r>
      <w:r w:rsidR="00AF39EB">
        <w:t>SDO variations in service delivery</w:t>
      </w:r>
      <w:r w:rsidR="00EA4431">
        <w:t xml:space="preserve">. </w:t>
      </w:r>
      <w:r w:rsidR="00C44054">
        <w:t xml:space="preserve">Differences in </w:t>
      </w:r>
      <w:r w:rsidR="007B57C7">
        <w:t>the demographic makeup across states</w:t>
      </w:r>
      <w:r w:rsidR="00270586">
        <w:t xml:space="preserve">, </w:t>
      </w:r>
      <w:r w:rsidR="003640AF">
        <w:t xml:space="preserve">such as </w:t>
      </w:r>
      <w:r w:rsidR="008312A8">
        <w:t>the number of older people from a</w:t>
      </w:r>
      <w:r w:rsidR="00BA75D4">
        <w:t xml:space="preserve"> CALD or an Aboriginal and Torres Strait Islander background can influence the number and type of NACAP services sought.</w:t>
      </w:r>
      <w:r w:rsidR="003B53BD">
        <w:t xml:space="preserve"> Further, </w:t>
      </w:r>
      <w:r w:rsidR="004E42B1">
        <w:t>COVID-19 affected</w:t>
      </w:r>
      <w:r w:rsidR="009B6D53">
        <w:t xml:space="preserve"> states different</w:t>
      </w:r>
      <w:r w:rsidR="00D76604">
        <w:t>ly</w:t>
      </w:r>
      <w:r w:rsidR="005B65C4">
        <w:t xml:space="preserve">, having varying degrees of impact </w:t>
      </w:r>
      <w:r w:rsidR="00764EA3">
        <w:t xml:space="preserve">on the </w:t>
      </w:r>
      <w:r w:rsidR="00195BF1">
        <w:t>service delivery</w:t>
      </w:r>
      <w:r w:rsidR="00764EA3">
        <w:t xml:space="preserve"> of </w:t>
      </w:r>
      <w:r w:rsidR="00195BF1">
        <w:t>education sessions.</w:t>
      </w:r>
      <w:r w:rsidR="00A361DA">
        <w:rPr>
          <w:rStyle w:val="FootnoteReference"/>
        </w:rPr>
        <w:footnoteReference w:id="4"/>
      </w:r>
      <w:r w:rsidR="00764EA3">
        <w:t xml:space="preserve"> The volume of cases responded to by some SDOs may also have been limited by resourcing constraints.</w:t>
      </w:r>
      <w:r w:rsidR="005F5568">
        <w:t xml:space="preserve"> </w:t>
      </w:r>
      <w:r w:rsidR="00FA7376">
        <w:t>Historical differences in funding</w:t>
      </w:r>
      <w:r w:rsidR="00801B2E">
        <w:t xml:space="preserve"> across the SDOs has enabled </w:t>
      </w:r>
      <w:r w:rsidR="00B90888">
        <w:t xml:space="preserve">some (e.g., </w:t>
      </w:r>
      <w:r w:rsidR="00A41A43">
        <w:t>Q</w:t>
      </w:r>
      <w:r w:rsidR="001107AF">
        <w:t>ueensland</w:t>
      </w:r>
      <w:r w:rsidR="00A41A43">
        <w:t xml:space="preserve"> (ADA)) to service more people than others. Thus, the usage rates do not correspond to the population breakdowns in each of the states</w:t>
      </w:r>
      <w:r w:rsidR="0070778D">
        <w:t xml:space="preserve">, and the demand </w:t>
      </w:r>
      <w:r w:rsidR="00622993">
        <w:t>reflects the capacity of service provision under current resource levels.</w:t>
      </w:r>
    </w:p>
    <w:p w14:paraId="3E7DEA91" w14:textId="18679C27" w:rsidR="00BA2712" w:rsidRDefault="00AA1FD4" w:rsidP="00324E9A">
      <w:pPr>
        <w:pStyle w:val="Heading4"/>
      </w:pPr>
      <w:r>
        <w:t>Current u</w:t>
      </w:r>
      <w:r w:rsidR="00925993">
        <w:t>sage of NACAP services across care settings</w:t>
      </w:r>
    </w:p>
    <w:p w14:paraId="324D59E6" w14:textId="435EF15C" w:rsidR="00BA2712" w:rsidRPr="00BA2712" w:rsidRDefault="00EB047D" w:rsidP="00BA2712">
      <w:r>
        <w:t xml:space="preserve">The OPAN </w:t>
      </w:r>
      <w:r w:rsidR="0041154D">
        <w:t>unit record data shows that t</w:t>
      </w:r>
      <w:r w:rsidR="003D6350">
        <w:t>he provision of advocacy is higher in community care relative to residential aged care</w:t>
      </w:r>
      <w:r w:rsidR="00E97054">
        <w:t xml:space="preserve"> (</w:t>
      </w:r>
      <w:r w:rsidR="00E97054" w:rsidRPr="00A4125D">
        <w:t xml:space="preserve">see </w:t>
      </w:r>
      <w:r w:rsidR="0014448F" w:rsidRPr="00444207">
        <w:fldChar w:fldCharType="begin"/>
      </w:r>
      <w:r w:rsidR="0014448F" w:rsidRPr="00444207">
        <w:instrText xml:space="preserve"> REF _Ref94522074 \n \h </w:instrText>
      </w:r>
      <w:r w:rsidR="0014448F" w:rsidRPr="00444207">
        <w:fldChar w:fldCharType="separate"/>
      </w:r>
      <w:r w:rsidR="00DC6A20">
        <w:t>Chart 3.3</w:t>
      </w:r>
      <w:r w:rsidR="0014448F" w:rsidRPr="00444207">
        <w:fldChar w:fldCharType="end"/>
      </w:r>
      <w:r w:rsidR="00E97054">
        <w:t>).</w:t>
      </w:r>
    </w:p>
    <w:p w14:paraId="6A66A024" w14:textId="7B14A17A" w:rsidR="00F30688" w:rsidRDefault="00F30688" w:rsidP="00AA5E18">
      <w:pPr>
        <w:pStyle w:val="CaptionChart"/>
        <w:ind w:left="0"/>
      </w:pPr>
      <w:bookmarkStart w:id="148" w:name="_Ref94522074"/>
      <w:bookmarkStart w:id="149" w:name="_Toc94776582"/>
      <w:bookmarkStart w:id="150" w:name="_Toc99117038"/>
      <w:r>
        <w:t xml:space="preserve">: </w:t>
      </w:r>
      <w:r w:rsidR="00710F92">
        <w:t xml:space="preserve">Advocacy usage </w:t>
      </w:r>
      <w:r w:rsidR="007A4D13">
        <w:t xml:space="preserve">(2020/21) </w:t>
      </w:r>
      <w:r w:rsidR="00710F92">
        <w:t xml:space="preserve">in residential aged care </w:t>
      </w:r>
      <w:r w:rsidR="003D6350">
        <w:t>and community care</w:t>
      </w:r>
      <w:r w:rsidR="001768FF">
        <w:t>,</w:t>
      </w:r>
      <w:r w:rsidR="003D6350">
        <w:t xml:space="preserve"> </w:t>
      </w:r>
      <w:r w:rsidR="00E85C6C">
        <w:t>by age</w:t>
      </w:r>
      <w:bookmarkEnd w:id="148"/>
      <w:bookmarkEnd w:id="149"/>
      <w:bookmarkEnd w:id="150"/>
    </w:p>
    <w:p w14:paraId="09027BD0" w14:textId="25B99BF6" w:rsidR="00E80D48" w:rsidRDefault="00F95B22" w:rsidP="00BA2712">
      <w:pPr>
        <w:rPr>
          <w:color w:val="75787B" w:themeColor="accent6"/>
          <w:sz w:val="16"/>
          <w:szCs w:val="16"/>
        </w:rPr>
      </w:pPr>
      <w:r>
        <w:rPr>
          <w:noProof/>
        </w:rPr>
        <w:drawing>
          <wp:anchor distT="0" distB="0" distL="114300" distR="114300" simplePos="0" relativeHeight="251658250" behindDoc="0" locked="0" layoutInCell="1" allowOverlap="1" wp14:anchorId="19293227" wp14:editId="43914209">
            <wp:simplePos x="0" y="0"/>
            <wp:positionH relativeFrom="margin">
              <wp:align>right</wp:align>
            </wp:positionH>
            <wp:positionV relativeFrom="paragraph">
              <wp:posOffset>9994</wp:posOffset>
            </wp:positionV>
            <wp:extent cx="2880000" cy="2512060"/>
            <wp:effectExtent l="0" t="0" r="0" b="2540"/>
            <wp:wrapNone/>
            <wp:docPr id="22" name="Chart 22">
              <a:extLst xmlns:a="http://schemas.openxmlformats.org/drawingml/2006/main">
                <a:ext uri="{FF2B5EF4-FFF2-40B4-BE49-F238E27FC236}">
                  <a16:creationId xmlns:a16="http://schemas.microsoft.com/office/drawing/2014/main" id="{424B668C-392A-4E0F-AF84-93385A474A9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736F7C">
        <w:rPr>
          <w:noProof/>
        </w:rPr>
        <w:drawing>
          <wp:inline distT="0" distB="0" distL="0" distR="0" wp14:anchorId="30E05C73" wp14:editId="72FB458A">
            <wp:extent cx="2880000" cy="2416175"/>
            <wp:effectExtent l="0" t="0" r="0" b="3175"/>
            <wp:docPr id="21" name="Chart 21" descr="Residential aged care use of advocacy services by age, shows ages between 55-74 female and 70-84 male largest percentages.">
              <a:extLst xmlns:a="http://schemas.openxmlformats.org/drawingml/2006/main">
                <a:ext uri="{FF2B5EF4-FFF2-40B4-BE49-F238E27FC236}">
                  <a16:creationId xmlns:a16="http://schemas.microsoft.com/office/drawing/2014/main" id="{134CB5EF-0C94-45AC-B85B-4DB9EBBF0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B2ECE8" w14:textId="68D67009" w:rsidR="00604672" w:rsidRPr="00362CE2" w:rsidRDefault="00D84F53" w:rsidP="00BA2712">
      <w:pPr>
        <w:rPr>
          <w:szCs w:val="22"/>
        </w:rPr>
      </w:pPr>
      <w:r w:rsidRPr="00CD7B13">
        <w:rPr>
          <w:color w:val="595959" w:themeColor="text1" w:themeTint="A6"/>
          <w:szCs w:val="22"/>
        </w:rPr>
        <w:t>Source: OPAN unit record data; OPAN Progress Report 2020/21; modelling by Deloitte Access Economics</w:t>
      </w:r>
    </w:p>
    <w:p w14:paraId="0D06A94D" w14:textId="51C520C8" w:rsidR="00E85C6C" w:rsidRPr="00BA2712" w:rsidRDefault="00687165" w:rsidP="00BA2712">
      <w:r>
        <w:t>Across age groups, advocacy usage in community care is higher among those aged between 50-74 than for older age groups, relative to the population within the same age groups.</w:t>
      </w:r>
    </w:p>
    <w:p w14:paraId="2ACD5FA1" w14:textId="7C38BED9" w:rsidR="00754FFB" w:rsidRPr="00B60CE6" w:rsidRDefault="00733C5B" w:rsidP="00754FFB">
      <w:pPr>
        <w:rPr>
          <w:b/>
          <w:bCs/>
        </w:rPr>
      </w:pPr>
      <w:r w:rsidRPr="00B10C01">
        <w:t>Those outside of residential aged care and community care received around one</w:t>
      </w:r>
      <w:r w:rsidR="009A1A0C">
        <w:t>-</w:t>
      </w:r>
      <w:r w:rsidRPr="00B10C01">
        <w:t>quarter of advocacy services and one</w:t>
      </w:r>
      <w:r w:rsidR="009A1A0C">
        <w:t>-</w:t>
      </w:r>
      <w:r w:rsidRPr="00B10C01">
        <w:t xml:space="preserve">third of information services. </w:t>
      </w:r>
      <w:r>
        <w:t xml:space="preserve">Despite the relatively high </w:t>
      </w:r>
      <w:r w:rsidR="002765AB">
        <w:t xml:space="preserve">share of </w:t>
      </w:r>
      <w:r>
        <w:t>service</w:t>
      </w:r>
      <w:r w:rsidR="002765AB">
        <w:t>s delivered</w:t>
      </w:r>
      <w:r w:rsidRPr="00B10C01">
        <w:t>, t</w:t>
      </w:r>
      <w:r w:rsidR="00D30D26" w:rsidRPr="00D30D26">
        <w:t xml:space="preserve">he average usage rate for </w:t>
      </w:r>
      <w:r w:rsidR="00D30D26" w:rsidRPr="00444207">
        <w:t>advocacy</w:t>
      </w:r>
      <w:r w:rsidR="00D30D26" w:rsidRPr="00D30D26">
        <w:t xml:space="preserve"> outside of residential aged care and community care </w:t>
      </w:r>
      <w:r w:rsidR="00B232DE">
        <w:t xml:space="preserve">settings </w:t>
      </w:r>
      <w:r w:rsidR="00D30D26" w:rsidRPr="00D30D26">
        <w:t xml:space="preserve">is low </w:t>
      </w:r>
      <w:r w:rsidR="005502E8">
        <w:t>according to</w:t>
      </w:r>
      <w:r w:rsidR="00D30D26" w:rsidRPr="00D30D26">
        <w:t xml:space="preserve"> the </w:t>
      </w:r>
      <w:r w:rsidR="009F7100">
        <w:t xml:space="preserve">OPAN </w:t>
      </w:r>
      <w:r w:rsidR="00D30D26" w:rsidRPr="00D30D26">
        <w:t xml:space="preserve">unit record data, at </w:t>
      </w:r>
      <w:r w:rsidR="00D30D26" w:rsidRPr="00444207">
        <w:t>0.1</w:t>
      </w:r>
      <w:r w:rsidR="00D30D26" w:rsidRPr="00D30D26">
        <w:t xml:space="preserve">% </w:t>
      </w:r>
      <w:r w:rsidR="00D30D26" w:rsidRPr="00444207">
        <w:t>on average for both males and females</w:t>
      </w:r>
      <w:r w:rsidR="00D30D26" w:rsidRPr="00D30D26">
        <w:t xml:space="preserve">, across all age groups. </w:t>
      </w:r>
      <w:r w:rsidR="00C708F3">
        <w:t xml:space="preserve">This is because </w:t>
      </w:r>
      <w:r w:rsidR="00025931">
        <w:t xml:space="preserve">the </w:t>
      </w:r>
      <w:r w:rsidR="00454E23">
        <w:t xml:space="preserve">usage rate </w:t>
      </w:r>
      <w:r w:rsidR="00735ACB">
        <w:t>captures</w:t>
      </w:r>
      <w:r w:rsidR="00454E23">
        <w:t xml:space="preserve"> service users as a proportion of </w:t>
      </w:r>
      <w:r w:rsidR="00025931">
        <w:t xml:space="preserve">people in </w:t>
      </w:r>
      <w:r w:rsidR="00454E23">
        <w:t xml:space="preserve">the population </w:t>
      </w:r>
      <w:r w:rsidR="00C45F17">
        <w:t>with a set of characteristics</w:t>
      </w:r>
      <w:r w:rsidR="00025931">
        <w:t xml:space="preserve">, </w:t>
      </w:r>
      <w:r w:rsidR="00C708F3">
        <w:t>and the</w:t>
      </w:r>
      <w:r w:rsidR="00C9460A">
        <w:t xml:space="preserve"> large </w:t>
      </w:r>
      <w:r w:rsidR="00735ACB">
        <w:t xml:space="preserve">population base </w:t>
      </w:r>
      <w:r w:rsidR="00C708F3">
        <w:t xml:space="preserve">of people not receiving formal aged care </w:t>
      </w:r>
      <w:r w:rsidR="00C9460A">
        <w:t xml:space="preserve">drives </w:t>
      </w:r>
      <w:r w:rsidR="0005390D">
        <w:t xml:space="preserve">down the </w:t>
      </w:r>
      <w:r w:rsidR="00C9460A">
        <w:t>usage rate</w:t>
      </w:r>
      <w:r w:rsidR="00FD5BCB">
        <w:t>.</w:t>
      </w:r>
      <w:r w:rsidR="00C45F17">
        <w:t xml:space="preserve"> </w:t>
      </w:r>
      <w:r w:rsidR="00F20962">
        <w:t>Some portion of the users captured in this cohort might be families and representatives of the</w:t>
      </w:r>
      <w:r w:rsidR="00AE0D45">
        <w:t xml:space="preserve"> older people; however, this is unclear from the data.</w:t>
      </w:r>
    </w:p>
    <w:p w14:paraId="04512A90" w14:textId="762BB919" w:rsidR="00D84F53" w:rsidRDefault="006C4E65" w:rsidP="00BA2712">
      <w:r>
        <w:t>Consequently, t</w:t>
      </w:r>
      <w:r w:rsidR="0029265E">
        <w:t xml:space="preserve">he low usage </w:t>
      </w:r>
      <w:r w:rsidR="004D7846">
        <w:t>rate</w:t>
      </w:r>
      <w:r w:rsidR="0029265E">
        <w:t xml:space="preserve"> reflects the large population of older people not receiving formal care.</w:t>
      </w:r>
      <w:r w:rsidR="00A91D0D">
        <w:t xml:space="preserve"> </w:t>
      </w:r>
      <w:r w:rsidR="005764C5">
        <w:t>S</w:t>
      </w:r>
      <w:r w:rsidR="00A33A15">
        <w:t xml:space="preserve">takeholder consultations </w:t>
      </w:r>
      <w:r w:rsidR="00D03341">
        <w:t xml:space="preserve">suggested that </w:t>
      </w:r>
      <w:r w:rsidR="00E30538">
        <w:t xml:space="preserve">older people and their families, loved ones and representatives tend to </w:t>
      </w:r>
      <w:r w:rsidR="002121BC">
        <w:t xml:space="preserve">discover or </w:t>
      </w:r>
      <w:r w:rsidR="00E30538">
        <w:t>reach out to</w:t>
      </w:r>
      <w:r w:rsidR="00D03341">
        <w:t xml:space="preserve"> advocacy services </w:t>
      </w:r>
      <w:r w:rsidR="008E2AE3">
        <w:t xml:space="preserve">during a point of </w:t>
      </w:r>
      <w:r w:rsidR="00D6705B">
        <w:t>n</w:t>
      </w:r>
      <w:r w:rsidR="00D03341">
        <w:t>e</w:t>
      </w:r>
      <w:r w:rsidR="00D6705B">
        <w:t>ed</w:t>
      </w:r>
      <w:r w:rsidR="005764C5">
        <w:t xml:space="preserve"> – often due to an interaction with </w:t>
      </w:r>
      <w:r w:rsidR="00DE7D1C">
        <w:t>care provid</w:t>
      </w:r>
      <w:r w:rsidR="00BA5E9F">
        <w:t>ers</w:t>
      </w:r>
      <w:r w:rsidR="0083590C">
        <w:t xml:space="preserve">. </w:t>
      </w:r>
    </w:p>
    <w:p w14:paraId="173DBB2A" w14:textId="6872B525" w:rsidR="007F718C" w:rsidRDefault="007F718C" w:rsidP="007F718C">
      <w:r>
        <w:t xml:space="preserve">The OPAN unit record data shows that the provision of </w:t>
      </w:r>
      <w:r w:rsidR="006E67FB">
        <w:t xml:space="preserve">information across settings </w:t>
      </w:r>
      <w:r>
        <w:t xml:space="preserve">is </w:t>
      </w:r>
      <w:r w:rsidR="006E67FB">
        <w:t>more balanced,</w:t>
      </w:r>
      <w:r>
        <w:t xml:space="preserve"> relative to </w:t>
      </w:r>
      <w:r w:rsidR="006E67FB">
        <w:t>advocacy services</w:t>
      </w:r>
      <w:r>
        <w:t xml:space="preserve"> (see </w:t>
      </w:r>
      <w:r w:rsidR="00B85AA5">
        <w:fldChar w:fldCharType="begin"/>
      </w:r>
      <w:r w:rsidR="00B85AA5">
        <w:instrText xml:space="preserve"> REF _Ref94522097 \r \h </w:instrText>
      </w:r>
      <w:r w:rsidR="00B85AA5">
        <w:fldChar w:fldCharType="separate"/>
      </w:r>
      <w:r w:rsidR="00DC6A20">
        <w:t>Chart 3.4</w:t>
      </w:r>
      <w:r w:rsidR="00B85AA5">
        <w:fldChar w:fldCharType="end"/>
      </w:r>
      <w:r>
        <w:t>).</w:t>
      </w:r>
      <w:r w:rsidR="00E9680A">
        <w:rPr>
          <w:rStyle w:val="FootnoteReference"/>
        </w:rPr>
        <w:footnoteReference w:id="5"/>
      </w:r>
      <w:r>
        <w:t xml:space="preserve"> </w:t>
      </w:r>
    </w:p>
    <w:p w14:paraId="7E3B8DE2" w14:textId="74F13201" w:rsidR="00687165" w:rsidRPr="00BA2712" w:rsidRDefault="00FB19B0" w:rsidP="00BA4C5B">
      <w:pPr>
        <w:pStyle w:val="CaptionChart"/>
        <w:ind w:left="0"/>
      </w:pPr>
      <w:bookmarkStart w:id="151" w:name="_Ref94522097"/>
      <w:bookmarkStart w:id="152" w:name="_Toc94776583"/>
      <w:bookmarkStart w:id="153" w:name="_Toc99117039"/>
      <w:r>
        <w:t xml:space="preserve">: </w:t>
      </w:r>
      <w:r w:rsidR="00D84F53">
        <w:t>Information usage in residential aged care and community care</w:t>
      </w:r>
      <w:r w:rsidR="00B471EA">
        <w:t xml:space="preserve">, </w:t>
      </w:r>
      <w:r w:rsidR="00D84F53">
        <w:t>by age</w:t>
      </w:r>
      <w:bookmarkEnd w:id="151"/>
      <w:bookmarkEnd w:id="152"/>
      <w:bookmarkEnd w:id="153"/>
    </w:p>
    <w:p w14:paraId="6764B2BA" w14:textId="17127413" w:rsidR="002C0FEC" w:rsidRDefault="007B7DA9" w:rsidP="00BA2712">
      <w:pPr>
        <w:rPr>
          <w:color w:val="75787B" w:themeColor="accent6"/>
          <w:sz w:val="16"/>
          <w:szCs w:val="16"/>
        </w:rPr>
      </w:pPr>
      <w:r>
        <w:rPr>
          <w:noProof/>
        </w:rPr>
        <w:drawing>
          <wp:anchor distT="0" distB="0" distL="114300" distR="114300" simplePos="0" relativeHeight="251658251" behindDoc="0" locked="0" layoutInCell="1" allowOverlap="1" wp14:anchorId="6EC60F29" wp14:editId="369F3E91">
            <wp:simplePos x="0" y="0"/>
            <wp:positionH relativeFrom="margin">
              <wp:align>right</wp:align>
            </wp:positionH>
            <wp:positionV relativeFrom="paragraph">
              <wp:posOffset>8890</wp:posOffset>
            </wp:positionV>
            <wp:extent cx="2880000" cy="2613025"/>
            <wp:effectExtent l="0" t="0" r="0" b="0"/>
            <wp:wrapNone/>
            <wp:docPr id="53" name="Chart 53">
              <a:extLst xmlns:a="http://schemas.openxmlformats.org/drawingml/2006/main">
                <a:ext uri="{FF2B5EF4-FFF2-40B4-BE49-F238E27FC236}">
                  <a16:creationId xmlns:a16="http://schemas.microsoft.com/office/drawing/2014/main" id="{2B68260C-88DB-436F-BFBC-580FC9BD6D8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C97B0A">
        <w:rPr>
          <w:noProof/>
        </w:rPr>
        <w:drawing>
          <wp:inline distT="0" distB="0" distL="0" distR="0" wp14:anchorId="1F73AED2" wp14:editId="3C38309C">
            <wp:extent cx="2880000" cy="2552065"/>
            <wp:effectExtent l="0" t="0" r="0" b="635"/>
            <wp:docPr id="52" name="Chart 52" descr="Residential aged care use of information services by age, shows ages between 65-79 female and 75-79 male largest percentages.">
              <a:extLst xmlns:a="http://schemas.openxmlformats.org/drawingml/2006/main">
                <a:ext uri="{FF2B5EF4-FFF2-40B4-BE49-F238E27FC236}">
                  <a16:creationId xmlns:a16="http://schemas.microsoft.com/office/drawing/2014/main" id="{3A5AA510-2808-4F48-96A9-730CD88A6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AF3612" w14:textId="71A6B7E1" w:rsidR="00FB19B0" w:rsidRPr="00343BB3" w:rsidRDefault="00D84F53" w:rsidP="00BA2712">
      <w:pPr>
        <w:rPr>
          <w:szCs w:val="22"/>
        </w:rPr>
      </w:pPr>
      <w:r w:rsidRPr="00CD7B13">
        <w:rPr>
          <w:color w:val="595959" w:themeColor="text1" w:themeTint="A6"/>
          <w:szCs w:val="22"/>
        </w:rPr>
        <w:t>Source: OPAN unit record data; OPAN Progress Report 2020/21; modelling by Deloitte Access Economics</w:t>
      </w:r>
    </w:p>
    <w:p w14:paraId="627CE0D6" w14:textId="65F3642C" w:rsidR="002E3762" w:rsidRDefault="002E3762" w:rsidP="002E3762">
      <w:r>
        <w:t xml:space="preserve">Across age groups, information usage </w:t>
      </w:r>
      <w:r w:rsidR="00EE3CC1">
        <w:t xml:space="preserve">across both settings is </w:t>
      </w:r>
      <w:r w:rsidR="00952A09">
        <w:t xml:space="preserve">highest among those aged </w:t>
      </w:r>
      <w:r w:rsidR="007C0CD4">
        <w:t>70-79</w:t>
      </w:r>
      <w:r w:rsidR="00176762">
        <w:t>.</w:t>
      </w:r>
      <w:r w:rsidR="003C7043">
        <w:t xml:space="preserve"> Females have a higher usage</w:t>
      </w:r>
      <w:r w:rsidR="0022286D">
        <w:t xml:space="preserve"> </w:t>
      </w:r>
      <w:r w:rsidR="007D4CEF">
        <w:t xml:space="preserve">of information services </w:t>
      </w:r>
      <w:r w:rsidR="0022286D">
        <w:t>across the younger age groups than males</w:t>
      </w:r>
      <w:r w:rsidR="007D4CEF">
        <w:t xml:space="preserve">, in residential aged care facilities. </w:t>
      </w:r>
    </w:p>
    <w:p w14:paraId="3278614E" w14:textId="0359674E" w:rsidR="00192B70" w:rsidRDefault="00192B70" w:rsidP="00BA2712">
      <w:r>
        <w:t>T</w:t>
      </w:r>
      <w:r w:rsidRPr="00192B70">
        <w:t xml:space="preserve">he </w:t>
      </w:r>
      <w:r w:rsidRPr="00A4125D">
        <w:t>average usage rate for</w:t>
      </w:r>
      <w:r w:rsidRPr="00444207">
        <w:t xml:space="preserve"> information </w:t>
      </w:r>
      <w:r w:rsidRPr="00A4125D">
        <w:t xml:space="preserve">outside of residential aged care and community care is low </w:t>
      </w:r>
      <w:r w:rsidR="002E238C">
        <w:t xml:space="preserve">according to the OPAN </w:t>
      </w:r>
      <w:r w:rsidRPr="00A4125D">
        <w:t>unit reco</w:t>
      </w:r>
      <w:r w:rsidRPr="003C6D26">
        <w:t xml:space="preserve">rd data, at </w:t>
      </w:r>
      <w:r w:rsidRPr="00444207">
        <w:t>0.1% on average for males</w:t>
      </w:r>
      <w:r w:rsidRPr="00A4125D">
        <w:t xml:space="preserve">, and </w:t>
      </w:r>
      <w:r w:rsidRPr="00444207">
        <w:t>0.2% on average for females</w:t>
      </w:r>
      <w:r w:rsidRPr="00A4125D">
        <w:t xml:space="preserve">, across all age groups. </w:t>
      </w:r>
      <w:r>
        <w:t xml:space="preserve">As in the case for advocacy, the low usage rate </w:t>
      </w:r>
      <w:r w:rsidR="00E97F47">
        <w:t xml:space="preserve">is </w:t>
      </w:r>
      <w:r>
        <w:t>likely due to the larg</w:t>
      </w:r>
      <w:r w:rsidR="00E97F47">
        <w:t>e</w:t>
      </w:r>
      <w:r>
        <w:t xml:space="preserve"> population base outside of aged care and the lower usage of NACAP services by people not in permanent care. </w:t>
      </w:r>
      <w:r w:rsidR="00CF09D0">
        <w:t xml:space="preserve">Furthermore, across advocacy and information, </w:t>
      </w:r>
      <w:r w:rsidR="00040661">
        <w:t xml:space="preserve">SDOs </w:t>
      </w:r>
      <w:r w:rsidR="009426A1">
        <w:t xml:space="preserve">are likely to have </w:t>
      </w:r>
      <w:r w:rsidR="007A5B10">
        <w:t xml:space="preserve">not </w:t>
      </w:r>
      <w:r w:rsidR="00667178">
        <w:t xml:space="preserve">characterised the care type </w:t>
      </w:r>
      <w:r w:rsidR="000B2754">
        <w:t>(i.e., ‘N/A’)</w:t>
      </w:r>
      <w:r w:rsidR="00667178">
        <w:t xml:space="preserve"> for</w:t>
      </w:r>
      <w:r w:rsidR="00CF09D0">
        <w:t xml:space="preserve"> </w:t>
      </w:r>
      <w:r w:rsidR="007A5B10">
        <w:t xml:space="preserve">some users </w:t>
      </w:r>
      <w:r w:rsidR="00667178">
        <w:t>who are not affiliated with residential</w:t>
      </w:r>
      <w:r w:rsidR="007A5B10">
        <w:t xml:space="preserve"> aged care </w:t>
      </w:r>
      <w:r w:rsidR="00667178">
        <w:t>or community care</w:t>
      </w:r>
      <w:r w:rsidR="008167A5">
        <w:t>, reducing the u</w:t>
      </w:r>
      <w:r w:rsidR="007B00C5">
        <w:t>sage rate</w:t>
      </w:r>
      <w:r w:rsidR="008167A5">
        <w:t xml:space="preserve"> for this cohort</w:t>
      </w:r>
      <w:r w:rsidR="007B00C5">
        <w:t xml:space="preserve"> in the </w:t>
      </w:r>
      <w:r w:rsidR="000542A0">
        <w:t xml:space="preserve">NACAP </w:t>
      </w:r>
      <w:r w:rsidR="007B00C5">
        <w:t>unit record data</w:t>
      </w:r>
      <w:r w:rsidR="008167A5">
        <w:t>.</w:t>
      </w:r>
    </w:p>
    <w:p w14:paraId="6DF9D23C" w14:textId="32B9CB90" w:rsidR="00C71716" w:rsidRDefault="00C71716" w:rsidP="0038083D">
      <w:pPr>
        <w:pStyle w:val="Heading3"/>
        <w:ind w:left="993" w:hanging="993"/>
      </w:pPr>
      <w:bookmarkStart w:id="154" w:name="_Toc94771839"/>
      <w:bookmarkStart w:id="155" w:name="_Toc99437519"/>
      <w:r>
        <w:t>Issues requiring advocacy</w:t>
      </w:r>
      <w:bookmarkEnd w:id="154"/>
      <w:bookmarkEnd w:id="155"/>
    </w:p>
    <w:p w14:paraId="392DB283" w14:textId="7335BC92" w:rsidR="003B1BF1" w:rsidRDefault="00CC64A0" w:rsidP="002517C4">
      <w:r>
        <w:t>In 2020/21, OPAN and SDOs provided</w:t>
      </w:r>
      <w:r w:rsidR="002517C4">
        <w:t>:</w:t>
      </w:r>
    </w:p>
    <w:p w14:paraId="7F492944" w14:textId="04FFF8B6" w:rsidR="003B1BF1" w:rsidRDefault="00CC64A0" w:rsidP="00F178E7">
      <w:pPr>
        <w:pStyle w:val="ListParagraph"/>
        <w:numPr>
          <w:ilvl w:val="0"/>
          <w:numId w:val="48"/>
        </w:numPr>
      </w:pPr>
      <w:r>
        <w:t>23,019 occasions of information or advocacy support to older people,</w:t>
      </w:r>
    </w:p>
    <w:p w14:paraId="519CA4F2" w14:textId="5919FB5E" w:rsidR="003B1BF1" w:rsidRDefault="00CC64A0" w:rsidP="00F178E7">
      <w:pPr>
        <w:pStyle w:val="ListParagraph"/>
        <w:numPr>
          <w:ilvl w:val="0"/>
          <w:numId w:val="48"/>
        </w:numPr>
      </w:pPr>
      <w:r>
        <w:t>2,344 occasions of support to older people at risk or experiencing elder abuse, and</w:t>
      </w:r>
    </w:p>
    <w:p w14:paraId="09CD6C63" w14:textId="54CD2BA6" w:rsidR="0026520B" w:rsidRDefault="00CC64A0" w:rsidP="00F178E7">
      <w:pPr>
        <w:pStyle w:val="ListParagraph"/>
        <w:numPr>
          <w:ilvl w:val="0"/>
          <w:numId w:val="48"/>
        </w:numPr>
      </w:pPr>
      <w:r>
        <w:t>2,604 education sessions relating to advocacy and older person abuse prevention across both residential aged care facilities and home care recipients.</w:t>
      </w:r>
      <w:r w:rsidR="003515D2">
        <w:rPr>
          <w:rStyle w:val="EndnoteReference"/>
        </w:rPr>
        <w:endnoteReference w:id="18"/>
      </w:r>
    </w:p>
    <w:p w14:paraId="1025ADA9" w14:textId="77777777" w:rsidR="005F3C0A" w:rsidRDefault="005F3C0A" w:rsidP="005F3C0A">
      <w:r w:rsidRPr="00784EBF">
        <w:t>Based on the latest NACAP progress report</w:t>
      </w:r>
      <w:r>
        <w:t>, common issues addressed by OPAN’s advocates include:</w:t>
      </w:r>
    </w:p>
    <w:p w14:paraId="1083DA54" w14:textId="77777777" w:rsidR="005F3C0A" w:rsidRDefault="005F3C0A" w:rsidP="00F178E7">
      <w:pPr>
        <w:pStyle w:val="ListParagraph"/>
        <w:numPr>
          <w:ilvl w:val="0"/>
          <w:numId w:val="41"/>
        </w:numPr>
      </w:pPr>
      <w:r>
        <w:t>Rights-related: Choice and decision making; choice and dignity, rights, and discrimination</w:t>
      </w:r>
    </w:p>
    <w:p w14:paraId="2D5B8941" w14:textId="77777777" w:rsidR="005F3C0A" w:rsidRDefault="005F3C0A" w:rsidP="00F178E7">
      <w:pPr>
        <w:pStyle w:val="ListParagraph"/>
        <w:numPr>
          <w:ilvl w:val="0"/>
          <w:numId w:val="41"/>
        </w:numPr>
      </w:pPr>
      <w:r>
        <w:t>Quality of care: Issues around safety, care delivery, poor staffing, and poor clinical care</w:t>
      </w:r>
    </w:p>
    <w:p w14:paraId="2BAD5A0E" w14:textId="77777777" w:rsidR="005F3C0A" w:rsidRDefault="005F3C0A" w:rsidP="00F178E7">
      <w:pPr>
        <w:pStyle w:val="ListParagraph"/>
        <w:numPr>
          <w:ilvl w:val="0"/>
          <w:numId w:val="41"/>
        </w:numPr>
      </w:pPr>
      <w:r>
        <w:t>Financial issues: Issues around bonds, fees, charges, entitlements, and other financial matters</w:t>
      </w:r>
    </w:p>
    <w:p w14:paraId="3464A3F4" w14:textId="77777777" w:rsidR="005F3C0A" w:rsidRDefault="005F3C0A" w:rsidP="00F178E7">
      <w:pPr>
        <w:pStyle w:val="ListParagraph"/>
        <w:numPr>
          <w:ilvl w:val="0"/>
          <w:numId w:val="41"/>
        </w:numPr>
      </w:pPr>
      <w:r>
        <w:t>Insufficient choice and unmet care need: Control over and making choices about care, personal care, and dignity of risk</w:t>
      </w:r>
    </w:p>
    <w:p w14:paraId="13F28B74" w14:textId="77777777" w:rsidR="005F3C0A" w:rsidRDefault="005F3C0A" w:rsidP="00F178E7">
      <w:pPr>
        <w:pStyle w:val="ListParagraph"/>
        <w:numPr>
          <w:ilvl w:val="0"/>
          <w:numId w:val="41"/>
        </w:numPr>
      </w:pPr>
      <w:r>
        <w:t>Assessment/My Aged Care: Access difficulties, issues with reviews, issues with aged care assessments</w:t>
      </w:r>
    </w:p>
    <w:p w14:paraId="5ADCA360" w14:textId="3E05BD37" w:rsidR="005F3C0A" w:rsidRDefault="005F3C0A" w:rsidP="00F178E7">
      <w:pPr>
        <w:pStyle w:val="ListParagraph"/>
        <w:numPr>
          <w:ilvl w:val="0"/>
          <w:numId w:val="41"/>
        </w:numPr>
      </w:pPr>
      <w:r>
        <w:t>COVID-19: Issues stemming from lockdowns, poor communication, unsupportive alternative visitation options, concerns about care.</w:t>
      </w:r>
      <w:r w:rsidRPr="005F3C0A">
        <w:rPr>
          <w:rStyle w:val="EndnoteReference"/>
        </w:rPr>
        <w:t xml:space="preserve"> </w:t>
      </w:r>
      <w:r>
        <w:rPr>
          <w:rStyle w:val="EndnoteReference"/>
        </w:rPr>
        <w:endnoteReference w:id="19"/>
      </w:r>
    </w:p>
    <w:p w14:paraId="3D9C5DEA" w14:textId="5E106BB9" w:rsidR="00C71716" w:rsidRDefault="00C71716" w:rsidP="002517C4">
      <w:r>
        <w:t>Complaints data from the ACQSC may also be indicative of the types of issues that older persons may need assistance with. The ACQSC is the national end-to-end regulator of aged care services focussed on protecting the welfare and rights of consumers. The ACQSC monitors, regulates, assesses, and accredits aged care services subsidised by the Australian Government. The ACQSC helps consumers understand the quality of care and services they can expect to receive, including the ability to lodge a complaint or raise a concern, access advocacy services, and understand the quality standards that apply to your service provider.</w:t>
      </w:r>
      <w:r w:rsidRPr="006D021F">
        <w:rPr>
          <w:rStyle w:val="EndnoteReference"/>
        </w:rPr>
        <w:t xml:space="preserve"> </w:t>
      </w:r>
      <w:r>
        <w:rPr>
          <w:rStyle w:val="EndnoteReference"/>
        </w:rPr>
        <w:endnoteReference w:id="20"/>
      </w:r>
      <w:r>
        <w:t xml:space="preserve">  In 2020</w:t>
      </w:r>
      <w:r w:rsidR="00B37171">
        <w:t>/</w:t>
      </w:r>
      <w:r>
        <w:t>21, the ACQSC made 1,598 referrals to OPAN in comparison to 541 referrals in 2019-20.</w:t>
      </w:r>
      <w:r>
        <w:rPr>
          <w:rStyle w:val="EndnoteReference"/>
        </w:rPr>
        <w:endnoteReference w:id="21"/>
      </w:r>
      <w:r>
        <w:t xml:space="preserve"> In 2020</w:t>
      </w:r>
      <w:r w:rsidR="00B37171">
        <w:t>/</w:t>
      </w:r>
      <w:r>
        <w:t>21, 9,220 complaints were received (8% increase from 2019-20</w:t>
      </w:r>
      <w:r>
        <w:rPr>
          <w:rStyle w:val="EndnoteReference"/>
        </w:rPr>
        <w:endnoteReference w:id="22"/>
      </w:r>
      <w:r>
        <w:t>) covering 22,084 issues</w:t>
      </w:r>
      <w:r w:rsidR="00910F33">
        <w:t xml:space="preserve"> (</w:t>
      </w:r>
      <w:r w:rsidR="00680992">
        <w:t>Chart 3.5</w:t>
      </w:r>
      <w:r w:rsidR="001D5EE9">
        <w:t>)</w:t>
      </w:r>
      <w:r>
        <w:t>. Complaints were raised by representatives or family members (51%), consumers (20%), staff (8%), external agencies (2%) and anonymously (19%).</w:t>
      </w:r>
      <w:r>
        <w:rPr>
          <w:rStyle w:val="EndnoteReference"/>
        </w:rPr>
        <w:endnoteReference w:id="23"/>
      </w:r>
      <w:r>
        <w:t xml:space="preserve"> Of the 22,084 issues raised, 77.7% were in residential care, 21.5% were in home care and 0.8% were in flexible care.</w:t>
      </w:r>
      <w:r>
        <w:rPr>
          <w:rStyle w:val="EndnoteReference"/>
        </w:rPr>
        <w:endnoteReference w:id="24"/>
      </w:r>
      <w:r>
        <w:t xml:space="preserve"> </w:t>
      </w:r>
      <w:r w:rsidR="001D5EE9">
        <w:t>Table 3.1</w:t>
      </w:r>
      <w:r>
        <w:t xml:space="preserve"> summarises the common issues raised in residential and home care.</w:t>
      </w:r>
    </w:p>
    <w:p w14:paraId="21A5D236" w14:textId="77777777" w:rsidR="002E736B" w:rsidRDefault="002E736B" w:rsidP="00FC074C">
      <w:pPr>
        <w:pStyle w:val="CaptionChart"/>
        <w:ind w:left="0"/>
      </w:pPr>
      <w:bookmarkStart w:id="156" w:name="_Toc99117040"/>
      <w:r>
        <w:t>: ACQSC complaints resolution data across 2019/20 to 2020/21 annual reports</w:t>
      </w:r>
      <w:bookmarkEnd w:id="156"/>
    </w:p>
    <w:p w14:paraId="717E1A2F" w14:textId="58B952B1" w:rsidR="002E736B" w:rsidRDefault="001D495C" w:rsidP="002E736B">
      <w:pPr>
        <w:rPr>
          <w:szCs w:val="17"/>
        </w:rPr>
      </w:pPr>
      <w:r w:rsidRPr="001D495C">
        <w:rPr>
          <w:noProof/>
        </w:rPr>
        <w:t xml:space="preserve"> </w:t>
      </w:r>
      <w:r>
        <w:rPr>
          <w:noProof/>
        </w:rPr>
        <w:drawing>
          <wp:inline distT="0" distB="0" distL="0" distR="0" wp14:anchorId="1AC1CC5B" wp14:editId="0C174D4B">
            <wp:extent cx="4657725" cy="2162755"/>
            <wp:effectExtent l="0" t="0" r="0" b="0"/>
            <wp:docPr id="4" name="Chart 4" descr="The Aged Care Quality and Safety Commission complaint issues were the highlight resolved in 2019-20 to 2020-21.">
              <a:extLst xmlns:a="http://schemas.openxmlformats.org/drawingml/2006/main">
                <a:ext uri="{FF2B5EF4-FFF2-40B4-BE49-F238E27FC236}">
                  <a16:creationId xmlns:a16="http://schemas.microsoft.com/office/drawing/2014/main" id="{82CCF0C4-DB64-401C-BA14-4E2CE1306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BF829A" w14:textId="77777777" w:rsidR="002E736B" w:rsidRDefault="002E736B" w:rsidP="002E736B">
      <w:pPr>
        <w:pStyle w:val="Source"/>
      </w:pPr>
      <w:r>
        <w:t>Source: ACQSC Annual Report 2019/20; ACQSC Annual Report 2020/21; modelling by Deloitte Access Economics</w:t>
      </w:r>
    </w:p>
    <w:p w14:paraId="32CBB892" w14:textId="524184EB" w:rsidR="00C71716" w:rsidRDefault="00076D8A" w:rsidP="00076D8A">
      <w:pPr>
        <w:pStyle w:val="Caption"/>
      </w:pPr>
      <w:bookmarkStart w:id="157" w:name="_Toc99117016"/>
      <w:bookmarkStart w:id="158" w:name="_Toc99117041"/>
      <w:r>
        <w:t xml:space="preserve">Table </w:t>
      </w:r>
      <w:r w:rsidR="003D654D">
        <w:fldChar w:fldCharType="begin"/>
      </w:r>
      <w:r w:rsidR="003D654D">
        <w:instrText xml:space="preserve"> STYLEREF 1 \s </w:instrText>
      </w:r>
      <w:r w:rsidR="003D654D">
        <w:fldChar w:fldCharType="separate"/>
      </w:r>
      <w:r w:rsidR="00DC6A20">
        <w:rPr>
          <w:noProof/>
        </w:rPr>
        <w:t>3</w:t>
      </w:r>
      <w:r w:rsidR="003D654D">
        <w:fldChar w:fldCharType="end"/>
      </w:r>
      <w:r w:rsidR="003D654D">
        <w:t>.</w:t>
      </w:r>
      <w:r w:rsidR="003D654D">
        <w:fldChar w:fldCharType="begin"/>
      </w:r>
      <w:r w:rsidR="003D654D">
        <w:instrText xml:space="preserve"> SEQ Table \* ARABIC \s 1 </w:instrText>
      </w:r>
      <w:r w:rsidR="003D654D">
        <w:fldChar w:fldCharType="separate"/>
      </w:r>
      <w:r w:rsidR="00DC6A20">
        <w:rPr>
          <w:noProof/>
        </w:rPr>
        <w:t>1</w:t>
      </w:r>
      <w:r w:rsidR="003D654D">
        <w:fldChar w:fldCharType="end"/>
      </w:r>
      <w:r>
        <w:t>:</w:t>
      </w:r>
      <w:r w:rsidR="00C71716">
        <w:t xml:space="preserve"> </w:t>
      </w:r>
      <w:bookmarkStart w:id="159" w:name="_Toc94771896"/>
      <w:r w:rsidR="00C71716">
        <w:t>Issues raised in complaints to ACQSC in 2020/21</w:t>
      </w:r>
      <w:bookmarkEnd w:id="157"/>
      <w:bookmarkEnd w:id="158"/>
      <w:bookmarkEnd w:id="159"/>
    </w:p>
    <w:tbl>
      <w:tblPr>
        <w:tblStyle w:val="Deloittetable"/>
        <w:tblW w:w="0" w:type="auto"/>
        <w:tblLook w:val="04A0" w:firstRow="1" w:lastRow="0" w:firstColumn="1" w:lastColumn="0" w:noHBand="0" w:noVBand="1"/>
      </w:tblPr>
      <w:tblGrid>
        <w:gridCol w:w="4513"/>
        <w:gridCol w:w="4513"/>
      </w:tblGrid>
      <w:tr w:rsidR="00C71716" w14:paraId="304C039D" w14:textId="77777777" w:rsidTr="00AF223B">
        <w:trPr>
          <w:cnfStyle w:val="100000000000" w:firstRow="1" w:lastRow="0" w:firstColumn="0" w:lastColumn="0" w:oddVBand="0" w:evenVBand="0" w:oddHBand="0" w:evenHBand="0" w:firstRowFirstColumn="0" w:firstRowLastColumn="0" w:lastRowFirstColumn="0" w:lastRowLastColumn="0"/>
        </w:trPr>
        <w:tc>
          <w:tcPr>
            <w:tcW w:w="4513" w:type="dxa"/>
          </w:tcPr>
          <w:p w14:paraId="4C74755B" w14:textId="77777777" w:rsidR="00C71716" w:rsidRPr="008B6506" w:rsidRDefault="00C71716" w:rsidP="00AF223B">
            <w:pPr>
              <w:pStyle w:val="ListBullet"/>
              <w:numPr>
                <w:ilvl w:val="0"/>
                <w:numId w:val="0"/>
              </w:numPr>
              <w:rPr>
                <w:b/>
                <w:color w:val="000000" w:themeColor="text1"/>
              </w:rPr>
            </w:pPr>
            <w:r w:rsidRPr="008B6506">
              <w:rPr>
                <w:b/>
                <w:color w:val="000000" w:themeColor="text1"/>
              </w:rPr>
              <w:t>Residential Care</w:t>
            </w:r>
          </w:p>
        </w:tc>
        <w:tc>
          <w:tcPr>
            <w:tcW w:w="4513" w:type="dxa"/>
          </w:tcPr>
          <w:p w14:paraId="2AC7065E" w14:textId="77777777" w:rsidR="00C71716" w:rsidRPr="008B6506" w:rsidRDefault="00C71716" w:rsidP="00AF223B">
            <w:pPr>
              <w:pStyle w:val="ListBullet"/>
              <w:numPr>
                <w:ilvl w:val="0"/>
                <w:numId w:val="0"/>
              </w:numPr>
              <w:rPr>
                <w:b/>
                <w:color w:val="000000" w:themeColor="text1"/>
              </w:rPr>
            </w:pPr>
            <w:r w:rsidRPr="008B6506">
              <w:rPr>
                <w:b/>
                <w:color w:val="000000" w:themeColor="text1"/>
              </w:rPr>
              <w:t>Home Care</w:t>
            </w:r>
          </w:p>
        </w:tc>
      </w:tr>
      <w:tr w:rsidR="00C71716" w14:paraId="51F746D6" w14:textId="77777777" w:rsidTr="00426F85">
        <w:trPr>
          <w:trHeight w:val="1510"/>
        </w:trPr>
        <w:tc>
          <w:tcPr>
            <w:tcW w:w="0" w:type="dxa"/>
          </w:tcPr>
          <w:p w14:paraId="6F33721A" w14:textId="77777777" w:rsidR="00C71716" w:rsidRDefault="00C71716" w:rsidP="00426F85">
            <w:pPr>
              <w:pStyle w:val="ListBullet"/>
            </w:pPr>
            <w:r>
              <w:t>Personnel number/sufficiency</w:t>
            </w:r>
          </w:p>
          <w:p w14:paraId="23AD4802" w14:textId="77777777" w:rsidR="00C71716" w:rsidRPr="002A25B2" w:rsidRDefault="00C71716" w:rsidP="00426F85">
            <w:pPr>
              <w:pStyle w:val="ListBullet"/>
            </w:pPr>
            <w:r w:rsidRPr="00EA1528">
              <w:t>Medical administration and manage</w:t>
            </w:r>
            <w:r w:rsidRPr="006674C3">
              <w:t>ment</w:t>
            </w:r>
          </w:p>
          <w:p w14:paraId="49B0323E" w14:textId="77777777" w:rsidR="00C71716" w:rsidRPr="00821B0E" w:rsidRDefault="00C71716" w:rsidP="00426F85">
            <w:pPr>
              <w:pStyle w:val="ListBullet"/>
            </w:pPr>
            <w:r w:rsidRPr="0084491D">
              <w:t>Infectious diseases/infection control</w:t>
            </w:r>
          </w:p>
          <w:p w14:paraId="0784533D" w14:textId="77777777" w:rsidR="00C71716" w:rsidRPr="00821B0E" w:rsidRDefault="00C71716" w:rsidP="00426F85">
            <w:pPr>
              <w:pStyle w:val="ListBullet"/>
            </w:pPr>
            <w:r w:rsidRPr="00821B0E">
              <w:t>Falls prevention and post-fall management</w:t>
            </w:r>
          </w:p>
          <w:p w14:paraId="7A79EF0C" w14:textId="77777777" w:rsidR="00C71716" w:rsidRPr="00821B0E" w:rsidRDefault="00C71716" w:rsidP="00426F85">
            <w:pPr>
              <w:pStyle w:val="ListBullet"/>
            </w:pPr>
            <w:r w:rsidRPr="00821B0E">
              <w:t>Personal and oral hygiene</w:t>
            </w:r>
          </w:p>
          <w:p w14:paraId="2202C8C0" w14:textId="4CD32821" w:rsidR="00C71716" w:rsidRPr="00EA1528" w:rsidRDefault="00C71716" w:rsidP="00426F85">
            <w:pPr>
              <w:pStyle w:val="ListBullet"/>
            </w:pPr>
            <w:r w:rsidRPr="00821B0E">
              <w:t>Consultation</w:t>
            </w:r>
            <w:r>
              <w:t xml:space="preserve"> and communication</w:t>
            </w:r>
          </w:p>
        </w:tc>
        <w:tc>
          <w:tcPr>
            <w:tcW w:w="0" w:type="dxa"/>
          </w:tcPr>
          <w:p w14:paraId="5FDC2259" w14:textId="77777777" w:rsidR="00C71716" w:rsidRPr="00821B0E" w:rsidRDefault="00C71716" w:rsidP="00426F85">
            <w:pPr>
              <w:pStyle w:val="ListBullet"/>
            </w:pPr>
            <w:r w:rsidRPr="002A25B2">
              <w:t>Consultation</w:t>
            </w:r>
            <w:r w:rsidRPr="002702A4">
              <w:t xml:space="preserve"> and communication, including fees and </w:t>
            </w:r>
            <w:r w:rsidRPr="0084491D">
              <w:t>charges</w:t>
            </w:r>
          </w:p>
          <w:p w14:paraId="1B1E9DCE" w14:textId="77777777" w:rsidR="00C71716" w:rsidRPr="00821B0E" w:rsidRDefault="00C71716" w:rsidP="00426F85">
            <w:pPr>
              <w:pStyle w:val="ListBullet"/>
            </w:pPr>
            <w:r w:rsidRPr="00821B0E">
              <w:t>Domestic assistance</w:t>
            </w:r>
          </w:p>
          <w:p w14:paraId="0098A9C7" w14:textId="77777777" w:rsidR="00C71716" w:rsidRPr="00821B0E" w:rsidRDefault="00C71716" w:rsidP="00426F85">
            <w:pPr>
              <w:pStyle w:val="ListBullet"/>
            </w:pPr>
            <w:r w:rsidRPr="00821B0E">
              <w:t>Fees and charges, including management of finances and reimbursements</w:t>
            </w:r>
          </w:p>
          <w:p w14:paraId="0C166397" w14:textId="7AC59A39" w:rsidR="00C71716" w:rsidRPr="00EA1528" w:rsidRDefault="00C71716" w:rsidP="00426F85">
            <w:pPr>
              <w:pStyle w:val="ListBullet"/>
            </w:pPr>
            <w:r w:rsidRPr="00821B0E">
              <w:t>C</w:t>
            </w:r>
            <w:r>
              <w:t>onsistent client care and coordination</w:t>
            </w:r>
          </w:p>
        </w:tc>
      </w:tr>
    </w:tbl>
    <w:p w14:paraId="16655550" w14:textId="3701920B" w:rsidR="00C71716" w:rsidRPr="00A4125D" w:rsidRDefault="00C71716" w:rsidP="00C71716">
      <w:pPr>
        <w:pStyle w:val="Source"/>
      </w:pPr>
      <w:r>
        <w:t>Source:</w:t>
      </w:r>
      <w:r w:rsidRPr="005F7BE5">
        <w:rPr>
          <w:rStyle w:val="EndnoteReference"/>
        </w:rPr>
        <w:t xml:space="preserve"> </w:t>
      </w:r>
      <w:r>
        <w:t>Aged Care Quality and Safety Commission Annual Report 2020</w:t>
      </w:r>
      <w:r w:rsidR="00B37171">
        <w:t>/</w:t>
      </w:r>
      <w:r>
        <w:t>21; Note: The sample for flexible care was too small to report.</w:t>
      </w:r>
    </w:p>
    <w:p w14:paraId="57B3C1EB" w14:textId="6D006F5B" w:rsidR="00F11E9A" w:rsidRPr="00A4125D" w:rsidRDefault="00F11E9A" w:rsidP="0038083D">
      <w:pPr>
        <w:pStyle w:val="Heading3"/>
        <w:ind w:left="993" w:hanging="993"/>
      </w:pPr>
      <w:bookmarkStart w:id="160" w:name="_Toc94771841"/>
      <w:bookmarkStart w:id="161" w:name="_Toc99437520"/>
      <w:r>
        <w:t>Current usage of NACAP services</w:t>
      </w:r>
      <w:r w:rsidR="00373B4A">
        <w:t xml:space="preserve"> among </w:t>
      </w:r>
      <w:r w:rsidR="00FF1F1A">
        <w:t>vulnerable groups</w:t>
      </w:r>
      <w:bookmarkEnd w:id="160"/>
      <w:bookmarkEnd w:id="161"/>
    </w:p>
    <w:p w14:paraId="2276FF0F" w14:textId="5990939C" w:rsidR="00260BD7" w:rsidRDefault="00B809F2" w:rsidP="0052139E">
      <w:r>
        <w:t xml:space="preserve">Vulnerable populations are those who might </w:t>
      </w:r>
      <w:r w:rsidR="00941DE2">
        <w:t xml:space="preserve">have reduced access to </w:t>
      </w:r>
      <w:r w:rsidR="005D14AF">
        <w:t xml:space="preserve">NACAP and broader aged care services due to </w:t>
      </w:r>
      <w:r w:rsidR="00173EB9">
        <w:t xml:space="preserve">individual characteristics (e.g., </w:t>
      </w:r>
      <w:r w:rsidR="004E2CB0">
        <w:t>language barriers,</w:t>
      </w:r>
      <w:r w:rsidR="00666815">
        <w:t xml:space="preserve"> cultural hesitancy to engage with services,</w:t>
      </w:r>
      <w:r w:rsidR="004E2CB0">
        <w:t xml:space="preserve"> health </w:t>
      </w:r>
      <w:r w:rsidR="00A835D5">
        <w:t>risk factors</w:t>
      </w:r>
      <w:r w:rsidR="00637C8C">
        <w:t xml:space="preserve">, </w:t>
      </w:r>
      <w:r w:rsidR="00171837">
        <w:t>elder abuse)</w:t>
      </w:r>
      <w:r w:rsidR="003C0370">
        <w:t xml:space="preserve">. </w:t>
      </w:r>
      <w:r w:rsidR="00F97AA6">
        <w:t>It is important to capture d</w:t>
      </w:r>
      <w:r w:rsidR="00AF150B">
        <w:t xml:space="preserve">emand for vulnerable groups </w:t>
      </w:r>
      <w:r w:rsidR="00F97AA6">
        <w:t xml:space="preserve">as they face </w:t>
      </w:r>
      <w:r w:rsidR="00C87486">
        <w:t>greater barriers to accessing NACAP services but stand to gain large benefits</w:t>
      </w:r>
      <w:r w:rsidR="00D53AEA">
        <w:t xml:space="preserve"> if they can use the services</w:t>
      </w:r>
      <w:r w:rsidR="000E01F6">
        <w:t>.</w:t>
      </w:r>
    </w:p>
    <w:p w14:paraId="5426CE9B" w14:textId="1E11DD61" w:rsidR="00BE433E" w:rsidRDefault="00C4573F" w:rsidP="0052139E">
      <w:r>
        <w:t xml:space="preserve">The </w:t>
      </w:r>
      <w:r w:rsidR="00D029C6">
        <w:t>OPAN</w:t>
      </w:r>
      <w:r>
        <w:t xml:space="preserve"> unit record data captured </w:t>
      </w:r>
      <w:r w:rsidR="00774EDC">
        <w:t>the following user characteristics</w:t>
      </w:r>
      <w:r w:rsidR="00BE433E">
        <w:t xml:space="preserve"> for users of information, advocacy</w:t>
      </w:r>
      <w:r w:rsidR="00E90E42">
        <w:t>,</w:t>
      </w:r>
      <w:r w:rsidR="00BE433E">
        <w:t xml:space="preserve"> and education:</w:t>
      </w:r>
    </w:p>
    <w:p w14:paraId="4A3A624B" w14:textId="77777777" w:rsidR="00D069DA" w:rsidRPr="001B38E9" w:rsidRDefault="00F85382" w:rsidP="00175BC6">
      <w:pPr>
        <w:pStyle w:val="ListBullet"/>
      </w:pPr>
      <w:r w:rsidRPr="001B38E9">
        <w:t xml:space="preserve">Dementia </w:t>
      </w:r>
      <w:r w:rsidR="00D069DA" w:rsidRPr="001B38E9">
        <w:t>status</w:t>
      </w:r>
    </w:p>
    <w:p w14:paraId="576417BA" w14:textId="36C97DCB" w:rsidR="00D069DA" w:rsidRPr="001B38E9" w:rsidRDefault="00C4573F" w:rsidP="00175BC6">
      <w:pPr>
        <w:pStyle w:val="ListBullet"/>
      </w:pPr>
      <w:r w:rsidRPr="001B38E9">
        <w:t xml:space="preserve">Aboriginal and Torres Strait Islander </w:t>
      </w:r>
      <w:r w:rsidR="00C97361" w:rsidRPr="001B38E9">
        <w:t>peoples</w:t>
      </w:r>
    </w:p>
    <w:p w14:paraId="4DFC89E3" w14:textId="77777777" w:rsidR="00D069DA" w:rsidRPr="001B38E9" w:rsidRDefault="00C4573F" w:rsidP="00175BC6">
      <w:pPr>
        <w:pStyle w:val="ListBullet"/>
      </w:pPr>
      <w:r w:rsidRPr="001B38E9">
        <w:t>CALD background</w:t>
      </w:r>
    </w:p>
    <w:p w14:paraId="185F0462" w14:textId="2DD5E530" w:rsidR="009209FA" w:rsidRPr="001B38E9" w:rsidRDefault="009209FA" w:rsidP="00175BC6">
      <w:pPr>
        <w:pStyle w:val="ListBullet"/>
        <w:spacing w:after="170"/>
      </w:pPr>
      <w:r w:rsidRPr="001B38E9">
        <w:t xml:space="preserve">Experience of </w:t>
      </w:r>
      <w:r w:rsidR="00C4573F" w:rsidRPr="001B38E9">
        <w:t>elder abuse</w:t>
      </w:r>
      <w:r w:rsidR="00A854EC">
        <w:t>.</w:t>
      </w:r>
    </w:p>
    <w:p w14:paraId="391FEB1A" w14:textId="1A7B9C6B" w:rsidR="00693C19" w:rsidRDefault="00AD60AA" w:rsidP="00AD60AA">
      <w:r>
        <w:t xml:space="preserve">As illustrated in </w:t>
      </w:r>
      <w:r>
        <w:fldChar w:fldCharType="begin"/>
      </w:r>
      <w:r>
        <w:instrText xml:space="preserve"> REF _Ref94532673 \n \h </w:instrText>
      </w:r>
      <w:r>
        <w:fldChar w:fldCharType="separate"/>
      </w:r>
      <w:r w:rsidR="00DC6A20">
        <w:t>Chart 3.6</w:t>
      </w:r>
      <w:r>
        <w:fldChar w:fldCharType="end"/>
      </w:r>
      <w:r>
        <w:t xml:space="preserve">, advocacy usage </w:t>
      </w:r>
      <w:r w:rsidR="00B207B0">
        <w:t xml:space="preserve">rate </w:t>
      </w:r>
      <w:r>
        <w:t>was low among people with dementia and those experiencing elder abuse across residential aged care and community care.</w:t>
      </w:r>
      <w:r w:rsidR="00C1283B">
        <w:t xml:space="preserve"> The usage of information services was low for people with dementia and those experiencing elder abuse across residential aged care and community care. </w:t>
      </w:r>
      <w:r w:rsidR="009707E1">
        <w:t>In contrast,</w:t>
      </w:r>
      <w:r w:rsidR="001979ED">
        <w:t xml:space="preserve"> Aboriginal and Torres</w:t>
      </w:r>
      <w:r>
        <w:t xml:space="preserve"> </w:t>
      </w:r>
      <w:r w:rsidR="001979ED">
        <w:t xml:space="preserve">Strait Islander people </w:t>
      </w:r>
      <w:r w:rsidR="003B4C15">
        <w:t xml:space="preserve">have </w:t>
      </w:r>
      <w:r w:rsidR="00B52B01">
        <w:t>relatively higher usage rates</w:t>
      </w:r>
      <w:r w:rsidR="00657ABA">
        <w:t xml:space="preserve"> for</w:t>
      </w:r>
      <w:r w:rsidR="00C01949">
        <w:t xml:space="preserve"> information and</w:t>
      </w:r>
      <w:r w:rsidR="00657ABA">
        <w:t xml:space="preserve"> advocacy</w:t>
      </w:r>
      <w:r w:rsidR="00E4321D">
        <w:t xml:space="preserve"> compared to the average across all cohorts</w:t>
      </w:r>
      <w:r w:rsidR="00C01949">
        <w:t>.</w:t>
      </w:r>
    </w:p>
    <w:p w14:paraId="36BEC1D0" w14:textId="4AFDEFA6" w:rsidR="00AD60AA" w:rsidRDefault="00AD60AA" w:rsidP="00FC074C">
      <w:pPr>
        <w:pStyle w:val="CaptionChart"/>
        <w:ind w:left="0"/>
      </w:pPr>
      <w:bookmarkStart w:id="162" w:name="_Toc94776584"/>
      <w:bookmarkStart w:id="163" w:name="_Ref95205811"/>
      <w:bookmarkStart w:id="164" w:name="_Toc99117042"/>
      <w:r>
        <w:t>: Advocacy and information usage among vulnerable populations, by setting</w:t>
      </w:r>
      <w:bookmarkStart w:id="165" w:name="_Ref94532673"/>
      <w:bookmarkEnd w:id="162"/>
      <w:bookmarkEnd w:id="163"/>
      <w:bookmarkEnd w:id="164"/>
    </w:p>
    <w:bookmarkEnd w:id="165"/>
    <w:p w14:paraId="6382AB15" w14:textId="645CC234" w:rsidR="00875472" w:rsidRPr="00147D12" w:rsidRDefault="00C0169C" w:rsidP="006B611A">
      <w:r>
        <w:rPr>
          <w:noProof/>
        </w:rPr>
        <w:drawing>
          <wp:anchor distT="0" distB="0" distL="114300" distR="114300" simplePos="0" relativeHeight="251658253" behindDoc="0" locked="0" layoutInCell="1" allowOverlap="1" wp14:anchorId="60E91486" wp14:editId="16301EB7">
            <wp:simplePos x="0" y="0"/>
            <wp:positionH relativeFrom="page">
              <wp:posOffset>3987800</wp:posOffset>
            </wp:positionH>
            <wp:positionV relativeFrom="paragraph">
              <wp:posOffset>69850</wp:posOffset>
            </wp:positionV>
            <wp:extent cx="3155950" cy="2387600"/>
            <wp:effectExtent l="0" t="0" r="6350" b="0"/>
            <wp:wrapNone/>
            <wp:docPr id="29" name="Chart 29">
              <a:extLst xmlns:a="http://schemas.openxmlformats.org/drawingml/2006/main">
                <a:ext uri="{FF2B5EF4-FFF2-40B4-BE49-F238E27FC236}">
                  <a16:creationId xmlns:a16="http://schemas.microsoft.com/office/drawing/2014/main" id="{94BDCD7B-5A1A-4346-8437-DE8019422F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355E8038" wp14:editId="4F170462">
            <wp:simplePos x="0" y="0"/>
            <wp:positionH relativeFrom="margin">
              <wp:align>left</wp:align>
            </wp:positionH>
            <wp:positionV relativeFrom="paragraph">
              <wp:posOffset>19050</wp:posOffset>
            </wp:positionV>
            <wp:extent cx="3213100" cy="2457450"/>
            <wp:effectExtent l="0" t="0" r="6350" b="0"/>
            <wp:wrapSquare wrapText="bothSides"/>
            <wp:docPr id="9" name="Chart 9">
              <a:extLst xmlns:a="http://schemas.openxmlformats.org/drawingml/2006/main">
                <a:ext uri="{FF2B5EF4-FFF2-40B4-BE49-F238E27FC236}">
                  <a16:creationId xmlns:a16="http://schemas.microsoft.com/office/drawing/2014/main" id="{AEB7D549-DD3E-4921-9C67-36441766597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5342C054" w14:textId="74E187B3" w:rsidR="00504AEB" w:rsidRDefault="00504AEB" w:rsidP="00AD60AA">
      <w:pPr>
        <w:rPr>
          <w:color w:val="75787B" w:themeColor="accent6"/>
          <w:sz w:val="14"/>
          <w:szCs w:val="14"/>
        </w:rPr>
      </w:pPr>
    </w:p>
    <w:p w14:paraId="227F94F4" w14:textId="41DBF602" w:rsidR="00504AEB" w:rsidRDefault="00504AEB" w:rsidP="00B10C01">
      <w:pPr>
        <w:ind w:firstLine="720"/>
        <w:rPr>
          <w:color w:val="75787B" w:themeColor="accent6"/>
          <w:sz w:val="14"/>
          <w:szCs w:val="14"/>
        </w:rPr>
      </w:pPr>
    </w:p>
    <w:p w14:paraId="3AD8FDB8" w14:textId="38071604" w:rsidR="00AD60AA" w:rsidRPr="007824B4" w:rsidRDefault="00504AEB" w:rsidP="00AD60AA">
      <w:pPr>
        <w:rPr>
          <w:szCs w:val="22"/>
        </w:rPr>
      </w:pPr>
      <w:r>
        <w:rPr>
          <w:color w:val="75787B" w:themeColor="accent6"/>
          <w:sz w:val="14"/>
          <w:szCs w:val="14"/>
        </w:rPr>
        <w:br w:type="textWrapping" w:clear="all"/>
      </w:r>
      <w:r w:rsidR="00AD60AA" w:rsidRPr="008B6506">
        <w:rPr>
          <w:color w:val="595959" w:themeColor="text1" w:themeTint="A6"/>
          <w:szCs w:val="22"/>
        </w:rPr>
        <w:t>Source: OPAN unit record data; OPAN Progress Report 2020/21; modelling by Deloitte Access Economics</w:t>
      </w:r>
    </w:p>
    <w:p w14:paraId="33C2CCEF" w14:textId="44717581" w:rsidR="009D7363" w:rsidRDefault="0098146C" w:rsidP="0098146C">
      <w:pPr>
        <w:rPr>
          <w:bCs/>
        </w:rPr>
      </w:pPr>
      <w:r>
        <w:t>These results are consistent with insights from stakeholder consultations, which shed light on the barriers faced by these communities. For instance, o</w:t>
      </w:r>
      <w:proofErr w:type="spellStart"/>
      <w:r w:rsidRPr="005C6E41">
        <w:rPr>
          <w:bCs/>
          <w:lang w:val="en-GB"/>
        </w:rPr>
        <w:t>lder</w:t>
      </w:r>
      <w:proofErr w:type="spellEnd"/>
      <w:r w:rsidRPr="005C6E41">
        <w:rPr>
          <w:bCs/>
          <w:lang w:val="en-GB"/>
        </w:rPr>
        <w:t xml:space="preserve"> people with dementia</w:t>
      </w:r>
      <w:r>
        <w:rPr>
          <w:bCs/>
          <w:lang w:val="en-GB"/>
        </w:rPr>
        <w:t xml:space="preserve"> may rely on </w:t>
      </w:r>
      <w:r w:rsidRPr="005C6E41">
        <w:rPr>
          <w:bCs/>
          <w:lang w:val="en-GB"/>
        </w:rPr>
        <w:t>carers to comprehend their requirements and find appropriate support</w:t>
      </w:r>
      <w:r>
        <w:rPr>
          <w:bCs/>
          <w:lang w:val="en-GB"/>
        </w:rPr>
        <w:t xml:space="preserve"> on their behalf</w:t>
      </w:r>
      <w:r w:rsidRPr="005C6E41">
        <w:rPr>
          <w:bCs/>
          <w:lang w:val="en-GB"/>
        </w:rPr>
        <w:t xml:space="preserve">. </w:t>
      </w:r>
      <w:r>
        <w:rPr>
          <w:bCs/>
          <w:lang w:val="en-GB"/>
        </w:rPr>
        <w:t xml:space="preserve">This can place a significant strain on the informal carer, who </w:t>
      </w:r>
      <w:r w:rsidR="00F763B8">
        <w:rPr>
          <w:bCs/>
          <w:lang w:val="en-GB"/>
        </w:rPr>
        <w:t xml:space="preserve">is often </w:t>
      </w:r>
      <w:r>
        <w:rPr>
          <w:bCs/>
          <w:lang w:val="en-GB"/>
        </w:rPr>
        <w:t>experiencing frailty and ageing themselves.</w:t>
      </w:r>
      <w:r>
        <w:rPr>
          <w:bCs/>
        </w:rPr>
        <w:t xml:space="preserve"> </w:t>
      </w:r>
      <w:r w:rsidR="00190945">
        <w:rPr>
          <w:bCs/>
        </w:rPr>
        <w:t xml:space="preserve">Consultations indicated that these vulnerable groups faced significant challenges in accessing </w:t>
      </w:r>
      <w:r w:rsidR="00C8540C">
        <w:rPr>
          <w:bCs/>
        </w:rPr>
        <w:t xml:space="preserve">the </w:t>
      </w:r>
      <w:r w:rsidR="00190945">
        <w:rPr>
          <w:bCs/>
        </w:rPr>
        <w:t>NACAP that are not necessarily captured in the data.</w:t>
      </w:r>
      <w:r w:rsidR="00E4548E">
        <w:rPr>
          <w:bCs/>
        </w:rPr>
        <w:t xml:space="preserve"> We also heard that </w:t>
      </w:r>
      <w:r w:rsidR="00DA0B26">
        <w:rPr>
          <w:bCs/>
        </w:rPr>
        <w:t xml:space="preserve">some </w:t>
      </w:r>
      <w:r w:rsidR="00E4548E">
        <w:rPr>
          <w:bCs/>
        </w:rPr>
        <w:t xml:space="preserve">SDOs have </w:t>
      </w:r>
      <w:r w:rsidR="00DA0B26">
        <w:rPr>
          <w:bCs/>
        </w:rPr>
        <w:t>focused on targeting</w:t>
      </w:r>
      <w:r w:rsidR="00E4548E">
        <w:rPr>
          <w:bCs/>
        </w:rPr>
        <w:t xml:space="preserve"> service delivery for </w:t>
      </w:r>
      <w:r w:rsidR="00DA0B26">
        <w:rPr>
          <w:bCs/>
        </w:rPr>
        <w:t xml:space="preserve">Aboriginal and Torres Islander people which </w:t>
      </w:r>
      <w:r w:rsidR="004B062F">
        <w:rPr>
          <w:bCs/>
        </w:rPr>
        <w:t>is consistent with a relatively high usage rate for this cohort.</w:t>
      </w:r>
    </w:p>
    <w:p w14:paraId="07CDA806" w14:textId="7FF66B82" w:rsidR="00083BE9" w:rsidRDefault="00083BE9" w:rsidP="00083BE9">
      <w:pPr>
        <w:pStyle w:val="Heading4"/>
      </w:pPr>
      <w:r>
        <w:t>Elder abuse</w:t>
      </w:r>
    </w:p>
    <w:p w14:paraId="69082F77" w14:textId="08FF8628" w:rsidR="0098146C" w:rsidRDefault="0098146C" w:rsidP="0098146C">
      <w:proofErr w:type="gramStart"/>
      <w:r>
        <w:rPr>
          <w:bCs/>
        </w:rPr>
        <w:t>With regard to</w:t>
      </w:r>
      <w:proofErr w:type="gramEnd"/>
      <w:r>
        <w:rPr>
          <w:bCs/>
        </w:rPr>
        <w:t xml:space="preserve"> elder abuse, a</w:t>
      </w:r>
      <w:r>
        <w:t>ccess to advocacy for those suffering abuse when living in the community can be difficult as the perpetrator is often</w:t>
      </w:r>
      <w:r w:rsidR="00D26422">
        <w:t xml:space="preserve"> able to prevent </w:t>
      </w:r>
      <w:r w:rsidR="00E73ADB">
        <w:t xml:space="preserve">access to advocacy. </w:t>
      </w:r>
      <w:r w:rsidR="00461AC8">
        <w:t>F</w:t>
      </w:r>
      <w:r>
        <w:t>amily member</w:t>
      </w:r>
      <w:r w:rsidR="00461AC8">
        <w:t xml:space="preserve"> may be perpetrators of abuse and often</w:t>
      </w:r>
      <w:r>
        <w:t xml:space="preserve"> exercises substantial control over multiple aspects of their lives, according to stakeholders. This control can lead to social isolation, exacerbating the challenges faced by the individual in accessing help outside of the home. </w:t>
      </w:r>
      <w:r w:rsidR="008F61C0">
        <w:t>Professional carers can also be perpetrators of abuse within the community - t</w:t>
      </w:r>
      <w:r w:rsidR="00F001BA">
        <w:t>he recently finalised National Elder Abuse Prevalence Study, conducted by the Australian Institute of Family Studies, reported on the prevalence of elder abuse in community settings</w:t>
      </w:r>
      <w:r w:rsidR="00C25803">
        <w:t xml:space="preserve"> and</w:t>
      </w:r>
      <w:r w:rsidR="00F001BA">
        <w:t xml:space="preserve"> found that 3% of perpetrators of abuse were professional </w:t>
      </w:r>
      <w:proofErr w:type="spellStart"/>
      <w:r w:rsidR="00F001BA">
        <w:t>carers</w:t>
      </w:r>
      <w:proofErr w:type="spellEnd"/>
      <w:r w:rsidR="00F001BA">
        <w:t xml:space="preserve"> and a further 5.8% were service providers.</w:t>
      </w:r>
      <w:r w:rsidR="00C25803">
        <w:rPr>
          <w:rStyle w:val="EndnoteReference"/>
        </w:rPr>
        <w:endnoteReference w:id="25"/>
      </w:r>
      <w:r w:rsidR="00C25803">
        <w:t xml:space="preserve"> </w:t>
      </w:r>
      <w:r w:rsidR="00F001BA">
        <w:t xml:space="preserve">This sheds some light on the extent of abuse that may be perpetrated by home care staff. </w:t>
      </w:r>
      <w:r>
        <w:t>Similar situations in residential care were also raised by stakeholders, for example, where a caregiver may prevent the individual from alerting family and from being aware of supports like advocacy.</w:t>
      </w:r>
      <w:r w:rsidR="0088212A">
        <w:t xml:space="preserve"> </w:t>
      </w:r>
      <w:r w:rsidR="00B65CCA">
        <w:t xml:space="preserve">This suggests that while there is a need for advocacy by older persons experiencing elder abuse, because of the </w:t>
      </w:r>
      <w:r w:rsidR="00070227">
        <w:t>additional hurdles in awareness and access they are also likely to be inadequately captured in c</w:t>
      </w:r>
      <w:r w:rsidR="00820B7A">
        <w:t>urrent demand.</w:t>
      </w:r>
    </w:p>
    <w:p w14:paraId="675ED1C1" w14:textId="27FEA36A" w:rsidR="00083BE9" w:rsidRDefault="00083BE9" w:rsidP="00083BE9">
      <w:pPr>
        <w:pStyle w:val="Heading4"/>
      </w:pPr>
      <w:r>
        <w:t>Aboriginal and Torres Strait Islanders</w:t>
      </w:r>
    </w:p>
    <w:p w14:paraId="2324F2F4" w14:textId="64F92B6C" w:rsidR="00EF649D" w:rsidRDefault="006C3D24" w:rsidP="0098146C">
      <w:r>
        <w:fldChar w:fldCharType="begin"/>
      </w:r>
      <w:r>
        <w:instrText xml:space="preserve"> REF _Ref95205811 \n \h </w:instrText>
      </w:r>
      <w:r>
        <w:fldChar w:fldCharType="separate"/>
      </w:r>
      <w:r w:rsidR="00DC6A20">
        <w:t>Chart 3.6</w:t>
      </w:r>
      <w:r>
        <w:fldChar w:fldCharType="end"/>
      </w:r>
      <w:r>
        <w:t xml:space="preserve"> </w:t>
      </w:r>
      <w:r w:rsidR="0098146C">
        <w:t xml:space="preserve">also shows that advocacy </w:t>
      </w:r>
      <w:r w:rsidR="00D77D29">
        <w:t xml:space="preserve">and information </w:t>
      </w:r>
      <w:r w:rsidR="0098146C">
        <w:t>usage by people of Aboriginal and Torres Strait Islander</w:t>
      </w:r>
      <w:r w:rsidR="00D77D29">
        <w:t xml:space="preserve"> was relatively higher than average</w:t>
      </w:r>
      <w:r w:rsidR="00FD6D7A">
        <w:t xml:space="preserve">. </w:t>
      </w:r>
      <w:r w:rsidR="003F3A80">
        <w:t xml:space="preserve">Notwithstanding this, </w:t>
      </w:r>
      <w:proofErr w:type="gramStart"/>
      <w:r w:rsidR="00E85C61">
        <w:t>with the exception of</w:t>
      </w:r>
      <w:proofErr w:type="gramEnd"/>
      <w:r w:rsidR="00E85C61">
        <w:t xml:space="preserve"> </w:t>
      </w:r>
      <w:r w:rsidR="00C738F7">
        <w:t xml:space="preserve">advocacy in community care settings, the usage rates are well below </w:t>
      </w:r>
      <w:r w:rsidR="0058621E">
        <w:t xml:space="preserve">the minimum 5% </w:t>
      </w:r>
      <w:r w:rsidR="007B0EC6">
        <w:t xml:space="preserve">usage target recommended by the Aged Care Royal Commission. </w:t>
      </w:r>
      <w:r w:rsidR="0098146C">
        <w:t xml:space="preserve">One reason for </w:t>
      </w:r>
      <w:r w:rsidR="007660B6">
        <w:t>this</w:t>
      </w:r>
      <w:r w:rsidR="0098146C">
        <w:t xml:space="preserve"> might be that the services as delivered currently </w:t>
      </w:r>
      <w:r w:rsidR="007660B6">
        <w:t xml:space="preserve">in residential aged care </w:t>
      </w:r>
      <w:r w:rsidR="0098146C">
        <w:t xml:space="preserve">are not culturally appropriate, which stakeholder consultations suggest is important for the services to be taken up by members of these communities. Lasting impacts of institutionalisation means there is a level of trauma associated with residential aged care for many older people </w:t>
      </w:r>
      <w:r w:rsidR="009876D0">
        <w:t>within the Aboriginal and Torres Strait Islander communities</w:t>
      </w:r>
      <w:r w:rsidR="0098146C">
        <w:t>.</w:t>
      </w:r>
    </w:p>
    <w:p w14:paraId="376D34E6" w14:textId="10667FC6" w:rsidR="00083BE9" w:rsidRDefault="00083BE9" w:rsidP="00083BE9">
      <w:pPr>
        <w:pStyle w:val="Heading4"/>
      </w:pPr>
      <w:r>
        <w:t>Cultural and linguistically diverse communities</w:t>
      </w:r>
    </w:p>
    <w:p w14:paraId="58BDB8AA" w14:textId="4603CD17" w:rsidR="00A85A4E" w:rsidRDefault="0098146C" w:rsidP="0098146C">
      <w:r>
        <w:t>Cultural barriers also persist within CALD communities. Australia’s CALD community is incredibly diverse – in ethnicity, beliefs, cultural attitudes, spoken language (including the level of English spoken), and time lived in Australia. The aged care needs of these individuals are equally diverse, with specific language, cultural, and personal care requirements common. This creates service delivery requirements for aged care providers that have, in part, been responded to through the provision of services tailored to specific ethnic groups.</w:t>
      </w:r>
      <w:r w:rsidRPr="00666601">
        <w:t xml:space="preserve"> </w:t>
      </w:r>
      <w:r w:rsidR="00A85A4E">
        <w:t xml:space="preserve">As seen in </w:t>
      </w:r>
      <w:r w:rsidR="00A85A4E">
        <w:fldChar w:fldCharType="begin"/>
      </w:r>
      <w:r w:rsidR="00A85A4E">
        <w:instrText xml:space="preserve"> REF _Ref95205811 \n \h </w:instrText>
      </w:r>
      <w:r w:rsidR="00A85A4E">
        <w:fldChar w:fldCharType="separate"/>
      </w:r>
      <w:r w:rsidR="00DC6A20">
        <w:t>Chart 3.6</w:t>
      </w:r>
      <w:r w:rsidR="00A85A4E">
        <w:fldChar w:fldCharType="end"/>
      </w:r>
      <w:r w:rsidR="00A85A4E">
        <w:t xml:space="preserve">, </w:t>
      </w:r>
      <w:r w:rsidR="008638EE">
        <w:t xml:space="preserve">the utilisation of </w:t>
      </w:r>
      <w:r w:rsidR="00DC5094">
        <w:t xml:space="preserve">advocacy and information services by members of the CALD community is </w:t>
      </w:r>
      <w:r w:rsidR="003A7EA4">
        <w:t xml:space="preserve">higher than some other vulnerability groups but like for Aboriginal and Torres Strait Islander people, </w:t>
      </w:r>
      <w:r w:rsidR="00225EDD">
        <w:t xml:space="preserve">still falling short of the minimum 5% target usage rate recommended by the Aged Care Royal Commission. </w:t>
      </w:r>
      <w:r w:rsidR="0079407D">
        <w:t xml:space="preserve">The exception is that for </w:t>
      </w:r>
      <w:r w:rsidR="007047E3">
        <w:t>advocacy usage in community care</w:t>
      </w:r>
      <w:r w:rsidR="0079407D">
        <w:t>, usage by CALD older persons is high,</w:t>
      </w:r>
      <w:r w:rsidR="007047E3">
        <w:t xml:space="preserve"> at over 6%.</w:t>
      </w:r>
    </w:p>
    <w:p w14:paraId="071632CA" w14:textId="016246F3" w:rsidR="00DE775D" w:rsidRDefault="0098146C" w:rsidP="0098146C">
      <w:r w:rsidRPr="00666601">
        <w:t>Several</w:t>
      </w:r>
      <w:r w:rsidRPr="00FF3041">
        <w:t xml:space="preserve"> stakeholders </w:t>
      </w:r>
      <w:r>
        <w:t>noted</w:t>
      </w:r>
      <w:r w:rsidRPr="00FF3041">
        <w:t xml:space="preserve"> that ad</w:t>
      </w:r>
      <w:r>
        <w:t xml:space="preserve">vocacy in its current form is mostly steered towards English speaking communities. The challenges go beyond language barriers – stakeholders raised that even the word ‘advocacy’ is not directly translatable to all cultures and languages. </w:t>
      </w:r>
      <w:r w:rsidRPr="00565522">
        <w:t xml:space="preserve">Older people and their families </w:t>
      </w:r>
      <w:r>
        <w:t xml:space="preserve">from CALD backgrounds </w:t>
      </w:r>
      <w:r w:rsidRPr="00565522">
        <w:t>are more likely to trust people from similar backgrounds, often sharing critical experiences only with members of the same community.</w:t>
      </w:r>
    </w:p>
    <w:p w14:paraId="41250509" w14:textId="461C5B80" w:rsidR="00F32E87" w:rsidRDefault="00F32E87" w:rsidP="00794BB2">
      <w:pPr>
        <w:pStyle w:val="Heading4"/>
      </w:pPr>
      <w:r>
        <w:t>Other vulnerable groups</w:t>
      </w:r>
    </w:p>
    <w:p w14:paraId="487BDA9E" w14:textId="1ADFB2B1" w:rsidR="001467C2" w:rsidRDefault="00F32E87" w:rsidP="00F32E87">
      <w:r>
        <w:t>In addition to the characteristics captured in the unit record data, there are a host of challenges faced by other groups that are not captured in the data, but who are equally important to consider as priority populations. These challenges include barriers faced by</w:t>
      </w:r>
      <w:r w:rsidR="00CC4B58">
        <w:t>:</w:t>
      </w:r>
    </w:p>
    <w:p w14:paraId="7FE6DBBF" w14:textId="587A2023" w:rsidR="001467C2" w:rsidRDefault="00C02C0B" w:rsidP="00467F6D">
      <w:pPr>
        <w:pStyle w:val="ListBullet"/>
      </w:pPr>
      <w:r w:rsidRPr="00D65630">
        <w:rPr>
          <w:i/>
          <w:iCs/>
        </w:rPr>
        <w:t>O</w:t>
      </w:r>
      <w:r w:rsidR="00F32E87" w:rsidRPr="00D65630">
        <w:rPr>
          <w:i/>
          <w:iCs/>
        </w:rPr>
        <w:t>lder</w:t>
      </w:r>
      <w:r w:rsidR="00F32E87" w:rsidRPr="00D65630">
        <w:rPr>
          <w:i/>
        </w:rPr>
        <w:t xml:space="preserve"> people with disabilities</w:t>
      </w:r>
      <w:r w:rsidR="00467F6D">
        <w:t xml:space="preserve">: </w:t>
      </w:r>
      <w:r w:rsidR="00624C57">
        <w:t>According to stakeholders, t</w:t>
      </w:r>
      <w:r w:rsidR="001726C3" w:rsidRPr="001726C3">
        <w:t xml:space="preserve">he </w:t>
      </w:r>
      <w:r w:rsidR="00CC4B58">
        <w:t xml:space="preserve">complex health </w:t>
      </w:r>
      <w:proofErr w:type="gramStart"/>
      <w:r w:rsidR="001726C3" w:rsidRPr="001726C3">
        <w:t>needs</w:t>
      </w:r>
      <w:proofErr w:type="gramEnd"/>
      <w:r w:rsidR="001726C3" w:rsidRPr="001726C3">
        <w:t xml:space="preserve"> and preferences of many people with disability over the age of 65 are not adequately represented across the systems. This was believed to be especially true for older people who are not eligible for NDIS due to the late identification of their disabilities.</w:t>
      </w:r>
      <w:r w:rsidR="00467F6D">
        <w:t xml:space="preserve"> </w:t>
      </w:r>
      <w:r w:rsidR="001472F0">
        <w:t xml:space="preserve">Many people with disability </w:t>
      </w:r>
      <w:r w:rsidR="00A965B5">
        <w:t xml:space="preserve">are informally </w:t>
      </w:r>
      <w:r w:rsidR="00FE1988">
        <w:t>supported by their families</w:t>
      </w:r>
      <w:r w:rsidR="00E96BF7">
        <w:t xml:space="preserve">, however, as </w:t>
      </w:r>
      <w:r w:rsidR="007D4F71">
        <w:t xml:space="preserve">they age, so too </w:t>
      </w:r>
      <w:r w:rsidR="009F4CF1">
        <w:t>do their famil</w:t>
      </w:r>
      <w:r w:rsidR="003D397F">
        <w:t>y members</w:t>
      </w:r>
      <w:r w:rsidR="009F4CF1">
        <w:t xml:space="preserve">, thereby reducing </w:t>
      </w:r>
      <w:r w:rsidR="00C81A1D">
        <w:t>these informal advocacy support</w:t>
      </w:r>
      <w:r w:rsidR="00646AAC">
        <w:t>s.</w:t>
      </w:r>
      <w:r w:rsidR="00467F6D">
        <w:t xml:space="preserve"> </w:t>
      </w:r>
      <w:r w:rsidR="009740D7" w:rsidRPr="00467F6D">
        <w:rPr>
          <w:bCs/>
          <w:lang w:val="en-GB"/>
        </w:rPr>
        <w:t xml:space="preserve">In addition, there are those that experience social isolation due to physical access constraints. </w:t>
      </w:r>
      <w:r w:rsidR="00EA6B1E">
        <w:rPr>
          <w:bCs/>
          <w:lang w:val="en-GB"/>
        </w:rPr>
        <w:t>O</w:t>
      </w:r>
      <w:r w:rsidR="00EA6B1E" w:rsidRPr="00EA6B1E">
        <w:rPr>
          <w:bCs/>
          <w:lang w:val="en-GB"/>
        </w:rPr>
        <w:t>lder people with cognitive impairment</w:t>
      </w:r>
      <w:r w:rsidR="00EA6B1E">
        <w:rPr>
          <w:bCs/>
          <w:lang w:val="en-GB"/>
        </w:rPr>
        <w:t xml:space="preserve"> or </w:t>
      </w:r>
      <w:r w:rsidR="00E93551">
        <w:rPr>
          <w:bCs/>
          <w:lang w:val="en-GB"/>
        </w:rPr>
        <w:t>communication barriers</w:t>
      </w:r>
      <w:r w:rsidR="00EA6B1E" w:rsidRPr="00EA6B1E">
        <w:rPr>
          <w:bCs/>
          <w:lang w:val="en-GB"/>
        </w:rPr>
        <w:t xml:space="preserve"> </w:t>
      </w:r>
      <w:r w:rsidR="0084494D">
        <w:rPr>
          <w:bCs/>
          <w:lang w:val="en-GB"/>
        </w:rPr>
        <w:t xml:space="preserve">may face </w:t>
      </w:r>
      <w:r w:rsidR="00EA6B1E" w:rsidRPr="00EA6B1E">
        <w:rPr>
          <w:bCs/>
          <w:lang w:val="en-GB"/>
        </w:rPr>
        <w:t xml:space="preserve">significant barriers to accessing </w:t>
      </w:r>
      <w:r w:rsidR="00C131B1">
        <w:rPr>
          <w:bCs/>
          <w:lang w:val="en-GB"/>
        </w:rPr>
        <w:t>advocacy services and articulating their needs</w:t>
      </w:r>
      <w:r w:rsidR="00EA6B1E" w:rsidRPr="00EA6B1E">
        <w:rPr>
          <w:bCs/>
          <w:lang w:val="en-GB"/>
        </w:rPr>
        <w:t>.</w:t>
      </w:r>
    </w:p>
    <w:p w14:paraId="45FD7D34" w14:textId="1E78D929" w:rsidR="00CE150A" w:rsidRDefault="00F32E87" w:rsidP="00F178E7">
      <w:pPr>
        <w:pStyle w:val="ListBullet"/>
        <w:numPr>
          <w:ilvl w:val="0"/>
          <w:numId w:val="43"/>
        </w:numPr>
      </w:pPr>
      <w:r w:rsidRPr="001B32E5">
        <w:rPr>
          <w:i/>
          <w:iCs/>
        </w:rPr>
        <w:t>LGBTIQ+ community</w:t>
      </w:r>
      <w:r w:rsidR="00624C57">
        <w:t xml:space="preserve">: Consultations revealed that there is a general view that </w:t>
      </w:r>
      <w:r w:rsidR="00155743">
        <w:t xml:space="preserve">there is a </w:t>
      </w:r>
      <w:r w:rsidR="00694B39">
        <w:t xml:space="preserve">lack of recognition </w:t>
      </w:r>
      <w:r w:rsidR="003A5D68">
        <w:t xml:space="preserve">and understanding </w:t>
      </w:r>
      <w:r w:rsidR="00694B39">
        <w:t>for the</w:t>
      </w:r>
      <w:r w:rsidR="00B926DF">
        <w:t xml:space="preserve"> </w:t>
      </w:r>
      <w:r w:rsidR="00694B39">
        <w:t>needs of the LGBTIQ+</w:t>
      </w:r>
      <w:r w:rsidR="00BE3CFB">
        <w:t xml:space="preserve"> in the aged care sector</w:t>
      </w:r>
      <w:r w:rsidR="00715376">
        <w:t xml:space="preserve">, particularly as aged care may be an environment that older persons may consider unsafe to disclose their </w:t>
      </w:r>
      <w:r w:rsidR="005C6C0F">
        <w:t xml:space="preserve">identities. </w:t>
      </w:r>
      <w:r w:rsidR="00297D00">
        <w:t>O</w:t>
      </w:r>
      <w:r w:rsidR="00DD671E">
        <w:t xml:space="preserve">lder members of the </w:t>
      </w:r>
      <w:r w:rsidR="0099609E">
        <w:t xml:space="preserve">LGBTIQ+ community </w:t>
      </w:r>
      <w:r w:rsidR="00051444">
        <w:t>may lack a</w:t>
      </w:r>
      <w:r w:rsidR="0099609E">
        <w:t xml:space="preserve"> </w:t>
      </w:r>
      <w:r w:rsidR="00092F4A">
        <w:t xml:space="preserve">safe and accepting environment to </w:t>
      </w:r>
      <w:r w:rsidR="000A4698">
        <w:t xml:space="preserve">disclose their </w:t>
      </w:r>
      <w:r w:rsidR="00087514">
        <w:t>identities</w:t>
      </w:r>
      <w:r w:rsidR="00051444">
        <w:t xml:space="preserve"> and face discrimination from aged care providers</w:t>
      </w:r>
      <w:r w:rsidR="00087514">
        <w:t>.</w:t>
      </w:r>
      <w:r w:rsidR="00174573">
        <w:t xml:space="preserve"> </w:t>
      </w:r>
      <w:r w:rsidR="00A56B23" w:rsidRPr="00A56B23">
        <w:t>Stakeholder consultations revealed that members of this community reportedly access LGBTIQ+ specific advocacy more than they do aged care advocacy due to a lack of understanding of needs specific to this group within the mainstream system.</w:t>
      </w:r>
    </w:p>
    <w:p w14:paraId="5087A332" w14:textId="23D992E9" w:rsidR="00087514" w:rsidRDefault="00087514" w:rsidP="00F178E7">
      <w:pPr>
        <w:pStyle w:val="ListParagraph"/>
        <w:numPr>
          <w:ilvl w:val="0"/>
          <w:numId w:val="43"/>
        </w:numPr>
      </w:pPr>
      <w:r w:rsidRPr="004842BE">
        <w:rPr>
          <w:i/>
          <w:iCs/>
        </w:rPr>
        <w:t>V</w:t>
      </w:r>
      <w:r w:rsidR="00F32E87" w:rsidRPr="004842BE">
        <w:rPr>
          <w:i/>
          <w:iCs/>
        </w:rPr>
        <w:t>eterans, war widows and widowers</w:t>
      </w:r>
      <w:r w:rsidR="00A56B23">
        <w:t>:</w:t>
      </w:r>
      <w:r w:rsidR="00D86A75">
        <w:t xml:space="preserve"> </w:t>
      </w:r>
      <w:r w:rsidR="00E01F5E">
        <w:t>Feedback received from stakeholder consultations reflect</w:t>
      </w:r>
      <w:r w:rsidR="0066221A">
        <w:t>ed</w:t>
      </w:r>
      <w:r w:rsidR="00E01F5E">
        <w:t xml:space="preserve"> that n</w:t>
      </w:r>
      <w:r w:rsidR="00B84A56" w:rsidRPr="00B84A56">
        <w:t xml:space="preserve">avigating and accessing services </w:t>
      </w:r>
      <w:r w:rsidR="007369B7" w:rsidRPr="00B84A56">
        <w:t>is</w:t>
      </w:r>
      <w:r w:rsidR="00B84A56" w:rsidRPr="00B84A56">
        <w:t xml:space="preserve"> challenging for veterans who have faced sustained physical injury, are incapacitated, or have post-traumatic stress disorder (PTSD) due to conflict.</w:t>
      </w:r>
      <w:r w:rsidR="004842BE">
        <w:t xml:space="preserve"> </w:t>
      </w:r>
      <w:r w:rsidR="004842BE" w:rsidRPr="005C6E41">
        <w:t xml:space="preserve">Stakeholders within veteran </w:t>
      </w:r>
      <w:r w:rsidR="004842BE">
        <w:t>organisations</w:t>
      </w:r>
      <w:r w:rsidR="004842BE" w:rsidRPr="005C6E41">
        <w:t xml:space="preserve"> highlighted the importance of </w:t>
      </w:r>
      <w:r w:rsidR="00A272DE">
        <w:t xml:space="preserve">continuing to build </w:t>
      </w:r>
      <w:r w:rsidR="004842BE" w:rsidRPr="005C6E41">
        <w:t xml:space="preserve">partnerships between veteran organisations and aged care organisations, including for advocacy. </w:t>
      </w:r>
      <w:r w:rsidR="004842BE">
        <w:t xml:space="preserve">Veterans’ advocacy services span across aged care and therefore stakeholders have suggested that building partnerships between veterans’ advocacy services and OPAN will assist in meeting the demand for advocacy services. </w:t>
      </w:r>
      <w:r w:rsidR="004842BE" w:rsidRPr="005C6E41">
        <w:t xml:space="preserve">As the system currently stands, veteran advocates face barriers </w:t>
      </w:r>
      <w:r w:rsidR="004842BE">
        <w:t xml:space="preserve">integrating with </w:t>
      </w:r>
      <w:r w:rsidR="004842BE" w:rsidRPr="005C6E41">
        <w:t>the aged care system, which restricts their ability to advocate efficiently for their clients.</w:t>
      </w:r>
    </w:p>
    <w:p w14:paraId="06C7CFEE" w14:textId="3AB944AE" w:rsidR="00196826" w:rsidRDefault="00196826" w:rsidP="00F178E7">
      <w:pPr>
        <w:pStyle w:val="ListParagraph"/>
        <w:numPr>
          <w:ilvl w:val="0"/>
          <w:numId w:val="43"/>
        </w:numPr>
      </w:pPr>
      <w:r w:rsidRPr="00181FF2">
        <w:rPr>
          <w:i/>
          <w:iCs/>
        </w:rPr>
        <w:t>I</w:t>
      </w:r>
      <w:r w:rsidR="00F32E87" w:rsidRPr="00181FF2">
        <w:rPr>
          <w:i/>
          <w:iCs/>
        </w:rPr>
        <w:t xml:space="preserve">nformal care </w:t>
      </w:r>
      <w:r w:rsidR="00F32E87" w:rsidRPr="00B10C01">
        <w:rPr>
          <w:i/>
        </w:rPr>
        <w:t>network</w:t>
      </w:r>
      <w:r w:rsidR="00181FF2" w:rsidRPr="005C0C93">
        <w:t>:</w:t>
      </w:r>
      <w:r w:rsidR="00181FF2">
        <w:t xml:space="preserve"> </w:t>
      </w:r>
      <w:r w:rsidR="007E231D">
        <w:t>Stakeholder</w:t>
      </w:r>
      <w:r w:rsidR="00E731F4">
        <w:t xml:space="preserve"> consultations revealed that p</w:t>
      </w:r>
      <w:r w:rsidR="00F231CE" w:rsidRPr="00181FF2">
        <w:t>eople</w:t>
      </w:r>
      <w:r w:rsidR="00F231CE">
        <w:t xml:space="preserve"> </w:t>
      </w:r>
      <w:r w:rsidR="001B1C91">
        <w:t>supported by informal care network</w:t>
      </w:r>
      <w:r w:rsidR="008B32BA">
        <w:t>s often</w:t>
      </w:r>
      <w:r w:rsidR="001B1C91">
        <w:t xml:space="preserve"> </w:t>
      </w:r>
      <w:r w:rsidR="005C0C93">
        <w:t>lack</w:t>
      </w:r>
      <w:r w:rsidR="00894AA7">
        <w:t xml:space="preserve"> </w:t>
      </w:r>
      <w:r w:rsidR="00F231CE">
        <w:t>awareness of formal advocacy</w:t>
      </w:r>
      <w:r w:rsidR="005C0C93">
        <w:t>.</w:t>
      </w:r>
      <w:r w:rsidR="00F231CE">
        <w:t xml:space="preserve"> </w:t>
      </w:r>
      <w:r w:rsidR="005C0C93">
        <w:t xml:space="preserve">Better awareness </w:t>
      </w:r>
      <w:r w:rsidR="00787C2D">
        <w:t xml:space="preserve">could </w:t>
      </w:r>
      <w:r w:rsidR="00743DA7">
        <w:t>allow them to access support that is beyond their informal care</w:t>
      </w:r>
      <w:r w:rsidR="00DA16D1">
        <w:t xml:space="preserve"> network.</w:t>
      </w:r>
      <w:r w:rsidR="00435C59">
        <w:t xml:space="preserve"> </w:t>
      </w:r>
      <w:r w:rsidR="00A606D4" w:rsidRPr="00A606D4">
        <w:t xml:space="preserve">While the need for advocacy is likely to be greater if the older person has no informal carers to advocate for them, the </w:t>
      </w:r>
      <w:r w:rsidR="00426E56">
        <w:t xml:space="preserve">realised </w:t>
      </w:r>
      <w:r w:rsidR="00A606D4" w:rsidRPr="00A606D4">
        <w:t xml:space="preserve">demand for advocacy is likely to be lower </w:t>
      </w:r>
      <w:r w:rsidR="00426E56">
        <w:t>among those with informal carers</w:t>
      </w:r>
      <w:r w:rsidR="00A606D4" w:rsidRPr="00A606D4">
        <w:t xml:space="preserve"> if these carers do not reach out for help</w:t>
      </w:r>
      <w:r w:rsidR="00CC0F98">
        <w:t xml:space="preserve"> on behalf of the older person. O</w:t>
      </w:r>
      <w:r w:rsidR="00A606D4" w:rsidRPr="00A606D4">
        <w:t>lder people are often unaware of or face other barriers to seeking advocacy on their own and rely on carers to connect them to advocates. This may result in a disparity between people who can most benefit from advocacy and those who get it.</w:t>
      </w:r>
    </w:p>
    <w:p w14:paraId="2A292F92" w14:textId="36D8A239" w:rsidR="00B617AF" w:rsidRPr="00F32E87" w:rsidRDefault="009B47DF" w:rsidP="00F178E7">
      <w:pPr>
        <w:pStyle w:val="ListParagraph"/>
        <w:numPr>
          <w:ilvl w:val="0"/>
          <w:numId w:val="43"/>
        </w:numPr>
      </w:pPr>
      <w:r w:rsidRPr="00E744B1">
        <w:rPr>
          <w:i/>
          <w:iCs/>
        </w:rPr>
        <w:t>Rural and remote areas</w:t>
      </w:r>
      <w:r w:rsidR="00E744B1">
        <w:t xml:space="preserve">: </w:t>
      </w:r>
      <w:r w:rsidR="007E231D">
        <w:t>Stakeholder</w:t>
      </w:r>
      <w:r w:rsidR="00A35B8B">
        <w:t xml:space="preserve"> consult</w:t>
      </w:r>
      <w:r w:rsidR="00A17AC6">
        <w:t xml:space="preserve">ations identified that there is a need to increase presence of advocates in rural and remote areas. </w:t>
      </w:r>
      <w:r w:rsidR="000F4471" w:rsidRPr="000F4471">
        <w:t xml:space="preserve">Travel times to these </w:t>
      </w:r>
      <w:r w:rsidR="000F4471">
        <w:t>areas</w:t>
      </w:r>
      <w:r w:rsidR="000F4471" w:rsidRPr="000F4471">
        <w:t xml:space="preserve"> can be </w:t>
      </w:r>
      <w:r w:rsidR="000F4471">
        <w:t>significant</w:t>
      </w:r>
      <w:r w:rsidR="000F4471" w:rsidRPr="000F4471">
        <w:t xml:space="preserve">, </w:t>
      </w:r>
      <w:r w:rsidR="000D437C">
        <w:t>limiting the a</w:t>
      </w:r>
      <w:r w:rsidR="00E50390">
        <w:t>bility to deliver advocacy services</w:t>
      </w:r>
      <w:r w:rsidR="000F4471" w:rsidRPr="000F4471">
        <w:t>.</w:t>
      </w:r>
      <w:r w:rsidR="007A30B1">
        <w:t xml:space="preserve"> </w:t>
      </w:r>
      <w:r w:rsidR="00D97E11">
        <w:t xml:space="preserve">Stakeholders also </w:t>
      </w:r>
      <w:r w:rsidR="00C040D9">
        <w:t>suggested</w:t>
      </w:r>
      <w:r w:rsidR="005427E2">
        <w:t xml:space="preserve"> that p</w:t>
      </w:r>
      <w:r w:rsidR="00D97E11" w:rsidRPr="00D97E11">
        <w:t>oor internet access, as well as limited digital and health literacy, have been recognised as additional hurdles in raising awareness</w:t>
      </w:r>
      <w:r w:rsidR="00C040D9">
        <w:t xml:space="preserve"> of advocacy services</w:t>
      </w:r>
      <w:r w:rsidR="00D97E11" w:rsidRPr="00D97E11">
        <w:t xml:space="preserve"> in these areas.</w:t>
      </w:r>
    </w:p>
    <w:p w14:paraId="29941531" w14:textId="75B1CD7C" w:rsidR="00794BB2" w:rsidRDefault="00794BB2" w:rsidP="00794BB2">
      <w:pPr>
        <w:pStyle w:val="Heading4"/>
      </w:pPr>
      <w:r>
        <w:t xml:space="preserve">Response to </w:t>
      </w:r>
      <w:r w:rsidR="00E06997">
        <w:t>challenges</w:t>
      </w:r>
    </w:p>
    <w:p w14:paraId="586869C0" w14:textId="6175DA7A" w:rsidR="00371098" w:rsidRDefault="00DE775D" w:rsidP="00371098">
      <w:r>
        <w:t>Notwithstanding the barriers faced by vulnerable groups, more targeted efforts by SDOs are mitigating some of these challenges, already leading to higher utilisation among some states. For example, a</w:t>
      </w:r>
      <w:r w:rsidRPr="009B7DC1">
        <w:t xml:space="preserve"> key achievement of S</w:t>
      </w:r>
      <w:r>
        <w:t xml:space="preserve">enior </w:t>
      </w:r>
      <w:r w:rsidRPr="009B7DC1">
        <w:t>R</w:t>
      </w:r>
      <w:r>
        <w:t xml:space="preserve">ights </w:t>
      </w:r>
      <w:r w:rsidRPr="009B7DC1">
        <w:t>S</w:t>
      </w:r>
      <w:r>
        <w:t>ervice</w:t>
      </w:r>
      <w:r w:rsidR="005F7C05">
        <w:t xml:space="preserve"> (NSW)</w:t>
      </w:r>
      <w:r w:rsidRPr="009B7DC1">
        <w:t xml:space="preserve"> was that of the 1000 older people advocated for, over 50% were from </w:t>
      </w:r>
      <w:r>
        <w:t>vulnerable</w:t>
      </w:r>
      <w:r w:rsidRPr="009B7DC1">
        <w:t xml:space="preserve"> groups (33.7% regional, 27.1% CALD, 25.6% dementia, 5.4% Aboriginal or Torres Strait Islander, 4.9% financially disadvantaged and 3.3% other).</w:t>
      </w:r>
      <w:r w:rsidRPr="009B7DC1">
        <w:rPr>
          <w:rStyle w:val="EndnoteReference"/>
        </w:rPr>
        <w:endnoteReference w:id="26"/>
      </w:r>
      <w:r>
        <w:t xml:space="preserve"> </w:t>
      </w:r>
      <w:r w:rsidR="00371098">
        <w:t>The inclusion of diversity education in the expanded NACAP framework will help aged care providers and staff to understand and meet the unique needs of people from diverse backgrounds. This should progressively improve the engagement of older people from diverse backgrounds with aged care services. SDOs reported that there is also a focus at present on recruiting advocates who are members of CALD communities themselves, with the aim of establishing trust and improving engagement.</w:t>
      </w:r>
    </w:p>
    <w:p w14:paraId="41B661CC" w14:textId="014B5CDB" w:rsidR="008442BA" w:rsidRDefault="008442BA" w:rsidP="00C91B47">
      <w:pPr>
        <w:pStyle w:val="Heading2"/>
      </w:pPr>
      <w:bookmarkStart w:id="166" w:name="_Toc94609794"/>
      <w:bookmarkStart w:id="167" w:name="_Toc94616802"/>
      <w:bookmarkStart w:id="168" w:name="_Toc94609796"/>
      <w:bookmarkStart w:id="169" w:name="_Toc94609801"/>
      <w:bookmarkStart w:id="170" w:name="_Toc94616804"/>
      <w:bookmarkStart w:id="171" w:name="_Toc94616809"/>
      <w:bookmarkStart w:id="172" w:name="_Toc94771842"/>
      <w:bookmarkStart w:id="173" w:name="_Toc99437521"/>
      <w:bookmarkEnd w:id="166"/>
      <w:bookmarkEnd w:id="167"/>
      <w:bookmarkEnd w:id="168"/>
      <w:bookmarkEnd w:id="169"/>
      <w:bookmarkEnd w:id="170"/>
      <w:bookmarkEnd w:id="171"/>
      <w:r>
        <w:t>Current unmet demand</w:t>
      </w:r>
      <w:bookmarkEnd w:id="172"/>
      <w:bookmarkEnd w:id="173"/>
    </w:p>
    <w:p w14:paraId="34EBBAB5" w14:textId="4335EB91" w:rsidR="00E5118F" w:rsidRDefault="00620C90" w:rsidP="008A08B8">
      <w:r>
        <w:t>According to consultations and desktop research, c</w:t>
      </w:r>
      <w:r w:rsidR="005D0159">
        <w:t xml:space="preserve">urrent unmet demand appears to </w:t>
      </w:r>
      <w:r w:rsidR="00921C10">
        <w:t xml:space="preserve">be </w:t>
      </w:r>
      <w:r w:rsidR="002E5638">
        <w:t>driven</w:t>
      </w:r>
      <w:r w:rsidR="00A55CB6">
        <w:t xml:space="preserve"> by low awareness of the availability of NACAP </w:t>
      </w:r>
      <w:r w:rsidR="00F2178D">
        <w:t>as well as generally increasing demand and growing com</w:t>
      </w:r>
      <w:r w:rsidR="00823586">
        <w:t>plexity of issues faced by older persons</w:t>
      </w:r>
      <w:r w:rsidR="00982F6C">
        <w:t xml:space="preserve"> which presents challenges </w:t>
      </w:r>
      <w:r w:rsidR="00FB7EAB">
        <w:t>to service delivery</w:t>
      </w:r>
      <w:r w:rsidR="00823586">
        <w:t>.</w:t>
      </w:r>
    </w:p>
    <w:p w14:paraId="169E9A25" w14:textId="77777777" w:rsidR="005A7552" w:rsidRDefault="007A2AF8" w:rsidP="00CB51DD">
      <w:r>
        <w:t xml:space="preserve">Through consultations, it was revealed that </w:t>
      </w:r>
      <w:r w:rsidR="005A7552" w:rsidRPr="004F508D">
        <w:rPr>
          <w:b/>
        </w:rPr>
        <w:t>awareness</w:t>
      </w:r>
      <w:r w:rsidR="005A7552">
        <w:t xml:space="preserve"> of what advocacy means, of NACAP and the support it can provide were noted as critical factors in whether, and how, older people engage with the program. Awareness of NACAP in this case refers to both whether an individual knows that it exists and whether they understand what it does. Findings from the consultation process suggest that there are shortcomings with both, </w:t>
      </w:r>
      <w:r w:rsidR="005A7552" w:rsidRPr="007D4291">
        <w:t>which is consistent with previous findings in relation to awareness of the program</w:t>
      </w:r>
      <w:r w:rsidR="005A7552">
        <w:t xml:space="preserve">, such as </w:t>
      </w:r>
      <w:r w:rsidR="005A7552" w:rsidRPr="007D4291">
        <w:t>Review of Commonwealth Aged Care Advocacy Services</w:t>
      </w:r>
      <w:r w:rsidR="005A7552">
        <w:t>.</w:t>
      </w:r>
      <w:r w:rsidR="005A7552">
        <w:rPr>
          <w:rStyle w:val="EndnoteReference"/>
        </w:rPr>
        <w:endnoteReference w:id="27"/>
      </w:r>
    </w:p>
    <w:p w14:paraId="666B76F9" w14:textId="16A338CC" w:rsidR="005A7552" w:rsidRDefault="009B582B" w:rsidP="005A7552">
      <w:r>
        <w:t>M</w:t>
      </w:r>
      <w:r w:rsidR="005A7552">
        <w:t>ost stakeholders noted that the awareness of aged care advocacy is extremely low among older people and their representatives. While it is not substantiated by any quantitative evidence, most anecdotal information from the consultations placed awareness in the range of 5-10%.</w:t>
      </w:r>
      <w:r w:rsidR="005A7552">
        <w:rPr>
          <w:rStyle w:val="FootnoteReference"/>
        </w:rPr>
        <w:footnoteReference w:id="6"/>
      </w:r>
      <w:r w:rsidR="005A7552">
        <w:t xml:space="preserve"> </w:t>
      </w:r>
      <w:r w:rsidR="005A7552" w:rsidDel="00DF6332">
        <w:t>It was also noted by stakeholders that most people who are aware of the program are likely to only become aware in the time of a crisis</w:t>
      </w:r>
      <w:r w:rsidR="009028E2" w:rsidDel="00DF6332">
        <w:t xml:space="preserve">, such as when they make a complaint to the </w:t>
      </w:r>
      <w:r w:rsidR="00422FAB" w:rsidDel="00DF6332">
        <w:t>ACQSC</w:t>
      </w:r>
      <w:r w:rsidR="005A7552" w:rsidDel="00DF6332">
        <w:t xml:space="preserve">. </w:t>
      </w:r>
      <w:r w:rsidR="008F2D73">
        <w:t xml:space="preserve">Those </w:t>
      </w:r>
      <w:r w:rsidR="001F7316">
        <w:t>in marginalised cohorts</w:t>
      </w:r>
      <w:r w:rsidR="008F2D73">
        <w:t xml:space="preserve">, such as older people with disabilities, CALD people, Aboriginal and Torres Strait Islander peoples, and those in the LGBTIQ+ community faced even greater challenges to </w:t>
      </w:r>
      <w:r w:rsidR="00A45199">
        <w:t xml:space="preserve">awareness and access. </w:t>
      </w:r>
      <w:r w:rsidR="005A7552">
        <w:t>This suggests the need for more proactive</w:t>
      </w:r>
      <w:r w:rsidR="0094107C">
        <w:t xml:space="preserve"> tailored</w:t>
      </w:r>
      <w:r w:rsidR="005A7552">
        <w:t xml:space="preserve"> marketing and advocacy, notwithstanding that there could be capacity limits for this due to current funding and supply constraints according to stakeholders. </w:t>
      </w:r>
      <w:r w:rsidR="001B53E6">
        <w:t>S</w:t>
      </w:r>
      <w:r w:rsidR="00CB51DD">
        <w:t xml:space="preserve">ome behavioural insight approaches </w:t>
      </w:r>
      <w:r w:rsidR="005C5BA7">
        <w:t>are suggested</w:t>
      </w:r>
      <w:r w:rsidR="00CB51DD">
        <w:t xml:space="preserve"> </w:t>
      </w:r>
      <w:r w:rsidR="001B53E6">
        <w:t xml:space="preserve">in Chapter </w:t>
      </w:r>
      <w:r w:rsidR="001B53E6">
        <w:fldChar w:fldCharType="begin"/>
      </w:r>
      <w:r w:rsidR="001B53E6">
        <w:instrText xml:space="preserve"> REF _Ref94636994 \r \h </w:instrText>
      </w:r>
      <w:r w:rsidR="001B53E6">
        <w:fldChar w:fldCharType="separate"/>
      </w:r>
      <w:r w:rsidR="00DC6A20">
        <w:t>6</w:t>
      </w:r>
      <w:r w:rsidR="001B53E6">
        <w:fldChar w:fldCharType="end"/>
      </w:r>
      <w:r w:rsidR="001B53E6">
        <w:t xml:space="preserve"> </w:t>
      </w:r>
      <w:r w:rsidR="00CB51DD">
        <w:t xml:space="preserve">that could </w:t>
      </w:r>
      <w:r w:rsidR="00DD6024">
        <w:t xml:space="preserve">increase </w:t>
      </w:r>
      <w:r w:rsidR="005C5BA7">
        <w:t xml:space="preserve">the </w:t>
      </w:r>
      <w:r w:rsidR="00DD6024">
        <w:t>take-up of NACAP services.</w:t>
      </w:r>
    </w:p>
    <w:p w14:paraId="4741A19D" w14:textId="069AE163" w:rsidR="00D6069D" w:rsidRDefault="00D6069D" w:rsidP="00D6069D">
      <w:r>
        <w:t xml:space="preserve">OPAN also reports that unmet demand for NACAP’s advocacy services is attributable to a rise in </w:t>
      </w:r>
      <w:r w:rsidRPr="00F07503">
        <w:rPr>
          <w:b/>
        </w:rPr>
        <w:t>demand</w:t>
      </w:r>
      <w:r>
        <w:t xml:space="preserve"> </w:t>
      </w:r>
      <w:r w:rsidR="00F07503">
        <w:t xml:space="preserve">due to the aging population </w:t>
      </w:r>
      <w:r>
        <w:t xml:space="preserve">and the increased </w:t>
      </w:r>
      <w:r w:rsidRPr="00F07503">
        <w:rPr>
          <w:b/>
        </w:rPr>
        <w:t>complexity</w:t>
      </w:r>
      <w:r>
        <w:t xml:space="preserve"> of cases requiring extended support. Specifically,</w:t>
      </w:r>
    </w:p>
    <w:p w14:paraId="3BE1DDF3" w14:textId="77777777" w:rsidR="00D6069D" w:rsidRDefault="00D6069D" w:rsidP="00F178E7">
      <w:pPr>
        <w:pStyle w:val="ListParagraph"/>
        <w:numPr>
          <w:ilvl w:val="0"/>
          <w:numId w:val="31"/>
        </w:numPr>
        <w:spacing w:after="160" w:line="259" w:lineRule="auto"/>
        <w:ind w:left="357" w:hanging="357"/>
      </w:pPr>
      <w:r>
        <w:t>The increasing number of persons seeking and entering aged care</w:t>
      </w:r>
    </w:p>
    <w:p w14:paraId="630C8BEA" w14:textId="77777777" w:rsidR="00D6069D" w:rsidRDefault="00D6069D" w:rsidP="00F178E7">
      <w:pPr>
        <w:pStyle w:val="ListParagraph"/>
        <w:numPr>
          <w:ilvl w:val="0"/>
          <w:numId w:val="30"/>
        </w:numPr>
        <w:spacing w:after="160" w:line="259" w:lineRule="auto"/>
        <w:ind w:left="357" w:hanging="357"/>
      </w:pPr>
      <w:r>
        <w:t>The complexity of a market-based aged care system</w:t>
      </w:r>
    </w:p>
    <w:p w14:paraId="73608BA3" w14:textId="77777777" w:rsidR="00D6069D" w:rsidRDefault="00D6069D" w:rsidP="00F178E7">
      <w:pPr>
        <w:pStyle w:val="ListParagraph"/>
        <w:numPr>
          <w:ilvl w:val="0"/>
          <w:numId w:val="30"/>
        </w:numPr>
        <w:spacing w:after="160" w:line="259" w:lineRule="auto"/>
        <w:ind w:left="357" w:hanging="357"/>
      </w:pPr>
      <w:r>
        <w:t>The erosion of person-centred care in the provision of home care packages</w:t>
      </w:r>
    </w:p>
    <w:p w14:paraId="59D9E12D" w14:textId="77777777" w:rsidR="00D6069D" w:rsidRDefault="00D6069D" w:rsidP="00F178E7">
      <w:pPr>
        <w:pStyle w:val="ListParagraph"/>
        <w:numPr>
          <w:ilvl w:val="0"/>
          <w:numId w:val="30"/>
        </w:numPr>
        <w:spacing w:after="160" w:line="259" w:lineRule="auto"/>
        <w:ind w:left="357" w:hanging="357"/>
      </w:pPr>
      <w:r>
        <w:t>An aged care system that continues to expand and diversify</w:t>
      </w:r>
    </w:p>
    <w:p w14:paraId="16A06A05" w14:textId="77777777" w:rsidR="00D6069D" w:rsidRDefault="00D6069D" w:rsidP="00F178E7">
      <w:pPr>
        <w:pStyle w:val="ListParagraph"/>
        <w:numPr>
          <w:ilvl w:val="0"/>
          <w:numId w:val="30"/>
        </w:numPr>
        <w:spacing w:after="160" w:line="259" w:lineRule="auto"/>
        <w:ind w:left="357" w:hanging="357"/>
      </w:pPr>
      <w:r>
        <w:t>The evolution of COVID-19 which has presented unique rights-based concerns and increased advocacy cases</w:t>
      </w:r>
    </w:p>
    <w:p w14:paraId="23100029" w14:textId="77777777" w:rsidR="00D6069D" w:rsidRDefault="00D6069D" w:rsidP="00F178E7">
      <w:pPr>
        <w:pStyle w:val="ListParagraph"/>
        <w:numPr>
          <w:ilvl w:val="0"/>
          <w:numId w:val="30"/>
        </w:numPr>
        <w:spacing w:after="160" w:line="259" w:lineRule="auto"/>
        <w:ind w:left="357" w:hanging="357"/>
      </w:pPr>
      <w:r>
        <w:t>The ongoing impact of the Increasing Choices Reforms</w:t>
      </w:r>
      <w:r>
        <w:rPr>
          <w:rStyle w:val="EndnoteReference"/>
        </w:rPr>
        <w:endnoteReference w:id="28"/>
      </w:r>
    </w:p>
    <w:p w14:paraId="4FAEAA26" w14:textId="7EC54B62" w:rsidR="007E21C5" w:rsidRDefault="00AC2445" w:rsidP="006C7652">
      <w:r>
        <w:t xml:space="preserve">SDOs have indicated that there is unmet demand for </w:t>
      </w:r>
      <w:r w:rsidRPr="006C7652">
        <w:t>community education sessions targeted to educate older people/family members on navigating the aged care system. Although resources are available through My Aged Care, there appears to be a limited variety of communication resources that offer the support and advice needed.</w:t>
      </w:r>
      <w:r w:rsidRPr="006C7652">
        <w:rPr>
          <w:rStyle w:val="EndnoteReference"/>
        </w:rPr>
        <w:endnoteReference w:id="29"/>
      </w:r>
      <w:r w:rsidR="006C7652" w:rsidRPr="006C7652">
        <w:t xml:space="preserve"> </w:t>
      </w:r>
      <w:r w:rsidR="00E540E8">
        <w:t xml:space="preserve">Based on the </w:t>
      </w:r>
      <w:r w:rsidR="00DD181E">
        <w:t xml:space="preserve">ACQSC complaints data it </w:t>
      </w:r>
      <w:r w:rsidR="00523534">
        <w:t>may be inferred</w:t>
      </w:r>
      <w:r w:rsidR="00BA6088">
        <w:t xml:space="preserve"> that </w:t>
      </w:r>
      <w:r w:rsidR="00523534">
        <w:t xml:space="preserve">there is unmet need in residential care </w:t>
      </w:r>
      <w:r w:rsidR="00B6306C">
        <w:t xml:space="preserve">(given the </w:t>
      </w:r>
      <w:r w:rsidR="00891A20">
        <w:t xml:space="preserve">relatively </w:t>
      </w:r>
      <w:r w:rsidR="00B6306C">
        <w:t>high</w:t>
      </w:r>
      <w:r w:rsidR="00891A20">
        <w:t>er</w:t>
      </w:r>
      <w:r w:rsidR="00B6306C">
        <w:t xml:space="preserve"> volume of complaints</w:t>
      </w:r>
      <w:r w:rsidR="00B6306C" w:rsidRPr="006C7652">
        <w:t>)</w:t>
      </w:r>
      <w:r w:rsidR="006C7652" w:rsidRPr="006C7652">
        <w:t>. COVID-19 restricted the delivery of in person education sessions in residential care settings, with SDOs noting</w:t>
      </w:r>
      <w:r w:rsidR="00523534">
        <w:t xml:space="preserve"> </w:t>
      </w:r>
      <w:r w:rsidR="00D2779E">
        <w:t xml:space="preserve">that </w:t>
      </w:r>
      <w:r w:rsidR="006C7652" w:rsidRPr="006C7652">
        <w:t>Zoom education session were not effective for the older audience due to poor engagement.</w:t>
      </w:r>
      <w:r w:rsidR="006C7652" w:rsidRPr="006C7652">
        <w:rPr>
          <w:rStyle w:val="EndnoteReference"/>
        </w:rPr>
        <w:endnoteReference w:id="30"/>
      </w:r>
      <w:r w:rsidR="006C7652" w:rsidRPr="006C7652">
        <w:t xml:space="preserve"> G</w:t>
      </w:r>
      <w:r w:rsidR="00D2779E" w:rsidRPr="006C7652">
        <w:t>iven</w:t>
      </w:r>
      <w:r w:rsidR="00D2779E">
        <w:t xml:space="preserve"> that around half of </w:t>
      </w:r>
      <w:r w:rsidR="00590D65">
        <w:t xml:space="preserve">all </w:t>
      </w:r>
      <w:r w:rsidR="00D2779E">
        <w:t>complaints are raised by representatives and family members</w:t>
      </w:r>
      <w:r w:rsidR="00EA4A58">
        <w:t>,</w:t>
      </w:r>
      <w:r w:rsidR="00D2779E">
        <w:t xml:space="preserve"> </w:t>
      </w:r>
      <w:r w:rsidR="006C7652" w:rsidRPr="006C7652">
        <w:t xml:space="preserve">there is likely </w:t>
      </w:r>
      <w:r w:rsidR="00EA4A58">
        <w:t>to be a</w:t>
      </w:r>
      <w:r w:rsidR="00EA4A58" w:rsidRPr="006C7652">
        <w:t xml:space="preserve"> </w:t>
      </w:r>
      <w:r w:rsidR="006C7652" w:rsidRPr="006C7652">
        <w:t>need for</w:t>
      </w:r>
      <w:r w:rsidR="00D2779E">
        <w:t xml:space="preserve"> </w:t>
      </w:r>
      <w:r w:rsidR="00C85E2F">
        <w:t xml:space="preserve">promotional activities by OPAN </w:t>
      </w:r>
      <w:r w:rsidR="006C7652" w:rsidRPr="006C7652">
        <w:t>to</w:t>
      </w:r>
      <w:r w:rsidR="00C85E2F">
        <w:t xml:space="preserve"> target </w:t>
      </w:r>
      <w:r w:rsidR="0064768F">
        <w:t xml:space="preserve">this group, rather than </w:t>
      </w:r>
      <w:r w:rsidR="00FD1029">
        <w:t xml:space="preserve">end </w:t>
      </w:r>
      <w:r w:rsidR="0064768F">
        <w:t>consumers</w:t>
      </w:r>
      <w:r w:rsidR="00FD1029">
        <w:t>.</w:t>
      </w:r>
    </w:p>
    <w:p w14:paraId="49F094F4" w14:textId="71E9E62F" w:rsidR="00420A12" w:rsidRDefault="009601A2" w:rsidP="009601A2">
      <w:r w:rsidRPr="00086A75">
        <w:rPr>
          <w:b/>
        </w:rPr>
        <w:t>Demand management</w:t>
      </w:r>
      <w:r>
        <w:t xml:space="preserve"> has become increasingly important to maximise efficiency of advocacy </w:t>
      </w:r>
      <w:r w:rsidR="00844909">
        <w:t>for</w:t>
      </w:r>
      <w:r>
        <w:t xml:space="preserve"> an equitable approach.</w:t>
      </w:r>
      <w:r>
        <w:rPr>
          <w:rStyle w:val="EndnoteReference"/>
        </w:rPr>
        <w:endnoteReference w:id="31"/>
      </w:r>
      <w:r>
        <w:t xml:space="preserve"> In response to the Royal Commission’s recommendation to study unmet demand within NACAP, OPAN established a set of Demand Management Practice Guidelines aimed </w:t>
      </w:r>
      <w:r w:rsidR="003E545D">
        <w:t xml:space="preserve">at improving </w:t>
      </w:r>
      <w:r>
        <w:t>the consistency of practices in measuring and managing NACAP demand</w:t>
      </w:r>
      <w:r w:rsidR="00420A12">
        <w:t xml:space="preserve"> and ensuring </w:t>
      </w:r>
      <w:r>
        <w:t>a consistent approach to prioritising high risk and high need cases and triaging other low priority cases.</w:t>
      </w:r>
      <w:r>
        <w:rPr>
          <w:rStyle w:val="EndnoteReference"/>
        </w:rPr>
        <w:endnoteReference w:id="32"/>
      </w:r>
      <w:r w:rsidR="00420A12">
        <w:t xml:space="preserve"> </w:t>
      </w:r>
      <w:r>
        <w:t>To support the implementation of the Demand Management Practice Guidelines, a process for reporting waitlist data was developed.</w:t>
      </w:r>
    </w:p>
    <w:p w14:paraId="51A98213" w14:textId="35309562" w:rsidR="00E1317E" w:rsidRDefault="00BF7239" w:rsidP="00086A75">
      <w:r>
        <w:t xml:space="preserve">In the </w:t>
      </w:r>
      <w:r w:rsidR="009601A2">
        <w:t xml:space="preserve">most recent </w:t>
      </w:r>
      <w:r w:rsidR="00EA554D">
        <w:t xml:space="preserve">OPAN </w:t>
      </w:r>
      <w:r w:rsidR="009601A2">
        <w:t xml:space="preserve">progress reports, </w:t>
      </w:r>
      <w:r>
        <w:t xml:space="preserve">ADA reported </w:t>
      </w:r>
      <w:r w:rsidR="009601A2">
        <w:t xml:space="preserve">wait times for NACAP services </w:t>
      </w:r>
      <w:r w:rsidR="001900F4">
        <w:t>could take</w:t>
      </w:r>
      <w:r w:rsidR="001C2BEB">
        <w:t xml:space="preserve"> </w:t>
      </w:r>
      <w:r w:rsidR="00D50268">
        <w:t>even</w:t>
      </w:r>
      <w:r w:rsidR="001C2BEB">
        <w:t xml:space="preserve"> </w:t>
      </w:r>
      <w:r w:rsidR="009601A2">
        <w:t xml:space="preserve">4 </w:t>
      </w:r>
      <w:r w:rsidR="00566F0E">
        <w:t>to</w:t>
      </w:r>
      <w:r w:rsidR="009601A2">
        <w:t xml:space="preserve"> 6 weeks</w:t>
      </w:r>
      <w:r w:rsidR="001900F4">
        <w:t>, but this would vary across SDOs</w:t>
      </w:r>
      <w:r w:rsidR="009601A2">
        <w:t xml:space="preserve">. </w:t>
      </w:r>
      <w:r w:rsidR="002C39CE">
        <w:t>This is expected to reduce with the doubling of the advocacy workforce in the expanded NACAP</w:t>
      </w:r>
      <w:r w:rsidR="001B506A">
        <w:t>. 70 additional advocates have already been engaged for 2021/22</w:t>
      </w:r>
      <w:r w:rsidR="00E1317E">
        <w:t>.</w:t>
      </w:r>
    </w:p>
    <w:p w14:paraId="3B360326" w14:textId="23DF9144" w:rsidR="00017A93" w:rsidRDefault="00EA554D" w:rsidP="00086A75">
      <w:pPr>
        <w:rPr>
          <w:lang w:eastAsia="en-AU"/>
        </w:rPr>
      </w:pPr>
      <w:r>
        <w:t>SD</w:t>
      </w:r>
      <w:r w:rsidR="009601A2">
        <w:t>Os have found that there has also been an increased number of urgent cases requiring a more immediate response.</w:t>
      </w:r>
      <w:r w:rsidR="009601A2" w:rsidRPr="00EA554D">
        <w:rPr>
          <w:rStyle w:val="EndnoteReference"/>
        </w:rPr>
        <w:t xml:space="preserve"> </w:t>
      </w:r>
      <w:r>
        <w:rPr>
          <w:rStyle w:val="EndnoteReference"/>
        </w:rPr>
        <w:endnoteReference w:id="33"/>
      </w:r>
      <w:r w:rsidR="009601A2">
        <w:t xml:space="preserve"> These cases typically treat clients with significant distress from issues regarding access to services or threat of withdrawal. For urgent cases, advocates typically respond within a few days to a week depending on the issue.</w:t>
      </w:r>
      <w:r w:rsidR="009601A2">
        <w:rPr>
          <w:rStyle w:val="EndnoteReference"/>
        </w:rPr>
        <w:endnoteReference w:id="34"/>
      </w:r>
    </w:p>
    <w:p w14:paraId="7EE34A27" w14:textId="46774A0F" w:rsidR="00AB2A51" w:rsidRDefault="00F340A3" w:rsidP="009601A2">
      <w:r>
        <w:t xml:space="preserve">Many of the challenges to accessing the NACAP uncovered through the consultation process are also reflected in </w:t>
      </w:r>
      <w:r w:rsidR="00A42A2B">
        <w:t xml:space="preserve">the </w:t>
      </w:r>
      <w:r w:rsidR="00A42A2B">
        <w:rPr>
          <w:lang w:eastAsia="en-AU"/>
        </w:rPr>
        <w:t xml:space="preserve">OPAN’s </w:t>
      </w:r>
      <w:r w:rsidR="00A42A2B" w:rsidRPr="002F1B25">
        <w:rPr>
          <w:i/>
          <w:iCs/>
          <w:lang w:eastAsia="en-AU"/>
        </w:rPr>
        <w:t>Raising the voice of people accessing aged care</w:t>
      </w:r>
      <w:r w:rsidR="00A42A2B">
        <w:rPr>
          <w:lang w:eastAsia="en-AU"/>
        </w:rPr>
        <w:t xml:space="preserve"> report released in December 2021.</w:t>
      </w:r>
      <w:r w:rsidR="00A42A2B">
        <w:rPr>
          <w:i/>
          <w:iCs/>
          <w:lang w:eastAsia="en-AU"/>
        </w:rPr>
        <w:t xml:space="preserve"> </w:t>
      </w:r>
      <w:r w:rsidR="00A42A2B" w:rsidRPr="00561527">
        <w:rPr>
          <w:lang w:eastAsia="en-AU"/>
        </w:rPr>
        <w:t xml:space="preserve">The report provided insights based on </w:t>
      </w:r>
      <w:r w:rsidR="00A42A2B">
        <w:rPr>
          <w:lang w:eastAsia="en-AU"/>
        </w:rPr>
        <w:t xml:space="preserve">a </w:t>
      </w:r>
      <w:r w:rsidR="00A42A2B" w:rsidRPr="00561527">
        <w:rPr>
          <w:lang w:eastAsia="en-AU"/>
        </w:rPr>
        <w:t xml:space="preserve">thematic analysis of </w:t>
      </w:r>
      <w:r w:rsidR="00A42A2B" w:rsidRPr="0008305B">
        <w:rPr>
          <w:lang w:eastAsia="en-AU"/>
        </w:rPr>
        <w:t>OPAN</w:t>
      </w:r>
      <w:r w:rsidR="00A42A2B" w:rsidRPr="00561527">
        <w:rPr>
          <w:lang w:eastAsia="en-AU"/>
        </w:rPr>
        <w:t>’s</w:t>
      </w:r>
      <w:r w:rsidR="00A42A2B" w:rsidRPr="0008305B">
        <w:rPr>
          <w:lang w:eastAsia="en-AU"/>
        </w:rPr>
        <w:t xml:space="preserve"> quarterly progress repor</w:t>
      </w:r>
      <w:r w:rsidR="00A42A2B" w:rsidRPr="00D21BDB">
        <w:rPr>
          <w:lang w:eastAsia="en-AU"/>
        </w:rPr>
        <w:t>ts.</w:t>
      </w:r>
      <w:r w:rsidR="00600E7D">
        <w:rPr>
          <w:lang w:eastAsia="en-AU"/>
        </w:rPr>
        <w:t xml:space="preserve"> Of note, th</w:t>
      </w:r>
      <w:r w:rsidR="001830C3">
        <w:rPr>
          <w:lang w:eastAsia="en-AU"/>
        </w:rPr>
        <w:t>e</w:t>
      </w:r>
      <w:r w:rsidR="00600E7D">
        <w:rPr>
          <w:lang w:eastAsia="en-AU"/>
        </w:rPr>
        <w:t xml:space="preserve"> report highlighted that current unmet demand is affected by the new challenges </w:t>
      </w:r>
      <w:r w:rsidR="00924801">
        <w:rPr>
          <w:lang w:eastAsia="en-AU"/>
        </w:rPr>
        <w:t xml:space="preserve">resulting from </w:t>
      </w:r>
      <w:r w:rsidR="00600E7D" w:rsidRPr="00561527">
        <w:rPr>
          <w:lang w:eastAsia="en-AU"/>
        </w:rPr>
        <w:t>COVID-19 for advocates and support services in aged care especially in supporting older people’s rights in residential aged care facilities</w:t>
      </w:r>
      <w:r w:rsidR="00924801">
        <w:rPr>
          <w:lang w:eastAsia="en-AU"/>
        </w:rPr>
        <w:t xml:space="preserve">, quality of care and availability of services, and </w:t>
      </w:r>
      <w:r w:rsidR="00B76B07">
        <w:rPr>
          <w:lang w:eastAsia="en-AU"/>
        </w:rPr>
        <w:t>the specific challenges that diverse and marginalised groups face.</w:t>
      </w:r>
    </w:p>
    <w:p w14:paraId="02129BCB" w14:textId="13A2A5D5" w:rsidR="00865E27" w:rsidRDefault="00865E27" w:rsidP="00464633">
      <w:pPr>
        <w:pStyle w:val="Heading1"/>
      </w:pPr>
      <w:bookmarkStart w:id="174" w:name="_Toc94609815"/>
      <w:bookmarkStart w:id="175" w:name="_Toc94616823"/>
      <w:bookmarkStart w:id="176" w:name="_Toc94643384"/>
      <w:bookmarkStart w:id="177" w:name="_Ref94624891"/>
      <w:bookmarkStart w:id="178" w:name="_Toc94771851"/>
      <w:bookmarkStart w:id="179" w:name="_Toc99437522"/>
      <w:bookmarkEnd w:id="174"/>
      <w:bookmarkEnd w:id="175"/>
      <w:bookmarkEnd w:id="176"/>
      <w:r>
        <w:t>Future demand</w:t>
      </w:r>
      <w:bookmarkEnd w:id="177"/>
      <w:bookmarkEnd w:id="178"/>
      <w:bookmarkEnd w:id="179"/>
    </w:p>
    <w:p w14:paraId="4B875F4E" w14:textId="4F483E3C" w:rsidR="003C5774" w:rsidRDefault="00364CE8" w:rsidP="00E652EB">
      <w:r>
        <w:t xml:space="preserve">This chapter presents the results of the future demand analysis. The future demand analysis </w:t>
      </w:r>
      <w:r w:rsidR="00971769">
        <w:t xml:space="preserve">combines quantitative and qualitative </w:t>
      </w:r>
      <w:r w:rsidR="00D55857">
        <w:t xml:space="preserve">techniques </w:t>
      </w:r>
      <w:r w:rsidR="00971769">
        <w:t xml:space="preserve">to </w:t>
      </w:r>
      <w:r w:rsidR="00AB7917">
        <w:t xml:space="preserve">develop a detailed view of the NACAP over the coming years. The quantitative component </w:t>
      </w:r>
      <w:r w:rsidR="00206CA3">
        <w:t xml:space="preserve">involved </w:t>
      </w:r>
      <w:r w:rsidR="0006096F">
        <w:t xml:space="preserve">the estimation </w:t>
      </w:r>
      <w:r w:rsidR="00971769">
        <w:t>of the met and unmet demand for aged care advocacy each year between now and 2031/32.</w:t>
      </w:r>
      <w:r w:rsidR="009462D0">
        <w:t xml:space="preserve"> The qualitative aspect </w:t>
      </w:r>
      <w:r w:rsidR="003C56F1">
        <w:t xml:space="preserve">draws on insights from the consultation process to complement the </w:t>
      </w:r>
      <w:r w:rsidR="00FC74DA">
        <w:t xml:space="preserve">quantitative </w:t>
      </w:r>
      <w:r w:rsidR="003C56F1">
        <w:t>findings</w:t>
      </w:r>
      <w:r w:rsidR="00FC74DA">
        <w:t>.</w:t>
      </w:r>
    </w:p>
    <w:p w14:paraId="16C97CE7" w14:textId="75E5C629" w:rsidR="00E652EB" w:rsidRPr="00E652EB" w:rsidRDefault="0097457E" w:rsidP="00E652EB">
      <w:r>
        <w:t xml:space="preserve">A detailed discussion of the approach to estimating future demand is provided in </w:t>
      </w:r>
      <w:r w:rsidR="00891BDB">
        <w:t>Section</w:t>
      </w:r>
      <w:r>
        <w:t xml:space="preserve"> </w:t>
      </w:r>
      <w:r w:rsidR="00891BDB">
        <w:rPr>
          <w:highlight w:val="yellow"/>
        </w:rPr>
        <w:fldChar w:fldCharType="begin"/>
      </w:r>
      <w:r w:rsidR="00891BDB">
        <w:instrText xml:space="preserve"> REF _Ref95295157 \w \h </w:instrText>
      </w:r>
      <w:r w:rsidR="00891BDB">
        <w:rPr>
          <w:highlight w:val="yellow"/>
        </w:rPr>
      </w:r>
      <w:r w:rsidR="00891BDB">
        <w:rPr>
          <w:highlight w:val="yellow"/>
        </w:rPr>
        <w:fldChar w:fldCharType="separate"/>
      </w:r>
      <w:r w:rsidR="00DC6A20">
        <w:t>2.3</w:t>
      </w:r>
      <w:r w:rsidR="00891BDB">
        <w:rPr>
          <w:highlight w:val="yellow"/>
        </w:rPr>
        <w:fldChar w:fldCharType="end"/>
      </w:r>
      <w:r>
        <w:t>.</w:t>
      </w:r>
    </w:p>
    <w:p w14:paraId="131E6737" w14:textId="09BCF067" w:rsidR="008A6BCC" w:rsidRDefault="008A6BCC" w:rsidP="00464633">
      <w:pPr>
        <w:pStyle w:val="Heading2"/>
        <w:rPr>
          <w:lang w:eastAsia="en-AU"/>
        </w:rPr>
      </w:pPr>
      <w:bookmarkStart w:id="180" w:name="_Ref95236327"/>
      <w:bookmarkStart w:id="181" w:name="_Toc99437523"/>
      <w:bookmarkStart w:id="182" w:name="_Toc94771852"/>
      <w:r>
        <w:rPr>
          <w:lang w:eastAsia="en-AU"/>
        </w:rPr>
        <w:t>T</w:t>
      </w:r>
      <w:r w:rsidR="00F92AA5">
        <w:rPr>
          <w:lang w:eastAsia="en-AU"/>
        </w:rPr>
        <w:t>rends influencing t</w:t>
      </w:r>
      <w:r>
        <w:rPr>
          <w:lang w:eastAsia="en-AU"/>
        </w:rPr>
        <w:t>otal demand</w:t>
      </w:r>
      <w:bookmarkEnd w:id="180"/>
      <w:bookmarkEnd w:id="181"/>
    </w:p>
    <w:p w14:paraId="3C88A715" w14:textId="52D4AE2D" w:rsidR="001B43B7" w:rsidRDefault="001B43B7" w:rsidP="00410FCE">
      <w:pPr>
        <w:rPr>
          <w:lang w:eastAsia="en-AU"/>
        </w:rPr>
      </w:pPr>
      <w:r>
        <w:rPr>
          <w:lang w:eastAsia="en-AU"/>
        </w:rPr>
        <w:t xml:space="preserve">Consultations across the aged care sector revealed </w:t>
      </w:r>
      <w:r w:rsidR="00DF2BE2">
        <w:rPr>
          <w:lang w:eastAsia="en-AU"/>
        </w:rPr>
        <w:t>that generational changes, government policy, demographic trends, increasing dementia, increase in aged care service use and growing complexity will be key drivers of demand for aged care advocacy.</w:t>
      </w:r>
    </w:p>
    <w:p w14:paraId="1453DAA6" w14:textId="77777777" w:rsidR="00FF15B0" w:rsidRDefault="00FF15B0" w:rsidP="00FF15B0">
      <w:pPr>
        <w:pStyle w:val="Heading3"/>
        <w:ind w:left="993" w:hanging="993"/>
      </w:pPr>
      <w:bookmarkStart w:id="183" w:name="_Toc99437524"/>
      <w:r>
        <w:t>Demographic trends including life expectancy</w:t>
      </w:r>
      <w:bookmarkEnd w:id="183"/>
    </w:p>
    <w:p w14:paraId="6FF7CB9F" w14:textId="77777777" w:rsidR="00FF15B0" w:rsidRPr="00766D94" w:rsidRDefault="00FF15B0" w:rsidP="00FF15B0">
      <w:r>
        <w:rPr>
          <w:lang w:val="en-GB"/>
        </w:rPr>
        <w:t xml:space="preserve">Demographic trends will also shape advocacy needs. An improvement in health and life expectancy means that more people are living longer and staying at home longer. </w:t>
      </w:r>
      <w:r w:rsidRPr="00393C5A">
        <w:t xml:space="preserve">Both the proportion of people aged 65 years and above and the proportion of the </w:t>
      </w:r>
      <w:r>
        <w:t>Aboriginal and Torres Strait Islander</w:t>
      </w:r>
      <w:r w:rsidRPr="00393C5A">
        <w:t xml:space="preserve"> population aged 50 years and above are on an upward t</w:t>
      </w:r>
      <w:r>
        <w:t>r</w:t>
      </w:r>
      <w:r w:rsidRPr="00393C5A">
        <w:t>end</w:t>
      </w:r>
      <w:r>
        <w:t>.</w:t>
      </w:r>
      <w:r w:rsidRPr="00393C5A">
        <w:t xml:space="preserve"> </w:t>
      </w:r>
      <w:r>
        <w:t>T</w:t>
      </w:r>
      <w:r w:rsidRPr="00393C5A">
        <w:t xml:space="preserve">he former </w:t>
      </w:r>
      <w:r>
        <w:t>has</w:t>
      </w:r>
      <w:r w:rsidRPr="00393C5A">
        <w:t xml:space="preserve"> increased from 12.4% to 16.3% in the 20 years leading up to 2020 (ABS population trends). </w:t>
      </w:r>
      <w:r>
        <w:t>T</w:t>
      </w:r>
      <w:r w:rsidRPr="00393C5A">
        <w:t>he Intergenerational Report 2021 projects the number of people aged 65 years and older will double over the next three decades.</w:t>
      </w:r>
      <w:r>
        <w:rPr>
          <w:rStyle w:val="EndnoteReference"/>
        </w:rPr>
        <w:endnoteReference w:id="35"/>
      </w:r>
      <w:r w:rsidRPr="00393C5A">
        <w:t xml:space="preserve"> </w:t>
      </w:r>
      <w:r>
        <w:rPr>
          <w:lang w:val="en-GB"/>
        </w:rPr>
        <w:t>This suggests that the need for aged care services and advocacy will rise over the foreseeable future.</w:t>
      </w:r>
    </w:p>
    <w:p w14:paraId="0976866C" w14:textId="77777777" w:rsidR="00FF15B0" w:rsidRDefault="00FF15B0" w:rsidP="00FF15B0">
      <w:pPr>
        <w:pStyle w:val="Heading3"/>
        <w:ind w:left="993" w:hanging="993"/>
      </w:pPr>
      <w:bookmarkStart w:id="184" w:name="_Toc99437525"/>
      <w:r>
        <w:t>Increasing dementia</w:t>
      </w:r>
      <w:bookmarkEnd w:id="184"/>
    </w:p>
    <w:p w14:paraId="230F9D86" w14:textId="77777777" w:rsidR="00FF15B0" w:rsidRDefault="00FF15B0" w:rsidP="00FF15B0">
      <w:r>
        <w:t>The prevalence of dementia among those aged 65+ is expected to grow by 35% between 2021 and 2030.</w:t>
      </w:r>
      <w:r w:rsidRPr="00C91A3C">
        <w:rPr>
          <w:rStyle w:val="EndnoteReference"/>
        </w:rPr>
        <w:endnoteReference w:id="36"/>
      </w:r>
      <w:r>
        <w:t xml:space="preserve"> This means that aged care services will need to increase to support a growing cohort of people with dementia. Those living with dementia often have the strongest need for advocacy as they lack the competency and understanding to self-advocate when needed. This means that the growing number of people living with dementia is likely to be accompanied by a corresponding increase in the demand for aged care advocacy.</w:t>
      </w:r>
    </w:p>
    <w:p w14:paraId="4BB8A1EB" w14:textId="77777777" w:rsidR="001B43B7" w:rsidRDefault="001B43B7" w:rsidP="0038083D">
      <w:pPr>
        <w:pStyle w:val="Heading3"/>
        <w:ind w:left="993" w:hanging="993"/>
      </w:pPr>
      <w:bookmarkStart w:id="185" w:name="_Toc99437526"/>
      <w:r>
        <w:t>Increase in aged care service utilisation</w:t>
      </w:r>
      <w:bookmarkEnd w:id="185"/>
    </w:p>
    <w:p w14:paraId="05288154" w14:textId="77777777" w:rsidR="001B43B7" w:rsidRDefault="001B43B7" w:rsidP="001B43B7">
      <w:r>
        <w:t>The utilisation of aged care services will rise as the number of older Australians – particularly those living to very advanced ages – grows. The number of people using home care tripled (from 47,684 to 142,436) in the decade to 2020. The number of people using residential aged care and respite care increased by more than 13% and 50% respectively over the same time.</w:t>
      </w:r>
      <w:r>
        <w:rPr>
          <w:rStyle w:val="EndnoteReference"/>
        </w:rPr>
        <w:endnoteReference w:id="37"/>
      </w:r>
      <w:r>
        <w:t xml:space="preserve"> The Australian Government will increase the supply of home care packages by 80,000 by 2023, increasing the total number of home care packages to 275,000. This will translate into increased demand for aged care advocacy, especially as older people seek to remain within their own homes.</w:t>
      </w:r>
    </w:p>
    <w:p w14:paraId="2F5753DC" w14:textId="77777777" w:rsidR="00F137D1" w:rsidRPr="00847D1A" w:rsidRDefault="00F137D1" w:rsidP="00F137D1">
      <w:pPr>
        <w:pStyle w:val="Heading3"/>
        <w:ind w:left="993" w:hanging="993"/>
      </w:pPr>
      <w:bookmarkStart w:id="186" w:name="_Toc99437527"/>
      <w:r>
        <w:t>Growing complexity</w:t>
      </w:r>
      <w:bookmarkEnd w:id="186"/>
    </w:p>
    <w:p w14:paraId="4438EBCC" w14:textId="696104A7" w:rsidR="00F137D1" w:rsidRDefault="00F137D1" w:rsidP="00F137D1">
      <w:r>
        <w:t>The movement towards personalised care will introduce greater complexity to the deliver</w:t>
      </w:r>
      <w:r w:rsidR="00596AA5">
        <w:t>y</w:t>
      </w:r>
      <w:r>
        <w:t xml:space="preserve"> of aged care</w:t>
      </w:r>
      <w:r w:rsidR="00596AA5">
        <w:t xml:space="preserve"> support</w:t>
      </w:r>
      <w:r>
        <w:t>. There is a growing diversity of care needs among older people and an increasing focus on delivering services that are sensitive and appropriate to these needs. This includes the specific care needs relating to cultural backgrounds, sexuality and gender diversity, mental illness, and other groups such as care leavers and veterans. Failing to deliver appropriately designed services to these cohorts will only serve to increase complexity in the long-term.</w:t>
      </w:r>
    </w:p>
    <w:p w14:paraId="56BAD8E2" w14:textId="77777777" w:rsidR="00F137D1" w:rsidRDefault="00F137D1" w:rsidP="00F137D1">
      <w:r>
        <w:t>Models of care focused on choice and control rely on consumer involvement and understanding. This increases complexity, and a complex system carries the risk of disengaging consumers without appropriate supports. An example of this is the recent changes to home care payment arrangements which are reported to have increased confusion among recipients. While thoughtful policy and implementation will help to alleviate this complexity, it is likely that many recipients will face challenges (at least in the short-term). This may increase the demand for aged care advocacy – particularly specialist advocacy – as a key support for navigating the system and responding to issues.</w:t>
      </w:r>
    </w:p>
    <w:p w14:paraId="7DF61588" w14:textId="77777777" w:rsidR="001B43B7" w:rsidRDefault="001B43B7" w:rsidP="0038083D">
      <w:pPr>
        <w:pStyle w:val="Heading3"/>
        <w:ind w:left="993" w:hanging="993"/>
      </w:pPr>
      <w:bookmarkStart w:id="187" w:name="_Toc99437528"/>
      <w:r>
        <w:t>Government policy and reform</w:t>
      </w:r>
      <w:bookmarkEnd w:id="187"/>
    </w:p>
    <w:p w14:paraId="64A4EE14" w14:textId="77777777" w:rsidR="001B43B7" w:rsidRDefault="001B43B7" w:rsidP="001B43B7">
      <w:r>
        <w:t xml:space="preserve">The next tranche of government reforms will further the move towards </w:t>
      </w:r>
      <w:r w:rsidRPr="00BF0F91">
        <w:t>consumer choice and control</w:t>
      </w:r>
      <w:r>
        <w:t>, and this may increase the demand for advocacy. Increasing consumer choice is a positive outcome but presents challenges as older people may find it difficult to navigate the service options and corresponding fee schedules. Past reforms have demonstrated that complaints and concerns are likely to rise as new policies are introduced.</w:t>
      </w:r>
    </w:p>
    <w:p w14:paraId="4E829CEC" w14:textId="6865654F" w:rsidR="00897DA2" w:rsidRDefault="00897DA2" w:rsidP="001B43B7">
      <w:r>
        <w:t>Some stakeholders indicated that home care providers are poor at communicating aged care rights with their consumers. Policy directed at service providers embracing a rights-based approach to residential aged care may also influence the demand for aged care advocacy. This may occur if older people are made to feel more confident in raising concerns about a service.</w:t>
      </w:r>
    </w:p>
    <w:p w14:paraId="6228671C" w14:textId="15646012" w:rsidR="00004E67" w:rsidRDefault="00004E67" w:rsidP="001B43B7">
      <w:r>
        <w:t xml:space="preserve">It is also noted that </w:t>
      </w:r>
      <w:r w:rsidR="00A66983">
        <w:t xml:space="preserve">the availability of information regarding aged care services is likely to improve significantly with the current reform agenda. Service Australia, Care Finders, and Indigenous Care Finders will </w:t>
      </w:r>
      <w:r w:rsidR="003F4592">
        <w:t xml:space="preserve">help to improve touch points for </w:t>
      </w:r>
      <w:r w:rsidR="00CB5638">
        <w:t xml:space="preserve">current and future aged care consumers. While the exact impact of this </w:t>
      </w:r>
      <w:r w:rsidR="001645F6">
        <w:t xml:space="preserve">on demand </w:t>
      </w:r>
      <w:r w:rsidR="00047FBE">
        <w:t xml:space="preserve">levels </w:t>
      </w:r>
      <w:r w:rsidR="001645F6">
        <w:t>for the NACAP</w:t>
      </w:r>
      <w:r w:rsidR="00CB5638">
        <w:t xml:space="preserve"> is </w:t>
      </w:r>
      <w:r w:rsidR="001645F6">
        <w:t xml:space="preserve">difficult to predict, improved availability of information will </w:t>
      </w:r>
      <w:r w:rsidR="005A0A2C">
        <w:t xml:space="preserve">at the very least change the nature of </w:t>
      </w:r>
      <w:r w:rsidR="00047FBE">
        <w:t>NACAP requests</w:t>
      </w:r>
      <w:r w:rsidR="00897DA2">
        <w:t>.</w:t>
      </w:r>
    </w:p>
    <w:p w14:paraId="7829A48F" w14:textId="77777777" w:rsidR="00FF15B0" w:rsidRDefault="00FF15B0" w:rsidP="00FF15B0">
      <w:pPr>
        <w:pStyle w:val="Heading3"/>
        <w:ind w:left="993" w:hanging="993"/>
      </w:pPr>
      <w:bookmarkStart w:id="188" w:name="_Toc99117099"/>
      <w:bookmarkStart w:id="189" w:name="_Toc99437529"/>
      <w:bookmarkStart w:id="190" w:name="_Ref95313067"/>
      <w:bookmarkStart w:id="191" w:name="_Ref95394696"/>
      <w:bookmarkEnd w:id="188"/>
      <w:r>
        <w:t>Generational changes</w:t>
      </w:r>
      <w:bookmarkEnd w:id="189"/>
    </w:p>
    <w:p w14:paraId="709AEEE4" w14:textId="07F29381" w:rsidR="00FF15B0" w:rsidRPr="00EF4130" w:rsidRDefault="00FF15B0" w:rsidP="00FF15B0">
      <w:pPr>
        <w:rPr>
          <w:lang w:val="en-GB"/>
        </w:rPr>
      </w:pPr>
      <w:r>
        <w:rPr>
          <w:lang w:val="en-GB"/>
        </w:rPr>
        <w:t>Many stakeholders indicated that the changing characteristics and attitudes of the older population are expected to increase the demand for advocacy in the future. While speculative, stakeholders hypothesised that a generational shift is soon to occur. This shift would involve the current generation who are accepting of services as provided being gradually replaced by a new generation of aged care consumers who are cognisant of their rights and needs. Th</w:t>
      </w:r>
      <w:r w:rsidR="003172D9">
        <w:rPr>
          <w:lang w:val="en-GB"/>
        </w:rPr>
        <w:t xml:space="preserve">e extent that this will </w:t>
      </w:r>
      <w:r>
        <w:rPr>
          <w:lang w:val="en-GB"/>
        </w:rPr>
        <w:t>shift the power balance and expectations of consumers and potentially increase the scrutiny of service quality</w:t>
      </w:r>
      <w:r w:rsidR="00C425D1">
        <w:rPr>
          <w:lang w:val="en-GB"/>
        </w:rPr>
        <w:t xml:space="preserve"> will also depend on structural changes to support or empower consumer voice</w:t>
      </w:r>
      <w:r>
        <w:rPr>
          <w:lang w:val="en-GB"/>
        </w:rPr>
        <w:t>. Some stakeholders noted that the upcoming generation will also be more likely to self-advocate given higher digital literacy, decreasing the demand for formal advocacy. The net effect of these opposing factors remains unclear.</w:t>
      </w:r>
    </w:p>
    <w:p w14:paraId="51A8E7A2" w14:textId="49D6179A" w:rsidR="00F92AA5" w:rsidRDefault="00D428A9" w:rsidP="00F92AA5">
      <w:pPr>
        <w:pStyle w:val="Heading2"/>
      </w:pPr>
      <w:bookmarkStart w:id="192" w:name="_Toc99437530"/>
      <w:r>
        <w:t>Future</w:t>
      </w:r>
      <w:r w:rsidR="00F92AA5">
        <w:t xml:space="preserve"> total demand</w:t>
      </w:r>
      <w:bookmarkEnd w:id="190"/>
      <w:bookmarkEnd w:id="191"/>
      <w:bookmarkEnd w:id="192"/>
    </w:p>
    <w:p w14:paraId="679B99F8" w14:textId="3461D720" w:rsidR="00BE5351" w:rsidRPr="00CF4135" w:rsidRDefault="00BE5351" w:rsidP="00BE5351">
      <w:pPr>
        <w:rPr>
          <w:lang w:eastAsia="en-AU"/>
        </w:rPr>
      </w:pPr>
      <w:r>
        <w:rPr>
          <w:lang w:eastAsia="en-AU"/>
        </w:rPr>
        <w:t xml:space="preserve">Drawing from the insights from consultations outlined in Section </w:t>
      </w:r>
      <w:r>
        <w:rPr>
          <w:lang w:eastAsia="en-AU"/>
        </w:rPr>
        <w:fldChar w:fldCharType="begin"/>
      </w:r>
      <w:r>
        <w:rPr>
          <w:lang w:eastAsia="en-AU"/>
        </w:rPr>
        <w:instrText xml:space="preserve"> REF _Ref95236327 \r \h </w:instrText>
      </w:r>
      <w:r>
        <w:rPr>
          <w:lang w:eastAsia="en-AU"/>
        </w:rPr>
      </w:r>
      <w:r>
        <w:rPr>
          <w:lang w:eastAsia="en-AU"/>
        </w:rPr>
        <w:fldChar w:fldCharType="separate"/>
      </w:r>
      <w:r w:rsidR="00DC6A20">
        <w:rPr>
          <w:lang w:eastAsia="en-AU"/>
        </w:rPr>
        <w:t>4.1</w:t>
      </w:r>
      <w:r>
        <w:rPr>
          <w:lang w:eastAsia="en-AU"/>
        </w:rPr>
        <w:fldChar w:fldCharType="end"/>
      </w:r>
      <w:r>
        <w:rPr>
          <w:lang w:eastAsia="en-AU"/>
        </w:rPr>
        <w:t>, our model for total demand growth is driven by several factors, including population growth, demographic changes, and reforms to the aged care system. Each of these factors is accounted for in the projections of the target population that underpins the subsequent analysis of service usage.</w:t>
      </w:r>
    </w:p>
    <w:p w14:paraId="4DE85C1F" w14:textId="77777777" w:rsidR="001B43B7" w:rsidRDefault="001B43B7" w:rsidP="001B43B7">
      <w:r w:rsidRPr="00E80BB9">
        <w:t xml:space="preserve">The future total demand was estimated by establishing the size of the NACAP </w:t>
      </w:r>
      <w:r w:rsidRPr="00E80BB9">
        <w:rPr>
          <w:b/>
          <w:bCs/>
        </w:rPr>
        <w:t>target population</w:t>
      </w:r>
      <w:r w:rsidRPr="00E80BB9">
        <w:t xml:space="preserve"> in each year between now and 2031/32 and multiplying by the relevant maximum total demand rate.</w:t>
      </w:r>
    </w:p>
    <w:p w14:paraId="6AB1727C" w14:textId="4E2A8FDC" w:rsidR="00DE0F5D" w:rsidRDefault="004F3AF5" w:rsidP="0038083D">
      <w:pPr>
        <w:pStyle w:val="Heading3"/>
        <w:ind w:left="993" w:hanging="993"/>
      </w:pPr>
      <w:bookmarkStart w:id="193" w:name="_Toc99437531"/>
      <w:bookmarkEnd w:id="182"/>
      <w:r>
        <w:t>Future d</w:t>
      </w:r>
      <w:r w:rsidR="00732921">
        <w:t>emand for information and advocacy cases</w:t>
      </w:r>
      <w:bookmarkEnd w:id="193"/>
    </w:p>
    <w:p w14:paraId="3EFAD666" w14:textId="442AD155" w:rsidR="00291CBD" w:rsidRPr="00291CBD" w:rsidRDefault="00DE0F5D" w:rsidP="00741CA8">
      <w:pPr>
        <w:rPr>
          <w:lang w:eastAsia="en-AU"/>
        </w:rPr>
      </w:pPr>
      <w:r>
        <w:rPr>
          <w:lang w:eastAsia="en-AU"/>
        </w:rPr>
        <w:t xml:space="preserve">As shown in </w:t>
      </w:r>
      <w:r>
        <w:rPr>
          <w:lang w:eastAsia="en-AU"/>
        </w:rPr>
        <w:fldChar w:fldCharType="begin"/>
      </w:r>
      <w:r>
        <w:rPr>
          <w:lang w:eastAsia="en-AU"/>
        </w:rPr>
        <w:instrText xml:space="preserve"> REF _Ref94534229 \r \h </w:instrText>
      </w:r>
      <w:r>
        <w:rPr>
          <w:lang w:eastAsia="en-AU"/>
        </w:rPr>
      </w:r>
      <w:r>
        <w:rPr>
          <w:lang w:eastAsia="en-AU"/>
        </w:rPr>
        <w:fldChar w:fldCharType="separate"/>
      </w:r>
      <w:r w:rsidR="00DC6A20">
        <w:rPr>
          <w:lang w:eastAsia="en-AU"/>
        </w:rPr>
        <w:t>Chart 4.1</w:t>
      </w:r>
      <w:r>
        <w:rPr>
          <w:lang w:eastAsia="en-AU"/>
        </w:rPr>
        <w:fldChar w:fldCharType="end"/>
      </w:r>
      <w:r>
        <w:rPr>
          <w:lang w:eastAsia="en-AU"/>
        </w:rPr>
        <w:t xml:space="preserve">, most users </w:t>
      </w:r>
      <w:r w:rsidR="00910903">
        <w:rPr>
          <w:lang w:eastAsia="en-AU"/>
        </w:rPr>
        <w:t xml:space="preserve">of the NACAP </w:t>
      </w:r>
      <w:r>
        <w:rPr>
          <w:lang w:eastAsia="en-AU"/>
        </w:rPr>
        <w:t>are recipients of community aged care. A similar number of users are recipients of residential aged care or fall in the ‘other’ category – this includes recipients of respite care, those who are pre-entry to aged care, and those not engaging with the aged care system. This distribution of users is assumed to continue over the forecast period</w:t>
      </w:r>
      <w:r w:rsidR="00836964">
        <w:rPr>
          <w:lang w:eastAsia="en-AU"/>
        </w:rPr>
        <w:t>. This means that any change in the distribution of users across service types</w:t>
      </w:r>
      <w:r w:rsidR="000D0D40">
        <w:rPr>
          <w:lang w:eastAsia="en-AU"/>
        </w:rPr>
        <w:t xml:space="preserve"> i.e.</w:t>
      </w:r>
      <w:r w:rsidR="0063684B">
        <w:rPr>
          <w:lang w:eastAsia="en-AU"/>
        </w:rPr>
        <w:t>,</w:t>
      </w:r>
      <w:r w:rsidR="000D0D40">
        <w:rPr>
          <w:lang w:eastAsia="en-AU"/>
        </w:rPr>
        <w:t xml:space="preserve"> information or advocacy</w:t>
      </w:r>
      <w:r w:rsidR="00836964">
        <w:rPr>
          <w:lang w:eastAsia="en-AU"/>
        </w:rPr>
        <w:t xml:space="preserve"> is only driven by changes in the composition of the target population.</w:t>
      </w:r>
    </w:p>
    <w:p w14:paraId="78F85059" w14:textId="67B00D86" w:rsidR="00C941FA" w:rsidRPr="00291CBD" w:rsidRDefault="00291CBD" w:rsidP="00FC074C">
      <w:pPr>
        <w:pStyle w:val="CaptionChart"/>
        <w:ind w:left="0"/>
        <w:rPr>
          <w:lang w:eastAsia="en-AU"/>
        </w:rPr>
      </w:pPr>
      <w:bookmarkStart w:id="194" w:name="_Ref94534229"/>
      <w:bookmarkStart w:id="195" w:name="_Toc94776586"/>
      <w:bookmarkStart w:id="196" w:name="_Toc99117043"/>
      <w:r w:rsidRPr="00BF6334">
        <w:rPr>
          <w:lang w:eastAsia="en-AU"/>
        </w:rPr>
        <w:t xml:space="preserve">: </w:t>
      </w:r>
      <w:r>
        <w:rPr>
          <w:lang w:eastAsia="en-AU"/>
        </w:rPr>
        <w:t xml:space="preserve">Projected </w:t>
      </w:r>
      <w:r w:rsidRPr="00BF6334">
        <w:rPr>
          <w:lang w:eastAsia="en-AU"/>
        </w:rPr>
        <w:t xml:space="preserve">NACAP </w:t>
      </w:r>
      <w:r>
        <w:rPr>
          <w:lang w:eastAsia="en-AU"/>
        </w:rPr>
        <w:t xml:space="preserve">users from </w:t>
      </w:r>
      <w:r w:rsidRPr="00BF6334">
        <w:rPr>
          <w:lang w:eastAsia="en-AU"/>
        </w:rPr>
        <w:t>2020/21 to 2031/32</w:t>
      </w:r>
      <w:r>
        <w:rPr>
          <w:lang w:eastAsia="en-AU"/>
        </w:rPr>
        <w:t>, by care type</w:t>
      </w:r>
      <w:bookmarkEnd w:id="194"/>
      <w:bookmarkEnd w:id="195"/>
      <w:bookmarkEnd w:id="196"/>
    </w:p>
    <w:p w14:paraId="180BAE7F" w14:textId="2CDDEE72" w:rsidR="008D6173" w:rsidRDefault="003E333A" w:rsidP="00741CA8">
      <w:pPr>
        <w:pStyle w:val="ListBullet"/>
        <w:keepNext/>
        <w:numPr>
          <w:ilvl w:val="0"/>
          <w:numId w:val="0"/>
        </w:numPr>
        <w:ind w:left="340" w:hanging="340"/>
        <w:rPr>
          <w:highlight w:val="yellow"/>
          <w:lang w:eastAsia="en-AU"/>
        </w:rPr>
      </w:pPr>
      <w:r w:rsidRPr="00B10C01">
        <w:rPr>
          <w:noProof/>
        </w:rPr>
        <w:drawing>
          <wp:inline distT="0" distB="0" distL="0" distR="0" wp14:anchorId="0F9F89D6" wp14:editId="5B4D6CD6">
            <wp:extent cx="3877056" cy="2499052"/>
            <wp:effectExtent l="0" t="0" r="0" b="0"/>
            <wp:docPr id="24" name="Picture 24" descr="The number of users are expected to increase constantly in the future for all car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number of users are expected to increase constantly in the future for all care typ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1556" cy="2508398"/>
                    </a:xfrm>
                    <a:prstGeom prst="rect">
                      <a:avLst/>
                    </a:prstGeom>
                    <a:noFill/>
                    <a:ln>
                      <a:noFill/>
                    </a:ln>
                  </pic:spPr>
                </pic:pic>
              </a:graphicData>
            </a:graphic>
          </wp:inline>
        </w:drawing>
      </w:r>
    </w:p>
    <w:p w14:paraId="41DCD2E7" w14:textId="049F7890" w:rsidR="00291CBD" w:rsidRDefault="00291CBD" w:rsidP="00B33F2C">
      <w:pPr>
        <w:pStyle w:val="Source"/>
        <w:rPr>
          <w:lang w:eastAsia="en-AU"/>
        </w:rPr>
      </w:pPr>
      <w:r w:rsidRPr="00BF6334">
        <w:rPr>
          <w:lang w:eastAsia="en-AU"/>
        </w:rPr>
        <w:t xml:space="preserve">Source: Deloitte Access Economics analysis </w:t>
      </w:r>
      <w:r>
        <w:rPr>
          <w:lang w:eastAsia="en-AU"/>
        </w:rPr>
        <w:t>based on OPAN and</w:t>
      </w:r>
      <w:r w:rsidRPr="00BF6334">
        <w:rPr>
          <w:lang w:eastAsia="en-AU"/>
        </w:rPr>
        <w:t xml:space="preserve"> AIHW data.</w:t>
      </w:r>
    </w:p>
    <w:p w14:paraId="03C1EE3A" w14:textId="633EA082" w:rsidR="00802A13" w:rsidRPr="0069648E" w:rsidRDefault="0035611F" w:rsidP="00B33F2C">
      <w:pPr>
        <w:rPr>
          <w:lang w:eastAsia="en-AU"/>
        </w:rPr>
      </w:pPr>
      <w:r>
        <w:rPr>
          <w:lang w:eastAsia="en-AU"/>
        </w:rPr>
        <w:fldChar w:fldCharType="begin"/>
      </w:r>
      <w:r>
        <w:rPr>
          <w:lang w:eastAsia="en-AU"/>
        </w:rPr>
        <w:instrText xml:space="preserve"> REF _Ref94535635 \r \h </w:instrText>
      </w:r>
      <w:r>
        <w:rPr>
          <w:lang w:eastAsia="en-AU"/>
        </w:rPr>
      </w:r>
      <w:r>
        <w:rPr>
          <w:lang w:eastAsia="en-AU"/>
        </w:rPr>
        <w:fldChar w:fldCharType="separate"/>
      </w:r>
      <w:r w:rsidR="00DC6A20">
        <w:rPr>
          <w:lang w:eastAsia="en-AU"/>
        </w:rPr>
        <w:t>Chart 4.2</w:t>
      </w:r>
      <w:r>
        <w:rPr>
          <w:lang w:eastAsia="en-AU"/>
        </w:rPr>
        <w:fldChar w:fldCharType="end"/>
      </w:r>
      <w:r>
        <w:rPr>
          <w:lang w:eastAsia="en-AU"/>
        </w:rPr>
        <w:t xml:space="preserve"> presents these same data</w:t>
      </w:r>
      <w:r w:rsidR="004E4B4B">
        <w:rPr>
          <w:lang w:eastAsia="en-AU"/>
        </w:rPr>
        <w:t xml:space="preserve">, disaggregated by service type instead of care type. </w:t>
      </w:r>
      <w:r w:rsidR="00702F25">
        <w:rPr>
          <w:lang w:eastAsia="en-AU"/>
        </w:rPr>
        <w:t>A minor shift from information towards advocacy is projected to occur</w:t>
      </w:r>
      <w:r w:rsidR="00BC2B19">
        <w:rPr>
          <w:lang w:eastAsia="en-AU"/>
        </w:rPr>
        <w:t xml:space="preserve">. This is based on the composition of the aged care population and the current usage patterns of </w:t>
      </w:r>
      <w:r w:rsidR="00E91CE7">
        <w:rPr>
          <w:lang w:eastAsia="en-AU"/>
        </w:rPr>
        <w:t xml:space="preserve">the NACAP. That is, </w:t>
      </w:r>
      <w:r w:rsidR="00331F8F">
        <w:rPr>
          <w:lang w:eastAsia="en-AU"/>
        </w:rPr>
        <w:t>advocacy usage rates are higher in community care and most growth in the aged care population will</w:t>
      </w:r>
      <w:r w:rsidR="00702F25">
        <w:rPr>
          <w:lang w:eastAsia="en-AU"/>
        </w:rPr>
        <w:t xml:space="preserve"> </w:t>
      </w:r>
      <w:r w:rsidR="00A8414B">
        <w:rPr>
          <w:lang w:eastAsia="en-AU"/>
        </w:rPr>
        <w:t>occur in community care.</w:t>
      </w:r>
    </w:p>
    <w:p w14:paraId="0BD505B6" w14:textId="798BE6B7" w:rsidR="00371A1F" w:rsidRPr="00291CBD" w:rsidRDefault="00371A1F" w:rsidP="00FC074C">
      <w:pPr>
        <w:pStyle w:val="CaptionChart"/>
        <w:ind w:left="0"/>
        <w:rPr>
          <w:lang w:eastAsia="en-AU"/>
        </w:rPr>
      </w:pPr>
      <w:bookmarkStart w:id="197" w:name="_Ref94535635"/>
      <w:bookmarkStart w:id="198" w:name="_Toc94776587"/>
      <w:bookmarkStart w:id="199" w:name="_Toc99117044"/>
      <w:r w:rsidRPr="00BF6334">
        <w:rPr>
          <w:lang w:eastAsia="en-AU"/>
        </w:rPr>
        <w:t xml:space="preserve">: </w:t>
      </w:r>
      <w:r>
        <w:rPr>
          <w:lang w:eastAsia="en-AU"/>
        </w:rPr>
        <w:t xml:space="preserve">Projected </w:t>
      </w:r>
      <w:r w:rsidRPr="00BF6334">
        <w:rPr>
          <w:lang w:eastAsia="en-AU"/>
        </w:rPr>
        <w:t xml:space="preserve">NACAP </w:t>
      </w:r>
      <w:r>
        <w:rPr>
          <w:lang w:eastAsia="en-AU"/>
        </w:rPr>
        <w:t xml:space="preserve">users from </w:t>
      </w:r>
      <w:r w:rsidRPr="00BF6334">
        <w:rPr>
          <w:lang w:eastAsia="en-AU"/>
        </w:rPr>
        <w:t>2020/21 to 2031/32</w:t>
      </w:r>
      <w:r>
        <w:rPr>
          <w:lang w:eastAsia="en-AU"/>
        </w:rPr>
        <w:t xml:space="preserve">, by </w:t>
      </w:r>
      <w:r w:rsidR="004409B2">
        <w:rPr>
          <w:lang w:eastAsia="en-AU"/>
        </w:rPr>
        <w:t xml:space="preserve">service </w:t>
      </w:r>
      <w:r>
        <w:rPr>
          <w:lang w:eastAsia="en-AU"/>
        </w:rPr>
        <w:t>type</w:t>
      </w:r>
      <w:bookmarkEnd w:id="197"/>
      <w:bookmarkEnd w:id="198"/>
      <w:bookmarkEnd w:id="199"/>
    </w:p>
    <w:p w14:paraId="74D7C1BB" w14:textId="7A13CCD8" w:rsidR="00371A1F" w:rsidRDefault="003E2066" w:rsidP="00310737">
      <w:pPr>
        <w:pStyle w:val="ListBullet"/>
        <w:keepNext/>
        <w:numPr>
          <w:ilvl w:val="0"/>
          <w:numId w:val="0"/>
        </w:numPr>
        <w:ind w:left="340" w:hanging="340"/>
        <w:rPr>
          <w:highlight w:val="yellow"/>
          <w:lang w:eastAsia="en-AU"/>
        </w:rPr>
      </w:pPr>
      <w:r w:rsidRPr="00B10C01">
        <w:rPr>
          <w:noProof/>
        </w:rPr>
        <w:drawing>
          <wp:inline distT="0" distB="0" distL="0" distR="0" wp14:anchorId="18A3413E" wp14:editId="08705B16">
            <wp:extent cx="3877200" cy="2499146"/>
            <wp:effectExtent l="0" t="0" r="0" b="0"/>
            <wp:docPr id="31" name="Picture 31" descr="Future demand for OPAN services is expected to increase constantly for all car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uture demand for OPAN services is expected to increase constantly for all care typ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7200" cy="2499146"/>
                    </a:xfrm>
                    <a:prstGeom prst="rect">
                      <a:avLst/>
                    </a:prstGeom>
                    <a:noFill/>
                    <a:ln>
                      <a:noFill/>
                    </a:ln>
                  </pic:spPr>
                </pic:pic>
              </a:graphicData>
            </a:graphic>
          </wp:inline>
        </w:drawing>
      </w:r>
    </w:p>
    <w:p w14:paraId="02CA0F6F" w14:textId="4AA3597B" w:rsidR="00FA6AE3" w:rsidRDefault="00FA6AE3" w:rsidP="00310737">
      <w:pPr>
        <w:pStyle w:val="Source"/>
        <w:keepNext/>
        <w:rPr>
          <w:lang w:eastAsia="en-AU"/>
        </w:rPr>
      </w:pPr>
      <w:r w:rsidRPr="00BF6334">
        <w:rPr>
          <w:lang w:eastAsia="en-AU"/>
        </w:rPr>
        <w:t xml:space="preserve">Source: Deloitte Access Economics analysis </w:t>
      </w:r>
      <w:r>
        <w:rPr>
          <w:lang w:eastAsia="en-AU"/>
        </w:rPr>
        <w:t>based on OPAN and</w:t>
      </w:r>
      <w:r w:rsidRPr="00BF6334">
        <w:rPr>
          <w:lang w:eastAsia="en-AU"/>
        </w:rPr>
        <w:t xml:space="preserve"> AIHW data.</w:t>
      </w:r>
    </w:p>
    <w:p w14:paraId="43F1EDDA" w14:textId="6C76F925" w:rsidR="00D30F3A" w:rsidRDefault="00FD1B2A" w:rsidP="0038083D">
      <w:pPr>
        <w:pStyle w:val="Heading3"/>
        <w:ind w:left="993" w:hanging="993"/>
      </w:pPr>
      <w:bookmarkStart w:id="200" w:name="_Toc99437532"/>
      <w:r>
        <w:t>Future d</w:t>
      </w:r>
      <w:r w:rsidR="00D30F3A">
        <w:t>emand for education</w:t>
      </w:r>
      <w:bookmarkEnd w:id="200"/>
    </w:p>
    <w:p w14:paraId="7B6F86CD" w14:textId="6949BE38" w:rsidR="00CA3EA2" w:rsidRDefault="00E2627F" w:rsidP="00CA3EA2">
      <w:pPr>
        <w:rPr>
          <w:lang w:eastAsia="en-AU"/>
        </w:rPr>
      </w:pPr>
      <w:r>
        <w:rPr>
          <w:lang w:eastAsia="en-AU"/>
        </w:rPr>
        <w:fldChar w:fldCharType="begin"/>
      </w:r>
      <w:r>
        <w:rPr>
          <w:lang w:eastAsia="en-AU"/>
        </w:rPr>
        <w:instrText xml:space="preserve"> REF _Ref95763636 \n \h </w:instrText>
      </w:r>
      <w:r>
        <w:rPr>
          <w:lang w:eastAsia="en-AU"/>
        </w:rPr>
      </w:r>
      <w:r>
        <w:rPr>
          <w:lang w:eastAsia="en-AU"/>
        </w:rPr>
        <w:fldChar w:fldCharType="separate"/>
      </w:r>
      <w:r w:rsidR="00DC6A20">
        <w:rPr>
          <w:lang w:eastAsia="en-AU"/>
        </w:rPr>
        <w:t>Chart 4.3</w:t>
      </w:r>
      <w:r>
        <w:rPr>
          <w:lang w:eastAsia="en-AU"/>
        </w:rPr>
        <w:fldChar w:fldCharType="end"/>
      </w:r>
      <w:r>
        <w:rPr>
          <w:lang w:eastAsia="en-AU"/>
        </w:rPr>
        <w:t xml:space="preserve"> </w:t>
      </w:r>
      <w:r w:rsidR="00CA3EA2">
        <w:rPr>
          <w:lang w:eastAsia="en-AU"/>
        </w:rPr>
        <w:t>shows that the demand for education will gradually grow over the next decade. Growth will be slightly faster in community aged care, reflecting the significant expansion in home care places. The analysis suggests that a much greater emphasis on education with the community will be required, as this is where system growth and complexity are expected to be concentrated.</w:t>
      </w:r>
    </w:p>
    <w:p w14:paraId="0093687A" w14:textId="77777777" w:rsidR="00CA3EA2" w:rsidRDefault="00CA3EA2" w:rsidP="00CA3EA2">
      <w:pPr>
        <w:pStyle w:val="CaptionChart"/>
        <w:ind w:left="0"/>
        <w:rPr>
          <w:lang w:eastAsia="en-AU"/>
        </w:rPr>
      </w:pPr>
      <w:bookmarkStart w:id="201" w:name="_Ref95763636"/>
      <w:bookmarkStart w:id="202" w:name="_Toc99117045"/>
      <w:r>
        <w:rPr>
          <w:lang w:eastAsia="en-AU"/>
        </w:rPr>
        <w:t>: Demand for education sessions from 2020/21 to 2031/32, by care type</w:t>
      </w:r>
      <w:bookmarkEnd w:id="201"/>
      <w:bookmarkEnd w:id="202"/>
    </w:p>
    <w:p w14:paraId="321BC97E" w14:textId="77777777" w:rsidR="00CA3EA2" w:rsidRDefault="00CA3EA2" w:rsidP="00CA3EA2">
      <w:pPr>
        <w:rPr>
          <w:lang w:eastAsia="en-AU"/>
        </w:rPr>
      </w:pPr>
      <w:r w:rsidRPr="00292747">
        <w:rPr>
          <w:noProof/>
        </w:rPr>
        <w:drawing>
          <wp:inline distT="0" distB="0" distL="0" distR="0" wp14:anchorId="7B4A5F3C" wp14:editId="26BAED8B">
            <wp:extent cx="3790048" cy="2267712"/>
            <wp:effectExtent l="0" t="0" r="1270" b="0"/>
            <wp:docPr id="27" name="Picture 27" descr="Future demand for OPAN education sessions is expected to increase constantly for all car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uture demand for OPAN education sessions is expected to increase constantly for all care typ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05556" cy="2276991"/>
                    </a:xfrm>
                    <a:prstGeom prst="rect">
                      <a:avLst/>
                    </a:prstGeom>
                    <a:noFill/>
                    <a:ln>
                      <a:noFill/>
                    </a:ln>
                  </pic:spPr>
                </pic:pic>
              </a:graphicData>
            </a:graphic>
          </wp:inline>
        </w:drawing>
      </w:r>
    </w:p>
    <w:p w14:paraId="6F0DB0F3" w14:textId="19BE2DC2" w:rsidR="00CA3EA2" w:rsidRPr="00DA59B9" w:rsidRDefault="00CA3EA2" w:rsidP="00CA3EA2">
      <w:pPr>
        <w:rPr>
          <w:iCs/>
          <w:color w:val="75787B" w:themeColor="accent6"/>
          <w:szCs w:val="22"/>
        </w:rPr>
      </w:pPr>
      <w:r w:rsidRPr="008B6506">
        <w:rPr>
          <w:iCs/>
          <w:color w:val="595959" w:themeColor="text1" w:themeTint="A6"/>
          <w:szCs w:val="22"/>
        </w:rPr>
        <w:t>Note: *2020/21 figure is assumed to be the same as the number of sessions delivered in 2018/19</w:t>
      </w:r>
      <w:r w:rsidR="00BF67F0" w:rsidRPr="008B6506">
        <w:rPr>
          <w:iCs/>
          <w:color w:val="595959" w:themeColor="text1" w:themeTint="A6"/>
          <w:szCs w:val="22"/>
        </w:rPr>
        <w:t xml:space="preserve"> to filter out impacts of COVID-19 on service delivery.</w:t>
      </w:r>
      <w:r w:rsidRPr="008B6506">
        <w:rPr>
          <w:iCs/>
          <w:color w:val="595959" w:themeColor="text1" w:themeTint="A6"/>
          <w:szCs w:val="22"/>
        </w:rPr>
        <w:t xml:space="preserve"> The actual education sessions delivered in 2020/21 were 951</w:t>
      </w:r>
      <w:r w:rsidR="00225BD5" w:rsidRPr="008B6506">
        <w:rPr>
          <w:iCs/>
          <w:color w:val="595959" w:themeColor="text1" w:themeTint="A6"/>
          <w:szCs w:val="22"/>
        </w:rPr>
        <w:t xml:space="preserve"> for </w:t>
      </w:r>
      <w:r w:rsidRPr="008B6506">
        <w:rPr>
          <w:iCs/>
          <w:color w:val="595959" w:themeColor="text1" w:themeTint="A6"/>
          <w:szCs w:val="22"/>
        </w:rPr>
        <w:t xml:space="preserve">residential aged care </w:t>
      </w:r>
      <w:r w:rsidR="00225BD5" w:rsidRPr="008B6506">
        <w:rPr>
          <w:iCs/>
          <w:color w:val="595959" w:themeColor="text1" w:themeTint="A6"/>
          <w:szCs w:val="22"/>
        </w:rPr>
        <w:t>and 359 for community care</w:t>
      </w:r>
      <w:r w:rsidR="00BF67F0" w:rsidRPr="008B6506">
        <w:rPr>
          <w:iCs/>
          <w:color w:val="595959" w:themeColor="text1" w:themeTint="A6"/>
          <w:szCs w:val="22"/>
        </w:rPr>
        <w:t>.</w:t>
      </w:r>
    </w:p>
    <w:p w14:paraId="169BF2B3" w14:textId="2E9C4D6C" w:rsidR="00791B66" w:rsidRDefault="00DC609D" w:rsidP="00791B66">
      <w:r>
        <w:t xml:space="preserve">Results </w:t>
      </w:r>
      <w:r w:rsidR="00D54A88">
        <w:t xml:space="preserve">in </w:t>
      </w:r>
      <w:r w:rsidR="00D54A88">
        <w:fldChar w:fldCharType="begin"/>
      </w:r>
      <w:r w:rsidR="00D54A88">
        <w:instrText xml:space="preserve"> REF _Ref95471139 \n \h </w:instrText>
      </w:r>
      <w:r w:rsidR="00D54A88">
        <w:fldChar w:fldCharType="separate"/>
      </w:r>
      <w:r w:rsidR="00DC6A20">
        <w:t>Chart 4.4</w:t>
      </w:r>
      <w:r w:rsidR="00D54A88">
        <w:fldChar w:fldCharType="end"/>
      </w:r>
      <w:r w:rsidR="00D54A88">
        <w:t xml:space="preserve"> </w:t>
      </w:r>
      <w:r>
        <w:t>show that</w:t>
      </w:r>
      <w:r w:rsidR="00791B66">
        <w:t xml:space="preserve"> the gap that currently exists between </w:t>
      </w:r>
      <w:r w:rsidR="00FF665A">
        <w:t>the</w:t>
      </w:r>
      <w:r w:rsidR="00791B66">
        <w:t xml:space="preserve"> sessions delivered today </w:t>
      </w:r>
      <w:r w:rsidR="00FF665A">
        <w:t xml:space="preserve">with the funding available </w:t>
      </w:r>
      <w:r w:rsidR="00791B66">
        <w:t xml:space="preserve">and the target of 2 sessions per </w:t>
      </w:r>
      <w:r w:rsidR="00FF665A">
        <w:t xml:space="preserve">residential aged care </w:t>
      </w:r>
      <w:r w:rsidR="00791B66">
        <w:t xml:space="preserve">facility will widen going forward without either </w:t>
      </w:r>
      <w:r w:rsidR="00A32375">
        <w:t xml:space="preserve">additional </w:t>
      </w:r>
      <w:r w:rsidR="00791B66">
        <w:t>funding for education services or a reallocation in</w:t>
      </w:r>
      <w:r w:rsidR="00F03A55">
        <w:t xml:space="preserve"> existing</w:t>
      </w:r>
      <w:r w:rsidR="00791B66">
        <w:t xml:space="preserve"> funding from advocacy and information to education. Delivering the sessions to a larger audience can also lead to wider education delivery without a need for more sessions.</w:t>
      </w:r>
    </w:p>
    <w:p w14:paraId="32798F2F" w14:textId="3F8515ED" w:rsidR="00791B66" w:rsidRDefault="00791B66" w:rsidP="00791B66">
      <w:pPr>
        <w:pStyle w:val="CaptionChart"/>
        <w:ind w:left="57"/>
      </w:pPr>
      <w:bookmarkStart w:id="203" w:name="_Ref95471139"/>
      <w:bookmarkStart w:id="204" w:name="_Toc99117046"/>
      <w:r>
        <w:t xml:space="preserve">: Projection of education sessions delivered </w:t>
      </w:r>
      <w:r w:rsidR="005A03D6">
        <w:t>in residential aged care</w:t>
      </w:r>
      <w:r>
        <w:t xml:space="preserve"> </w:t>
      </w:r>
      <w:r w:rsidR="005A03D6">
        <w:t>from 2020/21 to</w:t>
      </w:r>
      <w:r>
        <w:t xml:space="preserve"> 2031/32, estimated actual delivery and targeted delivery</w:t>
      </w:r>
      <w:bookmarkEnd w:id="203"/>
      <w:bookmarkEnd w:id="204"/>
    </w:p>
    <w:p w14:paraId="7C76D9B5" w14:textId="77777777" w:rsidR="00791B66" w:rsidRDefault="00791B66" w:rsidP="00791B66">
      <w:r w:rsidRPr="001522A5">
        <w:rPr>
          <w:noProof/>
        </w:rPr>
        <w:drawing>
          <wp:inline distT="0" distB="0" distL="0" distR="0" wp14:anchorId="4CBBC320" wp14:editId="49B9B0FB">
            <wp:extent cx="4758182" cy="2414016"/>
            <wp:effectExtent l="0" t="0" r="4445" b="5715"/>
            <wp:docPr id="23" name="Picture 23" descr="Education sessions are projected to grow incrementally in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ducation sessions are projected to grow incrementally into the fut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73655" cy="2421866"/>
                    </a:xfrm>
                    <a:prstGeom prst="rect">
                      <a:avLst/>
                    </a:prstGeom>
                    <a:noFill/>
                    <a:ln>
                      <a:noFill/>
                    </a:ln>
                  </pic:spPr>
                </pic:pic>
              </a:graphicData>
            </a:graphic>
          </wp:inline>
        </w:drawing>
      </w:r>
    </w:p>
    <w:p w14:paraId="768AFA93" w14:textId="331BC1AA" w:rsidR="00791B66" w:rsidRPr="0086144B" w:rsidRDefault="00791B66" w:rsidP="00791B66">
      <w:pPr>
        <w:rPr>
          <w:iCs/>
          <w:color w:val="75787B" w:themeColor="accent6"/>
          <w:szCs w:val="22"/>
        </w:rPr>
      </w:pPr>
      <w:r w:rsidRPr="008B6506">
        <w:rPr>
          <w:iCs/>
          <w:color w:val="595959" w:themeColor="text1" w:themeTint="A6"/>
          <w:szCs w:val="22"/>
        </w:rPr>
        <w:t>Note: *2020/21 figure is assumed to be the same as the number of sessions delivered in 2018/19</w:t>
      </w:r>
      <w:r w:rsidR="00983BBB" w:rsidRPr="008B6506">
        <w:rPr>
          <w:iCs/>
          <w:color w:val="595959" w:themeColor="text1" w:themeTint="A6"/>
          <w:szCs w:val="22"/>
        </w:rPr>
        <w:t xml:space="preserve"> to filter out impacts of COVI</w:t>
      </w:r>
      <w:r w:rsidR="00AB042C" w:rsidRPr="008B6506">
        <w:rPr>
          <w:iCs/>
          <w:color w:val="595959" w:themeColor="text1" w:themeTint="A6"/>
          <w:szCs w:val="22"/>
        </w:rPr>
        <w:t>D</w:t>
      </w:r>
      <w:r w:rsidR="00983BBB" w:rsidRPr="008B6506">
        <w:rPr>
          <w:iCs/>
          <w:color w:val="595959" w:themeColor="text1" w:themeTint="A6"/>
          <w:szCs w:val="22"/>
        </w:rPr>
        <w:t>-19 on service delivery</w:t>
      </w:r>
      <w:r w:rsidRPr="008B6506">
        <w:rPr>
          <w:iCs/>
          <w:color w:val="595959" w:themeColor="text1" w:themeTint="A6"/>
          <w:szCs w:val="22"/>
        </w:rPr>
        <w:t>. The actual education sessions delivered in residential aged care facilities in 2020/21 were 951</w:t>
      </w:r>
      <w:r w:rsidR="00983BBB" w:rsidRPr="008B6506">
        <w:rPr>
          <w:iCs/>
          <w:color w:val="595959" w:themeColor="text1" w:themeTint="A6"/>
          <w:szCs w:val="22"/>
        </w:rPr>
        <w:t>.</w:t>
      </w:r>
    </w:p>
    <w:p w14:paraId="3A1D9969" w14:textId="2A56627B" w:rsidR="00534546" w:rsidRDefault="00534546" w:rsidP="00464633">
      <w:pPr>
        <w:pStyle w:val="Heading2"/>
        <w:rPr>
          <w:lang w:eastAsia="en-AU"/>
        </w:rPr>
      </w:pPr>
      <w:bookmarkStart w:id="205" w:name="_Toc94771854"/>
      <w:bookmarkStart w:id="206" w:name="_Ref94629972"/>
      <w:bookmarkStart w:id="207" w:name="_Toc94771855"/>
      <w:bookmarkStart w:id="208" w:name="_Toc99437533"/>
      <w:bookmarkEnd w:id="205"/>
      <w:r>
        <w:rPr>
          <w:lang w:eastAsia="en-AU"/>
        </w:rPr>
        <w:t xml:space="preserve">Future </w:t>
      </w:r>
      <w:r w:rsidR="003F59F8">
        <w:rPr>
          <w:lang w:eastAsia="en-AU"/>
        </w:rPr>
        <w:t xml:space="preserve">met and </w:t>
      </w:r>
      <w:r w:rsidR="00BE031D">
        <w:rPr>
          <w:lang w:eastAsia="en-AU"/>
        </w:rPr>
        <w:t>unmet demand</w:t>
      </w:r>
      <w:bookmarkEnd w:id="206"/>
      <w:bookmarkEnd w:id="207"/>
      <w:bookmarkEnd w:id="208"/>
    </w:p>
    <w:p w14:paraId="6BD5CB47" w14:textId="7F88DB30" w:rsidR="00E61210" w:rsidRDefault="00827AA3" w:rsidP="001114C0">
      <w:pPr>
        <w:rPr>
          <w:lang w:eastAsia="en-AU"/>
        </w:rPr>
      </w:pPr>
      <w:r>
        <w:rPr>
          <w:lang w:eastAsia="en-AU"/>
        </w:rPr>
        <w:fldChar w:fldCharType="begin"/>
      </w:r>
      <w:r>
        <w:rPr>
          <w:lang w:eastAsia="en-AU"/>
        </w:rPr>
        <w:instrText xml:space="preserve"> REF _Ref94541846 \r \h </w:instrText>
      </w:r>
      <w:r>
        <w:rPr>
          <w:lang w:eastAsia="en-AU"/>
        </w:rPr>
      </w:r>
      <w:r>
        <w:rPr>
          <w:lang w:eastAsia="en-AU"/>
        </w:rPr>
        <w:fldChar w:fldCharType="separate"/>
      </w:r>
      <w:r w:rsidR="00DC6A20">
        <w:rPr>
          <w:lang w:eastAsia="en-AU"/>
        </w:rPr>
        <w:t>Chart 4.5</w:t>
      </w:r>
      <w:r>
        <w:rPr>
          <w:lang w:eastAsia="en-AU"/>
        </w:rPr>
        <w:fldChar w:fldCharType="end"/>
      </w:r>
      <w:r>
        <w:rPr>
          <w:lang w:eastAsia="en-AU"/>
        </w:rPr>
        <w:t xml:space="preserve"> presents the estimates of </w:t>
      </w:r>
      <w:r w:rsidR="003F59F8">
        <w:rPr>
          <w:lang w:eastAsia="en-AU"/>
        </w:rPr>
        <w:t>met and unmet</w:t>
      </w:r>
      <w:r>
        <w:rPr>
          <w:lang w:eastAsia="en-AU"/>
        </w:rPr>
        <w:t xml:space="preserve"> demand for aged care </w:t>
      </w:r>
      <w:r w:rsidRPr="00B10C01">
        <w:rPr>
          <w:b/>
          <w:bCs/>
          <w:lang w:eastAsia="en-AU"/>
        </w:rPr>
        <w:t>advocacy and information services</w:t>
      </w:r>
      <w:r>
        <w:rPr>
          <w:lang w:eastAsia="en-AU"/>
        </w:rPr>
        <w:t xml:space="preserve"> from the current year until 2031/32. Met demand is observed to grow rapidly in the short-term as new funding is </w:t>
      </w:r>
      <w:r w:rsidR="00AD2D7F">
        <w:rPr>
          <w:lang w:eastAsia="en-AU"/>
        </w:rPr>
        <w:t>provided</w:t>
      </w:r>
      <w:r>
        <w:rPr>
          <w:lang w:eastAsia="en-AU"/>
        </w:rPr>
        <w:t xml:space="preserve">. While this funding is shown to lift the usage rates for advocacy and information services from 1.8% and 1.9% respectively in 2020/21, they will not reach the </w:t>
      </w:r>
      <w:r w:rsidR="00AD2D7F">
        <w:rPr>
          <w:lang w:eastAsia="en-AU"/>
        </w:rPr>
        <w:t>target of</w:t>
      </w:r>
      <w:r w:rsidR="00900D1B">
        <w:rPr>
          <w:lang w:eastAsia="en-AU"/>
        </w:rPr>
        <w:t xml:space="preserve"> minimum</w:t>
      </w:r>
      <w:r w:rsidR="00AD2D7F">
        <w:rPr>
          <w:lang w:eastAsia="en-AU"/>
        </w:rPr>
        <w:t xml:space="preserve"> </w:t>
      </w:r>
      <w:r>
        <w:rPr>
          <w:lang w:eastAsia="en-AU"/>
        </w:rPr>
        <w:t>5</w:t>
      </w:r>
      <w:r w:rsidR="00E61210">
        <w:rPr>
          <w:lang w:eastAsia="en-AU"/>
        </w:rPr>
        <w:t>%</w:t>
      </w:r>
      <w:r w:rsidR="008869D1">
        <w:rPr>
          <w:lang w:eastAsia="en-AU"/>
        </w:rPr>
        <w:t xml:space="preserve"> </w:t>
      </w:r>
      <w:r w:rsidR="00A11599">
        <w:rPr>
          <w:lang w:eastAsia="en-AU"/>
        </w:rPr>
        <w:t xml:space="preserve">usage </w:t>
      </w:r>
      <w:r w:rsidR="004B268A">
        <w:rPr>
          <w:lang w:eastAsia="en-AU"/>
        </w:rPr>
        <w:t>recommended by</w:t>
      </w:r>
      <w:r w:rsidR="008869D1">
        <w:rPr>
          <w:lang w:eastAsia="en-AU"/>
        </w:rPr>
        <w:t xml:space="preserve"> the Aged Care Royal Commission.</w:t>
      </w:r>
    </w:p>
    <w:p w14:paraId="407F6FCF" w14:textId="79A94820" w:rsidR="008869D1" w:rsidRDefault="008869D1" w:rsidP="001114C0">
      <w:pPr>
        <w:rPr>
          <w:lang w:eastAsia="en-AU"/>
        </w:rPr>
      </w:pPr>
      <w:r>
        <w:rPr>
          <w:lang w:eastAsia="en-AU"/>
        </w:rPr>
        <w:t>This means that significant unmet</w:t>
      </w:r>
      <w:r w:rsidR="00827AA3">
        <w:rPr>
          <w:lang w:eastAsia="en-AU"/>
        </w:rPr>
        <w:t xml:space="preserve"> demand will remain</w:t>
      </w:r>
      <w:r>
        <w:rPr>
          <w:lang w:eastAsia="en-AU"/>
        </w:rPr>
        <w:t>. T</w:t>
      </w:r>
      <w:r w:rsidR="00827AA3">
        <w:rPr>
          <w:lang w:eastAsia="en-AU"/>
        </w:rPr>
        <w:t>he usage rate</w:t>
      </w:r>
      <w:r w:rsidR="00D76C8A">
        <w:rPr>
          <w:lang w:eastAsia="en-AU"/>
        </w:rPr>
        <w:t>s</w:t>
      </w:r>
      <w:r w:rsidR="00827AA3">
        <w:rPr>
          <w:lang w:eastAsia="en-AU"/>
        </w:rPr>
        <w:t xml:space="preserve"> for advocacy </w:t>
      </w:r>
      <w:r w:rsidR="00D76C8A">
        <w:rPr>
          <w:lang w:eastAsia="en-AU"/>
        </w:rPr>
        <w:t xml:space="preserve">and information </w:t>
      </w:r>
      <w:r w:rsidR="00827AA3">
        <w:rPr>
          <w:lang w:eastAsia="en-AU"/>
        </w:rPr>
        <w:t xml:space="preserve">services peaking at </w:t>
      </w:r>
      <w:r w:rsidR="0017372D">
        <w:rPr>
          <w:lang w:eastAsia="en-AU"/>
        </w:rPr>
        <w:t>4.3</w:t>
      </w:r>
      <w:r w:rsidR="00827AA3">
        <w:rPr>
          <w:lang w:eastAsia="en-AU"/>
        </w:rPr>
        <w:t xml:space="preserve">% </w:t>
      </w:r>
      <w:r w:rsidR="00C66E26">
        <w:rPr>
          <w:lang w:eastAsia="en-AU"/>
        </w:rPr>
        <w:t xml:space="preserve">and </w:t>
      </w:r>
      <w:r w:rsidR="0017372D">
        <w:rPr>
          <w:lang w:eastAsia="en-AU"/>
        </w:rPr>
        <w:t>4.7</w:t>
      </w:r>
      <w:r w:rsidR="00D76C8A">
        <w:rPr>
          <w:lang w:eastAsia="en-AU"/>
        </w:rPr>
        <w:t xml:space="preserve">% respectively in 2022/23. </w:t>
      </w:r>
      <w:r w:rsidR="00B73033">
        <w:rPr>
          <w:lang w:eastAsia="en-AU"/>
        </w:rPr>
        <w:t xml:space="preserve">The </w:t>
      </w:r>
      <w:r>
        <w:rPr>
          <w:lang w:eastAsia="en-AU"/>
        </w:rPr>
        <w:t>unmet</w:t>
      </w:r>
      <w:r w:rsidR="00B73033">
        <w:rPr>
          <w:lang w:eastAsia="en-AU"/>
        </w:rPr>
        <w:t xml:space="preserve"> demand will grow in the years following this peak as growth in the target population and the </w:t>
      </w:r>
      <w:r w:rsidR="00F94D92">
        <w:rPr>
          <w:lang w:eastAsia="en-AU"/>
        </w:rPr>
        <w:t xml:space="preserve">cost </w:t>
      </w:r>
      <w:r w:rsidR="00B73033">
        <w:rPr>
          <w:lang w:eastAsia="en-AU"/>
        </w:rPr>
        <w:t>of delivering services is projected to outpace growth in funding.</w:t>
      </w:r>
      <w:r w:rsidR="00C66E26">
        <w:rPr>
          <w:lang w:eastAsia="en-AU"/>
        </w:rPr>
        <w:t xml:space="preserve"> </w:t>
      </w:r>
      <w:r w:rsidR="003A030B">
        <w:rPr>
          <w:lang w:eastAsia="en-AU"/>
        </w:rPr>
        <w:t xml:space="preserve">This analysis shows that more </w:t>
      </w:r>
      <w:r w:rsidR="009957FD">
        <w:rPr>
          <w:lang w:eastAsia="en-AU"/>
        </w:rPr>
        <w:t xml:space="preserve">funding </w:t>
      </w:r>
      <w:r w:rsidR="003A030B">
        <w:rPr>
          <w:lang w:eastAsia="en-AU"/>
        </w:rPr>
        <w:t xml:space="preserve">is required to meet the </w:t>
      </w:r>
      <w:r w:rsidR="009957FD">
        <w:rPr>
          <w:lang w:eastAsia="en-AU"/>
        </w:rPr>
        <w:t xml:space="preserve">Aged Care Royal Commission recommended </w:t>
      </w:r>
      <w:r w:rsidR="003A030B">
        <w:rPr>
          <w:lang w:eastAsia="en-AU"/>
        </w:rPr>
        <w:t xml:space="preserve">target of </w:t>
      </w:r>
      <w:r w:rsidR="00481905">
        <w:rPr>
          <w:lang w:eastAsia="en-AU"/>
        </w:rPr>
        <w:t xml:space="preserve">minimum </w:t>
      </w:r>
      <w:r w:rsidR="003A030B">
        <w:rPr>
          <w:lang w:eastAsia="en-AU"/>
        </w:rPr>
        <w:t xml:space="preserve">5% coverage </w:t>
      </w:r>
      <w:r w:rsidR="006134E9">
        <w:rPr>
          <w:lang w:eastAsia="en-AU"/>
        </w:rPr>
        <w:t>across aged care recipients.</w:t>
      </w:r>
    </w:p>
    <w:p w14:paraId="4B7885AD" w14:textId="7178A21A" w:rsidR="00121A40" w:rsidRPr="00BF6334" w:rsidRDefault="00121A40" w:rsidP="00FC074C">
      <w:pPr>
        <w:pStyle w:val="CaptionChart"/>
        <w:ind w:left="0"/>
        <w:rPr>
          <w:lang w:eastAsia="en-AU"/>
        </w:rPr>
      </w:pPr>
      <w:bookmarkStart w:id="209" w:name="_Ref94541846"/>
      <w:bookmarkStart w:id="210" w:name="_Toc94776589"/>
      <w:bookmarkStart w:id="211" w:name="_Toc99117047"/>
      <w:r w:rsidRPr="00BF6334">
        <w:rPr>
          <w:lang w:eastAsia="en-AU"/>
        </w:rPr>
        <w:t xml:space="preserve">: </w:t>
      </w:r>
      <w:r w:rsidR="003D58AA">
        <w:rPr>
          <w:lang w:eastAsia="en-AU"/>
        </w:rPr>
        <w:t>U</w:t>
      </w:r>
      <w:r w:rsidRPr="00BF6334">
        <w:rPr>
          <w:lang w:eastAsia="en-AU"/>
        </w:rPr>
        <w:t>sage rate</w:t>
      </w:r>
      <w:r w:rsidR="003D58AA">
        <w:rPr>
          <w:lang w:eastAsia="en-AU"/>
        </w:rPr>
        <w:t>s</w:t>
      </w:r>
      <w:r w:rsidRPr="00BF6334">
        <w:rPr>
          <w:lang w:eastAsia="en-AU"/>
        </w:rPr>
        <w:t xml:space="preserve"> across both residential and community </w:t>
      </w:r>
      <w:r w:rsidRPr="00020B93">
        <w:t>aged</w:t>
      </w:r>
      <w:r w:rsidRPr="00BF6334">
        <w:rPr>
          <w:lang w:eastAsia="en-AU"/>
        </w:rPr>
        <w:t xml:space="preserve"> care, 2020/21 to 2031/32</w:t>
      </w:r>
      <w:bookmarkEnd w:id="209"/>
      <w:bookmarkEnd w:id="210"/>
      <w:bookmarkEnd w:id="211"/>
    </w:p>
    <w:p w14:paraId="69AD0819" w14:textId="6E40E537" w:rsidR="00121A40" w:rsidRPr="00BF6334" w:rsidRDefault="004569E8" w:rsidP="00121A40">
      <w:pPr>
        <w:pStyle w:val="ListBullet"/>
        <w:numPr>
          <w:ilvl w:val="0"/>
          <w:numId w:val="0"/>
        </w:numPr>
        <w:ind w:left="340" w:hanging="340"/>
        <w:rPr>
          <w:lang w:eastAsia="en-AU"/>
        </w:rPr>
      </w:pPr>
      <w:r w:rsidRPr="004569E8">
        <w:rPr>
          <w:noProof/>
        </w:rPr>
        <w:drawing>
          <wp:inline distT="0" distB="0" distL="0" distR="0" wp14:anchorId="27D36F83" wp14:editId="2953E6BD">
            <wp:extent cx="5732145" cy="1943735"/>
            <wp:effectExtent l="0" t="0" r="1905" b="0"/>
            <wp:docPr id="32" name="Picture 32" descr="Usage rates of advocacy and information services for both care types, are predicted to level out and lower over time. However, unmet demand will remain and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sage rates of advocacy and information services for both care types, are predicted to level out and lower over time. However, unmet demand will remain and gro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2145" cy="1943735"/>
                    </a:xfrm>
                    <a:prstGeom prst="rect">
                      <a:avLst/>
                    </a:prstGeom>
                    <a:noFill/>
                    <a:ln>
                      <a:noFill/>
                    </a:ln>
                  </pic:spPr>
                </pic:pic>
              </a:graphicData>
            </a:graphic>
          </wp:inline>
        </w:drawing>
      </w:r>
    </w:p>
    <w:p w14:paraId="2E1CA783" w14:textId="77777777" w:rsidR="00121A40" w:rsidRDefault="00121A40" w:rsidP="00121A40">
      <w:pPr>
        <w:pStyle w:val="Source"/>
        <w:rPr>
          <w:lang w:eastAsia="en-AU"/>
        </w:rPr>
      </w:pPr>
      <w:r w:rsidRPr="00BF6334">
        <w:rPr>
          <w:lang w:eastAsia="en-AU"/>
        </w:rPr>
        <w:t>Source: Deloitte Access Economics analysis of OPAN and AIHW data.</w:t>
      </w:r>
    </w:p>
    <w:p w14:paraId="6B12B4BA" w14:textId="018549AC" w:rsidR="003244DC" w:rsidRPr="00EA218B" w:rsidRDefault="00BE2B75" w:rsidP="00310737">
      <w:pPr>
        <w:rPr>
          <w:lang w:eastAsia="en-AU"/>
        </w:rPr>
      </w:pPr>
      <w:r>
        <w:rPr>
          <w:lang w:eastAsia="en-AU"/>
        </w:rPr>
        <w:fldChar w:fldCharType="begin"/>
      </w:r>
      <w:r>
        <w:rPr>
          <w:lang w:eastAsia="en-AU"/>
        </w:rPr>
        <w:instrText xml:space="preserve"> REF _Ref94545633 \r \h </w:instrText>
      </w:r>
      <w:r>
        <w:rPr>
          <w:lang w:eastAsia="en-AU"/>
        </w:rPr>
      </w:r>
      <w:r>
        <w:rPr>
          <w:lang w:eastAsia="en-AU"/>
        </w:rPr>
        <w:fldChar w:fldCharType="separate"/>
      </w:r>
      <w:r w:rsidR="00DC6A20">
        <w:rPr>
          <w:lang w:eastAsia="en-AU"/>
        </w:rPr>
        <w:t>Chart 4.6</w:t>
      </w:r>
      <w:r>
        <w:rPr>
          <w:lang w:eastAsia="en-AU"/>
        </w:rPr>
        <w:fldChar w:fldCharType="end"/>
      </w:r>
      <w:r>
        <w:rPr>
          <w:lang w:eastAsia="en-AU"/>
        </w:rPr>
        <w:t xml:space="preserve"> </w:t>
      </w:r>
      <w:r w:rsidR="005E5B87">
        <w:rPr>
          <w:lang w:eastAsia="en-AU"/>
        </w:rPr>
        <w:t>presents</w:t>
      </w:r>
      <w:r>
        <w:rPr>
          <w:lang w:eastAsia="en-AU"/>
        </w:rPr>
        <w:t xml:space="preserve"> the </w:t>
      </w:r>
      <w:r w:rsidR="005E5B87">
        <w:rPr>
          <w:lang w:eastAsia="en-AU"/>
        </w:rPr>
        <w:t xml:space="preserve">analysis for </w:t>
      </w:r>
      <w:r w:rsidR="005E5B87" w:rsidRPr="007208DF">
        <w:rPr>
          <w:b/>
          <w:lang w:eastAsia="en-AU"/>
        </w:rPr>
        <w:t>advocacy</w:t>
      </w:r>
      <w:r w:rsidR="005E5B87">
        <w:rPr>
          <w:lang w:eastAsia="en-AU"/>
        </w:rPr>
        <w:t xml:space="preserve"> services only, disaggregated</w:t>
      </w:r>
      <w:r>
        <w:rPr>
          <w:lang w:eastAsia="en-AU"/>
        </w:rPr>
        <w:t xml:space="preserve"> by </w:t>
      </w:r>
      <w:r w:rsidR="004D3DF4">
        <w:rPr>
          <w:lang w:eastAsia="en-AU"/>
        </w:rPr>
        <w:t>care</w:t>
      </w:r>
      <w:r w:rsidR="005E5B87">
        <w:rPr>
          <w:lang w:eastAsia="en-AU"/>
        </w:rPr>
        <w:t xml:space="preserve"> type. It is assumed that the current distribution of demand remains constant over the coming years. </w:t>
      </w:r>
      <w:r w:rsidR="006817DB">
        <w:rPr>
          <w:lang w:eastAsia="en-AU"/>
        </w:rPr>
        <w:t xml:space="preserve">The projections show that usage of advocacy services in the community care setting will exceed the </w:t>
      </w:r>
      <w:r w:rsidR="00933C07">
        <w:rPr>
          <w:lang w:eastAsia="en-AU"/>
        </w:rPr>
        <w:t xml:space="preserve">Aged Care Royal Commission’s recommended minimum </w:t>
      </w:r>
      <w:r w:rsidR="006817DB">
        <w:rPr>
          <w:lang w:eastAsia="en-AU"/>
        </w:rPr>
        <w:t>of 5%</w:t>
      </w:r>
      <w:r w:rsidR="00933C07">
        <w:rPr>
          <w:lang w:eastAsia="en-AU"/>
        </w:rPr>
        <w:t xml:space="preserve"> usage</w:t>
      </w:r>
      <w:r w:rsidR="006817DB">
        <w:rPr>
          <w:lang w:eastAsia="en-AU"/>
        </w:rPr>
        <w:t xml:space="preserve">. In contrast, </w:t>
      </w:r>
      <w:r w:rsidR="00FB0042">
        <w:rPr>
          <w:lang w:eastAsia="en-AU"/>
        </w:rPr>
        <w:t xml:space="preserve">usage in residential care will peak at only 2.9%, suggesting that </w:t>
      </w:r>
      <w:r w:rsidR="00023E5E">
        <w:rPr>
          <w:lang w:eastAsia="en-AU"/>
        </w:rPr>
        <w:t>more will need to be done over the coming years to address unmet demand for advocacy services – particularly for residential aged care recipients.</w:t>
      </w:r>
    </w:p>
    <w:p w14:paraId="7ABBAE93" w14:textId="2361248B" w:rsidR="00121A40" w:rsidRPr="003C2335" w:rsidRDefault="00121A40" w:rsidP="00FC074C">
      <w:pPr>
        <w:pStyle w:val="CaptionChart"/>
        <w:ind w:left="0"/>
        <w:rPr>
          <w:lang w:eastAsia="en-AU"/>
        </w:rPr>
      </w:pPr>
      <w:bookmarkStart w:id="212" w:name="_Ref94545633"/>
      <w:bookmarkStart w:id="213" w:name="_Toc94776590"/>
      <w:bookmarkStart w:id="214" w:name="_Toc99117048"/>
      <w:r w:rsidRPr="003C2335">
        <w:rPr>
          <w:lang w:eastAsia="en-AU"/>
        </w:rPr>
        <w:t>: Advocacy</w:t>
      </w:r>
      <w:r>
        <w:rPr>
          <w:lang w:eastAsia="en-AU"/>
        </w:rPr>
        <w:t xml:space="preserve"> </w:t>
      </w:r>
      <w:r w:rsidRPr="003C2335">
        <w:rPr>
          <w:lang w:eastAsia="en-AU"/>
        </w:rPr>
        <w:t>usage rate</w:t>
      </w:r>
      <w:r w:rsidR="00C56DD1">
        <w:rPr>
          <w:lang w:eastAsia="en-AU"/>
        </w:rPr>
        <w:t>s</w:t>
      </w:r>
      <w:r w:rsidRPr="003C2335">
        <w:rPr>
          <w:lang w:eastAsia="en-AU"/>
        </w:rPr>
        <w:t>, 2020/21 to 2031/32</w:t>
      </w:r>
      <w:bookmarkEnd w:id="212"/>
      <w:bookmarkEnd w:id="213"/>
      <w:bookmarkEnd w:id="214"/>
    </w:p>
    <w:p w14:paraId="0D2547F3" w14:textId="27CC29F8" w:rsidR="00121A40" w:rsidRPr="003C2335" w:rsidRDefault="001070BF" w:rsidP="00121A40">
      <w:pPr>
        <w:pStyle w:val="ListBullet"/>
        <w:numPr>
          <w:ilvl w:val="0"/>
          <w:numId w:val="0"/>
        </w:numPr>
        <w:ind w:left="340" w:hanging="340"/>
        <w:rPr>
          <w:lang w:eastAsia="en-AU"/>
        </w:rPr>
      </w:pPr>
      <w:r w:rsidRPr="001070BF">
        <w:rPr>
          <w:noProof/>
        </w:rPr>
        <w:drawing>
          <wp:inline distT="0" distB="0" distL="0" distR="0" wp14:anchorId="7267D6D4" wp14:editId="249EF76D">
            <wp:extent cx="5732145" cy="1913255"/>
            <wp:effectExtent l="0" t="0" r="1905" b="0"/>
            <wp:docPr id="34" name="Picture 34" descr="Usage rates for advocacy services only for both care types, are predicted to remain constant in com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Usage rates for advocacy services only for both care types, are predicted to remain constant in coming yea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145" cy="1913255"/>
                    </a:xfrm>
                    <a:prstGeom prst="rect">
                      <a:avLst/>
                    </a:prstGeom>
                    <a:noFill/>
                    <a:ln>
                      <a:noFill/>
                    </a:ln>
                  </pic:spPr>
                </pic:pic>
              </a:graphicData>
            </a:graphic>
          </wp:inline>
        </w:drawing>
      </w:r>
    </w:p>
    <w:p w14:paraId="6A45E335" w14:textId="77777777" w:rsidR="00121A40" w:rsidRDefault="00121A40" w:rsidP="00121A40">
      <w:pPr>
        <w:pStyle w:val="Source"/>
        <w:rPr>
          <w:lang w:eastAsia="en-AU"/>
        </w:rPr>
      </w:pPr>
      <w:r w:rsidRPr="00BF6334">
        <w:rPr>
          <w:lang w:eastAsia="en-AU"/>
        </w:rPr>
        <w:t>Source: Deloitte Access Economics analysis of OPAN and AIHW data.</w:t>
      </w:r>
    </w:p>
    <w:p w14:paraId="2A2EBA1C" w14:textId="4C18579D" w:rsidR="00121A40" w:rsidRDefault="006B247F" w:rsidP="00310737">
      <w:pPr>
        <w:rPr>
          <w:lang w:eastAsia="en-AU"/>
        </w:rPr>
      </w:pPr>
      <w:r>
        <w:rPr>
          <w:lang w:eastAsia="en-AU"/>
        </w:rPr>
        <w:fldChar w:fldCharType="begin"/>
      </w:r>
      <w:r>
        <w:rPr>
          <w:lang w:eastAsia="en-AU"/>
        </w:rPr>
        <w:instrText xml:space="preserve"> REF _Ref94545930 \r \h </w:instrText>
      </w:r>
      <w:r>
        <w:rPr>
          <w:lang w:eastAsia="en-AU"/>
        </w:rPr>
      </w:r>
      <w:r>
        <w:rPr>
          <w:lang w:eastAsia="en-AU"/>
        </w:rPr>
        <w:fldChar w:fldCharType="separate"/>
      </w:r>
      <w:r w:rsidR="00DC6A20">
        <w:rPr>
          <w:lang w:eastAsia="en-AU"/>
        </w:rPr>
        <w:t>Chart 4.7</w:t>
      </w:r>
      <w:r>
        <w:rPr>
          <w:lang w:eastAsia="en-AU"/>
        </w:rPr>
        <w:fldChar w:fldCharType="end"/>
      </w:r>
      <w:r>
        <w:rPr>
          <w:lang w:eastAsia="en-AU"/>
        </w:rPr>
        <w:t xml:space="preserve"> presents the same analysis as </w:t>
      </w:r>
      <w:r>
        <w:rPr>
          <w:lang w:eastAsia="en-AU"/>
        </w:rPr>
        <w:fldChar w:fldCharType="begin"/>
      </w:r>
      <w:r>
        <w:rPr>
          <w:lang w:eastAsia="en-AU"/>
        </w:rPr>
        <w:instrText xml:space="preserve"> REF _Ref94545633 \r \h </w:instrText>
      </w:r>
      <w:r>
        <w:rPr>
          <w:lang w:eastAsia="en-AU"/>
        </w:rPr>
      </w:r>
      <w:r>
        <w:rPr>
          <w:lang w:eastAsia="en-AU"/>
        </w:rPr>
        <w:fldChar w:fldCharType="separate"/>
      </w:r>
      <w:r w:rsidR="00DC6A20">
        <w:rPr>
          <w:lang w:eastAsia="en-AU"/>
        </w:rPr>
        <w:t>Chart 4.6</w:t>
      </w:r>
      <w:r>
        <w:rPr>
          <w:lang w:eastAsia="en-AU"/>
        </w:rPr>
        <w:fldChar w:fldCharType="end"/>
      </w:r>
      <w:r>
        <w:rPr>
          <w:lang w:eastAsia="en-AU"/>
        </w:rPr>
        <w:t>, but this time</w:t>
      </w:r>
      <w:r w:rsidR="00121A40">
        <w:rPr>
          <w:lang w:eastAsia="en-AU"/>
        </w:rPr>
        <w:t xml:space="preserve"> for </w:t>
      </w:r>
      <w:r w:rsidR="00121A40" w:rsidRPr="007208DF">
        <w:rPr>
          <w:b/>
          <w:lang w:eastAsia="en-AU"/>
        </w:rPr>
        <w:t>information</w:t>
      </w:r>
      <w:r w:rsidR="00121A40">
        <w:rPr>
          <w:lang w:eastAsia="en-AU"/>
        </w:rPr>
        <w:t xml:space="preserve"> services</w:t>
      </w:r>
      <w:r>
        <w:rPr>
          <w:lang w:eastAsia="en-AU"/>
        </w:rPr>
        <w:t>. Again, it is assumed</w:t>
      </w:r>
      <w:r w:rsidR="00121A40">
        <w:rPr>
          <w:lang w:eastAsia="en-AU"/>
        </w:rPr>
        <w:t xml:space="preserve"> that the current distribution of demand remains </w:t>
      </w:r>
      <w:r>
        <w:rPr>
          <w:lang w:eastAsia="en-AU"/>
        </w:rPr>
        <w:t xml:space="preserve">constant </w:t>
      </w:r>
      <w:r w:rsidR="00121A40">
        <w:rPr>
          <w:lang w:eastAsia="en-AU"/>
        </w:rPr>
        <w:t>over the coming years.</w:t>
      </w:r>
      <w:r>
        <w:rPr>
          <w:lang w:eastAsia="en-AU"/>
        </w:rPr>
        <w:t xml:space="preserve"> </w:t>
      </w:r>
      <w:r w:rsidR="00FB0042">
        <w:rPr>
          <w:lang w:eastAsia="en-AU"/>
        </w:rPr>
        <w:t xml:space="preserve">Both </w:t>
      </w:r>
      <w:r>
        <w:rPr>
          <w:lang w:eastAsia="en-AU"/>
        </w:rPr>
        <w:t>usage rate</w:t>
      </w:r>
      <w:r w:rsidR="00FB0042">
        <w:rPr>
          <w:lang w:eastAsia="en-AU"/>
        </w:rPr>
        <w:t>s</w:t>
      </w:r>
      <w:r>
        <w:rPr>
          <w:lang w:eastAsia="en-AU"/>
        </w:rPr>
        <w:t xml:space="preserve"> will </w:t>
      </w:r>
      <w:r w:rsidR="00FB0042">
        <w:rPr>
          <w:lang w:eastAsia="en-AU"/>
        </w:rPr>
        <w:t xml:space="preserve">approach </w:t>
      </w:r>
      <w:r>
        <w:rPr>
          <w:lang w:eastAsia="en-AU"/>
        </w:rPr>
        <w:t xml:space="preserve">the </w:t>
      </w:r>
      <w:r w:rsidR="007A5BF2">
        <w:rPr>
          <w:lang w:eastAsia="en-AU"/>
        </w:rPr>
        <w:t xml:space="preserve">Aged Care Royal Commission’s recommended minimum </w:t>
      </w:r>
      <w:r w:rsidR="000A5A25">
        <w:rPr>
          <w:lang w:eastAsia="en-AU"/>
        </w:rPr>
        <w:t>target of</w:t>
      </w:r>
      <w:r>
        <w:rPr>
          <w:lang w:eastAsia="en-AU"/>
        </w:rPr>
        <w:t xml:space="preserve"> 5</w:t>
      </w:r>
      <w:r w:rsidR="000A5A25">
        <w:rPr>
          <w:lang w:eastAsia="en-AU"/>
        </w:rPr>
        <w:t>%</w:t>
      </w:r>
      <w:r w:rsidR="00FB0042">
        <w:rPr>
          <w:lang w:eastAsia="en-AU"/>
        </w:rPr>
        <w:t xml:space="preserve"> and</w:t>
      </w:r>
      <w:r>
        <w:rPr>
          <w:lang w:eastAsia="en-AU"/>
        </w:rPr>
        <w:t xml:space="preserve"> </w:t>
      </w:r>
      <w:r w:rsidR="00121A40">
        <w:rPr>
          <w:lang w:eastAsia="en-AU"/>
        </w:rPr>
        <w:t xml:space="preserve">will be more </w:t>
      </w:r>
      <w:r>
        <w:rPr>
          <w:lang w:eastAsia="en-AU"/>
        </w:rPr>
        <w:t>evenly distributed across the care types.</w:t>
      </w:r>
      <w:r w:rsidR="00121A40">
        <w:rPr>
          <w:lang w:eastAsia="en-AU"/>
        </w:rPr>
        <w:t xml:space="preserve"> This suggests that the way information services are currently distributed across care types is more appropriate and could be maintained as funding is increased.</w:t>
      </w:r>
    </w:p>
    <w:p w14:paraId="5DA6946B" w14:textId="0655C487" w:rsidR="00121A40" w:rsidRDefault="00121A40" w:rsidP="00FC074C">
      <w:pPr>
        <w:pStyle w:val="CaptionChart"/>
        <w:ind w:left="0"/>
        <w:rPr>
          <w:lang w:eastAsia="en-AU"/>
        </w:rPr>
      </w:pPr>
      <w:bookmarkStart w:id="215" w:name="_Ref94545930"/>
      <w:bookmarkStart w:id="216" w:name="_Toc94776591"/>
      <w:bookmarkStart w:id="217" w:name="_Toc99117049"/>
      <w:r>
        <w:rPr>
          <w:lang w:eastAsia="en-AU"/>
        </w:rPr>
        <w:t xml:space="preserve">: Information </w:t>
      </w:r>
      <w:r w:rsidRPr="003C2335">
        <w:rPr>
          <w:lang w:eastAsia="en-AU"/>
        </w:rPr>
        <w:t>usage rate</w:t>
      </w:r>
      <w:r w:rsidR="00C56DD1">
        <w:rPr>
          <w:lang w:eastAsia="en-AU"/>
        </w:rPr>
        <w:t>s</w:t>
      </w:r>
      <w:r w:rsidRPr="003C2335">
        <w:rPr>
          <w:lang w:eastAsia="en-AU"/>
        </w:rPr>
        <w:t>, 2020/21 to 2031/32</w:t>
      </w:r>
      <w:bookmarkEnd w:id="215"/>
      <w:bookmarkEnd w:id="216"/>
      <w:bookmarkEnd w:id="217"/>
    </w:p>
    <w:p w14:paraId="5A98BB50" w14:textId="7F2D57BC" w:rsidR="00121A40" w:rsidRPr="006B2F56" w:rsidRDefault="0085786D" w:rsidP="00121A40">
      <w:pPr>
        <w:rPr>
          <w:lang w:eastAsia="en-AU"/>
        </w:rPr>
      </w:pPr>
      <w:r w:rsidRPr="0085786D">
        <w:rPr>
          <w:noProof/>
        </w:rPr>
        <w:drawing>
          <wp:inline distT="0" distB="0" distL="0" distR="0" wp14:anchorId="08DC5E2A" wp14:editId="70DAB2A3">
            <wp:extent cx="5732145" cy="1975485"/>
            <wp:effectExtent l="0" t="0" r="1905" b="0"/>
            <wp:docPr id="37" name="Picture 37" descr="Usage rates for information services only for both care types, is assumed to remain constant in com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sage rates for information services only for both care types, is assumed to remain constant in coming yea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2145" cy="1975485"/>
                    </a:xfrm>
                    <a:prstGeom prst="rect">
                      <a:avLst/>
                    </a:prstGeom>
                    <a:noFill/>
                    <a:ln>
                      <a:noFill/>
                    </a:ln>
                  </pic:spPr>
                </pic:pic>
              </a:graphicData>
            </a:graphic>
          </wp:inline>
        </w:drawing>
      </w:r>
    </w:p>
    <w:p w14:paraId="1D76F7BA" w14:textId="7C0F1ABA" w:rsidR="00AB4064" w:rsidRDefault="00121A40" w:rsidP="00847D1A">
      <w:pPr>
        <w:pStyle w:val="Source"/>
        <w:rPr>
          <w:lang w:eastAsia="en-AU"/>
        </w:rPr>
      </w:pPr>
      <w:r>
        <w:rPr>
          <w:lang w:eastAsia="en-AU"/>
        </w:rPr>
        <w:t xml:space="preserve">Source: </w:t>
      </w:r>
      <w:r w:rsidRPr="00BF6334">
        <w:rPr>
          <w:lang w:eastAsia="en-AU"/>
        </w:rPr>
        <w:t>Deloitte Access Economics analysis of OPAN and AIHW data.</w:t>
      </w:r>
    </w:p>
    <w:p w14:paraId="13DB1B08" w14:textId="5F759916" w:rsidR="007D76A7" w:rsidRDefault="007D76A7" w:rsidP="007D76A7">
      <w:pPr>
        <w:pStyle w:val="Heading2"/>
      </w:pPr>
      <w:bookmarkStart w:id="218" w:name="_Toc99437534"/>
      <w:r>
        <w:t>Scenario modelling</w:t>
      </w:r>
      <w:bookmarkEnd w:id="218"/>
    </w:p>
    <w:p w14:paraId="41ACF0BB" w14:textId="349CAAB8" w:rsidR="007D76A7" w:rsidRPr="007D76A7" w:rsidRDefault="00B702E3" w:rsidP="007D76A7">
      <w:r>
        <w:t xml:space="preserve">The modelling </w:t>
      </w:r>
      <w:r w:rsidR="00F8581B">
        <w:t>presented in Section</w:t>
      </w:r>
      <w:r w:rsidR="0002169A">
        <w:t>s</w:t>
      </w:r>
      <w:r w:rsidR="00F8581B">
        <w:t xml:space="preserve"> </w:t>
      </w:r>
      <w:r w:rsidR="00F8581B" w:rsidRPr="004148C5">
        <w:fldChar w:fldCharType="begin"/>
      </w:r>
      <w:r w:rsidR="00F8581B" w:rsidRPr="004148C5">
        <w:instrText xml:space="preserve"> REF _Ref95313067 \w \h </w:instrText>
      </w:r>
      <w:r w:rsidR="004148C5">
        <w:instrText xml:space="preserve"> \* MERGEFORMAT </w:instrText>
      </w:r>
      <w:r w:rsidR="00F8581B" w:rsidRPr="004148C5">
        <w:fldChar w:fldCharType="separate"/>
      </w:r>
      <w:r w:rsidR="00DC6A20">
        <w:t>4.1.6</w:t>
      </w:r>
      <w:r w:rsidR="00F8581B" w:rsidRPr="004148C5">
        <w:fldChar w:fldCharType="end"/>
      </w:r>
      <w:r w:rsidR="00F8581B">
        <w:t xml:space="preserve"> </w:t>
      </w:r>
      <w:r w:rsidR="0002169A">
        <w:t xml:space="preserve">and </w:t>
      </w:r>
      <w:r w:rsidR="0002169A" w:rsidRPr="004148C5">
        <w:fldChar w:fldCharType="begin"/>
      </w:r>
      <w:r w:rsidR="0002169A" w:rsidRPr="004148C5">
        <w:instrText xml:space="preserve"> REF _Ref94629972 \w \h </w:instrText>
      </w:r>
      <w:r w:rsidR="004148C5">
        <w:instrText xml:space="preserve"> \* MERGEFORMAT </w:instrText>
      </w:r>
      <w:r w:rsidR="0002169A" w:rsidRPr="004148C5">
        <w:fldChar w:fldCharType="separate"/>
      </w:r>
      <w:r w:rsidR="00DC6A20">
        <w:t>4.3</w:t>
      </w:r>
      <w:r w:rsidR="0002169A" w:rsidRPr="004148C5">
        <w:fldChar w:fldCharType="end"/>
      </w:r>
      <w:r w:rsidR="0002169A">
        <w:t xml:space="preserve"> </w:t>
      </w:r>
      <w:r w:rsidR="00F8581B">
        <w:t xml:space="preserve">is based on a </w:t>
      </w:r>
      <w:r>
        <w:t>total demand rate of 5%. As discussed</w:t>
      </w:r>
      <w:r w:rsidR="005B12FD">
        <w:t xml:space="preserve"> in Box 2.1</w:t>
      </w:r>
      <w:r>
        <w:t xml:space="preserve">, </w:t>
      </w:r>
      <w:r w:rsidR="002057FD">
        <w:t xml:space="preserve">this </w:t>
      </w:r>
      <w:r w:rsidR="005B12FD">
        <w:t xml:space="preserve">was based on the recommendations of the Aged Care Royal Commission. </w:t>
      </w:r>
      <w:r w:rsidR="005143B2" w:rsidRPr="004148C5">
        <w:t>This</w:t>
      </w:r>
      <w:r w:rsidR="005B12FD" w:rsidRPr="004148C5">
        <w:t xml:space="preserve"> </w:t>
      </w:r>
      <w:r w:rsidR="00D70FE1" w:rsidRPr="004148C5">
        <w:t xml:space="preserve">5% </w:t>
      </w:r>
      <w:r w:rsidR="001E5561" w:rsidRPr="004148C5">
        <w:t xml:space="preserve">is </w:t>
      </w:r>
      <w:r w:rsidR="005143B2" w:rsidRPr="004148C5">
        <w:t>based on</w:t>
      </w:r>
      <w:r w:rsidR="0048319D" w:rsidRPr="004148C5">
        <w:t xml:space="preserve"> the </w:t>
      </w:r>
      <w:r w:rsidR="005143B2" w:rsidRPr="004148C5">
        <w:t>recommendations of the Aged Care Royal Commission, which suggested an “immediate funding increase to enable a minimum of 5% of older people to access advocacy services”.</w:t>
      </w:r>
      <w:r w:rsidR="00D60D7D" w:rsidRPr="004148C5">
        <w:t xml:space="preserve"> </w:t>
      </w:r>
      <w:r w:rsidR="00732ED2" w:rsidRPr="004148C5">
        <w:t xml:space="preserve">Desktop research, qualitative research, and comparison of aged care advocacy in other jurisdictions did not reveal the ideal proportion of people should be accessing advocacy services. Given the challenges in determining quantitative factors influencing demand, two scenarios were modelled, </w:t>
      </w:r>
      <w:r w:rsidR="00C848DE">
        <w:t xml:space="preserve">1) </w:t>
      </w:r>
      <w:r w:rsidR="003C3129">
        <w:t xml:space="preserve">based on a minimum coverage target of </w:t>
      </w:r>
      <w:r w:rsidR="00CE00EA" w:rsidRPr="004148C5">
        <w:t>7</w:t>
      </w:r>
      <w:r w:rsidR="00732ED2" w:rsidRPr="004148C5">
        <w:t xml:space="preserve">% and </w:t>
      </w:r>
      <w:r w:rsidR="003C3129">
        <w:t xml:space="preserve">2) based on differentiated </w:t>
      </w:r>
      <w:r w:rsidR="004148C5" w:rsidRPr="004148C5">
        <w:t xml:space="preserve">total demand rates </w:t>
      </w:r>
      <w:r w:rsidR="003C3129">
        <w:t>across</w:t>
      </w:r>
      <w:r w:rsidR="003C3129" w:rsidRPr="004148C5">
        <w:t xml:space="preserve"> </w:t>
      </w:r>
      <w:r w:rsidR="004148C5" w:rsidRPr="004148C5">
        <w:t>vulnerability groups</w:t>
      </w:r>
      <w:r w:rsidR="004148C5" w:rsidRPr="004148C5">
        <w:rPr>
          <w:rStyle w:val="CommentReference"/>
        </w:rPr>
        <w:t xml:space="preserve">. </w:t>
      </w:r>
      <w:r w:rsidR="00BD026C" w:rsidRPr="004148C5">
        <w:t>A</w:t>
      </w:r>
      <w:r w:rsidR="00BD026C">
        <w:t xml:space="preserve">s these scenarios use the same funding schedule as the </w:t>
      </w:r>
      <w:r w:rsidR="005C37CF">
        <w:t xml:space="preserve">results presented in Section </w:t>
      </w:r>
      <w:r w:rsidR="005C37CF">
        <w:fldChar w:fldCharType="begin"/>
      </w:r>
      <w:r w:rsidR="005C37CF">
        <w:instrText xml:space="preserve"> REF _Ref94629972 \w \h </w:instrText>
      </w:r>
      <w:r w:rsidR="005C37CF">
        <w:fldChar w:fldCharType="separate"/>
      </w:r>
      <w:r w:rsidR="00DC6A20">
        <w:t>4.3</w:t>
      </w:r>
      <w:r w:rsidR="005C37CF">
        <w:fldChar w:fldCharType="end"/>
      </w:r>
      <w:r w:rsidR="005C37CF">
        <w:t xml:space="preserve">, </w:t>
      </w:r>
      <w:r w:rsidR="008D3F57">
        <w:t xml:space="preserve">the </w:t>
      </w:r>
      <w:r w:rsidR="00BB7216">
        <w:t xml:space="preserve">met demand </w:t>
      </w:r>
      <w:r w:rsidR="008D3F57">
        <w:t xml:space="preserve">profile </w:t>
      </w:r>
      <w:r w:rsidR="00BB7216">
        <w:t>remains unchanged</w:t>
      </w:r>
      <w:r w:rsidR="00866A30">
        <w:t xml:space="preserve"> </w:t>
      </w:r>
      <w:r w:rsidR="008D3F57">
        <w:t xml:space="preserve">while </w:t>
      </w:r>
      <w:r w:rsidR="00866A30">
        <w:t xml:space="preserve">unmet demand </w:t>
      </w:r>
      <w:r w:rsidR="008D3F57">
        <w:t>is higher</w:t>
      </w:r>
      <w:r w:rsidR="00866A30">
        <w:t>.</w:t>
      </w:r>
    </w:p>
    <w:p w14:paraId="2866D3F1" w14:textId="58C2DED3" w:rsidR="00435165" w:rsidRDefault="00435165" w:rsidP="00917A4B">
      <w:pPr>
        <w:pStyle w:val="Heading3"/>
        <w:ind w:left="993" w:hanging="993"/>
      </w:pPr>
      <w:bookmarkStart w:id="219" w:name="_Toc99437535"/>
      <w:r>
        <w:t xml:space="preserve">Scenario 1: 7% </w:t>
      </w:r>
      <w:r w:rsidR="00D56A19">
        <w:t>total</w:t>
      </w:r>
      <w:r>
        <w:t xml:space="preserve"> demand rate for all recipients</w:t>
      </w:r>
      <w:bookmarkEnd w:id="219"/>
    </w:p>
    <w:p w14:paraId="64E7B2BA" w14:textId="45EEF1EE" w:rsidR="00E73F84" w:rsidRDefault="00CD0D8E" w:rsidP="00435165">
      <w:r>
        <w:t xml:space="preserve">Scenario 1 considers a situation in which the </w:t>
      </w:r>
      <w:r w:rsidR="00B25962">
        <w:t xml:space="preserve">total </w:t>
      </w:r>
      <w:r>
        <w:t xml:space="preserve">demand rate is 7% for all recipients of aged care. </w:t>
      </w:r>
      <w:r w:rsidR="00473813">
        <w:t xml:space="preserve">While the </w:t>
      </w:r>
      <w:r w:rsidR="0094273D">
        <w:t xml:space="preserve">charts presented in Section </w:t>
      </w:r>
      <w:r w:rsidR="0094273D">
        <w:fldChar w:fldCharType="begin"/>
      </w:r>
      <w:r w:rsidR="0094273D">
        <w:instrText xml:space="preserve"> REF _Ref94629972 \w \h </w:instrText>
      </w:r>
      <w:r w:rsidR="0094273D">
        <w:fldChar w:fldCharType="separate"/>
      </w:r>
      <w:r w:rsidR="00DC6A20">
        <w:t>4.3</w:t>
      </w:r>
      <w:r w:rsidR="0094273D">
        <w:fldChar w:fldCharType="end"/>
      </w:r>
      <w:r w:rsidR="0094273D">
        <w:t xml:space="preserve"> showed that </w:t>
      </w:r>
      <w:r w:rsidR="00B01FBB">
        <w:t xml:space="preserve">the </w:t>
      </w:r>
      <w:r w:rsidR="00243030">
        <w:t xml:space="preserve">planned </w:t>
      </w:r>
      <w:r w:rsidR="00E73F84">
        <w:t xml:space="preserve">funding </w:t>
      </w:r>
      <w:r w:rsidR="00A730A4">
        <w:t xml:space="preserve">increase </w:t>
      </w:r>
      <w:r w:rsidR="00243030">
        <w:t xml:space="preserve">is insufficient to meet a </w:t>
      </w:r>
      <w:r w:rsidR="00E73F84">
        <w:t>5%</w:t>
      </w:r>
      <w:r w:rsidR="00243030">
        <w:t xml:space="preserve"> </w:t>
      </w:r>
      <w:r w:rsidR="00F726EF">
        <w:t>usage rate</w:t>
      </w:r>
      <w:r w:rsidR="00515563">
        <w:t>,</w:t>
      </w:r>
      <w:r w:rsidR="003E59FA">
        <w:t xml:space="preserve"> this scenario illustrates how much higher unmet demand may be</w:t>
      </w:r>
      <w:r w:rsidR="00F726EF">
        <w:t xml:space="preserve"> if a higher usage rate (7%) was used in the modelling</w:t>
      </w:r>
      <w:r w:rsidR="003E59FA">
        <w:t>.</w:t>
      </w:r>
    </w:p>
    <w:p w14:paraId="7164E1C7" w14:textId="4DF852BB" w:rsidR="004A2FE3" w:rsidRDefault="004A2FE3" w:rsidP="00435165">
      <w:r>
        <w:fldChar w:fldCharType="begin"/>
      </w:r>
      <w:r>
        <w:instrText xml:space="preserve"> REF _Ref95404604 \w \h </w:instrText>
      </w:r>
      <w:r>
        <w:fldChar w:fldCharType="separate"/>
      </w:r>
      <w:r w:rsidR="00DC6A20">
        <w:t>Chart 4.8</w:t>
      </w:r>
      <w:r>
        <w:fldChar w:fldCharType="end"/>
      </w:r>
      <w:r>
        <w:t xml:space="preserve"> shows that unmet demand is much larger for both advocacy</w:t>
      </w:r>
      <w:r w:rsidR="009C226E">
        <w:t xml:space="preserve"> and information </w:t>
      </w:r>
      <w:r>
        <w:t xml:space="preserve">services over the whole forecast horizon. </w:t>
      </w:r>
      <w:r w:rsidR="00866A30">
        <w:t xml:space="preserve">Where unmet demand </w:t>
      </w:r>
      <w:r w:rsidR="000A35CB">
        <w:t xml:space="preserve">in 2020/21 </w:t>
      </w:r>
      <w:r w:rsidR="00866A30">
        <w:t xml:space="preserve">for advocacy was </w:t>
      </w:r>
      <w:r w:rsidR="00600FD4">
        <w:t>around 13,</w:t>
      </w:r>
      <w:r w:rsidR="006E12C5">
        <w:t>4</w:t>
      </w:r>
      <w:r w:rsidR="00600FD4">
        <w:t>00</w:t>
      </w:r>
      <w:r w:rsidR="00D167EB">
        <w:t xml:space="preserve"> </w:t>
      </w:r>
      <w:r w:rsidR="00A30D56">
        <w:t xml:space="preserve">under the main </w:t>
      </w:r>
      <w:r w:rsidR="00583955">
        <w:t>modelling using a 5% demand rate assumption,</w:t>
      </w:r>
      <w:r w:rsidR="00D167EB">
        <w:t xml:space="preserve"> this rises to </w:t>
      </w:r>
      <w:r w:rsidR="00CE4982">
        <w:t xml:space="preserve">nearly 21,800 </w:t>
      </w:r>
      <w:r w:rsidR="00583955">
        <w:t xml:space="preserve">under this scenario </w:t>
      </w:r>
      <w:r w:rsidR="00CE4982">
        <w:t xml:space="preserve">with a 7% demand rate. </w:t>
      </w:r>
      <w:r w:rsidR="002F798C">
        <w:t xml:space="preserve">Similarly, the unmet demand for information </w:t>
      </w:r>
      <w:r w:rsidR="009F3712">
        <w:t xml:space="preserve">in 2020/21 </w:t>
      </w:r>
      <w:r w:rsidR="002F798C">
        <w:t xml:space="preserve">rises from around 12,800 to </w:t>
      </w:r>
      <w:r w:rsidR="00DF5066">
        <w:t>21,200.</w:t>
      </w:r>
      <w:r w:rsidR="00332D67">
        <w:t xml:space="preserve"> The way this unmet demand is distributed remains the same as </w:t>
      </w:r>
      <w:r w:rsidR="0065083A">
        <w:t>before</w:t>
      </w:r>
      <w:r w:rsidR="00757781">
        <w:t xml:space="preserve">, as it has been assumed that the </w:t>
      </w:r>
      <w:r w:rsidR="00D56A19">
        <w:t xml:space="preserve">total </w:t>
      </w:r>
      <w:r w:rsidR="00757781">
        <w:t>demand rate is the same for both service and care types.</w:t>
      </w:r>
    </w:p>
    <w:p w14:paraId="395F87E3" w14:textId="390EA8A4" w:rsidR="009C226E" w:rsidRPr="00BF6334" w:rsidRDefault="009C226E" w:rsidP="00FC074C">
      <w:pPr>
        <w:pStyle w:val="CaptionChart"/>
        <w:ind w:left="0"/>
        <w:rPr>
          <w:lang w:eastAsia="en-AU"/>
        </w:rPr>
      </w:pPr>
      <w:bookmarkStart w:id="220" w:name="_Ref95404604"/>
      <w:bookmarkStart w:id="221" w:name="_Toc99117050"/>
      <w:r w:rsidRPr="00BF6334">
        <w:rPr>
          <w:lang w:eastAsia="en-AU"/>
        </w:rPr>
        <w:t xml:space="preserve">: </w:t>
      </w:r>
      <w:r w:rsidR="002B2D73">
        <w:rPr>
          <w:lang w:eastAsia="en-AU"/>
        </w:rPr>
        <w:t>U</w:t>
      </w:r>
      <w:r w:rsidRPr="00BF6334">
        <w:rPr>
          <w:lang w:eastAsia="en-AU"/>
        </w:rPr>
        <w:t>sage rate</w:t>
      </w:r>
      <w:r w:rsidR="002B2D73">
        <w:rPr>
          <w:lang w:eastAsia="en-AU"/>
        </w:rPr>
        <w:t>s</w:t>
      </w:r>
      <w:r w:rsidRPr="00BF6334">
        <w:rPr>
          <w:lang w:eastAsia="en-AU"/>
        </w:rPr>
        <w:t xml:space="preserve"> across both residential and community </w:t>
      </w:r>
      <w:r w:rsidRPr="002A4E89">
        <w:t>aged</w:t>
      </w:r>
      <w:r w:rsidRPr="00BF6334">
        <w:rPr>
          <w:lang w:eastAsia="en-AU"/>
        </w:rPr>
        <w:t xml:space="preserve"> care, 2020/21 to 2031/32</w:t>
      </w:r>
      <w:bookmarkEnd w:id="220"/>
      <w:bookmarkEnd w:id="221"/>
    </w:p>
    <w:p w14:paraId="15DA2C04" w14:textId="1492592D" w:rsidR="000F3EBE" w:rsidRPr="007D76A7" w:rsidRDefault="00CE28BF" w:rsidP="007D76A7">
      <w:r w:rsidRPr="00CE28BF">
        <w:rPr>
          <w:noProof/>
        </w:rPr>
        <w:drawing>
          <wp:inline distT="0" distB="0" distL="0" distR="0" wp14:anchorId="456A7EDD" wp14:editId="5E56CB78">
            <wp:extent cx="5732145" cy="1943735"/>
            <wp:effectExtent l="0" t="0" r="1905" b="0"/>
            <wp:docPr id="40" name="Picture 40" descr="Unmet demand is shown to be much larger for both advocacy and information services in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met demand is shown to be much larger for both advocacy and information services in forecas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2145" cy="1943735"/>
                    </a:xfrm>
                    <a:prstGeom prst="rect">
                      <a:avLst/>
                    </a:prstGeom>
                    <a:noFill/>
                    <a:ln>
                      <a:noFill/>
                    </a:ln>
                  </pic:spPr>
                </pic:pic>
              </a:graphicData>
            </a:graphic>
          </wp:inline>
        </w:drawing>
      </w:r>
    </w:p>
    <w:p w14:paraId="519ED7FA" w14:textId="558A1311" w:rsidR="009C226E" w:rsidRDefault="009C226E" w:rsidP="00DF5066">
      <w:pPr>
        <w:pStyle w:val="Source"/>
        <w:rPr>
          <w:lang w:eastAsia="en-AU"/>
        </w:rPr>
      </w:pPr>
      <w:r w:rsidRPr="00BF6334">
        <w:rPr>
          <w:lang w:eastAsia="en-AU"/>
        </w:rPr>
        <w:t>Source: Deloitte Access Economics analysis of OPAN and AIHW data.</w:t>
      </w:r>
    </w:p>
    <w:p w14:paraId="139C8D5B" w14:textId="4E78AB70" w:rsidR="009C226E" w:rsidRPr="003C2335" w:rsidRDefault="009C226E" w:rsidP="00FC074C">
      <w:pPr>
        <w:pStyle w:val="CaptionChart"/>
        <w:ind w:left="0"/>
        <w:rPr>
          <w:lang w:eastAsia="en-AU"/>
        </w:rPr>
      </w:pPr>
      <w:bookmarkStart w:id="222" w:name="_Toc99117051"/>
      <w:r w:rsidRPr="003C2335">
        <w:rPr>
          <w:lang w:eastAsia="en-AU"/>
        </w:rPr>
        <w:t>: Advocacy</w:t>
      </w:r>
      <w:r>
        <w:rPr>
          <w:lang w:eastAsia="en-AU"/>
        </w:rPr>
        <w:t xml:space="preserve"> </w:t>
      </w:r>
      <w:r w:rsidRPr="003C2335">
        <w:rPr>
          <w:lang w:eastAsia="en-AU"/>
        </w:rPr>
        <w:t>usage rate</w:t>
      </w:r>
      <w:r w:rsidR="00C56DD1">
        <w:rPr>
          <w:lang w:eastAsia="en-AU"/>
        </w:rPr>
        <w:t>s</w:t>
      </w:r>
      <w:r w:rsidRPr="003C2335">
        <w:rPr>
          <w:lang w:eastAsia="en-AU"/>
        </w:rPr>
        <w:t>, 2020/21 to 2031/32</w:t>
      </w:r>
      <w:bookmarkEnd w:id="222"/>
    </w:p>
    <w:p w14:paraId="77E79992" w14:textId="22C7E2F4" w:rsidR="009C226E" w:rsidRPr="003C2335" w:rsidRDefault="00E225AE" w:rsidP="009C226E">
      <w:pPr>
        <w:pStyle w:val="ListBullet"/>
        <w:numPr>
          <w:ilvl w:val="0"/>
          <w:numId w:val="0"/>
        </w:numPr>
        <w:ind w:left="340" w:hanging="340"/>
        <w:rPr>
          <w:lang w:eastAsia="en-AU"/>
        </w:rPr>
      </w:pPr>
      <w:r w:rsidRPr="00E225AE">
        <w:rPr>
          <w:noProof/>
        </w:rPr>
        <w:drawing>
          <wp:inline distT="0" distB="0" distL="0" distR="0" wp14:anchorId="5D263B96" wp14:editId="4786583A">
            <wp:extent cx="5732145" cy="1945640"/>
            <wp:effectExtent l="0" t="0" r="1905" b="0"/>
            <wp:docPr id="44" name="Picture 44" descr="Advocacy services only for both care types show a downturn in usage growth as met and unmet demand remain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dvocacy services only for both care types show a downturn in usage growth as met and unmet demand remains consta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2145" cy="1945640"/>
                    </a:xfrm>
                    <a:prstGeom prst="rect">
                      <a:avLst/>
                    </a:prstGeom>
                    <a:noFill/>
                    <a:ln>
                      <a:noFill/>
                    </a:ln>
                  </pic:spPr>
                </pic:pic>
              </a:graphicData>
            </a:graphic>
          </wp:inline>
        </w:drawing>
      </w:r>
    </w:p>
    <w:p w14:paraId="1612B2A3" w14:textId="1EA95174" w:rsidR="009C226E" w:rsidRDefault="009C226E" w:rsidP="00DF5066">
      <w:pPr>
        <w:pStyle w:val="Source"/>
        <w:rPr>
          <w:lang w:eastAsia="en-AU"/>
        </w:rPr>
      </w:pPr>
      <w:r w:rsidRPr="00BF6334">
        <w:rPr>
          <w:lang w:eastAsia="en-AU"/>
        </w:rPr>
        <w:t>Source: Deloitte Access Economics analysis of OPAN and AIHW data.</w:t>
      </w:r>
    </w:p>
    <w:p w14:paraId="484AE97D" w14:textId="70D8F695" w:rsidR="009C226E" w:rsidRDefault="009C226E" w:rsidP="00FC074C">
      <w:pPr>
        <w:pStyle w:val="CaptionChart"/>
        <w:ind w:left="0"/>
        <w:rPr>
          <w:lang w:eastAsia="en-AU"/>
        </w:rPr>
      </w:pPr>
      <w:bookmarkStart w:id="223" w:name="_Toc99117052"/>
      <w:r>
        <w:rPr>
          <w:lang w:eastAsia="en-AU"/>
        </w:rPr>
        <w:t xml:space="preserve">: Information </w:t>
      </w:r>
      <w:r w:rsidRPr="003C2335">
        <w:rPr>
          <w:lang w:eastAsia="en-AU"/>
        </w:rPr>
        <w:t>usage rate</w:t>
      </w:r>
      <w:r w:rsidR="00C56DD1">
        <w:rPr>
          <w:lang w:eastAsia="en-AU"/>
        </w:rPr>
        <w:t>s</w:t>
      </w:r>
      <w:r w:rsidRPr="003C2335">
        <w:rPr>
          <w:lang w:eastAsia="en-AU"/>
        </w:rPr>
        <w:t>, 2020/21 to 2031/32</w:t>
      </w:r>
      <w:bookmarkEnd w:id="223"/>
    </w:p>
    <w:p w14:paraId="7CEC40B1" w14:textId="4CFA977E" w:rsidR="009C226E" w:rsidRPr="006B2F56" w:rsidRDefault="00516390" w:rsidP="009C226E">
      <w:pPr>
        <w:rPr>
          <w:lang w:eastAsia="en-AU"/>
        </w:rPr>
      </w:pPr>
      <w:r w:rsidRPr="00516390">
        <w:rPr>
          <w:noProof/>
        </w:rPr>
        <w:drawing>
          <wp:inline distT="0" distB="0" distL="0" distR="0" wp14:anchorId="6919E4DA" wp14:editId="2F483F2E">
            <wp:extent cx="5732145" cy="1945640"/>
            <wp:effectExtent l="0" t="0" r="1905" b="0"/>
            <wp:docPr id="46" name="Picture 46" descr="Information services only for both care types show a downturn in usage growth as met and unmet demand remain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formation services only for both care types show a downturn in usage growth as met and unmet demand remains consta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2145" cy="1945640"/>
                    </a:xfrm>
                    <a:prstGeom prst="rect">
                      <a:avLst/>
                    </a:prstGeom>
                    <a:noFill/>
                    <a:ln>
                      <a:noFill/>
                    </a:ln>
                  </pic:spPr>
                </pic:pic>
              </a:graphicData>
            </a:graphic>
          </wp:inline>
        </w:drawing>
      </w:r>
    </w:p>
    <w:p w14:paraId="7B3E4C29" w14:textId="6A7425A6" w:rsidR="009C226E" w:rsidRPr="007D76A7" w:rsidRDefault="009C226E" w:rsidP="009C226E">
      <w:pPr>
        <w:pStyle w:val="Source"/>
        <w:rPr>
          <w:lang w:eastAsia="en-AU"/>
        </w:rPr>
      </w:pPr>
      <w:r>
        <w:rPr>
          <w:lang w:eastAsia="en-AU"/>
        </w:rPr>
        <w:t xml:space="preserve">Source: </w:t>
      </w:r>
      <w:r w:rsidRPr="00BF6334">
        <w:rPr>
          <w:lang w:eastAsia="en-AU"/>
        </w:rPr>
        <w:t>Deloitte Access Economics analysis of OPAN and AIHW data.</w:t>
      </w:r>
    </w:p>
    <w:p w14:paraId="2C3B1B87" w14:textId="75F5915A" w:rsidR="00435165" w:rsidRDefault="00435165" w:rsidP="00334AC6">
      <w:pPr>
        <w:pStyle w:val="Heading3"/>
        <w:ind w:left="993" w:hanging="993"/>
      </w:pPr>
      <w:bookmarkStart w:id="224" w:name="_Toc99437536"/>
      <w:r>
        <w:t>Scenario 2: Higher demand among vulnerability groups</w:t>
      </w:r>
      <w:bookmarkEnd w:id="224"/>
    </w:p>
    <w:p w14:paraId="77AD7E24" w14:textId="0ED94BF5" w:rsidR="006044BE" w:rsidRDefault="0028286B" w:rsidP="00757781">
      <w:pPr>
        <w:rPr>
          <w:lang w:eastAsia="en-AU"/>
        </w:rPr>
      </w:pPr>
      <w:r>
        <w:rPr>
          <w:lang w:eastAsia="en-AU"/>
        </w:rPr>
        <w:t xml:space="preserve">Scenario 2 considers a situation in which </w:t>
      </w:r>
      <w:r w:rsidR="00B25962">
        <w:rPr>
          <w:lang w:eastAsia="en-AU"/>
        </w:rPr>
        <w:t xml:space="preserve">each vulnerability group has a different total demand rate. </w:t>
      </w:r>
      <w:r w:rsidR="00D56A19">
        <w:rPr>
          <w:lang w:eastAsia="en-AU"/>
        </w:rPr>
        <w:t xml:space="preserve">This scenario was modelled to </w:t>
      </w:r>
      <w:r w:rsidR="00C25D0C">
        <w:rPr>
          <w:lang w:eastAsia="en-AU"/>
        </w:rPr>
        <w:t xml:space="preserve">demonstrate how much unmet demand may exist if </w:t>
      </w:r>
      <w:r w:rsidR="00B05687">
        <w:rPr>
          <w:lang w:eastAsia="en-AU"/>
        </w:rPr>
        <w:t>some of the vulnerab</w:t>
      </w:r>
      <w:r w:rsidR="00C528BF">
        <w:rPr>
          <w:lang w:eastAsia="en-AU"/>
        </w:rPr>
        <w:t>le</w:t>
      </w:r>
      <w:r w:rsidR="00B05687">
        <w:rPr>
          <w:lang w:eastAsia="en-AU"/>
        </w:rPr>
        <w:t xml:space="preserve"> groups </w:t>
      </w:r>
      <w:r w:rsidR="00060D17">
        <w:rPr>
          <w:lang w:eastAsia="en-AU"/>
        </w:rPr>
        <w:t xml:space="preserve">have a greater need for service that </w:t>
      </w:r>
      <w:r w:rsidR="00603043">
        <w:rPr>
          <w:lang w:eastAsia="en-AU"/>
        </w:rPr>
        <w:t>mainstream cohorts</w:t>
      </w:r>
      <w:r w:rsidR="00E55531">
        <w:rPr>
          <w:lang w:eastAsia="en-AU"/>
        </w:rPr>
        <w:t xml:space="preserve">. </w:t>
      </w:r>
      <w:r w:rsidR="006E3D3A">
        <w:rPr>
          <w:lang w:eastAsia="en-AU"/>
        </w:rPr>
        <w:t xml:space="preserve">It is based on insights from the stakeholder consultation process which suggested that </w:t>
      </w:r>
      <w:r w:rsidR="00D568DE">
        <w:rPr>
          <w:lang w:eastAsia="en-AU"/>
        </w:rPr>
        <w:t xml:space="preserve">vulnerability groups </w:t>
      </w:r>
      <w:r w:rsidR="00EA7E14">
        <w:rPr>
          <w:lang w:eastAsia="en-AU"/>
        </w:rPr>
        <w:t xml:space="preserve">have higher need for advocacy </w:t>
      </w:r>
      <w:r w:rsidR="00740117">
        <w:rPr>
          <w:lang w:eastAsia="en-AU"/>
        </w:rPr>
        <w:t>and simultaneously</w:t>
      </w:r>
      <w:r w:rsidR="00E508F6">
        <w:rPr>
          <w:lang w:eastAsia="en-AU"/>
        </w:rPr>
        <w:t xml:space="preserve"> have scope for higher usage</w:t>
      </w:r>
      <w:r w:rsidR="00740117">
        <w:rPr>
          <w:lang w:eastAsia="en-AU"/>
        </w:rPr>
        <w:t>.</w:t>
      </w:r>
    </w:p>
    <w:p w14:paraId="7A58C9D9" w14:textId="46BC4A4A" w:rsidR="00757781" w:rsidRDefault="00E55531" w:rsidP="00757781">
      <w:pPr>
        <w:rPr>
          <w:lang w:eastAsia="en-AU"/>
        </w:rPr>
      </w:pPr>
      <w:r>
        <w:rPr>
          <w:lang w:eastAsia="en-AU"/>
        </w:rPr>
        <w:fldChar w:fldCharType="begin"/>
      </w:r>
      <w:r>
        <w:rPr>
          <w:lang w:eastAsia="en-AU"/>
        </w:rPr>
        <w:instrText xml:space="preserve"> REF _Ref95480620 \w \h </w:instrText>
      </w:r>
      <w:r>
        <w:rPr>
          <w:lang w:eastAsia="en-AU"/>
        </w:rPr>
      </w:r>
      <w:r>
        <w:rPr>
          <w:lang w:eastAsia="en-AU"/>
        </w:rPr>
        <w:fldChar w:fldCharType="separate"/>
      </w:r>
      <w:r w:rsidR="00DC6A20">
        <w:rPr>
          <w:lang w:eastAsia="en-AU"/>
        </w:rPr>
        <w:t>Table 4.1</w:t>
      </w:r>
      <w:r>
        <w:rPr>
          <w:lang w:eastAsia="en-AU"/>
        </w:rPr>
        <w:fldChar w:fldCharType="end"/>
      </w:r>
      <w:r>
        <w:rPr>
          <w:lang w:eastAsia="en-AU"/>
        </w:rPr>
        <w:t xml:space="preserve"> shows the specific total demand rates modelled for each vulnerability group and the </w:t>
      </w:r>
      <w:r w:rsidR="00330032">
        <w:rPr>
          <w:lang w:eastAsia="en-AU"/>
        </w:rPr>
        <w:t>resulting overall total demand rate.</w:t>
      </w:r>
      <w:r w:rsidR="006044BE">
        <w:rPr>
          <w:lang w:eastAsia="en-AU"/>
        </w:rPr>
        <w:t xml:space="preserve"> The total demand rates for each group were assumed to be the same for both advocacy and information.</w:t>
      </w:r>
      <w:r w:rsidR="00B620E3">
        <w:rPr>
          <w:lang w:eastAsia="en-AU"/>
        </w:rPr>
        <w:t xml:space="preserve"> They were also assumed to be the same for both types of care, except for those with dementia, who were modelled to have a higher rate of demand in community care due to the greater complexity</w:t>
      </w:r>
      <w:r w:rsidR="005C5AAB">
        <w:rPr>
          <w:lang w:eastAsia="en-AU"/>
        </w:rPr>
        <w:t xml:space="preserve"> of services.</w:t>
      </w:r>
      <w:r w:rsidR="00740117">
        <w:rPr>
          <w:lang w:eastAsia="en-AU"/>
        </w:rPr>
        <w:t xml:space="preserve"> Other vulnerability groups had their maximum demand rates set based </w:t>
      </w:r>
      <w:r w:rsidR="006509D5">
        <w:rPr>
          <w:lang w:eastAsia="en-AU"/>
        </w:rPr>
        <w:t xml:space="preserve">currently observed higher rates of usage </w:t>
      </w:r>
      <w:r w:rsidR="000D3D7D">
        <w:rPr>
          <w:lang w:eastAsia="en-AU"/>
        </w:rPr>
        <w:t>(</w:t>
      </w:r>
      <w:r w:rsidR="00392CF0">
        <w:rPr>
          <w:lang w:eastAsia="en-AU"/>
        </w:rPr>
        <w:t>e.g.,</w:t>
      </w:r>
      <w:r w:rsidR="000D3D7D">
        <w:rPr>
          <w:lang w:eastAsia="en-AU"/>
        </w:rPr>
        <w:t xml:space="preserve"> matching the </w:t>
      </w:r>
      <w:r w:rsidR="00A865DD">
        <w:rPr>
          <w:lang w:eastAsia="en-AU"/>
        </w:rPr>
        <w:t xml:space="preserve">usage rate of culturally and linguistically diverse individuals in residential care </w:t>
      </w:r>
      <w:r w:rsidR="00E55D8A">
        <w:rPr>
          <w:lang w:eastAsia="en-AU"/>
        </w:rPr>
        <w:t>with the observed usage rate in community care).</w:t>
      </w:r>
    </w:p>
    <w:p w14:paraId="409E9182" w14:textId="3A828C91" w:rsidR="00E55531" w:rsidRDefault="00E55531" w:rsidP="00E55D8A">
      <w:pPr>
        <w:pStyle w:val="CaptionTable"/>
      </w:pPr>
      <w:bookmarkStart w:id="225" w:name="_Ref95480620"/>
      <w:bookmarkStart w:id="226" w:name="_Toc99117017"/>
      <w:r>
        <w:t>: Total demand rates modelled in Scenario 2, by vulnerability group</w:t>
      </w:r>
      <w:bookmarkEnd w:id="225"/>
      <w:bookmarkEnd w:id="226"/>
    </w:p>
    <w:tbl>
      <w:tblPr>
        <w:tblStyle w:val="Deloittetable"/>
        <w:tblW w:w="0" w:type="auto"/>
        <w:tblLook w:val="04A0" w:firstRow="1" w:lastRow="0" w:firstColumn="1" w:lastColumn="0" w:noHBand="0" w:noVBand="1"/>
      </w:tblPr>
      <w:tblGrid>
        <w:gridCol w:w="3686"/>
        <w:gridCol w:w="2670"/>
        <w:gridCol w:w="2671"/>
      </w:tblGrid>
      <w:tr w:rsidR="00E55531" w14:paraId="16789145" w14:textId="77777777" w:rsidTr="00C774EB">
        <w:trPr>
          <w:cnfStyle w:val="100000000000" w:firstRow="1" w:lastRow="0" w:firstColumn="0" w:lastColumn="0" w:oddVBand="0" w:evenVBand="0" w:oddHBand="0" w:evenHBand="0" w:firstRowFirstColumn="0" w:firstRowLastColumn="0" w:lastRowFirstColumn="0" w:lastRowLastColumn="0"/>
        </w:trPr>
        <w:tc>
          <w:tcPr>
            <w:tcW w:w="3686" w:type="dxa"/>
          </w:tcPr>
          <w:p w14:paraId="51EA4B3D" w14:textId="549E939F" w:rsidR="00E55531" w:rsidRPr="00030033" w:rsidRDefault="00330032" w:rsidP="00E55D8A">
            <w:pPr>
              <w:keepNext/>
              <w:rPr>
                <w:b/>
                <w:bCs/>
                <w:lang w:eastAsia="en-AU"/>
              </w:rPr>
            </w:pPr>
            <w:r w:rsidRPr="00030033">
              <w:rPr>
                <w:b/>
                <w:bCs/>
                <w:lang w:eastAsia="en-AU"/>
              </w:rPr>
              <w:t>Group</w:t>
            </w:r>
          </w:p>
        </w:tc>
        <w:tc>
          <w:tcPr>
            <w:tcW w:w="2670" w:type="dxa"/>
          </w:tcPr>
          <w:p w14:paraId="24554445" w14:textId="221A0E23" w:rsidR="00E55531" w:rsidRPr="00030033" w:rsidRDefault="00BA0A7C" w:rsidP="00E55D8A">
            <w:pPr>
              <w:keepNext/>
              <w:jc w:val="right"/>
              <w:rPr>
                <w:b/>
                <w:bCs/>
                <w:lang w:eastAsia="en-AU"/>
              </w:rPr>
            </w:pPr>
            <w:r w:rsidRPr="00030033">
              <w:rPr>
                <w:b/>
                <w:bCs/>
                <w:lang w:eastAsia="en-AU"/>
              </w:rPr>
              <w:t>Residential care</w:t>
            </w:r>
          </w:p>
        </w:tc>
        <w:tc>
          <w:tcPr>
            <w:tcW w:w="2671" w:type="dxa"/>
          </w:tcPr>
          <w:p w14:paraId="7628CE20" w14:textId="7CE8BCDD" w:rsidR="00E55531" w:rsidRPr="00030033" w:rsidRDefault="00BA0A7C" w:rsidP="00E55D8A">
            <w:pPr>
              <w:keepNext/>
              <w:jc w:val="right"/>
              <w:rPr>
                <w:b/>
                <w:bCs/>
                <w:lang w:eastAsia="en-AU"/>
              </w:rPr>
            </w:pPr>
            <w:r w:rsidRPr="00030033">
              <w:rPr>
                <w:b/>
                <w:bCs/>
                <w:lang w:eastAsia="en-AU"/>
              </w:rPr>
              <w:t>Community care</w:t>
            </w:r>
          </w:p>
        </w:tc>
      </w:tr>
      <w:tr w:rsidR="00E55531" w14:paraId="542B6CA2" w14:textId="77777777" w:rsidTr="00C774EB">
        <w:tc>
          <w:tcPr>
            <w:tcW w:w="3686" w:type="dxa"/>
          </w:tcPr>
          <w:p w14:paraId="2A69D06C" w14:textId="198D5324" w:rsidR="00E55531" w:rsidRDefault="00BA0A7C" w:rsidP="00E55D8A">
            <w:pPr>
              <w:keepNext/>
              <w:rPr>
                <w:lang w:eastAsia="en-AU"/>
              </w:rPr>
            </w:pPr>
            <w:r>
              <w:rPr>
                <w:lang w:eastAsia="en-AU"/>
              </w:rPr>
              <w:t>No identified vulnerability</w:t>
            </w:r>
          </w:p>
        </w:tc>
        <w:tc>
          <w:tcPr>
            <w:tcW w:w="2670" w:type="dxa"/>
          </w:tcPr>
          <w:p w14:paraId="386D763C" w14:textId="2625C98F" w:rsidR="00E55531" w:rsidRDefault="00991169" w:rsidP="00E55D8A">
            <w:pPr>
              <w:keepNext/>
              <w:jc w:val="right"/>
              <w:rPr>
                <w:lang w:eastAsia="en-AU"/>
              </w:rPr>
            </w:pPr>
            <w:r>
              <w:rPr>
                <w:lang w:eastAsia="en-AU"/>
              </w:rPr>
              <w:t>5</w:t>
            </w:r>
            <w:r w:rsidR="006044BE">
              <w:rPr>
                <w:lang w:eastAsia="en-AU"/>
              </w:rPr>
              <w:t>.0</w:t>
            </w:r>
            <w:r>
              <w:rPr>
                <w:lang w:eastAsia="en-AU"/>
              </w:rPr>
              <w:t>%</w:t>
            </w:r>
          </w:p>
        </w:tc>
        <w:tc>
          <w:tcPr>
            <w:tcW w:w="2671" w:type="dxa"/>
          </w:tcPr>
          <w:p w14:paraId="5A5D9BB6" w14:textId="3855B10C" w:rsidR="00E55531" w:rsidRDefault="00991169" w:rsidP="00E55D8A">
            <w:pPr>
              <w:keepNext/>
              <w:jc w:val="right"/>
              <w:rPr>
                <w:lang w:eastAsia="en-AU"/>
              </w:rPr>
            </w:pPr>
            <w:r>
              <w:rPr>
                <w:lang w:eastAsia="en-AU"/>
              </w:rPr>
              <w:t>5</w:t>
            </w:r>
            <w:r w:rsidR="006044BE">
              <w:rPr>
                <w:lang w:eastAsia="en-AU"/>
              </w:rPr>
              <w:t>.0</w:t>
            </w:r>
            <w:r>
              <w:rPr>
                <w:lang w:eastAsia="en-AU"/>
              </w:rPr>
              <w:t>%</w:t>
            </w:r>
          </w:p>
        </w:tc>
      </w:tr>
      <w:tr w:rsidR="00BA0A7C" w14:paraId="26D464FA" w14:textId="77777777" w:rsidTr="00C774EB">
        <w:tc>
          <w:tcPr>
            <w:tcW w:w="3686" w:type="dxa"/>
          </w:tcPr>
          <w:p w14:paraId="35716081" w14:textId="3E18FE88" w:rsidR="00BA0A7C" w:rsidRDefault="00C774EB" w:rsidP="00E55D8A">
            <w:pPr>
              <w:keepNext/>
              <w:rPr>
                <w:lang w:eastAsia="en-AU"/>
              </w:rPr>
            </w:pPr>
            <w:r>
              <w:rPr>
                <w:lang w:eastAsia="en-AU"/>
              </w:rPr>
              <w:t>Aboriginal and Torres Strait Islanders</w:t>
            </w:r>
          </w:p>
        </w:tc>
        <w:tc>
          <w:tcPr>
            <w:tcW w:w="2670" w:type="dxa"/>
          </w:tcPr>
          <w:p w14:paraId="59900077" w14:textId="5C445E0C" w:rsidR="00BA0A7C" w:rsidRDefault="00991169" w:rsidP="00E55D8A">
            <w:pPr>
              <w:keepNext/>
              <w:jc w:val="right"/>
              <w:rPr>
                <w:lang w:eastAsia="en-AU"/>
              </w:rPr>
            </w:pPr>
            <w:r>
              <w:rPr>
                <w:lang w:eastAsia="en-AU"/>
              </w:rPr>
              <w:t>7</w:t>
            </w:r>
            <w:r w:rsidR="006044BE">
              <w:rPr>
                <w:lang w:eastAsia="en-AU"/>
              </w:rPr>
              <w:t>.0</w:t>
            </w:r>
            <w:r>
              <w:rPr>
                <w:lang w:eastAsia="en-AU"/>
              </w:rPr>
              <w:t>%</w:t>
            </w:r>
          </w:p>
        </w:tc>
        <w:tc>
          <w:tcPr>
            <w:tcW w:w="2671" w:type="dxa"/>
          </w:tcPr>
          <w:p w14:paraId="046EB9A3" w14:textId="13BEC5F8" w:rsidR="00BA0A7C" w:rsidRDefault="00991169" w:rsidP="00E55D8A">
            <w:pPr>
              <w:keepNext/>
              <w:jc w:val="right"/>
              <w:rPr>
                <w:lang w:eastAsia="en-AU"/>
              </w:rPr>
            </w:pPr>
            <w:r>
              <w:rPr>
                <w:lang w:eastAsia="en-AU"/>
              </w:rPr>
              <w:t>7</w:t>
            </w:r>
            <w:r w:rsidR="006044BE">
              <w:rPr>
                <w:lang w:eastAsia="en-AU"/>
              </w:rPr>
              <w:t>.0</w:t>
            </w:r>
            <w:r>
              <w:rPr>
                <w:lang w:eastAsia="en-AU"/>
              </w:rPr>
              <w:t>%</w:t>
            </w:r>
          </w:p>
        </w:tc>
      </w:tr>
      <w:tr w:rsidR="00BA0A7C" w14:paraId="11CAA03E" w14:textId="77777777" w:rsidTr="00C774EB">
        <w:tc>
          <w:tcPr>
            <w:tcW w:w="3686" w:type="dxa"/>
          </w:tcPr>
          <w:p w14:paraId="30F41A7A" w14:textId="7A6A4C00" w:rsidR="00BA0A7C" w:rsidRDefault="00C774EB" w:rsidP="00E55D8A">
            <w:pPr>
              <w:keepNext/>
              <w:rPr>
                <w:lang w:eastAsia="en-AU"/>
              </w:rPr>
            </w:pPr>
            <w:r>
              <w:rPr>
                <w:lang w:eastAsia="en-AU"/>
              </w:rPr>
              <w:t>Culturally and linguistically diverse</w:t>
            </w:r>
          </w:p>
        </w:tc>
        <w:tc>
          <w:tcPr>
            <w:tcW w:w="2670" w:type="dxa"/>
          </w:tcPr>
          <w:p w14:paraId="1FA896C9" w14:textId="29CDEA50" w:rsidR="00BA0A7C" w:rsidRDefault="00991169" w:rsidP="00E55D8A">
            <w:pPr>
              <w:keepNext/>
              <w:jc w:val="right"/>
              <w:rPr>
                <w:lang w:eastAsia="en-AU"/>
              </w:rPr>
            </w:pPr>
            <w:r>
              <w:rPr>
                <w:lang w:eastAsia="en-AU"/>
              </w:rPr>
              <w:t>12</w:t>
            </w:r>
            <w:r w:rsidR="006044BE">
              <w:rPr>
                <w:lang w:eastAsia="en-AU"/>
              </w:rPr>
              <w:t>.0</w:t>
            </w:r>
            <w:r>
              <w:rPr>
                <w:lang w:eastAsia="en-AU"/>
              </w:rPr>
              <w:t>%</w:t>
            </w:r>
          </w:p>
        </w:tc>
        <w:tc>
          <w:tcPr>
            <w:tcW w:w="2671" w:type="dxa"/>
          </w:tcPr>
          <w:p w14:paraId="21AD560B" w14:textId="111CF5FB" w:rsidR="00BA0A7C" w:rsidRDefault="00991169" w:rsidP="00E55D8A">
            <w:pPr>
              <w:keepNext/>
              <w:jc w:val="right"/>
              <w:rPr>
                <w:lang w:eastAsia="en-AU"/>
              </w:rPr>
            </w:pPr>
            <w:r>
              <w:rPr>
                <w:lang w:eastAsia="en-AU"/>
              </w:rPr>
              <w:t>12</w:t>
            </w:r>
            <w:r w:rsidR="006044BE">
              <w:rPr>
                <w:lang w:eastAsia="en-AU"/>
              </w:rPr>
              <w:t>.0</w:t>
            </w:r>
            <w:r>
              <w:rPr>
                <w:lang w:eastAsia="en-AU"/>
              </w:rPr>
              <w:t>%</w:t>
            </w:r>
          </w:p>
        </w:tc>
      </w:tr>
      <w:tr w:rsidR="00BA0A7C" w14:paraId="3FF6F956" w14:textId="77777777" w:rsidTr="00C774EB">
        <w:tc>
          <w:tcPr>
            <w:tcW w:w="3686" w:type="dxa"/>
          </w:tcPr>
          <w:p w14:paraId="34CE15A8" w14:textId="0772DD84" w:rsidR="00BA0A7C" w:rsidRDefault="00C774EB" w:rsidP="00E55D8A">
            <w:pPr>
              <w:keepNext/>
              <w:rPr>
                <w:lang w:eastAsia="en-AU"/>
              </w:rPr>
            </w:pPr>
            <w:r>
              <w:rPr>
                <w:lang w:eastAsia="en-AU"/>
              </w:rPr>
              <w:t>Dementia</w:t>
            </w:r>
          </w:p>
        </w:tc>
        <w:tc>
          <w:tcPr>
            <w:tcW w:w="2670" w:type="dxa"/>
          </w:tcPr>
          <w:p w14:paraId="6121A013" w14:textId="0E292CF8" w:rsidR="00BA0A7C" w:rsidRDefault="00991169" w:rsidP="00E55D8A">
            <w:pPr>
              <w:keepNext/>
              <w:jc w:val="right"/>
              <w:rPr>
                <w:lang w:eastAsia="en-AU"/>
              </w:rPr>
            </w:pPr>
            <w:r>
              <w:rPr>
                <w:lang w:eastAsia="en-AU"/>
              </w:rPr>
              <w:t>7</w:t>
            </w:r>
            <w:r w:rsidR="006044BE">
              <w:rPr>
                <w:lang w:eastAsia="en-AU"/>
              </w:rPr>
              <w:t>.0</w:t>
            </w:r>
            <w:r>
              <w:rPr>
                <w:lang w:eastAsia="en-AU"/>
              </w:rPr>
              <w:t>%</w:t>
            </w:r>
          </w:p>
        </w:tc>
        <w:tc>
          <w:tcPr>
            <w:tcW w:w="2671" w:type="dxa"/>
          </w:tcPr>
          <w:p w14:paraId="6206F522" w14:textId="69A3BA5E" w:rsidR="00BA0A7C" w:rsidRDefault="00991169" w:rsidP="00E55D8A">
            <w:pPr>
              <w:keepNext/>
              <w:jc w:val="right"/>
              <w:rPr>
                <w:lang w:eastAsia="en-AU"/>
              </w:rPr>
            </w:pPr>
            <w:r>
              <w:rPr>
                <w:lang w:eastAsia="en-AU"/>
              </w:rPr>
              <w:t>9</w:t>
            </w:r>
            <w:r w:rsidR="006044BE">
              <w:rPr>
                <w:lang w:eastAsia="en-AU"/>
              </w:rPr>
              <w:t>.0</w:t>
            </w:r>
            <w:r>
              <w:rPr>
                <w:lang w:eastAsia="en-AU"/>
              </w:rPr>
              <w:t>%</w:t>
            </w:r>
          </w:p>
        </w:tc>
      </w:tr>
      <w:tr w:rsidR="00BA0A7C" w14:paraId="3C28EF31" w14:textId="77777777" w:rsidTr="00C774EB">
        <w:tc>
          <w:tcPr>
            <w:tcW w:w="3686" w:type="dxa"/>
          </w:tcPr>
          <w:p w14:paraId="6AEE9875" w14:textId="1ECE73BF" w:rsidR="00BA0A7C" w:rsidRDefault="00C774EB" w:rsidP="00E55D8A">
            <w:pPr>
              <w:keepNext/>
              <w:rPr>
                <w:lang w:eastAsia="en-AU"/>
              </w:rPr>
            </w:pPr>
            <w:r>
              <w:rPr>
                <w:lang w:eastAsia="en-AU"/>
              </w:rPr>
              <w:t>Elder abuse</w:t>
            </w:r>
          </w:p>
        </w:tc>
        <w:tc>
          <w:tcPr>
            <w:tcW w:w="2670" w:type="dxa"/>
          </w:tcPr>
          <w:p w14:paraId="5E5BBFE1" w14:textId="3B0E6583" w:rsidR="00BA0A7C" w:rsidRDefault="00991169" w:rsidP="00E55D8A">
            <w:pPr>
              <w:keepNext/>
              <w:jc w:val="right"/>
              <w:rPr>
                <w:lang w:eastAsia="en-AU"/>
              </w:rPr>
            </w:pPr>
            <w:r>
              <w:rPr>
                <w:lang w:eastAsia="en-AU"/>
              </w:rPr>
              <w:t>10</w:t>
            </w:r>
            <w:r w:rsidR="006044BE">
              <w:rPr>
                <w:lang w:eastAsia="en-AU"/>
              </w:rPr>
              <w:t>.0</w:t>
            </w:r>
            <w:r>
              <w:rPr>
                <w:lang w:eastAsia="en-AU"/>
              </w:rPr>
              <w:t>%</w:t>
            </w:r>
          </w:p>
        </w:tc>
        <w:tc>
          <w:tcPr>
            <w:tcW w:w="2671" w:type="dxa"/>
          </w:tcPr>
          <w:p w14:paraId="00DD12DA" w14:textId="79E10221" w:rsidR="00BA0A7C" w:rsidRDefault="00991169" w:rsidP="00E55D8A">
            <w:pPr>
              <w:keepNext/>
              <w:jc w:val="right"/>
              <w:rPr>
                <w:lang w:eastAsia="en-AU"/>
              </w:rPr>
            </w:pPr>
            <w:r>
              <w:rPr>
                <w:lang w:eastAsia="en-AU"/>
              </w:rPr>
              <w:t>10</w:t>
            </w:r>
            <w:r w:rsidR="006044BE">
              <w:rPr>
                <w:lang w:eastAsia="en-AU"/>
              </w:rPr>
              <w:t>.0</w:t>
            </w:r>
            <w:r>
              <w:rPr>
                <w:lang w:eastAsia="en-AU"/>
              </w:rPr>
              <w:t>%</w:t>
            </w:r>
          </w:p>
        </w:tc>
      </w:tr>
      <w:tr w:rsidR="00C774EB" w14:paraId="7FD74CE5" w14:textId="77777777" w:rsidTr="00C774EB">
        <w:tc>
          <w:tcPr>
            <w:tcW w:w="3686" w:type="dxa"/>
          </w:tcPr>
          <w:p w14:paraId="78867CC4" w14:textId="04ECA40B" w:rsidR="00C774EB" w:rsidRPr="00C774EB" w:rsidRDefault="00C774EB" w:rsidP="00E55D8A">
            <w:pPr>
              <w:keepNext/>
              <w:rPr>
                <w:b/>
                <w:bCs/>
                <w:lang w:eastAsia="en-AU"/>
              </w:rPr>
            </w:pPr>
            <w:r w:rsidRPr="00C774EB">
              <w:rPr>
                <w:b/>
                <w:bCs/>
                <w:lang w:eastAsia="en-AU"/>
              </w:rPr>
              <w:t>Total</w:t>
            </w:r>
          </w:p>
        </w:tc>
        <w:tc>
          <w:tcPr>
            <w:tcW w:w="2670" w:type="dxa"/>
          </w:tcPr>
          <w:p w14:paraId="5A6D6902" w14:textId="1ECD5B2A" w:rsidR="00C774EB" w:rsidRPr="00C774EB" w:rsidRDefault="006044BE" w:rsidP="00E55D8A">
            <w:pPr>
              <w:keepNext/>
              <w:jc w:val="right"/>
              <w:rPr>
                <w:b/>
                <w:bCs/>
                <w:lang w:eastAsia="en-AU"/>
              </w:rPr>
            </w:pPr>
            <w:r>
              <w:rPr>
                <w:b/>
                <w:bCs/>
                <w:lang w:eastAsia="en-AU"/>
              </w:rPr>
              <w:t>7.8%</w:t>
            </w:r>
          </w:p>
        </w:tc>
        <w:tc>
          <w:tcPr>
            <w:tcW w:w="2671" w:type="dxa"/>
          </w:tcPr>
          <w:p w14:paraId="32624AAB" w14:textId="0021E54B" w:rsidR="00C774EB" w:rsidRPr="00C774EB" w:rsidRDefault="006044BE" w:rsidP="00E55D8A">
            <w:pPr>
              <w:keepNext/>
              <w:jc w:val="right"/>
              <w:rPr>
                <w:b/>
                <w:bCs/>
                <w:lang w:eastAsia="en-AU"/>
              </w:rPr>
            </w:pPr>
            <w:r>
              <w:rPr>
                <w:b/>
                <w:bCs/>
                <w:lang w:eastAsia="en-AU"/>
              </w:rPr>
              <w:t>7.0%</w:t>
            </w:r>
          </w:p>
        </w:tc>
      </w:tr>
    </w:tbl>
    <w:p w14:paraId="0BBF8389" w14:textId="3B5AD345" w:rsidR="00E55531" w:rsidRDefault="006044BE" w:rsidP="00E55D8A">
      <w:pPr>
        <w:pStyle w:val="Source"/>
        <w:keepNext/>
        <w:rPr>
          <w:lang w:eastAsia="en-AU"/>
        </w:rPr>
      </w:pPr>
      <w:r>
        <w:rPr>
          <w:lang w:eastAsia="en-AU"/>
        </w:rPr>
        <w:t>Source: Deloitte Access Economics.</w:t>
      </w:r>
    </w:p>
    <w:p w14:paraId="00126274" w14:textId="29E5F8F6" w:rsidR="005C5AAB" w:rsidRDefault="005C5AAB" w:rsidP="00757781">
      <w:r>
        <w:t xml:space="preserve">Like Scenario 1, the following charts show that unmet demand is much larger across both advocacy and information services than in the </w:t>
      </w:r>
      <w:r w:rsidR="00B046CF">
        <w:t>modelling of the interim measure. Unmet demand is also observed to be greater than in</w:t>
      </w:r>
      <w:r w:rsidR="00831DA6">
        <w:t xml:space="preserve"> Scenario 1, primarily due to the higher total demand rate in residential aged care. </w:t>
      </w:r>
      <w:r w:rsidR="009D75D7">
        <w:t>In this scenario, the unmet demand for advocacy services is 23,200 in 2020/21</w:t>
      </w:r>
      <w:r w:rsidR="007202D0">
        <w:t xml:space="preserve">, rising to </w:t>
      </w:r>
      <w:r w:rsidR="00B93A1C">
        <w:t>26,900</w:t>
      </w:r>
      <w:r w:rsidR="007202D0">
        <w:t xml:space="preserve"> by 2031/32. There is also an unmet demand of 22,600 recipients of aged care for information services, increasing to </w:t>
      </w:r>
      <w:r w:rsidR="000A3D3C">
        <w:t xml:space="preserve">just over </w:t>
      </w:r>
      <w:r w:rsidR="00B57CB6">
        <w:t xml:space="preserve">25,000 </w:t>
      </w:r>
      <w:r w:rsidR="000A3D3C">
        <w:t>by 2031/32.</w:t>
      </w:r>
    </w:p>
    <w:p w14:paraId="13085527" w14:textId="15656E54" w:rsidR="004B0B23" w:rsidRPr="00BF6334" w:rsidRDefault="004B0B23" w:rsidP="004B0B23">
      <w:pPr>
        <w:pStyle w:val="CaptionChart"/>
        <w:ind w:left="0"/>
        <w:rPr>
          <w:lang w:eastAsia="en-AU"/>
        </w:rPr>
      </w:pPr>
      <w:bookmarkStart w:id="227" w:name="_Ref95480961"/>
      <w:bookmarkStart w:id="228" w:name="_Toc99117053"/>
      <w:r w:rsidRPr="00BF6334">
        <w:rPr>
          <w:lang w:eastAsia="en-AU"/>
        </w:rPr>
        <w:t xml:space="preserve">: </w:t>
      </w:r>
      <w:r w:rsidR="00AA1107">
        <w:rPr>
          <w:lang w:eastAsia="en-AU"/>
        </w:rPr>
        <w:t>U</w:t>
      </w:r>
      <w:r w:rsidRPr="00BF6334">
        <w:rPr>
          <w:lang w:eastAsia="en-AU"/>
        </w:rPr>
        <w:t>sage rate</w:t>
      </w:r>
      <w:r w:rsidR="00AA1107">
        <w:rPr>
          <w:lang w:eastAsia="en-AU"/>
        </w:rPr>
        <w:t>s</w:t>
      </w:r>
      <w:r w:rsidRPr="00BF6334">
        <w:rPr>
          <w:lang w:eastAsia="en-AU"/>
        </w:rPr>
        <w:t xml:space="preserve"> across both residential and community </w:t>
      </w:r>
      <w:r w:rsidRPr="00060D17">
        <w:t>aged</w:t>
      </w:r>
      <w:r w:rsidRPr="00BF6334">
        <w:rPr>
          <w:lang w:eastAsia="en-AU"/>
        </w:rPr>
        <w:t xml:space="preserve"> care, 2020/21 to 2031/32</w:t>
      </w:r>
      <w:bookmarkEnd w:id="227"/>
      <w:bookmarkEnd w:id="228"/>
    </w:p>
    <w:p w14:paraId="289C3A7B" w14:textId="768CAD09" w:rsidR="004B0B23" w:rsidRDefault="00B20BAF" w:rsidP="00757781">
      <w:pPr>
        <w:rPr>
          <w:lang w:eastAsia="en-AU"/>
        </w:rPr>
      </w:pPr>
      <w:r w:rsidRPr="00B20BAF">
        <w:rPr>
          <w:noProof/>
        </w:rPr>
        <w:drawing>
          <wp:inline distT="0" distB="0" distL="0" distR="0" wp14:anchorId="673A0D5F" wp14:editId="2FACC609">
            <wp:extent cx="5732145" cy="1943735"/>
            <wp:effectExtent l="0" t="0" r="1905" b="0"/>
            <wp:docPr id="49" name="Picture 49" descr="Unmet demand is shown to grown constantly over time, but usage rates to lower for both advocacy and informa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nmet demand is shown to grown constantly over time, but usage rates to lower for both advocacy and information service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2145" cy="1943735"/>
                    </a:xfrm>
                    <a:prstGeom prst="rect">
                      <a:avLst/>
                    </a:prstGeom>
                    <a:noFill/>
                    <a:ln>
                      <a:noFill/>
                    </a:ln>
                  </pic:spPr>
                </pic:pic>
              </a:graphicData>
            </a:graphic>
          </wp:inline>
        </w:drawing>
      </w:r>
    </w:p>
    <w:p w14:paraId="765B30BD" w14:textId="68AC55CB" w:rsidR="004B0B23" w:rsidRDefault="00122104" w:rsidP="0028286B">
      <w:pPr>
        <w:pStyle w:val="Source"/>
        <w:rPr>
          <w:lang w:eastAsia="en-AU"/>
        </w:rPr>
      </w:pPr>
      <w:r>
        <w:rPr>
          <w:lang w:eastAsia="en-AU"/>
        </w:rPr>
        <w:t xml:space="preserve">Source: </w:t>
      </w:r>
      <w:r w:rsidRPr="00BF6334">
        <w:rPr>
          <w:lang w:eastAsia="en-AU"/>
        </w:rPr>
        <w:t>Deloitte Access Economics analysis of OPAN and AIHW data.</w:t>
      </w:r>
    </w:p>
    <w:p w14:paraId="5BDBEB98" w14:textId="3D63478B" w:rsidR="004B0B23" w:rsidRPr="003C2335" w:rsidRDefault="004B0B23" w:rsidP="004B0B23">
      <w:pPr>
        <w:pStyle w:val="CaptionChart"/>
        <w:ind w:left="0"/>
        <w:rPr>
          <w:lang w:eastAsia="en-AU"/>
        </w:rPr>
      </w:pPr>
      <w:bookmarkStart w:id="229" w:name="_Toc99117054"/>
      <w:r w:rsidRPr="003C2335">
        <w:rPr>
          <w:lang w:eastAsia="en-AU"/>
        </w:rPr>
        <w:t>: Advocacy</w:t>
      </w:r>
      <w:r>
        <w:rPr>
          <w:lang w:eastAsia="en-AU"/>
        </w:rPr>
        <w:t xml:space="preserve"> </w:t>
      </w:r>
      <w:r w:rsidRPr="003C2335">
        <w:rPr>
          <w:lang w:eastAsia="en-AU"/>
        </w:rPr>
        <w:t>usage rate</w:t>
      </w:r>
      <w:r w:rsidR="00486E5B">
        <w:rPr>
          <w:lang w:eastAsia="en-AU"/>
        </w:rPr>
        <w:t>s</w:t>
      </w:r>
      <w:r w:rsidRPr="003C2335">
        <w:rPr>
          <w:lang w:eastAsia="en-AU"/>
        </w:rPr>
        <w:t>, 2020/21 to 2031/32</w:t>
      </w:r>
      <w:bookmarkEnd w:id="229"/>
    </w:p>
    <w:p w14:paraId="2E18A613" w14:textId="0D27E6C2" w:rsidR="004B0B23" w:rsidRDefault="00486E5B" w:rsidP="00757781">
      <w:pPr>
        <w:rPr>
          <w:lang w:eastAsia="en-AU"/>
        </w:rPr>
      </w:pPr>
      <w:r w:rsidRPr="00486E5B">
        <w:rPr>
          <w:noProof/>
        </w:rPr>
        <w:drawing>
          <wp:inline distT="0" distB="0" distL="0" distR="0" wp14:anchorId="0392EC33" wp14:editId="7AB09BAD">
            <wp:extent cx="5732145" cy="1945640"/>
            <wp:effectExtent l="0" t="0" r="1905" b="0"/>
            <wp:docPr id="475882764" name="Picture 475882764" descr="Advocacy services for both types of care would remain constant in usage, however unmet demand is predicted to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764" name="Picture 475882764" descr="Advocacy services for both types of care would remain constant in usage, however unmet demand is predicted to gro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2145" cy="1945640"/>
                    </a:xfrm>
                    <a:prstGeom prst="rect">
                      <a:avLst/>
                    </a:prstGeom>
                    <a:noFill/>
                    <a:ln>
                      <a:noFill/>
                    </a:ln>
                  </pic:spPr>
                </pic:pic>
              </a:graphicData>
            </a:graphic>
          </wp:inline>
        </w:drawing>
      </w:r>
    </w:p>
    <w:p w14:paraId="2A03D9DE" w14:textId="451C7173" w:rsidR="004B0B23" w:rsidRDefault="00122104" w:rsidP="00122104">
      <w:pPr>
        <w:pStyle w:val="Source"/>
        <w:rPr>
          <w:lang w:eastAsia="en-AU"/>
        </w:rPr>
      </w:pPr>
      <w:r>
        <w:rPr>
          <w:lang w:eastAsia="en-AU"/>
        </w:rPr>
        <w:t xml:space="preserve">Source: </w:t>
      </w:r>
      <w:r w:rsidRPr="00BF6334">
        <w:rPr>
          <w:lang w:eastAsia="en-AU"/>
        </w:rPr>
        <w:t>Deloitte Access Economics analysis of OPAN and AIHW data.</w:t>
      </w:r>
    </w:p>
    <w:p w14:paraId="6D65EACA" w14:textId="57D065A9" w:rsidR="004B0B23" w:rsidRPr="003C2335" w:rsidRDefault="004B0B23" w:rsidP="004B0B23">
      <w:pPr>
        <w:pStyle w:val="CaptionChart"/>
        <w:ind w:left="0"/>
        <w:rPr>
          <w:lang w:eastAsia="en-AU"/>
        </w:rPr>
      </w:pPr>
      <w:bookmarkStart w:id="230" w:name="_Toc99117055"/>
      <w:r w:rsidRPr="003C2335">
        <w:rPr>
          <w:lang w:eastAsia="en-AU"/>
        </w:rPr>
        <w:t xml:space="preserve">: </w:t>
      </w:r>
      <w:r w:rsidR="00C56DD1">
        <w:rPr>
          <w:lang w:eastAsia="en-AU"/>
        </w:rPr>
        <w:t xml:space="preserve">Information </w:t>
      </w:r>
      <w:r w:rsidRPr="003C2335">
        <w:rPr>
          <w:lang w:eastAsia="en-AU"/>
        </w:rPr>
        <w:t>usage rate</w:t>
      </w:r>
      <w:r w:rsidR="00C56DD1">
        <w:rPr>
          <w:lang w:eastAsia="en-AU"/>
        </w:rPr>
        <w:t>s</w:t>
      </w:r>
      <w:r w:rsidRPr="003C2335">
        <w:rPr>
          <w:lang w:eastAsia="en-AU"/>
        </w:rPr>
        <w:t>, 2020/21 to 2031/32</w:t>
      </w:r>
      <w:bookmarkEnd w:id="230"/>
    </w:p>
    <w:p w14:paraId="689A16A8" w14:textId="5B90B3BB" w:rsidR="004B0B23" w:rsidRDefault="008967CB" w:rsidP="00757781">
      <w:pPr>
        <w:rPr>
          <w:lang w:eastAsia="en-AU"/>
        </w:rPr>
      </w:pPr>
      <w:r w:rsidRPr="008967CB">
        <w:rPr>
          <w:noProof/>
        </w:rPr>
        <w:drawing>
          <wp:inline distT="0" distB="0" distL="0" distR="0" wp14:anchorId="23EE79B7" wp14:editId="48F2D649">
            <wp:extent cx="5732145" cy="1945640"/>
            <wp:effectExtent l="0" t="0" r="1905" b="0"/>
            <wp:docPr id="56" name="Picture 56" descr="Information services for both types of care would remain constant in usage, however unmet demand is predicted to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nformation services for both types of care would remain constant in usage, however unmet demand is predicted to gro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2145" cy="1945640"/>
                    </a:xfrm>
                    <a:prstGeom prst="rect">
                      <a:avLst/>
                    </a:prstGeom>
                    <a:noFill/>
                    <a:ln>
                      <a:noFill/>
                    </a:ln>
                  </pic:spPr>
                </pic:pic>
              </a:graphicData>
            </a:graphic>
          </wp:inline>
        </w:drawing>
      </w:r>
    </w:p>
    <w:p w14:paraId="6F39229D" w14:textId="77777777" w:rsidR="00122104" w:rsidRDefault="00122104" w:rsidP="00122104">
      <w:pPr>
        <w:pStyle w:val="Source"/>
        <w:rPr>
          <w:lang w:eastAsia="en-AU"/>
        </w:rPr>
      </w:pPr>
      <w:r>
        <w:rPr>
          <w:lang w:eastAsia="en-AU"/>
        </w:rPr>
        <w:t xml:space="preserve">Source: </w:t>
      </w:r>
      <w:r w:rsidRPr="00BF6334">
        <w:rPr>
          <w:lang w:eastAsia="en-AU"/>
        </w:rPr>
        <w:t>Deloitte Access Economics analysis of OPAN and AIHW data.</w:t>
      </w:r>
    </w:p>
    <w:p w14:paraId="734DD2C4" w14:textId="77777777" w:rsidR="004B0B23" w:rsidRPr="00757781" w:rsidRDefault="004B0B23" w:rsidP="00757781">
      <w:pPr>
        <w:rPr>
          <w:lang w:eastAsia="en-AU"/>
        </w:rPr>
      </w:pPr>
    </w:p>
    <w:p w14:paraId="0AD1B409" w14:textId="77777777" w:rsidR="009F7F33" w:rsidRDefault="009F7F33" w:rsidP="009F7F33">
      <w:pPr>
        <w:pStyle w:val="Heading1"/>
      </w:pPr>
      <w:bookmarkStart w:id="231" w:name="_Toc94771857"/>
      <w:bookmarkStart w:id="232" w:name="_Toc99437537"/>
      <w:r>
        <w:t>Supply of the NACAP</w:t>
      </w:r>
      <w:bookmarkEnd w:id="231"/>
      <w:bookmarkEnd w:id="232"/>
    </w:p>
    <w:p w14:paraId="29F4820E" w14:textId="2870C6DE" w:rsidR="009F7F33" w:rsidRPr="008F1394" w:rsidRDefault="009F7F33" w:rsidP="009F7F33">
      <w:pPr>
        <w:pStyle w:val="Heading2"/>
        <w:rPr>
          <w:lang w:eastAsia="en-AU"/>
        </w:rPr>
      </w:pPr>
      <w:bookmarkStart w:id="233" w:name="_Toc94771858"/>
      <w:bookmarkStart w:id="234" w:name="_Toc99437538"/>
      <w:r>
        <w:rPr>
          <w:lang w:eastAsia="en-AU"/>
        </w:rPr>
        <w:t xml:space="preserve">OPAN’s </w:t>
      </w:r>
      <w:r w:rsidR="003936A5">
        <w:rPr>
          <w:lang w:eastAsia="en-AU"/>
        </w:rPr>
        <w:t xml:space="preserve">capacity </w:t>
      </w:r>
      <w:r w:rsidRPr="008F1394">
        <w:rPr>
          <w:lang w:eastAsia="en-AU"/>
        </w:rPr>
        <w:t xml:space="preserve">to meet </w:t>
      </w:r>
      <w:r w:rsidR="003936A5">
        <w:rPr>
          <w:lang w:eastAsia="en-AU"/>
        </w:rPr>
        <w:t xml:space="preserve">the projected </w:t>
      </w:r>
      <w:r w:rsidRPr="008F1394">
        <w:rPr>
          <w:lang w:eastAsia="en-AU"/>
        </w:rPr>
        <w:t>demand</w:t>
      </w:r>
      <w:bookmarkEnd w:id="233"/>
      <w:bookmarkEnd w:id="234"/>
      <w:r w:rsidRPr="008F1394">
        <w:rPr>
          <w:lang w:eastAsia="en-AU"/>
        </w:rPr>
        <w:t xml:space="preserve"> </w:t>
      </w:r>
    </w:p>
    <w:p w14:paraId="39189917" w14:textId="41C22296" w:rsidR="00146C14" w:rsidRDefault="008825C0" w:rsidP="00442D06">
      <w:pPr>
        <w:rPr>
          <w:lang w:eastAsia="en-AU"/>
        </w:rPr>
      </w:pPr>
      <w:r>
        <w:rPr>
          <w:lang w:eastAsia="en-AU"/>
        </w:rPr>
        <w:t xml:space="preserve">The ability of OPAN to meet the projected demand will depend on the </w:t>
      </w:r>
      <w:r w:rsidR="0035093D">
        <w:rPr>
          <w:lang w:eastAsia="en-AU"/>
        </w:rPr>
        <w:t xml:space="preserve">supply of advocates and their capacity and capability to meet the </w:t>
      </w:r>
      <w:r w:rsidR="007A19C7">
        <w:rPr>
          <w:lang w:eastAsia="en-AU"/>
        </w:rPr>
        <w:t xml:space="preserve">advocacy </w:t>
      </w:r>
      <w:r w:rsidR="0035093D">
        <w:rPr>
          <w:lang w:eastAsia="en-AU"/>
        </w:rPr>
        <w:t xml:space="preserve">needs of the </w:t>
      </w:r>
      <w:r w:rsidR="007A19C7">
        <w:rPr>
          <w:lang w:eastAsia="en-AU"/>
        </w:rPr>
        <w:t xml:space="preserve">aged care population. Section </w:t>
      </w:r>
      <w:r w:rsidR="00CA5689">
        <w:rPr>
          <w:lang w:eastAsia="en-AU"/>
        </w:rPr>
        <w:fldChar w:fldCharType="begin"/>
      </w:r>
      <w:r w:rsidR="00CA5689">
        <w:rPr>
          <w:lang w:eastAsia="en-AU"/>
        </w:rPr>
        <w:instrText xml:space="preserve"> REF _Ref95394696 \r \h </w:instrText>
      </w:r>
      <w:r w:rsidR="00CA5689">
        <w:rPr>
          <w:lang w:eastAsia="en-AU"/>
        </w:rPr>
      </w:r>
      <w:r w:rsidR="00CA5689">
        <w:rPr>
          <w:lang w:eastAsia="en-AU"/>
        </w:rPr>
        <w:fldChar w:fldCharType="separate"/>
      </w:r>
      <w:r w:rsidR="00DC6A20">
        <w:rPr>
          <w:lang w:eastAsia="en-AU"/>
        </w:rPr>
        <w:t>4.1.6</w:t>
      </w:r>
      <w:r w:rsidR="00CA5689">
        <w:rPr>
          <w:lang w:eastAsia="en-AU"/>
        </w:rPr>
        <w:fldChar w:fldCharType="end"/>
      </w:r>
      <w:r w:rsidR="007A19C7">
        <w:rPr>
          <w:lang w:eastAsia="en-AU"/>
        </w:rPr>
        <w:t xml:space="preserve"> showed that the demand for the NACAP is </w:t>
      </w:r>
      <w:r w:rsidR="00537D29">
        <w:rPr>
          <w:lang w:eastAsia="en-AU"/>
        </w:rPr>
        <w:t>expected to grow over the next decade as the population ages and the aged care system expands.</w:t>
      </w:r>
      <w:r w:rsidR="00146C14">
        <w:rPr>
          <w:lang w:eastAsia="en-AU"/>
        </w:rPr>
        <w:t xml:space="preserve"> All else being equal, </w:t>
      </w:r>
      <w:r w:rsidR="00C138D3">
        <w:rPr>
          <w:lang w:eastAsia="en-AU"/>
        </w:rPr>
        <w:t>this means that a significantly higher number of advocates will be required</w:t>
      </w:r>
      <w:r w:rsidR="00E26765">
        <w:rPr>
          <w:lang w:eastAsia="en-AU"/>
        </w:rPr>
        <w:t>.</w:t>
      </w:r>
    </w:p>
    <w:p w14:paraId="2CE95B65" w14:textId="0A15ABB9" w:rsidR="00E26765" w:rsidRDefault="00146C14" w:rsidP="00442D06">
      <w:pPr>
        <w:rPr>
          <w:lang w:eastAsia="en-AU"/>
        </w:rPr>
      </w:pPr>
      <w:r>
        <w:rPr>
          <w:lang w:eastAsia="en-AU"/>
        </w:rPr>
        <w:t xml:space="preserve">Funding to OPAN is increasing to help meet this </w:t>
      </w:r>
      <w:r w:rsidR="00E26765">
        <w:rPr>
          <w:lang w:eastAsia="en-AU"/>
        </w:rPr>
        <w:t xml:space="preserve">anticipated </w:t>
      </w:r>
      <w:r>
        <w:rPr>
          <w:lang w:eastAsia="en-AU"/>
        </w:rPr>
        <w:t>demand</w:t>
      </w:r>
      <w:r w:rsidR="00E26765">
        <w:rPr>
          <w:lang w:eastAsia="en-AU"/>
        </w:rPr>
        <w:t>.</w:t>
      </w:r>
      <w:r>
        <w:rPr>
          <w:lang w:eastAsia="en-AU"/>
        </w:rPr>
        <w:t xml:space="preserve"> </w:t>
      </w:r>
      <w:r w:rsidR="00E26765">
        <w:rPr>
          <w:lang w:eastAsia="en-AU"/>
        </w:rPr>
        <w:t xml:space="preserve">This funding boost will enable more advocates to be recruited and </w:t>
      </w:r>
      <w:r w:rsidR="003117BB">
        <w:rPr>
          <w:lang w:eastAsia="en-AU"/>
        </w:rPr>
        <w:t>for investment in capacity building.</w:t>
      </w:r>
      <w:r w:rsidR="008E08AE">
        <w:rPr>
          <w:lang w:eastAsia="en-AU"/>
        </w:rPr>
        <w:t xml:space="preserve"> </w:t>
      </w:r>
      <w:r w:rsidR="008E08AE">
        <w:rPr>
          <w:lang w:eastAsia="en-AU"/>
        </w:rPr>
        <w:fldChar w:fldCharType="begin"/>
      </w:r>
      <w:r w:rsidR="008E08AE">
        <w:rPr>
          <w:lang w:eastAsia="en-AU"/>
        </w:rPr>
        <w:instrText xml:space="preserve"> REF _Ref94628046 \w \h </w:instrText>
      </w:r>
      <w:r w:rsidR="008E08AE">
        <w:rPr>
          <w:lang w:eastAsia="en-AU"/>
        </w:rPr>
      </w:r>
      <w:r w:rsidR="008E08AE">
        <w:rPr>
          <w:lang w:eastAsia="en-AU"/>
        </w:rPr>
        <w:fldChar w:fldCharType="separate"/>
      </w:r>
      <w:r w:rsidR="00DC6A20">
        <w:rPr>
          <w:lang w:eastAsia="en-AU"/>
        </w:rPr>
        <w:t>Chart 5.1</w:t>
      </w:r>
      <w:r w:rsidR="008E08AE">
        <w:rPr>
          <w:lang w:eastAsia="en-AU"/>
        </w:rPr>
        <w:fldChar w:fldCharType="end"/>
      </w:r>
      <w:r w:rsidR="008E08AE">
        <w:rPr>
          <w:lang w:eastAsia="en-AU"/>
        </w:rPr>
        <w:t xml:space="preserve"> shows the number of </w:t>
      </w:r>
      <w:r w:rsidR="004F0A7C">
        <w:rPr>
          <w:lang w:eastAsia="en-AU"/>
        </w:rPr>
        <w:t xml:space="preserve">full-time equivalent (FTE) </w:t>
      </w:r>
      <w:r w:rsidR="008E08AE">
        <w:rPr>
          <w:lang w:eastAsia="en-AU"/>
        </w:rPr>
        <w:t xml:space="preserve">advocates </w:t>
      </w:r>
      <w:r w:rsidR="004F0A7C">
        <w:rPr>
          <w:lang w:eastAsia="en-AU"/>
        </w:rPr>
        <w:t>operating across the network</w:t>
      </w:r>
      <w:r w:rsidR="00E05400">
        <w:rPr>
          <w:lang w:eastAsia="en-AU"/>
        </w:rPr>
        <w:t xml:space="preserve">, both prior to and following the impending expansion of the NACAP. </w:t>
      </w:r>
      <w:r w:rsidR="00AD540A">
        <w:rPr>
          <w:lang w:eastAsia="en-AU"/>
        </w:rPr>
        <w:t>The total number of advocates nationally prior to expansion was 5</w:t>
      </w:r>
      <w:r w:rsidR="00A303B1">
        <w:rPr>
          <w:lang w:eastAsia="en-AU"/>
        </w:rPr>
        <w:t>6</w:t>
      </w:r>
      <w:r w:rsidR="00AD540A">
        <w:rPr>
          <w:lang w:eastAsia="en-AU"/>
        </w:rPr>
        <w:t xml:space="preserve">, and this will increase to </w:t>
      </w:r>
      <w:r w:rsidR="00A303B1">
        <w:rPr>
          <w:lang w:eastAsia="en-AU"/>
        </w:rPr>
        <w:t>145</w:t>
      </w:r>
      <w:r w:rsidR="00AD540A">
        <w:rPr>
          <w:lang w:eastAsia="en-AU"/>
        </w:rPr>
        <w:t xml:space="preserve"> </w:t>
      </w:r>
      <w:r w:rsidR="00444F95">
        <w:rPr>
          <w:lang w:eastAsia="en-AU"/>
        </w:rPr>
        <w:t xml:space="preserve">following </w:t>
      </w:r>
      <w:proofErr w:type="gramStart"/>
      <w:r w:rsidR="00444F95">
        <w:rPr>
          <w:lang w:eastAsia="en-AU"/>
        </w:rPr>
        <w:t>expansion</w:t>
      </w:r>
      <w:proofErr w:type="gramEnd"/>
      <w:r w:rsidR="00444F95">
        <w:rPr>
          <w:lang w:eastAsia="en-AU"/>
        </w:rPr>
        <w:t>.</w:t>
      </w:r>
    </w:p>
    <w:p w14:paraId="0F399132" w14:textId="3059736D" w:rsidR="00CE2233" w:rsidRDefault="00CE2233" w:rsidP="00AA5418">
      <w:pPr>
        <w:pStyle w:val="CaptionChart"/>
        <w:ind w:left="0"/>
        <w:rPr>
          <w:lang w:eastAsia="en-AU"/>
        </w:rPr>
      </w:pPr>
      <w:bookmarkStart w:id="235" w:name="_Ref94628046"/>
      <w:bookmarkStart w:id="236" w:name="_Toc94776592"/>
      <w:bookmarkStart w:id="237" w:name="_Toc99117056"/>
      <w:r>
        <w:rPr>
          <w:lang w:eastAsia="en-AU"/>
        </w:rPr>
        <w:t xml:space="preserve">: Supply of advocates </w:t>
      </w:r>
      <w:r w:rsidR="001B4FDB">
        <w:rPr>
          <w:lang w:eastAsia="en-AU"/>
        </w:rPr>
        <w:t>prior to expansion and post expansion</w:t>
      </w:r>
      <w:r w:rsidR="00851113">
        <w:rPr>
          <w:lang w:eastAsia="en-AU"/>
        </w:rPr>
        <w:t>, by state</w:t>
      </w:r>
      <w:bookmarkEnd w:id="235"/>
      <w:bookmarkEnd w:id="236"/>
      <w:bookmarkEnd w:id="237"/>
    </w:p>
    <w:p w14:paraId="13E72C6B" w14:textId="67067278" w:rsidR="00CE2233" w:rsidRDefault="00851113" w:rsidP="00442D06">
      <w:pPr>
        <w:rPr>
          <w:lang w:eastAsia="en-AU"/>
        </w:rPr>
      </w:pPr>
      <w:r w:rsidRPr="00851113">
        <w:rPr>
          <w:noProof/>
        </w:rPr>
        <w:drawing>
          <wp:inline distT="0" distB="0" distL="0" distR="0" wp14:anchorId="20DE6C18" wp14:editId="1458C20C">
            <wp:extent cx="3789274" cy="2267249"/>
            <wp:effectExtent l="0" t="0" r="0" b="0"/>
            <wp:docPr id="51" name="Picture 51" descr="Expansion of OPAN has increased the supply of advocates across all Australian states and territories, more than doubling in NSW, VIC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pansion of OPAN has increased the supply of advocates across all Australian states and territories, more than doubling in NSW, VIC and Queensla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03320" cy="2275653"/>
                    </a:xfrm>
                    <a:prstGeom prst="rect">
                      <a:avLst/>
                    </a:prstGeom>
                    <a:noFill/>
                    <a:ln>
                      <a:noFill/>
                    </a:ln>
                  </pic:spPr>
                </pic:pic>
              </a:graphicData>
            </a:graphic>
          </wp:inline>
        </w:drawing>
      </w:r>
    </w:p>
    <w:p w14:paraId="3E29239D" w14:textId="7E6BA333" w:rsidR="001B4FDB" w:rsidRDefault="001B4FDB" w:rsidP="007208DF">
      <w:pPr>
        <w:pStyle w:val="Source"/>
        <w:rPr>
          <w:lang w:eastAsia="en-AU"/>
        </w:rPr>
      </w:pPr>
      <w:r>
        <w:rPr>
          <w:lang w:eastAsia="en-AU"/>
        </w:rPr>
        <w:t>Source: Deloitte Access Economics based on OPAN data.</w:t>
      </w:r>
    </w:p>
    <w:p w14:paraId="1F93DD8B" w14:textId="7A373230" w:rsidR="000744D7" w:rsidRDefault="00354405" w:rsidP="00442D06">
      <w:pPr>
        <w:rPr>
          <w:lang w:eastAsia="en-AU"/>
        </w:rPr>
      </w:pPr>
      <w:r>
        <w:rPr>
          <w:lang w:eastAsia="en-AU"/>
        </w:rPr>
        <w:t xml:space="preserve">The demand analysis suggests that these increases in FTE advocates will be insufficient. As shown in Section </w:t>
      </w:r>
      <w:r>
        <w:rPr>
          <w:lang w:eastAsia="en-AU"/>
        </w:rPr>
        <w:fldChar w:fldCharType="begin"/>
      </w:r>
      <w:r>
        <w:rPr>
          <w:lang w:eastAsia="en-AU"/>
        </w:rPr>
        <w:instrText xml:space="preserve"> REF _Ref94629972 \w \h </w:instrText>
      </w:r>
      <w:r>
        <w:rPr>
          <w:lang w:eastAsia="en-AU"/>
        </w:rPr>
      </w:r>
      <w:r>
        <w:rPr>
          <w:lang w:eastAsia="en-AU"/>
        </w:rPr>
        <w:fldChar w:fldCharType="separate"/>
      </w:r>
      <w:r w:rsidR="00DC6A20">
        <w:rPr>
          <w:lang w:eastAsia="en-AU"/>
        </w:rPr>
        <w:t>4.3</w:t>
      </w:r>
      <w:r>
        <w:rPr>
          <w:lang w:eastAsia="en-AU"/>
        </w:rPr>
        <w:fldChar w:fldCharType="end"/>
      </w:r>
      <w:r>
        <w:rPr>
          <w:lang w:eastAsia="en-AU"/>
        </w:rPr>
        <w:t xml:space="preserve">, </w:t>
      </w:r>
      <w:r w:rsidR="00C34F8B">
        <w:rPr>
          <w:lang w:eastAsia="en-AU"/>
        </w:rPr>
        <w:t xml:space="preserve">demand gaps will remain for both </w:t>
      </w:r>
      <w:r w:rsidR="00354CC6">
        <w:rPr>
          <w:lang w:eastAsia="en-AU"/>
        </w:rPr>
        <w:t xml:space="preserve">advocacy and information services when aggregated across care types. A significant demand gap will exist for advocacy services in residential care, while smaller demand gaps will remain for information services in both residential and community care. </w:t>
      </w:r>
      <w:r w:rsidR="007208DF">
        <w:rPr>
          <w:lang w:eastAsia="en-AU"/>
        </w:rPr>
        <w:t>Analysis</w:t>
      </w:r>
      <w:r w:rsidR="004B4019">
        <w:rPr>
          <w:lang w:eastAsia="en-AU"/>
        </w:rPr>
        <w:t xml:space="preserve"> of the FTEs required to meet the projected demand</w:t>
      </w:r>
      <w:r w:rsidR="00B06852">
        <w:rPr>
          <w:lang w:eastAsia="en-AU"/>
        </w:rPr>
        <w:t xml:space="preserve"> would require</w:t>
      </w:r>
      <w:r w:rsidR="00B30EF5">
        <w:rPr>
          <w:lang w:eastAsia="en-AU"/>
        </w:rPr>
        <w:t xml:space="preserve"> data regarding the total FTE hours per instance of service to establish an average time spent per advocacy and information case.</w:t>
      </w:r>
      <w:r w:rsidR="000744D7">
        <w:rPr>
          <w:lang w:eastAsia="en-AU"/>
        </w:rPr>
        <w:t xml:space="preserve"> While advocacy hours were available in the unit record data provided by OPAN, t</w:t>
      </w:r>
      <w:r w:rsidR="00AD6022">
        <w:rPr>
          <w:lang w:eastAsia="en-AU"/>
        </w:rPr>
        <w:t xml:space="preserve">his measure did not represent FTE hours. As such, this </w:t>
      </w:r>
      <w:r w:rsidR="00A06766">
        <w:rPr>
          <w:lang w:eastAsia="en-AU"/>
        </w:rPr>
        <w:t>FTE</w:t>
      </w:r>
      <w:r w:rsidR="00AD6022">
        <w:rPr>
          <w:lang w:eastAsia="en-AU"/>
        </w:rPr>
        <w:t xml:space="preserve"> analysis was not possible.</w:t>
      </w:r>
    </w:p>
    <w:p w14:paraId="3E6AE66E" w14:textId="0B4635A4" w:rsidR="003936A5" w:rsidRPr="00442D06" w:rsidRDefault="00AD6022" w:rsidP="00442D06">
      <w:pPr>
        <w:rPr>
          <w:lang w:eastAsia="en-AU"/>
        </w:rPr>
      </w:pPr>
      <w:r>
        <w:rPr>
          <w:lang w:eastAsia="en-AU"/>
        </w:rPr>
        <w:t xml:space="preserve">The </w:t>
      </w:r>
      <w:r w:rsidR="004465B6">
        <w:rPr>
          <w:lang w:eastAsia="en-AU"/>
        </w:rPr>
        <w:t>N</w:t>
      </w:r>
      <w:r>
        <w:rPr>
          <w:lang w:eastAsia="en-AU"/>
        </w:rPr>
        <w:t xml:space="preserve">MDS being implemented by OPAN may be suitable for more detailed supply analysis in the future. The </w:t>
      </w:r>
      <w:r w:rsidR="004465B6">
        <w:rPr>
          <w:lang w:eastAsia="en-AU"/>
        </w:rPr>
        <w:t>N</w:t>
      </w:r>
      <w:r>
        <w:rPr>
          <w:lang w:eastAsia="en-AU"/>
        </w:rPr>
        <w:t xml:space="preserve">MDS will include a variable for staff time spent, measured as the amount of time an advocate or other staff member spends working on </w:t>
      </w:r>
      <w:r w:rsidR="00E9399B">
        <w:rPr>
          <w:lang w:eastAsia="en-AU"/>
        </w:rPr>
        <w:t>information provision, an advocacy case, or an education session. Th</w:t>
      </w:r>
      <w:r w:rsidR="000A7A0A">
        <w:rPr>
          <w:lang w:eastAsia="en-AU"/>
        </w:rPr>
        <w:t xml:space="preserve">e NMDS Data Dictionary has marked this </w:t>
      </w:r>
      <w:r w:rsidR="00E9399B">
        <w:rPr>
          <w:lang w:eastAsia="en-AU"/>
        </w:rPr>
        <w:t>as being an optional data item for all case types. For future analysis, it is important that this variable is consistently recorded, and the hours represent FTEs – that is, inclusive of all time spent on the case, both direct</w:t>
      </w:r>
      <w:r w:rsidR="00FF745C">
        <w:rPr>
          <w:lang w:eastAsia="en-AU"/>
        </w:rPr>
        <w:t>ly</w:t>
      </w:r>
      <w:r w:rsidR="00E9399B">
        <w:rPr>
          <w:lang w:eastAsia="en-AU"/>
        </w:rPr>
        <w:t xml:space="preserve"> and indirect</w:t>
      </w:r>
      <w:r w:rsidR="00FF745C">
        <w:rPr>
          <w:lang w:eastAsia="en-AU"/>
        </w:rPr>
        <w:t>ly</w:t>
      </w:r>
      <w:r w:rsidR="00E9399B">
        <w:rPr>
          <w:lang w:eastAsia="en-AU"/>
        </w:rPr>
        <w:t>.</w:t>
      </w:r>
    </w:p>
    <w:p w14:paraId="5F5CD418" w14:textId="189F6BAB" w:rsidR="009D5109" w:rsidRPr="006810C4" w:rsidRDefault="009D5109" w:rsidP="009D5109">
      <w:pPr>
        <w:rPr>
          <w:highlight w:val="cyan"/>
        </w:rPr>
      </w:pPr>
      <w:r>
        <w:rPr>
          <w:lang w:val="en-GB"/>
        </w:rPr>
        <w:t>The consultation process with OPAN SDOs and a wide range of other stakeholders operating in, or interacting with, aged care advocacy revealed several current challenges relating to supply of advocacy. Some of these challenges are common across each SDO, while others arise due to unique operating conditions in specific parts of the network.</w:t>
      </w:r>
    </w:p>
    <w:p w14:paraId="074198BB" w14:textId="77777777" w:rsidR="009D5109" w:rsidRDefault="009D5109" w:rsidP="009D5109">
      <w:r w:rsidRPr="006810C4">
        <w:t xml:space="preserve">Stakeholder consultations revealed key supply factors affecting the </w:t>
      </w:r>
      <w:r>
        <w:t>usage</w:t>
      </w:r>
      <w:r w:rsidRPr="006810C4">
        <w:t xml:space="preserve"> of NACAP services </w:t>
      </w:r>
      <w:r>
        <w:t>are:</w:t>
      </w:r>
    </w:p>
    <w:p w14:paraId="7A8CE2A5" w14:textId="77777777" w:rsidR="009D5109" w:rsidRDefault="009D5109" w:rsidP="006B611A">
      <w:pPr>
        <w:pStyle w:val="ListBullet"/>
      </w:pPr>
      <w:r>
        <w:t>Recruitment and Retention of advocates</w:t>
      </w:r>
    </w:p>
    <w:p w14:paraId="09DFD44C" w14:textId="77777777" w:rsidR="009D5109" w:rsidRDefault="009D5109" w:rsidP="006B611A">
      <w:pPr>
        <w:pStyle w:val="ListBullet"/>
      </w:pPr>
      <w:r>
        <w:t>Cultural, language, behavioural, and personal care needs</w:t>
      </w:r>
    </w:p>
    <w:p w14:paraId="6AE020ED" w14:textId="77777777" w:rsidR="009D5109" w:rsidRDefault="009D5109" w:rsidP="006B611A">
      <w:pPr>
        <w:pStyle w:val="ListBullet"/>
        <w:spacing w:after="170"/>
      </w:pPr>
      <w:r>
        <w:t>Providing services to regional and remote areas</w:t>
      </w:r>
    </w:p>
    <w:p w14:paraId="4A0EF019" w14:textId="77777777" w:rsidR="009D5109" w:rsidRDefault="009D5109" w:rsidP="0038083D">
      <w:pPr>
        <w:pStyle w:val="Heading3"/>
        <w:ind w:left="993" w:hanging="993"/>
      </w:pPr>
      <w:bookmarkStart w:id="238" w:name="_Toc94771859"/>
      <w:bookmarkStart w:id="239" w:name="_Toc99437539"/>
      <w:r>
        <w:t>Recruitment and retention of advocates</w:t>
      </w:r>
      <w:bookmarkEnd w:id="238"/>
      <w:bookmarkEnd w:id="239"/>
    </w:p>
    <w:p w14:paraId="3A1DDB34" w14:textId="77777777" w:rsidR="009D5109" w:rsidRDefault="009D5109" w:rsidP="009D5109">
      <w:r>
        <w:t>As highlighted in the 2018 Aged Care Workforce Strategy Taskforce, the aged care sector faced challenges in recruiting and retaining workers in general.</w:t>
      </w:r>
      <w:r>
        <w:rPr>
          <w:rStyle w:val="EndnoteReference"/>
        </w:rPr>
        <w:endnoteReference w:id="38"/>
      </w:r>
      <w:r>
        <w:t xml:space="preserve"> From our consultations, key stakeholders highlighted the recruitment and retention of advocates can be challenging for SDOs. </w:t>
      </w:r>
      <w:r w:rsidRPr="002F1242">
        <w:t xml:space="preserve">This reflects the challenging nature of the job and the challenges of </w:t>
      </w:r>
      <w:r>
        <w:t xml:space="preserve">adequately preparing </w:t>
      </w:r>
      <w:r w:rsidRPr="002F1242">
        <w:t xml:space="preserve">an advocate for the </w:t>
      </w:r>
      <w:r>
        <w:t>many complicated</w:t>
      </w:r>
      <w:r w:rsidRPr="002F1242">
        <w:t xml:space="preserve"> scenarios that arise in the role. Lack of organised professional development and opportunity for </w:t>
      </w:r>
      <w:r>
        <w:t>career progression</w:t>
      </w:r>
      <w:r w:rsidRPr="002F1242">
        <w:t xml:space="preserve"> frequently results in </w:t>
      </w:r>
      <w:r>
        <w:t>high</w:t>
      </w:r>
      <w:r w:rsidRPr="002F1242">
        <w:t xml:space="preserve"> turnover of advocates, which poses a barrier to service delivery </w:t>
      </w:r>
      <w:r>
        <w:t>as</w:t>
      </w:r>
      <w:r w:rsidRPr="002F1242">
        <w:t xml:space="preserve"> trust, rapport, and understanding of local </w:t>
      </w:r>
      <w:r>
        <w:t>nuances</w:t>
      </w:r>
      <w:r w:rsidRPr="002F1242">
        <w:t xml:space="preserve"> are crucial, especially with special needs populations. While some of these issues may endure, </w:t>
      </w:r>
      <w:r w:rsidRPr="00D720E1">
        <w:t>the expansion of NACAP</w:t>
      </w:r>
      <w:r w:rsidRPr="002F1242">
        <w:t xml:space="preserve"> will </w:t>
      </w:r>
      <w:r w:rsidRPr="00D720E1">
        <w:t>help with the doubling of</w:t>
      </w:r>
      <w:r w:rsidRPr="002F1242">
        <w:t xml:space="preserve"> the advocacy </w:t>
      </w:r>
      <w:r w:rsidRPr="00D720E1">
        <w:t>workforce</w:t>
      </w:r>
      <w:r w:rsidRPr="002F1242">
        <w:t>.</w:t>
      </w:r>
    </w:p>
    <w:p w14:paraId="266F37DA" w14:textId="77777777" w:rsidR="009D5109" w:rsidRDefault="009D5109" w:rsidP="0038083D">
      <w:pPr>
        <w:pStyle w:val="Heading3"/>
        <w:ind w:left="993" w:hanging="993"/>
      </w:pPr>
      <w:bookmarkStart w:id="240" w:name="_Toc94771860"/>
      <w:bookmarkStart w:id="241" w:name="_Toc99437540"/>
      <w:r>
        <w:t>Cultural, language, behavioural, and personal care needs</w:t>
      </w:r>
      <w:bookmarkEnd w:id="240"/>
      <w:bookmarkEnd w:id="241"/>
    </w:p>
    <w:p w14:paraId="0CFAF9B0" w14:textId="2AF5E0B5" w:rsidR="009D5109" w:rsidRDefault="009D5109" w:rsidP="009D5109">
      <w:r>
        <w:t>The</w:t>
      </w:r>
      <w:r w:rsidRPr="0027415C">
        <w:t xml:space="preserve"> cultural, </w:t>
      </w:r>
      <w:r>
        <w:t>language</w:t>
      </w:r>
      <w:r w:rsidRPr="0027415C">
        <w:t xml:space="preserve">, behavioural, and personal care </w:t>
      </w:r>
      <w:r>
        <w:t xml:space="preserve">needs of some special needs’ groups </w:t>
      </w:r>
      <w:r w:rsidRPr="0027415C">
        <w:t xml:space="preserve">can </w:t>
      </w:r>
      <w:r>
        <w:t xml:space="preserve">pose challenges for </w:t>
      </w:r>
      <w:r w:rsidRPr="0027415C">
        <w:t>service delivery</w:t>
      </w:r>
      <w:r>
        <w:t>.</w:t>
      </w:r>
      <w:r w:rsidRPr="0027415C">
        <w:t xml:space="preserve"> Advocates who can communicate in languages other than English are in high demand in locations where a large percentage of the population speaks language other than English as their </w:t>
      </w:r>
      <w:r>
        <w:t>primary</w:t>
      </w:r>
      <w:r w:rsidRPr="0027415C">
        <w:t xml:space="preserve"> language. This includes culturally appropriate advocacy for CALDs and Aboriginal and Torres Strait Islander peoples, as well as person-centred advocacy for care leavers, veterans, and people with mental illnesses. As the NACAP grows, it may become necessary to accommodate the recruitment of </w:t>
      </w:r>
      <w:r w:rsidR="009C6A04" w:rsidRPr="0027415C">
        <w:t>advocates</w:t>
      </w:r>
      <w:r w:rsidRPr="0027415C">
        <w:t xml:space="preserve"> who can guarantee that various groups have fair access to safe, rights-based care.</w:t>
      </w:r>
    </w:p>
    <w:p w14:paraId="13499168" w14:textId="77777777" w:rsidR="009D5109" w:rsidRDefault="009D5109" w:rsidP="0038083D">
      <w:pPr>
        <w:pStyle w:val="Heading3"/>
        <w:ind w:left="993" w:hanging="993"/>
      </w:pPr>
      <w:bookmarkStart w:id="242" w:name="_Toc94771861"/>
      <w:bookmarkStart w:id="243" w:name="_Toc99437541"/>
      <w:r>
        <w:t>Regional and remote areas</w:t>
      </w:r>
      <w:bookmarkEnd w:id="242"/>
      <w:bookmarkEnd w:id="243"/>
    </w:p>
    <w:p w14:paraId="085C0CAA" w14:textId="3B868A69" w:rsidR="009D5109" w:rsidRDefault="009D5109" w:rsidP="009D5109">
      <w:r w:rsidRPr="00A43A3B">
        <w:t xml:space="preserve">With current resource and </w:t>
      </w:r>
      <w:r>
        <w:t>funding</w:t>
      </w:r>
      <w:r w:rsidRPr="00A43A3B">
        <w:t xml:space="preserve"> restrictions, reaching out to regional and </w:t>
      </w:r>
      <w:r>
        <w:t>remote</w:t>
      </w:r>
      <w:r w:rsidRPr="00A43A3B">
        <w:t xml:space="preserve"> locations to provide services has proven difficult. Travel times to reach these </w:t>
      </w:r>
      <w:r>
        <w:t>communities</w:t>
      </w:r>
      <w:r w:rsidRPr="00A43A3B">
        <w:t xml:space="preserve"> can be long, putting a </w:t>
      </w:r>
      <w:r>
        <w:t xml:space="preserve">significant </w:t>
      </w:r>
      <w:r w:rsidRPr="00A43A3B">
        <w:t xml:space="preserve">burden on already </w:t>
      </w:r>
      <w:r>
        <w:t xml:space="preserve">limited resources for </w:t>
      </w:r>
      <w:r w:rsidRPr="00A43A3B">
        <w:t xml:space="preserve">outreach and service delivery. Several SDOs stated that their presence in these areas is critical, but that their present financing only allows for two </w:t>
      </w:r>
      <w:r>
        <w:t>visits</w:t>
      </w:r>
      <w:r w:rsidRPr="00A43A3B">
        <w:t xml:space="preserve"> per year.</w:t>
      </w:r>
    </w:p>
    <w:p w14:paraId="4E5E8CFB" w14:textId="77777777" w:rsidR="009D5109" w:rsidRDefault="009D5109" w:rsidP="009D5109">
      <w:r>
        <w:t xml:space="preserve">The relative paucity of other services (e.g., health, aged care, disability) in these areas also has implications for the role of an advocate. In many </w:t>
      </w:r>
      <w:r w:rsidRPr="000A0EEB">
        <w:t>circumstances</w:t>
      </w:r>
      <w:r>
        <w:t xml:space="preserve">, the </w:t>
      </w:r>
      <w:r w:rsidRPr="000A0EEB">
        <w:t>advocate's duty might expand to include</w:t>
      </w:r>
      <w:r>
        <w:t xml:space="preserve"> broader case management, </w:t>
      </w:r>
      <w:r w:rsidRPr="000A0EEB">
        <w:t>in which</w:t>
      </w:r>
      <w:r>
        <w:t xml:space="preserve"> the advocate </w:t>
      </w:r>
      <w:proofErr w:type="gramStart"/>
      <w:r w:rsidRPr="000A0EEB">
        <w:t>is in charge of</w:t>
      </w:r>
      <w:proofErr w:type="gramEnd"/>
      <w:r w:rsidRPr="000A0EEB">
        <w:t xml:space="preserve"> </w:t>
      </w:r>
      <w:r>
        <w:t xml:space="preserve">accessing the </w:t>
      </w:r>
      <w:r w:rsidRPr="000A0EEB">
        <w:t>various</w:t>
      </w:r>
      <w:r>
        <w:t xml:space="preserve"> services </w:t>
      </w:r>
      <w:r w:rsidRPr="000A0EEB">
        <w:t xml:space="preserve">that </w:t>
      </w:r>
      <w:r>
        <w:t xml:space="preserve">the </w:t>
      </w:r>
      <w:r w:rsidRPr="000A0EEB">
        <w:t>elderly</w:t>
      </w:r>
      <w:r>
        <w:t xml:space="preserve"> person requires. </w:t>
      </w:r>
      <w:r w:rsidRPr="000A0EEB">
        <w:t xml:space="preserve">Consumer choice is also limited due to a </w:t>
      </w:r>
      <w:r>
        <w:t>lack of available services</w:t>
      </w:r>
      <w:r w:rsidRPr="000A0EEB">
        <w:t>.</w:t>
      </w:r>
      <w:r>
        <w:t xml:space="preserve"> In some cases, this will lead to a higher number of complaints as there are no alternatives to seek out. However, other consumers may be more hesitant to complain as they risk retribution from the community’s only service provider.</w:t>
      </w:r>
    </w:p>
    <w:p w14:paraId="1C534E01" w14:textId="3A1A23F1" w:rsidR="009D5109" w:rsidRDefault="009D5109" w:rsidP="009D5109">
      <w:r>
        <w:t>The challenges</w:t>
      </w:r>
      <w:r w:rsidR="00EE5187">
        <w:t xml:space="preserve"> with recruitment and </w:t>
      </w:r>
      <w:r w:rsidR="00574C37">
        <w:t xml:space="preserve">addressing special needs </w:t>
      </w:r>
      <w:r>
        <w:t xml:space="preserve">are further magnified in regional and remote areas. Recruitment and retention of advocates can also be challenging in regional and remote areas. Many SDOs highlighted the isolation that can be felt when operating as an advocate in remote communities. This lack of support, combined with the fact that they often </w:t>
      </w:r>
      <w:proofErr w:type="gramStart"/>
      <w:r>
        <w:t>have to</w:t>
      </w:r>
      <w:proofErr w:type="gramEnd"/>
      <w:r>
        <w:t xml:space="preserve"> shoulder greater responsibility, adds significant pressure to the role </w:t>
      </w:r>
      <w:r w:rsidR="00066071">
        <w:t xml:space="preserve">of the advocate </w:t>
      </w:r>
      <w:r>
        <w:t>that may not be experienced in better-connected areas.</w:t>
      </w:r>
    </w:p>
    <w:p w14:paraId="47FA3B18" w14:textId="308DAAAD" w:rsidR="009F7F33" w:rsidRPr="008F1394" w:rsidRDefault="00FB4936" w:rsidP="009F7F33">
      <w:pPr>
        <w:pStyle w:val="Heading2"/>
        <w:rPr>
          <w:lang w:eastAsia="en-AU"/>
        </w:rPr>
      </w:pPr>
      <w:bookmarkStart w:id="244" w:name="_Toc94771862"/>
      <w:bookmarkStart w:id="245" w:name="_Ref95247339"/>
      <w:bookmarkStart w:id="246" w:name="_Toc99437542"/>
      <w:r>
        <w:rPr>
          <w:lang w:eastAsia="en-AU"/>
        </w:rPr>
        <w:t>Service design</w:t>
      </w:r>
      <w:r w:rsidR="00AB387D">
        <w:rPr>
          <w:lang w:eastAsia="en-AU"/>
        </w:rPr>
        <w:t>, monitoring and evaluation</w:t>
      </w:r>
      <w:bookmarkEnd w:id="244"/>
      <w:bookmarkEnd w:id="245"/>
      <w:bookmarkEnd w:id="246"/>
    </w:p>
    <w:p w14:paraId="677ADB7F" w14:textId="491C44C4" w:rsidR="004F6847" w:rsidRPr="00F466DC" w:rsidRDefault="00B33430" w:rsidP="004F6847">
      <w:r>
        <w:rPr>
          <w:lang w:eastAsia="en-AU"/>
        </w:rPr>
        <w:t xml:space="preserve">As </w:t>
      </w:r>
      <w:r w:rsidR="00F00C6A">
        <w:rPr>
          <w:lang w:eastAsia="en-AU"/>
        </w:rPr>
        <w:t xml:space="preserve">NACAP </w:t>
      </w:r>
      <w:r>
        <w:rPr>
          <w:lang w:eastAsia="en-AU"/>
        </w:rPr>
        <w:t xml:space="preserve">expands it is also important to evolve service design </w:t>
      </w:r>
      <w:r w:rsidR="004F6847">
        <w:rPr>
          <w:lang w:eastAsia="en-AU"/>
        </w:rPr>
        <w:t>to better meet</w:t>
      </w:r>
      <w:r w:rsidR="00FC2006">
        <w:rPr>
          <w:lang w:eastAsia="en-AU"/>
        </w:rPr>
        <w:t xml:space="preserve"> the </w:t>
      </w:r>
      <w:r w:rsidR="004F6847">
        <w:rPr>
          <w:lang w:eastAsia="en-AU"/>
        </w:rPr>
        <w:t>access and advocacy needs of its target</w:t>
      </w:r>
      <w:r w:rsidR="00F00C6A">
        <w:rPr>
          <w:lang w:eastAsia="en-AU"/>
        </w:rPr>
        <w:t xml:space="preserve"> population</w:t>
      </w:r>
      <w:r w:rsidR="004F6847">
        <w:rPr>
          <w:lang w:eastAsia="en-AU"/>
        </w:rPr>
        <w:t xml:space="preserve">. </w:t>
      </w:r>
      <w:r w:rsidR="004F6847" w:rsidRPr="00F14C6A">
        <w:t>Stakeholders</w:t>
      </w:r>
      <w:r w:rsidR="00F00C6A" w:rsidRPr="00F14C6A">
        <w:t xml:space="preserve"> </w:t>
      </w:r>
      <w:r w:rsidR="00F00C6A">
        <w:t xml:space="preserve">in </w:t>
      </w:r>
      <w:r w:rsidR="004F6847">
        <w:t xml:space="preserve">consultations </w:t>
      </w:r>
      <w:r w:rsidR="004F6847" w:rsidRPr="00F14C6A">
        <w:t xml:space="preserve">noted </w:t>
      </w:r>
      <w:proofErr w:type="gramStart"/>
      <w:r w:rsidR="004F6847" w:rsidRPr="00F14C6A">
        <w:t>a number of</w:t>
      </w:r>
      <w:proofErr w:type="gramEnd"/>
      <w:r w:rsidR="004F6847" w:rsidRPr="00F14C6A">
        <w:t xml:space="preserve"> constraints in the current program design. </w:t>
      </w:r>
      <w:r w:rsidR="004F6847">
        <w:t>For example, s</w:t>
      </w:r>
      <w:r w:rsidR="004F6847" w:rsidRPr="00F14C6A">
        <w:t xml:space="preserve">takeholders highlighted the need for greater levels of proactive advocacy, however, noted that this was likely limited within the existing NACAP due to capacity constraints of the SDOs. Some SDOs and stakeholders also identified that capacity limitations impacted their ability to build local connections with regional, </w:t>
      </w:r>
      <w:proofErr w:type="gramStart"/>
      <w:r w:rsidR="00F00C6A" w:rsidRPr="00F14C6A">
        <w:t>rural</w:t>
      </w:r>
      <w:proofErr w:type="gramEnd"/>
      <w:r w:rsidR="00F00C6A" w:rsidRPr="00F14C6A">
        <w:t xml:space="preserve"> and remote </w:t>
      </w:r>
      <w:r w:rsidR="004F6847" w:rsidRPr="00F14C6A">
        <w:t>communities, with advocates only travelling to communities twice per year which impacted the ability to build trust. Lastly a small number of stakeholders highlighted that SDOs predominantly focussed on providing information and advocacy to individuals, rather than advocating at a group level (i</w:t>
      </w:r>
      <w:r w:rsidR="004F6847">
        <w:t>.</w:t>
      </w:r>
      <w:r w:rsidR="004F6847" w:rsidRPr="00F14C6A">
        <w:t>e</w:t>
      </w:r>
      <w:r w:rsidR="004F6847">
        <w:t>.,</w:t>
      </w:r>
      <w:r w:rsidR="004F6847" w:rsidRPr="00F14C6A">
        <w:t xml:space="preserve"> residential aged care facility level), potentially only solving point issues. It was noted that some group advocacy was being undertaken during COVID-19 lockdowns, highlighting an ongoing potential area of demand.</w:t>
      </w:r>
    </w:p>
    <w:p w14:paraId="4A413BAB" w14:textId="5C86EA45" w:rsidR="00F00C6A" w:rsidRDefault="008C1CC0" w:rsidP="00D0241C">
      <w:r>
        <w:rPr>
          <w:lang w:eastAsia="en-AU"/>
        </w:rPr>
        <w:t>Ongoing and strengthened m</w:t>
      </w:r>
      <w:r w:rsidR="002F62F4">
        <w:rPr>
          <w:lang w:eastAsia="en-AU"/>
        </w:rPr>
        <w:t>onitoring and evaluation will be key to ensuring that NACAP continues to meet the needs of target populations through its activities.</w:t>
      </w:r>
      <w:r w:rsidR="00F00C6A">
        <w:rPr>
          <w:lang w:eastAsia="en-AU"/>
        </w:rPr>
        <w:t xml:space="preserve"> </w:t>
      </w:r>
      <w:r w:rsidR="00D0241C">
        <w:t>The NACAP program logic</w:t>
      </w:r>
      <w:r w:rsidR="00310E4E">
        <w:t xml:space="preserve"> (see </w:t>
      </w:r>
      <w:r w:rsidR="00BA0C12">
        <w:rPr>
          <w:color w:val="FF0000"/>
        </w:rPr>
        <w:fldChar w:fldCharType="begin"/>
      </w:r>
      <w:r w:rsidR="00BA0C12">
        <w:instrText xml:space="preserve"> REF _Ref88559937 \n \h </w:instrText>
      </w:r>
      <w:r w:rsidR="00BA0C12">
        <w:rPr>
          <w:color w:val="FF0000"/>
        </w:rPr>
      </w:r>
      <w:r w:rsidR="00BA0C12">
        <w:rPr>
          <w:color w:val="FF0000"/>
        </w:rPr>
        <w:fldChar w:fldCharType="separate"/>
      </w:r>
      <w:r w:rsidR="00DC6A20">
        <w:t>Figure 5.1</w:t>
      </w:r>
      <w:r w:rsidR="00BA0C12">
        <w:rPr>
          <w:color w:val="FF0000"/>
        </w:rPr>
        <w:fldChar w:fldCharType="end"/>
      </w:r>
      <w:r w:rsidR="00310E4E">
        <w:t>)</w:t>
      </w:r>
      <w:r w:rsidR="00D0241C">
        <w:t xml:space="preserve"> outlines how OPAN can monitor and evaluate the NACAP as it expands in the coming </w:t>
      </w:r>
      <w:r w:rsidR="00A97721">
        <w:t>years and</w:t>
      </w:r>
      <w:r w:rsidR="00D0241C">
        <w:t xml:space="preserve"> provides a foundational understanding of the program from objectives to key inputs and activities, to the measurable outputs </w:t>
      </w:r>
      <w:r w:rsidR="003A11DE">
        <w:t>/ indicators</w:t>
      </w:r>
      <w:r w:rsidR="00D0241C">
        <w:t xml:space="preserve"> and long-term outcomes.</w:t>
      </w:r>
    </w:p>
    <w:p w14:paraId="41E690A2" w14:textId="2D7C2107" w:rsidR="002F2779" w:rsidRDefault="00BA0C12" w:rsidP="002F2779">
      <w:r>
        <w:t>The</w:t>
      </w:r>
      <w:r w:rsidR="00D0241C">
        <w:t xml:space="preserve"> NACAP program logic include</w:t>
      </w:r>
      <w:r>
        <w:t>s the</w:t>
      </w:r>
      <w:r w:rsidR="00D0241C">
        <w:t xml:space="preserve"> additional activities under the expanded NACAP and reflect</w:t>
      </w:r>
      <w:r>
        <w:t>s the current</w:t>
      </w:r>
      <w:r w:rsidR="00D0241C">
        <w:t xml:space="preserve"> understanding of the services, its aims and target outcomes. The program logic was developed collaboratively with the Department of Health, OPAN and other key stakeholders, using information from the expanded NACAP framework, feedback from the stakeholders during the methodology </w:t>
      </w:r>
      <w:r w:rsidR="005A33A2">
        <w:t>workshop</w:t>
      </w:r>
      <w:r w:rsidR="00D0241C">
        <w:t>, and the existing program logic framework provided by OPAN.</w:t>
      </w:r>
    </w:p>
    <w:p w14:paraId="454767B3" w14:textId="77777777" w:rsidR="002F2779" w:rsidRDefault="002F2779" w:rsidP="002F2779">
      <w:pPr>
        <w:sectPr w:rsidR="002F2779" w:rsidSect="00EB441B">
          <w:footerReference w:type="default" r:id="rId60"/>
          <w:pgSz w:w="11907" w:h="16840" w:code="9"/>
          <w:pgMar w:top="1440" w:right="1440" w:bottom="1440" w:left="1440" w:header="680" w:footer="425" w:gutter="0"/>
          <w:cols w:space="284"/>
          <w:noEndnote/>
          <w:docGrid w:linePitch="360"/>
        </w:sectPr>
      </w:pPr>
    </w:p>
    <w:p w14:paraId="5F62177D" w14:textId="77777777" w:rsidR="002F2779" w:rsidRDefault="002F2779" w:rsidP="002F2779">
      <w:pPr>
        <w:pStyle w:val="CaptionFigure"/>
      </w:pPr>
      <w:bookmarkStart w:id="247" w:name="_Ref88559937"/>
      <w:bookmarkStart w:id="248" w:name="_Toc94771906"/>
      <w:bookmarkStart w:id="249" w:name="_Toc99117028"/>
      <w:r>
        <w:t>: Program logic model for NACAP advocacy services</w:t>
      </w:r>
      <w:bookmarkEnd w:id="247"/>
      <w:bookmarkEnd w:id="248"/>
      <w:bookmarkEnd w:id="249"/>
    </w:p>
    <w:p w14:paraId="512C11F7" w14:textId="77777777" w:rsidR="002F2779" w:rsidRDefault="002F2779" w:rsidP="002F2779">
      <w:pPr>
        <w:rPr>
          <w:bCs/>
          <w:color w:val="75787B" w:themeColor="accent6"/>
          <w:sz w:val="17"/>
          <w:szCs w:val="22"/>
        </w:rPr>
      </w:pPr>
      <w:r>
        <w:rPr>
          <w:noProof/>
        </w:rPr>
        <w:drawing>
          <wp:inline distT="0" distB="0" distL="0" distR="0" wp14:anchorId="593991EC" wp14:editId="6308DE66">
            <wp:extent cx="8889558" cy="4784696"/>
            <wp:effectExtent l="0" t="0" r="6985" b="0"/>
            <wp:docPr id="33" name="Picture 33" descr="Program logic model for the advocacy services considers inputs, activities and outputs to develop bett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ogram logic model for the advocacy services considers inputs, activities and outputs to develop better outcom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30094" cy="4806514"/>
                    </a:xfrm>
                    <a:prstGeom prst="rect">
                      <a:avLst/>
                    </a:prstGeom>
                    <a:noFill/>
                  </pic:spPr>
                </pic:pic>
              </a:graphicData>
            </a:graphic>
          </wp:inline>
        </w:drawing>
      </w:r>
    </w:p>
    <w:p w14:paraId="22BA1EBA" w14:textId="76DBDD99" w:rsidR="002F2779" w:rsidRPr="00761928" w:rsidRDefault="002F2779" w:rsidP="002F2779">
      <w:pPr>
        <w:rPr>
          <w:color w:val="75787B" w:themeColor="accent6"/>
          <w:szCs w:val="22"/>
        </w:rPr>
        <w:sectPr w:rsidR="002F2779" w:rsidRPr="00761928" w:rsidSect="00C84B5E">
          <w:pgSz w:w="16840" w:h="11907" w:code="9"/>
          <w:pgMar w:top="1440" w:right="1440" w:bottom="1440" w:left="1440" w:header="680" w:footer="425" w:gutter="0"/>
          <w:cols w:space="284"/>
          <w:noEndnote/>
          <w:docGrid w:linePitch="360"/>
        </w:sectPr>
      </w:pPr>
      <w:r w:rsidRPr="008B6506">
        <w:rPr>
          <w:color w:val="595959" w:themeColor="text1" w:themeTint="A6"/>
          <w:szCs w:val="22"/>
        </w:rPr>
        <w:t>Source: Deloitte Access Economics, with feedback from Department of Health</w:t>
      </w:r>
      <w:r w:rsidR="007208DF" w:rsidRPr="008B6506">
        <w:rPr>
          <w:color w:val="595959" w:themeColor="text1" w:themeTint="A6"/>
          <w:szCs w:val="22"/>
        </w:rPr>
        <w:t>, NACAP demand modelling Project Governance Group</w:t>
      </w:r>
      <w:r w:rsidRPr="008B6506">
        <w:rPr>
          <w:color w:val="595959" w:themeColor="text1" w:themeTint="A6"/>
          <w:szCs w:val="22"/>
        </w:rPr>
        <w:t xml:space="preserve"> and OPAN</w:t>
      </w:r>
    </w:p>
    <w:p w14:paraId="182505D2" w14:textId="77777777" w:rsidR="005C3DD4" w:rsidRPr="00B346EF" w:rsidRDefault="005C3DD4" w:rsidP="005C3DD4">
      <w:pPr>
        <w:pStyle w:val="Heading1"/>
      </w:pPr>
      <w:bookmarkStart w:id="250" w:name="_Toc94771843"/>
      <w:bookmarkStart w:id="251" w:name="_Toc99437543"/>
      <w:bookmarkStart w:id="252" w:name="_Ref94636994"/>
      <w:bookmarkStart w:id="253" w:name="_Toc94771863"/>
      <w:r>
        <w:t xml:space="preserve">Learnings from other advocacy programs </w:t>
      </w:r>
      <w:r w:rsidRPr="00B346EF">
        <w:t xml:space="preserve">and </w:t>
      </w:r>
      <w:r>
        <w:t>jurisdictions</w:t>
      </w:r>
      <w:bookmarkEnd w:id="250"/>
      <w:bookmarkEnd w:id="251"/>
    </w:p>
    <w:p w14:paraId="5F5CF92B" w14:textId="17DB9CA0" w:rsidR="005C3DD4" w:rsidRDefault="005C3DD4" w:rsidP="005C3DD4">
      <w:pPr>
        <w:rPr>
          <w:lang w:eastAsia="en-AU"/>
        </w:rPr>
      </w:pPr>
      <w:r>
        <w:rPr>
          <w:lang w:eastAsia="en-AU"/>
        </w:rPr>
        <w:t>This section provides an overview of advocacy programs in other sectors and jurisdictions as well as comparing them to NACAP. A review of other advocacy programs can provide comparisons that might be helpful for informing the design and implementation of NACAP.</w:t>
      </w:r>
    </w:p>
    <w:p w14:paraId="156C2AAF" w14:textId="5F147360" w:rsidR="00A405F1" w:rsidRDefault="005C3DD4" w:rsidP="005C3DD4">
      <w:pPr>
        <w:rPr>
          <w:lang w:eastAsia="en-AU"/>
        </w:rPr>
      </w:pPr>
      <w:r>
        <w:rPr>
          <w:lang w:eastAsia="en-AU"/>
        </w:rPr>
        <w:t xml:space="preserve">In this section, NACAP was compared to the National Disability Advocacy Program (NDAP), mental health advocacy organisations, veteran advocacy organisations and several international jurisdictions, namely United Kingdom, New </w:t>
      </w:r>
      <w:proofErr w:type="gramStart"/>
      <w:r>
        <w:rPr>
          <w:lang w:eastAsia="en-AU"/>
        </w:rPr>
        <w:t>Zealand</w:t>
      </w:r>
      <w:proofErr w:type="gramEnd"/>
      <w:r>
        <w:rPr>
          <w:lang w:eastAsia="en-AU"/>
        </w:rPr>
        <w:t xml:space="preserve"> and Canada.</w:t>
      </w:r>
    </w:p>
    <w:p w14:paraId="44861DEB" w14:textId="2E9B0E21" w:rsidR="00A405F1" w:rsidRDefault="005C3DD4" w:rsidP="005C3DD4">
      <w:r>
        <w:rPr>
          <w:lang w:eastAsia="en-AU"/>
        </w:rPr>
        <w:t>The sector comparisons found that there is an overlap in target population between the NACAP, NDAP, mental health, and veteran advocacy organisations, which could provide an opportunity to improve advocacy awareness through c</w:t>
      </w:r>
      <w:r>
        <w:t>ross-sectoral linkages of advocates between each sector.</w:t>
      </w:r>
    </w:p>
    <w:p w14:paraId="0CCFC316" w14:textId="0D79E32E" w:rsidR="005C3DD4" w:rsidRDefault="005C3DD4" w:rsidP="005C3DD4">
      <w:r>
        <w:t xml:space="preserve">The jurisdictional comparison found that </w:t>
      </w:r>
      <w:r>
        <w:rPr>
          <w:lang w:eastAsia="en-AU"/>
        </w:rPr>
        <w:t>t</w:t>
      </w:r>
      <w:r w:rsidRPr="00984D81">
        <w:t>he diverse nature of advocacy services across these jurisdictions, suggest at this stage that is challenging to determine suitable comparators to be used for the NACAP program.</w:t>
      </w:r>
    </w:p>
    <w:p w14:paraId="197BDC04" w14:textId="77777777" w:rsidR="005C3DD4" w:rsidRDefault="005C3DD4" w:rsidP="0046359C">
      <w:pPr>
        <w:pStyle w:val="Heading2"/>
      </w:pPr>
      <w:bookmarkStart w:id="254" w:name="_Toc94771844"/>
      <w:bookmarkStart w:id="255" w:name="_Toc99437544"/>
      <w:r>
        <w:t>Disability advocacy in Australia</w:t>
      </w:r>
      <w:bookmarkEnd w:id="254"/>
      <w:bookmarkEnd w:id="255"/>
      <w:r>
        <w:t xml:space="preserve"> </w:t>
      </w:r>
    </w:p>
    <w:p w14:paraId="3FB441B2" w14:textId="77777777" w:rsidR="005C3DD4" w:rsidRPr="002F14FA" w:rsidRDefault="005C3DD4" w:rsidP="005C3DD4">
      <w:r w:rsidRPr="002F14FA">
        <w:t xml:space="preserve">The National Disability Advocacy Program (NDAP) provides people with disability with access to effective disability advocacy that promotes, </w:t>
      </w:r>
      <w:proofErr w:type="gramStart"/>
      <w:r w:rsidRPr="002F14FA">
        <w:t>protects</w:t>
      </w:r>
      <w:proofErr w:type="gramEnd"/>
      <w:r w:rsidRPr="002F14FA">
        <w:t xml:space="preserve"> and ensures their full and equal enjoyment of all human rights enabling community participation.</w:t>
      </w:r>
      <w:r>
        <w:t xml:space="preserve"> </w:t>
      </w:r>
      <w:r w:rsidRPr="002F14FA">
        <w:t>There are six broad models of disability advocacy:</w:t>
      </w:r>
    </w:p>
    <w:p w14:paraId="01492501" w14:textId="77777777" w:rsidR="005C3DD4" w:rsidRPr="002F14FA" w:rsidRDefault="005C3DD4" w:rsidP="00F178E7">
      <w:pPr>
        <w:pStyle w:val="ListParagraph"/>
        <w:numPr>
          <w:ilvl w:val="0"/>
          <w:numId w:val="19"/>
        </w:numPr>
        <w:ind w:left="357" w:hanging="357"/>
      </w:pPr>
      <w:r w:rsidRPr="002F14FA">
        <w:t>Citizen advocacy: matches people with disability with volunteers.</w:t>
      </w:r>
    </w:p>
    <w:p w14:paraId="6E1D5AF2" w14:textId="77777777" w:rsidR="005C3DD4" w:rsidRPr="002F14FA" w:rsidRDefault="005C3DD4" w:rsidP="00F178E7">
      <w:pPr>
        <w:pStyle w:val="ListParagraph"/>
        <w:numPr>
          <w:ilvl w:val="0"/>
          <w:numId w:val="19"/>
        </w:numPr>
        <w:ind w:left="357" w:hanging="357"/>
      </w:pPr>
      <w:r w:rsidRPr="002F14FA">
        <w:t>Family advocacy: helps parents and family members advocate on behalf of the person with disability for a particular issue.</w:t>
      </w:r>
    </w:p>
    <w:p w14:paraId="7736EFF8" w14:textId="77777777" w:rsidR="005C3DD4" w:rsidRPr="002F14FA" w:rsidRDefault="005C3DD4" w:rsidP="00F178E7">
      <w:pPr>
        <w:pStyle w:val="ListParagraph"/>
        <w:numPr>
          <w:ilvl w:val="0"/>
          <w:numId w:val="19"/>
        </w:numPr>
        <w:ind w:left="357" w:hanging="357"/>
      </w:pPr>
      <w:r w:rsidRPr="002F14FA">
        <w:t xml:space="preserve">Individual advocacy: upholds the rights of individual people with disability by working on discrimination, </w:t>
      </w:r>
      <w:proofErr w:type="gramStart"/>
      <w:r w:rsidRPr="002F14FA">
        <w:t>abuse</w:t>
      </w:r>
      <w:proofErr w:type="gramEnd"/>
      <w:r w:rsidRPr="002F14FA">
        <w:t xml:space="preserve"> and neglect.</w:t>
      </w:r>
    </w:p>
    <w:p w14:paraId="11A104CB" w14:textId="77777777" w:rsidR="005C3DD4" w:rsidRPr="002F14FA" w:rsidRDefault="005C3DD4" w:rsidP="00F178E7">
      <w:pPr>
        <w:pStyle w:val="ListParagraph"/>
        <w:numPr>
          <w:ilvl w:val="0"/>
          <w:numId w:val="19"/>
        </w:numPr>
        <w:ind w:left="357" w:hanging="357"/>
      </w:pPr>
      <w:r w:rsidRPr="002F14FA">
        <w:t xml:space="preserve">Legal advocacy: upholds the rights and interests of individual people with disability by addressing the legal aspects of discrimination, </w:t>
      </w:r>
      <w:proofErr w:type="gramStart"/>
      <w:r w:rsidRPr="002F14FA">
        <w:t>abuse</w:t>
      </w:r>
      <w:proofErr w:type="gramEnd"/>
      <w:r w:rsidRPr="002F14FA">
        <w:t xml:space="preserve"> and neglect.</w:t>
      </w:r>
    </w:p>
    <w:p w14:paraId="6941916C" w14:textId="77777777" w:rsidR="005C3DD4" w:rsidRPr="002F14FA" w:rsidRDefault="005C3DD4" w:rsidP="00F178E7">
      <w:pPr>
        <w:pStyle w:val="ListParagraph"/>
        <w:numPr>
          <w:ilvl w:val="0"/>
          <w:numId w:val="19"/>
        </w:numPr>
        <w:ind w:left="357" w:hanging="357"/>
      </w:pPr>
      <w:r w:rsidRPr="002F14FA">
        <w:t>Self-advocacy: supports people with disability to advocate for themselves, or as a group.</w:t>
      </w:r>
    </w:p>
    <w:p w14:paraId="1374C67C" w14:textId="77777777" w:rsidR="005C3DD4" w:rsidRPr="002F14FA" w:rsidRDefault="005C3DD4" w:rsidP="00F178E7">
      <w:pPr>
        <w:pStyle w:val="ListParagraph"/>
        <w:numPr>
          <w:ilvl w:val="0"/>
          <w:numId w:val="19"/>
        </w:numPr>
        <w:ind w:left="357" w:hanging="357"/>
      </w:pPr>
      <w:r w:rsidRPr="002F14FA">
        <w:t>Systemic advocacy: seeks to remove barriers and address discrimination to ensure the rights of people with disability.</w:t>
      </w:r>
    </w:p>
    <w:p w14:paraId="01EF4C42" w14:textId="77777777" w:rsidR="005C3DD4" w:rsidRPr="002F14FA" w:rsidRDefault="005C3DD4" w:rsidP="005C3DD4">
      <w:r w:rsidRPr="002F14FA">
        <w:t>Advocacy agencies are funded to provide disability advocacy support in specific geographic areas. There are generalist and specialist advocacy agencies across Australia.</w:t>
      </w:r>
    </w:p>
    <w:p w14:paraId="544D1ED9" w14:textId="77777777" w:rsidR="005C3DD4" w:rsidRPr="002F14FA" w:rsidRDefault="005C3DD4" w:rsidP="005C3DD4">
      <w:r w:rsidRPr="002F14FA">
        <w:t>The target group for advocacy support provided by NDAP, as per section 8 of the Disability Services Act 1986, include those people with disability that:</w:t>
      </w:r>
    </w:p>
    <w:p w14:paraId="2DA53E62" w14:textId="77777777" w:rsidR="005C3DD4" w:rsidRPr="002F14FA" w:rsidRDefault="005C3DD4" w:rsidP="00F178E7">
      <w:pPr>
        <w:pStyle w:val="ListParagraph"/>
        <w:numPr>
          <w:ilvl w:val="0"/>
          <w:numId w:val="20"/>
        </w:numPr>
        <w:ind w:left="357" w:hanging="357"/>
      </w:pPr>
      <w:r w:rsidRPr="002F14FA">
        <w:t xml:space="preserve">Is attributable to an intellectual, psychiatric, </w:t>
      </w:r>
      <w:proofErr w:type="gramStart"/>
      <w:r w:rsidRPr="002F14FA">
        <w:t>sensory</w:t>
      </w:r>
      <w:proofErr w:type="gramEnd"/>
      <w:r w:rsidRPr="002F14FA">
        <w:t xml:space="preserve"> or physical impairment or a combination of such impairments</w:t>
      </w:r>
    </w:p>
    <w:p w14:paraId="3756EE06" w14:textId="77777777" w:rsidR="005C3DD4" w:rsidRPr="002F14FA" w:rsidRDefault="005C3DD4" w:rsidP="00F178E7">
      <w:pPr>
        <w:pStyle w:val="ListParagraph"/>
        <w:numPr>
          <w:ilvl w:val="0"/>
          <w:numId w:val="20"/>
        </w:numPr>
        <w:ind w:left="357" w:hanging="357"/>
      </w:pPr>
      <w:r w:rsidRPr="002F14FA">
        <w:t>Is permanently or likely to be permanent; and</w:t>
      </w:r>
    </w:p>
    <w:p w14:paraId="1CF62D68" w14:textId="77777777" w:rsidR="005C3DD4" w:rsidRDefault="005C3DD4" w:rsidP="00F178E7">
      <w:pPr>
        <w:pStyle w:val="ListParagraph"/>
        <w:numPr>
          <w:ilvl w:val="0"/>
          <w:numId w:val="20"/>
        </w:numPr>
        <w:ind w:left="357" w:hanging="357"/>
      </w:pPr>
      <w:r w:rsidRPr="002F14FA">
        <w:t>Results in:</w:t>
      </w:r>
    </w:p>
    <w:p w14:paraId="2B389E5D" w14:textId="77777777" w:rsidR="005C3DD4" w:rsidRDefault="005C3DD4" w:rsidP="00F178E7">
      <w:pPr>
        <w:pStyle w:val="ListParagraph"/>
        <w:numPr>
          <w:ilvl w:val="1"/>
          <w:numId w:val="21"/>
        </w:numPr>
        <w:ind w:left="1037" w:hanging="357"/>
      </w:pPr>
      <w:r w:rsidRPr="002F14FA">
        <w:t>A substantially reduced capacity of the person for communication, learning or mobility; and</w:t>
      </w:r>
    </w:p>
    <w:p w14:paraId="36201660" w14:textId="180D115D" w:rsidR="005C3DD4" w:rsidRDefault="005C3DD4" w:rsidP="00F178E7">
      <w:pPr>
        <w:pStyle w:val="ListParagraph"/>
        <w:numPr>
          <w:ilvl w:val="1"/>
          <w:numId w:val="21"/>
        </w:numPr>
        <w:ind w:left="1037" w:hanging="357"/>
      </w:pPr>
      <w:r w:rsidRPr="002F14FA">
        <w:t>The need for ongoing support.</w:t>
      </w:r>
    </w:p>
    <w:p w14:paraId="08072A62" w14:textId="173F825F" w:rsidR="005C3DD4" w:rsidRDefault="005C3DD4" w:rsidP="005C3DD4">
      <w:r w:rsidRPr="004B7D42">
        <w:t>In 2016/17, 58 advocacy agencies in locations across Australia were funded $17.7</w:t>
      </w:r>
      <w:r w:rsidR="00BF6AE4">
        <w:t xml:space="preserve"> million</w:t>
      </w:r>
      <w:r w:rsidRPr="004B7D42">
        <w:t xml:space="preserve"> to deliver advocacy services to approximately 12,000 people with disability as well as a broader group benefiting from information, </w:t>
      </w:r>
      <w:proofErr w:type="gramStart"/>
      <w:r w:rsidRPr="004B7D42">
        <w:t>referrals</w:t>
      </w:r>
      <w:proofErr w:type="gramEnd"/>
      <w:r w:rsidRPr="004B7D42">
        <w:t xml:space="preserve"> and support to progress systemic matters on their behalf. This is equivalent to approximately 0.04% of people with disability receiving advocacy services each year.</w:t>
      </w:r>
      <w:r>
        <w:rPr>
          <w:rStyle w:val="EndnoteReference"/>
        </w:rPr>
        <w:endnoteReference w:id="39"/>
      </w:r>
    </w:p>
    <w:p w14:paraId="15F1AC59" w14:textId="77777777" w:rsidR="005C3DD4" w:rsidRPr="00D13950" w:rsidRDefault="005C3DD4" w:rsidP="005C3DD4">
      <w:r w:rsidRPr="00D13950">
        <w:t>In addition to the NDAP, State Governments also fund disability advocacy services.</w:t>
      </w:r>
    </w:p>
    <w:p w14:paraId="736D9564" w14:textId="77777777" w:rsidR="005C3DD4" w:rsidRDefault="005C3DD4" w:rsidP="005C3DD4">
      <w:r w:rsidRPr="00D13950">
        <w:t xml:space="preserve">Recent reviews have highlighted the increasing demand for advocacy services and growing waitlists </w:t>
      </w:r>
      <w:proofErr w:type="gramStart"/>
      <w:r w:rsidRPr="00D13950">
        <w:t>as a result of</w:t>
      </w:r>
      <w:proofErr w:type="gramEnd"/>
      <w:r w:rsidRPr="00D13950">
        <w:t xml:space="preserve"> the introduction of the NDIS with limited increases in NDAP funding.</w:t>
      </w:r>
    </w:p>
    <w:p w14:paraId="4E090CF9" w14:textId="77777777" w:rsidR="005C3DD4" w:rsidRPr="00A90711" w:rsidRDefault="005C3DD4" w:rsidP="005C3DD4">
      <w:pPr>
        <w:pStyle w:val="ListBullet"/>
        <w:rPr>
          <w:b/>
        </w:rPr>
      </w:pPr>
      <w:r w:rsidRPr="00D53622">
        <w:rPr>
          <w:b/>
        </w:rPr>
        <w:t xml:space="preserve">2015 Senate Inquiry into violence, </w:t>
      </w:r>
      <w:proofErr w:type="gramStart"/>
      <w:r w:rsidRPr="00D53622">
        <w:rPr>
          <w:b/>
        </w:rPr>
        <w:t>abuse</w:t>
      </w:r>
      <w:proofErr w:type="gramEnd"/>
      <w:r w:rsidRPr="00D53622">
        <w:rPr>
          <w:b/>
        </w:rPr>
        <w:t xml:space="preserve"> and neglect against people with disability in institutional and residential settings</w:t>
      </w:r>
      <w:r>
        <w:rPr>
          <w:rStyle w:val="EndnoteReference"/>
          <w:b/>
        </w:rPr>
        <w:endnoteReference w:id="40"/>
      </w:r>
    </w:p>
    <w:p w14:paraId="4C4378CF" w14:textId="77777777" w:rsidR="005C3DD4" w:rsidRPr="00D53622" w:rsidRDefault="005C3DD4" w:rsidP="00F178E7">
      <w:pPr>
        <w:pStyle w:val="ListBullet"/>
        <w:numPr>
          <w:ilvl w:val="1"/>
          <w:numId w:val="13"/>
        </w:numPr>
      </w:pPr>
      <w:r w:rsidRPr="00D53622">
        <w:t>Recommendation 16 outlined the need to provide significant investment to NDAP to deliver equitable access and representation of issues and to match the increased demand for advocacy anticipated under the NDIS.</w:t>
      </w:r>
    </w:p>
    <w:p w14:paraId="537E7A8F" w14:textId="77777777" w:rsidR="005C3DD4" w:rsidRPr="00A90711" w:rsidRDefault="005C3DD4" w:rsidP="005C3DD4">
      <w:pPr>
        <w:pStyle w:val="ListBullet"/>
        <w:rPr>
          <w:b/>
        </w:rPr>
      </w:pPr>
      <w:r w:rsidRPr="00D53622">
        <w:rPr>
          <w:b/>
        </w:rPr>
        <w:t>Review of the National Disability Advocacy Framework (NDAF)</w:t>
      </w:r>
      <w:r>
        <w:rPr>
          <w:rStyle w:val="EndnoteReference"/>
          <w:b/>
        </w:rPr>
        <w:endnoteReference w:id="41"/>
      </w:r>
    </w:p>
    <w:p w14:paraId="3630A63A" w14:textId="77777777" w:rsidR="005C3DD4" w:rsidRPr="00D53622" w:rsidRDefault="005C3DD4" w:rsidP="00F178E7">
      <w:pPr>
        <w:pStyle w:val="ListBullet"/>
        <w:numPr>
          <w:ilvl w:val="1"/>
          <w:numId w:val="13"/>
        </w:numPr>
      </w:pPr>
      <w:r w:rsidRPr="00D53622">
        <w:t>Key themes identified during the Review of the NDAF (2016) identified the need for independent advocacy, the provision of advocacy for all people with disability regardless of NDIS eligibility, the need for increased advocacy funding, the need for improved data collection, and the important for systemic advocacy.</w:t>
      </w:r>
    </w:p>
    <w:p w14:paraId="0365D697" w14:textId="77777777" w:rsidR="005C3DD4" w:rsidRPr="00A90711" w:rsidRDefault="005C3DD4" w:rsidP="005C3DD4">
      <w:pPr>
        <w:pStyle w:val="ListBullet"/>
        <w:rPr>
          <w:b/>
        </w:rPr>
      </w:pPr>
      <w:r w:rsidRPr="00D53622">
        <w:rPr>
          <w:b/>
        </w:rPr>
        <w:t>Royal Commission into Violence, Abuse, Neglect and Exploitation of People with Disability (ongoing)</w:t>
      </w:r>
      <w:r>
        <w:rPr>
          <w:rStyle w:val="EndnoteReference"/>
          <w:b/>
        </w:rPr>
        <w:endnoteReference w:id="42"/>
      </w:r>
    </w:p>
    <w:p w14:paraId="74E61853" w14:textId="77777777" w:rsidR="005C3DD4" w:rsidRPr="008619B7" w:rsidRDefault="005C3DD4" w:rsidP="00F178E7">
      <w:pPr>
        <w:pStyle w:val="ListBullet"/>
        <w:numPr>
          <w:ilvl w:val="1"/>
          <w:numId w:val="13"/>
        </w:numPr>
      </w:pPr>
      <w:r w:rsidRPr="00D53622">
        <w:t xml:space="preserve">The current Royal Commission released its interim report in 2020 and noted the importance for advocacy in preventing and addressing violence, abuse, </w:t>
      </w:r>
      <w:proofErr w:type="gramStart"/>
      <w:r w:rsidRPr="00D53622">
        <w:t>neglect</w:t>
      </w:r>
      <w:proofErr w:type="gramEnd"/>
      <w:r w:rsidRPr="00D53622">
        <w:t xml:space="preserve"> and exploitation. In addition, the Royal Commission noted the lack of advocacy services including for First Nations people with disability and people with complex needs and that existing advocacy services are under-funded.</w:t>
      </w:r>
    </w:p>
    <w:p w14:paraId="12D90C33" w14:textId="77777777" w:rsidR="00BA1344" w:rsidRPr="008619B7" w:rsidRDefault="00BA1344" w:rsidP="00B10C01">
      <w:pPr>
        <w:pStyle w:val="ListBullet"/>
        <w:numPr>
          <w:ilvl w:val="0"/>
          <w:numId w:val="0"/>
        </w:numPr>
        <w:ind w:left="680"/>
      </w:pPr>
    </w:p>
    <w:p w14:paraId="466DCA04" w14:textId="2B6BF68D" w:rsidR="005C3DD4" w:rsidRPr="004A3EAF" w:rsidRDefault="005C3DD4" w:rsidP="005C3DD4">
      <w:pPr>
        <w:rPr>
          <w:b/>
          <w:bCs/>
        </w:rPr>
      </w:pPr>
      <w:r>
        <w:rPr>
          <w:b/>
          <w:bCs/>
        </w:rPr>
        <w:t>Implications for NACAP</w:t>
      </w:r>
    </w:p>
    <w:p w14:paraId="7CEBCF38" w14:textId="485FD25C" w:rsidR="005C3DD4" w:rsidRDefault="005C3DD4" w:rsidP="005C3DD4">
      <w:r>
        <w:t>In disability advocacy in Australia there are significant constraints in advocacy services within disability, with only a small number of people (0.04%) able to receive advocacy services due to limited awareness and program capacity.</w:t>
      </w:r>
    </w:p>
    <w:p w14:paraId="7D799A64" w14:textId="1F15E865" w:rsidR="005C3DD4" w:rsidRPr="003A7905" w:rsidRDefault="005C3DD4" w:rsidP="005C3DD4">
      <w:r>
        <w:t xml:space="preserve">There is an opportunity to however, draw on the localised nature of disability advocates and the connection to community they </w:t>
      </w:r>
      <w:proofErr w:type="gramStart"/>
      <w:r>
        <w:t>are able to</w:t>
      </w:r>
      <w:proofErr w:type="gramEnd"/>
      <w:r>
        <w:t xml:space="preserve"> create. Consultations suggested there is an opportunity to create greater connection across these services, including the potential to improve the leverage of resources in regional, rural</w:t>
      </w:r>
      <w:r w:rsidR="00EA2E20">
        <w:t>,</w:t>
      </w:r>
      <w:r>
        <w:t xml:space="preserve"> and remote locations.</w:t>
      </w:r>
    </w:p>
    <w:p w14:paraId="3D24E2B1" w14:textId="77777777" w:rsidR="005C3DD4" w:rsidRDefault="005C3DD4" w:rsidP="005C3DD4">
      <w:r>
        <w:t>Stakeholders within the disability sector also highlighted the importance of cross-sector linkages between the disability and aged care sectors. In particular, the linkage between the National Disability Advocacy Program (NDAP) and NACAP is deemed insufficient, creating a disjointed system for older people with disabilities. Cross-sectoral linkages will impact advocacy awareness, due to the expanded customer base organisations can deliver information to.</w:t>
      </w:r>
    </w:p>
    <w:p w14:paraId="4B197D96" w14:textId="77777777" w:rsidR="005C3DD4" w:rsidRPr="00D938C4" w:rsidRDefault="005C3DD4" w:rsidP="0046359C">
      <w:pPr>
        <w:pStyle w:val="Heading2"/>
      </w:pPr>
      <w:bookmarkStart w:id="256" w:name="_Toc94771845"/>
      <w:bookmarkStart w:id="257" w:name="_Toc99437545"/>
      <w:r>
        <w:t>Mental health advocacy in Australia</w:t>
      </w:r>
      <w:bookmarkEnd w:id="256"/>
      <w:bookmarkEnd w:id="257"/>
    </w:p>
    <w:p w14:paraId="2BF3C2CD" w14:textId="6C2DC656" w:rsidR="005C3DD4" w:rsidRDefault="005C3DD4" w:rsidP="005C3DD4">
      <w:r>
        <w:t>Mental health advocacy organisations at the national and state levels across Australia represent and promote the interests of the sector, focusing on advocating for policies, programs</w:t>
      </w:r>
      <w:r w:rsidR="009D5F65">
        <w:t>,</w:t>
      </w:r>
      <w:r>
        <w:t xml:space="preserve"> and interventions to facilitate better mental health outcomes for all Australians. They play an important role in gaining recognition of the perspectives and experiences of people with living experience of mental illness</w:t>
      </w:r>
      <w:r w:rsidR="009D5F65">
        <w:t>,</w:t>
      </w:r>
      <w:r>
        <w:t xml:space="preserve"> or psychological distress.</w:t>
      </w:r>
    </w:p>
    <w:p w14:paraId="41850E1C" w14:textId="77777777" w:rsidR="005C3DD4" w:rsidRDefault="005C3DD4" w:rsidP="005C3DD4">
      <w:r>
        <w:t>Analogous to the disability sector, mental health advocacy can be categorised into four areas that inform one another:</w:t>
      </w:r>
    </w:p>
    <w:p w14:paraId="287B27A2" w14:textId="77777777" w:rsidR="005C3DD4" w:rsidRDefault="005C3DD4" w:rsidP="00F178E7">
      <w:pPr>
        <w:pStyle w:val="ListParagraph"/>
        <w:numPr>
          <w:ilvl w:val="0"/>
          <w:numId w:val="22"/>
        </w:numPr>
        <w:ind w:left="357" w:hanging="357"/>
      </w:pPr>
      <w:r>
        <w:t xml:space="preserve">Individual advocacy: aids individuals in exercising their rights through accessing information, voicing </w:t>
      </w:r>
      <w:proofErr w:type="gramStart"/>
      <w:r>
        <w:t>feedback</w:t>
      </w:r>
      <w:proofErr w:type="gramEnd"/>
      <w:r>
        <w:t xml:space="preserve"> and resolving issues.</w:t>
      </w:r>
    </w:p>
    <w:p w14:paraId="17AC3511" w14:textId="55063CAE" w:rsidR="005C3DD4" w:rsidRDefault="005C3DD4" w:rsidP="00F178E7">
      <w:pPr>
        <w:pStyle w:val="ListParagraph"/>
        <w:numPr>
          <w:ilvl w:val="0"/>
          <w:numId w:val="22"/>
        </w:numPr>
        <w:ind w:left="357" w:hanging="357"/>
      </w:pPr>
      <w:r>
        <w:t>Systemic advocacy: promotes community and system-wide change to deal with structural inequalities and inadequacies. Advocacy organisations can draw on individual experiences to inform systemic advocacy and related reform ideas.</w:t>
      </w:r>
    </w:p>
    <w:p w14:paraId="447C7E07" w14:textId="331EC8C1" w:rsidR="005C3DD4" w:rsidRDefault="005C3DD4" w:rsidP="00F178E7">
      <w:pPr>
        <w:pStyle w:val="ListParagraph"/>
        <w:numPr>
          <w:ilvl w:val="0"/>
          <w:numId w:val="22"/>
        </w:numPr>
        <w:ind w:left="357" w:hanging="357"/>
      </w:pPr>
      <w:r>
        <w:t>Legal advocacy: provides legal information, advice</w:t>
      </w:r>
      <w:r w:rsidR="009D5F65">
        <w:t>,</w:t>
      </w:r>
      <w:r>
        <w:t xml:space="preserve"> and assistance about all areas of mental health law</w:t>
      </w:r>
    </w:p>
    <w:p w14:paraId="76FBBCDD" w14:textId="77777777" w:rsidR="005C3DD4" w:rsidRDefault="005C3DD4" w:rsidP="00F178E7">
      <w:pPr>
        <w:pStyle w:val="ListParagraph"/>
        <w:numPr>
          <w:ilvl w:val="0"/>
          <w:numId w:val="22"/>
        </w:numPr>
        <w:ind w:left="357" w:hanging="357"/>
      </w:pPr>
      <w:r>
        <w:t xml:space="preserve">Non-legal </w:t>
      </w:r>
      <w:proofErr w:type="gramStart"/>
      <w:r>
        <w:t>advocacy:</w:t>
      </w:r>
      <w:proofErr w:type="gramEnd"/>
      <w:r>
        <w:t xml:space="preserve"> represents or supports individual consumers in self-advocacy. Advocates listen to and communicate a person’s preferences and wishes as expressed by them, regardless of </w:t>
      </w:r>
      <w:proofErr w:type="gramStart"/>
      <w:r>
        <w:t>whether or not</w:t>
      </w:r>
      <w:proofErr w:type="gramEnd"/>
      <w:r>
        <w:t xml:space="preserve"> the advocate considers that to be in their ‘best interest’.</w:t>
      </w:r>
    </w:p>
    <w:p w14:paraId="328960D3" w14:textId="6B52CB2E" w:rsidR="005C3DD4" w:rsidRDefault="005C3DD4" w:rsidP="005C3DD4">
      <w:r>
        <w:t>Recent funding in the 2021</w:t>
      </w:r>
      <w:r w:rsidR="00B97D8E">
        <w:t>/</w:t>
      </w:r>
      <w:r>
        <w:t>2022 national budget has been allocated to the National Mental Health and Suicide Prevention Plan, which will mean more Australians will be able to receive legal and non-legal advocacy support. Funding of $2.0 billion over four years from 2021</w:t>
      </w:r>
      <w:r w:rsidR="00B97D8E">
        <w:t>/</w:t>
      </w:r>
      <w:r>
        <w:t>22</w:t>
      </w:r>
      <w:r>
        <w:rPr>
          <w:rStyle w:val="EndnoteReference"/>
        </w:rPr>
        <w:endnoteReference w:id="43"/>
      </w:r>
      <w:r>
        <w:t xml:space="preserve"> includes support such as:</w:t>
      </w:r>
    </w:p>
    <w:p w14:paraId="5B543FEA" w14:textId="77777777" w:rsidR="005C3DD4" w:rsidRDefault="005C3DD4" w:rsidP="00F178E7">
      <w:pPr>
        <w:pStyle w:val="ListParagraph"/>
        <w:numPr>
          <w:ilvl w:val="0"/>
          <w:numId w:val="18"/>
        </w:numPr>
        <w:ind w:left="357" w:hanging="357"/>
      </w:pPr>
      <w:r>
        <w:t>$77.1 million in the National Legal Assistance Partnership to support the early resolution of legal problems for those experiencing mental illness</w:t>
      </w:r>
    </w:p>
    <w:p w14:paraId="4A24D5DD" w14:textId="68F92A9C" w:rsidR="005C3DD4" w:rsidRDefault="005C3DD4" w:rsidP="00F178E7">
      <w:pPr>
        <w:pStyle w:val="ListParagraph"/>
        <w:numPr>
          <w:ilvl w:val="0"/>
          <w:numId w:val="18"/>
        </w:numPr>
        <w:ind w:left="357" w:hanging="357"/>
      </w:pPr>
      <w:r>
        <w:t>$278.6 million over four years from 2021</w:t>
      </w:r>
      <w:r w:rsidR="004F7D16">
        <w:t>/</w:t>
      </w:r>
      <w:r>
        <w:t>22 to expand and enhance headspace youth mental health services, including in conjunction with the states and territories</w:t>
      </w:r>
    </w:p>
    <w:p w14:paraId="022D61AC" w14:textId="39E49384" w:rsidR="005C3DD4" w:rsidRDefault="005C3DD4" w:rsidP="00F178E7">
      <w:pPr>
        <w:pStyle w:val="ListParagraph"/>
        <w:numPr>
          <w:ilvl w:val="0"/>
          <w:numId w:val="18"/>
        </w:numPr>
        <w:ind w:left="357" w:hanging="357"/>
      </w:pPr>
      <w:r>
        <w:t>$54.2 million over four years from 2021</w:t>
      </w:r>
      <w:r w:rsidR="004F7D16">
        <w:t>/</w:t>
      </w:r>
      <w:r>
        <w:t>22 to work with the states and territories to establish child mental health and wellbeing hubs to provide multidisciplinary care and preventive services</w:t>
      </w:r>
    </w:p>
    <w:p w14:paraId="2208A38E" w14:textId="10FBF790" w:rsidR="005C3DD4" w:rsidRDefault="005C3DD4" w:rsidP="00F178E7">
      <w:pPr>
        <w:pStyle w:val="ListParagraph"/>
        <w:numPr>
          <w:ilvl w:val="0"/>
          <w:numId w:val="18"/>
        </w:numPr>
        <w:ind w:left="357" w:hanging="357"/>
      </w:pPr>
      <w:r>
        <w:t>$16.9 million over four years from 2021</w:t>
      </w:r>
      <w:r w:rsidR="004F7D16">
        <w:t>/</w:t>
      </w:r>
      <w:r>
        <w:t>22 to provide mental health services and support to Australians from culturally and linguistically diverse communities, including for survivors of torture and trauma</w:t>
      </w:r>
    </w:p>
    <w:p w14:paraId="40774E89" w14:textId="62499A19" w:rsidR="005C3DD4" w:rsidRDefault="005C3DD4" w:rsidP="005C3DD4">
      <w:r>
        <w:t>In addition to national funding, significant state-based funding is also provided to advocacy services. The recent Royal Commission into Victoria’s Mental Health System has also resulted in uplifts in funding to support advocacy programs in Victoria.</w:t>
      </w:r>
      <w:r>
        <w:rPr>
          <w:rStyle w:val="EndnoteReference"/>
        </w:rPr>
        <w:endnoteReference w:id="44"/>
      </w:r>
      <w:r>
        <w:t xml:space="preserve"> A key recommendation was to provide an opt out non-legal advocacy service for consumers who are subject to or at risk of compulsory treatment.</w:t>
      </w:r>
      <w:r>
        <w:rPr>
          <w:rStyle w:val="EndnoteReference"/>
        </w:rPr>
        <w:endnoteReference w:id="45"/>
      </w:r>
    </w:p>
    <w:p w14:paraId="3C0CC758" w14:textId="77777777" w:rsidR="005C3DD4" w:rsidRDefault="005C3DD4" w:rsidP="005C3DD4">
      <w:r>
        <w:t>Data on demand for access to mental health advocacy services include:</w:t>
      </w:r>
    </w:p>
    <w:p w14:paraId="5148522F" w14:textId="77777777" w:rsidR="005C3DD4" w:rsidRDefault="005C3DD4" w:rsidP="00F178E7">
      <w:pPr>
        <w:pStyle w:val="ListParagraph"/>
        <w:numPr>
          <w:ilvl w:val="0"/>
          <w:numId w:val="23"/>
        </w:numPr>
        <w:ind w:left="357" w:hanging="357"/>
      </w:pPr>
      <w:r>
        <w:t>Independent Mental Health Advocacy (IMHA) in Victoria cites since 2015, 41,513 advocacy and coaching for self-advocacy services have been delivered along with 79,701 occasions of giving information and referrals</w:t>
      </w:r>
      <w:r>
        <w:rPr>
          <w:rStyle w:val="EndnoteReference"/>
        </w:rPr>
        <w:endnoteReference w:id="46"/>
      </w:r>
    </w:p>
    <w:p w14:paraId="5E85BF65" w14:textId="2D55032A" w:rsidR="005C3DD4" w:rsidRDefault="005C3DD4" w:rsidP="00F178E7">
      <w:pPr>
        <w:pStyle w:val="ListParagraph"/>
        <w:numPr>
          <w:ilvl w:val="0"/>
          <w:numId w:val="23"/>
        </w:numPr>
        <w:ind w:left="357" w:hanging="357"/>
      </w:pPr>
      <w:r>
        <w:t>Legal Aid NSW provided 67,653 civil law services in 2019</w:t>
      </w:r>
      <w:r w:rsidR="00FB7835">
        <w:t>/</w:t>
      </w:r>
      <w:r>
        <w:t>20, including duty services at the Mental Health Review Tribunal</w:t>
      </w:r>
      <w:r>
        <w:rPr>
          <w:rStyle w:val="EndnoteReference"/>
        </w:rPr>
        <w:endnoteReference w:id="47"/>
      </w:r>
    </w:p>
    <w:p w14:paraId="4C0C7C3A" w14:textId="31673069" w:rsidR="005C3DD4" w:rsidRDefault="005C3DD4" w:rsidP="00F178E7">
      <w:pPr>
        <w:pStyle w:val="ListParagraph"/>
        <w:numPr>
          <w:ilvl w:val="0"/>
          <w:numId w:val="23"/>
        </w:numPr>
        <w:ind w:left="357" w:hanging="357"/>
      </w:pPr>
      <w:r>
        <w:t>Queensland Alliance for Mental Health (QAMH) reached over 40,100 people in 2020</w:t>
      </w:r>
      <w:r w:rsidR="00FB7835">
        <w:t>/</w:t>
      </w:r>
      <w:r>
        <w:t>21 through online member forums that contribute to advocacy work</w:t>
      </w:r>
      <w:r>
        <w:rPr>
          <w:rStyle w:val="EndnoteReference"/>
        </w:rPr>
        <w:endnoteReference w:id="48"/>
      </w:r>
    </w:p>
    <w:p w14:paraId="1606A48D" w14:textId="77FFAA8E" w:rsidR="005C3DD4" w:rsidRDefault="005C3DD4" w:rsidP="00F178E7">
      <w:pPr>
        <w:pStyle w:val="ListParagraph"/>
        <w:numPr>
          <w:ilvl w:val="0"/>
          <w:numId w:val="23"/>
        </w:numPr>
        <w:ind w:left="357" w:hanging="357"/>
      </w:pPr>
      <w:r>
        <w:t>Mental Health Advocacy Service (MHAS) in WA cites 3,605 people’s voices were better heard and represented through their access to an MHAS advocate in 2020/21 and 7,581 complaints, spending $3.</w:t>
      </w:r>
      <w:r w:rsidR="00944413">
        <w:t>1</w:t>
      </w:r>
      <w:r w:rsidR="007A1E32">
        <w:t xml:space="preserve"> million</w:t>
      </w:r>
      <w:r>
        <w:t xml:space="preserve"> in 2020/21</w:t>
      </w:r>
      <w:r>
        <w:rPr>
          <w:rStyle w:val="EndnoteReference"/>
        </w:rPr>
        <w:endnoteReference w:id="49"/>
      </w:r>
    </w:p>
    <w:p w14:paraId="17E362C8" w14:textId="3CA98A9F" w:rsidR="005C3DD4" w:rsidRDefault="005C3DD4" w:rsidP="005C3DD4">
      <w:r>
        <w:t>However, constraints on advocacy efforts in resourcing and access requirements limit the impact of the important role these organisations play.</w:t>
      </w:r>
      <w:r>
        <w:rPr>
          <w:rStyle w:val="EndnoteReference"/>
        </w:rPr>
        <w:endnoteReference w:id="50"/>
      </w:r>
      <w:r>
        <w:t xml:space="preserve"> </w:t>
      </w:r>
      <w:r w:rsidRPr="00DF7E2C">
        <w:t>There are complicated and fragmented pathways between mental health services and other services and systems required to support and treat mental illness, such as legal and non-legal advocacy services</w:t>
      </w:r>
      <w:r>
        <w:t>. Additionally, there is limited publicly available information or data on access rates for advocacy services. A historical lack of funding and funding uncertainty due to competing demands between individual and systemic advocacy has also detracted from broader systemic advocacy projects and ambitious reform agendas.</w:t>
      </w:r>
    </w:p>
    <w:p w14:paraId="095156EB" w14:textId="77777777" w:rsidR="005C3DD4" w:rsidRPr="00377806" w:rsidRDefault="005C3DD4" w:rsidP="005C3DD4">
      <w:pPr>
        <w:rPr>
          <w:b/>
          <w:bCs/>
        </w:rPr>
      </w:pPr>
      <w:r>
        <w:rPr>
          <w:b/>
          <w:bCs/>
        </w:rPr>
        <w:t>Implications for NACAP</w:t>
      </w:r>
    </w:p>
    <w:p w14:paraId="10803B0F" w14:textId="4F37D1EC" w:rsidR="005C3DD4" w:rsidRDefault="005C3DD4" w:rsidP="005C3DD4">
      <w:r>
        <w:t xml:space="preserve">A significant amount of funding has been recently dedicated to improving access to a diverse range of mental health advocacy programs. The range of advocacy services provided across the system is broader than that provided by NACAP, including the provision of legal </w:t>
      </w:r>
      <w:proofErr w:type="gramStart"/>
      <w:r>
        <w:t>advocacy</w:t>
      </w:r>
      <w:proofErr w:type="gramEnd"/>
      <w:r>
        <w:t xml:space="preserve"> and supporting carers and families. In addition, the recent Royal Commission in Victoria’s recommendation for an opt out model for non-legal advocacy for those subject to or at risk of compulsory treatment, provides for greater outreach and increased awareness of the value of advocacy.</w:t>
      </w:r>
    </w:p>
    <w:p w14:paraId="22665F14" w14:textId="77777777" w:rsidR="005C3DD4" w:rsidRDefault="005C3DD4" w:rsidP="0046359C">
      <w:pPr>
        <w:pStyle w:val="Heading2"/>
      </w:pPr>
      <w:bookmarkStart w:id="258" w:name="_Toc94771846"/>
      <w:bookmarkStart w:id="259" w:name="_Toc99437546"/>
      <w:r>
        <w:t>Advocacy for veterans in Australia</w:t>
      </w:r>
      <w:bookmarkEnd w:id="258"/>
      <w:bookmarkEnd w:id="259"/>
    </w:p>
    <w:p w14:paraId="4C5A57AF" w14:textId="263F1075" w:rsidR="005C3DD4" w:rsidRDefault="005C3DD4" w:rsidP="005C3DD4">
      <w:r w:rsidRPr="005A5D44">
        <w:t>Veterans’ advocacy and aid in Australia is offered from a variety of ex-service organisations (ESO’s) around Australia at both a national and state level. Supported by the Department of Veterans’ Affairs (DVA), ESO’s represent and promote veterans and their related network through a variety of services.</w:t>
      </w:r>
      <w:r w:rsidRPr="005A5D44">
        <w:rPr>
          <w:rStyle w:val="EndnoteReference"/>
        </w:rPr>
        <w:endnoteReference w:id="51"/>
      </w:r>
      <w:r w:rsidRPr="005A5D44">
        <w:t xml:space="preserve"> Advocates </w:t>
      </w:r>
      <w:r>
        <w:t>at</w:t>
      </w:r>
      <w:r w:rsidRPr="005A5D44">
        <w:t xml:space="preserve"> ESO’s assist veterans, their families and their network in accessing the support, services and information required to enhance financial and physical wellbeing, self-sufficiency and recognition of service and sacrifice.</w:t>
      </w:r>
      <w:r w:rsidRPr="005A5D44">
        <w:rPr>
          <w:rStyle w:val="EndnoteReference"/>
        </w:rPr>
        <w:endnoteReference w:id="52"/>
      </w:r>
      <w:r w:rsidRPr="005A5D44">
        <w:t xml:space="preserve"> </w:t>
      </w:r>
      <w:r>
        <w:t>There are eighteen ESOs currently listed on the DVA’s registry.</w:t>
      </w:r>
      <w:r>
        <w:rPr>
          <w:rStyle w:val="EndnoteReference"/>
        </w:rPr>
        <w:endnoteReference w:id="53"/>
      </w:r>
      <w:r>
        <w:t xml:space="preserve"> Advocates are generally volunteers from the veteran community or partners of veterans. In 2021/22 budget, the Australian Government allocated $4.7</w:t>
      </w:r>
      <w:r w:rsidR="0078228C">
        <w:t xml:space="preserve"> million</w:t>
      </w:r>
      <w:r>
        <w:t xml:space="preserve"> over 4 years to provides financial support to ESOs that assist veterans and family members with advice about and assistance with claims, </w:t>
      </w:r>
      <w:proofErr w:type="gramStart"/>
      <w:r>
        <w:t>entitlements</w:t>
      </w:r>
      <w:proofErr w:type="gramEnd"/>
      <w:r>
        <w:t xml:space="preserve"> and services.</w:t>
      </w:r>
      <w:r>
        <w:rPr>
          <w:rStyle w:val="EndnoteReference"/>
        </w:rPr>
        <w:endnoteReference w:id="54"/>
      </w:r>
      <w:r>
        <w:t xml:space="preserve"> Advocate services help veterans prepare and lodge DVA claims and review/appeal decisions through the Veteran Review Board (VRB) or the Administrative Appeals Tribunal (AAT). Veteran advocacy services provided through ESOs </w:t>
      </w:r>
      <w:r w:rsidDel="007A5E6B">
        <w:t>p</w:t>
      </w:r>
      <w:r>
        <w:t>rovide access to information and service referrals for:</w:t>
      </w:r>
    </w:p>
    <w:p w14:paraId="40E2B11C" w14:textId="77777777" w:rsidR="005C3DD4" w:rsidRDefault="005C3DD4" w:rsidP="00F178E7">
      <w:pPr>
        <w:pStyle w:val="ListParagraph"/>
        <w:numPr>
          <w:ilvl w:val="0"/>
          <w:numId w:val="40"/>
        </w:numPr>
        <w:ind w:left="357" w:hanging="357"/>
      </w:pPr>
      <w:r>
        <w:t>Health and treatment</w:t>
      </w:r>
    </w:p>
    <w:p w14:paraId="53B16586" w14:textId="77777777" w:rsidR="005C3DD4" w:rsidRDefault="005C3DD4" w:rsidP="00F178E7">
      <w:pPr>
        <w:pStyle w:val="ListParagraph"/>
        <w:numPr>
          <w:ilvl w:val="0"/>
          <w:numId w:val="40"/>
        </w:numPr>
        <w:ind w:left="357" w:hanging="357"/>
      </w:pPr>
      <w:r>
        <w:t>Rehabilitations</w:t>
      </w:r>
    </w:p>
    <w:p w14:paraId="5790A42A" w14:textId="77777777" w:rsidR="005C3DD4" w:rsidRDefault="005C3DD4" w:rsidP="00F178E7">
      <w:pPr>
        <w:pStyle w:val="ListParagraph"/>
        <w:numPr>
          <w:ilvl w:val="0"/>
          <w:numId w:val="40"/>
        </w:numPr>
        <w:ind w:left="357" w:hanging="357"/>
      </w:pPr>
      <w:r>
        <w:t>Housing</w:t>
      </w:r>
    </w:p>
    <w:p w14:paraId="62F6BAF8" w14:textId="77777777" w:rsidR="005C3DD4" w:rsidRDefault="005C3DD4" w:rsidP="00F178E7">
      <w:pPr>
        <w:pStyle w:val="ListParagraph"/>
        <w:numPr>
          <w:ilvl w:val="0"/>
          <w:numId w:val="40"/>
        </w:numPr>
        <w:ind w:left="357" w:hanging="357"/>
      </w:pPr>
      <w:r>
        <w:t>Transport</w:t>
      </w:r>
    </w:p>
    <w:p w14:paraId="2E6FA286" w14:textId="77777777" w:rsidR="005C3DD4" w:rsidRDefault="005C3DD4" w:rsidP="00F178E7">
      <w:pPr>
        <w:pStyle w:val="ListParagraph"/>
        <w:numPr>
          <w:ilvl w:val="0"/>
          <w:numId w:val="40"/>
        </w:numPr>
        <w:ind w:left="357" w:hanging="357"/>
      </w:pPr>
      <w:r>
        <w:t>Support for transitioning to civilian life</w:t>
      </w:r>
    </w:p>
    <w:p w14:paraId="0BBAADC6" w14:textId="77777777" w:rsidR="005C3DD4" w:rsidRDefault="005C3DD4" w:rsidP="00F178E7">
      <w:pPr>
        <w:pStyle w:val="ListParagraph"/>
        <w:numPr>
          <w:ilvl w:val="0"/>
          <w:numId w:val="40"/>
        </w:numPr>
        <w:ind w:left="357" w:hanging="357"/>
      </w:pPr>
      <w:r>
        <w:t>Medical, financial, legal and police matters</w:t>
      </w:r>
    </w:p>
    <w:p w14:paraId="13A93629" w14:textId="77777777" w:rsidR="005C3DD4" w:rsidRDefault="005C3DD4" w:rsidP="00F178E7">
      <w:pPr>
        <w:pStyle w:val="ListParagraph"/>
        <w:numPr>
          <w:ilvl w:val="0"/>
          <w:numId w:val="40"/>
        </w:numPr>
        <w:ind w:left="357" w:hanging="357"/>
      </w:pPr>
      <w:r>
        <w:t>Funeral arrangements and bereavement assistance</w:t>
      </w:r>
    </w:p>
    <w:p w14:paraId="5D8F8355" w14:textId="77777777" w:rsidR="005C3DD4" w:rsidRDefault="005C3DD4" w:rsidP="005C3DD4">
      <w:r>
        <w:t>Services provided by advocates accredited under the Advocate Training and Development Program (ATDP) are free, however a small cost may be incurred for incidental costs.</w:t>
      </w:r>
      <w:r>
        <w:rPr>
          <w:rStyle w:val="EndnoteReference"/>
        </w:rPr>
        <w:endnoteReference w:id="55"/>
      </w:r>
    </w:p>
    <w:p w14:paraId="65AE35CF" w14:textId="5C67308B" w:rsidR="005C3DD4" w:rsidRDefault="005C3DD4" w:rsidP="005C3DD4">
      <w:r>
        <w:t>S</w:t>
      </w:r>
      <w:r w:rsidRPr="00250BAA">
        <w:t>ome ESOs are unable to satisfy demand</w:t>
      </w:r>
      <w:r>
        <w:t xml:space="preserve"> and</w:t>
      </w:r>
      <w:r w:rsidRPr="00250BAA">
        <w:t xml:space="preserve"> not all veterans and their families receive prompt assistance. Over </w:t>
      </w:r>
      <w:r w:rsidRPr="006B611A">
        <w:t>40</w:t>
      </w:r>
      <w:r w:rsidRPr="00AC754D">
        <w:t>%</w:t>
      </w:r>
      <w:r w:rsidRPr="00250BAA">
        <w:t xml:space="preserve"> of veterans and their families had to wait more than a month for an advocate</w:t>
      </w:r>
      <w:r>
        <w:t xml:space="preserve"> with less than </w:t>
      </w:r>
      <w:r w:rsidRPr="00250BAA">
        <w:t>10% wait</w:t>
      </w:r>
      <w:r>
        <w:t>ing</w:t>
      </w:r>
      <w:r w:rsidRPr="00250BAA">
        <w:t xml:space="preserve"> </w:t>
      </w:r>
      <w:r>
        <w:t>longer</w:t>
      </w:r>
      <w:r w:rsidRPr="00250BAA">
        <w:t xml:space="preserve"> than three months, according to ESOs. ESOs frequently referred persons in need of emergency assistance to another ESO or agency.</w:t>
      </w:r>
      <w:r>
        <w:rPr>
          <w:rStyle w:val="EndnoteReference"/>
        </w:rPr>
        <w:endnoteReference w:id="56"/>
      </w:r>
      <w:r>
        <w:t xml:space="preserve"> </w:t>
      </w:r>
      <w:r w:rsidRPr="007620D8">
        <w:t xml:space="preserve"> </w:t>
      </w:r>
      <w:r>
        <w:t>Demand for veteran advocacy from ESOs is currently estimated using DVA/VRB data about compensation services provided and the information surveyed from ESOs. Using the DVA Annual Report 2019</w:t>
      </w:r>
      <w:r w:rsidR="00FB7835">
        <w:t>/</w:t>
      </w:r>
      <w:r>
        <w:t>20, it is estimated that 20,161 primary compensation claims (20% of claims) and 3,500 VRB applications (4% of applications) were supported by an advocate. No data is available for wellbeing support services from ESOs.</w:t>
      </w:r>
      <w:r>
        <w:rPr>
          <w:rStyle w:val="EndnoteReference"/>
        </w:rPr>
        <w:endnoteReference w:id="57"/>
      </w:r>
      <w:r>
        <w:t xml:space="preserve"> The veteran population as supported by the DVA as of March 2020 was 244,725. With an estimated 23,661 veterans receiving advocacy for claims and applications, approximately 9.67% of veterans are advocated for</w:t>
      </w:r>
      <w:r w:rsidR="0050162E">
        <w:t>,</w:t>
      </w:r>
      <w:r>
        <w:t xml:space="preserve"> excluding advocacy for wellbeing support services.</w:t>
      </w:r>
      <w:r>
        <w:rPr>
          <w:rStyle w:val="EndnoteReference"/>
        </w:rPr>
        <w:endnoteReference w:id="58"/>
      </w:r>
      <w:r>
        <w:t xml:space="preserve"> With an increasing veteran population and a declining veteran advocacy workforce, there is a need for advocacy services to meet unmet demand.</w:t>
      </w:r>
      <w:r>
        <w:rPr>
          <w:rStyle w:val="EndnoteReference"/>
        </w:rPr>
        <w:endnoteReference w:id="59"/>
      </w:r>
    </w:p>
    <w:p w14:paraId="67532F8C" w14:textId="603C2248" w:rsidR="005C3DD4" w:rsidRDefault="005C3DD4" w:rsidP="005C3DD4">
      <w:r>
        <w:t>The Veterans’ Advocacy and Support Services Scoping study found that veterans’ advocacy service is not meeting veterans’ needs for competent representation at the Administrative Appeals Tribunal. Additionally, the study found that the veterans’ advocacy system as presently structured is not adequate and will fail to provide veterans and their families with a professional advocacy service into the future.</w:t>
      </w:r>
      <w:r>
        <w:rPr>
          <w:rStyle w:val="EndnoteReference"/>
        </w:rPr>
        <w:endnoteReference w:id="60"/>
      </w:r>
      <w:r>
        <w:t xml:space="preserve"> </w:t>
      </w:r>
    </w:p>
    <w:p w14:paraId="7D53F688" w14:textId="77777777" w:rsidR="005C3DD4" w:rsidRDefault="005C3DD4" w:rsidP="005C3DD4">
      <w:r>
        <w:t>ESO’s work with the DVA and other ESO’s to,</w:t>
      </w:r>
    </w:p>
    <w:p w14:paraId="1925B618" w14:textId="77777777" w:rsidR="005C3DD4" w:rsidRPr="005A5D44" w:rsidRDefault="005C3DD4" w:rsidP="00F178E7">
      <w:pPr>
        <w:pStyle w:val="ListParagraph"/>
        <w:numPr>
          <w:ilvl w:val="0"/>
          <w:numId w:val="28"/>
        </w:numPr>
        <w:spacing w:after="160" w:line="259" w:lineRule="auto"/>
        <w:ind w:left="357" w:hanging="357"/>
      </w:pPr>
      <w:r>
        <w:t>Establish</w:t>
      </w:r>
      <w:r w:rsidRPr="005A5D44">
        <w:t xml:space="preserve"> and </w:t>
      </w:r>
      <w:r>
        <w:t>improve</w:t>
      </w:r>
      <w:r w:rsidRPr="005A5D44">
        <w:t xml:space="preserve"> community services</w:t>
      </w:r>
    </w:p>
    <w:p w14:paraId="56C785C4" w14:textId="77777777" w:rsidR="005C3DD4" w:rsidRPr="005A5D44" w:rsidRDefault="005C3DD4" w:rsidP="00F178E7">
      <w:pPr>
        <w:pStyle w:val="ListParagraph"/>
        <w:numPr>
          <w:ilvl w:val="0"/>
          <w:numId w:val="28"/>
        </w:numPr>
        <w:spacing w:after="160" w:line="259" w:lineRule="auto"/>
        <w:ind w:left="357" w:hanging="357"/>
      </w:pPr>
      <w:r>
        <w:t>Improve referral services for quality care</w:t>
      </w:r>
    </w:p>
    <w:p w14:paraId="3F63A23F" w14:textId="77777777" w:rsidR="005C3DD4" w:rsidRPr="005A5D44" w:rsidRDefault="005C3DD4" w:rsidP="00F178E7">
      <w:pPr>
        <w:pStyle w:val="ListParagraph"/>
        <w:numPr>
          <w:ilvl w:val="0"/>
          <w:numId w:val="28"/>
        </w:numPr>
        <w:spacing w:after="160" w:line="259" w:lineRule="auto"/>
        <w:ind w:left="357" w:hanging="357"/>
      </w:pPr>
      <w:r>
        <w:t>Public opinion regarding veteran matters, and</w:t>
      </w:r>
    </w:p>
    <w:p w14:paraId="6C540FE5" w14:textId="77777777" w:rsidR="005C3DD4" w:rsidRPr="005A5D44" w:rsidRDefault="005C3DD4" w:rsidP="00F178E7">
      <w:pPr>
        <w:pStyle w:val="ListParagraph"/>
        <w:numPr>
          <w:ilvl w:val="0"/>
          <w:numId w:val="28"/>
        </w:numPr>
        <w:spacing w:after="160" w:line="259" w:lineRule="auto"/>
        <w:ind w:left="357" w:hanging="357"/>
      </w:pPr>
      <w:r>
        <w:t>Preserve the memory of those who served and sacrificed themselves for Australia</w:t>
      </w:r>
      <w:r w:rsidRPr="005A5D44">
        <w:t>.</w:t>
      </w:r>
      <w:r w:rsidRPr="005A5D44">
        <w:rPr>
          <w:rStyle w:val="EndnoteReference"/>
        </w:rPr>
        <w:endnoteReference w:id="61"/>
      </w:r>
    </w:p>
    <w:p w14:paraId="6FF2A931" w14:textId="3597F6D5" w:rsidR="005C3DD4" w:rsidRPr="005A5D44" w:rsidRDefault="005C3DD4" w:rsidP="005C3DD4">
      <w:r>
        <w:t>Individual veteran advocates</w:t>
      </w:r>
      <w:r w:rsidRPr="005A5D44">
        <w:t xml:space="preserve"> support </w:t>
      </w:r>
      <w:r>
        <w:t xml:space="preserve">veterans and families </w:t>
      </w:r>
      <w:r w:rsidRPr="005A5D44">
        <w:t xml:space="preserve">through </w:t>
      </w:r>
      <w:r>
        <w:t>face-to-face consults, calls, emails</w:t>
      </w:r>
      <w:r w:rsidRPr="005A5D44">
        <w:t xml:space="preserve">, forums, </w:t>
      </w:r>
      <w:r>
        <w:t xml:space="preserve">community event, publications, and programs. These supports have </w:t>
      </w:r>
      <w:r w:rsidRPr="005A5D44">
        <w:t>a strong focus on health, housing, aged care, disability services and DVA applications</w:t>
      </w:r>
      <w:r>
        <w:t>, aiming</w:t>
      </w:r>
      <w:r w:rsidRPr="005A5D44">
        <w:t xml:space="preserve"> to reduce the stress and anxiety and improve successful outcomes for the veterans and their network.</w:t>
      </w:r>
      <w:r w:rsidRPr="005A5D44">
        <w:rPr>
          <w:rStyle w:val="EndnoteReference"/>
        </w:rPr>
        <w:endnoteReference w:id="62"/>
      </w:r>
      <w:r w:rsidRPr="005A5D44">
        <w:t xml:space="preserve"> Veteran services are strongly aligned with aged care services due to the strong representation in residential facilities.</w:t>
      </w:r>
      <w:r w:rsidRPr="005A5D44">
        <w:rPr>
          <w:rStyle w:val="EndnoteReference"/>
        </w:rPr>
        <w:endnoteReference w:id="63"/>
      </w:r>
    </w:p>
    <w:p w14:paraId="4B51B74F" w14:textId="2B7D349C" w:rsidR="005C3DD4" w:rsidRPr="005A5D44" w:rsidRDefault="005C3DD4" w:rsidP="005C3DD4">
      <w:r w:rsidRPr="005A5D44">
        <w:t>In July 2021, a Royal Commission into Defence and Veteran Suicide was established to examine the systemic issues within the Defence Force involving mental health risks to veterans and the availability of support services.</w:t>
      </w:r>
      <w:r w:rsidRPr="005A5D44">
        <w:rPr>
          <w:rStyle w:val="EndnoteReference"/>
        </w:rPr>
        <w:endnoteReference w:id="64"/>
      </w:r>
      <w:r w:rsidRPr="005A5D44">
        <w:t xml:space="preserve"> With the high suicide rates in the military community, crisis support is a strong focus within veteran advocacy services, </w:t>
      </w:r>
      <w:r>
        <w:t>referring</w:t>
      </w:r>
      <w:r w:rsidRPr="005A5D44" w:rsidDel="00B80322">
        <w:t xml:space="preserve"> </w:t>
      </w:r>
      <w:r>
        <w:t>veterans to services like,</w:t>
      </w:r>
      <w:r w:rsidRPr="005A5D44">
        <w:t xml:space="preserve"> Open Arms, Life Line Australia, Beyond Blue, Defence Member and Family Helpline and Defence All-Hours Support Line.</w:t>
      </w:r>
      <w:r w:rsidRPr="005A5D44">
        <w:rPr>
          <w:rStyle w:val="EndnoteReference"/>
        </w:rPr>
        <w:endnoteReference w:id="65"/>
      </w:r>
      <w:r w:rsidRPr="005A5D44">
        <w:t xml:space="preserve"> Advocacy in this area has become increasingly important to improve referral networks and supports to veterans facing mental health vulnerabilities.</w:t>
      </w:r>
    </w:p>
    <w:p w14:paraId="18F22AF1" w14:textId="77777777" w:rsidR="005C3DD4" w:rsidRPr="00785996" w:rsidRDefault="005C3DD4" w:rsidP="005C3DD4">
      <w:pPr>
        <w:rPr>
          <w:b/>
        </w:rPr>
      </w:pPr>
      <w:r w:rsidRPr="00785996">
        <w:rPr>
          <w:b/>
        </w:rPr>
        <w:t>Implications for NACAP</w:t>
      </w:r>
    </w:p>
    <w:p w14:paraId="1D661FD7" w14:textId="77777777" w:rsidR="005C3DD4" w:rsidRDefault="005C3DD4" w:rsidP="005C3DD4">
      <w:r w:rsidRPr="005A5D44">
        <w:t xml:space="preserve">Veteran advocacy in Australia has a strong link to both mental health and disability services due to the physical and mental challenges </w:t>
      </w:r>
      <w:r>
        <w:t>experienced by veterans</w:t>
      </w:r>
      <w:r w:rsidRPr="005A5D44">
        <w:t xml:space="preserve">. Consequently, veteran advocacy has numerous constraints involving the diversity of needs </w:t>
      </w:r>
      <w:r>
        <w:t>for support</w:t>
      </w:r>
      <w:r w:rsidRPr="005A5D44">
        <w:t xml:space="preserve"> in the veteran community. </w:t>
      </w:r>
      <w:r>
        <w:t>In addition, the existing advocacy model faced severe supply issue, where 84% of the advocates were born before 1965.</w:t>
      </w:r>
      <w:r>
        <w:rPr>
          <w:rStyle w:val="EndnoteReference"/>
        </w:rPr>
        <w:endnoteReference w:id="66"/>
      </w:r>
      <w:r>
        <w:t xml:space="preserve"> Over the next five years, data indicates that the current veteran advocacy workforce will decline by 30%.</w:t>
      </w:r>
      <w:r>
        <w:rPr>
          <w:rStyle w:val="EndnoteReference"/>
        </w:rPr>
        <w:endnoteReference w:id="67"/>
      </w:r>
      <w:r>
        <w:t xml:space="preserve"> In contrast to the NACAP, there is no national body to coordinate the advocacy services. While individual ESOs and advocates are supporting veterans, the service each advocate can provide is limited to their own circle of operation, and the existing dispersed network of advocates are unable to resolve complex systemic issue. In addition, veteran advocacy is delivered by volunteers, whereas NACAP program is delivered by paid employees. In considering the anticipated volunteer workforce loss, ESOs must direct attention to the recruitment, training and mentoring of new advocates to ensure sustainability to meet demand.</w:t>
      </w:r>
    </w:p>
    <w:p w14:paraId="71E04F19" w14:textId="384AB11B" w:rsidR="005C3DD4" w:rsidRPr="005A5D44" w:rsidRDefault="005C3DD4" w:rsidP="005C3DD4">
      <w:r w:rsidRPr="005A5D44">
        <w:t xml:space="preserve">As the Royal Commission currently investigates mental health </w:t>
      </w:r>
      <w:r>
        <w:t>rates of</w:t>
      </w:r>
      <w:r w:rsidRPr="005A5D44">
        <w:t xml:space="preserve"> veterans and the availability of services, there is a strong opportunity to improve the connection between mental health and veteran advocates. Additionally, services alike can improve service delivery through collaboration due to the overlap between veteran, disability</w:t>
      </w:r>
      <w:r w:rsidR="0057331E">
        <w:t>,</w:t>
      </w:r>
      <w:r w:rsidRPr="005A5D44">
        <w:t xml:space="preserve"> and mental health services.</w:t>
      </w:r>
    </w:p>
    <w:p w14:paraId="454763AC" w14:textId="77777777" w:rsidR="005C3DD4" w:rsidRPr="005A5D44" w:rsidRDefault="005C3DD4" w:rsidP="005C3DD4">
      <w:r w:rsidRPr="005A5D44">
        <w:t>In veteran advocacy, there is strong inclusion of veteran families and their network</w:t>
      </w:r>
      <w:r>
        <w:t xml:space="preserve"> to aid in support</w:t>
      </w:r>
      <w:r w:rsidRPr="005A5D44">
        <w:t xml:space="preserve">. NACAP </w:t>
      </w:r>
      <w:proofErr w:type="gramStart"/>
      <w:r w:rsidRPr="005A5D44">
        <w:t>has the opportunity to</w:t>
      </w:r>
      <w:proofErr w:type="gramEnd"/>
      <w:r w:rsidRPr="005A5D44">
        <w:t xml:space="preserve"> improve the scope of its’ advocacy and service delivery </w:t>
      </w:r>
      <w:r>
        <w:t>with expanding</w:t>
      </w:r>
      <w:r w:rsidRPr="005A5D44">
        <w:t xml:space="preserve"> </w:t>
      </w:r>
      <w:r>
        <w:t>resources and information to the</w:t>
      </w:r>
      <w:r w:rsidRPr="005A5D44">
        <w:t xml:space="preserve"> support network.</w:t>
      </w:r>
    </w:p>
    <w:p w14:paraId="0FD99D7C" w14:textId="77777777" w:rsidR="00BF3CDE" w:rsidRDefault="00BF3CDE" w:rsidP="0046359C">
      <w:pPr>
        <w:pStyle w:val="Heading2"/>
      </w:pPr>
      <w:bookmarkStart w:id="260" w:name="_Toc99437547"/>
      <w:bookmarkStart w:id="261" w:name="_Toc94771847"/>
      <w:r>
        <w:t>International aged care advocacy experiences</w:t>
      </w:r>
      <w:bookmarkEnd w:id="260"/>
    </w:p>
    <w:p w14:paraId="5EC7A569" w14:textId="384A277C" w:rsidR="005C3DD4" w:rsidRDefault="005C3DD4" w:rsidP="0038083D">
      <w:pPr>
        <w:pStyle w:val="Heading3"/>
        <w:ind w:left="993" w:hanging="993"/>
      </w:pPr>
      <w:bookmarkStart w:id="262" w:name="_Toc99437548"/>
      <w:r>
        <w:t>Aged care advocacy in New Zealand (NZ)</w:t>
      </w:r>
      <w:bookmarkEnd w:id="261"/>
      <w:bookmarkEnd w:id="262"/>
    </w:p>
    <w:p w14:paraId="2C218483" w14:textId="7D581165" w:rsidR="005C3DD4" w:rsidRDefault="005C3DD4" w:rsidP="005C3DD4">
      <w:pPr>
        <w:rPr>
          <w:rFonts w:eastAsia="Calibri"/>
        </w:rPr>
      </w:pPr>
      <w:r>
        <w:rPr>
          <w:rFonts w:eastAsia="Calibri"/>
        </w:rPr>
        <w:t>In 2021, the older population, aged 65 and over, represented 16.75% of New Zealand’s population with 816,738 individuals. This number is expected to continually rise to almost 25% by 2041 with 1,344,441 people aged over 65.</w:t>
      </w:r>
      <w:r>
        <w:rPr>
          <w:rStyle w:val="EndnoteReference"/>
          <w:rFonts w:eastAsia="Calibri"/>
        </w:rPr>
        <w:endnoteReference w:id="68"/>
      </w:r>
      <w:r>
        <w:rPr>
          <w:rStyle w:val="EndnoteReference"/>
          <w:rFonts w:eastAsia="Calibri"/>
        </w:rPr>
        <w:endnoteReference w:id="69"/>
      </w:r>
      <w:r>
        <w:rPr>
          <w:rFonts w:eastAsia="Calibri"/>
        </w:rPr>
        <w:t xml:space="preserve"> Today, 69,713 New Zealanders are living with dementia with an expected rise to 99,245 by 2030.</w:t>
      </w:r>
      <w:r>
        <w:rPr>
          <w:rStyle w:val="EndnoteReference"/>
          <w:rFonts w:eastAsia="Calibri"/>
        </w:rPr>
        <w:endnoteReference w:id="70"/>
      </w:r>
      <w:r>
        <w:rPr>
          <w:rFonts w:eastAsia="Calibri"/>
        </w:rPr>
        <w:t xml:space="preserve"> The rise in population age and subsequently, people living with dementia, increases the demand for aged care services with increased level of support.</w:t>
      </w:r>
      <w:r>
        <w:rPr>
          <w:rStyle w:val="EndnoteReference"/>
          <w:rFonts w:eastAsia="Calibri"/>
        </w:rPr>
        <w:endnoteReference w:id="71"/>
      </w:r>
    </w:p>
    <w:p w14:paraId="1CE5677D" w14:textId="5B2BB831" w:rsidR="005C3DD4" w:rsidRDefault="005C3DD4" w:rsidP="005C3DD4">
      <w:r>
        <w:t>Aged care in New Zealand involves a variety of support services and residential aged care. Support services for older people include personal care, household support, carer support and equipment for in-home and community care.</w:t>
      </w:r>
      <w:r>
        <w:rPr>
          <w:rStyle w:val="EndnoteReference"/>
        </w:rPr>
        <w:endnoteReference w:id="72"/>
      </w:r>
      <w:r>
        <w:t xml:space="preserve"> Residential aged care provides long-term care which offers rest home care, continuing care (hospital), dementia care and specialised hospital care. These services are provided by variety of retirement villages, care homes, hospitals and health services working under their specific District Health Board (DHB).</w:t>
      </w:r>
      <w:r>
        <w:rPr>
          <w:rStyle w:val="EndnoteReference"/>
        </w:rPr>
        <w:endnoteReference w:id="73"/>
      </w:r>
      <w:r>
        <w:t xml:space="preserve"> There are 20 DHBs across New Zealand with 663 certified bodies.</w:t>
      </w:r>
      <w:r>
        <w:rPr>
          <w:rStyle w:val="EndnoteReference"/>
        </w:rPr>
        <w:endnoteReference w:id="74"/>
      </w:r>
      <w:r>
        <w:t xml:space="preserve"> </w:t>
      </w:r>
      <w:r>
        <w:rPr>
          <w:rFonts w:eastAsia="Calibri"/>
        </w:rPr>
        <w:t>In 2020 approximately 44,970 adults utilised residential aged care, representing 5.69% of the population over 65 at the time.</w:t>
      </w:r>
      <w:r>
        <w:rPr>
          <w:rStyle w:val="EndnoteReference"/>
          <w:rFonts w:eastAsia="Calibri"/>
        </w:rPr>
        <w:endnoteReference w:id="75"/>
      </w:r>
      <w:r w:rsidR="0082643E" w:rsidRPr="00FD3010">
        <w:rPr>
          <w:rFonts w:eastAsia="Calibri"/>
          <w:vertAlign w:val="superscript"/>
        </w:rPr>
        <w:t>,</w:t>
      </w:r>
      <w:r>
        <w:rPr>
          <w:rStyle w:val="EndnoteReference"/>
          <w:rFonts w:eastAsia="Calibri"/>
        </w:rPr>
        <w:endnoteReference w:id="76"/>
      </w:r>
    </w:p>
    <w:p w14:paraId="27BFEE58" w14:textId="77777777" w:rsidR="005C3DD4" w:rsidRDefault="005C3DD4" w:rsidP="005C3DD4">
      <w:proofErr w:type="gramStart"/>
      <w:r>
        <w:t>Similar to</w:t>
      </w:r>
      <w:proofErr w:type="gramEnd"/>
      <w:r>
        <w:t xml:space="preserve"> the ACQSC in Australia, the Health Quality and Safety Commission (HQSC) New Zealand inspects regulated aged care to ensure quality improvement in aged care. Through partnership with the aged care sector and future Aged Care Commissioner, HQSC aims to develop and implement a quality improvement program.</w:t>
      </w:r>
      <w:r>
        <w:rPr>
          <w:rStyle w:val="EndnoteReference"/>
        </w:rPr>
        <w:endnoteReference w:id="77"/>
      </w:r>
      <w:r>
        <w:t xml:space="preserve"> Additionally, ARC services are regulated under a national contract between DHBs and ARC providers, ensuring a national standard of services provided to residents in long-term residential care under The Health and Disability Services (Safety) Act 2001.</w:t>
      </w:r>
      <w:r>
        <w:rPr>
          <w:rStyle w:val="EndnoteReference"/>
        </w:rPr>
        <w:endnoteReference w:id="78"/>
      </w:r>
    </w:p>
    <w:p w14:paraId="092767D6" w14:textId="77777777" w:rsidR="005C3DD4" w:rsidRDefault="005C3DD4" w:rsidP="005C3DD4">
      <w:pPr>
        <w:rPr>
          <w:rFonts w:eastAsia="Calibri"/>
        </w:rPr>
      </w:pPr>
      <w:r>
        <w:t>In New Zealand, there are a range of advocacy services available to older people operating at an individual and national level. The need for aged care advocacy is growing in New Zealand, like the rest of the world, due to the ageing population requiring high quality care.</w:t>
      </w:r>
      <w:r>
        <w:rPr>
          <w:rStyle w:val="EndnoteReference"/>
          <w:rFonts w:eastAsia="Calibri"/>
        </w:rPr>
        <w:endnoteReference w:id="79"/>
      </w:r>
      <w:r w:rsidRPr="009A2907">
        <w:rPr>
          <w:rFonts w:eastAsia="Calibri"/>
        </w:rPr>
        <w:t xml:space="preserve"> </w:t>
      </w:r>
      <w:r>
        <w:rPr>
          <w:rFonts w:eastAsia="Calibri"/>
        </w:rPr>
        <w:t>National groups such as the New Zealand Aged Care Association (NZACA) and Age Concern NZ are New Zealand’s largest advocacy bodies in the aged care sector representing the population over 65.</w:t>
      </w:r>
      <w:r>
        <w:rPr>
          <w:rStyle w:val="EndnoteReference"/>
          <w:rFonts w:eastAsia="Calibri"/>
        </w:rPr>
        <w:endnoteReference w:id="80"/>
      </w:r>
      <w:r>
        <w:rPr>
          <w:rFonts w:eastAsia="Calibri"/>
        </w:rPr>
        <w:t xml:space="preserve"> </w:t>
      </w:r>
      <w:r w:rsidRPr="009653A1">
        <w:rPr>
          <w:rFonts w:eastAsia="Calibri"/>
        </w:rPr>
        <w:t xml:space="preserve"> </w:t>
      </w:r>
      <w:r>
        <w:rPr>
          <w:rFonts w:eastAsia="Calibri"/>
        </w:rPr>
        <w:t>Both advocacy groups are dedicated to promoting the wellbeing and welfare of the older population and are strongly involved in increasing the availability and quality of services. They are independent of the government however work as a second voice to resolve issues at an individual level and lobby for policy change at a national level.</w:t>
      </w:r>
      <w:r w:rsidRPr="004632BD">
        <w:rPr>
          <w:rStyle w:val="EndnoteReference"/>
          <w:rFonts w:eastAsia="Calibri"/>
        </w:rPr>
        <w:t xml:space="preserve"> </w:t>
      </w:r>
      <w:r>
        <w:rPr>
          <w:rStyle w:val="EndnoteReference"/>
          <w:rFonts w:eastAsia="Calibri"/>
        </w:rPr>
        <w:endnoteReference w:id="81"/>
      </w:r>
      <w:r>
        <w:rPr>
          <w:rStyle w:val="EndnoteReference"/>
          <w:rFonts w:eastAsia="Calibri"/>
        </w:rPr>
        <w:endnoteReference w:id="82"/>
      </w:r>
    </w:p>
    <w:p w14:paraId="47C72341" w14:textId="36A04FE5" w:rsidR="005C3DD4" w:rsidRDefault="005C3DD4" w:rsidP="005C3DD4">
      <w:r>
        <w:rPr>
          <w:rFonts w:eastAsia="Calibri"/>
        </w:rPr>
        <w:t>Age Concern NZ is one of New Zealand’s largest advocacy service dedicated to people over 65. It is a national membership charity made up of 34 local Age Concerns across New Zealand promoting the rights, wellbeing, respect</w:t>
      </w:r>
      <w:r w:rsidR="00C0106C">
        <w:rPr>
          <w:rFonts w:eastAsia="Calibri"/>
        </w:rPr>
        <w:t>,</w:t>
      </w:r>
      <w:r>
        <w:rPr>
          <w:rFonts w:eastAsia="Calibri"/>
        </w:rPr>
        <w:t xml:space="preserve"> and dignity of old people through individual level advocacy. Age Concern NZ is </w:t>
      </w:r>
      <w:r w:rsidR="00A6755A">
        <w:rPr>
          <w:rFonts w:eastAsia="Calibri"/>
        </w:rPr>
        <w:t>composed</w:t>
      </w:r>
      <w:r>
        <w:rPr>
          <w:rFonts w:eastAsia="Calibri"/>
        </w:rPr>
        <w:t xml:space="preserve"> of local Age Concern members which pay a membership fee to the national office and operate under membership standards. Local Age Concerns provide volunteer, elder abuse, health promotion and policy/advocacy services to New Zealander’s older population. Age Concern NZ supports older New Zealanders with programs and advocacy around aged care provision with a focus on social connections, health promotion, elder abuse and neglect prevention, individual advocacy, policy submissions, </w:t>
      </w:r>
      <w:proofErr w:type="gramStart"/>
      <w:r>
        <w:rPr>
          <w:rFonts w:eastAsia="Calibri"/>
        </w:rPr>
        <w:t>research</w:t>
      </w:r>
      <w:proofErr w:type="gramEnd"/>
      <w:r>
        <w:rPr>
          <w:rFonts w:eastAsia="Calibri"/>
        </w:rPr>
        <w:t xml:space="preserve"> and communications. Individual advocacy is delivered through local Age Concern visitations and call communications to help the older population exercise and understand their rights, as well as address issues endured within aged care. In the last year, members of local Age Concerns visited 70,420 lonely and isolated older people and received 2,452 referrals where elder abuse was suspected</w:t>
      </w:r>
      <w:r w:rsidRPr="009C2D67">
        <w:t>.</w:t>
      </w:r>
      <w:r w:rsidRPr="009C2D67">
        <w:rPr>
          <w:rStyle w:val="EndnoteReference"/>
        </w:rPr>
        <w:endnoteReference w:id="83"/>
      </w:r>
    </w:p>
    <w:p w14:paraId="3DA05C64" w14:textId="77777777" w:rsidR="005C3DD4" w:rsidRDefault="005C3DD4" w:rsidP="005C3DD4">
      <w:r>
        <w:t>Age Concern NZ also provides national advocacy to issues affecting older people, as well as equips local Age Concerns to deliver crucial services to the local communities. The national office provides resources on a variety of topical issues, policy submissions, network supports and coordinates both the Accredited Visiting Service and the Elder Abuse and Neglect Prevention Services. Age Concern works closely in the aged care sector where self-advocacy is not universal and is required to improve the quality of care and residential services for the older population.</w:t>
      </w:r>
      <w:r>
        <w:rPr>
          <w:rStyle w:val="EndnoteReference"/>
        </w:rPr>
        <w:endnoteReference w:id="84"/>
      </w:r>
      <w:r>
        <w:t xml:space="preserve"> Age Concern NZ provides a range of educational programs to improve independence as well as key services involving:</w:t>
      </w:r>
    </w:p>
    <w:p w14:paraId="4C0531C2" w14:textId="77777777" w:rsidR="005C3DD4" w:rsidRDefault="005C3DD4" w:rsidP="00F178E7">
      <w:pPr>
        <w:pStyle w:val="ListParagraph"/>
        <w:numPr>
          <w:ilvl w:val="0"/>
          <w:numId w:val="26"/>
        </w:numPr>
        <w:ind w:left="357" w:hanging="357"/>
        <w:jc w:val="both"/>
      </w:pPr>
      <w:r>
        <w:t>Elder Abuse and Neglect Prevention</w:t>
      </w:r>
    </w:p>
    <w:p w14:paraId="7E52B99D" w14:textId="77777777" w:rsidR="005C3DD4" w:rsidRDefault="005C3DD4" w:rsidP="00F178E7">
      <w:pPr>
        <w:pStyle w:val="ListParagraph"/>
        <w:numPr>
          <w:ilvl w:val="0"/>
          <w:numId w:val="26"/>
        </w:numPr>
        <w:ind w:left="357" w:hanging="357"/>
        <w:jc w:val="both"/>
      </w:pPr>
      <w:r>
        <w:t>Social Connection programs</w:t>
      </w:r>
    </w:p>
    <w:p w14:paraId="46A7A995" w14:textId="77777777" w:rsidR="005C3DD4" w:rsidRDefault="005C3DD4" w:rsidP="00F178E7">
      <w:pPr>
        <w:pStyle w:val="ListParagraph"/>
        <w:numPr>
          <w:ilvl w:val="0"/>
          <w:numId w:val="26"/>
        </w:numPr>
        <w:ind w:left="357" w:hanging="357"/>
        <w:jc w:val="both"/>
      </w:pPr>
      <w:r>
        <w:t>Health Promotion</w:t>
      </w:r>
    </w:p>
    <w:p w14:paraId="29218230" w14:textId="77777777" w:rsidR="005C3DD4" w:rsidRDefault="005C3DD4" w:rsidP="00F178E7">
      <w:pPr>
        <w:pStyle w:val="ListParagraph"/>
        <w:numPr>
          <w:ilvl w:val="0"/>
          <w:numId w:val="26"/>
        </w:numPr>
        <w:ind w:left="357" w:hanging="357"/>
        <w:jc w:val="both"/>
      </w:pPr>
      <w:r>
        <w:t>Accredited Visiting Service</w:t>
      </w:r>
    </w:p>
    <w:p w14:paraId="058C22BD" w14:textId="77777777" w:rsidR="005C3DD4" w:rsidRDefault="005C3DD4" w:rsidP="00F178E7">
      <w:pPr>
        <w:pStyle w:val="ListParagraph"/>
        <w:numPr>
          <w:ilvl w:val="0"/>
          <w:numId w:val="26"/>
        </w:numPr>
        <w:ind w:left="357" w:hanging="357"/>
        <w:jc w:val="both"/>
      </w:pPr>
      <w:r>
        <w:t>Referrals</w:t>
      </w:r>
    </w:p>
    <w:p w14:paraId="6C1D6215" w14:textId="298D388C" w:rsidR="005C3DD4" w:rsidRDefault="005C3DD4" w:rsidP="005C3DD4">
      <w:pPr>
        <w:rPr>
          <w:rFonts w:eastAsia="Calibri"/>
        </w:rPr>
      </w:pPr>
      <w:r>
        <w:t>Age Concern NZ is primarily funded through government contracts for services including the Accredited Volunteer Service, Elder Abuse Services, Health Promotion Programs and Policy/Advocacy work. Most contractual income is passed onto local Age Concerns to run these programs whilst retaining national coordination and management fee. The rest of Age Concern NZ’s income is from corporate partnerships and sponsors, grants, estates, and donations.</w:t>
      </w:r>
      <w:r>
        <w:rPr>
          <w:rStyle w:val="EndnoteReference"/>
        </w:rPr>
        <w:endnoteReference w:id="85"/>
      </w:r>
      <w:r>
        <w:t xml:space="preserve"> The latest available report in 2019 showed $2</w:t>
      </w:r>
      <w:r w:rsidR="00DE2616">
        <w:t>.2</w:t>
      </w:r>
      <w:r w:rsidR="00885532">
        <w:t xml:space="preserve"> </w:t>
      </w:r>
      <w:r w:rsidR="00DE2616">
        <w:t>million (NZD)</w:t>
      </w:r>
      <w:r>
        <w:t xml:space="preserve"> was spent on business operations, primarily focussed on advocacy services.</w:t>
      </w:r>
      <w:r>
        <w:rPr>
          <w:rStyle w:val="EndnoteReference"/>
        </w:rPr>
        <w:endnoteReference w:id="86"/>
      </w:r>
    </w:p>
    <w:p w14:paraId="3E48AD06" w14:textId="6A67FDD8" w:rsidR="005C3DD4" w:rsidRDefault="005C3DD4" w:rsidP="005C3DD4">
      <w:r>
        <w:rPr>
          <w:rFonts w:eastAsia="Calibri"/>
        </w:rPr>
        <w:t>The New Zealand Aged Care Association (NZACA) is New Zealand’s largest and most influential association representing all parts of New Zealand’s aged residential care (ARC) sector</w:t>
      </w:r>
      <w:r w:rsidR="009F651A">
        <w:rPr>
          <w:rFonts w:eastAsia="Calibri"/>
        </w:rPr>
        <w:t>,</w:t>
      </w:r>
      <w:r>
        <w:rPr>
          <w:rFonts w:eastAsia="Calibri"/>
        </w:rPr>
        <w:t xml:space="preserve"> </w:t>
      </w:r>
      <w:proofErr w:type="gramStart"/>
      <w:r>
        <w:rPr>
          <w:rFonts w:eastAsia="Calibri"/>
        </w:rPr>
        <w:t>and also</w:t>
      </w:r>
      <w:proofErr w:type="gramEnd"/>
      <w:r>
        <w:rPr>
          <w:rFonts w:eastAsia="Calibri"/>
        </w:rPr>
        <w:t xml:space="preserve"> provides national advocacy. The NZACA is a not-for-profit, national membership organisation affiliated with 93% of New Zealand’s ARC sector. The NZACA aims to ensure the sector receives the support and recognition required for the provision of high-quality care to the older population. The NZACA provides national-level advocacy to shape policy and provide leadership on issues impacting the aged care sector.</w:t>
      </w:r>
      <w:r>
        <w:rPr>
          <w:rStyle w:val="EndnoteReference"/>
          <w:rFonts w:eastAsia="Calibri"/>
        </w:rPr>
        <w:endnoteReference w:id="87"/>
      </w:r>
      <w:r>
        <w:rPr>
          <w:rFonts w:eastAsia="Calibri"/>
        </w:rPr>
        <w:t xml:space="preserve"> </w:t>
      </w:r>
      <w:r>
        <w:t>There are two types of national advocacy conducted by NZACA:</w:t>
      </w:r>
    </w:p>
    <w:p w14:paraId="0522A084" w14:textId="77777777" w:rsidR="005C3DD4" w:rsidRDefault="005C3DD4" w:rsidP="00F178E7">
      <w:pPr>
        <w:pStyle w:val="ListParagraph"/>
        <w:numPr>
          <w:ilvl w:val="0"/>
          <w:numId w:val="24"/>
        </w:numPr>
        <w:ind w:left="357" w:hanging="357"/>
        <w:rPr>
          <w:rFonts w:eastAsia="Calibri"/>
        </w:rPr>
      </w:pPr>
      <w:r>
        <w:rPr>
          <w:rFonts w:eastAsia="Calibri"/>
        </w:rPr>
        <w:t>Systemic advocacy: A process that takes on generic issues that affect individuals and groups. The focus is usually on structural or political issues with advocates acting as spokesperson.</w:t>
      </w:r>
    </w:p>
    <w:p w14:paraId="1C74998F" w14:textId="12E67288" w:rsidR="005C3DD4" w:rsidRPr="00B54B8C" w:rsidRDefault="005C3DD4" w:rsidP="00F178E7">
      <w:pPr>
        <w:pStyle w:val="ListParagraph"/>
        <w:numPr>
          <w:ilvl w:val="0"/>
          <w:numId w:val="24"/>
        </w:numPr>
        <w:ind w:left="357" w:hanging="357"/>
        <w:rPr>
          <w:rFonts w:eastAsia="Calibri"/>
        </w:rPr>
      </w:pPr>
      <w:r>
        <w:rPr>
          <w:rFonts w:eastAsia="Calibri"/>
        </w:rPr>
        <w:t>Empowerment advocacy: A process emphasi</w:t>
      </w:r>
      <w:r w:rsidR="005E7CB6">
        <w:rPr>
          <w:rFonts w:eastAsia="Calibri"/>
        </w:rPr>
        <w:t>s</w:t>
      </w:r>
      <w:r>
        <w:rPr>
          <w:rFonts w:eastAsia="Calibri"/>
        </w:rPr>
        <w:t>ing sharing information and resources and teaching individual skills to facilitate self-empowerment towards self-advocacy.</w:t>
      </w:r>
      <w:r>
        <w:rPr>
          <w:rStyle w:val="EndnoteReference"/>
          <w:rFonts w:eastAsia="Calibri"/>
        </w:rPr>
        <w:endnoteReference w:id="88"/>
      </w:r>
    </w:p>
    <w:p w14:paraId="4033BFDE" w14:textId="6530AC81" w:rsidR="005C3DD4" w:rsidRPr="00CC5669" w:rsidRDefault="005C3DD4" w:rsidP="005C3DD4">
      <w:pPr>
        <w:rPr>
          <w:rFonts w:eastAsia="Calibri"/>
        </w:rPr>
      </w:pPr>
      <w:r w:rsidRPr="00CC5669">
        <w:t>Member care facilities providing aged care to older New Zealanders receive support, representation</w:t>
      </w:r>
      <w:r w:rsidR="005E7CB6">
        <w:t>,</w:t>
      </w:r>
      <w:r w:rsidRPr="00CC5669">
        <w:t xml:space="preserve"> and educational resources from NZACA and must abide by the following rules and codes of conduct</w:t>
      </w:r>
      <w:r>
        <w:t xml:space="preserve"> including </w:t>
      </w:r>
      <w:r w:rsidRPr="00CC5669">
        <w:rPr>
          <w:rFonts w:eastAsia="Calibri"/>
        </w:rPr>
        <w:t>the Code of Residents Rights’ and Responsibilities, which provides a set of consumer rights and responsibilities to be respected by NZACA members and the Code of Health and Disability Services Consumer’s Rights which are legally enforceable</w:t>
      </w:r>
      <w:r>
        <w:rPr>
          <w:rFonts w:eastAsia="Calibri"/>
        </w:rPr>
        <w:t>.</w:t>
      </w:r>
      <w:r w:rsidRPr="00CC5669">
        <w:rPr>
          <w:rStyle w:val="EndnoteReference"/>
          <w:rFonts w:eastAsia="Calibri"/>
        </w:rPr>
        <w:endnoteReference w:id="89"/>
      </w:r>
    </w:p>
    <w:p w14:paraId="1C5474FA" w14:textId="77777777" w:rsidR="005C3DD4" w:rsidRDefault="005C3DD4" w:rsidP="0038083D">
      <w:pPr>
        <w:pStyle w:val="Heading3"/>
        <w:ind w:left="993" w:hanging="993"/>
      </w:pPr>
      <w:bookmarkStart w:id="263" w:name="_Toc94771848"/>
      <w:bookmarkStart w:id="264" w:name="_Toc99437549"/>
      <w:r w:rsidRPr="00427203">
        <w:t>Aged care advocacy in the United Kingdom</w:t>
      </w:r>
      <w:r>
        <w:t xml:space="preserve"> (UK)</w:t>
      </w:r>
      <w:bookmarkEnd w:id="263"/>
      <w:bookmarkEnd w:id="264"/>
    </w:p>
    <w:p w14:paraId="6F185FAD" w14:textId="29BF1CF7" w:rsidR="005C3DD4" w:rsidRDefault="005C3DD4" w:rsidP="005C3DD4">
      <w:r>
        <w:t>In 2021, approximately 13 million people in the UK population were aged over 65 representing 19% of the population.</w:t>
      </w:r>
      <w:r>
        <w:rPr>
          <w:rStyle w:val="EndnoteReference"/>
        </w:rPr>
        <w:endnoteReference w:id="90"/>
      </w:r>
      <w:r>
        <w:t xml:space="preserve"> With continued growth expected, by 2039 the estimated representation of this cohort will reach 23.9%.</w:t>
      </w:r>
      <w:r>
        <w:rPr>
          <w:rStyle w:val="EndnoteReference"/>
        </w:rPr>
        <w:endnoteReference w:id="91"/>
      </w:r>
      <w:r>
        <w:t xml:space="preserve"> The need for care is likely to be substantial. Associated with growing old is the onset of long term and chronic conditions which require adequate care and management. 75% of the UK population over the age of 75 have more than one long term condition which rises to 82% in the over 85 cohort.</w:t>
      </w:r>
      <w:r>
        <w:rPr>
          <w:rStyle w:val="EndnoteReference"/>
        </w:rPr>
        <w:endnoteReference w:id="92"/>
      </w:r>
      <w:r>
        <w:t xml:space="preserve"> Age UK found that in 2017, 1 in 7 people in the UK over the age of 65 were estimated to be struggling to carry out at least one essential activity of daily living and require support.</w:t>
      </w:r>
      <w:r>
        <w:rPr>
          <w:rStyle w:val="EndnoteReference"/>
        </w:rPr>
        <w:endnoteReference w:id="93"/>
      </w:r>
    </w:p>
    <w:p w14:paraId="151B6D48" w14:textId="23C6FBDC" w:rsidR="005C3DD4" w:rsidRDefault="005C3DD4" w:rsidP="005C3DD4">
      <w:r>
        <w:t>In 2020, 6.45% of the older population received aged care in the UK. With 838,530 older adults receiving aged care, 58.5% received residential care and 41.5% received in home social care.</w:t>
      </w:r>
      <w:r>
        <w:rPr>
          <w:rStyle w:val="EndnoteReference"/>
        </w:rPr>
        <w:endnoteReference w:id="94"/>
      </w:r>
      <w:r>
        <w:rPr>
          <w:rStyle w:val="EndnoteReference"/>
        </w:rPr>
        <w:endnoteReference w:id="95"/>
      </w:r>
      <w:r>
        <w:t xml:space="preserve"> Research shows that 97% of people in the UK would choose to stay in their own homes to be cared for if they could.</w:t>
      </w:r>
      <w:r>
        <w:rPr>
          <w:rStyle w:val="EndnoteReference"/>
        </w:rPr>
        <w:endnoteReference w:id="96"/>
      </w:r>
      <w:r>
        <w:t xml:space="preserve"> This decision has increased the availability of in-home care to meet consumer preference. In the UK, residential care entails nursing homes (care homes with nursing) and residential homes (care homes). There are 17,500 care homes across the UK with 490,326 living in residential care facilities. The uptake of aged care service and facilities in the UK for adults over 65 is 3.77% for 2020.</w:t>
      </w:r>
      <w:r>
        <w:rPr>
          <w:rStyle w:val="EndnoteReference"/>
        </w:rPr>
        <w:endnoteReference w:id="97"/>
      </w:r>
      <w:r>
        <w:t xml:space="preserve"> Over recent years the occupancy rates of care homes in the UK remained relatively high and stable between 87 and 89 percent. After COVID-19 impact on mortality, care home occupancy reduced to 79% in mid-2020. All providers of regulated care are inspected by the Care Quality Commission to ensure high quality and safety of care in hospitals, dentists, ambulances, and care homes, and the care given in people’s own homes.</w:t>
      </w:r>
      <w:r>
        <w:rPr>
          <w:rStyle w:val="EndnoteReference"/>
        </w:rPr>
        <w:endnoteReference w:id="98"/>
      </w:r>
    </w:p>
    <w:p w14:paraId="583C1954" w14:textId="77777777" w:rsidR="005C3DD4" w:rsidRPr="00B75710" w:rsidRDefault="005C3DD4" w:rsidP="005C3DD4">
      <w:r w:rsidRPr="00B75710">
        <w:t>In the United Kingdom, the Older People’s Advocacy Alliance (OPAAL) is a funded charity that promotes and develops independent advocacy services for advocacy providers.</w:t>
      </w:r>
      <w:r w:rsidRPr="00B75710">
        <w:rPr>
          <w:rStyle w:val="EndnoteReference"/>
        </w:rPr>
        <w:endnoteReference w:id="99"/>
      </w:r>
      <w:r w:rsidRPr="00B75710">
        <w:t xml:space="preserve"> OPAAL does not provide advocacy services directly but provides a framework of operations for new and existing advocacy providers. There are a significant number of aged care advocacy organisations within the UK that provide help and advocacy on a range of issues including financial matters, health and wellbeing, care and support for housing and other matters, and employment and further education. Many of these providers operate around the UK and form the membership base of OPAAL. OPAAL provides an advocacy checklist for member organisations to publicly demonstrate the commitment towards older people care. With an OPAAL membership, members will receive training on advocacy, access to resources and accreditation, and lastly be advertised as an advocacy member.</w:t>
      </w:r>
      <w:r w:rsidRPr="00B75710">
        <w:rPr>
          <w:rStyle w:val="EndnoteReference"/>
        </w:rPr>
        <w:endnoteReference w:id="100"/>
      </w:r>
    </w:p>
    <w:p w14:paraId="14A491DF" w14:textId="77777777" w:rsidR="005C3DD4" w:rsidRDefault="005C3DD4" w:rsidP="005C3DD4">
      <w:r>
        <w:t>The primary categories of advocacy covered by OPAAL’s member organisations include:</w:t>
      </w:r>
    </w:p>
    <w:p w14:paraId="087CD023" w14:textId="23B8EF61" w:rsidR="005C3DD4" w:rsidRDefault="005C3DD4" w:rsidP="00F178E7">
      <w:pPr>
        <w:pStyle w:val="ListParagraph"/>
        <w:numPr>
          <w:ilvl w:val="0"/>
          <w:numId w:val="25"/>
        </w:numPr>
        <w:ind w:left="357" w:hanging="357"/>
      </w:pPr>
      <w:r w:rsidRPr="00F44141">
        <w:rPr>
          <w:b/>
          <w:bCs/>
        </w:rPr>
        <w:t>Non-instructed advocacy</w:t>
      </w:r>
      <w:r>
        <w:t xml:space="preserve"> – decision making for an older person who is unable to convey their needs due to barriers such as cognitive impairment, substance misuse, temporary </w:t>
      </w:r>
      <w:proofErr w:type="gramStart"/>
      <w:r>
        <w:t>unconsciousness</w:t>
      </w:r>
      <w:proofErr w:type="gramEnd"/>
      <w:r>
        <w:t xml:space="preserve"> and other factors.</w:t>
      </w:r>
      <w:r>
        <w:rPr>
          <w:rStyle w:val="EndnoteReference"/>
        </w:rPr>
        <w:endnoteReference w:id="101"/>
      </w:r>
      <w:r w:rsidRPr="00751F5E">
        <w:rPr>
          <w:vertAlign w:val="superscript"/>
        </w:rPr>
        <w:t>,</w:t>
      </w:r>
      <w:r>
        <w:rPr>
          <w:rStyle w:val="EndnoteReference"/>
        </w:rPr>
        <w:endnoteReference w:id="102"/>
      </w:r>
    </w:p>
    <w:p w14:paraId="37498411" w14:textId="77777777" w:rsidR="005C3DD4" w:rsidRDefault="005C3DD4" w:rsidP="00F178E7">
      <w:pPr>
        <w:pStyle w:val="ListParagraph"/>
        <w:numPr>
          <w:ilvl w:val="0"/>
          <w:numId w:val="25"/>
        </w:numPr>
        <w:ind w:left="357" w:hanging="357"/>
      </w:pPr>
      <w:r w:rsidRPr="00F44141">
        <w:rPr>
          <w:b/>
          <w:bCs/>
        </w:rPr>
        <w:t>Peer (Group) self</w:t>
      </w:r>
      <w:r>
        <w:rPr>
          <w:b/>
          <w:bCs/>
        </w:rPr>
        <w:t>-</w:t>
      </w:r>
      <w:r w:rsidRPr="00F44141">
        <w:rPr>
          <w:b/>
          <w:bCs/>
        </w:rPr>
        <w:t>advocacy</w:t>
      </w:r>
      <w:r>
        <w:t xml:space="preserve"> – facilitating advocacy in a group setting through people who have undergone similar experiences.</w:t>
      </w:r>
      <w:r>
        <w:rPr>
          <w:rStyle w:val="EndnoteReference"/>
        </w:rPr>
        <w:endnoteReference w:id="103"/>
      </w:r>
    </w:p>
    <w:p w14:paraId="1A5C403E" w14:textId="77777777" w:rsidR="005C3DD4" w:rsidRDefault="005C3DD4" w:rsidP="00F178E7">
      <w:pPr>
        <w:pStyle w:val="ListParagraph"/>
        <w:numPr>
          <w:ilvl w:val="0"/>
          <w:numId w:val="25"/>
        </w:numPr>
        <w:ind w:left="357" w:hanging="357"/>
      </w:pPr>
      <w:r w:rsidRPr="00F44141">
        <w:rPr>
          <w:b/>
          <w:bCs/>
        </w:rPr>
        <w:t>One</w:t>
      </w:r>
      <w:r>
        <w:rPr>
          <w:b/>
          <w:bCs/>
        </w:rPr>
        <w:t>-</w:t>
      </w:r>
      <w:r w:rsidRPr="00F44141">
        <w:rPr>
          <w:b/>
          <w:bCs/>
        </w:rPr>
        <w:t>to</w:t>
      </w:r>
      <w:r>
        <w:rPr>
          <w:b/>
          <w:bCs/>
        </w:rPr>
        <w:t>-</w:t>
      </w:r>
      <w:r w:rsidRPr="00F44141">
        <w:rPr>
          <w:b/>
          <w:bCs/>
        </w:rPr>
        <w:t>one citizen advocacy</w:t>
      </w:r>
      <w:r>
        <w:t xml:space="preserve"> – advocacy programs delivered by citizens with the skills to support people who are disadvantaged and not in a position to exercise their rights. The citizen volunteer builds a one-to-one relationship with the older person they are supporting and is independent of any service providers.</w:t>
      </w:r>
      <w:r>
        <w:rPr>
          <w:rStyle w:val="EndnoteReference"/>
        </w:rPr>
        <w:endnoteReference w:id="104"/>
      </w:r>
    </w:p>
    <w:p w14:paraId="6019499D" w14:textId="77777777" w:rsidR="005C3DD4" w:rsidRDefault="005C3DD4" w:rsidP="00F178E7">
      <w:pPr>
        <w:pStyle w:val="ListParagraph"/>
        <w:numPr>
          <w:ilvl w:val="0"/>
          <w:numId w:val="25"/>
        </w:numPr>
        <w:ind w:left="357" w:hanging="357"/>
      </w:pPr>
      <w:r w:rsidRPr="00F44141">
        <w:rPr>
          <w:b/>
          <w:bCs/>
        </w:rPr>
        <w:t>Individual casework advocacy</w:t>
      </w:r>
      <w:r>
        <w:t xml:space="preserve"> – individual casework management provided for issues that might need legal attention</w:t>
      </w:r>
    </w:p>
    <w:p w14:paraId="4529E3A0" w14:textId="77777777" w:rsidR="005C3DD4" w:rsidRDefault="005C3DD4" w:rsidP="00F178E7">
      <w:pPr>
        <w:pStyle w:val="ListParagraph"/>
        <w:numPr>
          <w:ilvl w:val="0"/>
          <w:numId w:val="25"/>
        </w:numPr>
        <w:ind w:left="357" w:hanging="357"/>
      </w:pPr>
      <w:r w:rsidRPr="00F44141">
        <w:rPr>
          <w:b/>
          <w:bCs/>
        </w:rPr>
        <w:t>Independent Mental Capacity Advocate (IMCA)</w:t>
      </w:r>
      <w:r>
        <w:t xml:space="preserve"> – an advocate appointed to act on behalf of someone who is unable to make decisions or communicate their needs due to mental health constraints.</w:t>
      </w:r>
      <w:r>
        <w:rPr>
          <w:rStyle w:val="EndnoteReference"/>
        </w:rPr>
        <w:endnoteReference w:id="105"/>
      </w:r>
    </w:p>
    <w:p w14:paraId="730E57EC" w14:textId="77777777" w:rsidR="005C3DD4" w:rsidRDefault="005C3DD4" w:rsidP="00F178E7">
      <w:pPr>
        <w:pStyle w:val="ListParagraph"/>
        <w:numPr>
          <w:ilvl w:val="0"/>
          <w:numId w:val="25"/>
        </w:numPr>
        <w:ind w:left="357" w:hanging="357"/>
      </w:pPr>
      <w:r w:rsidRPr="00F44141">
        <w:rPr>
          <w:b/>
          <w:bCs/>
        </w:rPr>
        <w:t>Deprivation of Liberty Safeguards (</w:t>
      </w:r>
      <w:proofErr w:type="spellStart"/>
      <w:r w:rsidRPr="00F44141">
        <w:rPr>
          <w:b/>
          <w:bCs/>
        </w:rPr>
        <w:t>DoLS</w:t>
      </w:r>
      <w:proofErr w:type="spellEnd"/>
      <w:r w:rsidRPr="00F44141">
        <w:rPr>
          <w:b/>
          <w:bCs/>
        </w:rPr>
        <w:t>)</w:t>
      </w:r>
      <w:r>
        <w:t xml:space="preserve"> – advocacy for a person who is unable to consent to their care arrangements in a care home or a hospital due a deprivation of their liberties.</w:t>
      </w:r>
      <w:r>
        <w:rPr>
          <w:rStyle w:val="EndnoteReference"/>
        </w:rPr>
        <w:endnoteReference w:id="106"/>
      </w:r>
    </w:p>
    <w:p w14:paraId="08500108" w14:textId="77777777" w:rsidR="005C3DD4" w:rsidRDefault="005C3DD4" w:rsidP="00F178E7">
      <w:pPr>
        <w:pStyle w:val="ListParagraph"/>
        <w:numPr>
          <w:ilvl w:val="0"/>
          <w:numId w:val="25"/>
        </w:numPr>
        <w:ind w:left="357" w:hanging="357"/>
      </w:pPr>
      <w:r w:rsidRPr="00F44141">
        <w:rPr>
          <w:b/>
          <w:bCs/>
        </w:rPr>
        <w:t>Independent Mental Health Advocate (</w:t>
      </w:r>
      <w:r>
        <w:rPr>
          <w:b/>
          <w:bCs/>
        </w:rPr>
        <w:t>I</w:t>
      </w:r>
      <w:r w:rsidRPr="00F44141">
        <w:rPr>
          <w:b/>
          <w:bCs/>
        </w:rPr>
        <w:t>MHA)</w:t>
      </w:r>
      <w:r>
        <w:t xml:space="preserve"> – advocacy for people facing challenges surrounding their mental health care and treatment, and information about the rights of people under their rights under UK’s Mental Health Act.</w:t>
      </w:r>
      <w:r>
        <w:rPr>
          <w:rStyle w:val="EndnoteReference"/>
        </w:rPr>
        <w:endnoteReference w:id="107"/>
      </w:r>
    </w:p>
    <w:p w14:paraId="004452F9" w14:textId="77777777" w:rsidR="005C3DD4" w:rsidRDefault="005C3DD4" w:rsidP="00F178E7">
      <w:pPr>
        <w:pStyle w:val="ListParagraph"/>
        <w:numPr>
          <w:ilvl w:val="0"/>
          <w:numId w:val="25"/>
        </w:numPr>
        <w:ind w:left="357" w:hanging="357"/>
      </w:pPr>
      <w:r w:rsidRPr="00F44141">
        <w:rPr>
          <w:b/>
          <w:bCs/>
        </w:rPr>
        <w:t>Independent Complaints Advocacy Service (ICAS)</w:t>
      </w:r>
      <w:r>
        <w:t xml:space="preserve"> – support for people who want to make a complaint about the National Health Service (NHS) through the NHS Complaints Procedure.</w:t>
      </w:r>
      <w:r>
        <w:rPr>
          <w:rStyle w:val="EndnoteReference"/>
        </w:rPr>
        <w:endnoteReference w:id="108"/>
      </w:r>
    </w:p>
    <w:p w14:paraId="582FBD5F" w14:textId="77777777" w:rsidR="005C3DD4" w:rsidRPr="001652FF" w:rsidRDefault="005C3DD4" w:rsidP="005C3DD4">
      <w:r>
        <w:t>Individual casework advocacy is the most available form of advocacy across OPAAL membership locations followed by non-instructed and one-to-one citizen advocacy. OPAAL is committed to campaigning for more advocacy provision through developing its’ membership basis.</w:t>
      </w:r>
      <w:r>
        <w:rPr>
          <w:rStyle w:val="EndnoteReference"/>
        </w:rPr>
        <w:endnoteReference w:id="109"/>
      </w:r>
    </w:p>
    <w:p w14:paraId="3A80D814" w14:textId="08C42885" w:rsidR="005C3DD4" w:rsidRDefault="005C3DD4" w:rsidP="005C3DD4">
      <w:r>
        <w:t xml:space="preserve">One of OPAAL’s largest membership organisations spanned across the UK is Age UK. Age UK is the country’s leading charity and advocacy network dedicated to helping everyone make the most of later life through companionship, advice, </w:t>
      </w:r>
      <w:proofErr w:type="gramStart"/>
      <w:r>
        <w:t>support</w:t>
      </w:r>
      <w:proofErr w:type="gramEnd"/>
      <w:r>
        <w:t xml:space="preserve"> and advocacy for older people who need it most. The network includes Age Scotland, Age Cymru (Wales), Age NI and more than 130 Age UKs throughout England. Age UK, governed under charity, trust and company law, advocates for the health and financial well-being, education, </w:t>
      </w:r>
      <w:proofErr w:type="gramStart"/>
      <w:r>
        <w:t>equality</w:t>
      </w:r>
      <w:proofErr w:type="gramEnd"/>
      <w:r>
        <w:t xml:space="preserve"> and rights of older people. Age UK’s advocacy and support networks for the older population are in line with the advocacy and support framework envisioned by OPAAL working towards an older future.</w:t>
      </w:r>
      <w:r>
        <w:rPr>
          <w:rStyle w:val="EndnoteReference"/>
        </w:rPr>
        <w:endnoteReference w:id="110"/>
      </w:r>
    </w:p>
    <w:p w14:paraId="7BEE5513" w14:textId="77777777" w:rsidR="005C3DD4" w:rsidRPr="00B75710" w:rsidRDefault="005C3DD4" w:rsidP="005C3DD4">
      <w:r>
        <w:t xml:space="preserve">Age UK </w:t>
      </w:r>
      <w:r w:rsidRPr="00B75710">
        <w:t>advocacy services support older people (aged 50+) to make decisions and to be heard when decisions are being made about their lives. This can include listening to their views and concerns, assisting with exploring options, informing older persons of their rights, providing information to help them make informed decisions and helping older persons contact relevant people or contact them on their behalf (referral and signposting). This advocacy work has been applied for decisions relating to care planning, medical appointments and admissions, financial planning and administration, debt management and housing.</w:t>
      </w:r>
    </w:p>
    <w:p w14:paraId="0142A3A1" w14:textId="77777777" w:rsidR="005C3DD4" w:rsidRPr="008B3410" w:rsidRDefault="005C3DD4" w:rsidP="005C3DD4">
      <w:pPr>
        <w:rPr>
          <w:rFonts w:asciiTheme="minorHAnsi" w:hAnsiTheme="minorHAnsi" w:cstheme="minorHAnsi"/>
          <w:szCs w:val="22"/>
        </w:rPr>
      </w:pPr>
      <w:r>
        <w:t>Age UK’s advocacy services can be delivered at an individual level using the networks free, confidential advice line or a local Age UK service which offer spokespeople the opportunity to educate and advocate homecare and retirement issues.</w:t>
      </w:r>
      <w:r w:rsidRPr="008B3410">
        <w:rPr>
          <w:rStyle w:val="EndnoteReference"/>
          <w:rFonts w:asciiTheme="minorHAnsi" w:hAnsiTheme="minorHAnsi" w:cstheme="minorHAnsi"/>
          <w:szCs w:val="22"/>
        </w:rPr>
        <w:endnoteReference w:id="111"/>
      </w:r>
    </w:p>
    <w:p w14:paraId="748C165A" w14:textId="68532658" w:rsidR="005C3DD4" w:rsidRPr="002A0191" w:rsidRDefault="005C3DD4" w:rsidP="005C3DD4">
      <w:r>
        <w:t>To provide services to the older population, Age UK received 52% of funding through charitable contributions (donations, legacies, grants, and lotteries and raffles), and 44% through trading activities (charity shops and services alike). In 2020, Age UK had £58,210,000 available in net resources for charitable activities and spent £63.6 million</w:t>
      </w:r>
      <w:r>
        <w:rPr>
          <w:rFonts w:asciiTheme="minorHAnsi" w:hAnsiTheme="minorHAnsi" w:cstheme="minorHAnsi"/>
        </w:rPr>
        <w:t xml:space="preserve">, with </w:t>
      </w:r>
      <w:r>
        <w:t>£14.1 million (22.2%)</w:t>
      </w:r>
      <w:r w:rsidDel="00907D19">
        <w:rPr>
          <w:rFonts w:asciiTheme="minorHAnsi" w:hAnsiTheme="minorHAnsi" w:cstheme="minorHAnsi"/>
        </w:rPr>
        <w:t xml:space="preserve"> </w:t>
      </w:r>
      <w:r>
        <w:rPr>
          <w:rFonts w:asciiTheme="minorHAnsi" w:hAnsiTheme="minorHAnsi" w:cstheme="minorHAnsi"/>
        </w:rPr>
        <w:t>going to campaigning and research</w:t>
      </w:r>
      <w:r>
        <w:t>. Age UK’s three-year objective is to make the most difference for disadvantaged older people through effective campaigning and influencing, underpinned by policy work and research advocacy.</w:t>
      </w:r>
      <w:r>
        <w:rPr>
          <w:rStyle w:val="EndnoteReference"/>
        </w:rPr>
        <w:endnoteReference w:id="112"/>
      </w:r>
    </w:p>
    <w:p w14:paraId="3D4263BF" w14:textId="58F2E85E" w:rsidR="005C3DD4" w:rsidRDefault="005C3DD4" w:rsidP="005C3DD4">
      <w:r>
        <w:t>In 2019/20, Age UK handled 711,000 enquiries and responded to 233,332 enquiries on the national Advice Line.</w:t>
      </w:r>
      <w:r>
        <w:rPr>
          <w:rStyle w:val="EndnoteReference"/>
        </w:rPr>
        <w:endnoteReference w:id="113"/>
      </w:r>
    </w:p>
    <w:p w14:paraId="36F96EBA" w14:textId="77777777" w:rsidR="005C3DD4" w:rsidRDefault="005C3DD4" w:rsidP="0038083D">
      <w:pPr>
        <w:pStyle w:val="Heading3"/>
        <w:ind w:left="993" w:hanging="993"/>
      </w:pPr>
      <w:bookmarkStart w:id="265" w:name="_Toc94771849"/>
      <w:bookmarkStart w:id="266" w:name="_Toc99437550"/>
      <w:r>
        <w:t>Aged care advocacy in Canada</w:t>
      </w:r>
      <w:bookmarkEnd w:id="265"/>
      <w:bookmarkEnd w:id="266"/>
    </w:p>
    <w:p w14:paraId="1A19B555" w14:textId="79C93549" w:rsidR="005C3DD4" w:rsidRDefault="005C3DD4" w:rsidP="005C3DD4">
      <w:r>
        <w:t>Unlike Australia, oversight of Canada’s aged care varies across provincial and territorial government departments and agencies. In 2021, the population of Canadians over the age of 65 was 7,081,792 representing 19% of the population. There is high demand for aged care resources, with 40,000 people waiting to be admitted into an aged care facility</w:t>
      </w:r>
      <w:r>
        <w:rPr>
          <w:rStyle w:val="EndnoteReference"/>
        </w:rPr>
        <w:endnoteReference w:id="114"/>
      </w:r>
      <w:r>
        <w:t xml:space="preserve"> and 430,000 people have unmet home care needs.</w:t>
      </w:r>
      <w:r>
        <w:rPr>
          <w:rStyle w:val="EndnoteReference"/>
        </w:rPr>
        <w:endnoteReference w:id="115"/>
      </w:r>
      <w:r>
        <w:t xml:space="preserve"> In 2019, 7.9% of Canadians aged 65 and over lived in residential care facilities such as residences for seniors or health care and related facilities.</w:t>
      </w:r>
      <w:r>
        <w:rPr>
          <w:rStyle w:val="EndnoteReference"/>
        </w:rPr>
        <w:endnoteReference w:id="116"/>
      </w:r>
      <w:r>
        <w:t xml:space="preserve"> In comparison to Australia, New Zealand and the UK, utilisation of aged residential care in the older population of Canada is greater, however the Canadian Institute for Health Information (CIHI) found that 1 in 5 seniors in residential care have similar needs to individuals supported in the community.</w:t>
      </w:r>
      <w:r>
        <w:rPr>
          <w:rStyle w:val="EndnoteReference"/>
        </w:rPr>
        <w:endnoteReference w:id="117"/>
      </w:r>
      <w:r>
        <w:t xml:space="preserve"> With the baby boomer population entering aged care, the demand for aged care is set to double by 2031. Along with the ageing population growth is dementia. Following recent trends, the dementia rate of Canadians is expected to rise 66% over the next 15 years with onset risk doubling every five years after the age of 65.</w:t>
      </w:r>
      <w:r>
        <w:rPr>
          <w:rStyle w:val="EndnoteReference"/>
        </w:rPr>
        <w:endnoteReference w:id="118"/>
      </w:r>
    </w:p>
    <w:p w14:paraId="674E3699" w14:textId="77777777" w:rsidR="005C3DD4" w:rsidRDefault="005C3DD4" w:rsidP="005C3DD4">
      <w:r>
        <w:t>As the population ages, government policies are progressively encouraging older people over the age of 65 requiring support to seek home care. Although this progressive model relieves stress on hospitals and aged care facilities, it places pressure on caregivers and patients who are not equipped for home care.</w:t>
      </w:r>
      <w:r>
        <w:rPr>
          <w:rStyle w:val="EndnoteReference"/>
        </w:rPr>
        <w:endnoteReference w:id="119"/>
      </w:r>
    </w:p>
    <w:p w14:paraId="3E9178AE" w14:textId="77777777" w:rsidR="005C3DD4" w:rsidRDefault="005C3DD4" w:rsidP="005C3DD4">
      <w:r>
        <w:t>The provision of long-term care (LTC) homes, the equivalent of residential care homes, has been identified as a major issue within Canadian aged care and is currently under reform across all jurisdictions. Residents of LTC homes are assessed and deemed eligible by social service agencies at a provincial level and can generally take months from application. Provinces including British Columbia, Alberta and Ontario fully fund medical support and services in LTC homes.</w:t>
      </w:r>
      <w:r>
        <w:rPr>
          <w:rStyle w:val="EndnoteReference"/>
        </w:rPr>
        <w:endnoteReference w:id="120"/>
      </w:r>
    </w:p>
    <w:p w14:paraId="6DCF70AB" w14:textId="370E3B3D" w:rsidR="005C3DD4" w:rsidRDefault="005C3DD4" w:rsidP="005C3DD4">
      <w:pPr>
        <w:rPr>
          <w:highlight w:val="cyan"/>
        </w:rPr>
      </w:pPr>
      <w:r>
        <w:t>Canada’s aged care is regulated at a national level and governed at a provincial level. The Canada Health Act (1985) regulates reasonable, continued access to quality health care to all Canadians at a national level by establishing criteria and conditions for insured health services and extended health care services, including aged care.</w:t>
      </w:r>
      <w:r>
        <w:rPr>
          <w:rStyle w:val="EndnoteReference"/>
        </w:rPr>
        <w:endnoteReference w:id="121"/>
      </w:r>
      <w:r>
        <w:t xml:space="preserve"> Aged care across Canada is governed by provincial/territorial legislation. Different provinces have governing bodies and commissions to control aged care administration and ensure quality of care is provided. Recognised in British Columbia, Alberta and Ontario is the Commission on Accreditation of Rehabilitation Facilities (CARF) involved in a variety of Canadian services including aged care. CARF controls the standards in aged care to ensure provision of high quality of care</w:t>
      </w:r>
      <w:r w:rsidR="00C5557A">
        <w:t>.</w:t>
      </w:r>
      <w:r>
        <w:rPr>
          <w:rStyle w:val="EndnoteReference"/>
        </w:rPr>
        <w:endnoteReference w:id="122"/>
      </w:r>
    </w:p>
    <w:p w14:paraId="4A223892" w14:textId="3803679B" w:rsidR="005C3DD4" w:rsidRDefault="005C3DD4" w:rsidP="005C3DD4">
      <w:r>
        <w:t xml:space="preserve">Individual level advocacy is delivered at a provincial and territorial level. Due to the variation in aged care provision and governance, there is no national body delivering individual advocacy across all of Canada. However, recently, </w:t>
      </w:r>
      <w:proofErr w:type="gramStart"/>
      <w:r>
        <w:t>as a result of</w:t>
      </w:r>
      <w:proofErr w:type="gramEnd"/>
      <w:r>
        <w:t xml:space="preserve"> the COVID-19 pandemic, </w:t>
      </w:r>
      <w:proofErr w:type="spellStart"/>
      <w:r>
        <w:t>CanAge</w:t>
      </w:r>
      <w:proofErr w:type="spellEnd"/>
      <w:r>
        <w:t xml:space="preserve"> was established in 2020 as a national agency that advocates for policy change at both, national and provincial levels to improve the lives of older Canadians.</w:t>
      </w:r>
      <w:r>
        <w:rPr>
          <w:rStyle w:val="EndnoteReference"/>
        </w:rPr>
        <w:endnoteReference w:id="123"/>
      </w:r>
      <w:r>
        <w:t xml:space="preserve"> In partnership with federal and provincial governments, </w:t>
      </w:r>
      <w:proofErr w:type="spellStart"/>
      <w:r>
        <w:t>CanAge</w:t>
      </w:r>
      <w:proofErr w:type="spellEnd"/>
      <w:r>
        <w:t xml:space="preserve"> supports health and well-being, financial matters, housing aids and lobbies for policy change in support of its’ members - older people, their loved ones and advocates. </w:t>
      </w:r>
      <w:proofErr w:type="spellStart"/>
      <w:r>
        <w:t>CanAge’s</w:t>
      </w:r>
      <w:proofErr w:type="spellEnd"/>
      <w:r>
        <w:t xml:space="preserve"> advocacy primarily involves government engagements and has successfully lobbied 141 policy implementations and written 62 submissions (12 federal).</w:t>
      </w:r>
    </w:p>
    <w:p w14:paraId="1DE11AF9" w14:textId="2DC47F8F" w:rsidR="005C3DD4" w:rsidRDefault="005C3DD4" w:rsidP="005C3DD4">
      <w:r>
        <w:t xml:space="preserve">Below we consider individual advocacy in the three largest provinces of Ontario, </w:t>
      </w:r>
      <w:r w:rsidR="006D3D8F">
        <w:t>Quebec,</w:t>
      </w:r>
      <w:r>
        <w:t xml:space="preserve"> and British Columbia.</w:t>
      </w:r>
    </w:p>
    <w:p w14:paraId="5FD48571" w14:textId="77777777" w:rsidR="005C3DD4" w:rsidRDefault="005C3DD4" w:rsidP="00B10C01">
      <w:pPr>
        <w:pStyle w:val="Heading4un-numbered"/>
      </w:pPr>
      <w:r>
        <w:t>Ontario</w:t>
      </w:r>
    </w:p>
    <w:p w14:paraId="771028B9" w14:textId="77777777" w:rsidR="005C3DD4" w:rsidRPr="003276FF" w:rsidRDefault="005C3DD4" w:rsidP="005C3DD4">
      <w:r>
        <w:t>One of the largest individual aged care advocacy groups within Ontario is Concerned Friends. Concerned Friends is a registered charity that is funded solely by memberships and donations</w:t>
      </w:r>
      <w:r w:rsidRPr="002F6428">
        <w:t xml:space="preserve"> </w:t>
      </w:r>
      <w:r>
        <w:t>to address the lack of care in Long-Term Care Homes. The mission of Concerned Friends is to advance the health and well-being and enrich the experiences of Ontario citizens living in LTC homes.</w:t>
      </w:r>
      <w:r>
        <w:rPr>
          <w:rStyle w:val="EndnoteReference"/>
        </w:rPr>
        <w:endnoteReference w:id="124"/>
      </w:r>
      <w:r>
        <w:t xml:space="preserve"> Concerned Friends operates with volunteer advocates providing advice and assistance to residents in LTC homes and their family and friends. Volunteer advocates advocate through a toll-free service line or email as well as provide resources on determining the right LTC home. Concerned Friends also ensures that LTC homes follow the Long-Term Care Homes Act, Ontario’s legislation designed to help ensure residents of LTC receive safe, consistent, </w:t>
      </w:r>
      <w:proofErr w:type="gramStart"/>
      <w:r>
        <w:t>high-quality</w:t>
      </w:r>
      <w:proofErr w:type="gramEnd"/>
      <w:r>
        <w:t xml:space="preserve"> and resident-centred care.</w:t>
      </w:r>
      <w:r>
        <w:rPr>
          <w:rStyle w:val="EndnoteReference"/>
        </w:rPr>
        <w:endnoteReference w:id="125"/>
      </w:r>
      <w:r>
        <w:t xml:space="preserve"> Through LTC home inspections, Concerned Friends inspected a total of 627 homes in 2020 and found 1000 critical incidents, 659 complaints and 170 follow-up cases. Concerned Friends inspected 774 fewer LTC homes in 2020 in comparison to 2019.</w:t>
      </w:r>
      <w:r>
        <w:rPr>
          <w:rStyle w:val="EndnoteReference"/>
        </w:rPr>
        <w:endnoteReference w:id="126"/>
      </w:r>
    </w:p>
    <w:p w14:paraId="41F737E5" w14:textId="77777777" w:rsidR="005C3DD4" w:rsidRDefault="005C3DD4" w:rsidP="00B10C01">
      <w:pPr>
        <w:pStyle w:val="Heading4un-numbered"/>
      </w:pPr>
      <w:r>
        <w:t>Quebec</w:t>
      </w:r>
    </w:p>
    <w:p w14:paraId="44281B3E" w14:textId="7F82FE67" w:rsidR="005C3DD4" w:rsidRPr="00AA7F10" w:rsidRDefault="005C3DD4" w:rsidP="005C3DD4">
      <w:r>
        <w:t xml:space="preserve">In Quebec, the Conseil pour la protection des </w:t>
      </w:r>
      <w:proofErr w:type="spellStart"/>
      <w:r>
        <w:t>malades</w:t>
      </w:r>
      <w:proofErr w:type="spellEnd"/>
      <w:r>
        <w:t xml:space="preserve"> (CPM), translated to “Advice for the protection of the sick”, protects the well-being of health and social service users across the province. CPM advocates for Quebec’s sick, elderly, disabled and psychiatric population ensuring they have high-quality care and respected in their dignity.</w:t>
      </w:r>
      <w:r>
        <w:rPr>
          <w:rStyle w:val="EndnoteReference"/>
        </w:rPr>
        <w:endnoteReference w:id="127"/>
      </w:r>
      <w:r>
        <w:t xml:space="preserve"> CPM is an independent not-for-profit organisation established to defend and promote the rights to receive dignified and adequate healthcare. CPM provides an individual level consulting service for advocacy, development tools and resources, a mediation and conflict resolution service and a referral service to multiple resource departments and health network authorities. Additionally, CPM provides individual legal assistance and has initiated class actions to defend the collective rights of residents.</w:t>
      </w:r>
      <w:r>
        <w:rPr>
          <w:rStyle w:val="EndnoteReference"/>
        </w:rPr>
        <w:endnoteReference w:id="128"/>
      </w:r>
    </w:p>
    <w:p w14:paraId="11B284E9" w14:textId="77777777" w:rsidR="0042627C" w:rsidRDefault="0042627C">
      <w:pPr>
        <w:spacing w:after="0"/>
        <w:rPr>
          <w:u w:val="single"/>
        </w:rPr>
      </w:pPr>
      <w:r>
        <w:rPr>
          <w:u w:val="single"/>
        </w:rPr>
        <w:br w:type="page"/>
      </w:r>
    </w:p>
    <w:p w14:paraId="51A9E533" w14:textId="0BA3459E" w:rsidR="005C3DD4" w:rsidRPr="008356DF" w:rsidRDefault="005C3DD4" w:rsidP="00B10C01">
      <w:pPr>
        <w:pStyle w:val="Heading4un-numbered"/>
      </w:pPr>
      <w:r w:rsidRPr="008356DF">
        <w:t>British Columbia</w:t>
      </w:r>
    </w:p>
    <w:p w14:paraId="7DCAC0E5" w14:textId="665E549C" w:rsidR="005C3DD4" w:rsidRDefault="005C3DD4" w:rsidP="005C3DD4">
      <w:r w:rsidRPr="00660190">
        <w:t>In British Columbia</w:t>
      </w:r>
      <w:r>
        <w:t>,</w:t>
      </w:r>
      <w:r w:rsidRPr="00660190">
        <w:t xml:space="preserve"> the Office of the Seniors Advocate</w:t>
      </w:r>
      <w:r>
        <w:t xml:space="preserve"> (OSA)</w:t>
      </w:r>
      <w:r w:rsidRPr="00660190">
        <w:t xml:space="preserve"> was established to monitor and analyse senior services and issues in BC, making recommendations for improvement to government. The</w:t>
      </w:r>
      <w:r w:rsidRPr="00660190" w:rsidDel="00C15267">
        <w:t xml:space="preserve"> </w:t>
      </w:r>
      <w:r>
        <w:t>OSA</w:t>
      </w:r>
      <w:r w:rsidRPr="00660190">
        <w:t xml:space="preserve"> </w:t>
      </w:r>
      <w:r>
        <w:t>is an independent office of the B.C. provincial government acting in the interest of seniors and their caregivers. The OSA</w:t>
      </w:r>
      <w:r w:rsidRPr="00660190">
        <w:t xml:space="preserve"> provides information and referrals for individuals who are navigating services and tracks concerns. Their duties are mandated under the </w:t>
      </w:r>
      <w:r w:rsidRPr="003A76C9">
        <w:rPr>
          <w:i/>
        </w:rPr>
        <w:t>Seniors Advocate Act</w:t>
      </w:r>
      <w:r w:rsidRPr="00660190">
        <w:t xml:space="preserve">. </w:t>
      </w:r>
      <w:r w:rsidR="005271A9">
        <w:t>In 2020/21, t</w:t>
      </w:r>
      <w:r w:rsidR="00907077" w:rsidRPr="00660190">
        <w:t>he total budget for the program was $2.5</w:t>
      </w:r>
      <w:r w:rsidR="00A95399">
        <w:t xml:space="preserve"> </w:t>
      </w:r>
      <w:r w:rsidR="00907077" w:rsidRPr="00660190">
        <w:t>m</w:t>
      </w:r>
      <w:r w:rsidR="00A95399">
        <w:t>illion</w:t>
      </w:r>
      <w:r w:rsidR="00907077" w:rsidRPr="00660190">
        <w:t xml:space="preserve"> (Canadian Dollars)</w:t>
      </w:r>
      <w:r w:rsidR="00907077" w:rsidRPr="00660190" w:rsidDel="00CD7C69">
        <w:t>.</w:t>
      </w:r>
      <w:r w:rsidR="00907077">
        <w:rPr>
          <w:rStyle w:val="EndnoteReference"/>
        </w:rPr>
        <w:endnoteReference w:id="129"/>
      </w:r>
      <w:r w:rsidRPr="00660190">
        <w:t xml:space="preserve"> </w:t>
      </w:r>
      <w:r w:rsidR="005271A9">
        <w:t>T</w:t>
      </w:r>
      <w:r w:rsidRPr="00660190">
        <w:t xml:space="preserve">he number of phone calls made to the </w:t>
      </w:r>
      <w:r w:rsidR="009A1888">
        <w:t>OSA</w:t>
      </w:r>
      <w:r w:rsidRPr="00660190">
        <w:t xml:space="preserve"> was 12,794</w:t>
      </w:r>
      <w:r w:rsidR="005F5661">
        <w:t>,</w:t>
      </w:r>
      <w:r w:rsidR="00E07576">
        <w:t xml:space="preserve"> and </w:t>
      </w:r>
      <w:r w:rsidRPr="00660190">
        <w:t>website traffic increas</w:t>
      </w:r>
      <w:r w:rsidR="0091726A">
        <w:t>ed</w:t>
      </w:r>
      <w:r w:rsidRPr="00660190">
        <w:t xml:space="preserve"> significantly </w:t>
      </w:r>
      <w:r w:rsidR="0091726A">
        <w:t>during</w:t>
      </w:r>
      <w:r w:rsidRPr="00660190">
        <w:t xml:space="preserve"> the pandemic.</w:t>
      </w:r>
      <w:r w:rsidR="00CD7C69">
        <w:rPr>
          <w:rStyle w:val="EndnoteReference"/>
        </w:rPr>
        <w:endnoteReference w:id="130"/>
      </w:r>
    </w:p>
    <w:p w14:paraId="66571C8E" w14:textId="273059BF" w:rsidR="005C3DD4" w:rsidRDefault="005C3DD4" w:rsidP="005C3DD4">
      <w:r>
        <w:t xml:space="preserve">Issues identified by the </w:t>
      </w:r>
      <w:r w:rsidR="00543A20">
        <w:t>OSA</w:t>
      </w:r>
      <w:r>
        <w:t xml:space="preserve"> included underinvestment in LTC and shortage in both home support and support for low-income seniors. These systemic issues recognised by the OSA have been raised to the Government of British Columbia to be addressed. Individual contacts with the OSA identified community care issues of decreased support and assistance from caregivers and families in long-term care, closures of leisure centres resulting in feelings of social isolation and assistance to access Better at Home programs in rural areas.</w:t>
      </w:r>
      <w:r>
        <w:rPr>
          <w:rStyle w:val="EndnoteReference"/>
        </w:rPr>
        <w:endnoteReference w:id="131"/>
      </w:r>
    </w:p>
    <w:p w14:paraId="36EF6E18" w14:textId="77777777" w:rsidR="005C3DD4" w:rsidRPr="003E7F37" w:rsidRDefault="005C3DD4" w:rsidP="0038083D">
      <w:pPr>
        <w:pStyle w:val="Heading3"/>
        <w:ind w:left="993" w:hanging="993"/>
      </w:pPr>
      <w:bookmarkStart w:id="267" w:name="_Toc94771850"/>
      <w:bookmarkStart w:id="268" w:name="_Toc99437551"/>
      <w:r w:rsidRPr="003E7F37">
        <w:t>Summary of international comparisons</w:t>
      </w:r>
      <w:r>
        <w:t xml:space="preserve"> and implications for NACAP</w:t>
      </w:r>
      <w:bookmarkEnd w:id="267"/>
      <w:bookmarkEnd w:id="268"/>
    </w:p>
    <w:p w14:paraId="1B1C112E" w14:textId="75AA73FB" w:rsidR="001B2457" w:rsidRDefault="005C3DD4" w:rsidP="005C3DD4">
      <w:r>
        <w:t>A summary of the aged care advocacy in each jurisdiction is described in</w:t>
      </w:r>
      <w:r w:rsidDel="003447F8">
        <w:t xml:space="preserve"> </w:t>
      </w:r>
      <w:r w:rsidR="00020A04">
        <w:fldChar w:fldCharType="begin"/>
      </w:r>
      <w:r w:rsidR="00020A04">
        <w:instrText xml:space="preserve"> REF _Ref95307041 \r \h </w:instrText>
      </w:r>
      <w:r w:rsidR="00020A04">
        <w:fldChar w:fldCharType="separate"/>
      </w:r>
      <w:r w:rsidR="00DC6A20">
        <w:t>Table 6.1</w:t>
      </w:r>
      <w:r w:rsidR="00020A04">
        <w:fldChar w:fldCharType="end"/>
      </w:r>
      <w:r>
        <w:t xml:space="preserve">. </w:t>
      </w:r>
      <w:r w:rsidRPr="00ED3631">
        <w:t xml:space="preserve">In comparison to Australia and New Zealand, the </w:t>
      </w:r>
      <w:r>
        <w:t xml:space="preserve">United Kingdom and Canada </w:t>
      </w:r>
      <w:r w:rsidRPr="00ED3631">
        <w:t xml:space="preserve">both </w:t>
      </w:r>
      <w:r>
        <w:t xml:space="preserve">have </w:t>
      </w:r>
      <w:r w:rsidRPr="00ED3631">
        <w:t>a larger</w:t>
      </w:r>
      <w:r>
        <w:t xml:space="preserve"> proportion of </w:t>
      </w:r>
      <w:r w:rsidRPr="00ED3631">
        <w:t>people aged</w:t>
      </w:r>
      <w:r>
        <w:t xml:space="preserve"> 65 </w:t>
      </w:r>
      <w:r w:rsidRPr="00ED3631">
        <w:t>and up.</w:t>
      </w:r>
      <w:r>
        <w:t xml:space="preserve"> The United Kingdom has the lowest rate of residential aged care uptake among its over 65 population, followed by Australia.</w:t>
      </w:r>
    </w:p>
    <w:p w14:paraId="1A5F67E3" w14:textId="0E0460C9" w:rsidR="005C3DD4" w:rsidRDefault="005C3DD4" w:rsidP="005C3DD4">
      <w:r>
        <w:t>Advocacy program</w:t>
      </w:r>
      <w:r w:rsidR="00CB0C10">
        <w:t>s</w:t>
      </w:r>
      <w:r>
        <w:t xml:space="preserve"> in New Zealand and the United Kingdom </w:t>
      </w:r>
      <w:r w:rsidR="00CB0C10">
        <w:t>provide</w:t>
      </w:r>
      <w:r>
        <w:t xml:space="preserve"> advocacy at individual and national level. Noting that historically, Canada aged care advocacy</w:t>
      </w:r>
      <w:r w:rsidRPr="00C141B0">
        <w:t xml:space="preserve"> </w:t>
      </w:r>
      <w:r>
        <w:t>was</w:t>
      </w:r>
      <w:r w:rsidRPr="00C141B0">
        <w:t xml:space="preserve"> largely led by community coalitions, based in each province or territory reflective of the aged care systems in which they operate</w:t>
      </w:r>
      <w:r>
        <w:t xml:space="preserve">. However, </w:t>
      </w:r>
      <w:r w:rsidRPr="00C141B0">
        <w:t>a united national advocacy agency</w:t>
      </w:r>
      <w:r>
        <w:t xml:space="preserve">, </w:t>
      </w:r>
      <w:proofErr w:type="spellStart"/>
      <w:r>
        <w:t>CanAge</w:t>
      </w:r>
      <w:proofErr w:type="spellEnd"/>
      <w:r>
        <w:t>,</w:t>
      </w:r>
      <w:r w:rsidRPr="00C141B0">
        <w:t xml:space="preserve"> </w:t>
      </w:r>
      <w:r>
        <w:t xml:space="preserve">was only recently form in 2020 </w:t>
      </w:r>
      <w:r w:rsidRPr="00C141B0">
        <w:t xml:space="preserve">to advocates for </w:t>
      </w:r>
      <w:r>
        <w:t>the</w:t>
      </w:r>
      <w:r w:rsidRPr="00C141B0">
        <w:t xml:space="preserve"> rights and well-being of aging Canadians</w:t>
      </w:r>
      <w:r>
        <w:t xml:space="preserve"> during the COVID-19 pandemic</w:t>
      </w:r>
      <w:r w:rsidRPr="00C141B0">
        <w:t>.</w:t>
      </w:r>
    </w:p>
    <w:p w14:paraId="592128C9" w14:textId="31699E73" w:rsidR="005C3DD4" w:rsidRDefault="005C3DD4" w:rsidP="005C3DD4">
      <w:pPr>
        <w:sectPr w:rsidR="005C3DD4" w:rsidSect="004F796C">
          <w:footerReference w:type="default" r:id="rId62"/>
          <w:pgSz w:w="11906" w:h="16838" w:code="9"/>
          <w:pgMar w:top="1440" w:right="1440" w:bottom="1440" w:left="1440" w:header="680" w:footer="425" w:gutter="0"/>
          <w:cols w:space="284"/>
          <w:noEndnote/>
          <w:docGrid w:linePitch="360"/>
        </w:sectPr>
      </w:pPr>
      <w:r w:rsidRPr="00F00577">
        <w:t>This study finds that the diverse nature of advocacy services across these jurisdictions, suggest at this stage</w:t>
      </w:r>
      <w:r w:rsidR="006265E5">
        <w:t>,</w:t>
      </w:r>
      <w:r w:rsidRPr="00F00577">
        <w:t xml:space="preserve"> </w:t>
      </w:r>
      <w:r w:rsidR="006265E5">
        <w:t>it</w:t>
      </w:r>
      <w:r w:rsidRPr="00F00577">
        <w:t xml:space="preserve"> is challenging to determine suitable comparators </w:t>
      </w:r>
      <w:r w:rsidR="00CA00BE">
        <w:t>that could</w:t>
      </w:r>
      <w:r w:rsidRPr="00F00577">
        <w:t xml:space="preserve"> be used for the NACAP.</w:t>
      </w:r>
      <w:r w:rsidR="003E48BE">
        <w:t xml:space="preserve"> </w:t>
      </w:r>
      <w:r w:rsidR="001D6A5F" w:rsidRPr="001D6A5F">
        <w:t xml:space="preserve">A comparison of advocacy </w:t>
      </w:r>
      <w:r w:rsidR="001D6A5F">
        <w:t>usage</w:t>
      </w:r>
      <w:r w:rsidR="001D6A5F" w:rsidRPr="001D6A5F">
        <w:t xml:space="preserve"> rates across jurisdictions is </w:t>
      </w:r>
      <w:r w:rsidR="00C25E47">
        <w:t>determined to be</w:t>
      </w:r>
      <w:r w:rsidR="001D6A5F" w:rsidRPr="001D6A5F">
        <w:t xml:space="preserve"> </w:t>
      </w:r>
      <w:r w:rsidR="00C25E47">
        <w:t>inappropriate</w:t>
      </w:r>
      <w:r w:rsidR="001D6A5F" w:rsidRPr="001D6A5F">
        <w:t xml:space="preserve"> </w:t>
      </w:r>
      <w:r w:rsidR="00C25E47">
        <w:t>as</w:t>
      </w:r>
      <w:r w:rsidR="001D6A5F" w:rsidRPr="001D6A5F">
        <w:t xml:space="preserve"> usage data </w:t>
      </w:r>
      <w:r w:rsidR="00C25E47">
        <w:t>reported</w:t>
      </w:r>
      <w:r w:rsidR="001D6A5F" w:rsidRPr="001D6A5F">
        <w:t xml:space="preserve"> by aged care advocacy in each jurisdiction differs by counting </w:t>
      </w:r>
      <w:r w:rsidR="008B6C82">
        <w:t>method</w:t>
      </w:r>
      <w:r w:rsidR="001D6A5F" w:rsidRPr="001D6A5F">
        <w:t xml:space="preserve"> and </w:t>
      </w:r>
      <w:r w:rsidR="008B6C82">
        <w:t>nature</w:t>
      </w:r>
      <w:r w:rsidR="001D6A5F" w:rsidRPr="001D6A5F">
        <w:t xml:space="preserve"> of services delivered</w:t>
      </w:r>
      <w:r w:rsidR="008B6C82">
        <w:t>.</w:t>
      </w:r>
      <w:r w:rsidR="0033204F">
        <w:t xml:space="preserve"> </w:t>
      </w:r>
    </w:p>
    <w:p w14:paraId="68267F22" w14:textId="77777777" w:rsidR="005C3DD4" w:rsidRDefault="005C3DD4" w:rsidP="005C3DD4">
      <w:pPr>
        <w:rPr>
          <w:iCs/>
          <w:color w:val="75787B" w:themeColor="accent6"/>
          <w:sz w:val="17"/>
        </w:rPr>
      </w:pPr>
    </w:p>
    <w:p w14:paraId="27E82C92" w14:textId="77777777" w:rsidR="005C3DD4" w:rsidRPr="005E0B41" w:rsidRDefault="005C3DD4" w:rsidP="00FC074C">
      <w:pPr>
        <w:pStyle w:val="CaptionTable"/>
        <w:ind w:left="0"/>
      </w:pPr>
      <w:bookmarkStart w:id="269" w:name="_Toc94771897"/>
      <w:bookmarkStart w:id="270" w:name="_Ref95307041"/>
      <w:bookmarkStart w:id="271" w:name="_Toc99117018"/>
      <w:r>
        <w:t xml:space="preserve">: </w:t>
      </w:r>
      <w:bookmarkStart w:id="272" w:name="_Hlk95306257"/>
      <w:r>
        <w:t>Summary</w:t>
      </w:r>
      <w:bookmarkEnd w:id="272"/>
      <w:r>
        <w:t xml:space="preserve"> of aged care advocacy in Australia, New Zealand, Canada, and UK</w:t>
      </w:r>
      <w:bookmarkEnd w:id="269"/>
      <w:bookmarkEnd w:id="270"/>
      <w:bookmarkEnd w:id="271"/>
    </w:p>
    <w:tbl>
      <w:tblPr>
        <w:tblStyle w:val="Deloittetable"/>
        <w:tblW w:w="5000" w:type="pct"/>
        <w:tblLayout w:type="fixed"/>
        <w:tblLook w:val="04A0" w:firstRow="1" w:lastRow="0" w:firstColumn="1" w:lastColumn="0" w:noHBand="0" w:noVBand="1"/>
      </w:tblPr>
      <w:tblGrid>
        <w:gridCol w:w="2411"/>
        <w:gridCol w:w="2886"/>
        <w:gridCol w:w="2887"/>
        <w:gridCol w:w="2887"/>
        <w:gridCol w:w="2887"/>
      </w:tblGrid>
      <w:tr w:rsidR="005C3DD4" w:rsidRPr="00634B86" w14:paraId="32741A5F" w14:textId="77777777" w:rsidTr="00B10C01">
        <w:trPr>
          <w:cnfStyle w:val="100000000000" w:firstRow="1" w:lastRow="0" w:firstColumn="0" w:lastColumn="0" w:oddVBand="0" w:evenVBand="0" w:oddHBand="0" w:evenHBand="0" w:firstRowFirstColumn="0" w:firstRowLastColumn="0" w:lastRowFirstColumn="0" w:lastRowLastColumn="0"/>
          <w:tblHeader/>
        </w:trPr>
        <w:tc>
          <w:tcPr>
            <w:tcW w:w="0" w:type="pct"/>
          </w:tcPr>
          <w:p w14:paraId="1102A220" w14:textId="77777777" w:rsidR="005C3DD4" w:rsidRPr="003D413C" w:rsidRDefault="005C3DD4" w:rsidP="007E6F05">
            <w:pPr>
              <w:rPr>
                <w:rFonts w:asciiTheme="majorHAnsi" w:hAnsiTheme="majorHAnsi" w:cstheme="minorHAnsi"/>
                <w:b/>
                <w:szCs w:val="22"/>
              </w:rPr>
            </w:pPr>
            <w:r w:rsidRPr="003D413C">
              <w:rPr>
                <w:rFonts w:asciiTheme="majorHAnsi" w:hAnsiTheme="majorHAnsi" w:cstheme="minorHAnsi"/>
                <w:b/>
                <w:szCs w:val="22"/>
              </w:rPr>
              <w:t>Characteristic</w:t>
            </w:r>
          </w:p>
        </w:tc>
        <w:tc>
          <w:tcPr>
            <w:tcW w:w="0" w:type="pct"/>
          </w:tcPr>
          <w:p w14:paraId="2D126B3C" w14:textId="77777777" w:rsidR="005C3DD4" w:rsidRPr="003D413C" w:rsidRDefault="005C3DD4" w:rsidP="007E6F05">
            <w:pPr>
              <w:rPr>
                <w:rFonts w:asciiTheme="majorHAnsi" w:hAnsiTheme="majorHAnsi" w:cstheme="minorHAnsi"/>
                <w:b/>
                <w:szCs w:val="22"/>
              </w:rPr>
            </w:pPr>
            <w:r w:rsidRPr="003D413C">
              <w:rPr>
                <w:rFonts w:asciiTheme="majorHAnsi" w:hAnsiTheme="majorHAnsi" w:cstheme="minorHAnsi"/>
                <w:b/>
                <w:szCs w:val="22"/>
              </w:rPr>
              <w:t>Australia</w:t>
            </w:r>
          </w:p>
        </w:tc>
        <w:tc>
          <w:tcPr>
            <w:tcW w:w="0" w:type="pct"/>
          </w:tcPr>
          <w:p w14:paraId="36A8ACD2" w14:textId="77777777" w:rsidR="005C3DD4" w:rsidRPr="003D413C" w:rsidRDefault="005C3DD4" w:rsidP="007E6F05">
            <w:pPr>
              <w:rPr>
                <w:rFonts w:asciiTheme="majorHAnsi" w:hAnsiTheme="majorHAnsi" w:cstheme="minorHAnsi"/>
                <w:b/>
                <w:szCs w:val="22"/>
              </w:rPr>
            </w:pPr>
            <w:r w:rsidRPr="003D413C">
              <w:rPr>
                <w:rFonts w:asciiTheme="majorHAnsi" w:hAnsiTheme="majorHAnsi" w:cstheme="minorHAnsi"/>
                <w:b/>
                <w:szCs w:val="22"/>
              </w:rPr>
              <w:t>New Zealand (NZ)</w:t>
            </w:r>
          </w:p>
        </w:tc>
        <w:tc>
          <w:tcPr>
            <w:tcW w:w="0" w:type="pct"/>
          </w:tcPr>
          <w:p w14:paraId="7FFACDD3" w14:textId="77777777" w:rsidR="005C3DD4" w:rsidRPr="003D413C" w:rsidRDefault="005C3DD4" w:rsidP="007E6F05">
            <w:pPr>
              <w:rPr>
                <w:rFonts w:asciiTheme="majorHAnsi" w:hAnsiTheme="majorHAnsi" w:cstheme="minorHAnsi"/>
                <w:b/>
                <w:szCs w:val="22"/>
              </w:rPr>
            </w:pPr>
            <w:r w:rsidRPr="003D413C">
              <w:rPr>
                <w:rFonts w:asciiTheme="majorHAnsi" w:hAnsiTheme="majorHAnsi" w:cstheme="minorHAnsi"/>
                <w:b/>
                <w:szCs w:val="22"/>
              </w:rPr>
              <w:t>Canada</w:t>
            </w:r>
          </w:p>
        </w:tc>
        <w:tc>
          <w:tcPr>
            <w:tcW w:w="0" w:type="pct"/>
          </w:tcPr>
          <w:p w14:paraId="53B71A2D" w14:textId="7FE1C416" w:rsidR="005C3DD4" w:rsidRPr="003D413C" w:rsidRDefault="005C3DD4" w:rsidP="007E6F05">
            <w:pPr>
              <w:rPr>
                <w:rFonts w:asciiTheme="majorHAnsi" w:hAnsiTheme="majorHAnsi" w:cstheme="minorHAnsi"/>
                <w:b/>
                <w:szCs w:val="22"/>
              </w:rPr>
            </w:pPr>
            <w:r w:rsidRPr="003D413C">
              <w:rPr>
                <w:rFonts w:asciiTheme="majorHAnsi" w:hAnsiTheme="majorHAnsi" w:cstheme="minorHAnsi"/>
                <w:b/>
                <w:szCs w:val="22"/>
              </w:rPr>
              <w:t>United Kingdom (UK)</w:t>
            </w:r>
          </w:p>
        </w:tc>
      </w:tr>
      <w:tr w:rsidR="005C3DD4" w:rsidRPr="008356DF" w14:paraId="69D97A8C" w14:textId="77777777" w:rsidTr="007E6F05">
        <w:tc>
          <w:tcPr>
            <w:tcW w:w="864" w:type="pct"/>
          </w:tcPr>
          <w:p w14:paraId="2B24892D" w14:textId="77777777" w:rsidR="005C3DD4" w:rsidRPr="00786D4C" w:rsidRDefault="005C3DD4" w:rsidP="007E6F05">
            <w:pPr>
              <w:rPr>
                <w:rFonts w:asciiTheme="majorHAnsi" w:hAnsiTheme="majorHAnsi" w:cstheme="minorHAnsi"/>
                <w:b/>
                <w:szCs w:val="22"/>
              </w:rPr>
            </w:pPr>
            <w:r w:rsidRPr="00786D4C">
              <w:rPr>
                <w:rFonts w:asciiTheme="majorHAnsi" w:hAnsiTheme="majorHAnsi" w:cstheme="minorHAnsi"/>
                <w:b/>
                <w:szCs w:val="22"/>
              </w:rPr>
              <w:t>Population over 65</w:t>
            </w:r>
          </w:p>
        </w:tc>
        <w:tc>
          <w:tcPr>
            <w:tcW w:w="1034" w:type="pct"/>
          </w:tcPr>
          <w:p w14:paraId="33AF54F2"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4,248,800 (2020)</w:t>
            </w:r>
            <w:r w:rsidRPr="00786D4C">
              <w:rPr>
                <w:rStyle w:val="EndnoteReference"/>
                <w:rFonts w:asciiTheme="majorHAnsi" w:hAnsiTheme="majorHAnsi" w:cstheme="minorHAnsi"/>
                <w:szCs w:val="22"/>
              </w:rPr>
              <w:endnoteReference w:id="132"/>
            </w:r>
          </w:p>
        </w:tc>
        <w:tc>
          <w:tcPr>
            <w:tcW w:w="1034" w:type="pct"/>
          </w:tcPr>
          <w:p w14:paraId="685A9A55" w14:textId="77777777" w:rsidR="005C3DD4" w:rsidRPr="00786D4C" w:rsidRDefault="005C3DD4" w:rsidP="007E6F05">
            <w:pPr>
              <w:rPr>
                <w:rFonts w:asciiTheme="majorHAnsi" w:hAnsiTheme="majorHAnsi" w:cstheme="minorHAnsi"/>
                <w:szCs w:val="22"/>
              </w:rPr>
            </w:pPr>
            <w:r w:rsidRPr="00786D4C">
              <w:rPr>
                <w:rFonts w:asciiTheme="majorHAnsi" w:eastAsia="Calibri" w:hAnsiTheme="majorHAnsi" w:cstheme="minorHAnsi"/>
                <w:szCs w:val="22"/>
              </w:rPr>
              <w:t>816,738 (2021)</w:t>
            </w:r>
            <w:r w:rsidRPr="00786D4C">
              <w:rPr>
                <w:rStyle w:val="EndnoteReference"/>
                <w:rFonts w:asciiTheme="majorHAnsi" w:eastAsia="Calibri" w:hAnsiTheme="majorHAnsi" w:cstheme="minorHAnsi"/>
                <w:szCs w:val="22"/>
              </w:rPr>
              <w:endnoteReference w:id="133"/>
            </w:r>
          </w:p>
        </w:tc>
        <w:tc>
          <w:tcPr>
            <w:tcW w:w="1034" w:type="pct"/>
          </w:tcPr>
          <w:p w14:paraId="76DFA796"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7,081,792 (2021)</w:t>
            </w:r>
            <w:r w:rsidRPr="00786D4C">
              <w:rPr>
                <w:rStyle w:val="EndnoteReference"/>
                <w:rFonts w:asciiTheme="majorHAnsi" w:hAnsiTheme="majorHAnsi" w:cstheme="minorHAnsi"/>
                <w:szCs w:val="22"/>
              </w:rPr>
              <w:endnoteReference w:id="134"/>
            </w:r>
          </w:p>
        </w:tc>
        <w:tc>
          <w:tcPr>
            <w:tcW w:w="1034" w:type="pct"/>
          </w:tcPr>
          <w:p w14:paraId="7D2D173B" w14:textId="132C6E9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~13,000,000 (2021)</w:t>
            </w:r>
            <w:r w:rsidRPr="00786D4C">
              <w:rPr>
                <w:rStyle w:val="EndnoteReference"/>
                <w:rFonts w:asciiTheme="majorHAnsi" w:hAnsiTheme="majorHAnsi" w:cstheme="minorHAnsi"/>
                <w:szCs w:val="22"/>
              </w:rPr>
              <w:endnoteReference w:id="135"/>
            </w:r>
            <w:r w:rsidRPr="00786D4C">
              <w:rPr>
                <w:rFonts w:asciiTheme="majorHAnsi" w:hAnsiTheme="majorHAnsi" w:cstheme="minorHAnsi"/>
                <w:szCs w:val="22"/>
              </w:rPr>
              <w:t xml:space="preserve"> </w:t>
            </w:r>
          </w:p>
          <w:p w14:paraId="45E12872" w14:textId="77777777" w:rsidR="005C3DD4" w:rsidRPr="00786D4C" w:rsidRDefault="005C3DD4" w:rsidP="007E6F05">
            <w:pPr>
              <w:rPr>
                <w:rFonts w:asciiTheme="majorHAnsi" w:hAnsiTheme="majorHAnsi" w:cstheme="minorHAnsi"/>
                <w:szCs w:val="22"/>
              </w:rPr>
            </w:pPr>
          </w:p>
        </w:tc>
      </w:tr>
      <w:tr w:rsidR="005C3DD4" w:rsidRPr="008356DF" w14:paraId="1B4A8464" w14:textId="77777777" w:rsidTr="007E6F05">
        <w:tc>
          <w:tcPr>
            <w:tcW w:w="864" w:type="pct"/>
          </w:tcPr>
          <w:p w14:paraId="573F4498" w14:textId="77777777" w:rsidR="005C3DD4" w:rsidRPr="00786D4C" w:rsidRDefault="005C3DD4" w:rsidP="007E6F05">
            <w:pPr>
              <w:rPr>
                <w:rFonts w:asciiTheme="majorHAnsi" w:eastAsia="Calibri" w:hAnsiTheme="majorHAnsi"/>
                <w:b/>
                <w:szCs w:val="22"/>
              </w:rPr>
            </w:pPr>
            <w:r w:rsidRPr="00786D4C">
              <w:rPr>
                <w:rFonts w:asciiTheme="majorHAnsi" w:hAnsiTheme="majorHAnsi"/>
                <w:b/>
                <w:szCs w:val="22"/>
              </w:rPr>
              <w:t>Population % over 65</w:t>
            </w:r>
          </w:p>
        </w:tc>
        <w:tc>
          <w:tcPr>
            <w:tcW w:w="1034" w:type="pct"/>
          </w:tcPr>
          <w:p w14:paraId="31375F19"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16.4%</w:t>
            </w:r>
          </w:p>
        </w:tc>
        <w:tc>
          <w:tcPr>
            <w:tcW w:w="1034" w:type="pct"/>
          </w:tcPr>
          <w:p w14:paraId="344820CB"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 xml:space="preserve">16.75% </w:t>
            </w:r>
          </w:p>
        </w:tc>
        <w:tc>
          <w:tcPr>
            <w:tcW w:w="1034" w:type="pct"/>
          </w:tcPr>
          <w:p w14:paraId="4E1ED600"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19%</w:t>
            </w:r>
          </w:p>
        </w:tc>
        <w:tc>
          <w:tcPr>
            <w:tcW w:w="1034" w:type="pct"/>
          </w:tcPr>
          <w:p w14:paraId="10049811"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19%</w:t>
            </w:r>
          </w:p>
        </w:tc>
      </w:tr>
      <w:tr w:rsidR="005C3DD4" w:rsidRPr="008356DF" w14:paraId="52943DEC" w14:textId="77777777" w:rsidTr="007E6F05">
        <w:tc>
          <w:tcPr>
            <w:tcW w:w="864" w:type="pct"/>
          </w:tcPr>
          <w:p w14:paraId="14C5BD5B" w14:textId="2A9B4E3B" w:rsidR="005C3DD4" w:rsidRPr="00786D4C" w:rsidRDefault="005C3DD4" w:rsidP="007E6F05">
            <w:pPr>
              <w:rPr>
                <w:rFonts w:asciiTheme="majorHAnsi" w:hAnsiTheme="majorHAnsi" w:cstheme="minorHAnsi"/>
                <w:b/>
                <w:szCs w:val="22"/>
              </w:rPr>
            </w:pPr>
            <w:r w:rsidRPr="00786D4C">
              <w:rPr>
                <w:rFonts w:asciiTheme="majorHAnsi" w:hAnsiTheme="majorHAnsi" w:cstheme="minorHAnsi"/>
                <w:b/>
                <w:szCs w:val="22"/>
              </w:rPr>
              <w:t>Uptake of residential aged care as % of populations over 65</w:t>
            </w:r>
          </w:p>
        </w:tc>
        <w:tc>
          <w:tcPr>
            <w:tcW w:w="1034" w:type="pct"/>
          </w:tcPr>
          <w:p w14:paraId="00FE1B69"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5.6% (2020)</w:t>
            </w:r>
            <w:r w:rsidRPr="00786D4C">
              <w:rPr>
                <w:rStyle w:val="EndnoteReference"/>
                <w:rFonts w:asciiTheme="majorHAnsi" w:hAnsiTheme="majorHAnsi" w:cstheme="minorHAnsi"/>
                <w:szCs w:val="22"/>
              </w:rPr>
              <w:endnoteReference w:id="136"/>
            </w:r>
          </w:p>
        </w:tc>
        <w:tc>
          <w:tcPr>
            <w:tcW w:w="1034" w:type="pct"/>
          </w:tcPr>
          <w:p w14:paraId="2F6E4C55"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 xml:space="preserve">5.69% (2020) </w:t>
            </w:r>
          </w:p>
        </w:tc>
        <w:tc>
          <w:tcPr>
            <w:tcW w:w="1034" w:type="pct"/>
          </w:tcPr>
          <w:p w14:paraId="357333C5"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7.9% (2019)</w:t>
            </w:r>
          </w:p>
        </w:tc>
        <w:tc>
          <w:tcPr>
            <w:tcW w:w="1034" w:type="pct"/>
          </w:tcPr>
          <w:p w14:paraId="1F95D835"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3.77% (2020)</w:t>
            </w:r>
          </w:p>
        </w:tc>
      </w:tr>
      <w:tr w:rsidR="005C3DD4" w:rsidRPr="008356DF" w14:paraId="6FF7B4D2" w14:textId="77777777" w:rsidTr="007E6F05">
        <w:tc>
          <w:tcPr>
            <w:tcW w:w="864" w:type="pct"/>
          </w:tcPr>
          <w:p w14:paraId="1C186A51" w14:textId="77777777" w:rsidR="005C3DD4" w:rsidRPr="00786D4C" w:rsidRDefault="005C3DD4" w:rsidP="007E6F05">
            <w:pPr>
              <w:rPr>
                <w:rFonts w:asciiTheme="majorHAnsi" w:hAnsiTheme="majorHAnsi" w:cstheme="minorHAnsi"/>
                <w:b/>
                <w:szCs w:val="22"/>
              </w:rPr>
            </w:pPr>
            <w:r w:rsidRPr="00786D4C">
              <w:rPr>
                <w:rFonts w:asciiTheme="majorHAnsi" w:hAnsiTheme="majorHAnsi" w:cstheme="minorHAnsi"/>
                <w:b/>
                <w:szCs w:val="22"/>
              </w:rPr>
              <w:t>Eligibility and criteria</w:t>
            </w:r>
          </w:p>
        </w:tc>
        <w:tc>
          <w:tcPr>
            <w:tcW w:w="1034" w:type="pct"/>
          </w:tcPr>
          <w:p w14:paraId="6FB36842"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Indigenous Australians aged 50+ and non-Indigenous Australians aged 65+. Interaction with aged care system either at present or being assessed for services</w:t>
            </w:r>
          </w:p>
        </w:tc>
        <w:tc>
          <w:tcPr>
            <w:tcW w:w="1034" w:type="pct"/>
          </w:tcPr>
          <w:p w14:paraId="50B3AD14"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NZ citizen or eligible for publicly funded health or disability services/assessed by NASC</w:t>
            </w:r>
          </w:p>
        </w:tc>
        <w:tc>
          <w:tcPr>
            <w:tcW w:w="1034" w:type="pct"/>
          </w:tcPr>
          <w:p w14:paraId="1803B0E9"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 xml:space="preserve">Canadian citizen or permanent resident – criteria </w:t>
            </w:r>
            <w:proofErr w:type="gramStart"/>
            <w:r w:rsidRPr="00786D4C">
              <w:rPr>
                <w:rFonts w:asciiTheme="majorHAnsi" w:hAnsiTheme="majorHAnsi" w:cstheme="minorHAnsi"/>
                <w:szCs w:val="22"/>
              </w:rPr>
              <w:t>differs</w:t>
            </w:r>
            <w:proofErr w:type="gramEnd"/>
            <w:r w:rsidRPr="00786D4C">
              <w:rPr>
                <w:rFonts w:asciiTheme="majorHAnsi" w:hAnsiTheme="majorHAnsi" w:cstheme="minorHAnsi"/>
                <w:szCs w:val="22"/>
              </w:rPr>
              <w:t xml:space="preserve"> between province</w:t>
            </w:r>
          </w:p>
        </w:tc>
        <w:tc>
          <w:tcPr>
            <w:tcW w:w="1034" w:type="pct"/>
          </w:tcPr>
          <w:p w14:paraId="60A6898C"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UK citizens or residents who</w:t>
            </w:r>
            <w:r w:rsidRPr="00786D4C" w:rsidDel="00615E84">
              <w:rPr>
                <w:rFonts w:asciiTheme="majorHAnsi" w:hAnsiTheme="majorHAnsi" w:cstheme="minorHAnsi"/>
                <w:szCs w:val="22"/>
              </w:rPr>
              <w:t xml:space="preserve"> </w:t>
            </w:r>
            <w:r w:rsidRPr="00786D4C">
              <w:rPr>
                <w:rFonts w:asciiTheme="majorHAnsi" w:hAnsiTheme="majorHAnsi" w:cstheme="minorHAnsi"/>
                <w:szCs w:val="22"/>
              </w:rPr>
              <w:t xml:space="preserve">demonstrate physical or mental impairment or illness on means </w:t>
            </w:r>
          </w:p>
        </w:tc>
      </w:tr>
      <w:tr w:rsidR="005C3DD4" w:rsidRPr="008356DF" w14:paraId="513932A4" w14:textId="77777777" w:rsidTr="007E6F05">
        <w:tc>
          <w:tcPr>
            <w:tcW w:w="864" w:type="pct"/>
          </w:tcPr>
          <w:p w14:paraId="0CE0CAE3" w14:textId="77777777" w:rsidR="005C3DD4" w:rsidRPr="00786D4C" w:rsidRDefault="005C3DD4" w:rsidP="007E6F05">
            <w:pPr>
              <w:rPr>
                <w:rFonts w:asciiTheme="majorHAnsi" w:hAnsiTheme="majorHAnsi" w:cstheme="minorHAnsi"/>
                <w:b/>
                <w:szCs w:val="22"/>
              </w:rPr>
            </w:pPr>
            <w:r w:rsidRPr="00786D4C">
              <w:rPr>
                <w:rFonts w:asciiTheme="majorHAnsi" w:hAnsiTheme="majorHAnsi" w:cstheme="minorHAnsi"/>
                <w:b/>
                <w:szCs w:val="22"/>
              </w:rPr>
              <w:t>Central advocacy body</w:t>
            </w:r>
          </w:p>
        </w:tc>
        <w:tc>
          <w:tcPr>
            <w:tcW w:w="1034" w:type="pct"/>
          </w:tcPr>
          <w:p w14:paraId="26D41DD7"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OPAN</w:t>
            </w:r>
          </w:p>
        </w:tc>
        <w:tc>
          <w:tcPr>
            <w:tcW w:w="1034" w:type="pct"/>
          </w:tcPr>
          <w:p w14:paraId="32897D80"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 xml:space="preserve">Age Concern NZ </w:t>
            </w:r>
          </w:p>
        </w:tc>
        <w:tc>
          <w:tcPr>
            <w:tcW w:w="1034" w:type="pct"/>
          </w:tcPr>
          <w:p w14:paraId="5FA05A69" w14:textId="77777777" w:rsidR="005C3DD4" w:rsidRPr="00786D4C" w:rsidRDefault="005C3DD4" w:rsidP="007E6F05">
            <w:pPr>
              <w:rPr>
                <w:rFonts w:asciiTheme="majorHAnsi" w:hAnsiTheme="majorHAnsi" w:cstheme="minorHAnsi"/>
                <w:szCs w:val="22"/>
              </w:rPr>
            </w:pPr>
            <w:proofErr w:type="spellStart"/>
            <w:r w:rsidRPr="00786D4C">
              <w:rPr>
                <w:rFonts w:asciiTheme="majorHAnsi" w:hAnsiTheme="majorHAnsi" w:cstheme="minorHAnsi"/>
                <w:szCs w:val="22"/>
              </w:rPr>
              <w:t>CanAge</w:t>
            </w:r>
            <w:proofErr w:type="spellEnd"/>
          </w:p>
        </w:tc>
        <w:tc>
          <w:tcPr>
            <w:tcW w:w="1034" w:type="pct"/>
          </w:tcPr>
          <w:p w14:paraId="25B94FDA" w14:textId="2314E9D4"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OPAAL</w:t>
            </w:r>
          </w:p>
        </w:tc>
      </w:tr>
      <w:tr w:rsidR="005C3DD4" w:rsidRPr="008356DF" w14:paraId="0509AA6D" w14:textId="77777777" w:rsidTr="007E6F05">
        <w:tc>
          <w:tcPr>
            <w:tcW w:w="864" w:type="pct"/>
          </w:tcPr>
          <w:p w14:paraId="1A588C41" w14:textId="77777777" w:rsidR="005C3DD4" w:rsidRPr="00786D4C" w:rsidRDefault="005C3DD4" w:rsidP="007E6F05">
            <w:pPr>
              <w:rPr>
                <w:rFonts w:asciiTheme="majorHAnsi" w:hAnsiTheme="majorHAnsi" w:cstheme="minorHAnsi"/>
                <w:b/>
                <w:szCs w:val="22"/>
              </w:rPr>
            </w:pPr>
            <w:r w:rsidRPr="00786D4C">
              <w:rPr>
                <w:rFonts w:asciiTheme="majorHAnsi" w:hAnsiTheme="majorHAnsi" w:cstheme="minorHAnsi"/>
                <w:b/>
                <w:szCs w:val="22"/>
              </w:rPr>
              <w:t>Role / services</w:t>
            </w:r>
          </w:p>
        </w:tc>
        <w:tc>
          <w:tcPr>
            <w:tcW w:w="1034" w:type="pct"/>
          </w:tcPr>
          <w:p w14:paraId="520968D0" w14:textId="7ED15FE3"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 xml:space="preserve">OPAN is a national network comprising nine state and territory member organisations that offer free, </w:t>
            </w:r>
            <w:proofErr w:type="gramStart"/>
            <w:r w:rsidRPr="00786D4C">
              <w:rPr>
                <w:rFonts w:asciiTheme="majorHAnsi" w:hAnsiTheme="majorHAnsi" w:cstheme="minorHAnsi"/>
                <w:szCs w:val="22"/>
              </w:rPr>
              <w:t>independent</w:t>
            </w:r>
            <w:proofErr w:type="gramEnd"/>
            <w:r w:rsidRPr="00786D4C">
              <w:rPr>
                <w:rFonts w:asciiTheme="majorHAnsi" w:hAnsiTheme="majorHAnsi" w:cstheme="minorHAnsi"/>
                <w:szCs w:val="22"/>
              </w:rPr>
              <w:t xml:space="preserve"> and confidential support and information to older people seeking or using government funded aged care. Via an advocacy hotline, OPAN helps people understand and exercise their aged care rights, seek appropriate </w:t>
            </w:r>
            <w:r w:rsidR="006D3D8F" w:rsidRPr="00786D4C">
              <w:rPr>
                <w:rFonts w:asciiTheme="majorHAnsi" w:hAnsiTheme="majorHAnsi" w:cstheme="minorHAnsi"/>
                <w:szCs w:val="22"/>
              </w:rPr>
              <w:t>services,</w:t>
            </w:r>
            <w:r w:rsidRPr="00786D4C">
              <w:rPr>
                <w:rFonts w:asciiTheme="majorHAnsi" w:hAnsiTheme="majorHAnsi" w:cstheme="minorHAnsi"/>
                <w:szCs w:val="22"/>
              </w:rPr>
              <w:t xml:space="preserve"> and find solutions to issues faced with their aged care provider. Additionally, OPAN delivers the National Aged Care Advocacy Program (NACAP).</w:t>
            </w:r>
          </w:p>
        </w:tc>
        <w:tc>
          <w:tcPr>
            <w:tcW w:w="1034" w:type="pct"/>
          </w:tcPr>
          <w:p w14:paraId="75FA1A7A" w14:textId="530EC456" w:rsidR="005C3DD4" w:rsidRPr="00786D4C" w:rsidRDefault="005C3DD4" w:rsidP="00786D4C">
            <w:pPr>
              <w:rPr>
                <w:rFonts w:asciiTheme="majorHAnsi" w:hAnsiTheme="majorHAnsi" w:cstheme="minorHAnsi"/>
                <w:szCs w:val="22"/>
              </w:rPr>
            </w:pPr>
            <w:r w:rsidRPr="00786D4C">
              <w:rPr>
                <w:rFonts w:asciiTheme="majorHAnsi" w:hAnsiTheme="majorHAnsi" w:cstheme="minorHAnsi"/>
                <w:szCs w:val="22"/>
              </w:rPr>
              <w:t xml:space="preserve">Age Concern NZ promotes the rights, wellbeing, </w:t>
            </w:r>
            <w:proofErr w:type="gramStart"/>
            <w:r w:rsidRPr="00786D4C">
              <w:rPr>
                <w:rFonts w:asciiTheme="majorHAnsi" w:hAnsiTheme="majorHAnsi" w:cstheme="minorHAnsi"/>
                <w:szCs w:val="22"/>
              </w:rPr>
              <w:t>respect</w:t>
            </w:r>
            <w:proofErr w:type="gramEnd"/>
            <w:r w:rsidRPr="00786D4C">
              <w:rPr>
                <w:rFonts w:asciiTheme="majorHAnsi" w:hAnsiTheme="majorHAnsi" w:cstheme="minorHAnsi"/>
                <w:szCs w:val="22"/>
              </w:rPr>
              <w:t xml:space="preserve"> and dignity through individual and national level advocacy for the older population. Working closely with aged care providers, Age Concern NZ supports the older population through programs and advocacy with special focus on social connections, health promotion, elder abuse and neglect prevention, public policy and research and communications. Age concern NZ delivers individual advocacy across 34 local Age Concerns through local visitations, calls and emails to address a variety of concerns.</w:t>
            </w:r>
          </w:p>
        </w:tc>
        <w:tc>
          <w:tcPr>
            <w:tcW w:w="1034" w:type="pct"/>
          </w:tcPr>
          <w:p w14:paraId="16D6A013" w14:textId="578354BD" w:rsidR="005C3DD4" w:rsidRPr="00786D4C" w:rsidRDefault="005C3DD4" w:rsidP="007E6F05">
            <w:pPr>
              <w:rPr>
                <w:rFonts w:asciiTheme="majorHAnsi" w:hAnsiTheme="majorHAnsi" w:cstheme="minorHAnsi"/>
                <w:szCs w:val="22"/>
              </w:rPr>
            </w:pPr>
            <w:proofErr w:type="spellStart"/>
            <w:r w:rsidRPr="00786D4C">
              <w:rPr>
                <w:rFonts w:asciiTheme="majorHAnsi" w:hAnsiTheme="majorHAnsi"/>
                <w:szCs w:val="22"/>
              </w:rPr>
              <w:t>CanAge</w:t>
            </w:r>
            <w:proofErr w:type="spellEnd"/>
            <w:r w:rsidRPr="00786D4C">
              <w:rPr>
                <w:rFonts w:asciiTheme="majorHAnsi" w:hAnsiTheme="majorHAnsi"/>
                <w:szCs w:val="22"/>
              </w:rPr>
              <w:t xml:space="preserve"> works to improve the lives of older Canadians through advocacy, </w:t>
            </w:r>
            <w:proofErr w:type="gramStart"/>
            <w:r w:rsidRPr="00786D4C">
              <w:rPr>
                <w:rFonts w:asciiTheme="majorHAnsi" w:hAnsiTheme="majorHAnsi"/>
                <w:szCs w:val="22"/>
              </w:rPr>
              <w:t>policy</w:t>
            </w:r>
            <w:proofErr w:type="gramEnd"/>
            <w:r w:rsidRPr="00786D4C">
              <w:rPr>
                <w:rFonts w:asciiTheme="majorHAnsi" w:hAnsiTheme="majorHAnsi"/>
                <w:szCs w:val="22"/>
              </w:rPr>
              <w:t xml:space="preserve"> and community engagement. Individual level advocacy is performed at a provincial level. The Office of the Seniors Advocate (OSA) in British Columbia offers a 24-7 information and referral line for individuals navigating the system. The OSA collaborates and makes recommendations for service providers, </w:t>
            </w:r>
            <w:r w:rsidR="006D3D8F" w:rsidRPr="00786D4C">
              <w:rPr>
                <w:rFonts w:asciiTheme="majorHAnsi" w:hAnsiTheme="majorHAnsi"/>
                <w:szCs w:val="22"/>
              </w:rPr>
              <w:t>government,</w:t>
            </w:r>
            <w:r w:rsidRPr="00786D4C">
              <w:rPr>
                <w:rFonts w:asciiTheme="majorHAnsi" w:hAnsiTheme="majorHAnsi"/>
                <w:szCs w:val="22"/>
              </w:rPr>
              <w:t xml:space="preserve"> and health authorities to improve efficiency, </w:t>
            </w:r>
            <w:r w:rsidR="006D3D8F" w:rsidRPr="00786D4C">
              <w:rPr>
                <w:rFonts w:asciiTheme="majorHAnsi" w:hAnsiTheme="majorHAnsi"/>
                <w:szCs w:val="22"/>
              </w:rPr>
              <w:t>effectiveness,</w:t>
            </w:r>
            <w:r w:rsidRPr="00786D4C">
              <w:rPr>
                <w:rFonts w:asciiTheme="majorHAnsi" w:hAnsiTheme="majorHAnsi"/>
                <w:szCs w:val="22"/>
              </w:rPr>
              <w:t xml:space="preserve"> and outcomes</w:t>
            </w:r>
          </w:p>
        </w:tc>
        <w:tc>
          <w:tcPr>
            <w:tcW w:w="1034" w:type="pct"/>
          </w:tcPr>
          <w:p w14:paraId="42C7C627"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 xml:space="preserve">OPAAL is a funded charity that promotes and develops independent advocacy services for advocacy providers. OPAAL does not provide advocacy services directly but provides a framework of operations for new and existing advocacy providers. Many of advocacy providers operate around the UK and form the membership base of OPAAL. OPAAL provides an advocacy checklist for member organisations to publicly demonstrate the commitment towards older people care. With an OPAAL membership, members will receive training on advocacy, access to resources and accreditation, and lastly be advertised as an advocacy member. </w:t>
            </w:r>
          </w:p>
        </w:tc>
      </w:tr>
      <w:tr w:rsidR="005C3DD4" w:rsidRPr="008356DF" w14:paraId="09139DEA" w14:textId="77777777" w:rsidTr="007E6F05">
        <w:tc>
          <w:tcPr>
            <w:tcW w:w="864" w:type="pct"/>
          </w:tcPr>
          <w:p w14:paraId="5EDBCC6C" w14:textId="10A6330B" w:rsidR="005C3DD4" w:rsidRPr="00786D4C" w:rsidRDefault="005C3DD4" w:rsidP="007E6F05">
            <w:pPr>
              <w:rPr>
                <w:rFonts w:asciiTheme="majorHAnsi" w:hAnsiTheme="majorHAnsi" w:cstheme="minorHAnsi"/>
                <w:b/>
                <w:szCs w:val="22"/>
              </w:rPr>
            </w:pPr>
            <w:r w:rsidRPr="00786D4C">
              <w:rPr>
                <w:rFonts w:asciiTheme="majorHAnsi" w:hAnsiTheme="majorHAnsi" w:cstheme="minorHAnsi"/>
                <w:b/>
                <w:szCs w:val="22"/>
              </w:rPr>
              <w:t>Funding i.e.</w:t>
            </w:r>
            <w:r w:rsidR="00410954" w:rsidRPr="00786D4C">
              <w:rPr>
                <w:rFonts w:asciiTheme="majorHAnsi" w:hAnsiTheme="majorHAnsi" w:cstheme="minorHAnsi"/>
                <w:b/>
                <w:szCs w:val="22"/>
              </w:rPr>
              <w:t>,</w:t>
            </w:r>
            <w:r w:rsidRPr="00786D4C">
              <w:rPr>
                <w:rFonts w:asciiTheme="majorHAnsi" w:hAnsiTheme="majorHAnsi" w:cstheme="minorHAnsi"/>
                <w:b/>
                <w:szCs w:val="22"/>
              </w:rPr>
              <w:t xml:space="preserve"> government or otherwise</w:t>
            </w:r>
          </w:p>
        </w:tc>
        <w:tc>
          <w:tcPr>
            <w:tcW w:w="1034" w:type="pct"/>
          </w:tcPr>
          <w:p w14:paraId="313E273F"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Australian Government</w:t>
            </w:r>
          </w:p>
        </w:tc>
        <w:tc>
          <w:tcPr>
            <w:tcW w:w="1034" w:type="pct"/>
          </w:tcPr>
          <w:p w14:paraId="387477D3"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NZ Membership Base/public support</w:t>
            </w:r>
          </w:p>
        </w:tc>
        <w:tc>
          <w:tcPr>
            <w:tcW w:w="1034" w:type="pct"/>
          </w:tcPr>
          <w:p w14:paraId="6725AE9E" w14:textId="77777777"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Canadian Membership Base</w:t>
            </w:r>
          </w:p>
        </w:tc>
        <w:tc>
          <w:tcPr>
            <w:tcW w:w="1034" w:type="pct"/>
          </w:tcPr>
          <w:p w14:paraId="2BA8E2DA" w14:textId="745B2CEC" w:rsidR="005C3DD4" w:rsidRPr="00786D4C" w:rsidRDefault="005C3DD4" w:rsidP="007E6F05">
            <w:pPr>
              <w:rPr>
                <w:rFonts w:asciiTheme="majorHAnsi" w:hAnsiTheme="majorHAnsi" w:cstheme="minorHAnsi"/>
                <w:szCs w:val="22"/>
              </w:rPr>
            </w:pPr>
            <w:r w:rsidRPr="00786D4C">
              <w:rPr>
                <w:rFonts w:asciiTheme="majorHAnsi" w:hAnsiTheme="majorHAnsi" w:cstheme="minorHAnsi"/>
                <w:szCs w:val="22"/>
              </w:rPr>
              <w:t>Charity</w:t>
            </w:r>
          </w:p>
        </w:tc>
      </w:tr>
    </w:tbl>
    <w:p w14:paraId="509DCFE1" w14:textId="670C7418" w:rsidR="005C3DD4" w:rsidRPr="00786D4C" w:rsidRDefault="00D74A74" w:rsidP="00FD3010">
      <w:pPr>
        <w:pStyle w:val="CaptionTable"/>
        <w:numPr>
          <w:ilvl w:val="0"/>
          <w:numId w:val="0"/>
        </w:numPr>
        <w:rPr>
          <w:szCs w:val="22"/>
        </w:rPr>
      </w:pPr>
      <w:bookmarkStart w:id="273" w:name="_Toc99117019"/>
      <w:r w:rsidRPr="00786D4C">
        <w:rPr>
          <w:szCs w:val="22"/>
          <w:lang w:eastAsia="en-AU"/>
        </w:rPr>
        <w:t>Source: Deloitte Access Economics.</w:t>
      </w:r>
      <w:bookmarkEnd w:id="273"/>
    </w:p>
    <w:p w14:paraId="513CDB94" w14:textId="5D2A7BD1" w:rsidR="005C3DD4" w:rsidRDefault="005C3DD4" w:rsidP="005C3DD4">
      <w:pPr>
        <w:spacing w:after="0"/>
        <w:sectPr w:rsidR="005C3DD4" w:rsidSect="002C7881">
          <w:pgSz w:w="16838" w:h="11906" w:orient="landscape" w:code="9"/>
          <w:pgMar w:top="1440" w:right="1440" w:bottom="1440" w:left="1440" w:header="680" w:footer="425" w:gutter="0"/>
          <w:cols w:space="284"/>
          <w:noEndnote/>
          <w:docGrid w:linePitch="360"/>
        </w:sectPr>
      </w:pPr>
    </w:p>
    <w:p w14:paraId="30B2AB37" w14:textId="6BA9FC96" w:rsidR="00F90499" w:rsidRDefault="00105B76" w:rsidP="00F90499">
      <w:pPr>
        <w:pStyle w:val="Heading1"/>
      </w:pPr>
      <w:bookmarkStart w:id="274" w:name="_Toc99437552"/>
      <w:r>
        <w:t xml:space="preserve">Future </w:t>
      </w:r>
      <w:bookmarkEnd w:id="252"/>
      <w:bookmarkEnd w:id="253"/>
      <w:r w:rsidR="00A45486">
        <w:t>considerations</w:t>
      </w:r>
      <w:bookmarkEnd w:id="274"/>
    </w:p>
    <w:p w14:paraId="7C69BDDA" w14:textId="144BC230" w:rsidR="00D86F50" w:rsidRPr="002C4CC0" w:rsidRDefault="00CE1259">
      <w:r>
        <w:t>Th</w:t>
      </w:r>
      <w:r w:rsidR="003B4BCC">
        <w:t>rough</w:t>
      </w:r>
      <w:r w:rsidR="00C23539">
        <w:t xml:space="preserve"> inves</w:t>
      </w:r>
      <w:r w:rsidR="00236366">
        <w:t>tigating the demand and supply of the NACAP using data analysis and consultation techniques</w:t>
      </w:r>
      <w:r w:rsidR="00EE28B7">
        <w:t xml:space="preserve"> in this project</w:t>
      </w:r>
      <w:r w:rsidR="00236366">
        <w:t xml:space="preserve">, </w:t>
      </w:r>
      <w:proofErr w:type="gramStart"/>
      <w:r w:rsidR="00EE28B7">
        <w:t>a number of</w:t>
      </w:r>
      <w:proofErr w:type="gramEnd"/>
      <w:r w:rsidR="00EE28B7">
        <w:t xml:space="preserve"> </w:t>
      </w:r>
      <w:r w:rsidR="00D6393A">
        <w:t xml:space="preserve">future considerations were also uncovered. </w:t>
      </w:r>
      <w:r w:rsidR="00EC7871">
        <w:t xml:space="preserve">Several challenges relating to data availability and extraction were identified throughout this process, and </w:t>
      </w:r>
      <w:r w:rsidR="00F14349">
        <w:t xml:space="preserve">learnings that should be considered in future data collection and </w:t>
      </w:r>
      <w:r w:rsidR="004C0231">
        <w:t xml:space="preserve">similar data analysis are outlined below. </w:t>
      </w:r>
      <w:r w:rsidR="00D86F50">
        <w:t>As</w:t>
      </w:r>
      <w:r w:rsidR="009D4E9C">
        <w:t xml:space="preserve"> the</w:t>
      </w:r>
      <w:r w:rsidR="00D86F50">
        <w:t xml:space="preserve"> NACAP grows it will be important to better understand the services delivered and the user base through stronger data collection, monitoring</w:t>
      </w:r>
      <w:r w:rsidR="009D4E9C">
        <w:t>,</w:t>
      </w:r>
      <w:r w:rsidR="00D86F50">
        <w:t xml:space="preserve"> and evaluation.</w:t>
      </w:r>
      <w:r w:rsidR="00CB0BAF">
        <w:t xml:space="preserve"> </w:t>
      </w:r>
      <w:r w:rsidR="009D4E9C">
        <w:t>The</w:t>
      </w:r>
      <w:r w:rsidR="00D86F50">
        <w:t xml:space="preserve"> stakeholder consultations </w:t>
      </w:r>
      <w:r w:rsidR="00E804EA">
        <w:t xml:space="preserve">also </w:t>
      </w:r>
      <w:r w:rsidR="00D86F50">
        <w:t xml:space="preserve">identified </w:t>
      </w:r>
      <w:r w:rsidR="00EA5AF0">
        <w:t>several</w:t>
      </w:r>
      <w:r w:rsidR="00E72001">
        <w:t xml:space="preserve"> challenges that have affected </w:t>
      </w:r>
      <w:r w:rsidR="00E804EA">
        <w:t xml:space="preserve">uptake </w:t>
      </w:r>
      <w:r w:rsidR="00E72001">
        <w:t xml:space="preserve">of </w:t>
      </w:r>
      <w:r w:rsidR="00E804EA">
        <w:t xml:space="preserve">the </w:t>
      </w:r>
      <w:r w:rsidR="00E72001">
        <w:t>NACAP</w:t>
      </w:r>
      <w:r w:rsidR="00FC61AF">
        <w:t>.</w:t>
      </w:r>
      <w:r w:rsidR="00E72001">
        <w:t xml:space="preserve"> </w:t>
      </w:r>
      <w:r w:rsidR="00FC61AF">
        <w:t>T</w:t>
      </w:r>
      <w:r w:rsidR="00D86F50">
        <w:t xml:space="preserve">he most significant factor affecting usage of NACAP is </w:t>
      </w:r>
      <w:r w:rsidR="00D86F50" w:rsidRPr="004A05D8">
        <w:t>low awareness.</w:t>
      </w:r>
      <w:r w:rsidR="00D86F50">
        <w:t xml:space="preserve"> Recommendation</w:t>
      </w:r>
      <w:r w:rsidR="00FC61AF">
        <w:t>s</w:t>
      </w:r>
      <w:r w:rsidR="00D86F50">
        <w:t xml:space="preserve"> to improve awareness </w:t>
      </w:r>
      <w:r w:rsidR="00E76761">
        <w:t>and take-up</w:t>
      </w:r>
      <w:r w:rsidR="00D86F50">
        <w:t xml:space="preserve"> </w:t>
      </w:r>
      <w:r w:rsidR="004A05D8">
        <w:t xml:space="preserve">based on </w:t>
      </w:r>
      <w:r w:rsidR="006E6ABE">
        <w:t xml:space="preserve">stakeholder </w:t>
      </w:r>
      <w:r w:rsidR="005E75CB">
        <w:t xml:space="preserve">suggestions </w:t>
      </w:r>
      <w:r w:rsidR="00FC61AF">
        <w:t xml:space="preserve">and </w:t>
      </w:r>
      <w:r w:rsidR="00E37790">
        <w:t>using</w:t>
      </w:r>
      <w:r w:rsidR="00FC61AF">
        <w:t xml:space="preserve"> </w:t>
      </w:r>
      <w:r w:rsidR="00D86F50" w:rsidRPr="00D86F50">
        <w:t>behavioural insights</w:t>
      </w:r>
      <w:r w:rsidR="00D86F50">
        <w:t xml:space="preserve"> </w:t>
      </w:r>
      <w:r w:rsidR="00D7542A">
        <w:t>are</w:t>
      </w:r>
      <w:r w:rsidR="00B273B9">
        <w:t xml:space="preserve"> </w:t>
      </w:r>
      <w:r w:rsidR="00D86F50">
        <w:t>detailed in this chapter</w:t>
      </w:r>
      <w:r w:rsidR="00E72001">
        <w:t>.</w:t>
      </w:r>
    </w:p>
    <w:p w14:paraId="489C77F1" w14:textId="68D761CD" w:rsidR="00F90499" w:rsidRDefault="00F90499" w:rsidP="00B10C01">
      <w:pPr>
        <w:pStyle w:val="Heading2"/>
      </w:pPr>
      <w:bookmarkStart w:id="275" w:name="_Toc94771865"/>
      <w:bookmarkStart w:id="276" w:name="_Ref94646714"/>
      <w:bookmarkStart w:id="277" w:name="_Ref95307097"/>
      <w:bookmarkStart w:id="278" w:name="_Toc99437553"/>
      <w:r>
        <w:t>Data limitations and assumptions</w:t>
      </w:r>
      <w:bookmarkEnd w:id="275"/>
      <w:bookmarkEnd w:id="276"/>
      <w:bookmarkEnd w:id="277"/>
      <w:bookmarkEnd w:id="278"/>
    </w:p>
    <w:p w14:paraId="0F5B227B" w14:textId="31A7453B" w:rsidR="00F90499" w:rsidRDefault="00067DD7" w:rsidP="00F90499">
      <w:pPr>
        <w:pStyle w:val="ListBullet2"/>
        <w:numPr>
          <w:ilvl w:val="0"/>
          <w:numId w:val="0"/>
        </w:numPr>
      </w:pPr>
      <w:bookmarkStart w:id="279" w:name="_Ref95143460"/>
      <w:r>
        <w:t xml:space="preserve">Consideration needs to be given to </w:t>
      </w:r>
      <w:r w:rsidR="00DD73D7">
        <w:t xml:space="preserve">learnings relating to data limitation for future </w:t>
      </w:r>
      <w:r w:rsidR="004040F0">
        <w:t>expansion of this analysis</w:t>
      </w:r>
      <w:r w:rsidR="00E52754">
        <w:t xml:space="preserve">. </w:t>
      </w:r>
      <w:r w:rsidR="00F90499">
        <w:t xml:space="preserve">The </w:t>
      </w:r>
      <w:r w:rsidR="00DD4AB6">
        <w:t>OPAN</w:t>
      </w:r>
      <w:r w:rsidR="00F90499">
        <w:t xml:space="preserve"> unit record data was critical in estimating the current met and unmet demand for NACAP services. However, significant gaps in the </w:t>
      </w:r>
      <w:r w:rsidR="0045748B">
        <w:t>current</w:t>
      </w:r>
      <w:r w:rsidR="00F90499">
        <w:t xml:space="preserve"> data illustrated the need for streamlined data collection and </w:t>
      </w:r>
      <w:r w:rsidR="00F90499" w:rsidRPr="00485029">
        <w:t>access</w:t>
      </w:r>
      <w:r w:rsidR="00C946DF">
        <w:t>ibility</w:t>
      </w:r>
      <w:r w:rsidR="00F90499" w:rsidRPr="00485029">
        <w:t>.</w:t>
      </w:r>
      <w:r w:rsidR="00F90499">
        <w:t xml:space="preserve"> </w:t>
      </w:r>
      <w:r w:rsidR="009667C3">
        <w:fldChar w:fldCharType="begin"/>
      </w:r>
      <w:r w:rsidR="009667C3">
        <w:instrText xml:space="preserve"> REF _Ref95307102 \r \h </w:instrText>
      </w:r>
      <w:r w:rsidR="009667C3">
        <w:fldChar w:fldCharType="separate"/>
      </w:r>
      <w:r w:rsidR="00DC6A20">
        <w:t>Table 7.1</w:t>
      </w:r>
      <w:r w:rsidR="009667C3">
        <w:fldChar w:fldCharType="end"/>
      </w:r>
      <w:r w:rsidR="009667C3">
        <w:t xml:space="preserve"> </w:t>
      </w:r>
      <w:r w:rsidR="00F90499">
        <w:t xml:space="preserve">presents a summary of the key limitations from the unit record data, their implications for understanding the state of demand, a set of </w:t>
      </w:r>
      <w:r w:rsidR="00AB5474">
        <w:t xml:space="preserve">opportunity for </w:t>
      </w:r>
      <w:r w:rsidR="00586DB0">
        <w:t>future NACAP data collection that should underpin the development</w:t>
      </w:r>
      <w:r w:rsidR="001571BC">
        <w:t xml:space="preserve"> and approach</w:t>
      </w:r>
      <w:r w:rsidR="00586DB0">
        <w:t xml:space="preserve"> of the NMDS</w:t>
      </w:r>
      <w:r w:rsidR="00F90499">
        <w:t>.</w:t>
      </w:r>
    </w:p>
    <w:p w14:paraId="3646703F" w14:textId="78026F62" w:rsidR="00F90499" w:rsidRDefault="009667C3" w:rsidP="004A288C">
      <w:pPr>
        <w:pStyle w:val="CaptionTable"/>
        <w:ind w:hanging="142"/>
      </w:pPr>
      <w:bookmarkStart w:id="280" w:name="_Ref94621321"/>
      <w:bookmarkStart w:id="281" w:name="_Toc94771898"/>
      <w:bookmarkStart w:id="282" w:name="_Ref95307102"/>
      <w:bookmarkStart w:id="283" w:name="_Toc99117020"/>
      <w:bookmarkEnd w:id="279"/>
      <w:r>
        <w:t xml:space="preserve">: </w:t>
      </w:r>
      <w:r w:rsidR="00F90499">
        <w:t>Key data limitations from OPAN unit record data</w:t>
      </w:r>
      <w:bookmarkEnd w:id="280"/>
      <w:bookmarkEnd w:id="281"/>
      <w:bookmarkEnd w:id="282"/>
      <w:bookmarkEnd w:id="283"/>
    </w:p>
    <w:tbl>
      <w:tblPr>
        <w:tblStyle w:val="Deloittetable"/>
        <w:tblW w:w="5000" w:type="pct"/>
        <w:tblLook w:val="04A0" w:firstRow="1" w:lastRow="0" w:firstColumn="1" w:lastColumn="0" w:noHBand="0" w:noVBand="1"/>
      </w:tblPr>
      <w:tblGrid>
        <w:gridCol w:w="2528"/>
        <w:gridCol w:w="2014"/>
        <w:gridCol w:w="1823"/>
        <w:gridCol w:w="2661"/>
      </w:tblGrid>
      <w:tr w:rsidR="00F90499" w14:paraId="352854B6" w14:textId="77777777" w:rsidTr="00B10C01">
        <w:trPr>
          <w:cnfStyle w:val="100000000000" w:firstRow="1" w:lastRow="0" w:firstColumn="0" w:lastColumn="0" w:oddVBand="0" w:evenVBand="0" w:oddHBand="0" w:evenHBand="0" w:firstRowFirstColumn="0" w:firstRowLastColumn="0" w:lastRowFirstColumn="0" w:lastRowLastColumn="0"/>
          <w:trHeight w:val="469"/>
          <w:tblHeader/>
        </w:trPr>
        <w:tc>
          <w:tcPr>
            <w:tcW w:w="0" w:type="pct"/>
          </w:tcPr>
          <w:p w14:paraId="474CF721" w14:textId="77777777" w:rsidR="00F90499" w:rsidRPr="003D413C" w:rsidRDefault="00F90499" w:rsidP="005841EE">
            <w:pPr>
              <w:pStyle w:val="ListBullet2"/>
              <w:numPr>
                <w:ilvl w:val="0"/>
                <w:numId w:val="0"/>
              </w:numPr>
              <w:rPr>
                <w:b/>
              </w:rPr>
            </w:pPr>
            <w:r w:rsidRPr="003D413C">
              <w:rPr>
                <w:b/>
              </w:rPr>
              <w:t>Area</w:t>
            </w:r>
          </w:p>
        </w:tc>
        <w:tc>
          <w:tcPr>
            <w:tcW w:w="1238" w:type="pct"/>
          </w:tcPr>
          <w:p w14:paraId="6EB18973" w14:textId="77777777" w:rsidR="00F90499" w:rsidRPr="003D413C" w:rsidRDefault="00F90499" w:rsidP="005841EE">
            <w:pPr>
              <w:pStyle w:val="ListBullet2"/>
              <w:numPr>
                <w:ilvl w:val="0"/>
                <w:numId w:val="0"/>
              </w:numPr>
              <w:rPr>
                <w:b/>
              </w:rPr>
            </w:pPr>
            <w:r w:rsidRPr="003D413C">
              <w:rPr>
                <w:b/>
              </w:rPr>
              <w:t>Limitations</w:t>
            </w:r>
          </w:p>
        </w:tc>
        <w:tc>
          <w:tcPr>
            <w:tcW w:w="1155" w:type="pct"/>
          </w:tcPr>
          <w:p w14:paraId="2BF2E02A" w14:textId="77777777" w:rsidR="00F90499" w:rsidRPr="003D413C" w:rsidRDefault="00F90499" w:rsidP="005841EE">
            <w:pPr>
              <w:pStyle w:val="ListBullet2"/>
              <w:numPr>
                <w:ilvl w:val="0"/>
                <w:numId w:val="0"/>
              </w:numPr>
              <w:rPr>
                <w:b/>
              </w:rPr>
            </w:pPr>
            <w:r w:rsidRPr="003D413C">
              <w:rPr>
                <w:b/>
              </w:rPr>
              <w:t>Implication</w:t>
            </w:r>
          </w:p>
        </w:tc>
        <w:tc>
          <w:tcPr>
            <w:tcW w:w="1518" w:type="pct"/>
          </w:tcPr>
          <w:p w14:paraId="1F8E6794" w14:textId="4B155E90" w:rsidR="00F90499" w:rsidRPr="003D413C" w:rsidRDefault="00904FE2" w:rsidP="005841EE">
            <w:pPr>
              <w:pStyle w:val="ListBullet2"/>
              <w:numPr>
                <w:ilvl w:val="0"/>
                <w:numId w:val="0"/>
              </w:numPr>
              <w:rPr>
                <w:b/>
              </w:rPr>
            </w:pPr>
            <w:r w:rsidRPr="003D413C">
              <w:rPr>
                <w:b/>
              </w:rPr>
              <w:t>Opportunities for future NACAP data collection</w:t>
            </w:r>
          </w:p>
        </w:tc>
      </w:tr>
      <w:tr w:rsidR="00DA0DD0" w14:paraId="214676A6" w14:textId="77777777" w:rsidTr="00B10C01">
        <w:trPr>
          <w:trHeight w:val="2468"/>
        </w:trPr>
        <w:tc>
          <w:tcPr>
            <w:tcW w:w="0" w:type="pct"/>
          </w:tcPr>
          <w:p w14:paraId="67468994" w14:textId="77777777" w:rsidR="00DA0DD0" w:rsidRDefault="00DA0DD0" w:rsidP="00DA0DD0">
            <w:pPr>
              <w:pStyle w:val="ListBullet2"/>
              <w:numPr>
                <w:ilvl w:val="0"/>
                <w:numId w:val="0"/>
              </w:numPr>
              <w:rPr>
                <w:b/>
                <w:bCs/>
              </w:rPr>
            </w:pPr>
            <w:r w:rsidRPr="00F74E91">
              <w:rPr>
                <w:b/>
                <w:bCs/>
              </w:rPr>
              <w:t>Comprehensiveness</w:t>
            </w:r>
          </w:p>
          <w:p w14:paraId="0F508FBA" w14:textId="1ABEC0C4" w:rsidR="00DA0DD0" w:rsidRPr="00A95B6A" w:rsidRDefault="00DA0DD0" w:rsidP="00DA0DD0">
            <w:pPr>
              <w:pStyle w:val="ListBullet2"/>
              <w:numPr>
                <w:ilvl w:val="0"/>
                <w:numId w:val="0"/>
              </w:numPr>
              <w:rPr>
                <w:i/>
              </w:rPr>
            </w:pPr>
            <w:r>
              <w:rPr>
                <w:i/>
                <w:iCs/>
              </w:rPr>
              <w:t>D</w:t>
            </w:r>
            <w:r w:rsidRPr="00F74E91">
              <w:rPr>
                <w:i/>
                <w:iCs/>
              </w:rPr>
              <w:t>ata gaps across states</w:t>
            </w:r>
            <w:r w:rsidRPr="00F74E91">
              <w:rPr>
                <w:i/>
              </w:rPr>
              <w:t xml:space="preserve"> </w:t>
            </w:r>
          </w:p>
        </w:tc>
        <w:tc>
          <w:tcPr>
            <w:tcW w:w="1238" w:type="pct"/>
          </w:tcPr>
          <w:p w14:paraId="20A69004" w14:textId="5D60405F" w:rsidR="00DA0DD0" w:rsidRDefault="00DA0DD0" w:rsidP="00DA0DD0">
            <w:pPr>
              <w:pStyle w:val="ListBullet2"/>
              <w:numPr>
                <w:ilvl w:val="0"/>
                <w:numId w:val="0"/>
              </w:numPr>
              <w:ind w:left="57" w:right="0"/>
            </w:pPr>
            <w:r>
              <w:t>D</w:t>
            </w:r>
            <w:r w:rsidRPr="009E3669">
              <w:t>ata gaps</w:t>
            </w:r>
            <w:r>
              <w:t xml:space="preserve"> for user characteristics</w:t>
            </w:r>
            <w:r w:rsidRPr="009E3669">
              <w:t xml:space="preserve"> across states </w:t>
            </w:r>
            <w:r>
              <w:t>prevented an accurate analysis of how NACAP was reaching vulnerable populations across States</w:t>
            </w:r>
          </w:p>
        </w:tc>
        <w:tc>
          <w:tcPr>
            <w:tcW w:w="1155" w:type="pct"/>
          </w:tcPr>
          <w:p w14:paraId="7313ABC0" w14:textId="2625C846" w:rsidR="00DA0DD0" w:rsidRDefault="00DA0DD0" w:rsidP="00A95B6A">
            <w:pPr>
              <w:pStyle w:val="ListBullet2"/>
              <w:numPr>
                <w:ilvl w:val="0"/>
                <w:numId w:val="0"/>
              </w:numPr>
              <w:ind w:left="57" w:right="0"/>
            </w:pPr>
            <w:r w:rsidRPr="000176CF">
              <w:t>Without these data it is difficult to understand whether NACAP is addressing special needs.</w:t>
            </w:r>
          </w:p>
        </w:tc>
        <w:tc>
          <w:tcPr>
            <w:tcW w:w="1518" w:type="pct"/>
          </w:tcPr>
          <w:p w14:paraId="54B0E4CD" w14:textId="055B6291" w:rsidR="00DA0DD0" w:rsidRDefault="00DA0DD0" w:rsidP="00DA0DD0">
            <w:pPr>
              <w:pStyle w:val="ListBullet2"/>
              <w:numPr>
                <w:ilvl w:val="0"/>
                <w:numId w:val="0"/>
              </w:numPr>
              <w:ind w:left="57"/>
            </w:pPr>
            <w:r>
              <w:t>Encourage the recording of key features</w:t>
            </w:r>
            <w:r w:rsidRPr="006D4770">
              <w:t xml:space="preserve"> of a user such as whether they are experiencing elder abuse </w:t>
            </w:r>
            <w:r>
              <w:t>or have dementia. Doing so will enable a b</w:t>
            </w:r>
            <w:r w:rsidRPr="00A56D8D">
              <w:t>etter allocation of funding for NACAP services</w:t>
            </w:r>
            <w:r>
              <w:t xml:space="preserve"> across user needs</w:t>
            </w:r>
            <w:r w:rsidRPr="00A56D8D">
              <w:t>.</w:t>
            </w:r>
          </w:p>
        </w:tc>
      </w:tr>
      <w:tr w:rsidR="00DA0DD0" w14:paraId="34D9E961" w14:textId="77777777" w:rsidTr="00B10C01">
        <w:trPr>
          <w:trHeight w:val="950"/>
        </w:trPr>
        <w:tc>
          <w:tcPr>
            <w:tcW w:w="0" w:type="pct"/>
          </w:tcPr>
          <w:p w14:paraId="2742808B" w14:textId="77777777" w:rsidR="00DA0DD0" w:rsidRDefault="00DA0DD0" w:rsidP="00DA0DD0">
            <w:pPr>
              <w:pStyle w:val="ListBullet2"/>
              <w:numPr>
                <w:ilvl w:val="0"/>
                <w:numId w:val="0"/>
              </w:numPr>
              <w:rPr>
                <w:b/>
                <w:bCs/>
              </w:rPr>
            </w:pPr>
            <w:r w:rsidRPr="00F74E91">
              <w:rPr>
                <w:b/>
                <w:bCs/>
              </w:rPr>
              <w:t>Consistency</w:t>
            </w:r>
          </w:p>
          <w:p w14:paraId="5F68075D" w14:textId="192793E5" w:rsidR="00DA0DD0" w:rsidRPr="00A95B6A" w:rsidRDefault="00DA0DD0" w:rsidP="00DA0DD0">
            <w:pPr>
              <w:pStyle w:val="ListBullet2"/>
              <w:numPr>
                <w:ilvl w:val="0"/>
                <w:numId w:val="0"/>
              </w:numPr>
              <w:rPr>
                <w:i/>
                <w:iCs/>
              </w:rPr>
            </w:pPr>
            <w:r>
              <w:rPr>
                <w:i/>
                <w:iCs/>
              </w:rPr>
              <w:t>I</w:t>
            </w:r>
            <w:r w:rsidRPr="00F74E91">
              <w:rPr>
                <w:i/>
                <w:iCs/>
              </w:rPr>
              <w:t>nconsistent data capture</w:t>
            </w:r>
          </w:p>
        </w:tc>
        <w:tc>
          <w:tcPr>
            <w:tcW w:w="1238" w:type="pct"/>
          </w:tcPr>
          <w:p w14:paraId="34EF6C74" w14:textId="1D62DA31" w:rsidR="00DA0DD0" w:rsidRDefault="00DA0DD0" w:rsidP="00DA0DD0">
            <w:pPr>
              <w:pStyle w:val="ListBullet2"/>
              <w:numPr>
                <w:ilvl w:val="0"/>
                <w:numId w:val="0"/>
              </w:numPr>
              <w:ind w:left="57"/>
            </w:pPr>
            <w:r>
              <w:t>Inconsistent data capture across states for optional fields (e.g., CALD status) meant that usage rates for certain populations might have been under- or overestimated, depending on the operations within the State</w:t>
            </w:r>
          </w:p>
        </w:tc>
        <w:tc>
          <w:tcPr>
            <w:tcW w:w="1155" w:type="pct"/>
          </w:tcPr>
          <w:p w14:paraId="560FA7BB" w14:textId="4E3091A4" w:rsidR="00DA0DD0" w:rsidRDefault="00DA0DD0" w:rsidP="00A95B6A">
            <w:pPr>
              <w:pStyle w:val="ListBullet2"/>
              <w:numPr>
                <w:ilvl w:val="0"/>
                <w:numId w:val="0"/>
              </w:numPr>
              <w:ind w:left="57"/>
            </w:pPr>
            <w:r w:rsidRPr="003C5FA3">
              <w:t>I</w:t>
            </w:r>
            <w:r>
              <w:t>nability</w:t>
            </w:r>
            <w:r w:rsidRPr="003C5FA3">
              <w:t xml:space="preserve"> to capture breakdowns for given characteristics and SDOs</w:t>
            </w:r>
            <w:r>
              <w:t>, reducing an understanding of NACAP demand among vulnerable populations.</w:t>
            </w:r>
          </w:p>
        </w:tc>
        <w:tc>
          <w:tcPr>
            <w:tcW w:w="1518" w:type="pct"/>
          </w:tcPr>
          <w:p w14:paraId="42904CAA" w14:textId="76DE2943" w:rsidR="00DA0DD0" w:rsidRDefault="00DA0DD0" w:rsidP="00A95B6A">
            <w:pPr>
              <w:pStyle w:val="ListBullet2"/>
              <w:keepNext/>
              <w:numPr>
                <w:ilvl w:val="0"/>
                <w:numId w:val="0"/>
              </w:numPr>
              <w:ind w:left="57"/>
            </w:pPr>
            <w:r w:rsidRPr="002C13C3">
              <w:t>Adopt consistent data capture to ensure consistent capture of characteristics across SDOs</w:t>
            </w:r>
            <w:r>
              <w:t>.</w:t>
            </w:r>
            <w:r w:rsidRPr="002C13C3">
              <w:t xml:space="preserve"> </w:t>
            </w:r>
            <w:r>
              <w:t>It is understood</w:t>
            </w:r>
            <w:r w:rsidRPr="002C13C3">
              <w:t xml:space="preserve"> that the minimum dataset project will address this</w:t>
            </w:r>
            <w:r>
              <w:t>.</w:t>
            </w:r>
          </w:p>
        </w:tc>
      </w:tr>
      <w:tr w:rsidR="00DA0DD0" w14:paraId="7A560A6D" w14:textId="77777777" w:rsidTr="00B10C01">
        <w:trPr>
          <w:trHeight w:val="938"/>
        </w:trPr>
        <w:tc>
          <w:tcPr>
            <w:tcW w:w="0" w:type="pct"/>
          </w:tcPr>
          <w:p w14:paraId="26DAFCFD" w14:textId="77777777" w:rsidR="00DA0DD0" w:rsidRDefault="00DA0DD0" w:rsidP="00DA0DD0">
            <w:pPr>
              <w:pStyle w:val="ListBullet2"/>
              <w:numPr>
                <w:ilvl w:val="0"/>
                <w:numId w:val="0"/>
              </w:numPr>
              <w:rPr>
                <w:b/>
                <w:bCs/>
              </w:rPr>
            </w:pPr>
            <w:r w:rsidRPr="00F74E91">
              <w:rPr>
                <w:b/>
                <w:bCs/>
              </w:rPr>
              <w:t>Quality</w:t>
            </w:r>
          </w:p>
          <w:p w14:paraId="36FB70C2" w14:textId="59183543" w:rsidR="00DA0DD0" w:rsidRPr="00A95B6A" w:rsidRDefault="00DA0DD0" w:rsidP="00DA0DD0">
            <w:pPr>
              <w:pStyle w:val="ListBullet2"/>
              <w:numPr>
                <w:ilvl w:val="0"/>
                <w:numId w:val="0"/>
              </w:numPr>
              <w:rPr>
                <w:i/>
                <w:iCs/>
              </w:rPr>
            </w:pPr>
            <w:r>
              <w:rPr>
                <w:i/>
                <w:iCs/>
              </w:rPr>
              <w:t>I</w:t>
            </w:r>
            <w:r w:rsidRPr="00F74E91">
              <w:rPr>
                <w:i/>
                <w:iCs/>
              </w:rPr>
              <w:t>nstances of inaccurate data</w:t>
            </w:r>
          </w:p>
        </w:tc>
        <w:tc>
          <w:tcPr>
            <w:tcW w:w="1238" w:type="pct"/>
          </w:tcPr>
          <w:p w14:paraId="6721A5FB" w14:textId="2056CA09" w:rsidR="00DA0DD0" w:rsidRDefault="00DA0DD0" w:rsidP="00DA0DD0">
            <w:pPr>
              <w:pStyle w:val="ListBullet2"/>
              <w:numPr>
                <w:ilvl w:val="0"/>
                <w:numId w:val="0"/>
              </w:numPr>
              <w:ind w:left="57"/>
            </w:pPr>
            <w:r>
              <w:t xml:space="preserve">Instances of inaccurate </w:t>
            </w:r>
            <w:r w:rsidRPr="006F14CC">
              <w:t>data, with some records showing extreme values</w:t>
            </w:r>
            <w:r>
              <w:t>,</w:t>
            </w:r>
            <w:r w:rsidRPr="006F14CC">
              <w:t xml:space="preserve"> </w:t>
            </w:r>
            <w:r>
              <w:t>impeded an understanding of</w:t>
            </w:r>
            <w:r w:rsidRPr="006F14CC">
              <w:t xml:space="preserve"> the </w:t>
            </w:r>
            <w:r>
              <w:t>true user characteristics</w:t>
            </w:r>
          </w:p>
        </w:tc>
        <w:tc>
          <w:tcPr>
            <w:tcW w:w="1155" w:type="pct"/>
          </w:tcPr>
          <w:p w14:paraId="668A715D" w14:textId="5DA6019A" w:rsidR="00DA0DD0" w:rsidRDefault="00DA0DD0" w:rsidP="00A95B6A">
            <w:pPr>
              <w:pStyle w:val="ListBullet2"/>
              <w:numPr>
                <w:ilvl w:val="0"/>
                <w:numId w:val="0"/>
              </w:numPr>
              <w:ind w:left="57"/>
            </w:pPr>
            <w:r>
              <w:t xml:space="preserve">Impeded </w:t>
            </w:r>
            <w:r w:rsidRPr="00480F42">
              <w:t>understanding of characteristics of users accessing the services</w:t>
            </w:r>
            <w:r>
              <w:t>.</w:t>
            </w:r>
          </w:p>
        </w:tc>
        <w:tc>
          <w:tcPr>
            <w:tcW w:w="1518" w:type="pct"/>
          </w:tcPr>
          <w:p w14:paraId="682BFB56" w14:textId="7DD481FE" w:rsidR="00DA0DD0" w:rsidRDefault="00DA0DD0" w:rsidP="00DA0DD0">
            <w:pPr>
              <w:pStyle w:val="ListBullet2"/>
              <w:numPr>
                <w:ilvl w:val="0"/>
                <w:numId w:val="0"/>
              </w:numPr>
              <w:ind w:left="57"/>
            </w:pPr>
            <w:r w:rsidRPr="000A2174">
              <w:t>Provide advocates with training on data definitions and data requirements</w:t>
            </w:r>
            <w:r>
              <w:t xml:space="preserve"> and c</w:t>
            </w:r>
            <w:r w:rsidRPr="000A2174">
              <w:t xml:space="preserve">onduct periodic data checks at SDO level to </w:t>
            </w:r>
            <w:r>
              <w:t>better</w:t>
            </w:r>
            <w:r w:rsidRPr="00845709">
              <w:t xml:space="preserve"> support prioritisation of needs</w:t>
            </w:r>
            <w:r>
              <w:t>.</w:t>
            </w:r>
          </w:p>
        </w:tc>
      </w:tr>
      <w:tr w:rsidR="00DA0DD0" w14:paraId="5689F1E5" w14:textId="77777777" w:rsidTr="00B10C01">
        <w:trPr>
          <w:trHeight w:val="1432"/>
        </w:trPr>
        <w:tc>
          <w:tcPr>
            <w:tcW w:w="0" w:type="pct"/>
          </w:tcPr>
          <w:p w14:paraId="51DADEEC" w14:textId="77777777" w:rsidR="00DA0DD0" w:rsidRDefault="00DA0DD0" w:rsidP="00DA0DD0">
            <w:pPr>
              <w:pStyle w:val="ListBullet2"/>
              <w:numPr>
                <w:ilvl w:val="0"/>
                <w:numId w:val="0"/>
              </w:numPr>
              <w:rPr>
                <w:b/>
                <w:bCs/>
              </w:rPr>
            </w:pPr>
            <w:r w:rsidRPr="00F74E91">
              <w:rPr>
                <w:b/>
                <w:bCs/>
              </w:rPr>
              <w:t>Clarity</w:t>
            </w:r>
          </w:p>
          <w:p w14:paraId="54A6F028" w14:textId="77777777" w:rsidR="00DA0DD0" w:rsidRPr="00F74E91" w:rsidRDefault="00DA0DD0" w:rsidP="00DA0DD0">
            <w:pPr>
              <w:pStyle w:val="ListBullet2"/>
              <w:numPr>
                <w:ilvl w:val="0"/>
                <w:numId w:val="0"/>
              </w:numPr>
              <w:rPr>
                <w:i/>
              </w:rPr>
            </w:pPr>
            <w:r>
              <w:rPr>
                <w:i/>
                <w:iCs/>
              </w:rPr>
              <w:t>U</w:t>
            </w:r>
            <w:r w:rsidRPr="00F74E91">
              <w:rPr>
                <w:i/>
                <w:iCs/>
              </w:rPr>
              <w:t>nclear whether the data captures the characteristics of the user or caller accessing the service</w:t>
            </w:r>
          </w:p>
        </w:tc>
        <w:tc>
          <w:tcPr>
            <w:tcW w:w="1238" w:type="pct"/>
          </w:tcPr>
          <w:p w14:paraId="0251A12E" w14:textId="3C916F58" w:rsidR="00DA0DD0" w:rsidRDefault="00DA0DD0" w:rsidP="00DA0DD0">
            <w:pPr>
              <w:pStyle w:val="ListBullet2"/>
              <w:numPr>
                <w:ilvl w:val="0"/>
                <w:numId w:val="0"/>
              </w:numPr>
              <w:ind w:left="57"/>
            </w:pPr>
            <w:r>
              <w:t>Lack of clarity around whether the unit record data captured the characteristics of older people or those calling on behalf of the older people reduced data accuracy</w:t>
            </w:r>
          </w:p>
        </w:tc>
        <w:tc>
          <w:tcPr>
            <w:tcW w:w="1155" w:type="pct"/>
          </w:tcPr>
          <w:p w14:paraId="10A119C3" w14:textId="77777777" w:rsidR="00DA0DD0" w:rsidRDefault="00DA0DD0" w:rsidP="00DA0DD0">
            <w:pPr>
              <w:pStyle w:val="ListBullet2"/>
              <w:numPr>
                <w:ilvl w:val="0"/>
                <w:numId w:val="0"/>
              </w:numPr>
              <w:ind w:left="57"/>
            </w:pPr>
            <w:r>
              <w:t xml:space="preserve">Compromised </w:t>
            </w:r>
            <w:r w:rsidRPr="00E57AAC">
              <w:t xml:space="preserve">accuracy </w:t>
            </w:r>
            <w:r>
              <w:t>in</w:t>
            </w:r>
            <w:r w:rsidRPr="00E57AAC">
              <w:t xml:space="preserve"> the characteristics of those requiring NACAP services</w:t>
            </w:r>
            <w:r>
              <w:t xml:space="preserve"> and missed potential for a</w:t>
            </w:r>
            <w:r w:rsidRPr="00E57AAC">
              <w:t xml:space="preserve">dditional information on users accessing </w:t>
            </w:r>
            <w:r>
              <w:t xml:space="preserve">services </w:t>
            </w:r>
            <w:r w:rsidRPr="00E57AAC">
              <w:t>on behalf of an older person</w:t>
            </w:r>
            <w:r>
              <w:t>.</w:t>
            </w:r>
          </w:p>
        </w:tc>
        <w:tc>
          <w:tcPr>
            <w:tcW w:w="1517" w:type="pct"/>
          </w:tcPr>
          <w:p w14:paraId="0F65FC3A" w14:textId="7B98BBBA" w:rsidR="00DA0DD0" w:rsidRDefault="00DA0DD0" w:rsidP="00DA0DD0">
            <w:pPr>
              <w:pStyle w:val="ListBullet2"/>
              <w:numPr>
                <w:ilvl w:val="0"/>
                <w:numId w:val="0"/>
              </w:numPr>
              <w:ind w:left="57"/>
            </w:pPr>
            <w:r w:rsidRPr="00E57AAC">
              <w:t>Provide an opportunity to capture information on the caller (in addition to the older person)</w:t>
            </w:r>
            <w:r>
              <w:t>.</w:t>
            </w:r>
            <w:r w:rsidRPr="00E57AAC">
              <w:t xml:space="preserve"> </w:t>
            </w:r>
            <w:r>
              <w:t>S</w:t>
            </w:r>
            <w:r w:rsidRPr="00E57AAC">
              <w:t>pecifically, whether they are the older person seeking help or a family member, loved one or a representative.</w:t>
            </w:r>
          </w:p>
        </w:tc>
      </w:tr>
    </w:tbl>
    <w:p w14:paraId="733C7DAF" w14:textId="77777777" w:rsidR="002B3721" w:rsidRPr="00C565CA" w:rsidRDefault="002B3721" w:rsidP="00C565CA">
      <w:pPr>
        <w:pStyle w:val="Source"/>
        <w:rPr>
          <w:sz w:val="10"/>
          <w:szCs w:val="12"/>
        </w:rPr>
      </w:pPr>
      <w:r w:rsidRPr="00D74A74">
        <w:rPr>
          <w:lang w:eastAsia="en-AU"/>
        </w:rPr>
        <w:t xml:space="preserve">Source: Deloitte Access </w:t>
      </w:r>
      <w:r w:rsidRPr="00D74A74">
        <w:rPr>
          <w:szCs w:val="16"/>
          <w:lang w:eastAsia="en-AU"/>
        </w:rPr>
        <w:t>Economics.</w:t>
      </w:r>
    </w:p>
    <w:p w14:paraId="0511BA35" w14:textId="7213E55A" w:rsidR="00F90499" w:rsidRDefault="00C6324C" w:rsidP="009E798F">
      <w:r>
        <w:t>The data limitations affecting the analysis did not only relate to the unit record</w:t>
      </w:r>
      <w:r w:rsidR="0023294C">
        <w:t xml:space="preserve"> data. There </w:t>
      </w:r>
      <w:r w:rsidR="006703AF">
        <w:t xml:space="preserve">are also similar limitations to the publicly available data that are </w:t>
      </w:r>
      <w:r w:rsidR="00287B69">
        <w:t>used to establish the size of the NACAP target population</w:t>
      </w:r>
      <w:r w:rsidR="006703AF">
        <w:t>.</w:t>
      </w:r>
      <w:r w:rsidR="005976F1">
        <w:t xml:space="preserve"> For example, there are insufficient </w:t>
      </w:r>
      <w:r w:rsidR="00E77CFB">
        <w:t xml:space="preserve">publicly available data regarding </w:t>
      </w:r>
      <w:r w:rsidR="00735EAE">
        <w:t xml:space="preserve">the prevalence of different vulnerability groups in aged care to </w:t>
      </w:r>
      <w:r w:rsidR="00A3281A">
        <w:t xml:space="preserve">disaggregate estimates at the state level. </w:t>
      </w:r>
      <w:r w:rsidR="000A5DC6">
        <w:t>So, while the recipients of residential and community aged care</w:t>
      </w:r>
      <w:r w:rsidR="00432CA8">
        <w:t xml:space="preserve"> are available for each state, </w:t>
      </w:r>
      <w:r w:rsidR="00D850FE">
        <w:t>it is not possible to produce estimates with sufficient granularity (</w:t>
      </w:r>
      <w:proofErr w:type="gramStart"/>
      <w:r w:rsidR="00D850FE">
        <w:t>e.g.</w:t>
      </w:r>
      <w:proofErr w:type="gramEnd"/>
      <w:r w:rsidR="00D850FE">
        <w:t xml:space="preserve"> the number of recipients of residential aged care in </w:t>
      </w:r>
      <w:r w:rsidR="00886363">
        <w:t>Victoria who have dementia).</w:t>
      </w:r>
      <w:r w:rsidR="00E654C8">
        <w:t xml:space="preserve"> Combined with the </w:t>
      </w:r>
      <w:r w:rsidR="00EF3F84">
        <w:t>limitations</w:t>
      </w:r>
      <w:r w:rsidR="00E654C8">
        <w:t xml:space="preserve"> of the unit record data, this means that any projections produced at the state level would </w:t>
      </w:r>
      <w:r w:rsidR="00EF3F84">
        <w:t>be imprecise and unreliable.</w:t>
      </w:r>
    </w:p>
    <w:p w14:paraId="142138D5" w14:textId="7E08C96B" w:rsidR="00F90499" w:rsidRDefault="004465B6" w:rsidP="00B10C01">
      <w:pPr>
        <w:pStyle w:val="Heading2"/>
      </w:pPr>
      <w:bookmarkStart w:id="284" w:name="_Toc94771866"/>
      <w:bookmarkStart w:id="285" w:name="_Toc99437554"/>
      <w:r>
        <w:t xml:space="preserve">National </w:t>
      </w:r>
      <w:r w:rsidR="00F90499">
        <w:t>Minimum Dataset</w:t>
      </w:r>
      <w:r w:rsidR="00E804EA">
        <w:t xml:space="preserve"> </w:t>
      </w:r>
      <w:r w:rsidR="00F90499">
        <w:t>project</w:t>
      </w:r>
      <w:bookmarkEnd w:id="284"/>
      <w:bookmarkEnd w:id="285"/>
    </w:p>
    <w:p w14:paraId="64B450EB" w14:textId="06722FEF" w:rsidR="00D86F50" w:rsidRDefault="008D6147" w:rsidP="00F90499">
      <w:r>
        <w:t>Since</w:t>
      </w:r>
      <w:r w:rsidR="007865D9">
        <w:t xml:space="preserve"> June 2021, </w:t>
      </w:r>
      <w:r w:rsidR="00B824D7" w:rsidRPr="00B824D7">
        <w:t xml:space="preserve">OPAN </w:t>
      </w:r>
      <w:r>
        <w:t xml:space="preserve">has been working on </w:t>
      </w:r>
      <w:r w:rsidR="00BD35B6">
        <w:t>setting up</w:t>
      </w:r>
      <w:r w:rsidR="00B824D7" w:rsidRPr="00B824D7">
        <w:t xml:space="preserve"> </w:t>
      </w:r>
      <w:r w:rsidR="004465B6">
        <w:t>the</w:t>
      </w:r>
      <w:r w:rsidR="0020564E">
        <w:t xml:space="preserve"> NMDS</w:t>
      </w:r>
      <w:r w:rsidR="00B824D7" w:rsidRPr="00B824D7">
        <w:t xml:space="preserve"> </w:t>
      </w:r>
      <w:r w:rsidR="00236243">
        <w:t>by</w:t>
      </w:r>
      <w:r w:rsidR="00B824D7" w:rsidRPr="00B824D7">
        <w:t xml:space="preserve"> implementing enhanced data and reporting capabilities across SDOs to enhance the level of detailed data and statistical analysis ability for aggregated de-identified client and activity data across SDOs in future.</w:t>
      </w:r>
      <w:r w:rsidR="00B824D7">
        <w:t xml:space="preserve"> </w:t>
      </w:r>
      <w:r w:rsidR="00385F88">
        <w:t xml:space="preserve">This includes the development of clear definitions, counting rules and relevant data items related to the service activities, client information, presenting issues and service outcomes. </w:t>
      </w:r>
      <w:r w:rsidR="00D337A9" w:rsidRPr="00D337A9">
        <w:t>This will provide quantifiable data to guide</w:t>
      </w:r>
      <w:r w:rsidR="00D337A9" w:rsidDel="00385F88">
        <w:t xml:space="preserve"> </w:t>
      </w:r>
      <w:r w:rsidR="00385F88">
        <w:t xml:space="preserve">ongoing </w:t>
      </w:r>
      <w:r w:rsidR="00D337A9">
        <w:t xml:space="preserve">understanding </w:t>
      </w:r>
      <w:r w:rsidR="00D337A9" w:rsidRPr="00D337A9">
        <w:t xml:space="preserve">of the older person's experience, assisting in the identification and </w:t>
      </w:r>
      <w:r w:rsidR="007D3E8B">
        <w:t>resolving</w:t>
      </w:r>
      <w:r w:rsidR="00D337A9" w:rsidRPr="00D337A9">
        <w:t xml:space="preserve"> systemic challenges.</w:t>
      </w:r>
      <w:r w:rsidR="00496C24">
        <w:t xml:space="preserve"> </w:t>
      </w:r>
      <w:r w:rsidR="008622CB">
        <w:t xml:space="preserve">Ensuring that </w:t>
      </w:r>
      <w:r w:rsidR="00EC2459">
        <w:t xml:space="preserve">the above </w:t>
      </w:r>
      <w:r w:rsidR="00D22101">
        <w:t>unit record</w:t>
      </w:r>
      <w:r w:rsidR="00EC2459">
        <w:t xml:space="preserve"> data limitations </w:t>
      </w:r>
      <w:r w:rsidR="008622CB">
        <w:t>are addressed</w:t>
      </w:r>
      <w:r w:rsidR="00EC2459">
        <w:t xml:space="preserve"> through </w:t>
      </w:r>
      <w:r w:rsidR="000759E4">
        <w:t>the NMDS</w:t>
      </w:r>
      <w:r w:rsidR="00EC2459">
        <w:t xml:space="preserve"> project will assist OPAN and the government in </w:t>
      </w:r>
      <w:r w:rsidR="00C80B1D">
        <w:t xml:space="preserve">resolving systemic challenges and enable a </w:t>
      </w:r>
      <w:r w:rsidR="00EC2459">
        <w:t xml:space="preserve">better understanding demand and supply of NACAP services and </w:t>
      </w:r>
      <w:r w:rsidR="00BF0718">
        <w:t xml:space="preserve">support </w:t>
      </w:r>
      <w:r w:rsidR="00EC2459">
        <w:t xml:space="preserve">monitoring and evaluation </w:t>
      </w:r>
      <w:r w:rsidR="001C3BBC">
        <w:t xml:space="preserve">as outlined in </w:t>
      </w:r>
      <w:r w:rsidR="00C82ED4">
        <w:t xml:space="preserve">Section </w:t>
      </w:r>
      <w:r w:rsidR="00C82ED4">
        <w:fldChar w:fldCharType="begin"/>
      </w:r>
      <w:r w:rsidR="00C82ED4">
        <w:instrText xml:space="preserve"> REF _Ref95247339 \r \h </w:instrText>
      </w:r>
      <w:r w:rsidR="00C82ED4">
        <w:fldChar w:fldCharType="separate"/>
      </w:r>
      <w:r w:rsidR="00DC6A20">
        <w:t>5.2</w:t>
      </w:r>
      <w:r w:rsidR="00C82ED4">
        <w:fldChar w:fldCharType="end"/>
      </w:r>
      <w:r w:rsidR="00C82ED4">
        <w:t>.</w:t>
      </w:r>
    </w:p>
    <w:p w14:paraId="1C4D7D28" w14:textId="2241BC09" w:rsidR="00CB51DD" w:rsidRPr="0038083D" w:rsidRDefault="00CB51DD" w:rsidP="00B10C01">
      <w:pPr>
        <w:pStyle w:val="Heading2"/>
      </w:pPr>
      <w:bookmarkStart w:id="286" w:name="_Toc94771867"/>
      <w:bookmarkStart w:id="287" w:name="_Ref94643908"/>
      <w:bookmarkStart w:id="288" w:name="_Toc99437555"/>
      <w:r w:rsidRPr="0038083D">
        <w:t xml:space="preserve">Using behavioural insights to </w:t>
      </w:r>
      <w:r w:rsidR="00D00182">
        <w:t>increase</w:t>
      </w:r>
      <w:r w:rsidR="00D00182" w:rsidRPr="0038083D">
        <w:t xml:space="preserve"> </w:t>
      </w:r>
      <w:r w:rsidR="00E804EA">
        <w:t xml:space="preserve">uptake of the </w:t>
      </w:r>
      <w:r w:rsidRPr="0038083D">
        <w:t>NACAP</w:t>
      </w:r>
      <w:bookmarkEnd w:id="286"/>
      <w:bookmarkEnd w:id="287"/>
      <w:bookmarkEnd w:id="288"/>
    </w:p>
    <w:p w14:paraId="78BEFF30" w14:textId="1E6171AA" w:rsidR="00CB51DD" w:rsidRDefault="00CB51DD" w:rsidP="00B10C01">
      <w:r>
        <w:t xml:space="preserve">As low awareness of NACAP is a key contributor to the low take-up of services, effort to increase take-up of NACAP has largely centred on activities such as education sessions (in both residential aged care and general community settings), and online outreach from the website and social media. However, consideration of behavioural insights may also help increase the effectiveness of current awareness activities or directly increase take-up of NACAP. Behavioural insights </w:t>
      </w:r>
      <w:r w:rsidR="004C4EF3">
        <w:t>help</w:t>
      </w:r>
      <w:r>
        <w:t xml:space="preserve"> policy makers and service delivery organisations better understand the behaviour of consumers </w:t>
      </w:r>
      <w:proofErr w:type="gramStart"/>
      <w:r>
        <w:t>in order to</w:t>
      </w:r>
      <w:proofErr w:type="gramEnd"/>
      <w:r>
        <w:t xml:space="preserve"> encourage consumers to make choices that result in better outcomes for the consumer. Often behavioural insights driven interventions can be low-cost approaches to improving social outcomes.</w:t>
      </w:r>
    </w:p>
    <w:p w14:paraId="1BCDFB5D" w14:textId="1C31A321" w:rsidR="00CB51DD" w:rsidRDefault="00CB51DD" w:rsidP="00CB51DD">
      <w:r>
        <w:t>Some helpful principles for encouraging specific behaviours are to consider how to make it easy, attractive, sociable, and timely.</w:t>
      </w:r>
      <w:r w:rsidR="00874B86">
        <w:rPr>
          <w:rStyle w:val="EndnoteReference"/>
        </w:rPr>
        <w:endnoteReference w:id="137"/>
      </w:r>
      <w:r>
        <w:t xml:space="preserve"> Below we consider how they might be applied to increase NACAP take-up.</w:t>
      </w:r>
    </w:p>
    <w:p w14:paraId="4830E418" w14:textId="77777777" w:rsidR="00CB51DD" w:rsidRDefault="00CB51DD" w:rsidP="00CB51DD">
      <w:r>
        <w:t xml:space="preserve">To make it </w:t>
      </w:r>
      <w:r w:rsidRPr="00CB51DD">
        <w:rPr>
          <w:b/>
          <w:bCs/>
        </w:rPr>
        <w:t>easier</w:t>
      </w:r>
      <w:r>
        <w:t xml:space="preserve"> to access NACAP, one option would be to shift the largely reactive program to increasingly proactive elements. One example might be that as the older persons cohorts becomes increasingly tech savvy, a regular email or text messages that asks the question “Do you need an advocate? Respond ‘Yes’.” This could be a scalable way to make it easier for consumers to access NACAP.</w:t>
      </w:r>
    </w:p>
    <w:p w14:paraId="16AB473C" w14:textId="1B524673" w:rsidR="00CB51DD" w:rsidRPr="008A6334" w:rsidRDefault="00CB51DD" w:rsidP="00CB51DD">
      <w:r>
        <w:t xml:space="preserve">Personalised materials are known to </w:t>
      </w:r>
      <w:r w:rsidRPr="00CB51DD">
        <w:rPr>
          <w:b/>
          <w:bCs/>
        </w:rPr>
        <w:t>attract</w:t>
      </w:r>
      <w:r>
        <w:t xml:space="preserve"> more attention. Although materials are already being distributed to consumers as they enter care, perhaps to increase the attention given to those materials, a nominated person from the older persons’ network (i.e., those who are likely to reach out for the NACAP service on behalf of the older person) could also be sent a personalised letter from OPAN introducing the service.</w:t>
      </w:r>
    </w:p>
    <w:p w14:paraId="43D88C75" w14:textId="3E656C64" w:rsidR="00CB51DD" w:rsidRDefault="00CB51DD" w:rsidP="00CB51DD">
      <w:r>
        <w:t xml:space="preserve">Consultations suggested that there are </w:t>
      </w:r>
      <w:r w:rsidRPr="00CB51DD">
        <w:rPr>
          <w:b/>
          <w:bCs/>
        </w:rPr>
        <w:t>social</w:t>
      </w:r>
      <w:r>
        <w:t xml:space="preserve"> norms and general beliefs that may be barriers to accessing NACAP. These relate to the fear of retribution by consumers and societal views that normal</w:t>
      </w:r>
      <w:r w:rsidR="00850C02">
        <w:t>ise</w:t>
      </w:r>
      <w:r>
        <w:t xml:space="preserve"> the incidence of depression in aged care. Consumers may have concerns about the negative impacts on their aged care services if they make a complaint, and that they may not be able to receive the care they need. Interventions to target these views could support greater usage of NACAP services. Peer comparisons are an effective way to changing behaviour to increase positive behaviour.</w:t>
      </w:r>
      <w:r w:rsidR="00CA42CB">
        <w:rPr>
          <w:rStyle w:val="EndnoteReference"/>
        </w:rPr>
        <w:endnoteReference w:id="138"/>
      </w:r>
      <w:r>
        <w:t xml:space="preserve"> Giving consumers confidence through case studies and narratives so that they can see that others who are in the same position have accessed and benefited from NACAP can help tackle the beliefs and culture around fear of retribution and </w:t>
      </w:r>
      <w:r w:rsidR="002E580D">
        <w:t xml:space="preserve">in turn </w:t>
      </w:r>
      <w:r>
        <w:t xml:space="preserve">increase engagement with the service. Similarly, informing consumers about the (common) incidence of mental health challenges through communications and campaigns can </w:t>
      </w:r>
      <w:r w:rsidR="00684C41">
        <w:t xml:space="preserve">help reduce stigma associated with mental health issues </w:t>
      </w:r>
      <w:r>
        <w:t>and promote health seeking behaviour.</w:t>
      </w:r>
    </w:p>
    <w:p w14:paraId="62D02C98" w14:textId="0A2711CB" w:rsidR="00CB51DD" w:rsidRDefault="00CB51DD" w:rsidP="00CB51DD">
      <w:r>
        <w:t xml:space="preserve">Providing </w:t>
      </w:r>
      <w:r w:rsidRPr="00CB51DD">
        <w:rPr>
          <w:b/>
          <w:bCs/>
        </w:rPr>
        <w:t>timely</w:t>
      </w:r>
      <w:r>
        <w:t xml:space="preserve"> information can further support greater awareness and take up of NACAP services and receiving information at different times can have significant impacts on behaviour.</w:t>
      </w:r>
      <w:r w:rsidR="00561704">
        <w:rPr>
          <w:rStyle w:val="EndnoteReference"/>
        </w:rPr>
        <w:endnoteReference w:id="139"/>
      </w:r>
      <w:r>
        <w:t xml:space="preserve"> Consumers are more receptive of new things and information when it is more significant to them. </w:t>
      </w:r>
      <w:r w:rsidR="000B0116">
        <w:t>C</w:t>
      </w:r>
      <w:r>
        <w:t xml:space="preserve">onsultation seemed to suggest that information is already being provided at some key points such as moving into an aged care home, transitioning between </w:t>
      </w:r>
      <w:proofErr w:type="gramStart"/>
      <w:r>
        <w:t>homes</w:t>
      </w:r>
      <w:proofErr w:type="gramEnd"/>
      <w:r>
        <w:t xml:space="preserve"> or receiving new aged care services</w:t>
      </w:r>
      <w:r w:rsidR="000B0116">
        <w:t xml:space="preserve">. </w:t>
      </w:r>
      <w:r w:rsidR="0018218F">
        <w:t xml:space="preserve">To build on this, </w:t>
      </w:r>
      <w:r>
        <w:t>further consideration should be given to how to better identify points where there could be issue</w:t>
      </w:r>
      <w:r w:rsidR="00271861">
        <w:t>s. G</w:t>
      </w:r>
      <w:r w:rsidR="0018218F">
        <w:t>iven that we know that consumers only think about NACAP when there is an issue</w:t>
      </w:r>
      <w:r w:rsidR="00271861">
        <w:t xml:space="preserve">, there is a need </w:t>
      </w:r>
      <w:r>
        <w:t xml:space="preserve">to target information provision at critical points where consumers are most receptive. Similarly, consideration should be given to how the representatives of older persons, who may reach out for NACAP on behalf of the older person </w:t>
      </w:r>
      <w:r w:rsidR="003B1F93">
        <w:t>could be</w:t>
      </w:r>
      <w:r>
        <w:t xml:space="preserve"> targeted</w:t>
      </w:r>
      <w:r w:rsidR="00C77BA5">
        <w:t xml:space="preserve"> by communications</w:t>
      </w:r>
      <w:r>
        <w:t>. A better understanding of the demographics of representatives and the consumer journey to accessing NACAP could help improve timelier information provision.</w:t>
      </w:r>
    </w:p>
    <w:p w14:paraId="3DBF65C3" w14:textId="17E2451B" w:rsidR="009C7F53" w:rsidRDefault="009C7F53" w:rsidP="009C7F53">
      <w:pPr>
        <w:pStyle w:val="Heading3"/>
        <w:ind w:left="1021"/>
        <w:rPr>
          <w:lang w:val="en-GB"/>
        </w:rPr>
      </w:pPr>
      <w:bookmarkStart w:id="289" w:name="_Toc99437556"/>
      <w:r>
        <w:rPr>
          <w:lang w:val="en-GB"/>
        </w:rPr>
        <w:t xml:space="preserve">Project insights to </w:t>
      </w:r>
      <w:r w:rsidR="002A7218">
        <w:rPr>
          <w:lang w:val="en-GB"/>
        </w:rPr>
        <w:t xml:space="preserve">increase </w:t>
      </w:r>
      <w:r>
        <w:rPr>
          <w:lang w:val="en-GB"/>
        </w:rPr>
        <w:t>take-up of NACAP</w:t>
      </w:r>
      <w:bookmarkEnd w:id="289"/>
    </w:p>
    <w:p w14:paraId="5A660DBA" w14:textId="53FBFE29" w:rsidR="009C7F53" w:rsidRDefault="009C7F53" w:rsidP="009C7F53">
      <w:r>
        <w:t xml:space="preserve">Through the consultations, stakeholders also suggested </w:t>
      </w:r>
      <w:proofErr w:type="gramStart"/>
      <w:r>
        <w:t>a number of</w:t>
      </w:r>
      <w:proofErr w:type="gramEnd"/>
      <w:r>
        <w:t xml:space="preserve"> other ways to increase take-up including:</w:t>
      </w:r>
    </w:p>
    <w:p w14:paraId="18299195" w14:textId="77777777" w:rsidR="009C7F53" w:rsidRPr="0087239C" w:rsidRDefault="009C7F53" w:rsidP="00F178E7">
      <w:pPr>
        <w:pStyle w:val="ListParagraph"/>
        <w:numPr>
          <w:ilvl w:val="0"/>
          <w:numId w:val="42"/>
        </w:numPr>
        <w:rPr>
          <w:lang w:val="en-GB"/>
        </w:rPr>
      </w:pPr>
      <w:r>
        <w:rPr>
          <w:b/>
          <w:bCs/>
          <w:lang w:val="en-GB"/>
        </w:rPr>
        <w:t xml:space="preserve">Engaging informal carers – </w:t>
      </w:r>
      <w:r w:rsidRPr="0087239C">
        <w:t>representatives of older people play an important role in accessing assistance on behalf of older people</w:t>
      </w:r>
      <w:r>
        <w:t>. This is apparent in ACQSC complaints data which indicated that around half of complaints are raised by representatives and family members of older persons.</w:t>
      </w:r>
      <w:r>
        <w:rPr>
          <w:rStyle w:val="EndnoteReference"/>
        </w:rPr>
        <w:endnoteReference w:id="140"/>
      </w:r>
    </w:p>
    <w:p w14:paraId="0DC2C205" w14:textId="77777777" w:rsidR="009C7F53" w:rsidRDefault="009C7F53" w:rsidP="00F178E7">
      <w:pPr>
        <w:pStyle w:val="ListParagraph"/>
        <w:numPr>
          <w:ilvl w:val="0"/>
          <w:numId w:val="42"/>
        </w:numPr>
      </w:pPr>
      <w:r w:rsidRPr="0087239C">
        <w:rPr>
          <w:b/>
          <w:bCs/>
          <w:lang w:val="en-GB"/>
        </w:rPr>
        <w:t>Delivering services on country</w:t>
      </w:r>
      <w:r w:rsidRPr="002546F4">
        <w:rPr>
          <w:lang w:val="en-GB"/>
        </w:rPr>
        <w:t xml:space="preserve"> - </w:t>
      </w:r>
      <w:r w:rsidRPr="00FA4E48">
        <w:t xml:space="preserve">to increase engagement with the services, so that the people can maintain connection to land, </w:t>
      </w:r>
      <w:proofErr w:type="gramStart"/>
      <w:r w:rsidRPr="00FA4E48">
        <w:t>family</w:t>
      </w:r>
      <w:proofErr w:type="gramEnd"/>
      <w:r w:rsidRPr="00FA4E48">
        <w:t xml:space="preserve"> and kinship, especially in light of Australia’s legacy of forced removal from land and dispossession.</w:t>
      </w:r>
    </w:p>
    <w:p w14:paraId="0399F8D6" w14:textId="77777777" w:rsidR="009C7F53" w:rsidRPr="0087239C" w:rsidRDefault="009C7F53" w:rsidP="00F178E7">
      <w:pPr>
        <w:pStyle w:val="ListParagraph"/>
        <w:numPr>
          <w:ilvl w:val="0"/>
          <w:numId w:val="42"/>
        </w:numPr>
        <w:rPr>
          <w:lang w:val="en-GB"/>
        </w:rPr>
      </w:pPr>
      <w:r w:rsidRPr="00D82233">
        <w:rPr>
          <w:b/>
          <w:bCs/>
          <w:lang w:val="en-GB"/>
        </w:rPr>
        <w:t xml:space="preserve">Cultural training </w:t>
      </w:r>
      <w:r w:rsidRPr="0087239C">
        <w:rPr>
          <w:lang w:val="en-GB"/>
        </w:rPr>
        <w:t>-</w:t>
      </w:r>
      <w:r w:rsidRPr="00D82233">
        <w:rPr>
          <w:lang w:val="en-GB"/>
        </w:rPr>
        <w:t xml:space="preserve"> </w:t>
      </w:r>
      <w:r w:rsidRPr="00FA4E48">
        <w:t xml:space="preserve">training </w:t>
      </w:r>
      <w:r>
        <w:t xml:space="preserve">existing </w:t>
      </w:r>
      <w:r w:rsidRPr="00FA4E48">
        <w:t>advocates and employ</w:t>
      </w:r>
      <w:r>
        <w:t>ing</w:t>
      </w:r>
      <w:r w:rsidRPr="00FA4E48">
        <w:t xml:space="preserve"> </w:t>
      </w:r>
      <w:r>
        <w:t xml:space="preserve">new </w:t>
      </w:r>
      <w:r w:rsidRPr="00FA4E48">
        <w:t xml:space="preserve">advocates who are from Aboriginal and Torres Strait Islander populations </w:t>
      </w:r>
      <w:r>
        <w:t>or from CALD backgrounds to increase serviceability in other languages and with due consideration to the cultural contexts of communities.</w:t>
      </w:r>
    </w:p>
    <w:p w14:paraId="7C1A5996" w14:textId="3A7A4FA5" w:rsidR="00983929" w:rsidRDefault="00462B7B" w:rsidP="00633B4E">
      <w:pPr>
        <w:pStyle w:val="Heading1"/>
        <w:numPr>
          <w:ilvl w:val="0"/>
          <w:numId w:val="0"/>
        </w:numPr>
        <w:ind w:left="794" w:hanging="794"/>
      </w:pPr>
      <w:bookmarkStart w:id="290" w:name="_Toc99437557"/>
      <w:bookmarkStart w:id="291" w:name="_Toc94771868"/>
      <w:r>
        <w:t>Endnotes</w:t>
      </w:r>
      <w:bookmarkEnd w:id="290"/>
    </w:p>
    <w:p w14:paraId="4BE53D50" w14:textId="77777777" w:rsidR="00B3693B" w:rsidRDefault="00B3693B" w:rsidP="000C4DFF">
      <w:pPr>
        <w:pStyle w:val="Heading1"/>
        <w:numPr>
          <w:ilvl w:val="0"/>
          <w:numId w:val="0"/>
        </w:numPr>
        <w:sectPr w:rsidR="00B3693B" w:rsidSect="005F043A">
          <w:pgSz w:w="11906" w:h="16838" w:code="9"/>
          <w:pgMar w:top="1440" w:right="1440" w:bottom="1440" w:left="1440" w:header="680" w:footer="425" w:gutter="0"/>
          <w:cols w:space="284"/>
          <w:docGrid w:linePitch="360"/>
        </w:sectPr>
      </w:pPr>
      <w:bookmarkStart w:id="292" w:name="_Ref94546441"/>
      <w:bookmarkStart w:id="293" w:name="_Ref94546455"/>
      <w:bookmarkStart w:id="294" w:name="_Ref94546468"/>
      <w:bookmarkStart w:id="295" w:name="_Ref94546470"/>
      <w:bookmarkStart w:id="296" w:name="_Ref94546476"/>
      <w:bookmarkEnd w:id="291"/>
    </w:p>
    <w:p w14:paraId="53472B71" w14:textId="4A589E60" w:rsidR="002C1140" w:rsidRPr="00174283" w:rsidRDefault="000C4DFF" w:rsidP="000C4DFF">
      <w:pPr>
        <w:pStyle w:val="Heading1"/>
        <w:numPr>
          <w:ilvl w:val="0"/>
          <w:numId w:val="0"/>
        </w:numPr>
      </w:pPr>
      <w:bookmarkStart w:id="297" w:name="_Toc94771869"/>
      <w:bookmarkStart w:id="298" w:name="_Toc99437558"/>
      <w:r>
        <w:t xml:space="preserve">Appendix A </w:t>
      </w:r>
      <w:r w:rsidR="00A86767">
        <w:t xml:space="preserve">- </w:t>
      </w:r>
      <w:r w:rsidR="008442BA">
        <w:t xml:space="preserve">Detailed </w:t>
      </w:r>
      <w:r w:rsidR="00D009E5">
        <w:t xml:space="preserve">consultation </w:t>
      </w:r>
      <w:r w:rsidR="008442BA">
        <w:t>approach</w:t>
      </w:r>
      <w:bookmarkEnd w:id="292"/>
      <w:bookmarkEnd w:id="293"/>
      <w:bookmarkEnd w:id="294"/>
      <w:bookmarkEnd w:id="295"/>
      <w:bookmarkEnd w:id="296"/>
      <w:bookmarkEnd w:id="297"/>
      <w:bookmarkEnd w:id="298"/>
    </w:p>
    <w:p w14:paraId="5C3B8D31" w14:textId="019E4683" w:rsidR="006453F6" w:rsidRDefault="00E52CF5" w:rsidP="00DB6666">
      <w:pPr>
        <w:spacing w:before="120" w:after="0"/>
      </w:pPr>
      <w:r w:rsidRPr="00E52CF5">
        <w:t xml:space="preserve">OPAN, SDOs and other relevant stakeholders were consulted to gain insights into the key factors driving the demand for aged care advocacy, broad trends in the aged care system affecting this demand and the challenges faced by </w:t>
      </w:r>
      <w:r w:rsidR="00295393">
        <w:t>service delivery organisations</w:t>
      </w:r>
      <w:r w:rsidRPr="00E52CF5">
        <w:t xml:space="preserve"> in delivering these services to the intended recipients.</w:t>
      </w:r>
      <w:r>
        <w:t xml:space="preserve"> </w:t>
      </w:r>
      <w:r w:rsidR="00295393">
        <w:t>Full d</w:t>
      </w:r>
      <w:r w:rsidR="00BA5FBE">
        <w:t>etails of the</w:t>
      </w:r>
      <w:r w:rsidR="008C7E37">
        <w:t xml:space="preserve"> findings can be found in the </w:t>
      </w:r>
      <w:r w:rsidR="009159FC" w:rsidRPr="00B10C01">
        <w:rPr>
          <w:i/>
        </w:rPr>
        <w:t>Early Findings Report</w:t>
      </w:r>
      <w:r w:rsidR="009615CC" w:rsidRPr="00B10C01">
        <w:rPr>
          <w:i/>
        </w:rPr>
        <w:t xml:space="preserve"> – November 2021</w:t>
      </w:r>
      <w:r w:rsidR="006453F6">
        <w:t>.</w:t>
      </w:r>
    </w:p>
    <w:p w14:paraId="094B1F0C" w14:textId="3A03C337" w:rsidR="006C3B92" w:rsidRDefault="00215548" w:rsidP="00DB6666">
      <w:pPr>
        <w:spacing w:before="120" w:after="0"/>
      </w:pPr>
      <w:r>
        <w:t xml:space="preserve">An extensive </w:t>
      </w:r>
      <w:r w:rsidR="000B57F9">
        <w:t>consultation</w:t>
      </w:r>
      <w:r w:rsidR="0008634A">
        <w:t xml:space="preserve"> process was </w:t>
      </w:r>
      <w:r w:rsidR="00BB7440">
        <w:t xml:space="preserve">conducted with </w:t>
      </w:r>
      <w:r w:rsidR="00A3241A">
        <w:t>aged</w:t>
      </w:r>
      <w:r w:rsidR="00200584">
        <w:t xml:space="preserve"> care advocacy </w:t>
      </w:r>
      <w:r w:rsidR="00F372C2" w:rsidRPr="00F372C2">
        <w:t>stakeholders</w:t>
      </w:r>
      <w:r w:rsidR="00200584">
        <w:t>, including</w:t>
      </w:r>
      <w:r w:rsidR="00F372C2" w:rsidRPr="00F372C2">
        <w:t xml:space="preserve"> aged care peak bodies, aged care consumer and carer advocacy groups, organisations representing care issues for older Australians (e.g., mental health, disability etc.), relevant Commonwealth and jurisdictional government bodies, and subject matter experts. In addition to these stakeholder groups, the 9 service delivery organisations representing OPAN were also consulted. </w:t>
      </w:r>
      <w:r w:rsidR="00D244FA">
        <w:fldChar w:fldCharType="begin"/>
      </w:r>
      <w:r w:rsidR="00D244FA">
        <w:instrText xml:space="preserve"> REF _Ref95307137 \r \h </w:instrText>
      </w:r>
      <w:r w:rsidR="00D244FA">
        <w:fldChar w:fldCharType="separate"/>
      </w:r>
      <w:r w:rsidR="00DC6A20">
        <w:t>Table A.1</w:t>
      </w:r>
      <w:r w:rsidR="00D244FA">
        <w:fldChar w:fldCharType="end"/>
      </w:r>
      <w:r w:rsidR="00D244FA">
        <w:t xml:space="preserve"> </w:t>
      </w:r>
      <w:r w:rsidR="00F372C2" w:rsidRPr="00F372C2">
        <w:t>provides a summary of the stakeholders consulted, the format of the consultation and the status of the consultation.</w:t>
      </w:r>
    </w:p>
    <w:p w14:paraId="2BA26915" w14:textId="693B05AC" w:rsidR="00F372C2" w:rsidRPr="00F372C2" w:rsidRDefault="006C3B92" w:rsidP="00DB6666">
      <w:pPr>
        <w:spacing w:before="120" w:after="0"/>
      </w:pPr>
      <w:r>
        <w:t xml:space="preserve">Consultations were conducted as virtual sessions over Microsoft Teams as focus groups or individual </w:t>
      </w:r>
      <w:r w:rsidR="00926006">
        <w:t xml:space="preserve">organisation </w:t>
      </w:r>
      <w:r>
        <w:t>interviews</w:t>
      </w:r>
      <w:r w:rsidR="00E42038">
        <w:t xml:space="preserve">. Each consultation was guided by semi-structured interview scripts containing the questions for discussion, which were shared with stakeholders ahead of time to maximise input and contribution. </w:t>
      </w:r>
      <w:r w:rsidR="008613E0" w:rsidRPr="008613E0">
        <w:t>Although best efforts were made, some stakeholders were identified as relevant but were not able to be consulted for this project</w:t>
      </w:r>
    </w:p>
    <w:p w14:paraId="10A62106" w14:textId="3763983F" w:rsidR="00F372C2" w:rsidRPr="00DB6666" w:rsidRDefault="00F372C2" w:rsidP="00015593">
      <w:pPr>
        <w:pStyle w:val="AppendixTableCaption"/>
        <w:rPr>
          <w:sz w:val="22"/>
        </w:rPr>
      </w:pPr>
      <w:bookmarkStart w:id="299" w:name="_Ref91147164"/>
      <w:bookmarkStart w:id="300" w:name="_Ref95307137"/>
      <w:bookmarkStart w:id="301" w:name="_Toc99117021"/>
      <w:r w:rsidRPr="00DB6666">
        <w:rPr>
          <w:sz w:val="22"/>
        </w:rPr>
        <w:t>: Summary of stakeholders, consultation status and format</w:t>
      </w:r>
      <w:bookmarkEnd w:id="299"/>
      <w:bookmarkEnd w:id="300"/>
      <w:bookmarkEnd w:id="301"/>
    </w:p>
    <w:tbl>
      <w:tblPr>
        <w:tblStyle w:val="Deloittetable"/>
        <w:tblW w:w="9062" w:type="dxa"/>
        <w:tblLook w:val="04A0" w:firstRow="1" w:lastRow="0" w:firstColumn="1" w:lastColumn="0" w:noHBand="0" w:noVBand="1"/>
      </w:tblPr>
      <w:tblGrid>
        <w:gridCol w:w="5245"/>
        <w:gridCol w:w="3817"/>
      </w:tblGrid>
      <w:tr w:rsidR="00F372C2" w:rsidRPr="00F372C2" w14:paraId="0D1B489F" w14:textId="77777777" w:rsidTr="00990C19">
        <w:trPr>
          <w:cnfStyle w:val="100000000000" w:firstRow="1" w:lastRow="0" w:firstColumn="0" w:lastColumn="0" w:oddVBand="0" w:evenVBand="0" w:oddHBand="0" w:evenHBand="0" w:firstRowFirstColumn="0" w:firstRowLastColumn="0" w:lastRowFirstColumn="0" w:lastRowLastColumn="0"/>
          <w:trHeight w:val="246"/>
        </w:trPr>
        <w:tc>
          <w:tcPr>
            <w:tcW w:w="5245" w:type="dxa"/>
          </w:tcPr>
          <w:p w14:paraId="504DA737" w14:textId="77777777" w:rsidR="00F372C2" w:rsidRPr="00DB6666" w:rsidRDefault="00F372C2" w:rsidP="00F372C2">
            <w:pPr>
              <w:spacing w:after="0"/>
              <w:ind w:left="0" w:right="0"/>
              <w:rPr>
                <w:b/>
                <w:bCs/>
                <w:szCs w:val="22"/>
              </w:rPr>
            </w:pPr>
            <w:r w:rsidRPr="00DB6666">
              <w:rPr>
                <w:b/>
                <w:bCs/>
                <w:szCs w:val="22"/>
              </w:rPr>
              <w:t>Stakeholder</w:t>
            </w:r>
          </w:p>
        </w:tc>
        <w:tc>
          <w:tcPr>
            <w:tcW w:w="3817" w:type="dxa"/>
          </w:tcPr>
          <w:p w14:paraId="4E14C01F" w14:textId="2DE5D31B" w:rsidR="00F372C2" w:rsidRPr="00DB6666" w:rsidRDefault="00893946" w:rsidP="00990C19">
            <w:pPr>
              <w:spacing w:after="0"/>
              <w:ind w:left="0" w:right="0"/>
              <w:jc w:val="both"/>
              <w:rPr>
                <w:b/>
                <w:bCs/>
                <w:szCs w:val="22"/>
              </w:rPr>
            </w:pPr>
            <w:r w:rsidRPr="00DB6666">
              <w:rPr>
                <w:b/>
                <w:bCs/>
                <w:szCs w:val="22"/>
              </w:rPr>
              <w:t>F</w:t>
            </w:r>
            <w:r w:rsidR="00F372C2" w:rsidRPr="00DB6666">
              <w:rPr>
                <w:b/>
                <w:bCs/>
                <w:szCs w:val="22"/>
              </w:rPr>
              <w:t>ormat</w:t>
            </w:r>
          </w:p>
        </w:tc>
      </w:tr>
      <w:tr w:rsidR="00F372C2" w:rsidRPr="00F372C2" w14:paraId="6A53A931" w14:textId="77777777" w:rsidTr="00990C19">
        <w:trPr>
          <w:trHeight w:val="246"/>
        </w:trPr>
        <w:tc>
          <w:tcPr>
            <w:tcW w:w="5245" w:type="dxa"/>
            <w:shd w:val="clear" w:color="auto" w:fill="FFFFFF" w:themeFill="background1"/>
          </w:tcPr>
          <w:p w14:paraId="3E4B90DC" w14:textId="384179FC" w:rsidR="00F372C2" w:rsidRPr="00DB6666" w:rsidRDefault="00F372C2" w:rsidP="00F372C2">
            <w:pPr>
              <w:spacing w:after="0"/>
              <w:ind w:left="0" w:right="0"/>
              <w:rPr>
                <w:szCs w:val="22"/>
              </w:rPr>
            </w:pPr>
            <w:r w:rsidRPr="00DB6666">
              <w:rPr>
                <w:szCs w:val="22"/>
              </w:rPr>
              <w:t>Craig Gear</w:t>
            </w:r>
            <w:r w:rsidRPr="00DB6666">
              <w:rPr>
                <w:szCs w:val="22"/>
                <w:vertAlign w:val="superscript"/>
              </w:rPr>
              <w:footnoteReference w:id="7"/>
            </w:r>
            <w:r w:rsidR="00990C19">
              <w:rPr>
                <w:szCs w:val="22"/>
              </w:rPr>
              <w:t>, OPAN</w:t>
            </w:r>
            <w:r w:rsidRPr="00DB6666">
              <w:rPr>
                <w:szCs w:val="22"/>
              </w:rPr>
              <w:t xml:space="preserve">                                                            </w:t>
            </w:r>
          </w:p>
        </w:tc>
        <w:tc>
          <w:tcPr>
            <w:tcW w:w="3817" w:type="dxa"/>
            <w:shd w:val="clear" w:color="auto" w:fill="FFFFFF" w:themeFill="background1"/>
          </w:tcPr>
          <w:p w14:paraId="740120C9" w14:textId="123653DF" w:rsidR="00F372C2" w:rsidRPr="00DB6666" w:rsidRDefault="00F372C2" w:rsidP="00990C19">
            <w:pPr>
              <w:spacing w:after="0"/>
              <w:ind w:left="0" w:right="0"/>
              <w:jc w:val="both"/>
              <w:rPr>
                <w:szCs w:val="22"/>
              </w:rPr>
            </w:pPr>
            <w:r w:rsidRPr="00DB6666">
              <w:rPr>
                <w:szCs w:val="22"/>
              </w:rPr>
              <w:t>Individual interview</w:t>
            </w:r>
          </w:p>
        </w:tc>
      </w:tr>
    </w:tbl>
    <w:p w14:paraId="7C7DF023" w14:textId="78304548" w:rsidR="00CD081D" w:rsidRPr="00CD081D" w:rsidRDefault="00CD081D" w:rsidP="00941805">
      <w:pPr>
        <w:spacing w:before="120"/>
        <w:rPr>
          <w:color w:val="595959" w:themeColor="text1" w:themeTint="A6"/>
        </w:rPr>
      </w:pPr>
      <w:r w:rsidRPr="00CD081D">
        <w:rPr>
          <w:color w:val="595959" w:themeColor="text1" w:themeTint="A6"/>
        </w:rPr>
        <w:t>OPAN SDO</w:t>
      </w:r>
    </w:p>
    <w:tbl>
      <w:tblPr>
        <w:tblStyle w:val="Deloittetable"/>
        <w:tblW w:w="9062" w:type="dxa"/>
        <w:tblLook w:val="04A0" w:firstRow="1" w:lastRow="0" w:firstColumn="1" w:lastColumn="0" w:noHBand="0" w:noVBand="1"/>
      </w:tblPr>
      <w:tblGrid>
        <w:gridCol w:w="5245"/>
        <w:gridCol w:w="3817"/>
      </w:tblGrid>
      <w:tr w:rsidR="00CD081D" w:rsidRPr="00F372C2" w14:paraId="1563529C" w14:textId="77777777" w:rsidTr="00990C19">
        <w:trPr>
          <w:cnfStyle w:val="100000000000" w:firstRow="1" w:lastRow="0" w:firstColumn="0" w:lastColumn="0" w:oddVBand="0" w:evenVBand="0" w:oddHBand="0" w:evenHBand="0" w:firstRowFirstColumn="0" w:firstRowLastColumn="0" w:lastRowFirstColumn="0" w:lastRowLastColumn="0"/>
          <w:trHeight w:val="246"/>
        </w:trPr>
        <w:tc>
          <w:tcPr>
            <w:tcW w:w="5245" w:type="dxa"/>
          </w:tcPr>
          <w:p w14:paraId="2932C88E" w14:textId="7949BE93" w:rsidR="00CD081D" w:rsidRPr="00CD081D" w:rsidRDefault="00CD081D" w:rsidP="00CD081D">
            <w:pPr>
              <w:spacing w:after="0"/>
              <w:rPr>
                <w:b/>
                <w:bCs/>
                <w:szCs w:val="22"/>
              </w:rPr>
            </w:pPr>
            <w:r w:rsidRPr="00CD081D">
              <w:rPr>
                <w:b/>
                <w:bCs/>
              </w:rPr>
              <w:t>Stakeholder</w:t>
            </w:r>
          </w:p>
        </w:tc>
        <w:tc>
          <w:tcPr>
            <w:tcW w:w="3817" w:type="dxa"/>
          </w:tcPr>
          <w:p w14:paraId="1C44C5C2" w14:textId="1D2116AC" w:rsidR="00CD081D" w:rsidRPr="00CD081D" w:rsidRDefault="00CD081D" w:rsidP="00CD081D">
            <w:pPr>
              <w:spacing w:after="0"/>
              <w:jc w:val="both"/>
              <w:rPr>
                <w:b/>
                <w:bCs/>
                <w:szCs w:val="22"/>
              </w:rPr>
            </w:pPr>
            <w:r w:rsidRPr="00CD081D">
              <w:rPr>
                <w:b/>
                <w:bCs/>
              </w:rPr>
              <w:t>Format</w:t>
            </w:r>
          </w:p>
        </w:tc>
      </w:tr>
      <w:tr w:rsidR="00F372C2" w:rsidRPr="00F372C2" w14:paraId="203FD9A7" w14:textId="77777777" w:rsidTr="00990C19">
        <w:trPr>
          <w:trHeight w:val="246"/>
        </w:trPr>
        <w:tc>
          <w:tcPr>
            <w:tcW w:w="5245" w:type="dxa"/>
          </w:tcPr>
          <w:p w14:paraId="43D1CDFE" w14:textId="5F6AB2A6" w:rsidR="00F372C2" w:rsidRPr="00DB6666" w:rsidRDefault="00F372C2" w:rsidP="00F372C2">
            <w:pPr>
              <w:spacing w:after="0"/>
              <w:ind w:left="0" w:right="0"/>
              <w:rPr>
                <w:szCs w:val="22"/>
              </w:rPr>
            </w:pPr>
            <w:r w:rsidRPr="00DB6666">
              <w:rPr>
                <w:szCs w:val="22"/>
              </w:rPr>
              <w:t>Aged and Disability Advocacy (ADA) Australia</w:t>
            </w:r>
          </w:p>
        </w:tc>
        <w:tc>
          <w:tcPr>
            <w:tcW w:w="3817" w:type="dxa"/>
          </w:tcPr>
          <w:p w14:paraId="62D854F3" w14:textId="2AEBDF6F" w:rsidR="00F372C2" w:rsidRPr="00DB6666" w:rsidRDefault="00F372C2" w:rsidP="00990C19">
            <w:pPr>
              <w:spacing w:after="0"/>
              <w:ind w:left="0" w:right="0"/>
              <w:jc w:val="both"/>
              <w:rPr>
                <w:szCs w:val="22"/>
              </w:rPr>
            </w:pPr>
            <w:r w:rsidRPr="00DB6666">
              <w:rPr>
                <w:szCs w:val="22"/>
              </w:rPr>
              <w:t>Individual interview</w:t>
            </w:r>
          </w:p>
        </w:tc>
      </w:tr>
      <w:tr w:rsidR="00F372C2" w:rsidRPr="00F372C2" w14:paraId="283EE3A3" w14:textId="77777777" w:rsidTr="00990C19">
        <w:trPr>
          <w:trHeight w:val="246"/>
        </w:trPr>
        <w:tc>
          <w:tcPr>
            <w:tcW w:w="5245" w:type="dxa"/>
          </w:tcPr>
          <w:p w14:paraId="4C8D9A4F" w14:textId="1B54759B" w:rsidR="00F372C2" w:rsidRPr="00DB6666" w:rsidRDefault="00F372C2" w:rsidP="00F372C2">
            <w:pPr>
              <w:spacing w:after="0"/>
              <w:ind w:left="0" w:right="0"/>
              <w:rPr>
                <w:szCs w:val="22"/>
              </w:rPr>
            </w:pPr>
            <w:r w:rsidRPr="00DB6666">
              <w:rPr>
                <w:szCs w:val="22"/>
              </w:rPr>
              <w:t>Advocacy Tasmania</w:t>
            </w:r>
          </w:p>
        </w:tc>
        <w:tc>
          <w:tcPr>
            <w:tcW w:w="3817" w:type="dxa"/>
          </w:tcPr>
          <w:p w14:paraId="6F659CD7" w14:textId="35E76D1B" w:rsidR="00F372C2" w:rsidRPr="00DB6666" w:rsidRDefault="00F372C2" w:rsidP="00990C19">
            <w:pPr>
              <w:spacing w:after="0"/>
              <w:ind w:left="0" w:right="0"/>
              <w:jc w:val="both"/>
              <w:rPr>
                <w:szCs w:val="22"/>
              </w:rPr>
            </w:pPr>
            <w:r w:rsidRPr="00DB6666">
              <w:rPr>
                <w:szCs w:val="22"/>
              </w:rPr>
              <w:t>Individual interview</w:t>
            </w:r>
          </w:p>
        </w:tc>
      </w:tr>
      <w:tr w:rsidR="00F372C2" w:rsidRPr="00F372C2" w14:paraId="61C06B19" w14:textId="77777777" w:rsidTr="00990C19">
        <w:trPr>
          <w:trHeight w:val="246"/>
        </w:trPr>
        <w:tc>
          <w:tcPr>
            <w:tcW w:w="5245" w:type="dxa"/>
          </w:tcPr>
          <w:p w14:paraId="0FAF9DB0" w14:textId="123072FC" w:rsidR="00F372C2" w:rsidRPr="00DB6666" w:rsidRDefault="00F372C2" w:rsidP="00F372C2">
            <w:pPr>
              <w:spacing w:after="0"/>
              <w:ind w:left="0" w:right="0"/>
              <w:rPr>
                <w:szCs w:val="22"/>
              </w:rPr>
            </w:pPr>
            <w:r w:rsidRPr="00DB6666">
              <w:rPr>
                <w:szCs w:val="22"/>
              </w:rPr>
              <w:t>Aged Rights Advocacy Service</w:t>
            </w:r>
          </w:p>
        </w:tc>
        <w:tc>
          <w:tcPr>
            <w:tcW w:w="3817" w:type="dxa"/>
          </w:tcPr>
          <w:p w14:paraId="5F4128A0" w14:textId="0A517F1A" w:rsidR="00F372C2" w:rsidRPr="00DB6666" w:rsidRDefault="00F372C2" w:rsidP="00990C19">
            <w:pPr>
              <w:spacing w:after="0"/>
              <w:ind w:left="0" w:right="0"/>
              <w:jc w:val="both"/>
              <w:rPr>
                <w:szCs w:val="22"/>
              </w:rPr>
            </w:pPr>
            <w:r w:rsidRPr="00DB6666">
              <w:rPr>
                <w:szCs w:val="22"/>
              </w:rPr>
              <w:t>Individual interview</w:t>
            </w:r>
          </w:p>
        </w:tc>
      </w:tr>
      <w:tr w:rsidR="00F372C2" w:rsidRPr="00F372C2" w14:paraId="01944863" w14:textId="77777777" w:rsidTr="00990C19">
        <w:trPr>
          <w:trHeight w:val="246"/>
        </w:trPr>
        <w:tc>
          <w:tcPr>
            <w:tcW w:w="5245" w:type="dxa"/>
          </w:tcPr>
          <w:p w14:paraId="2DD98A48" w14:textId="67B7DF72" w:rsidR="00F372C2" w:rsidRPr="00DB6666" w:rsidRDefault="00F372C2" w:rsidP="00F372C2">
            <w:pPr>
              <w:spacing w:after="0"/>
              <w:ind w:left="0" w:right="0"/>
              <w:rPr>
                <w:szCs w:val="22"/>
              </w:rPr>
            </w:pPr>
            <w:r w:rsidRPr="00DB6666">
              <w:rPr>
                <w:szCs w:val="22"/>
              </w:rPr>
              <w:t>Senior Rights Service</w:t>
            </w:r>
          </w:p>
        </w:tc>
        <w:tc>
          <w:tcPr>
            <w:tcW w:w="3817" w:type="dxa"/>
          </w:tcPr>
          <w:p w14:paraId="0D9AAABA" w14:textId="73524622" w:rsidR="00F372C2" w:rsidRPr="00DB6666" w:rsidRDefault="00F372C2" w:rsidP="00990C19">
            <w:pPr>
              <w:spacing w:after="0"/>
              <w:ind w:left="0" w:right="0"/>
              <w:jc w:val="both"/>
              <w:rPr>
                <w:b/>
                <w:szCs w:val="22"/>
              </w:rPr>
            </w:pPr>
            <w:r w:rsidRPr="00DB6666">
              <w:rPr>
                <w:szCs w:val="22"/>
              </w:rPr>
              <w:t>Individual interview</w:t>
            </w:r>
          </w:p>
        </w:tc>
      </w:tr>
      <w:tr w:rsidR="00F372C2" w:rsidRPr="00F372C2" w14:paraId="3C075E12" w14:textId="77777777" w:rsidTr="00990C19">
        <w:trPr>
          <w:trHeight w:val="246"/>
        </w:trPr>
        <w:tc>
          <w:tcPr>
            <w:tcW w:w="5245" w:type="dxa"/>
          </w:tcPr>
          <w:p w14:paraId="30A9B4E3" w14:textId="14041792" w:rsidR="00F372C2" w:rsidRPr="00DB6666" w:rsidRDefault="00F372C2" w:rsidP="00F372C2">
            <w:pPr>
              <w:spacing w:after="0"/>
              <w:ind w:left="0" w:right="0"/>
              <w:rPr>
                <w:szCs w:val="22"/>
              </w:rPr>
            </w:pPr>
            <w:r w:rsidRPr="00DB6666">
              <w:rPr>
                <w:szCs w:val="22"/>
              </w:rPr>
              <w:t>Elder Rights Advocacy</w:t>
            </w:r>
          </w:p>
        </w:tc>
        <w:tc>
          <w:tcPr>
            <w:tcW w:w="3817" w:type="dxa"/>
          </w:tcPr>
          <w:p w14:paraId="798D47C6" w14:textId="36596A62" w:rsidR="00F372C2" w:rsidRPr="00DB6666" w:rsidRDefault="00F372C2" w:rsidP="00990C19">
            <w:pPr>
              <w:spacing w:after="0"/>
              <w:ind w:left="0" w:right="0"/>
              <w:jc w:val="both"/>
              <w:rPr>
                <w:b/>
                <w:szCs w:val="22"/>
              </w:rPr>
            </w:pPr>
            <w:r w:rsidRPr="00DB6666">
              <w:rPr>
                <w:szCs w:val="22"/>
              </w:rPr>
              <w:t>Individual interview</w:t>
            </w:r>
          </w:p>
        </w:tc>
      </w:tr>
      <w:tr w:rsidR="00F372C2" w:rsidRPr="00F372C2" w14:paraId="369DF247" w14:textId="77777777" w:rsidTr="00990C19">
        <w:trPr>
          <w:trHeight w:val="246"/>
        </w:trPr>
        <w:tc>
          <w:tcPr>
            <w:tcW w:w="5245" w:type="dxa"/>
          </w:tcPr>
          <w:p w14:paraId="01B0A066" w14:textId="7C08F8E1" w:rsidR="00F372C2" w:rsidRPr="00DB6666" w:rsidRDefault="00F372C2" w:rsidP="00F372C2">
            <w:pPr>
              <w:spacing w:after="0"/>
              <w:ind w:left="0" w:right="0"/>
              <w:rPr>
                <w:szCs w:val="22"/>
              </w:rPr>
            </w:pPr>
            <w:r w:rsidRPr="00DB6666">
              <w:rPr>
                <w:szCs w:val="22"/>
              </w:rPr>
              <w:t>Aged Care Advocate</w:t>
            </w:r>
          </w:p>
        </w:tc>
        <w:tc>
          <w:tcPr>
            <w:tcW w:w="3817" w:type="dxa"/>
          </w:tcPr>
          <w:p w14:paraId="700623F2" w14:textId="7C466A05" w:rsidR="00F372C2" w:rsidRPr="00DB6666" w:rsidRDefault="00F372C2" w:rsidP="00990C19">
            <w:pPr>
              <w:spacing w:after="0"/>
              <w:ind w:left="0" w:right="0"/>
              <w:jc w:val="both"/>
              <w:rPr>
                <w:b/>
                <w:szCs w:val="22"/>
              </w:rPr>
            </w:pPr>
            <w:r w:rsidRPr="00DB6666">
              <w:rPr>
                <w:szCs w:val="22"/>
              </w:rPr>
              <w:t>Individual interview</w:t>
            </w:r>
          </w:p>
        </w:tc>
      </w:tr>
      <w:tr w:rsidR="00F372C2" w:rsidRPr="00F372C2" w14:paraId="6E7097B1" w14:textId="77777777" w:rsidTr="00990C19">
        <w:trPr>
          <w:trHeight w:val="246"/>
        </w:trPr>
        <w:tc>
          <w:tcPr>
            <w:tcW w:w="5245" w:type="dxa"/>
          </w:tcPr>
          <w:p w14:paraId="646465D5" w14:textId="7F40BC75" w:rsidR="00F372C2" w:rsidRPr="00DB6666" w:rsidRDefault="00F372C2" w:rsidP="00F372C2">
            <w:pPr>
              <w:spacing w:after="0"/>
              <w:ind w:left="0" w:right="0"/>
              <w:rPr>
                <w:szCs w:val="22"/>
              </w:rPr>
            </w:pPr>
            <w:proofErr w:type="spellStart"/>
            <w:r w:rsidRPr="00DB6666">
              <w:rPr>
                <w:szCs w:val="22"/>
              </w:rPr>
              <w:t>Advocare</w:t>
            </w:r>
            <w:proofErr w:type="spellEnd"/>
          </w:p>
        </w:tc>
        <w:tc>
          <w:tcPr>
            <w:tcW w:w="3817" w:type="dxa"/>
          </w:tcPr>
          <w:p w14:paraId="7AA386A0" w14:textId="345E4817" w:rsidR="00F372C2" w:rsidRPr="00DB6666" w:rsidRDefault="00F372C2" w:rsidP="00990C19">
            <w:pPr>
              <w:spacing w:after="0"/>
              <w:ind w:left="0" w:right="0"/>
              <w:jc w:val="both"/>
              <w:rPr>
                <w:b/>
                <w:szCs w:val="22"/>
              </w:rPr>
            </w:pPr>
            <w:r w:rsidRPr="00DB6666">
              <w:rPr>
                <w:szCs w:val="22"/>
              </w:rPr>
              <w:t>Individual interview</w:t>
            </w:r>
          </w:p>
        </w:tc>
      </w:tr>
      <w:tr w:rsidR="00F372C2" w:rsidRPr="00F372C2" w14:paraId="4139E210" w14:textId="77777777" w:rsidTr="00990C19">
        <w:trPr>
          <w:trHeight w:val="246"/>
        </w:trPr>
        <w:tc>
          <w:tcPr>
            <w:tcW w:w="5245" w:type="dxa"/>
          </w:tcPr>
          <w:p w14:paraId="70784CF8" w14:textId="77777777" w:rsidR="00F372C2" w:rsidRPr="00DB6666" w:rsidRDefault="00F372C2" w:rsidP="00F372C2">
            <w:pPr>
              <w:spacing w:after="0"/>
              <w:ind w:left="0" w:right="0"/>
              <w:rPr>
                <w:szCs w:val="22"/>
              </w:rPr>
            </w:pPr>
            <w:r w:rsidRPr="00DB6666">
              <w:rPr>
                <w:szCs w:val="22"/>
              </w:rPr>
              <w:t>Darwin Community Legal Service</w:t>
            </w:r>
          </w:p>
        </w:tc>
        <w:tc>
          <w:tcPr>
            <w:tcW w:w="3817" w:type="dxa"/>
          </w:tcPr>
          <w:p w14:paraId="522DC70B" w14:textId="30DCCE20" w:rsidR="00F372C2" w:rsidRPr="00DB6666" w:rsidRDefault="00F372C2" w:rsidP="00990C19">
            <w:pPr>
              <w:spacing w:after="0"/>
              <w:ind w:left="0" w:right="0"/>
              <w:jc w:val="both"/>
              <w:rPr>
                <w:b/>
                <w:szCs w:val="22"/>
              </w:rPr>
            </w:pPr>
            <w:r w:rsidRPr="00DB6666">
              <w:rPr>
                <w:szCs w:val="22"/>
              </w:rPr>
              <w:t>Individual interview</w:t>
            </w:r>
          </w:p>
        </w:tc>
      </w:tr>
      <w:tr w:rsidR="00F372C2" w:rsidRPr="00F372C2" w14:paraId="779080A2" w14:textId="77777777" w:rsidTr="00990C19">
        <w:trPr>
          <w:trHeight w:val="246"/>
        </w:trPr>
        <w:tc>
          <w:tcPr>
            <w:tcW w:w="5245" w:type="dxa"/>
          </w:tcPr>
          <w:p w14:paraId="64A25D52" w14:textId="77777777" w:rsidR="00F372C2" w:rsidRPr="00DB6666" w:rsidRDefault="00F372C2" w:rsidP="00F372C2">
            <w:pPr>
              <w:spacing w:after="0"/>
              <w:ind w:left="0" w:right="0"/>
              <w:rPr>
                <w:szCs w:val="22"/>
              </w:rPr>
            </w:pPr>
            <w:r w:rsidRPr="00DB6666">
              <w:rPr>
                <w:szCs w:val="22"/>
              </w:rPr>
              <w:t>ACT Disability, Aged and Carer Advocacy Service (ADACAS)</w:t>
            </w:r>
          </w:p>
        </w:tc>
        <w:tc>
          <w:tcPr>
            <w:tcW w:w="3817" w:type="dxa"/>
          </w:tcPr>
          <w:p w14:paraId="43E30701" w14:textId="1DDBEB0F" w:rsidR="00F372C2" w:rsidRPr="00DB6666" w:rsidRDefault="00F372C2" w:rsidP="00990C19">
            <w:pPr>
              <w:spacing w:after="0"/>
              <w:ind w:left="0" w:right="0"/>
              <w:jc w:val="both"/>
              <w:rPr>
                <w:b/>
                <w:szCs w:val="22"/>
              </w:rPr>
            </w:pPr>
            <w:r w:rsidRPr="00DB6666">
              <w:rPr>
                <w:szCs w:val="22"/>
              </w:rPr>
              <w:t>Individual interview</w:t>
            </w:r>
          </w:p>
        </w:tc>
      </w:tr>
    </w:tbl>
    <w:p w14:paraId="718AC3EB" w14:textId="659CD5DC" w:rsidR="00941805" w:rsidRPr="00941805" w:rsidRDefault="00941805" w:rsidP="00941805">
      <w:pPr>
        <w:spacing w:before="120"/>
        <w:rPr>
          <w:color w:val="595959" w:themeColor="text1" w:themeTint="A6"/>
        </w:rPr>
      </w:pPr>
      <w:r w:rsidRPr="00941805">
        <w:rPr>
          <w:color w:val="595959" w:themeColor="text1" w:themeTint="A6"/>
        </w:rPr>
        <w:t>Representatives for priority populations</w:t>
      </w:r>
    </w:p>
    <w:tbl>
      <w:tblPr>
        <w:tblStyle w:val="Deloittetable"/>
        <w:tblW w:w="9062" w:type="dxa"/>
        <w:tblLook w:val="04A0" w:firstRow="1" w:lastRow="0" w:firstColumn="1" w:lastColumn="0" w:noHBand="0" w:noVBand="1"/>
      </w:tblPr>
      <w:tblGrid>
        <w:gridCol w:w="5245"/>
        <w:gridCol w:w="3817"/>
      </w:tblGrid>
      <w:tr w:rsidR="00941805" w:rsidRPr="00F372C2" w14:paraId="07987172" w14:textId="77777777" w:rsidTr="00990C19">
        <w:trPr>
          <w:cnfStyle w:val="100000000000" w:firstRow="1" w:lastRow="0" w:firstColumn="0" w:lastColumn="0" w:oddVBand="0" w:evenVBand="0" w:oddHBand="0" w:evenHBand="0" w:firstRowFirstColumn="0" w:firstRowLastColumn="0" w:lastRowFirstColumn="0" w:lastRowLastColumn="0"/>
          <w:trHeight w:val="235"/>
        </w:trPr>
        <w:tc>
          <w:tcPr>
            <w:tcW w:w="5245" w:type="dxa"/>
          </w:tcPr>
          <w:p w14:paraId="0323725A" w14:textId="569AD560" w:rsidR="00941805" w:rsidRPr="00DB6666" w:rsidRDefault="00941805" w:rsidP="00941805">
            <w:pPr>
              <w:spacing w:after="0"/>
              <w:rPr>
                <w:szCs w:val="22"/>
              </w:rPr>
            </w:pPr>
            <w:r w:rsidRPr="00CD081D">
              <w:rPr>
                <w:b/>
                <w:bCs/>
              </w:rPr>
              <w:t>Stakeholder</w:t>
            </w:r>
          </w:p>
        </w:tc>
        <w:tc>
          <w:tcPr>
            <w:tcW w:w="3817" w:type="dxa"/>
          </w:tcPr>
          <w:p w14:paraId="01E6A018" w14:textId="0CF8A0CA" w:rsidR="00941805" w:rsidRPr="00DB6666" w:rsidRDefault="00941805" w:rsidP="00941805">
            <w:pPr>
              <w:spacing w:after="0"/>
              <w:ind w:left="284"/>
              <w:rPr>
                <w:szCs w:val="22"/>
              </w:rPr>
            </w:pPr>
            <w:r w:rsidRPr="00CD081D">
              <w:rPr>
                <w:b/>
                <w:bCs/>
              </w:rPr>
              <w:t>Format</w:t>
            </w:r>
          </w:p>
        </w:tc>
      </w:tr>
      <w:tr w:rsidR="00F372C2" w:rsidRPr="00F372C2" w14:paraId="16FEE46F" w14:textId="77777777" w:rsidTr="00990C19">
        <w:trPr>
          <w:trHeight w:val="235"/>
        </w:trPr>
        <w:tc>
          <w:tcPr>
            <w:tcW w:w="5245" w:type="dxa"/>
          </w:tcPr>
          <w:p w14:paraId="739746F8" w14:textId="77777777" w:rsidR="00F372C2" w:rsidRPr="00DB6666" w:rsidRDefault="00F372C2" w:rsidP="00F372C2">
            <w:pPr>
              <w:spacing w:after="0"/>
              <w:ind w:left="0" w:right="0"/>
              <w:rPr>
                <w:szCs w:val="22"/>
              </w:rPr>
            </w:pPr>
            <w:r w:rsidRPr="00DB6666">
              <w:rPr>
                <w:szCs w:val="22"/>
              </w:rPr>
              <w:t>The National Aboriginal Community Controlled Health Organisation (NACCHO)</w:t>
            </w:r>
          </w:p>
        </w:tc>
        <w:tc>
          <w:tcPr>
            <w:tcW w:w="3817" w:type="dxa"/>
          </w:tcPr>
          <w:p w14:paraId="0D8A8AE3" w14:textId="29283732" w:rsidR="00F372C2" w:rsidRPr="00DB6666" w:rsidRDefault="00F372C2" w:rsidP="00F372C2">
            <w:pPr>
              <w:spacing w:after="0"/>
              <w:ind w:left="284" w:right="0"/>
              <w:rPr>
                <w:szCs w:val="22"/>
              </w:rPr>
            </w:pPr>
            <w:r w:rsidRPr="00DB6666">
              <w:rPr>
                <w:szCs w:val="22"/>
              </w:rPr>
              <w:t>Individual interview</w:t>
            </w:r>
          </w:p>
        </w:tc>
      </w:tr>
      <w:tr w:rsidR="00F372C2" w:rsidRPr="00F372C2" w14:paraId="1ECAA1B2" w14:textId="77777777" w:rsidTr="00990C19">
        <w:trPr>
          <w:trHeight w:val="246"/>
        </w:trPr>
        <w:tc>
          <w:tcPr>
            <w:tcW w:w="5245" w:type="dxa"/>
          </w:tcPr>
          <w:p w14:paraId="4B8E321E" w14:textId="3C868724" w:rsidR="00F372C2" w:rsidRPr="00DB6666" w:rsidRDefault="00F372C2" w:rsidP="00F372C2">
            <w:pPr>
              <w:spacing w:after="0"/>
              <w:ind w:left="0" w:right="0"/>
              <w:rPr>
                <w:szCs w:val="22"/>
              </w:rPr>
            </w:pPr>
            <w:proofErr w:type="spellStart"/>
            <w:r w:rsidRPr="00DB6666">
              <w:rPr>
                <w:szCs w:val="22"/>
              </w:rPr>
              <w:t>Co.</w:t>
            </w:r>
            <w:proofErr w:type="gramStart"/>
            <w:r w:rsidRPr="00DB6666">
              <w:rPr>
                <w:szCs w:val="22"/>
              </w:rPr>
              <w:t>As.It</w:t>
            </w:r>
            <w:proofErr w:type="spellEnd"/>
            <w:proofErr w:type="gramEnd"/>
          </w:p>
        </w:tc>
        <w:tc>
          <w:tcPr>
            <w:tcW w:w="3817" w:type="dxa"/>
          </w:tcPr>
          <w:p w14:paraId="292580CB" w14:textId="06DA3BA1" w:rsidR="00F372C2" w:rsidRPr="00DB6666" w:rsidRDefault="00F372C2" w:rsidP="00F372C2">
            <w:pPr>
              <w:spacing w:after="0"/>
              <w:ind w:left="284" w:right="0"/>
              <w:rPr>
                <w:szCs w:val="22"/>
              </w:rPr>
            </w:pPr>
            <w:r w:rsidRPr="00DB6666">
              <w:rPr>
                <w:szCs w:val="22"/>
              </w:rPr>
              <w:t>Focus group</w:t>
            </w:r>
          </w:p>
        </w:tc>
      </w:tr>
      <w:tr w:rsidR="00F372C2" w:rsidRPr="00F372C2" w14:paraId="11583668" w14:textId="77777777" w:rsidTr="00990C19">
        <w:trPr>
          <w:trHeight w:val="246"/>
        </w:trPr>
        <w:tc>
          <w:tcPr>
            <w:tcW w:w="5245" w:type="dxa"/>
          </w:tcPr>
          <w:p w14:paraId="5EA9FB1C" w14:textId="77777777" w:rsidR="00F372C2" w:rsidRPr="00DB6666" w:rsidRDefault="00F372C2" w:rsidP="00F372C2">
            <w:pPr>
              <w:spacing w:after="0"/>
              <w:ind w:left="0" w:right="0"/>
              <w:rPr>
                <w:szCs w:val="22"/>
              </w:rPr>
            </w:pPr>
            <w:r w:rsidRPr="00DB6666">
              <w:rPr>
                <w:szCs w:val="22"/>
              </w:rPr>
              <w:t>Federation of Ethnic Communities Councils of Australia (FECCA)</w:t>
            </w:r>
          </w:p>
        </w:tc>
        <w:tc>
          <w:tcPr>
            <w:tcW w:w="3817" w:type="dxa"/>
          </w:tcPr>
          <w:p w14:paraId="3A134C05" w14:textId="436A6961" w:rsidR="00F372C2" w:rsidRPr="00DB6666" w:rsidRDefault="00941805" w:rsidP="00F372C2">
            <w:pPr>
              <w:spacing w:after="0"/>
              <w:ind w:left="284" w:right="0"/>
              <w:rPr>
                <w:szCs w:val="22"/>
              </w:rPr>
            </w:pPr>
            <w:r w:rsidRPr="00DB6666">
              <w:rPr>
                <w:szCs w:val="22"/>
              </w:rPr>
              <w:t>Focus group</w:t>
            </w:r>
          </w:p>
        </w:tc>
      </w:tr>
      <w:tr w:rsidR="00F372C2" w:rsidRPr="00F372C2" w14:paraId="5144A9E9" w14:textId="77777777" w:rsidTr="00990C19">
        <w:trPr>
          <w:trHeight w:val="246"/>
        </w:trPr>
        <w:tc>
          <w:tcPr>
            <w:tcW w:w="5245" w:type="dxa"/>
          </w:tcPr>
          <w:p w14:paraId="002BFE6A" w14:textId="77777777" w:rsidR="00F372C2" w:rsidRPr="00DB6666" w:rsidRDefault="00F372C2" w:rsidP="00F372C2">
            <w:pPr>
              <w:spacing w:after="0"/>
              <w:ind w:left="0" w:right="0"/>
              <w:rPr>
                <w:szCs w:val="22"/>
              </w:rPr>
            </w:pPr>
            <w:r w:rsidRPr="00DB6666">
              <w:rPr>
                <w:szCs w:val="22"/>
              </w:rPr>
              <w:t>Centre for Cultural Diversity in Ageing</w:t>
            </w:r>
          </w:p>
        </w:tc>
        <w:tc>
          <w:tcPr>
            <w:tcW w:w="3817" w:type="dxa"/>
          </w:tcPr>
          <w:p w14:paraId="32CBD8B0" w14:textId="64598843" w:rsidR="00F372C2" w:rsidRPr="00DB6666" w:rsidRDefault="00941805" w:rsidP="00F372C2">
            <w:pPr>
              <w:spacing w:after="0"/>
              <w:ind w:left="284" w:right="0"/>
              <w:rPr>
                <w:szCs w:val="22"/>
              </w:rPr>
            </w:pPr>
            <w:r w:rsidRPr="00DB6666">
              <w:rPr>
                <w:szCs w:val="22"/>
              </w:rPr>
              <w:t>Focus group</w:t>
            </w:r>
          </w:p>
        </w:tc>
      </w:tr>
      <w:tr w:rsidR="00F372C2" w:rsidRPr="00F372C2" w14:paraId="4CEFB234" w14:textId="77777777" w:rsidTr="00990C19">
        <w:trPr>
          <w:trHeight w:val="246"/>
        </w:trPr>
        <w:tc>
          <w:tcPr>
            <w:tcW w:w="5245" w:type="dxa"/>
          </w:tcPr>
          <w:p w14:paraId="52372CEE" w14:textId="77777777" w:rsidR="00F372C2" w:rsidRPr="00DB6666" w:rsidRDefault="00F372C2" w:rsidP="00F372C2">
            <w:pPr>
              <w:spacing w:after="0"/>
              <w:ind w:left="0" w:right="0"/>
              <w:rPr>
                <w:szCs w:val="22"/>
              </w:rPr>
            </w:pPr>
            <w:r w:rsidRPr="00DB6666">
              <w:rPr>
                <w:szCs w:val="22"/>
              </w:rPr>
              <w:t>Partners in Culturally Appropriate Care (PICAC)</w:t>
            </w:r>
          </w:p>
        </w:tc>
        <w:tc>
          <w:tcPr>
            <w:tcW w:w="3817" w:type="dxa"/>
          </w:tcPr>
          <w:p w14:paraId="29C385C5" w14:textId="59CD6893" w:rsidR="00F372C2" w:rsidRPr="00DB6666" w:rsidRDefault="00941805" w:rsidP="00F372C2">
            <w:pPr>
              <w:spacing w:after="0"/>
              <w:ind w:left="284" w:right="0"/>
              <w:rPr>
                <w:szCs w:val="22"/>
              </w:rPr>
            </w:pPr>
            <w:r w:rsidRPr="00DB6666">
              <w:rPr>
                <w:szCs w:val="22"/>
              </w:rPr>
              <w:t>Focus group</w:t>
            </w:r>
          </w:p>
        </w:tc>
      </w:tr>
      <w:tr w:rsidR="00F372C2" w:rsidRPr="00F372C2" w14:paraId="2D8C7280" w14:textId="77777777" w:rsidTr="00990C19">
        <w:trPr>
          <w:trHeight w:val="246"/>
        </w:trPr>
        <w:tc>
          <w:tcPr>
            <w:tcW w:w="5245" w:type="dxa"/>
          </w:tcPr>
          <w:p w14:paraId="2294545A" w14:textId="77777777" w:rsidR="00F372C2" w:rsidRPr="00DB6666" w:rsidRDefault="00F372C2" w:rsidP="00F372C2">
            <w:pPr>
              <w:spacing w:after="0"/>
              <w:ind w:left="0" w:right="0"/>
              <w:rPr>
                <w:szCs w:val="22"/>
              </w:rPr>
            </w:pPr>
            <w:r w:rsidRPr="00DB6666">
              <w:rPr>
                <w:szCs w:val="22"/>
              </w:rPr>
              <w:t>LGBTIQ+ Health Australia</w:t>
            </w:r>
          </w:p>
        </w:tc>
        <w:tc>
          <w:tcPr>
            <w:tcW w:w="3817" w:type="dxa"/>
          </w:tcPr>
          <w:p w14:paraId="2F74C3E8" w14:textId="737567C5" w:rsidR="00F372C2" w:rsidRPr="00DB6666" w:rsidRDefault="00F372C2" w:rsidP="00F372C2">
            <w:pPr>
              <w:spacing w:after="0"/>
              <w:ind w:left="284" w:right="0"/>
              <w:rPr>
                <w:szCs w:val="22"/>
              </w:rPr>
            </w:pPr>
            <w:r w:rsidRPr="00DB6666">
              <w:rPr>
                <w:szCs w:val="22"/>
              </w:rPr>
              <w:t>Individual interview</w:t>
            </w:r>
          </w:p>
        </w:tc>
      </w:tr>
    </w:tbl>
    <w:p w14:paraId="3831C15E" w14:textId="1AED4069" w:rsidR="00941805" w:rsidRPr="00941805" w:rsidRDefault="00941805" w:rsidP="00941805">
      <w:pPr>
        <w:spacing w:before="120"/>
        <w:rPr>
          <w:color w:val="595959" w:themeColor="text1" w:themeTint="A6"/>
        </w:rPr>
      </w:pPr>
      <w:r w:rsidRPr="00941805">
        <w:rPr>
          <w:color w:val="595959" w:themeColor="text1" w:themeTint="A6"/>
        </w:rPr>
        <w:t>Aged care consumer and carer organisations</w:t>
      </w:r>
    </w:p>
    <w:tbl>
      <w:tblPr>
        <w:tblStyle w:val="Deloittetable"/>
        <w:tblW w:w="9062" w:type="dxa"/>
        <w:tblLook w:val="04A0" w:firstRow="1" w:lastRow="0" w:firstColumn="1" w:lastColumn="0" w:noHBand="0" w:noVBand="1"/>
      </w:tblPr>
      <w:tblGrid>
        <w:gridCol w:w="5245"/>
        <w:gridCol w:w="3817"/>
      </w:tblGrid>
      <w:tr w:rsidR="00941805" w:rsidRPr="00F372C2" w14:paraId="33C8D983" w14:textId="77777777" w:rsidTr="00990C19">
        <w:trPr>
          <w:cnfStyle w:val="100000000000" w:firstRow="1" w:lastRow="0" w:firstColumn="0" w:lastColumn="0" w:oddVBand="0" w:evenVBand="0" w:oddHBand="0" w:evenHBand="0" w:firstRowFirstColumn="0" w:firstRowLastColumn="0" w:lastRowFirstColumn="0" w:lastRowLastColumn="0"/>
          <w:trHeight w:val="246"/>
        </w:trPr>
        <w:tc>
          <w:tcPr>
            <w:tcW w:w="5245" w:type="dxa"/>
          </w:tcPr>
          <w:p w14:paraId="36E4B032" w14:textId="3CD23778" w:rsidR="00941805" w:rsidRPr="00DB6666" w:rsidRDefault="00941805" w:rsidP="00941805">
            <w:pPr>
              <w:spacing w:after="0"/>
              <w:rPr>
                <w:szCs w:val="22"/>
              </w:rPr>
            </w:pPr>
            <w:r w:rsidRPr="00CD081D">
              <w:rPr>
                <w:b/>
                <w:bCs/>
              </w:rPr>
              <w:t>Stakeholder</w:t>
            </w:r>
          </w:p>
        </w:tc>
        <w:tc>
          <w:tcPr>
            <w:tcW w:w="3817" w:type="dxa"/>
          </w:tcPr>
          <w:p w14:paraId="7E48393D" w14:textId="67A6D06E" w:rsidR="00941805" w:rsidRPr="00DB6666" w:rsidRDefault="00941805" w:rsidP="00941805">
            <w:pPr>
              <w:spacing w:after="0"/>
              <w:ind w:left="284"/>
              <w:rPr>
                <w:szCs w:val="22"/>
              </w:rPr>
            </w:pPr>
            <w:r w:rsidRPr="00CD081D">
              <w:rPr>
                <w:b/>
                <w:bCs/>
              </w:rPr>
              <w:t>Format</w:t>
            </w:r>
          </w:p>
        </w:tc>
      </w:tr>
      <w:tr w:rsidR="00F372C2" w:rsidRPr="00F372C2" w14:paraId="44892997" w14:textId="77777777" w:rsidTr="00990C19">
        <w:trPr>
          <w:trHeight w:val="246"/>
        </w:trPr>
        <w:tc>
          <w:tcPr>
            <w:tcW w:w="5245" w:type="dxa"/>
          </w:tcPr>
          <w:p w14:paraId="7E89C61B" w14:textId="77777777" w:rsidR="00F372C2" w:rsidRPr="00DB6666" w:rsidRDefault="00F372C2" w:rsidP="00F372C2">
            <w:pPr>
              <w:spacing w:after="0"/>
              <w:ind w:left="0" w:right="0"/>
              <w:rPr>
                <w:szCs w:val="22"/>
              </w:rPr>
            </w:pPr>
            <w:r w:rsidRPr="00DB6666">
              <w:rPr>
                <w:szCs w:val="22"/>
              </w:rPr>
              <w:t>Dementia Australia</w:t>
            </w:r>
          </w:p>
        </w:tc>
        <w:tc>
          <w:tcPr>
            <w:tcW w:w="3817" w:type="dxa"/>
          </w:tcPr>
          <w:p w14:paraId="068201BB" w14:textId="67C547F4" w:rsidR="00F372C2" w:rsidRPr="00DB6666" w:rsidRDefault="00F372C2" w:rsidP="00F372C2">
            <w:pPr>
              <w:spacing w:after="0"/>
              <w:ind w:left="284" w:right="0"/>
              <w:rPr>
                <w:szCs w:val="22"/>
              </w:rPr>
            </w:pPr>
            <w:r w:rsidRPr="00DB6666">
              <w:rPr>
                <w:szCs w:val="22"/>
              </w:rPr>
              <w:t>Individual interview</w:t>
            </w:r>
          </w:p>
        </w:tc>
      </w:tr>
      <w:tr w:rsidR="00F372C2" w:rsidRPr="00F372C2" w14:paraId="7737E78E" w14:textId="77777777" w:rsidTr="00990C19">
        <w:trPr>
          <w:trHeight w:val="246"/>
        </w:trPr>
        <w:tc>
          <w:tcPr>
            <w:tcW w:w="5245" w:type="dxa"/>
          </w:tcPr>
          <w:p w14:paraId="5D0D6AB5" w14:textId="77777777" w:rsidR="00F372C2" w:rsidRPr="00DB6666" w:rsidRDefault="00F372C2" w:rsidP="00F372C2">
            <w:pPr>
              <w:spacing w:after="0"/>
              <w:ind w:left="0" w:right="0"/>
              <w:rPr>
                <w:szCs w:val="22"/>
              </w:rPr>
            </w:pPr>
            <w:r w:rsidRPr="00DB6666">
              <w:rPr>
                <w:szCs w:val="22"/>
              </w:rPr>
              <w:t>National Seniors Australia</w:t>
            </w:r>
          </w:p>
        </w:tc>
        <w:tc>
          <w:tcPr>
            <w:tcW w:w="3817" w:type="dxa"/>
          </w:tcPr>
          <w:p w14:paraId="66C38E53" w14:textId="7D1C937F" w:rsidR="00F372C2" w:rsidRPr="00DB6666" w:rsidRDefault="00F372C2" w:rsidP="00F372C2">
            <w:pPr>
              <w:spacing w:after="0"/>
              <w:ind w:left="284" w:right="0"/>
              <w:rPr>
                <w:szCs w:val="22"/>
              </w:rPr>
            </w:pPr>
            <w:r w:rsidRPr="00DB6666">
              <w:rPr>
                <w:szCs w:val="22"/>
              </w:rPr>
              <w:t>Individual interview</w:t>
            </w:r>
          </w:p>
        </w:tc>
      </w:tr>
      <w:tr w:rsidR="00F372C2" w:rsidRPr="00F372C2" w14:paraId="24BB8FEA" w14:textId="77777777" w:rsidTr="00990C19">
        <w:trPr>
          <w:trHeight w:val="246"/>
        </w:trPr>
        <w:tc>
          <w:tcPr>
            <w:tcW w:w="5245" w:type="dxa"/>
          </w:tcPr>
          <w:p w14:paraId="36BB37E2" w14:textId="77777777" w:rsidR="00F372C2" w:rsidRPr="00DB6666" w:rsidRDefault="00F372C2" w:rsidP="00F372C2">
            <w:pPr>
              <w:spacing w:after="0"/>
              <w:ind w:left="0" w:right="0"/>
              <w:rPr>
                <w:szCs w:val="22"/>
              </w:rPr>
            </w:pPr>
            <w:r w:rsidRPr="00DB6666">
              <w:rPr>
                <w:szCs w:val="22"/>
              </w:rPr>
              <w:t>Returned Services League Australia (RSL)</w:t>
            </w:r>
          </w:p>
        </w:tc>
        <w:tc>
          <w:tcPr>
            <w:tcW w:w="3817" w:type="dxa"/>
          </w:tcPr>
          <w:p w14:paraId="475BB856" w14:textId="4C536A8B" w:rsidR="00F372C2" w:rsidRPr="00DB6666" w:rsidRDefault="00F372C2" w:rsidP="00F372C2">
            <w:pPr>
              <w:spacing w:after="0"/>
              <w:ind w:left="284" w:right="0"/>
              <w:rPr>
                <w:szCs w:val="22"/>
              </w:rPr>
            </w:pPr>
            <w:r w:rsidRPr="00DB6666">
              <w:rPr>
                <w:szCs w:val="22"/>
              </w:rPr>
              <w:t>Individual interview</w:t>
            </w:r>
          </w:p>
        </w:tc>
      </w:tr>
      <w:tr w:rsidR="00F372C2" w:rsidRPr="00F372C2" w14:paraId="130CEF06" w14:textId="77777777" w:rsidTr="00990C19">
        <w:trPr>
          <w:trHeight w:val="246"/>
        </w:trPr>
        <w:tc>
          <w:tcPr>
            <w:tcW w:w="5245" w:type="dxa"/>
          </w:tcPr>
          <w:p w14:paraId="4A8CC139" w14:textId="77777777" w:rsidR="00F372C2" w:rsidRPr="00DB6666" w:rsidRDefault="00F372C2" w:rsidP="00F372C2">
            <w:pPr>
              <w:spacing w:after="0"/>
              <w:ind w:left="0" w:right="0"/>
              <w:rPr>
                <w:szCs w:val="22"/>
              </w:rPr>
            </w:pPr>
            <w:r w:rsidRPr="00DB6666">
              <w:rPr>
                <w:szCs w:val="22"/>
              </w:rPr>
              <w:t>Elder Abuse Action Australia (EAAA)</w:t>
            </w:r>
          </w:p>
        </w:tc>
        <w:tc>
          <w:tcPr>
            <w:tcW w:w="3817" w:type="dxa"/>
          </w:tcPr>
          <w:p w14:paraId="14DD90E9" w14:textId="0FDB9A0E" w:rsidR="00F372C2" w:rsidRPr="00DB6666" w:rsidRDefault="00F372C2" w:rsidP="00F372C2">
            <w:pPr>
              <w:spacing w:after="0"/>
              <w:ind w:left="284" w:right="0"/>
              <w:rPr>
                <w:szCs w:val="22"/>
              </w:rPr>
            </w:pPr>
            <w:r w:rsidRPr="00DB6666">
              <w:rPr>
                <w:szCs w:val="22"/>
              </w:rPr>
              <w:t>Individual interview</w:t>
            </w:r>
          </w:p>
        </w:tc>
      </w:tr>
      <w:tr w:rsidR="00F372C2" w:rsidRPr="00F372C2" w14:paraId="2E96DCB7" w14:textId="77777777" w:rsidTr="00990C19">
        <w:trPr>
          <w:trHeight w:val="246"/>
        </w:trPr>
        <w:tc>
          <w:tcPr>
            <w:tcW w:w="5245" w:type="dxa"/>
          </w:tcPr>
          <w:p w14:paraId="723A6B61" w14:textId="77777777" w:rsidR="00F372C2" w:rsidRPr="00DB6666" w:rsidRDefault="00F372C2" w:rsidP="00F372C2">
            <w:pPr>
              <w:spacing w:after="0"/>
              <w:ind w:left="0" w:right="0"/>
              <w:rPr>
                <w:szCs w:val="22"/>
              </w:rPr>
            </w:pPr>
            <w:r w:rsidRPr="00DB6666">
              <w:rPr>
                <w:szCs w:val="22"/>
              </w:rPr>
              <w:t>Association of Independent Retirees</w:t>
            </w:r>
          </w:p>
        </w:tc>
        <w:tc>
          <w:tcPr>
            <w:tcW w:w="3817" w:type="dxa"/>
          </w:tcPr>
          <w:p w14:paraId="46365CE7" w14:textId="7D9009E7" w:rsidR="00F372C2" w:rsidRPr="00DB6666" w:rsidRDefault="00F372C2" w:rsidP="00F372C2">
            <w:pPr>
              <w:spacing w:after="0"/>
              <w:ind w:left="284" w:right="0"/>
              <w:rPr>
                <w:szCs w:val="22"/>
              </w:rPr>
            </w:pPr>
            <w:r w:rsidRPr="00DB6666">
              <w:rPr>
                <w:szCs w:val="22"/>
              </w:rPr>
              <w:t>Individual interview</w:t>
            </w:r>
          </w:p>
        </w:tc>
      </w:tr>
      <w:tr w:rsidR="00F372C2" w:rsidRPr="00F372C2" w14:paraId="3BEFCB68" w14:textId="77777777" w:rsidTr="00990C19">
        <w:trPr>
          <w:trHeight w:val="246"/>
        </w:trPr>
        <w:tc>
          <w:tcPr>
            <w:tcW w:w="5245" w:type="dxa"/>
          </w:tcPr>
          <w:p w14:paraId="6C9E274D" w14:textId="77777777" w:rsidR="00F372C2" w:rsidRPr="00DB6666" w:rsidRDefault="00F372C2" w:rsidP="00F372C2">
            <w:pPr>
              <w:spacing w:after="0"/>
              <w:ind w:left="0" w:right="0"/>
              <w:rPr>
                <w:szCs w:val="22"/>
              </w:rPr>
            </w:pPr>
            <w:r w:rsidRPr="00DB6666">
              <w:rPr>
                <w:szCs w:val="22"/>
              </w:rPr>
              <w:t>War Widows</w:t>
            </w:r>
          </w:p>
        </w:tc>
        <w:tc>
          <w:tcPr>
            <w:tcW w:w="3817" w:type="dxa"/>
          </w:tcPr>
          <w:p w14:paraId="0A56B87A" w14:textId="46902BBE" w:rsidR="00F372C2" w:rsidRPr="00DB6666" w:rsidRDefault="00F372C2" w:rsidP="00F372C2">
            <w:pPr>
              <w:spacing w:after="0"/>
              <w:ind w:left="284" w:right="0"/>
              <w:rPr>
                <w:szCs w:val="22"/>
              </w:rPr>
            </w:pPr>
            <w:r w:rsidRPr="00DB6666">
              <w:rPr>
                <w:szCs w:val="22"/>
              </w:rPr>
              <w:t>Individual interview</w:t>
            </w:r>
          </w:p>
        </w:tc>
      </w:tr>
      <w:tr w:rsidR="00F372C2" w:rsidRPr="00F372C2" w14:paraId="0F14A7F4" w14:textId="77777777" w:rsidTr="00990C19">
        <w:trPr>
          <w:trHeight w:val="246"/>
        </w:trPr>
        <w:tc>
          <w:tcPr>
            <w:tcW w:w="5245" w:type="dxa"/>
          </w:tcPr>
          <w:p w14:paraId="795B1943" w14:textId="77777777" w:rsidR="00F372C2" w:rsidRPr="00DB6666" w:rsidRDefault="00F372C2" w:rsidP="00F372C2">
            <w:pPr>
              <w:spacing w:after="0"/>
              <w:ind w:left="0" w:right="0"/>
              <w:rPr>
                <w:szCs w:val="22"/>
              </w:rPr>
            </w:pPr>
            <w:r w:rsidRPr="00DB6666">
              <w:rPr>
                <w:szCs w:val="22"/>
              </w:rPr>
              <w:t>Council of the Ageing (COTA)</w:t>
            </w:r>
          </w:p>
        </w:tc>
        <w:tc>
          <w:tcPr>
            <w:tcW w:w="3817" w:type="dxa"/>
          </w:tcPr>
          <w:p w14:paraId="36E5204B" w14:textId="07D1B703" w:rsidR="00F372C2" w:rsidRPr="00DB6666" w:rsidRDefault="00F372C2" w:rsidP="00F372C2">
            <w:pPr>
              <w:spacing w:after="0"/>
              <w:ind w:left="284" w:right="0"/>
              <w:rPr>
                <w:szCs w:val="22"/>
              </w:rPr>
            </w:pPr>
            <w:r w:rsidRPr="00DB6666">
              <w:rPr>
                <w:szCs w:val="22"/>
              </w:rPr>
              <w:t>Individual interview</w:t>
            </w:r>
          </w:p>
        </w:tc>
      </w:tr>
      <w:tr w:rsidR="00F372C2" w:rsidRPr="00F372C2" w14:paraId="2588B613" w14:textId="77777777" w:rsidTr="00990C19">
        <w:trPr>
          <w:trHeight w:val="246"/>
        </w:trPr>
        <w:tc>
          <w:tcPr>
            <w:tcW w:w="5245" w:type="dxa"/>
          </w:tcPr>
          <w:p w14:paraId="267BF2CA" w14:textId="77777777" w:rsidR="00F372C2" w:rsidRPr="00DB6666" w:rsidRDefault="00F372C2" w:rsidP="00F372C2">
            <w:pPr>
              <w:spacing w:after="0"/>
              <w:ind w:left="0" w:right="0"/>
              <w:rPr>
                <w:szCs w:val="22"/>
              </w:rPr>
            </w:pPr>
            <w:r w:rsidRPr="00DB6666">
              <w:rPr>
                <w:szCs w:val="22"/>
              </w:rPr>
              <w:t>Totally and Permanently Incapacitated Veterans (TPI)</w:t>
            </w:r>
          </w:p>
        </w:tc>
        <w:tc>
          <w:tcPr>
            <w:tcW w:w="3817" w:type="dxa"/>
          </w:tcPr>
          <w:p w14:paraId="7C1DFD3B" w14:textId="2B12304D" w:rsidR="00F372C2" w:rsidRPr="00DB6666" w:rsidRDefault="00F372C2" w:rsidP="00F372C2">
            <w:pPr>
              <w:spacing w:after="0"/>
              <w:ind w:left="284" w:right="0"/>
              <w:rPr>
                <w:szCs w:val="22"/>
              </w:rPr>
            </w:pPr>
            <w:r w:rsidRPr="00DB6666">
              <w:rPr>
                <w:szCs w:val="22"/>
              </w:rPr>
              <w:t>Individual interview</w:t>
            </w:r>
          </w:p>
        </w:tc>
      </w:tr>
    </w:tbl>
    <w:p w14:paraId="4E7BDE5A" w14:textId="7E399D04" w:rsidR="00941805" w:rsidRPr="00941805" w:rsidRDefault="00941805" w:rsidP="00941805">
      <w:pPr>
        <w:spacing w:before="120"/>
        <w:rPr>
          <w:color w:val="595959" w:themeColor="text1" w:themeTint="A6"/>
        </w:rPr>
      </w:pPr>
      <w:r w:rsidRPr="00941805">
        <w:rPr>
          <w:color w:val="595959" w:themeColor="text1" w:themeTint="A6"/>
        </w:rPr>
        <w:t>Aged care and health peak bodies</w:t>
      </w:r>
    </w:p>
    <w:tbl>
      <w:tblPr>
        <w:tblStyle w:val="Deloittetable"/>
        <w:tblW w:w="9062" w:type="dxa"/>
        <w:tblLook w:val="04A0" w:firstRow="1" w:lastRow="0" w:firstColumn="1" w:lastColumn="0" w:noHBand="0" w:noVBand="1"/>
      </w:tblPr>
      <w:tblGrid>
        <w:gridCol w:w="5245"/>
        <w:gridCol w:w="3817"/>
      </w:tblGrid>
      <w:tr w:rsidR="00941805" w:rsidRPr="00F372C2" w14:paraId="165845E7" w14:textId="77777777" w:rsidTr="00990C19">
        <w:trPr>
          <w:cnfStyle w:val="100000000000" w:firstRow="1" w:lastRow="0" w:firstColumn="0" w:lastColumn="0" w:oddVBand="0" w:evenVBand="0" w:oddHBand="0" w:evenHBand="0" w:firstRowFirstColumn="0" w:firstRowLastColumn="0" w:lastRowFirstColumn="0" w:lastRowLastColumn="0"/>
          <w:trHeight w:val="246"/>
        </w:trPr>
        <w:tc>
          <w:tcPr>
            <w:tcW w:w="5245" w:type="dxa"/>
          </w:tcPr>
          <w:p w14:paraId="150B5CA5" w14:textId="6DAFFCB3" w:rsidR="00941805" w:rsidRPr="00DB6666" w:rsidRDefault="00941805" w:rsidP="00941805">
            <w:pPr>
              <w:spacing w:after="0"/>
              <w:rPr>
                <w:szCs w:val="22"/>
              </w:rPr>
            </w:pPr>
            <w:r w:rsidRPr="00CD081D">
              <w:rPr>
                <w:b/>
                <w:bCs/>
              </w:rPr>
              <w:t>Stakeholder</w:t>
            </w:r>
          </w:p>
        </w:tc>
        <w:tc>
          <w:tcPr>
            <w:tcW w:w="3817" w:type="dxa"/>
          </w:tcPr>
          <w:p w14:paraId="6FEDF18B" w14:textId="137E48FB" w:rsidR="00941805" w:rsidRPr="00DB6666" w:rsidRDefault="00941805" w:rsidP="00941805">
            <w:pPr>
              <w:spacing w:after="0"/>
              <w:ind w:left="284"/>
              <w:rPr>
                <w:szCs w:val="22"/>
              </w:rPr>
            </w:pPr>
            <w:r w:rsidRPr="00CD081D">
              <w:rPr>
                <w:b/>
                <w:bCs/>
              </w:rPr>
              <w:t>Format</w:t>
            </w:r>
          </w:p>
        </w:tc>
      </w:tr>
      <w:tr w:rsidR="00F372C2" w:rsidRPr="00F372C2" w14:paraId="0929B4B6" w14:textId="77777777" w:rsidTr="00990C19">
        <w:trPr>
          <w:trHeight w:val="246"/>
        </w:trPr>
        <w:tc>
          <w:tcPr>
            <w:tcW w:w="5245" w:type="dxa"/>
          </w:tcPr>
          <w:p w14:paraId="5E35FDF9" w14:textId="77777777" w:rsidR="00F372C2" w:rsidRPr="00DB6666" w:rsidRDefault="00F372C2" w:rsidP="00F372C2">
            <w:pPr>
              <w:spacing w:after="0"/>
              <w:ind w:left="0" w:right="0"/>
              <w:rPr>
                <w:szCs w:val="22"/>
              </w:rPr>
            </w:pPr>
            <w:r w:rsidRPr="00DB6666">
              <w:rPr>
                <w:szCs w:val="22"/>
              </w:rPr>
              <w:t>Mental Health Australia</w:t>
            </w:r>
          </w:p>
        </w:tc>
        <w:tc>
          <w:tcPr>
            <w:tcW w:w="3817" w:type="dxa"/>
          </w:tcPr>
          <w:p w14:paraId="585D2A39" w14:textId="73D3BDEE" w:rsidR="00F372C2" w:rsidRPr="00DB6666" w:rsidRDefault="00F372C2" w:rsidP="00F372C2">
            <w:pPr>
              <w:spacing w:after="0"/>
              <w:ind w:left="284" w:right="0"/>
              <w:rPr>
                <w:szCs w:val="22"/>
              </w:rPr>
            </w:pPr>
            <w:r w:rsidRPr="00DB6666">
              <w:rPr>
                <w:szCs w:val="22"/>
              </w:rPr>
              <w:t>Focus group</w:t>
            </w:r>
          </w:p>
        </w:tc>
      </w:tr>
      <w:tr w:rsidR="00941805" w:rsidRPr="00F372C2" w14:paraId="52D612A8" w14:textId="77777777" w:rsidTr="00990C19">
        <w:trPr>
          <w:trHeight w:val="246"/>
        </w:trPr>
        <w:tc>
          <w:tcPr>
            <w:tcW w:w="5245" w:type="dxa"/>
          </w:tcPr>
          <w:p w14:paraId="20066217" w14:textId="77777777" w:rsidR="00941805" w:rsidRPr="00DB6666" w:rsidRDefault="00941805" w:rsidP="00941805">
            <w:pPr>
              <w:spacing w:after="0"/>
              <w:ind w:left="0" w:right="0"/>
              <w:rPr>
                <w:szCs w:val="22"/>
              </w:rPr>
            </w:pPr>
            <w:r w:rsidRPr="00DB6666">
              <w:rPr>
                <w:szCs w:val="22"/>
              </w:rPr>
              <w:t>Australia Federation for Disability Organisations (AFDO)</w:t>
            </w:r>
          </w:p>
        </w:tc>
        <w:tc>
          <w:tcPr>
            <w:tcW w:w="3817" w:type="dxa"/>
          </w:tcPr>
          <w:p w14:paraId="2FEDDA22" w14:textId="012CF9B0" w:rsidR="00941805" w:rsidRPr="00DB6666" w:rsidRDefault="00941805" w:rsidP="00941805">
            <w:pPr>
              <w:spacing w:after="0"/>
              <w:ind w:left="284" w:right="0"/>
              <w:rPr>
                <w:szCs w:val="22"/>
              </w:rPr>
            </w:pPr>
            <w:r w:rsidRPr="002E2384">
              <w:rPr>
                <w:szCs w:val="22"/>
              </w:rPr>
              <w:t>Focus group</w:t>
            </w:r>
          </w:p>
        </w:tc>
      </w:tr>
      <w:tr w:rsidR="00941805" w:rsidRPr="00F372C2" w14:paraId="5D43E92F" w14:textId="77777777" w:rsidTr="00990C19">
        <w:trPr>
          <w:trHeight w:val="246"/>
        </w:trPr>
        <w:tc>
          <w:tcPr>
            <w:tcW w:w="5245" w:type="dxa"/>
          </w:tcPr>
          <w:p w14:paraId="79969BBB" w14:textId="77777777" w:rsidR="00941805" w:rsidRPr="00DB6666" w:rsidRDefault="00941805" w:rsidP="00941805">
            <w:pPr>
              <w:spacing w:after="0"/>
              <w:ind w:left="0" w:right="0"/>
              <w:rPr>
                <w:szCs w:val="22"/>
              </w:rPr>
            </w:pPr>
            <w:r w:rsidRPr="00DB6666">
              <w:rPr>
                <w:szCs w:val="22"/>
              </w:rPr>
              <w:t>Aged and Community Services Australia</w:t>
            </w:r>
          </w:p>
        </w:tc>
        <w:tc>
          <w:tcPr>
            <w:tcW w:w="3817" w:type="dxa"/>
          </w:tcPr>
          <w:p w14:paraId="21E159EF" w14:textId="294FAE43" w:rsidR="00941805" w:rsidRPr="00DB6666" w:rsidRDefault="00941805" w:rsidP="00941805">
            <w:pPr>
              <w:spacing w:after="0"/>
              <w:ind w:left="284" w:right="0"/>
              <w:rPr>
                <w:szCs w:val="22"/>
              </w:rPr>
            </w:pPr>
            <w:r w:rsidRPr="002E2384">
              <w:rPr>
                <w:szCs w:val="22"/>
              </w:rPr>
              <w:t>Focus group</w:t>
            </w:r>
          </w:p>
        </w:tc>
      </w:tr>
      <w:tr w:rsidR="00941805" w:rsidRPr="00F372C2" w14:paraId="1BEE0D18" w14:textId="77777777" w:rsidTr="00990C19">
        <w:trPr>
          <w:trHeight w:val="246"/>
        </w:trPr>
        <w:tc>
          <w:tcPr>
            <w:tcW w:w="5245" w:type="dxa"/>
          </w:tcPr>
          <w:p w14:paraId="1155953B" w14:textId="77777777" w:rsidR="00941805" w:rsidRPr="00DB6666" w:rsidRDefault="00941805" w:rsidP="00941805">
            <w:pPr>
              <w:spacing w:after="0"/>
              <w:ind w:left="0" w:right="0"/>
              <w:rPr>
                <w:szCs w:val="22"/>
              </w:rPr>
            </w:pPr>
            <w:r w:rsidRPr="00DB6666">
              <w:rPr>
                <w:szCs w:val="22"/>
              </w:rPr>
              <w:t>Anglicare Australia</w:t>
            </w:r>
          </w:p>
        </w:tc>
        <w:tc>
          <w:tcPr>
            <w:tcW w:w="3817" w:type="dxa"/>
          </w:tcPr>
          <w:p w14:paraId="1B4AB427" w14:textId="70DCF769" w:rsidR="00941805" w:rsidRPr="00DB6666" w:rsidRDefault="00941805" w:rsidP="00941805">
            <w:pPr>
              <w:spacing w:after="0"/>
              <w:ind w:left="284" w:right="0"/>
              <w:rPr>
                <w:szCs w:val="22"/>
              </w:rPr>
            </w:pPr>
            <w:r w:rsidRPr="002E2384">
              <w:rPr>
                <w:szCs w:val="22"/>
              </w:rPr>
              <w:t>Focus group</w:t>
            </w:r>
          </w:p>
        </w:tc>
      </w:tr>
      <w:tr w:rsidR="00941805" w:rsidRPr="00F372C2" w14:paraId="1631F183" w14:textId="77777777" w:rsidTr="00990C19">
        <w:trPr>
          <w:trHeight w:val="246"/>
        </w:trPr>
        <w:tc>
          <w:tcPr>
            <w:tcW w:w="5245" w:type="dxa"/>
          </w:tcPr>
          <w:p w14:paraId="16790BCB" w14:textId="77777777" w:rsidR="00941805" w:rsidRPr="00DB6666" w:rsidRDefault="00941805" w:rsidP="00941805">
            <w:pPr>
              <w:spacing w:after="0"/>
              <w:ind w:left="0" w:right="0"/>
              <w:rPr>
                <w:szCs w:val="22"/>
              </w:rPr>
            </w:pPr>
            <w:r w:rsidRPr="00DB6666">
              <w:rPr>
                <w:szCs w:val="22"/>
              </w:rPr>
              <w:t>Leading Age Services Australia (LASA)</w:t>
            </w:r>
          </w:p>
        </w:tc>
        <w:tc>
          <w:tcPr>
            <w:tcW w:w="3817" w:type="dxa"/>
          </w:tcPr>
          <w:p w14:paraId="3CC61575" w14:textId="680C6463" w:rsidR="00941805" w:rsidRPr="00DB6666" w:rsidRDefault="00941805" w:rsidP="00941805">
            <w:pPr>
              <w:spacing w:after="0"/>
              <w:ind w:left="284" w:right="0"/>
              <w:rPr>
                <w:szCs w:val="22"/>
              </w:rPr>
            </w:pPr>
            <w:r w:rsidRPr="002E2384">
              <w:rPr>
                <w:szCs w:val="22"/>
              </w:rPr>
              <w:t>Focus group</w:t>
            </w:r>
          </w:p>
        </w:tc>
      </w:tr>
    </w:tbl>
    <w:p w14:paraId="3FB129F0" w14:textId="097853C4" w:rsidR="00941805" w:rsidRPr="00941805" w:rsidRDefault="00941805" w:rsidP="00941805">
      <w:pPr>
        <w:spacing w:before="120"/>
        <w:rPr>
          <w:color w:val="595959" w:themeColor="text1" w:themeTint="A6"/>
        </w:rPr>
      </w:pPr>
      <w:r w:rsidRPr="00941805">
        <w:rPr>
          <w:color w:val="595959" w:themeColor="text1" w:themeTint="A6"/>
        </w:rPr>
        <w:t>Government and Jurisdictional bodies</w:t>
      </w:r>
    </w:p>
    <w:tbl>
      <w:tblPr>
        <w:tblStyle w:val="Deloittetable"/>
        <w:tblW w:w="9062" w:type="dxa"/>
        <w:tblLook w:val="04A0" w:firstRow="1" w:lastRow="0" w:firstColumn="1" w:lastColumn="0" w:noHBand="0" w:noVBand="1"/>
      </w:tblPr>
      <w:tblGrid>
        <w:gridCol w:w="5245"/>
        <w:gridCol w:w="3817"/>
      </w:tblGrid>
      <w:tr w:rsidR="00941805" w:rsidRPr="00F372C2" w14:paraId="20B0C026" w14:textId="77777777" w:rsidTr="00990C19">
        <w:trPr>
          <w:cnfStyle w:val="100000000000" w:firstRow="1" w:lastRow="0" w:firstColumn="0" w:lastColumn="0" w:oddVBand="0" w:evenVBand="0" w:oddHBand="0" w:evenHBand="0" w:firstRowFirstColumn="0" w:firstRowLastColumn="0" w:lastRowFirstColumn="0" w:lastRowLastColumn="0"/>
          <w:trHeight w:val="246"/>
        </w:trPr>
        <w:tc>
          <w:tcPr>
            <w:tcW w:w="5245" w:type="dxa"/>
          </w:tcPr>
          <w:p w14:paraId="2903C73B" w14:textId="528A1D5F" w:rsidR="00941805" w:rsidRPr="00941805" w:rsidRDefault="00941805" w:rsidP="00941805">
            <w:pPr>
              <w:spacing w:after="0"/>
              <w:rPr>
                <w:b/>
                <w:bCs/>
                <w:szCs w:val="22"/>
              </w:rPr>
            </w:pPr>
            <w:r w:rsidRPr="00941805">
              <w:rPr>
                <w:b/>
                <w:bCs/>
              </w:rPr>
              <w:t>Stakeholder</w:t>
            </w:r>
          </w:p>
        </w:tc>
        <w:tc>
          <w:tcPr>
            <w:tcW w:w="3817" w:type="dxa"/>
          </w:tcPr>
          <w:p w14:paraId="10FEF95B" w14:textId="17959550" w:rsidR="00941805" w:rsidRPr="00941805" w:rsidRDefault="00941805" w:rsidP="00941805">
            <w:pPr>
              <w:spacing w:after="0"/>
              <w:ind w:left="284"/>
              <w:rPr>
                <w:b/>
                <w:bCs/>
                <w:szCs w:val="22"/>
              </w:rPr>
            </w:pPr>
            <w:r w:rsidRPr="00941805">
              <w:rPr>
                <w:b/>
                <w:bCs/>
              </w:rPr>
              <w:t>Format</w:t>
            </w:r>
          </w:p>
        </w:tc>
      </w:tr>
      <w:tr w:rsidR="00F372C2" w:rsidRPr="00F372C2" w14:paraId="72DB79BD" w14:textId="77777777" w:rsidTr="00990C19">
        <w:trPr>
          <w:trHeight w:val="246"/>
        </w:trPr>
        <w:tc>
          <w:tcPr>
            <w:tcW w:w="5245" w:type="dxa"/>
          </w:tcPr>
          <w:p w14:paraId="28597C10" w14:textId="77777777" w:rsidR="00F372C2" w:rsidRPr="00DB6666" w:rsidRDefault="00F372C2" w:rsidP="00F372C2">
            <w:pPr>
              <w:spacing w:after="0"/>
              <w:ind w:left="0" w:right="0"/>
              <w:rPr>
                <w:szCs w:val="22"/>
              </w:rPr>
            </w:pPr>
            <w:r w:rsidRPr="00DB6666">
              <w:rPr>
                <w:szCs w:val="22"/>
              </w:rPr>
              <w:t>Brisbane North Primary Health Network</w:t>
            </w:r>
          </w:p>
        </w:tc>
        <w:tc>
          <w:tcPr>
            <w:tcW w:w="3817" w:type="dxa"/>
          </w:tcPr>
          <w:p w14:paraId="0BF937B9" w14:textId="615DDC08" w:rsidR="00F372C2" w:rsidRPr="00DB6666" w:rsidRDefault="00F372C2" w:rsidP="00F372C2">
            <w:pPr>
              <w:spacing w:after="0"/>
              <w:ind w:left="284" w:right="0"/>
              <w:rPr>
                <w:szCs w:val="22"/>
              </w:rPr>
            </w:pPr>
            <w:r w:rsidRPr="00DB6666">
              <w:rPr>
                <w:szCs w:val="22"/>
              </w:rPr>
              <w:t>Individual interview</w:t>
            </w:r>
          </w:p>
        </w:tc>
      </w:tr>
      <w:tr w:rsidR="00F372C2" w:rsidRPr="00F372C2" w14:paraId="418E5AC1" w14:textId="77777777" w:rsidTr="00990C19">
        <w:trPr>
          <w:trHeight w:val="246"/>
        </w:trPr>
        <w:tc>
          <w:tcPr>
            <w:tcW w:w="5245" w:type="dxa"/>
          </w:tcPr>
          <w:p w14:paraId="68DA3714" w14:textId="77777777" w:rsidR="00F372C2" w:rsidRPr="00DB6666" w:rsidRDefault="00F372C2" w:rsidP="00F372C2">
            <w:pPr>
              <w:spacing w:after="0"/>
              <w:ind w:left="0" w:right="0"/>
              <w:rPr>
                <w:szCs w:val="22"/>
              </w:rPr>
            </w:pPr>
            <w:r w:rsidRPr="00DB6666">
              <w:rPr>
                <w:szCs w:val="22"/>
              </w:rPr>
              <w:t>Department of Health Victoria</w:t>
            </w:r>
          </w:p>
        </w:tc>
        <w:tc>
          <w:tcPr>
            <w:tcW w:w="3817" w:type="dxa"/>
          </w:tcPr>
          <w:p w14:paraId="167FD801" w14:textId="68CF0CF9" w:rsidR="00F372C2" w:rsidRPr="00DB6666" w:rsidRDefault="00F372C2" w:rsidP="00F372C2">
            <w:pPr>
              <w:spacing w:after="0"/>
              <w:ind w:left="284" w:right="0"/>
              <w:rPr>
                <w:szCs w:val="22"/>
              </w:rPr>
            </w:pPr>
            <w:r w:rsidRPr="00DB6666">
              <w:rPr>
                <w:szCs w:val="22"/>
              </w:rPr>
              <w:t>Individual interview</w:t>
            </w:r>
          </w:p>
        </w:tc>
      </w:tr>
      <w:tr w:rsidR="00F372C2" w:rsidRPr="00F372C2" w14:paraId="5E9314ED" w14:textId="77777777" w:rsidTr="00990C19">
        <w:trPr>
          <w:trHeight w:val="246"/>
        </w:trPr>
        <w:tc>
          <w:tcPr>
            <w:tcW w:w="5245" w:type="dxa"/>
          </w:tcPr>
          <w:p w14:paraId="0D3C8764" w14:textId="77777777" w:rsidR="00F372C2" w:rsidRPr="00DB6666" w:rsidRDefault="00F372C2" w:rsidP="00F372C2">
            <w:pPr>
              <w:spacing w:after="0"/>
              <w:ind w:left="0" w:right="0"/>
              <w:rPr>
                <w:szCs w:val="22"/>
              </w:rPr>
            </w:pPr>
            <w:r w:rsidRPr="00DB6666">
              <w:rPr>
                <w:szCs w:val="22"/>
              </w:rPr>
              <w:t>Commissioner for Senior Victorians</w:t>
            </w:r>
          </w:p>
        </w:tc>
        <w:tc>
          <w:tcPr>
            <w:tcW w:w="3817" w:type="dxa"/>
          </w:tcPr>
          <w:p w14:paraId="6622C2AB" w14:textId="0876E615" w:rsidR="00F372C2" w:rsidRPr="00DB6666" w:rsidRDefault="00F372C2" w:rsidP="00F372C2">
            <w:pPr>
              <w:spacing w:after="0"/>
              <w:ind w:left="284" w:right="0"/>
              <w:rPr>
                <w:szCs w:val="22"/>
              </w:rPr>
            </w:pPr>
            <w:r w:rsidRPr="00DB6666">
              <w:rPr>
                <w:szCs w:val="22"/>
              </w:rPr>
              <w:t>Individual interview</w:t>
            </w:r>
          </w:p>
        </w:tc>
      </w:tr>
      <w:tr w:rsidR="00F372C2" w:rsidRPr="00F372C2" w14:paraId="4490089F" w14:textId="77777777" w:rsidTr="00990C19">
        <w:trPr>
          <w:trHeight w:val="246"/>
        </w:trPr>
        <w:tc>
          <w:tcPr>
            <w:tcW w:w="5245" w:type="dxa"/>
          </w:tcPr>
          <w:p w14:paraId="4B96BD23" w14:textId="77777777" w:rsidR="00F372C2" w:rsidRPr="00DB6666" w:rsidRDefault="00F372C2" w:rsidP="00F372C2">
            <w:pPr>
              <w:spacing w:after="0"/>
              <w:ind w:left="0" w:right="0"/>
              <w:rPr>
                <w:szCs w:val="22"/>
              </w:rPr>
            </w:pPr>
            <w:r w:rsidRPr="00DB6666">
              <w:rPr>
                <w:szCs w:val="22"/>
              </w:rPr>
              <w:t>WA Primary Health Alliance</w:t>
            </w:r>
          </w:p>
        </w:tc>
        <w:tc>
          <w:tcPr>
            <w:tcW w:w="3817" w:type="dxa"/>
          </w:tcPr>
          <w:p w14:paraId="70E2B6E9" w14:textId="77777777" w:rsidR="00F372C2" w:rsidRPr="00DB6666" w:rsidRDefault="00F372C2" w:rsidP="00F372C2">
            <w:pPr>
              <w:spacing w:after="0"/>
              <w:ind w:left="284" w:right="0"/>
              <w:rPr>
                <w:szCs w:val="22"/>
              </w:rPr>
            </w:pPr>
            <w:r w:rsidRPr="00DB6666">
              <w:rPr>
                <w:szCs w:val="22"/>
              </w:rPr>
              <w:t xml:space="preserve">Responses provided as comments on a pdf of the stakeholder questions </w:t>
            </w:r>
          </w:p>
        </w:tc>
      </w:tr>
      <w:tr w:rsidR="00F372C2" w:rsidRPr="00F372C2" w14:paraId="20DCFF3B" w14:textId="77777777" w:rsidTr="00990C19">
        <w:trPr>
          <w:trHeight w:val="246"/>
        </w:trPr>
        <w:tc>
          <w:tcPr>
            <w:tcW w:w="5245" w:type="dxa"/>
          </w:tcPr>
          <w:p w14:paraId="64A79EE4" w14:textId="77777777" w:rsidR="00F372C2" w:rsidRPr="00DB6666" w:rsidRDefault="00F372C2" w:rsidP="00F372C2">
            <w:pPr>
              <w:spacing w:after="0"/>
              <w:ind w:left="0" w:right="0"/>
              <w:rPr>
                <w:szCs w:val="22"/>
              </w:rPr>
            </w:pPr>
            <w:r w:rsidRPr="00DB6666">
              <w:rPr>
                <w:szCs w:val="22"/>
              </w:rPr>
              <w:t>WA Country Health Service</w:t>
            </w:r>
          </w:p>
        </w:tc>
        <w:tc>
          <w:tcPr>
            <w:tcW w:w="3817" w:type="dxa"/>
          </w:tcPr>
          <w:p w14:paraId="0D877696" w14:textId="54656142" w:rsidR="00F372C2" w:rsidRPr="00DB6666" w:rsidRDefault="00F372C2" w:rsidP="00F372C2">
            <w:pPr>
              <w:spacing w:after="0"/>
              <w:ind w:left="284" w:right="0"/>
              <w:rPr>
                <w:szCs w:val="22"/>
              </w:rPr>
            </w:pPr>
            <w:r w:rsidRPr="00DB6666">
              <w:rPr>
                <w:szCs w:val="22"/>
              </w:rPr>
              <w:t>Individual interview</w:t>
            </w:r>
          </w:p>
        </w:tc>
      </w:tr>
      <w:tr w:rsidR="00F372C2" w:rsidRPr="00F372C2" w14:paraId="7892F4F8" w14:textId="77777777" w:rsidTr="00990C19">
        <w:trPr>
          <w:trHeight w:val="246"/>
        </w:trPr>
        <w:tc>
          <w:tcPr>
            <w:tcW w:w="5245" w:type="dxa"/>
          </w:tcPr>
          <w:p w14:paraId="593850C0" w14:textId="77777777" w:rsidR="00F372C2" w:rsidRPr="00DB6666" w:rsidRDefault="00F372C2" w:rsidP="00F372C2">
            <w:pPr>
              <w:spacing w:after="0"/>
              <w:ind w:left="0" w:right="0"/>
              <w:rPr>
                <w:szCs w:val="22"/>
              </w:rPr>
            </w:pPr>
            <w:r w:rsidRPr="00DB6666">
              <w:rPr>
                <w:szCs w:val="22"/>
              </w:rPr>
              <w:t>Department of Veteran Affairs (DVA)</w:t>
            </w:r>
          </w:p>
        </w:tc>
        <w:tc>
          <w:tcPr>
            <w:tcW w:w="3817" w:type="dxa"/>
          </w:tcPr>
          <w:p w14:paraId="607EB92E" w14:textId="72B5E74F" w:rsidR="00F372C2" w:rsidRPr="00DB6666" w:rsidRDefault="00C94BEB" w:rsidP="00F372C2">
            <w:pPr>
              <w:spacing w:after="0"/>
              <w:ind w:left="284" w:right="0"/>
              <w:rPr>
                <w:szCs w:val="22"/>
              </w:rPr>
            </w:pPr>
            <w:r w:rsidRPr="00DB6666">
              <w:rPr>
                <w:szCs w:val="22"/>
              </w:rPr>
              <w:t>Individual interview</w:t>
            </w:r>
          </w:p>
        </w:tc>
      </w:tr>
    </w:tbl>
    <w:p w14:paraId="422E8218" w14:textId="73C4AEC7" w:rsidR="00941805" w:rsidRDefault="00941805" w:rsidP="00941805">
      <w:pPr>
        <w:spacing w:before="120"/>
      </w:pPr>
      <w:r w:rsidRPr="00941805">
        <w:rPr>
          <w:color w:val="595959" w:themeColor="text1" w:themeTint="A6"/>
        </w:rPr>
        <w:t>Service providers and other bodies</w:t>
      </w:r>
    </w:p>
    <w:tbl>
      <w:tblPr>
        <w:tblStyle w:val="Deloittetable"/>
        <w:tblW w:w="9062" w:type="dxa"/>
        <w:tblLook w:val="04A0" w:firstRow="1" w:lastRow="0" w:firstColumn="1" w:lastColumn="0" w:noHBand="0" w:noVBand="1"/>
      </w:tblPr>
      <w:tblGrid>
        <w:gridCol w:w="5245"/>
        <w:gridCol w:w="3817"/>
      </w:tblGrid>
      <w:tr w:rsidR="00941805" w:rsidRPr="00F372C2" w14:paraId="265AFD1E" w14:textId="77777777" w:rsidTr="00990C19">
        <w:trPr>
          <w:cnfStyle w:val="100000000000" w:firstRow="1" w:lastRow="0" w:firstColumn="0" w:lastColumn="0" w:oddVBand="0" w:evenVBand="0" w:oddHBand="0" w:evenHBand="0" w:firstRowFirstColumn="0" w:firstRowLastColumn="0" w:lastRowFirstColumn="0" w:lastRowLastColumn="0"/>
          <w:trHeight w:val="246"/>
        </w:trPr>
        <w:tc>
          <w:tcPr>
            <w:tcW w:w="5245" w:type="dxa"/>
          </w:tcPr>
          <w:p w14:paraId="5ED0D2B2" w14:textId="64CFE01E" w:rsidR="00941805" w:rsidRPr="00DB6666" w:rsidRDefault="00941805" w:rsidP="00941805">
            <w:pPr>
              <w:spacing w:after="0"/>
              <w:rPr>
                <w:szCs w:val="22"/>
              </w:rPr>
            </w:pPr>
            <w:r w:rsidRPr="00941805">
              <w:rPr>
                <w:b/>
                <w:bCs/>
              </w:rPr>
              <w:t>Stakeholder</w:t>
            </w:r>
          </w:p>
        </w:tc>
        <w:tc>
          <w:tcPr>
            <w:tcW w:w="3817" w:type="dxa"/>
          </w:tcPr>
          <w:p w14:paraId="0C2FF1C6" w14:textId="15D5CCE5" w:rsidR="00941805" w:rsidRPr="00DB6666" w:rsidRDefault="00941805" w:rsidP="00941805">
            <w:pPr>
              <w:spacing w:after="0"/>
              <w:ind w:left="284"/>
              <w:rPr>
                <w:szCs w:val="22"/>
              </w:rPr>
            </w:pPr>
            <w:r w:rsidRPr="00941805">
              <w:rPr>
                <w:b/>
                <w:bCs/>
              </w:rPr>
              <w:t>Format</w:t>
            </w:r>
          </w:p>
        </w:tc>
      </w:tr>
      <w:tr w:rsidR="00F372C2" w:rsidRPr="00F372C2" w14:paraId="657B7B51" w14:textId="77777777" w:rsidTr="00990C19">
        <w:trPr>
          <w:trHeight w:val="246"/>
        </w:trPr>
        <w:tc>
          <w:tcPr>
            <w:tcW w:w="5245" w:type="dxa"/>
          </w:tcPr>
          <w:p w14:paraId="0CA145B7" w14:textId="77777777" w:rsidR="00F372C2" w:rsidRPr="00DB6666" w:rsidRDefault="00F372C2" w:rsidP="00F372C2">
            <w:pPr>
              <w:spacing w:after="0"/>
              <w:ind w:left="0" w:right="0"/>
              <w:rPr>
                <w:szCs w:val="22"/>
              </w:rPr>
            </w:pPr>
            <w:proofErr w:type="spellStart"/>
            <w:r w:rsidRPr="00DB6666">
              <w:rPr>
                <w:szCs w:val="22"/>
              </w:rPr>
              <w:t>CRANAplus</w:t>
            </w:r>
            <w:proofErr w:type="spellEnd"/>
            <w:r w:rsidRPr="00DB6666">
              <w:rPr>
                <w:szCs w:val="22"/>
              </w:rPr>
              <w:t xml:space="preserve"> – Rural and Remote training</w:t>
            </w:r>
          </w:p>
        </w:tc>
        <w:tc>
          <w:tcPr>
            <w:tcW w:w="3817" w:type="dxa"/>
          </w:tcPr>
          <w:p w14:paraId="21FC41F8" w14:textId="4777B9F6" w:rsidR="00F372C2" w:rsidRPr="00DB6666" w:rsidRDefault="00F372C2" w:rsidP="00F372C2">
            <w:pPr>
              <w:spacing w:after="0"/>
              <w:ind w:left="284" w:right="0"/>
              <w:rPr>
                <w:szCs w:val="22"/>
              </w:rPr>
            </w:pPr>
            <w:r w:rsidRPr="00DB6666">
              <w:rPr>
                <w:szCs w:val="22"/>
              </w:rPr>
              <w:t>Individual interview</w:t>
            </w:r>
          </w:p>
        </w:tc>
      </w:tr>
      <w:tr w:rsidR="00F372C2" w:rsidRPr="00F372C2" w14:paraId="48A9D27B" w14:textId="77777777" w:rsidTr="00990C19">
        <w:trPr>
          <w:trHeight w:val="246"/>
        </w:trPr>
        <w:tc>
          <w:tcPr>
            <w:tcW w:w="5245" w:type="dxa"/>
          </w:tcPr>
          <w:p w14:paraId="4D36C36B" w14:textId="77777777" w:rsidR="00F372C2" w:rsidRPr="00DB6666" w:rsidRDefault="00F372C2" w:rsidP="00F372C2">
            <w:pPr>
              <w:spacing w:after="0"/>
              <w:ind w:left="0" w:right="0"/>
              <w:rPr>
                <w:szCs w:val="22"/>
              </w:rPr>
            </w:pPr>
            <w:r w:rsidRPr="00DB6666">
              <w:rPr>
                <w:szCs w:val="22"/>
              </w:rPr>
              <w:t>Remote Accord</w:t>
            </w:r>
          </w:p>
        </w:tc>
        <w:tc>
          <w:tcPr>
            <w:tcW w:w="3817" w:type="dxa"/>
          </w:tcPr>
          <w:p w14:paraId="48F3B66A" w14:textId="0112B183" w:rsidR="00F372C2" w:rsidRPr="00DB6666" w:rsidRDefault="00F372C2" w:rsidP="00F372C2">
            <w:pPr>
              <w:spacing w:after="0"/>
              <w:ind w:left="284" w:right="0"/>
              <w:rPr>
                <w:szCs w:val="22"/>
              </w:rPr>
            </w:pPr>
            <w:r w:rsidRPr="00DB6666">
              <w:rPr>
                <w:szCs w:val="22"/>
              </w:rPr>
              <w:t>Individual interview</w:t>
            </w:r>
          </w:p>
        </w:tc>
      </w:tr>
    </w:tbl>
    <w:p w14:paraId="7B870D02" w14:textId="0B2C00EF" w:rsidR="00941805" w:rsidRDefault="00941805" w:rsidP="00941805">
      <w:pPr>
        <w:spacing w:before="120"/>
      </w:pPr>
      <w:r w:rsidRPr="00941805">
        <w:rPr>
          <w:b/>
          <w:bCs/>
          <w:color w:val="595959" w:themeColor="text1" w:themeTint="A6"/>
          <w:szCs w:val="22"/>
        </w:rPr>
        <w:t>Subject matter experts (SMEs)</w:t>
      </w:r>
    </w:p>
    <w:tbl>
      <w:tblPr>
        <w:tblStyle w:val="Deloittetable"/>
        <w:tblW w:w="9062" w:type="dxa"/>
        <w:tblLook w:val="04A0" w:firstRow="1" w:lastRow="0" w:firstColumn="1" w:lastColumn="0" w:noHBand="0" w:noVBand="1"/>
      </w:tblPr>
      <w:tblGrid>
        <w:gridCol w:w="5245"/>
        <w:gridCol w:w="3817"/>
      </w:tblGrid>
      <w:tr w:rsidR="00941805" w:rsidRPr="00F372C2" w14:paraId="5E23B62E" w14:textId="77777777" w:rsidTr="00990C19">
        <w:trPr>
          <w:cnfStyle w:val="100000000000" w:firstRow="1" w:lastRow="0" w:firstColumn="0" w:lastColumn="0" w:oddVBand="0" w:evenVBand="0" w:oddHBand="0" w:evenHBand="0" w:firstRowFirstColumn="0" w:firstRowLastColumn="0" w:lastRowFirstColumn="0" w:lastRowLastColumn="0"/>
          <w:trHeight w:val="246"/>
        </w:trPr>
        <w:tc>
          <w:tcPr>
            <w:tcW w:w="5245" w:type="dxa"/>
          </w:tcPr>
          <w:p w14:paraId="45F6FB6F" w14:textId="2972C8D1" w:rsidR="00941805" w:rsidRPr="00DB6666" w:rsidRDefault="00941805" w:rsidP="00941805">
            <w:pPr>
              <w:spacing w:after="0"/>
              <w:rPr>
                <w:szCs w:val="22"/>
              </w:rPr>
            </w:pPr>
            <w:r w:rsidRPr="00941805">
              <w:rPr>
                <w:b/>
                <w:bCs/>
              </w:rPr>
              <w:t>Stakeholder</w:t>
            </w:r>
          </w:p>
        </w:tc>
        <w:tc>
          <w:tcPr>
            <w:tcW w:w="3817" w:type="dxa"/>
          </w:tcPr>
          <w:p w14:paraId="2F189BF4" w14:textId="338ED32B" w:rsidR="00941805" w:rsidRPr="00DB6666" w:rsidRDefault="00941805" w:rsidP="00941805">
            <w:pPr>
              <w:spacing w:after="0"/>
              <w:ind w:left="284"/>
              <w:rPr>
                <w:szCs w:val="22"/>
              </w:rPr>
            </w:pPr>
            <w:r w:rsidRPr="00941805">
              <w:rPr>
                <w:b/>
                <w:bCs/>
              </w:rPr>
              <w:t>Format</w:t>
            </w:r>
          </w:p>
        </w:tc>
      </w:tr>
      <w:tr w:rsidR="00F372C2" w:rsidRPr="00F372C2" w14:paraId="268BDAB9" w14:textId="77777777" w:rsidTr="00990C19">
        <w:trPr>
          <w:trHeight w:val="246"/>
        </w:trPr>
        <w:tc>
          <w:tcPr>
            <w:tcW w:w="5245" w:type="dxa"/>
          </w:tcPr>
          <w:p w14:paraId="61810A9D" w14:textId="77777777" w:rsidR="00F372C2" w:rsidRPr="00DB6666" w:rsidRDefault="00F372C2" w:rsidP="00F372C2">
            <w:pPr>
              <w:spacing w:after="0"/>
              <w:ind w:left="0" w:right="0"/>
              <w:rPr>
                <w:szCs w:val="22"/>
              </w:rPr>
            </w:pPr>
            <w:r w:rsidRPr="00DB6666">
              <w:rPr>
                <w:szCs w:val="22"/>
              </w:rPr>
              <w:t>Dr Catherine Barret (Celebrate Ageing)</w:t>
            </w:r>
          </w:p>
        </w:tc>
        <w:tc>
          <w:tcPr>
            <w:tcW w:w="3817" w:type="dxa"/>
          </w:tcPr>
          <w:p w14:paraId="2E810439" w14:textId="4530B060" w:rsidR="00F372C2" w:rsidRPr="00DB6666" w:rsidRDefault="00F372C2" w:rsidP="00F372C2">
            <w:pPr>
              <w:spacing w:after="0"/>
              <w:ind w:left="284" w:right="0"/>
              <w:rPr>
                <w:szCs w:val="22"/>
              </w:rPr>
            </w:pPr>
            <w:r w:rsidRPr="00DB6666">
              <w:rPr>
                <w:szCs w:val="22"/>
              </w:rPr>
              <w:t>Individual interview</w:t>
            </w:r>
          </w:p>
        </w:tc>
      </w:tr>
      <w:tr w:rsidR="00F372C2" w:rsidRPr="00F372C2" w14:paraId="431EEC37" w14:textId="77777777" w:rsidTr="00990C19">
        <w:trPr>
          <w:trHeight w:val="246"/>
        </w:trPr>
        <w:tc>
          <w:tcPr>
            <w:tcW w:w="5245" w:type="dxa"/>
          </w:tcPr>
          <w:p w14:paraId="5E52A0C7" w14:textId="77777777" w:rsidR="00F372C2" w:rsidRPr="00DB6666" w:rsidRDefault="00F372C2" w:rsidP="00F372C2">
            <w:pPr>
              <w:spacing w:after="0"/>
              <w:ind w:left="0" w:right="0"/>
              <w:rPr>
                <w:szCs w:val="22"/>
              </w:rPr>
            </w:pPr>
            <w:r w:rsidRPr="00DB6666">
              <w:rPr>
                <w:szCs w:val="22"/>
              </w:rPr>
              <w:t>Dr Joseph Ibrahim</w:t>
            </w:r>
          </w:p>
        </w:tc>
        <w:tc>
          <w:tcPr>
            <w:tcW w:w="3817" w:type="dxa"/>
          </w:tcPr>
          <w:p w14:paraId="22EEEDA1" w14:textId="16E265CE" w:rsidR="00F372C2" w:rsidRPr="00DB6666" w:rsidRDefault="00F372C2" w:rsidP="00F372C2">
            <w:pPr>
              <w:spacing w:after="0"/>
              <w:ind w:left="284" w:right="0"/>
              <w:rPr>
                <w:szCs w:val="22"/>
              </w:rPr>
            </w:pPr>
            <w:r w:rsidRPr="00DB6666">
              <w:rPr>
                <w:szCs w:val="22"/>
              </w:rPr>
              <w:t>Individual interview</w:t>
            </w:r>
          </w:p>
        </w:tc>
      </w:tr>
      <w:tr w:rsidR="00F372C2" w:rsidRPr="00F372C2" w14:paraId="1182B266" w14:textId="77777777" w:rsidTr="00990C19">
        <w:trPr>
          <w:trHeight w:val="246"/>
        </w:trPr>
        <w:tc>
          <w:tcPr>
            <w:tcW w:w="5245" w:type="dxa"/>
          </w:tcPr>
          <w:p w14:paraId="1458D2B3" w14:textId="77777777" w:rsidR="00F372C2" w:rsidRPr="00DB6666" w:rsidRDefault="00F372C2" w:rsidP="00F372C2">
            <w:pPr>
              <w:spacing w:after="0"/>
              <w:ind w:left="0" w:right="0"/>
              <w:rPr>
                <w:szCs w:val="22"/>
              </w:rPr>
            </w:pPr>
            <w:r w:rsidRPr="00DB6666">
              <w:rPr>
                <w:szCs w:val="22"/>
              </w:rPr>
              <w:t>Kathy Eager (Director of AHSRI)</w:t>
            </w:r>
          </w:p>
        </w:tc>
        <w:tc>
          <w:tcPr>
            <w:tcW w:w="3817" w:type="dxa"/>
          </w:tcPr>
          <w:p w14:paraId="2E97D2E7" w14:textId="6AF64E32" w:rsidR="00F372C2" w:rsidRPr="00DB6666" w:rsidRDefault="00F372C2" w:rsidP="00F372C2">
            <w:pPr>
              <w:spacing w:after="0"/>
              <w:ind w:left="284" w:right="0"/>
              <w:rPr>
                <w:szCs w:val="22"/>
              </w:rPr>
            </w:pPr>
            <w:r w:rsidRPr="00DB6666">
              <w:rPr>
                <w:szCs w:val="22"/>
              </w:rPr>
              <w:t>Individual interview</w:t>
            </w:r>
          </w:p>
        </w:tc>
      </w:tr>
      <w:tr w:rsidR="00F372C2" w:rsidRPr="00F372C2" w14:paraId="7BE45AD2" w14:textId="77777777" w:rsidTr="00990C19">
        <w:trPr>
          <w:trHeight w:val="246"/>
        </w:trPr>
        <w:tc>
          <w:tcPr>
            <w:tcW w:w="5245" w:type="dxa"/>
          </w:tcPr>
          <w:p w14:paraId="5E02BBA9" w14:textId="77777777" w:rsidR="00F372C2" w:rsidRPr="00DB6666" w:rsidRDefault="00F372C2" w:rsidP="00F372C2">
            <w:pPr>
              <w:spacing w:after="0"/>
              <w:ind w:left="0" w:right="0"/>
              <w:rPr>
                <w:szCs w:val="22"/>
              </w:rPr>
            </w:pPr>
            <w:r w:rsidRPr="00DB6666">
              <w:rPr>
                <w:szCs w:val="22"/>
              </w:rPr>
              <w:t>Dr Barbara Blundell</w:t>
            </w:r>
          </w:p>
        </w:tc>
        <w:tc>
          <w:tcPr>
            <w:tcW w:w="3817" w:type="dxa"/>
          </w:tcPr>
          <w:p w14:paraId="29E61C9C" w14:textId="7DFE1123" w:rsidR="00F372C2" w:rsidRPr="00DB6666" w:rsidRDefault="00F372C2" w:rsidP="00F372C2">
            <w:pPr>
              <w:spacing w:after="0"/>
              <w:ind w:left="284" w:right="0"/>
              <w:rPr>
                <w:szCs w:val="22"/>
              </w:rPr>
            </w:pPr>
            <w:r w:rsidRPr="00DB6666">
              <w:rPr>
                <w:szCs w:val="22"/>
              </w:rPr>
              <w:t>Individual interview</w:t>
            </w:r>
          </w:p>
        </w:tc>
      </w:tr>
    </w:tbl>
    <w:p w14:paraId="1583A12D" w14:textId="01AF7DBC" w:rsidR="00941805" w:rsidRDefault="00941805" w:rsidP="00941805">
      <w:pPr>
        <w:spacing w:before="120"/>
        <w:rPr>
          <w:b/>
          <w:bCs/>
          <w:color w:val="595959" w:themeColor="text1" w:themeTint="A6"/>
          <w:szCs w:val="22"/>
        </w:rPr>
      </w:pPr>
      <w:r w:rsidRPr="00941805">
        <w:rPr>
          <w:b/>
          <w:bCs/>
          <w:color w:val="595959" w:themeColor="text1" w:themeTint="A6"/>
          <w:szCs w:val="22"/>
        </w:rPr>
        <w:t>Stakeholders not attended or declined to participate</w:t>
      </w:r>
    </w:p>
    <w:p w14:paraId="5B734160" w14:textId="77777777" w:rsidR="00941805" w:rsidRDefault="00941805" w:rsidP="00941805">
      <w:pPr>
        <w:spacing w:after="0"/>
        <w:rPr>
          <w:szCs w:val="22"/>
        </w:rPr>
      </w:pPr>
      <w:r w:rsidRPr="00DB6666">
        <w:rPr>
          <w:szCs w:val="22"/>
        </w:rPr>
        <w:t>National Advisory Group for Aboriginal and Torres Strait Islander Aged Care (NAGATSIAC)</w:t>
      </w:r>
      <w:r w:rsidRPr="00941805">
        <w:rPr>
          <w:szCs w:val="22"/>
        </w:rPr>
        <w:t xml:space="preserve"> </w:t>
      </w:r>
    </w:p>
    <w:p w14:paraId="2DCE1583" w14:textId="4C32FF26" w:rsidR="00941805" w:rsidRDefault="00941805" w:rsidP="00941805">
      <w:pPr>
        <w:spacing w:after="0"/>
        <w:rPr>
          <w:szCs w:val="22"/>
        </w:rPr>
      </w:pPr>
      <w:r w:rsidRPr="00DB6666">
        <w:rPr>
          <w:szCs w:val="22"/>
        </w:rPr>
        <w:t>Disability Services Australia</w:t>
      </w:r>
    </w:p>
    <w:p w14:paraId="63926617" w14:textId="42C82843" w:rsidR="00941805" w:rsidRDefault="00941805" w:rsidP="00941805">
      <w:pPr>
        <w:spacing w:after="0"/>
        <w:rPr>
          <w:szCs w:val="22"/>
        </w:rPr>
      </w:pPr>
      <w:r w:rsidRPr="00DB6666">
        <w:rPr>
          <w:szCs w:val="22"/>
        </w:rPr>
        <w:t>Uniting Care Australia</w:t>
      </w:r>
    </w:p>
    <w:p w14:paraId="62FD9FA1" w14:textId="5E46C3AF" w:rsidR="00941805" w:rsidRDefault="00941805" w:rsidP="00941805">
      <w:pPr>
        <w:spacing w:after="0"/>
        <w:rPr>
          <w:szCs w:val="22"/>
        </w:rPr>
      </w:pPr>
      <w:r w:rsidRPr="00DB6666">
        <w:rPr>
          <w:szCs w:val="22"/>
        </w:rPr>
        <w:t>Baptist Care Australia</w:t>
      </w:r>
    </w:p>
    <w:p w14:paraId="07BD5E21" w14:textId="429FF62D" w:rsidR="00941805" w:rsidRDefault="00941805" w:rsidP="00941805">
      <w:pPr>
        <w:spacing w:after="0"/>
        <w:rPr>
          <w:szCs w:val="22"/>
        </w:rPr>
      </w:pPr>
      <w:r w:rsidRPr="00DB6666">
        <w:rPr>
          <w:szCs w:val="22"/>
        </w:rPr>
        <w:t>End of Life Direction for Aged Care (ELDAC)</w:t>
      </w:r>
    </w:p>
    <w:p w14:paraId="4C939A20" w14:textId="0EC8AB5F" w:rsidR="00941805" w:rsidRDefault="00941805" w:rsidP="00941805">
      <w:pPr>
        <w:spacing w:after="0"/>
        <w:rPr>
          <w:szCs w:val="22"/>
        </w:rPr>
      </w:pPr>
      <w:r w:rsidRPr="00DB6666">
        <w:rPr>
          <w:szCs w:val="22"/>
        </w:rPr>
        <w:t>Services Australia</w:t>
      </w:r>
    </w:p>
    <w:p w14:paraId="489684DA" w14:textId="0FA5FB9C" w:rsidR="00941805" w:rsidRDefault="00941805" w:rsidP="00941805">
      <w:pPr>
        <w:spacing w:after="0"/>
      </w:pPr>
      <w:r w:rsidRPr="00DB6666">
        <w:rPr>
          <w:szCs w:val="22"/>
        </w:rPr>
        <w:t>Rural and Remote consumers</w:t>
      </w:r>
    </w:p>
    <w:p w14:paraId="4FE5489D" w14:textId="1743DF41" w:rsidR="00317797" w:rsidRPr="00F372C2" w:rsidRDefault="00317797" w:rsidP="00941805">
      <w:pPr>
        <w:pStyle w:val="Appendixhead3"/>
        <w:spacing w:before="120"/>
        <w:rPr>
          <w:szCs w:val="18"/>
          <w:lang w:eastAsia="en-AU"/>
        </w:rPr>
      </w:pPr>
      <w:bookmarkStart w:id="302" w:name="_Toc94771871"/>
      <w:bookmarkStart w:id="303" w:name="_Toc99437559"/>
      <w:r w:rsidRPr="009F745E">
        <w:rPr>
          <w:szCs w:val="18"/>
          <w:lang w:eastAsia="en-AU"/>
        </w:rPr>
        <w:t>Stakeholder consultation questions</w:t>
      </w:r>
      <w:bookmarkEnd w:id="302"/>
      <w:bookmarkEnd w:id="303"/>
    </w:p>
    <w:p w14:paraId="354A13B5" w14:textId="1BB559D4" w:rsidR="00F372C2" w:rsidRPr="00F372C2" w:rsidRDefault="00F372C2" w:rsidP="00F372C2">
      <w:pPr>
        <w:spacing w:after="240"/>
        <w:rPr>
          <w:b/>
          <w:bCs/>
          <w:lang w:val="en-US"/>
        </w:rPr>
      </w:pPr>
      <w:r w:rsidRPr="00F372C2">
        <w:rPr>
          <w:b/>
          <w:bCs/>
          <w:lang w:val="en-US"/>
        </w:rPr>
        <w:t>Trends and awareness of advocacy</w:t>
      </w:r>
    </w:p>
    <w:p w14:paraId="75E2D37A" w14:textId="3EA82C68" w:rsidR="00F372C2" w:rsidRPr="00F372C2" w:rsidRDefault="00F372C2" w:rsidP="00B33B2D">
      <w:pPr>
        <w:pStyle w:val="ListBullet"/>
        <w:rPr>
          <w:lang w:val="en-US"/>
        </w:rPr>
      </w:pPr>
      <w:r w:rsidRPr="00F372C2">
        <w:rPr>
          <w:lang w:val="en-US"/>
        </w:rPr>
        <w:t xml:space="preserve">What trends have you observed in the last 5 years, in aged care advocacy services, and what is driving these? </w:t>
      </w:r>
      <w:proofErr w:type="gramStart"/>
      <w:r w:rsidRPr="00F372C2">
        <w:rPr>
          <w:lang w:val="en-US"/>
        </w:rPr>
        <w:t>E.g.</w:t>
      </w:r>
      <w:proofErr w:type="gramEnd"/>
      <w:r w:rsidRPr="00F372C2">
        <w:rPr>
          <w:lang w:val="en-US"/>
        </w:rPr>
        <w:t xml:space="preserve"> trends in the demand for and / or referral to advocacy services, funding, policy, consumer trends, issues faced by clients etc.</w:t>
      </w:r>
    </w:p>
    <w:p w14:paraId="0C0CB96E" w14:textId="7FA2C7DE" w:rsidR="00F372C2" w:rsidRPr="004E4EEA" w:rsidRDefault="00F372C2" w:rsidP="004E4EEA">
      <w:pPr>
        <w:pStyle w:val="ListBullet"/>
        <w:rPr>
          <w:lang w:val="en-US"/>
        </w:rPr>
      </w:pPr>
      <w:r w:rsidRPr="00F372C2">
        <w:t>Roughly what proportion of the eligible population do you think is aware of NACAP advocacy services, and what is driving or preventing wider awareness?</w:t>
      </w:r>
    </w:p>
    <w:p w14:paraId="5F326AF4" w14:textId="77777777" w:rsidR="00F372C2" w:rsidRPr="002A1AF5" w:rsidRDefault="00F372C2" w:rsidP="002A1AF5">
      <w:pPr>
        <w:pStyle w:val="Heading2un-numbered"/>
        <w:rPr>
          <w:lang w:val="en-US"/>
        </w:rPr>
      </w:pPr>
      <w:r w:rsidRPr="002A1AF5">
        <w:rPr>
          <w:lang w:val="en-US"/>
        </w:rPr>
        <w:t>Use of NACAP services</w:t>
      </w:r>
    </w:p>
    <w:p w14:paraId="2C3E031C" w14:textId="49FDAD79" w:rsidR="00F372C2" w:rsidRPr="00F372C2" w:rsidRDefault="00F372C2" w:rsidP="00B33B2D">
      <w:pPr>
        <w:pStyle w:val="ListBullet"/>
        <w:rPr>
          <w:lang w:val="en-US"/>
        </w:rPr>
      </w:pPr>
      <w:r w:rsidRPr="00F372C2">
        <w:rPr>
          <w:lang w:val="en-US"/>
        </w:rPr>
        <w:t xml:space="preserve">Would you have a sense of the current demand (number of users, their demographics </w:t>
      </w:r>
      <w:proofErr w:type="spellStart"/>
      <w:r w:rsidRPr="00F372C2">
        <w:rPr>
          <w:lang w:val="en-US"/>
        </w:rPr>
        <w:t>etc</w:t>
      </w:r>
      <w:proofErr w:type="spellEnd"/>
      <w:r w:rsidRPr="00F372C2">
        <w:rPr>
          <w:lang w:val="en-US"/>
        </w:rPr>
        <w:t>) for NACAP services? If not, please move to Question 7.</w:t>
      </w:r>
    </w:p>
    <w:p w14:paraId="620A154C" w14:textId="77777777" w:rsidR="00F372C2" w:rsidRPr="00F372C2" w:rsidRDefault="00F372C2" w:rsidP="00B33B2D">
      <w:pPr>
        <w:pStyle w:val="ListBullet"/>
        <w:rPr>
          <w:lang w:val="en-US"/>
        </w:rPr>
      </w:pPr>
      <w:r w:rsidRPr="00F372C2">
        <w:rPr>
          <w:lang w:val="en-US"/>
        </w:rPr>
        <w:t>Could you describe the users who are likely to be seeking NACAP services, such as their demographic characteristics, or common experiences?</w:t>
      </w:r>
    </w:p>
    <w:p w14:paraId="37DFF36E" w14:textId="77777777" w:rsidR="00F372C2" w:rsidRPr="00F372C2" w:rsidRDefault="00F372C2" w:rsidP="00B33B2D">
      <w:pPr>
        <w:pStyle w:val="ListBullet"/>
        <w:rPr>
          <w:lang w:val="en-US"/>
        </w:rPr>
      </w:pPr>
      <w:r w:rsidRPr="00F372C2">
        <w:rPr>
          <w:lang w:val="en-US"/>
        </w:rPr>
        <w:t>How does the need for and access to NACAP services vary across settings, such as in residential care facilities, in home care, before entering aged care?</w:t>
      </w:r>
    </w:p>
    <w:p w14:paraId="258A8F3D" w14:textId="77777777" w:rsidR="00F372C2" w:rsidRPr="00F372C2" w:rsidRDefault="00F372C2" w:rsidP="00B33B2D">
      <w:pPr>
        <w:pStyle w:val="ListBullet"/>
        <w:rPr>
          <w:lang w:val="en-US"/>
        </w:rPr>
      </w:pPr>
      <w:r w:rsidRPr="00F372C2">
        <w:rPr>
          <w:lang w:val="en-US"/>
        </w:rPr>
        <w:t>Could you describe the population cohorts who would benefit the most from the use of NACAP services? How do these vary by service type (advocacy, information, education)?</w:t>
      </w:r>
    </w:p>
    <w:p w14:paraId="4FA5ED8D" w14:textId="77777777" w:rsidR="00F372C2" w:rsidRPr="00F372C2" w:rsidRDefault="00F372C2" w:rsidP="00B33B2D">
      <w:pPr>
        <w:pStyle w:val="ListBullet"/>
        <w:rPr>
          <w:lang w:val="en-US"/>
        </w:rPr>
      </w:pPr>
      <w:r w:rsidRPr="00F372C2">
        <w:rPr>
          <w:lang w:val="en-US"/>
        </w:rPr>
        <w:t xml:space="preserve">Roughly how many people who might benefit from these services are currently not using them, and why? </w:t>
      </w:r>
      <w:proofErr w:type="gramStart"/>
      <w:r w:rsidRPr="00F372C2">
        <w:rPr>
          <w:lang w:val="en-US"/>
        </w:rPr>
        <w:t>E.g.</w:t>
      </w:r>
      <w:proofErr w:type="gramEnd"/>
      <w:r w:rsidRPr="00F372C2">
        <w:rPr>
          <w:lang w:val="en-US"/>
        </w:rPr>
        <w:t xml:space="preserve"> as a proportion of residential aged care population, proportion of existing aged care service providers, etc.</w:t>
      </w:r>
    </w:p>
    <w:p w14:paraId="2B97249F" w14:textId="001C043D" w:rsidR="00F372C2" w:rsidRPr="00F372C2" w:rsidRDefault="00F372C2" w:rsidP="00B33B2D">
      <w:pPr>
        <w:pStyle w:val="ListBullet"/>
        <w:rPr>
          <w:lang w:val="en-US"/>
        </w:rPr>
      </w:pPr>
      <w:r w:rsidRPr="00F372C2">
        <w:rPr>
          <w:lang w:val="en-US"/>
        </w:rPr>
        <w:t xml:space="preserve">Could you describe the population cohorts who are most likely missing out on the services, and what the barriers are? </w:t>
      </w:r>
      <w:proofErr w:type="gramStart"/>
      <w:r w:rsidRPr="00F372C2">
        <w:rPr>
          <w:lang w:val="en-US"/>
        </w:rPr>
        <w:t>E.g.</w:t>
      </w:r>
      <w:proofErr w:type="gramEnd"/>
      <w:r w:rsidRPr="00F372C2">
        <w:rPr>
          <w:lang w:val="en-US"/>
        </w:rPr>
        <w:t xml:space="preserve"> age, health status, geography, language and culture, long wait times.</w:t>
      </w:r>
    </w:p>
    <w:p w14:paraId="6064BEE7" w14:textId="77777777" w:rsidR="00F372C2" w:rsidRPr="00F372C2" w:rsidRDefault="00F372C2" w:rsidP="00B33B2D">
      <w:pPr>
        <w:pStyle w:val="ListBullet"/>
        <w:rPr>
          <w:lang w:val="en-US"/>
        </w:rPr>
      </w:pPr>
      <w:r w:rsidRPr="00F372C2">
        <w:rPr>
          <w:lang w:val="en-US"/>
        </w:rPr>
        <w:t>How do you think NACAP advocacy services are meeting current needs and future requirements?</w:t>
      </w:r>
    </w:p>
    <w:p w14:paraId="59DE5CB9" w14:textId="4736A91A" w:rsidR="00F372C2" w:rsidRPr="002A1AF5" w:rsidRDefault="00F372C2" w:rsidP="002A1AF5">
      <w:pPr>
        <w:pStyle w:val="ListBullet"/>
        <w:rPr>
          <w:lang w:val="en-US"/>
        </w:rPr>
      </w:pPr>
      <w:r w:rsidRPr="00F372C2">
        <w:rPr>
          <w:lang w:val="en-US"/>
        </w:rPr>
        <w:t>What would be the key drivers of the change in demand for NACAP services?</w:t>
      </w:r>
    </w:p>
    <w:p w14:paraId="42980C4F" w14:textId="019E6F58" w:rsidR="00F372C2" w:rsidRPr="00F372C2" w:rsidRDefault="00F372C2" w:rsidP="00CF03CA">
      <w:pPr>
        <w:pStyle w:val="Heading3un-numbered"/>
      </w:pPr>
      <w:proofErr w:type="gramStart"/>
      <w:r w:rsidRPr="00F372C2">
        <w:t>Future outlook</w:t>
      </w:r>
      <w:proofErr w:type="gramEnd"/>
    </w:p>
    <w:p w14:paraId="5E1D0A24" w14:textId="28AC0A77" w:rsidR="00F372C2" w:rsidRPr="00F372C2" w:rsidRDefault="00F372C2" w:rsidP="00B33B2D">
      <w:pPr>
        <w:pStyle w:val="ListBullet"/>
        <w:rPr>
          <w:lang w:val="en-US"/>
        </w:rPr>
      </w:pPr>
      <w:r w:rsidRPr="00F372C2">
        <w:rPr>
          <w:lang w:val="en-US"/>
        </w:rPr>
        <w:t>The demands of Australia’s older population are likely to grow in complexity, with many consumers requiring multiple supports. What complexity trends have you noticed, that may affect how NACAP services are delivered going forward?</w:t>
      </w:r>
    </w:p>
    <w:p w14:paraId="1B1ADFF2" w14:textId="77777777" w:rsidR="00F372C2" w:rsidRPr="00F372C2" w:rsidRDefault="00F372C2" w:rsidP="00B33B2D">
      <w:pPr>
        <w:pStyle w:val="ListBullet"/>
        <w:rPr>
          <w:lang w:val="en-US"/>
        </w:rPr>
      </w:pPr>
      <w:r w:rsidRPr="00F372C2">
        <w:rPr>
          <w:lang w:val="en-US"/>
        </w:rPr>
        <w:t>What key reforms do you expect will affect the demand for NACAP services now, and over the next 5-10 years? How can key reform activities be leveraged to support better outcomes in the future?</w:t>
      </w:r>
    </w:p>
    <w:p w14:paraId="710E0AB9" w14:textId="1E406D41" w:rsidR="00F372C2" w:rsidRPr="00F372C2" w:rsidRDefault="00F372C2" w:rsidP="00B33B2D">
      <w:pPr>
        <w:pStyle w:val="ListBullet"/>
        <w:rPr>
          <w:lang w:val="en-US"/>
        </w:rPr>
      </w:pPr>
      <w:r w:rsidRPr="00F372C2">
        <w:rPr>
          <w:lang w:val="en-US"/>
        </w:rPr>
        <w:t>What are the transition paths to or from NACAP and other services, if any?</w:t>
      </w:r>
    </w:p>
    <w:p w14:paraId="5CF71D27" w14:textId="599402E8" w:rsidR="00B45C27" w:rsidRPr="00CF03CA" w:rsidRDefault="00F372C2" w:rsidP="00836724">
      <w:pPr>
        <w:pStyle w:val="ListBullet"/>
        <w:rPr>
          <w:lang w:val="en-US"/>
        </w:rPr>
      </w:pPr>
      <w:r w:rsidRPr="00F372C2">
        <w:rPr>
          <w:lang w:val="en-US"/>
        </w:rPr>
        <w:t>More generally, what are your projections for the future demand for aged care (by settings, such as residential and in-home care)?</w:t>
      </w:r>
    </w:p>
    <w:p w14:paraId="7ED4D718" w14:textId="14495964" w:rsidR="00836724" w:rsidRPr="00836724" w:rsidRDefault="00836724" w:rsidP="00CF03CA">
      <w:pPr>
        <w:pStyle w:val="Heading3un-numbered"/>
        <w:rPr>
          <w:lang w:val="en-US"/>
        </w:rPr>
      </w:pPr>
      <w:r w:rsidRPr="00836724">
        <w:rPr>
          <w:lang w:val="en-US"/>
        </w:rPr>
        <w:t>Data</w:t>
      </w:r>
    </w:p>
    <w:p w14:paraId="221E133F" w14:textId="0612F734" w:rsidR="00003734" w:rsidRPr="00CF03CA" w:rsidRDefault="00F372C2" w:rsidP="00003734">
      <w:pPr>
        <w:pStyle w:val="ListBullet"/>
        <w:rPr>
          <w:lang w:val="en-US"/>
        </w:rPr>
      </w:pPr>
      <w:r w:rsidRPr="00F372C2">
        <w:rPr>
          <w:lang w:val="en-US"/>
        </w:rPr>
        <w:t>Do you have any suggestions for data sources relevant for estimating current and future</w:t>
      </w:r>
      <w:r w:rsidRPr="00FC4849">
        <w:rPr>
          <w:lang w:val="en-US"/>
        </w:rPr>
        <w:t xml:space="preserve"> demand for NACAP services, including any you might be able to share?</w:t>
      </w:r>
    </w:p>
    <w:p w14:paraId="76D51A58" w14:textId="00A90B53" w:rsidR="00003734" w:rsidRPr="00F372C2" w:rsidRDefault="00003734" w:rsidP="00CF03CA">
      <w:pPr>
        <w:pStyle w:val="Heading3un-numbered"/>
        <w:rPr>
          <w:lang w:val="en-US"/>
        </w:rPr>
      </w:pPr>
      <w:r w:rsidRPr="00F372C2">
        <w:rPr>
          <w:lang w:val="en-US"/>
        </w:rPr>
        <w:t>Delivery of NACAP services</w:t>
      </w:r>
      <w:r>
        <w:rPr>
          <w:lang w:val="en-US"/>
        </w:rPr>
        <w:t xml:space="preserve"> (OPAN stakeholders only)</w:t>
      </w:r>
    </w:p>
    <w:p w14:paraId="6860A697" w14:textId="77777777" w:rsidR="00003734" w:rsidRPr="00317797" w:rsidRDefault="00003734" w:rsidP="00B33B2D">
      <w:pPr>
        <w:pStyle w:val="ListBullet"/>
        <w:rPr>
          <w:lang w:val="en-US"/>
        </w:rPr>
      </w:pPr>
      <w:r w:rsidRPr="00F372C2">
        <w:t>How do you identify and prioritise the population cohorts to deliver NACAP services to?</w:t>
      </w:r>
    </w:p>
    <w:p w14:paraId="48CE6593" w14:textId="4394BD59" w:rsidR="006A16D0" w:rsidRDefault="00003734" w:rsidP="006A16D0">
      <w:pPr>
        <w:pStyle w:val="ListBullet"/>
        <w:rPr>
          <w:lang w:eastAsia="en-AU"/>
        </w:rPr>
      </w:pPr>
      <w:r w:rsidRPr="00317797">
        <w:rPr>
          <w:lang w:val="en-US"/>
        </w:rPr>
        <w:t xml:space="preserve">How can the delivery of NACAP services be strengthened? </w:t>
      </w:r>
      <w:proofErr w:type="gramStart"/>
      <w:r w:rsidRPr="00317797">
        <w:rPr>
          <w:lang w:val="en-US"/>
        </w:rPr>
        <w:t>E.g.</w:t>
      </w:r>
      <w:proofErr w:type="gramEnd"/>
      <w:r w:rsidRPr="00317797">
        <w:rPr>
          <w:lang w:val="en-US"/>
        </w:rPr>
        <w:t xml:space="preserve"> Capacity building and training requirements, increasing complexity among elderly people, lack of awareness and understanding of abuse, understanding changes in the sector.</w:t>
      </w:r>
    </w:p>
    <w:p w14:paraId="163F06C6" w14:textId="2E1DAD6B" w:rsidR="00433498" w:rsidRPr="00174283" w:rsidRDefault="00433498" w:rsidP="00433498">
      <w:pPr>
        <w:pStyle w:val="Heading1"/>
        <w:numPr>
          <w:ilvl w:val="0"/>
          <w:numId w:val="0"/>
        </w:numPr>
      </w:pPr>
      <w:bookmarkStart w:id="304" w:name="_Toc99437560"/>
      <w:r>
        <w:t xml:space="preserve">Appendix B </w:t>
      </w:r>
      <w:r w:rsidR="00A86767">
        <w:t>- Program Expenditure</w:t>
      </w:r>
      <w:bookmarkEnd w:id="304"/>
    </w:p>
    <w:p w14:paraId="5D09BD9C" w14:textId="71C39A97" w:rsidR="002B5F0C" w:rsidRPr="00CF03CA" w:rsidRDefault="0038254F" w:rsidP="00B10C01">
      <w:pPr>
        <w:pStyle w:val="AppendixTableCaption"/>
        <w:rPr>
          <w:sz w:val="22"/>
        </w:rPr>
      </w:pPr>
      <w:bookmarkStart w:id="305" w:name="_Toc99117022"/>
      <w:r w:rsidRPr="00CF03CA">
        <w:rPr>
          <w:sz w:val="22"/>
        </w:rPr>
        <w:t>: NACAP Program Expenditure ($ millions)</w:t>
      </w:r>
      <w:bookmarkEnd w:id="305"/>
    </w:p>
    <w:tbl>
      <w:tblPr>
        <w:tblStyle w:val="Deloittetable"/>
        <w:tblW w:w="0" w:type="auto"/>
        <w:tblLook w:val="04A0" w:firstRow="1" w:lastRow="0" w:firstColumn="1" w:lastColumn="0" w:noHBand="0" w:noVBand="1"/>
      </w:tblPr>
      <w:tblGrid>
        <w:gridCol w:w="1304"/>
        <w:gridCol w:w="1314"/>
        <w:gridCol w:w="1312"/>
        <w:gridCol w:w="1312"/>
        <w:gridCol w:w="1312"/>
        <w:gridCol w:w="1312"/>
        <w:gridCol w:w="1160"/>
      </w:tblGrid>
      <w:tr w:rsidR="00B5561C" w14:paraId="59DA11F8" w14:textId="77777777" w:rsidTr="00B10C01">
        <w:trPr>
          <w:cnfStyle w:val="100000000000" w:firstRow="1" w:lastRow="0" w:firstColumn="0" w:lastColumn="0" w:oddVBand="0" w:evenVBand="0" w:oddHBand="0" w:evenHBand="0" w:firstRowFirstColumn="0" w:firstRowLastColumn="0" w:lastRowFirstColumn="0" w:lastRowLastColumn="0"/>
        </w:trPr>
        <w:tc>
          <w:tcPr>
            <w:tcW w:w="1156" w:type="dxa"/>
          </w:tcPr>
          <w:p w14:paraId="11E0618F" w14:textId="33BAF9FC" w:rsidR="00B5561C" w:rsidRPr="00CF03CA" w:rsidRDefault="00130439" w:rsidP="00003734">
            <w:pPr>
              <w:rPr>
                <w:rFonts w:asciiTheme="minorHAnsi" w:hAnsiTheme="minorHAnsi"/>
                <w:b/>
                <w:szCs w:val="22"/>
                <w:lang w:eastAsia="en-AU"/>
              </w:rPr>
            </w:pPr>
            <w:r w:rsidRPr="00CF03CA">
              <w:rPr>
                <w:rFonts w:asciiTheme="minorHAnsi" w:hAnsiTheme="minorHAnsi"/>
                <w:b/>
                <w:szCs w:val="22"/>
                <w:lang w:eastAsia="en-AU"/>
              </w:rPr>
              <w:t>Year</w:t>
            </w:r>
          </w:p>
        </w:tc>
        <w:tc>
          <w:tcPr>
            <w:tcW w:w="1339" w:type="dxa"/>
          </w:tcPr>
          <w:p w14:paraId="680B5EF3" w14:textId="37B21881" w:rsidR="00B5561C" w:rsidRPr="00CF03CA" w:rsidRDefault="00610445" w:rsidP="00B10C01">
            <w:pPr>
              <w:jc w:val="center"/>
              <w:rPr>
                <w:rFonts w:asciiTheme="minorHAnsi" w:hAnsiTheme="minorHAnsi"/>
                <w:b/>
                <w:szCs w:val="22"/>
                <w:lang w:eastAsia="en-AU"/>
              </w:rPr>
            </w:pPr>
            <w:r w:rsidRPr="00CF03CA">
              <w:rPr>
                <w:rFonts w:asciiTheme="minorHAnsi" w:eastAsia="Times New Roman" w:hAnsiTheme="minorHAnsi" w:cs="Calibri"/>
                <w:b/>
                <w:bCs/>
                <w:color w:val="000000"/>
                <w:szCs w:val="22"/>
                <w:lang w:eastAsia="en-AU"/>
              </w:rPr>
              <w:t>2020</w:t>
            </w:r>
            <w:r w:rsidR="00A22920" w:rsidRPr="00CF03CA">
              <w:rPr>
                <w:rFonts w:asciiTheme="minorHAnsi" w:eastAsia="Times New Roman" w:hAnsiTheme="minorHAnsi" w:cs="Calibri"/>
                <w:b/>
                <w:bCs/>
                <w:color w:val="000000"/>
                <w:szCs w:val="22"/>
                <w:lang w:eastAsia="en-AU"/>
              </w:rPr>
              <w:t>/</w:t>
            </w:r>
            <w:r w:rsidRPr="00CF03CA">
              <w:rPr>
                <w:rFonts w:asciiTheme="minorHAnsi" w:eastAsia="Times New Roman" w:hAnsiTheme="minorHAnsi" w:cs="Calibri"/>
                <w:b/>
                <w:bCs/>
                <w:color w:val="000000"/>
                <w:szCs w:val="22"/>
                <w:lang w:eastAsia="en-AU"/>
              </w:rPr>
              <w:t>21</w:t>
            </w:r>
          </w:p>
        </w:tc>
        <w:tc>
          <w:tcPr>
            <w:tcW w:w="1338" w:type="dxa"/>
          </w:tcPr>
          <w:p w14:paraId="17466C5E" w14:textId="5A4AC3CC" w:rsidR="00B5561C" w:rsidRPr="00CF03CA" w:rsidRDefault="00610445" w:rsidP="00B10C01">
            <w:pPr>
              <w:jc w:val="center"/>
              <w:rPr>
                <w:rFonts w:asciiTheme="minorHAnsi" w:hAnsiTheme="minorHAnsi"/>
                <w:b/>
                <w:szCs w:val="22"/>
                <w:lang w:eastAsia="en-AU"/>
              </w:rPr>
            </w:pPr>
            <w:r w:rsidRPr="00CF03CA">
              <w:rPr>
                <w:rFonts w:asciiTheme="minorHAnsi" w:eastAsia="Times New Roman" w:hAnsiTheme="minorHAnsi" w:cs="Calibri"/>
                <w:b/>
                <w:bCs/>
                <w:color w:val="000000"/>
                <w:szCs w:val="22"/>
                <w:lang w:eastAsia="en-AU"/>
              </w:rPr>
              <w:t>2021</w:t>
            </w:r>
            <w:r w:rsidR="00A22920" w:rsidRPr="00CF03CA">
              <w:rPr>
                <w:rFonts w:asciiTheme="minorHAnsi" w:eastAsia="Times New Roman" w:hAnsiTheme="minorHAnsi" w:cs="Calibri"/>
                <w:b/>
                <w:bCs/>
                <w:color w:val="000000"/>
                <w:szCs w:val="22"/>
                <w:lang w:eastAsia="en-AU"/>
              </w:rPr>
              <w:t>/</w:t>
            </w:r>
            <w:r w:rsidRPr="00CF03CA">
              <w:rPr>
                <w:rFonts w:asciiTheme="minorHAnsi" w:eastAsia="Times New Roman" w:hAnsiTheme="minorHAnsi" w:cs="Calibri"/>
                <w:b/>
                <w:bCs/>
                <w:color w:val="000000"/>
                <w:szCs w:val="22"/>
                <w:lang w:eastAsia="en-AU"/>
              </w:rPr>
              <w:t>22</w:t>
            </w:r>
          </w:p>
        </w:tc>
        <w:tc>
          <w:tcPr>
            <w:tcW w:w="1338" w:type="dxa"/>
          </w:tcPr>
          <w:p w14:paraId="03B80EB2" w14:textId="1AEF2AC0" w:rsidR="00B5561C" w:rsidRPr="00CF03CA" w:rsidRDefault="00610445" w:rsidP="00B10C01">
            <w:pPr>
              <w:jc w:val="center"/>
              <w:rPr>
                <w:rFonts w:asciiTheme="minorHAnsi" w:hAnsiTheme="minorHAnsi"/>
                <w:b/>
                <w:szCs w:val="22"/>
                <w:lang w:eastAsia="en-AU"/>
              </w:rPr>
            </w:pPr>
            <w:r w:rsidRPr="00CF03CA">
              <w:rPr>
                <w:rFonts w:asciiTheme="minorHAnsi" w:eastAsia="Times New Roman" w:hAnsiTheme="minorHAnsi" w:cs="Calibri"/>
                <w:b/>
                <w:bCs/>
                <w:color w:val="000000"/>
                <w:szCs w:val="22"/>
                <w:lang w:eastAsia="en-AU"/>
              </w:rPr>
              <w:t>2022</w:t>
            </w:r>
            <w:r w:rsidR="00A22920" w:rsidRPr="00CF03CA">
              <w:rPr>
                <w:rFonts w:asciiTheme="minorHAnsi" w:eastAsia="Times New Roman" w:hAnsiTheme="minorHAnsi" w:cs="Calibri"/>
                <w:b/>
                <w:bCs/>
                <w:color w:val="000000"/>
                <w:szCs w:val="22"/>
                <w:lang w:eastAsia="en-AU"/>
              </w:rPr>
              <w:t>/</w:t>
            </w:r>
            <w:r w:rsidRPr="00CF03CA">
              <w:rPr>
                <w:rFonts w:asciiTheme="minorHAnsi" w:eastAsia="Times New Roman" w:hAnsiTheme="minorHAnsi" w:cs="Calibri"/>
                <w:b/>
                <w:bCs/>
                <w:color w:val="000000"/>
                <w:szCs w:val="22"/>
                <w:lang w:eastAsia="en-AU"/>
              </w:rPr>
              <w:t>23</w:t>
            </w:r>
          </w:p>
        </w:tc>
        <w:tc>
          <w:tcPr>
            <w:tcW w:w="1338" w:type="dxa"/>
          </w:tcPr>
          <w:p w14:paraId="47186D26" w14:textId="21736044" w:rsidR="00B5561C" w:rsidRPr="00CF03CA" w:rsidRDefault="00610445" w:rsidP="00B10C01">
            <w:pPr>
              <w:jc w:val="center"/>
              <w:rPr>
                <w:rFonts w:asciiTheme="minorHAnsi" w:hAnsiTheme="minorHAnsi"/>
                <w:b/>
                <w:szCs w:val="22"/>
                <w:lang w:eastAsia="en-AU"/>
              </w:rPr>
            </w:pPr>
            <w:r w:rsidRPr="00CF03CA">
              <w:rPr>
                <w:rFonts w:asciiTheme="minorHAnsi" w:eastAsia="Times New Roman" w:hAnsiTheme="minorHAnsi" w:cs="Calibri"/>
                <w:b/>
                <w:bCs/>
                <w:color w:val="000000"/>
                <w:szCs w:val="22"/>
                <w:lang w:eastAsia="en-AU"/>
              </w:rPr>
              <w:t>2023</w:t>
            </w:r>
            <w:r w:rsidR="00A22920" w:rsidRPr="00CF03CA">
              <w:rPr>
                <w:rFonts w:asciiTheme="minorHAnsi" w:eastAsia="Times New Roman" w:hAnsiTheme="minorHAnsi" w:cs="Calibri"/>
                <w:b/>
                <w:bCs/>
                <w:color w:val="000000"/>
                <w:szCs w:val="22"/>
                <w:lang w:eastAsia="en-AU"/>
              </w:rPr>
              <w:t>/</w:t>
            </w:r>
            <w:r w:rsidRPr="00CF03CA">
              <w:rPr>
                <w:rFonts w:asciiTheme="minorHAnsi" w:eastAsia="Times New Roman" w:hAnsiTheme="minorHAnsi" w:cs="Calibri"/>
                <w:b/>
                <w:bCs/>
                <w:color w:val="000000"/>
                <w:szCs w:val="22"/>
                <w:lang w:eastAsia="en-AU"/>
              </w:rPr>
              <w:t>24</w:t>
            </w:r>
          </w:p>
        </w:tc>
        <w:tc>
          <w:tcPr>
            <w:tcW w:w="1338" w:type="dxa"/>
          </w:tcPr>
          <w:p w14:paraId="0F202446" w14:textId="498D5449" w:rsidR="00B5561C" w:rsidRPr="00CF03CA" w:rsidRDefault="00610445" w:rsidP="00B10C01">
            <w:pPr>
              <w:jc w:val="center"/>
              <w:rPr>
                <w:rFonts w:asciiTheme="minorHAnsi" w:hAnsiTheme="minorHAnsi"/>
                <w:b/>
                <w:szCs w:val="22"/>
                <w:lang w:eastAsia="en-AU"/>
              </w:rPr>
            </w:pPr>
            <w:r w:rsidRPr="00CF03CA">
              <w:rPr>
                <w:rFonts w:asciiTheme="minorHAnsi" w:eastAsia="Times New Roman" w:hAnsiTheme="minorHAnsi" w:cs="Calibri"/>
                <w:b/>
                <w:bCs/>
                <w:color w:val="000000"/>
                <w:szCs w:val="22"/>
                <w:lang w:eastAsia="en-AU"/>
              </w:rPr>
              <w:t>2024</w:t>
            </w:r>
            <w:r w:rsidR="00A22920" w:rsidRPr="00CF03CA">
              <w:rPr>
                <w:rFonts w:asciiTheme="minorHAnsi" w:eastAsia="Times New Roman" w:hAnsiTheme="minorHAnsi" w:cs="Calibri"/>
                <w:b/>
                <w:bCs/>
                <w:color w:val="000000"/>
                <w:szCs w:val="22"/>
                <w:lang w:eastAsia="en-AU"/>
              </w:rPr>
              <w:t>/</w:t>
            </w:r>
            <w:r w:rsidRPr="00CF03CA">
              <w:rPr>
                <w:rFonts w:asciiTheme="minorHAnsi" w:eastAsia="Times New Roman" w:hAnsiTheme="minorHAnsi" w:cs="Calibri"/>
                <w:b/>
                <w:bCs/>
                <w:color w:val="000000"/>
                <w:szCs w:val="22"/>
                <w:lang w:eastAsia="en-AU"/>
              </w:rPr>
              <w:t>25</w:t>
            </w:r>
          </w:p>
        </w:tc>
        <w:tc>
          <w:tcPr>
            <w:tcW w:w="1179" w:type="dxa"/>
          </w:tcPr>
          <w:p w14:paraId="5F1C4042" w14:textId="62286595" w:rsidR="00B5561C" w:rsidRPr="00CF03CA" w:rsidRDefault="00610445" w:rsidP="00B10C01">
            <w:pPr>
              <w:jc w:val="center"/>
              <w:rPr>
                <w:rFonts w:asciiTheme="minorHAnsi" w:hAnsiTheme="minorHAnsi"/>
                <w:b/>
                <w:szCs w:val="22"/>
                <w:lang w:eastAsia="en-AU"/>
              </w:rPr>
            </w:pPr>
            <w:r w:rsidRPr="00CF03CA">
              <w:rPr>
                <w:rFonts w:asciiTheme="minorHAnsi" w:eastAsia="Times New Roman" w:hAnsiTheme="minorHAnsi" w:cs="Calibri"/>
                <w:b/>
                <w:bCs/>
                <w:color w:val="000000"/>
                <w:szCs w:val="22"/>
                <w:lang w:eastAsia="en-AU"/>
              </w:rPr>
              <w:t>Total</w:t>
            </w:r>
          </w:p>
        </w:tc>
      </w:tr>
      <w:tr w:rsidR="00130439" w:rsidRPr="00130439" w14:paraId="700F17B7" w14:textId="77777777" w:rsidTr="00B10C01">
        <w:trPr>
          <w:trHeight w:val="300"/>
        </w:trPr>
        <w:tc>
          <w:tcPr>
            <w:tcW w:w="1159" w:type="dxa"/>
            <w:noWrap/>
            <w:vAlign w:val="center"/>
            <w:hideMark/>
          </w:tcPr>
          <w:p w14:paraId="5730B5E4" w14:textId="119D6092" w:rsidR="00130439" w:rsidRPr="00CF03CA" w:rsidRDefault="00130439" w:rsidP="00395F3D">
            <w:pPr>
              <w:spacing w:after="0" w:line="240" w:lineRule="auto"/>
              <w:rPr>
                <w:rFonts w:asciiTheme="minorHAnsi" w:eastAsia="Times New Roman" w:hAnsiTheme="minorHAnsi" w:cs="Calibri"/>
                <w:color w:val="000000"/>
                <w:szCs w:val="22"/>
                <w:lang w:eastAsia="en-AU"/>
              </w:rPr>
            </w:pPr>
            <w:r w:rsidRPr="00CF03CA">
              <w:rPr>
                <w:rFonts w:asciiTheme="minorHAnsi" w:eastAsia="Times New Roman" w:hAnsiTheme="minorHAnsi" w:cs="Calibri"/>
                <w:color w:val="000000"/>
                <w:szCs w:val="22"/>
                <w:lang w:eastAsia="en-AU"/>
              </w:rPr>
              <w:t xml:space="preserve">Total NACAP budget </w:t>
            </w:r>
          </w:p>
        </w:tc>
        <w:tc>
          <w:tcPr>
            <w:tcW w:w="1339" w:type="dxa"/>
            <w:noWrap/>
            <w:vAlign w:val="center"/>
            <w:hideMark/>
          </w:tcPr>
          <w:p w14:paraId="02BED6E8" w14:textId="270313D7"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14.80</w:t>
            </w:r>
          </w:p>
        </w:tc>
        <w:tc>
          <w:tcPr>
            <w:tcW w:w="1337" w:type="dxa"/>
            <w:noWrap/>
            <w:vAlign w:val="center"/>
            <w:hideMark/>
          </w:tcPr>
          <w:p w14:paraId="6E47250C" w14:textId="3CA16371"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30.45</w:t>
            </w:r>
          </w:p>
        </w:tc>
        <w:tc>
          <w:tcPr>
            <w:tcW w:w="1337" w:type="dxa"/>
            <w:noWrap/>
            <w:vAlign w:val="center"/>
            <w:hideMark/>
          </w:tcPr>
          <w:p w14:paraId="3A6521FE" w14:textId="7F50360E"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39.25</w:t>
            </w:r>
          </w:p>
        </w:tc>
        <w:tc>
          <w:tcPr>
            <w:tcW w:w="1337" w:type="dxa"/>
            <w:noWrap/>
            <w:vAlign w:val="center"/>
            <w:hideMark/>
          </w:tcPr>
          <w:p w14:paraId="54D5D594" w14:textId="25F9FA02"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40.15</w:t>
            </w:r>
          </w:p>
        </w:tc>
        <w:tc>
          <w:tcPr>
            <w:tcW w:w="1337" w:type="dxa"/>
            <w:noWrap/>
            <w:vAlign w:val="center"/>
            <w:hideMark/>
          </w:tcPr>
          <w:p w14:paraId="2A6F7379" w14:textId="4356F309"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41.10</w:t>
            </w:r>
          </w:p>
        </w:tc>
        <w:tc>
          <w:tcPr>
            <w:tcW w:w="1180" w:type="dxa"/>
            <w:noWrap/>
            <w:vAlign w:val="center"/>
            <w:hideMark/>
          </w:tcPr>
          <w:p w14:paraId="10ADA13B" w14:textId="67215C3C"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165.75</w:t>
            </w:r>
          </w:p>
        </w:tc>
      </w:tr>
      <w:tr w:rsidR="00130439" w:rsidRPr="00130439" w14:paraId="201ECDA9" w14:textId="77777777" w:rsidTr="00B10C01">
        <w:trPr>
          <w:trHeight w:val="300"/>
        </w:trPr>
        <w:tc>
          <w:tcPr>
            <w:tcW w:w="1159" w:type="dxa"/>
            <w:noWrap/>
            <w:vAlign w:val="center"/>
            <w:hideMark/>
          </w:tcPr>
          <w:p w14:paraId="0E0DCC08" w14:textId="2B8D2F1E" w:rsidR="00130439" w:rsidRPr="00CF03CA" w:rsidRDefault="00130439" w:rsidP="00395F3D">
            <w:pPr>
              <w:spacing w:after="0" w:line="240" w:lineRule="auto"/>
              <w:rPr>
                <w:rFonts w:asciiTheme="minorHAnsi" w:eastAsia="Times New Roman" w:hAnsiTheme="minorHAnsi" w:cs="Calibri"/>
                <w:color w:val="000000"/>
                <w:szCs w:val="22"/>
                <w:lang w:eastAsia="en-AU"/>
              </w:rPr>
            </w:pPr>
            <w:r w:rsidRPr="00CF03CA">
              <w:rPr>
                <w:rFonts w:asciiTheme="minorHAnsi" w:eastAsia="Times New Roman" w:hAnsiTheme="minorHAnsi" w:cs="Calibri"/>
                <w:color w:val="000000"/>
                <w:szCs w:val="22"/>
                <w:lang w:eastAsia="en-AU"/>
              </w:rPr>
              <w:t>Emergency &amp; Additional Reform Advocacy</w:t>
            </w:r>
          </w:p>
        </w:tc>
        <w:tc>
          <w:tcPr>
            <w:tcW w:w="1339" w:type="dxa"/>
            <w:noWrap/>
            <w:vAlign w:val="center"/>
            <w:hideMark/>
          </w:tcPr>
          <w:p w14:paraId="42590ED2" w14:textId="173C28AE"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3.10</w:t>
            </w:r>
          </w:p>
        </w:tc>
        <w:tc>
          <w:tcPr>
            <w:tcW w:w="1337" w:type="dxa"/>
            <w:noWrap/>
            <w:vAlign w:val="center"/>
            <w:hideMark/>
          </w:tcPr>
          <w:p w14:paraId="6D9A65CE" w14:textId="3BA92D7C" w:rsidR="00130439" w:rsidRPr="00CF03CA" w:rsidRDefault="002B5F0C" w:rsidP="00AA3134">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1.15</w:t>
            </w:r>
          </w:p>
        </w:tc>
        <w:tc>
          <w:tcPr>
            <w:tcW w:w="1337" w:type="dxa"/>
            <w:noWrap/>
            <w:vAlign w:val="center"/>
            <w:hideMark/>
          </w:tcPr>
          <w:p w14:paraId="57406FAB" w14:textId="72A48DFE" w:rsidR="00130439" w:rsidRPr="00CF03CA" w:rsidRDefault="002B5F0C" w:rsidP="00AA3134">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3.02</w:t>
            </w:r>
          </w:p>
        </w:tc>
        <w:tc>
          <w:tcPr>
            <w:tcW w:w="1337" w:type="dxa"/>
            <w:noWrap/>
            <w:vAlign w:val="center"/>
            <w:hideMark/>
          </w:tcPr>
          <w:p w14:paraId="5E08D93F" w14:textId="43DBD91E" w:rsidR="00130439" w:rsidRPr="00CF03CA" w:rsidRDefault="002B5F0C" w:rsidP="00AA3134">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1.78</w:t>
            </w:r>
          </w:p>
        </w:tc>
        <w:tc>
          <w:tcPr>
            <w:tcW w:w="1337" w:type="dxa"/>
            <w:noWrap/>
            <w:vAlign w:val="center"/>
            <w:hideMark/>
          </w:tcPr>
          <w:p w14:paraId="148335D5" w14:textId="02A8CE34" w:rsidR="00130439" w:rsidRPr="00CF03CA" w:rsidRDefault="002B5F0C" w:rsidP="00AA3134">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1.55</w:t>
            </w:r>
          </w:p>
        </w:tc>
        <w:tc>
          <w:tcPr>
            <w:tcW w:w="1180" w:type="dxa"/>
            <w:noWrap/>
            <w:vAlign w:val="center"/>
            <w:hideMark/>
          </w:tcPr>
          <w:p w14:paraId="08B4EE18" w14:textId="674A7004"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10.60</w:t>
            </w:r>
          </w:p>
        </w:tc>
      </w:tr>
      <w:tr w:rsidR="00130439" w:rsidRPr="00130439" w14:paraId="36246CF0" w14:textId="77777777" w:rsidTr="00B10C01">
        <w:trPr>
          <w:trHeight w:val="300"/>
        </w:trPr>
        <w:tc>
          <w:tcPr>
            <w:tcW w:w="1159" w:type="dxa"/>
            <w:noWrap/>
            <w:vAlign w:val="center"/>
            <w:hideMark/>
          </w:tcPr>
          <w:p w14:paraId="58C4960C" w14:textId="3C3887B7" w:rsidR="00130439" w:rsidRPr="00CF03CA" w:rsidRDefault="00130439" w:rsidP="00395F3D">
            <w:pPr>
              <w:spacing w:after="0" w:line="240" w:lineRule="auto"/>
              <w:rPr>
                <w:rFonts w:asciiTheme="minorHAnsi" w:eastAsia="Times New Roman" w:hAnsiTheme="minorHAnsi" w:cs="Calibri"/>
                <w:color w:val="000000"/>
                <w:szCs w:val="22"/>
                <w:lang w:eastAsia="en-AU"/>
              </w:rPr>
            </w:pPr>
            <w:r w:rsidRPr="00CF03CA">
              <w:rPr>
                <w:rFonts w:asciiTheme="minorHAnsi" w:eastAsia="Times New Roman" w:hAnsiTheme="minorHAnsi" w:cs="Calibri"/>
                <w:color w:val="000000"/>
                <w:szCs w:val="22"/>
                <w:lang w:eastAsia="en-AU"/>
              </w:rPr>
              <w:t xml:space="preserve">Diversity Education Project </w:t>
            </w:r>
          </w:p>
        </w:tc>
        <w:tc>
          <w:tcPr>
            <w:tcW w:w="1339" w:type="dxa"/>
            <w:noWrap/>
            <w:vAlign w:val="center"/>
            <w:hideMark/>
          </w:tcPr>
          <w:p w14:paraId="08BD3968" w14:textId="0F032555"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0.00</w:t>
            </w:r>
          </w:p>
        </w:tc>
        <w:tc>
          <w:tcPr>
            <w:tcW w:w="1337" w:type="dxa"/>
            <w:noWrap/>
            <w:vAlign w:val="center"/>
            <w:hideMark/>
          </w:tcPr>
          <w:p w14:paraId="5E500599" w14:textId="70487729"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1.12</w:t>
            </w:r>
          </w:p>
        </w:tc>
        <w:tc>
          <w:tcPr>
            <w:tcW w:w="1337" w:type="dxa"/>
            <w:noWrap/>
            <w:vAlign w:val="center"/>
            <w:hideMark/>
          </w:tcPr>
          <w:p w14:paraId="3EF3AEFA" w14:textId="376391F0"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1.36</w:t>
            </w:r>
          </w:p>
        </w:tc>
        <w:tc>
          <w:tcPr>
            <w:tcW w:w="1337" w:type="dxa"/>
            <w:noWrap/>
            <w:vAlign w:val="center"/>
            <w:hideMark/>
          </w:tcPr>
          <w:p w14:paraId="258C71FB" w14:textId="6723DA12"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1.66</w:t>
            </w:r>
          </w:p>
        </w:tc>
        <w:tc>
          <w:tcPr>
            <w:tcW w:w="1337" w:type="dxa"/>
            <w:noWrap/>
            <w:vAlign w:val="center"/>
            <w:hideMark/>
          </w:tcPr>
          <w:p w14:paraId="17FD76C3" w14:textId="5A964E59"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2.02</w:t>
            </w:r>
          </w:p>
        </w:tc>
        <w:tc>
          <w:tcPr>
            <w:tcW w:w="1180" w:type="dxa"/>
            <w:noWrap/>
            <w:vAlign w:val="center"/>
            <w:hideMark/>
          </w:tcPr>
          <w:p w14:paraId="71C1E2BD" w14:textId="22CB5B14" w:rsidR="00130439" w:rsidRPr="00CF03CA" w:rsidRDefault="002B5F0C" w:rsidP="00B10C01">
            <w:pPr>
              <w:spacing w:after="0" w:line="240" w:lineRule="auto"/>
              <w:jc w:val="center"/>
              <w:rPr>
                <w:rFonts w:asciiTheme="minorHAnsi" w:eastAsia="Times New Roman" w:hAnsiTheme="minorHAnsi" w:cs="Calibri"/>
                <w:color w:val="000000"/>
                <w:szCs w:val="22"/>
                <w:lang w:eastAsia="en-AU"/>
              </w:rPr>
            </w:pPr>
            <w:r w:rsidRPr="00CF03CA">
              <w:rPr>
                <w:rFonts w:asciiTheme="minorHAnsi" w:hAnsiTheme="minorHAnsi" w:cs="Calibri"/>
                <w:color w:val="000000"/>
                <w:szCs w:val="22"/>
              </w:rPr>
              <w:t>6.16</w:t>
            </w:r>
          </w:p>
        </w:tc>
      </w:tr>
      <w:tr w:rsidR="00B5561C" w14:paraId="0492347C" w14:textId="77777777" w:rsidTr="00B10C01">
        <w:tc>
          <w:tcPr>
            <w:tcW w:w="7846" w:type="dxa"/>
            <w:gridSpan w:val="6"/>
            <w:vAlign w:val="center"/>
          </w:tcPr>
          <w:p w14:paraId="4EB98B34" w14:textId="3211EE46" w:rsidR="00B5561C" w:rsidRPr="00CF03CA" w:rsidRDefault="00A500BD">
            <w:pPr>
              <w:rPr>
                <w:rFonts w:asciiTheme="minorHAnsi" w:hAnsiTheme="minorHAnsi"/>
                <w:b/>
                <w:szCs w:val="22"/>
                <w:lang w:eastAsia="en-AU"/>
              </w:rPr>
            </w:pPr>
            <w:r w:rsidRPr="00CF03CA">
              <w:rPr>
                <w:rFonts w:asciiTheme="minorHAnsi" w:hAnsiTheme="minorHAnsi"/>
                <w:b/>
                <w:szCs w:val="22"/>
                <w:lang w:eastAsia="en-AU"/>
              </w:rPr>
              <w:t xml:space="preserve">Total funding excluding </w:t>
            </w:r>
            <w:r w:rsidRPr="00CF03CA">
              <w:rPr>
                <w:rFonts w:asciiTheme="minorHAnsi" w:eastAsia="Times New Roman" w:hAnsiTheme="minorHAnsi" w:cs="Calibri"/>
                <w:b/>
                <w:color w:val="000000"/>
                <w:szCs w:val="22"/>
                <w:lang w:eastAsia="en-AU"/>
              </w:rPr>
              <w:t>Emergency &amp; Additional Reform Advocacy and Diversity Education Project</w:t>
            </w:r>
          </w:p>
        </w:tc>
        <w:tc>
          <w:tcPr>
            <w:tcW w:w="1180" w:type="dxa"/>
            <w:vAlign w:val="center"/>
          </w:tcPr>
          <w:p w14:paraId="3F1E32DE" w14:textId="073339AA" w:rsidR="00B5561C" w:rsidRPr="00CF03CA" w:rsidRDefault="00A500BD" w:rsidP="00B10C01">
            <w:pPr>
              <w:jc w:val="center"/>
              <w:rPr>
                <w:rFonts w:asciiTheme="minorHAnsi" w:hAnsiTheme="minorHAnsi"/>
                <w:b/>
                <w:szCs w:val="22"/>
                <w:lang w:eastAsia="en-AU"/>
              </w:rPr>
            </w:pPr>
            <w:r w:rsidRPr="00CF03CA">
              <w:rPr>
                <w:rFonts w:asciiTheme="minorHAnsi" w:hAnsiTheme="minorHAnsi"/>
                <w:b/>
                <w:szCs w:val="22"/>
                <w:lang w:eastAsia="en-AU"/>
              </w:rPr>
              <w:t>148.99</w:t>
            </w:r>
          </w:p>
        </w:tc>
      </w:tr>
    </w:tbl>
    <w:p w14:paraId="0159EEAF" w14:textId="4C89D928" w:rsidR="006A16D0" w:rsidRDefault="000045F1" w:rsidP="00B10C01">
      <w:pPr>
        <w:pStyle w:val="Source"/>
        <w:rPr>
          <w:lang w:eastAsia="en-AU"/>
        </w:rPr>
      </w:pPr>
      <w:r>
        <w:rPr>
          <w:lang w:eastAsia="en-AU"/>
        </w:rPr>
        <w:t>Source: Department of Health</w:t>
      </w:r>
    </w:p>
    <w:p w14:paraId="30E6C002" w14:textId="129AA6D5" w:rsidR="000A6941" w:rsidRPr="00FC4849" w:rsidRDefault="000A6941" w:rsidP="006B611A">
      <w:pPr>
        <w:spacing w:after="0"/>
        <w:contextualSpacing/>
        <w:rPr>
          <w:szCs w:val="17"/>
          <w:lang w:val="en-US"/>
        </w:rPr>
      </w:pPr>
      <w:r w:rsidRPr="00FC4849">
        <w:rPr>
          <w:szCs w:val="17"/>
          <w:lang w:val="en-US"/>
        </w:rPr>
        <w:br w:type="page"/>
      </w:r>
    </w:p>
    <w:p w14:paraId="5A2E7B8F" w14:textId="16BE6859" w:rsidR="005B00B8" w:rsidRDefault="00BF4216" w:rsidP="00BF4216">
      <w:pPr>
        <w:pStyle w:val="Heading1un-numbered"/>
        <w:rPr>
          <w:lang w:eastAsia="en-AU"/>
        </w:rPr>
      </w:pPr>
      <w:bookmarkStart w:id="306" w:name="_Toc94609838"/>
      <w:bookmarkStart w:id="307" w:name="_Toc94616846"/>
      <w:bookmarkStart w:id="308" w:name="_Toc463002439"/>
      <w:bookmarkStart w:id="309" w:name="_Toc472586353"/>
      <w:bookmarkStart w:id="310" w:name="_Toc482168131"/>
      <w:bookmarkStart w:id="311" w:name="_Toc482174916"/>
      <w:bookmarkStart w:id="312" w:name="_Toc94771875"/>
      <w:bookmarkStart w:id="313" w:name="_Toc99437561"/>
      <w:bookmarkEnd w:id="306"/>
      <w:bookmarkEnd w:id="307"/>
      <w:r w:rsidRPr="00BF4216">
        <w:rPr>
          <w:lang w:eastAsia="en-AU"/>
        </w:rPr>
        <w:t>Limitation of our work</w:t>
      </w:r>
      <w:bookmarkEnd w:id="308"/>
      <w:bookmarkEnd w:id="309"/>
      <w:bookmarkEnd w:id="310"/>
      <w:bookmarkEnd w:id="311"/>
      <w:bookmarkEnd w:id="312"/>
      <w:bookmarkEnd w:id="313"/>
    </w:p>
    <w:p w14:paraId="44470E3E" w14:textId="38F287E4" w:rsidR="00BF4216" w:rsidRDefault="00BF4216" w:rsidP="00BF4216">
      <w:pPr>
        <w:pStyle w:val="Heading2un-numbered"/>
      </w:pPr>
      <w:bookmarkStart w:id="314" w:name="_Toc463002440"/>
      <w:bookmarkStart w:id="315" w:name="_Toc472586354"/>
      <w:bookmarkStart w:id="316" w:name="_Toc482168132"/>
      <w:bookmarkStart w:id="317" w:name="_Toc482174917"/>
      <w:bookmarkStart w:id="318" w:name="_Toc94771876"/>
      <w:bookmarkStart w:id="319" w:name="_Toc99437562"/>
      <w:r w:rsidRPr="006345F9">
        <w:t>General use restriction</w:t>
      </w:r>
      <w:bookmarkEnd w:id="314"/>
      <w:bookmarkEnd w:id="315"/>
      <w:bookmarkEnd w:id="316"/>
      <w:bookmarkEnd w:id="317"/>
      <w:bookmarkEnd w:id="318"/>
      <w:bookmarkEnd w:id="319"/>
    </w:p>
    <w:p w14:paraId="38265378" w14:textId="5ED0BDC0" w:rsidR="005264A4" w:rsidRPr="005264A4" w:rsidRDefault="008442BA" w:rsidP="005264A4">
      <w:pPr>
        <w:spacing w:after="0" w:line="240" w:lineRule="auto"/>
      </w:pPr>
      <w:r>
        <w:t xml:space="preserve">This report is prepared solely for the use of the Department of Health. This report is not intended to and should not be used or relied upon by anyone else and we accept no duty of care to any other person or entity. </w:t>
      </w:r>
      <w:r w:rsidRPr="001C6CE3">
        <w:t>The report has been prepared for the purpose of sharing the findings of the project titled ‘Demand Study of the National Aged Care Program’.</w:t>
      </w:r>
      <w:r>
        <w:t xml:space="preserve"> You should not refer to or use our name or the advice for any other purpose.</w:t>
      </w:r>
      <w:r w:rsidR="005264A4">
        <w:br w:type="page"/>
      </w:r>
      <w:r w:rsidR="005264A4">
        <w:rPr>
          <w:noProof/>
          <w:lang w:eastAsia="en-AU"/>
        </w:rPr>
        <w:drawing>
          <wp:anchor distT="0" distB="0" distL="114300" distR="114300" simplePos="0" relativeHeight="251660302" behindDoc="0" locked="0" layoutInCell="1" allowOverlap="1" wp14:anchorId="684E1983" wp14:editId="7FF9B6FE">
            <wp:simplePos x="0" y="0"/>
            <wp:positionH relativeFrom="margin">
              <wp:align>left</wp:align>
            </wp:positionH>
            <wp:positionV relativeFrom="paragraph">
              <wp:posOffset>47625</wp:posOffset>
            </wp:positionV>
            <wp:extent cx="2086118" cy="914400"/>
            <wp:effectExtent l="0" t="0" r="0" b="0"/>
            <wp:wrapSquare wrapText="bothSides"/>
            <wp:docPr id="26677672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pic:blipFill>
                  <pic:spPr>
                    <a:xfrm>
                      <a:off x="0" y="0"/>
                      <a:ext cx="2086118" cy="914400"/>
                    </a:xfrm>
                    <a:prstGeom prst="rect">
                      <a:avLst/>
                    </a:prstGeom>
                  </pic:spPr>
                </pic:pic>
              </a:graphicData>
            </a:graphic>
          </wp:anchor>
        </w:drawing>
      </w:r>
      <w:r w:rsidR="005264A4" w:rsidRPr="005264A4">
        <w:t>Deloitte Access Economics</w:t>
      </w:r>
    </w:p>
    <w:p w14:paraId="315CFFBB" w14:textId="5FC209F1" w:rsidR="005264A4" w:rsidRPr="005264A4" w:rsidRDefault="005264A4" w:rsidP="005264A4">
      <w:pPr>
        <w:spacing w:after="0" w:line="240" w:lineRule="auto"/>
      </w:pPr>
      <w:r w:rsidRPr="005264A4">
        <w:t>ACN: 149 633 116</w:t>
      </w:r>
    </w:p>
    <w:p w14:paraId="57CB7A4E" w14:textId="0D9D1F2F" w:rsidR="005264A4" w:rsidRPr="005264A4" w:rsidRDefault="005264A4" w:rsidP="005264A4">
      <w:pPr>
        <w:spacing w:after="0" w:line="240" w:lineRule="auto"/>
      </w:pPr>
      <w:r w:rsidRPr="005264A4">
        <w:t>Level 9, Grosvenor Place</w:t>
      </w:r>
    </w:p>
    <w:p w14:paraId="341FE637" w14:textId="319A7592" w:rsidR="005264A4" w:rsidRPr="005264A4" w:rsidRDefault="005264A4" w:rsidP="005264A4">
      <w:pPr>
        <w:spacing w:after="0" w:line="240" w:lineRule="auto"/>
      </w:pPr>
      <w:r w:rsidRPr="005264A4">
        <w:t>225 George Street Sydney NSW 2000</w:t>
      </w:r>
    </w:p>
    <w:p w14:paraId="27D4128E" w14:textId="4DC691E7" w:rsidR="005264A4" w:rsidRPr="005264A4" w:rsidRDefault="005264A4" w:rsidP="005264A4">
      <w:pPr>
        <w:spacing w:after="0" w:line="240" w:lineRule="auto"/>
      </w:pPr>
      <w:r w:rsidRPr="005264A4">
        <w:t>Tel: +61 2 9322 7000</w:t>
      </w:r>
    </w:p>
    <w:p w14:paraId="4C3DE5E2" w14:textId="5BAA51D3" w:rsidR="005264A4" w:rsidRPr="005264A4" w:rsidRDefault="005264A4" w:rsidP="005264A4">
      <w:r w:rsidRPr="005264A4">
        <w:t xml:space="preserve">Deloitte Access Economics is Australia’s pre-eminent economics advisory practice and a member of Deloitte's global economics group. For more information, please visit our website: </w:t>
      </w:r>
      <w:hyperlink r:id="rId63" w:history="1">
        <w:r w:rsidRPr="005264A4">
          <w:rPr>
            <w:rStyle w:val="Hyperlink"/>
          </w:rPr>
          <w:t>www.deloitte.com/au/deloitte-access-economics</w:t>
        </w:r>
      </w:hyperlink>
      <w:r w:rsidRPr="005264A4">
        <w:t xml:space="preserve"> </w:t>
      </w:r>
    </w:p>
    <w:p w14:paraId="5211AD56" w14:textId="535C9D61" w:rsidR="005264A4" w:rsidRPr="005264A4" w:rsidRDefault="005264A4" w:rsidP="005264A4">
      <w:r w:rsidRPr="005264A4">
        <w:t xml:space="preserve">Deloitte refers to one or more of Deloitte </w:t>
      </w:r>
      <w:proofErr w:type="spellStart"/>
      <w:r w:rsidRPr="005264A4">
        <w:t>Touche</w:t>
      </w:r>
      <w:proofErr w:type="spellEnd"/>
      <w:r w:rsidRPr="005264A4">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57225D81" w14:textId="795E8087" w:rsidR="005264A4" w:rsidRPr="005264A4" w:rsidRDefault="005264A4" w:rsidP="005264A4">
      <w:r w:rsidRPr="005264A4">
        <w:t xml:space="preserve">Deloitte is a leading global provider of audit and assurance, consulting, financial advisory, risk advisory, </w:t>
      </w:r>
      <w:proofErr w:type="gramStart"/>
      <w:r w:rsidRPr="005264A4">
        <w:t>tax</w:t>
      </w:r>
      <w:proofErr w:type="gramEnd"/>
      <w:r w:rsidRPr="005264A4">
        <w:t xml:space="preserve"> and related services. Our network of member firms in more than 150 countries and territories serves four out of five Fortune Global 500®companies. Learn how Deloitte’s approximately 286,000 people make an impact that matters at www.deloitte.com.</w:t>
      </w:r>
    </w:p>
    <w:p w14:paraId="5C6A003E" w14:textId="326D992F" w:rsidR="005264A4" w:rsidRPr="005264A4" w:rsidRDefault="005264A4" w:rsidP="005264A4">
      <w:pPr>
        <w:rPr>
          <w:b/>
        </w:rPr>
      </w:pPr>
      <w:r w:rsidRPr="005264A4">
        <w:rPr>
          <w:b/>
        </w:rPr>
        <w:t>Deloitte Asia Pacific</w:t>
      </w:r>
    </w:p>
    <w:p w14:paraId="0F8F14BE" w14:textId="118816E1" w:rsidR="005264A4" w:rsidRPr="005264A4" w:rsidRDefault="005264A4" w:rsidP="005264A4">
      <w:r w:rsidRPr="005264A4">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7F1B693A" w14:textId="77777777" w:rsidR="005264A4" w:rsidRPr="005264A4" w:rsidRDefault="005264A4" w:rsidP="005264A4">
      <w:pPr>
        <w:rPr>
          <w:b/>
        </w:rPr>
      </w:pPr>
      <w:r w:rsidRPr="005264A4">
        <w:rPr>
          <w:b/>
        </w:rPr>
        <w:t>Deloitte Australia</w:t>
      </w:r>
    </w:p>
    <w:p w14:paraId="59A0DCB7" w14:textId="77777777" w:rsidR="005264A4" w:rsidRPr="005264A4" w:rsidRDefault="005264A4" w:rsidP="005264A4">
      <w:r w:rsidRPr="005264A4">
        <w:t xml:space="preserve">In Australia, the Deloitte Network member is the Australian partnership of Deloitte </w:t>
      </w:r>
      <w:proofErr w:type="spellStart"/>
      <w:r w:rsidRPr="005264A4">
        <w:t>Touche</w:t>
      </w:r>
      <w:proofErr w:type="spellEnd"/>
      <w:r w:rsidRPr="005264A4">
        <w:t xml:space="preserve"> Tohmatsu. As one of Australia’s leading professional services firms. Deloitte </w:t>
      </w:r>
      <w:proofErr w:type="spellStart"/>
      <w:r w:rsidRPr="005264A4">
        <w:t>Touche</w:t>
      </w:r>
      <w:proofErr w:type="spellEnd"/>
      <w:r w:rsidRPr="005264A4">
        <w:t xml:space="preserve"> Tohmatsu and its affiliates provide audit, tax, consulting, and financial advisory services through approximately 8000 people across the country. Focused on the creation of value and </w:t>
      </w:r>
      <w:proofErr w:type="gramStart"/>
      <w:r w:rsidRPr="005264A4">
        <w:t>growth, and</w:t>
      </w:r>
      <w:proofErr w:type="gramEnd"/>
      <w:r w:rsidRPr="005264A4">
        <w:t xml:space="preserve"> known as an employer of choice for innovative human resources programs, we are dedicated to helping our clients and our people excel. For more information, please visit our web site at https://www2.deloitte.com/au/en.html.</w:t>
      </w:r>
    </w:p>
    <w:p w14:paraId="0B40420F" w14:textId="77777777" w:rsidR="005264A4" w:rsidRPr="005264A4" w:rsidRDefault="005264A4" w:rsidP="005264A4">
      <w:r w:rsidRPr="005264A4">
        <w:t>Liability limited by a scheme approved under Professional Standards Legislation.</w:t>
      </w:r>
    </w:p>
    <w:p w14:paraId="2B53764C" w14:textId="01FCEE1C" w:rsidR="005264A4" w:rsidRPr="005264A4" w:rsidRDefault="005264A4" w:rsidP="005264A4">
      <w:r w:rsidRPr="005264A4">
        <w:t>Member of Deloitte Asia Pacific Limited and the Deloitte Network.</w:t>
      </w:r>
    </w:p>
    <w:p w14:paraId="0D0B0D6F" w14:textId="3BEE11C9" w:rsidR="005264A4" w:rsidRDefault="005264A4" w:rsidP="005264A4">
      <w:r w:rsidRPr="005264A4">
        <w:t xml:space="preserve">©2022 Deloitte Access Economics. Deloitte </w:t>
      </w:r>
      <w:proofErr w:type="spellStart"/>
      <w:r w:rsidRPr="005264A4">
        <w:t>Touche</w:t>
      </w:r>
      <w:proofErr w:type="spellEnd"/>
      <w:r w:rsidRPr="005264A4">
        <w:t xml:space="preserve"> Tohmatsu</w:t>
      </w:r>
    </w:p>
    <w:sectPr w:rsidR="005264A4" w:rsidSect="005F043A">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F5EA" w14:textId="77777777" w:rsidR="00906269" w:rsidRDefault="00906269" w:rsidP="00C702C7">
      <w:pPr>
        <w:spacing w:line="240" w:lineRule="auto"/>
      </w:pPr>
    </w:p>
  </w:endnote>
  <w:endnote w:type="continuationSeparator" w:id="0">
    <w:p w14:paraId="230F066E" w14:textId="77777777" w:rsidR="00906269" w:rsidRDefault="00906269" w:rsidP="00C702C7">
      <w:pPr>
        <w:spacing w:line="240" w:lineRule="auto"/>
      </w:pPr>
      <w:r>
        <w:continuationSeparator/>
      </w:r>
    </w:p>
  </w:endnote>
  <w:endnote w:type="continuationNotice" w:id="1">
    <w:p w14:paraId="670468A5" w14:textId="77777777" w:rsidR="00906269" w:rsidRDefault="00906269">
      <w:pPr>
        <w:spacing w:after="0" w:line="240" w:lineRule="auto"/>
      </w:pPr>
    </w:p>
  </w:endnote>
  <w:endnote w:id="2">
    <w:p w14:paraId="54E7FC95" w14:textId="77777777" w:rsidR="001A5060" w:rsidRDefault="001A5060" w:rsidP="001A5060">
      <w:pPr>
        <w:pStyle w:val="EndnoteText"/>
      </w:pPr>
      <w:r>
        <w:rPr>
          <w:rStyle w:val="EndnoteReference"/>
        </w:rPr>
        <w:endnoteRef/>
      </w:r>
      <w:r w:rsidRPr="00C83260">
        <w:t xml:space="preserve"> Department of Health</w:t>
      </w:r>
      <w:r>
        <w:t xml:space="preserve">, </w:t>
      </w:r>
      <w:r w:rsidRPr="006B611A">
        <w:rPr>
          <w:i/>
        </w:rPr>
        <w:t>National Aged Care Advocacy Framework</w:t>
      </w:r>
      <w:r>
        <w:t>,</w:t>
      </w:r>
      <w:r w:rsidRPr="00C83260">
        <w:t xml:space="preserve"> </w:t>
      </w:r>
      <w:r>
        <w:t>(Report, February 2019)</w:t>
      </w:r>
      <w:r w:rsidRPr="00C83260">
        <w:t xml:space="preserve"> &lt;https://www.health.gov.au/resources/publications/national-aged-care-advocacy-framework&gt;</w:t>
      </w:r>
      <w:r>
        <w:t>.</w:t>
      </w:r>
    </w:p>
  </w:endnote>
  <w:endnote w:id="3">
    <w:p w14:paraId="19F7CBEF" w14:textId="77777777" w:rsidR="00B21150" w:rsidRDefault="00B21150" w:rsidP="00B21150">
      <w:pPr>
        <w:pStyle w:val="EndnoteText"/>
      </w:pPr>
      <w:r>
        <w:rPr>
          <w:rStyle w:val="EndnoteReference"/>
        </w:rPr>
        <w:endnoteRef/>
      </w:r>
      <w:r w:rsidRPr="00C83260">
        <w:t xml:space="preserve"> Department of Health</w:t>
      </w:r>
      <w:r>
        <w:t xml:space="preserve">, </w:t>
      </w:r>
      <w:r w:rsidRPr="006B611A">
        <w:rPr>
          <w:i/>
        </w:rPr>
        <w:t>National Aged Care Advocacy Framework</w:t>
      </w:r>
      <w:r>
        <w:t>,</w:t>
      </w:r>
      <w:r w:rsidRPr="00C83260">
        <w:t xml:space="preserve"> </w:t>
      </w:r>
      <w:r>
        <w:t>(Report, February 2019)</w:t>
      </w:r>
      <w:r w:rsidRPr="00C83260">
        <w:t xml:space="preserve"> &lt;https://www.health.gov.au/resources/publications/national-aged-care-advocacy-framework&gt;</w:t>
      </w:r>
      <w:r>
        <w:t>.</w:t>
      </w:r>
    </w:p>
  </w:endnote>
  <w:endnote w:id="4">
    <w:p w14:paraId="135F6382" w14:textId="15C3B428" w:rsidR="001A6355" w:rsidRDefault="001A6355">
      <w:pPr>
        <w:pStyle w:val="EndnoteText"/>
      </w:pPr>
      <w:r>
        <w:rPr>
          <w:rStyle w:val="EndnoteReference"/>
        </w:rPr>
        <w:endnoteRef/>
      </w:r>
      <w:r>
        <w:t xml:space="preserve"> Older Persons Advocacy Network, </w:t>
      </w:r>
      <w:r w:rsidRPr="00110D9F">
        <w:rPr>
          <w:i/>
        </w:rPr>
        <w:t>NACAP Progress Report – Half yearly report: Jan 2021 – June 2021 with annual view</w:t>
      </w:r>
      <w:r w:rsidR="00A225A9">
        <w:t>, (Report, 31 July 2021)</w:t>
      </w:r>
    </w:p>
  </w:endnote>
  <w:endnote w:id="5">
    <w:p w14:paraId="6E7C7231" w14:textId="1122862C" w:rsidR="00A734AC" w:rsidRDefault="00A734AC" w:rsidP="00A734AC">
      <w:pPr>
        <w:pStyle w:val="EndnoteText"/>
      </w:pPr>
      <w:r>
        <w:rPr>
          <w:rStyle w:val="EndnoteReference"/>
        </w:rPr>
        <w:endnoteRef/>
      </w:r>
      <w:r>
        <w:t xml:space="preserve"> </w:t>
      </w:r>
      <w:r w:rsidRPr="00F30110">
        <w:t>Royal Commission into Aged Care into Quality and Safety</w:t>
      </w:r>
      <w:r w:rsidR="00327F6F">
        <w:t xml:space="preserve">, </w:t>
      </w:r>
      <w:r w:rsidR="00233B95" w:rsidRPr="006B611A">
        <w:rPr>
          <w:i/>
        </w:rPr>
        <w:t xml:space="preserve">Final </w:t>
      </w:r>
      <w:r w:rsidR="006520BB" w:rsidRPr="006B611A">
        <w:rPr>
          <w:i/>
        </w:rPr>
        <w:t>Report</w:t>
      </w:r>
      <w:r w:rsidR="001F0CDB" w:rsidRPr="006B611A">
        <w:rPr>
          <w:i/>
        </w:rPr>
        <w:t xml:space="preserve"> – Executive Summary</w:t>
      </w:r>
      <w:r w:rsidR="00C83260">
        <w:t>,</w:t>
      </w:r>
      <w:r w:rsidR="00726FAE" w:rsidRPr="00595489">
        <w:t xml:space="preserve"> </w:t>
      </w:r>
      <w:r w:rsidR="00A225A9">
        <w:t>(Report, 26 February 2021)</w:t>
      </w:r>
      <w:r w:rsidR="00726FAE">
        <w:br/>
      </w:r>
      <w:r w:rsidR="00705111" w:rsidRPr="00C83260">
        <w:t>&lt;</w:t>
      </w:r>
      <w:r w:rsidR="00705111">
        <w:t>https://</w:t>
      </w:r>
      <w:r w:rsidR="004C50B3">
        <w:t>agedcare.</w:t>
      </w:r>
      <w:r w:rsidR="001173F2">
        <w:t>royalcommission.gov.au</w:t>
      </w:r>
      <w:r w:rsidR="00044854">
        <w:t>/publications</w:t>
      </w:r>
      <w:r w:rsidR="00417A72">
        <w:t>/final-report</w:t>
      </w:r>
      <w:r w:rsidR="00417A72" w:rsidRPr="00C83260">
        <w:t>&gt;</w:t>
      </w:r>
      <w:r w:rsidR="00A23DE6">
        <w:t>.</w:t>
      </w:r>
    </w:p>
  </w:endnote>
  <w:endnote w:id="6">
    <w:p w14:paraId="75D02277" w14:textId="77777777" w:rsidR="00875ABD" w:rsidRDefault="00875ABD" w:rsidP="00875ABD">
      <w:pPr>
        <w:pStyle w:val="EndnoteText"/>
      </w:pPr>
      <w:r>
        <w:rPr>
          <w:rStyle w:val="EndnoteReference"/>
        </w:rPr>
        <w:endnoteRef/>
      </w:r>
      <w:r>
        <w:t xml:space="preserve"> Ronalds, C, </w:t>
      </w:r>
      <w:r w:rsidRPr="009E61C1">
        <w:rPr>
          <w:i/>
          <w:iCs/>
        </w:rPr>
        <w:t>Residents’ Rights and Responsibilities in approved Nursing homes and hostels</w:t>
      </w:r>
      <w:r>
        <w:rPr>
          <w:i/>
          <w:iCs/>
        </w:rPr>
        <w:t xml:space="preserve">, </w:t>
      </w:r>
      <w:r>
        <w:t>(Report, 1989).</w:t>
      </w:r>
    </w:p>
  </w:endnote>
  <w:endnote w:id="7">
    <w:p w14:paraId="4CC718A7" w14:textId="77777777" w:rsidR="00875ABD" w:rsidRPr="00EB6169" w:rsidRDefault="00875ABD" w:rsidP="00875ABD">
      <w:pPr>
        <w:pStyle w:val="EndnoteText"/>
      </w:pPr>
      <w:r>
        <w:rPr>
          <w:rStyle w:val="EndnoteReference"/>
        </w:rPr>
        <w:endnoteRef/>
      </w:r>
      <w:r>
        <w:t xml:space="preserve"> Older Persons Advocacy Network, </w:t>
      </w:r>
      <w:r>
        <w:rPr>
          <w:i/>
          <w:iCs/>
        </w:rPr>
        <w:t>Service Delivery Framework for the National Aged Care Advocacy Program</w:t>
      </w:r>
      <w:r>
        <w:t>, (Report, November 2019).</w:t>
      </w:r>
    </w:p>
  </w:endnote>
  <w:endnote w:id="8">
    <w:p w14:paraId="5621FE5C" w14:textId="27A541AC" w:rsidR="00B84CAF" w:rsidRDefault="00B84CAF" w:rsidP="00B84CAF">
      <w:pPr>
        <w:pStyle w:val="EndnoteText"/>
      </w:pPr>
      <w:r>
        <w:rPr>
          <w:rStyle w:val="EndnoteReference"/>
        </w:rPr>
        <w:endnoteRef/>
      </w:r>
      <w:r w:rsidRPr="00C83260">
        <w:t xml:space="preserve"> </w:t>
      </w:r>
      <w:r w:rsidR="00EB4C04" w:rsidRPr="00C83260">
        <w:t xml:space="preserve">Department of </w:t>
      </w:r>
      <w:r w:rsidR="00726FAE" w:rsidRPr="00C83260">
        <w:t>H</w:t>
      </w:r>
      <w:r w:rsidR="00A01ED0" w:rsidRPr="00C83260">
        <w:t>ealth</w:t>
      </w:r>
      <w:r w:rsidR="00344EF7">
        <w:t xml:space="preserve">, </w:t>
      </w:r>
      <w:r w:rsidR="00A21C5B" w:rsidRPr="006B611A">
        <w:rPr>
          <w:i/>
        </w:rPr>
        <w:t>National Aged Care Advocacy Framework</w:t>
      </w:r>
      <w:r w:rsidR="00C83260">
        <w:t>,</w:t>
      </w:r>
      <w:r w:rsidR="00726FAE" w:rsidRPr="00C83260">
        <w:t xml:space="preserve"> </w:t>
      </w:r>
      <w:r w:rsidR="00344EF7">
        <w:t xml:space="preserve">(Report, </w:t>
      </w:r>
      <w:r w:rsidR="00327F6F">
        <w:t>February 2019</w:t>
      </w:r>
      <w:r w:rsidR="00344EF7">
        <w:t>)</w:t>
      </w:r>
      <w:r w:rsidR="009040D5" w:rsidRPr="00C83260">
        <w:t xml:space="preserve"> </w:t>
      </w:r>
      <w:r w:rsidR="00D17416" w:rsidRPr="00C83260">
        <w:t>&lt;https://www.health</w:t>
      </w:r>
      <w:r w:rsidR="00B65310" w:rsidRPr="00C83260">
        <w:t>.gov.au</w:t>
      </w:r>
      <w:r w:rsidR="00CB2EAD" w:rsidRPr="00C83260">
        <w:t>/resources</w:t>
      </w:r>
      <w:r w:rsidR="009D3AB3" w:rsidRPr="00C83260">
        <w:t>/publications/national-aged-care-advocacy-framework&gt;</w:t>
      </w:r>
      <w:r w:rsidR="00A23DE6">
        <w:t>.</w:t>
      </w:r>
    </w:p>
  </w:endnote>
  <w:endnote w:id="9">
    <w:p w14:paraId="7127EECE" w14:textId="7CA292CA" w:rsidR="00B84CAF" w:rsidRDefault="00B84CAF" w:rsidP="00B84CAF">
      <w:pPr>
        <w:pStyle w:val="EndnoteText"/>
      </w:pPr>
      <w:r>
        <w:rPr>
          <w:rStyle w:val="EndnoteReference"/>
        </w:rPr>
        <w:endnoteRef/>
      </w:r>
      <w:r>
        <w:t xml:space="preserve"> </w:t>
      </w:r>
      <w:r w:rsidR="00527F68">
        <w:t>I</w:t>
      </w:r>
      <w:r w:rsidR="00B402FF" w:rsidRPr="00C83260">
        <w:t>bid.</w:t>
      </w:r>
    </w:p>
  </w:endnote>
  <w:endnote w:id="10">
    <w:p w14:paraId="24013772" w14:textId="53C6D486" w:rsidR="00B84CAF" w:rsidRDefault="00B84CAF" w:rsidP="00B84CAF">
      <w:pPr>
        <w:pStyle w:val="EndnoteText"/>
      </w:pPr>
      <w:r>
        <w:rPr>
          <w:rStyle w:val="EndnoteReference"/>
        </w:rPr>
        <w:endnoteRef/>
      </w:r>
      <w:r>
        <w:t xml:space="preserve"> </w:t>
      </w:r>
      <w:r w:rsidR="00527F68">
        <w:t>I</w:t>
      </w:r>
      <w:r w:rsidR="00B402FF" w:rsidRPr="00C83260">
        <w:t>bid.</w:t>
      </w:r>
    </w:p>
  </w:endnote>
  <w:endnote w:id="11">
    <w:p w14:paraId="5DB8C563" w14:textId="03E65535" w:rsidR="00B84CAF" w:rsidRDefault="00B84CAF" w:rsidP="00B84CAF">
      <w:pPr>
        <w:pStyle w:val="EndnoteText"/>
      </w:pPr>
      <w:r>
        <w:rPr>
          <w:rStyle w:val="EndnoteReference"/>
        </w:rPr>
        <w:endnoteRef/>
      </w:r>
      <w:r>
        <w:t xml:space="preserve"> </w:t>
      </w:r>
      <w:r w:rsidR="00ED508C">
        <w:t>Older Persons Advocacy Network</w:t>
      </w:r>
      <w:r w:rsidR="001436BD">
        <w:t>,</w:t>
      </w:r>
      <w:r>
        <w:t xml:space="preserve"> </w:t>
      </w:r>
      <w:r w:rsidRPr="006B611A">
        <w:rPr>
          <w:i/>
        </w:rPr>
        <w:t>Strategic Directions 2021-2026</w:t>
      </w:r>
      <w:r w:rsidR="00C83260">
        <w:t>,</w:t>
      </w:r>
      <w:r w:rsidR="00A01ED0" w:rsidRPr="00595489">
        <w:t xml:space="preserve"> </w:t>
      </w:r>
      <w:r w:rsidR="001436BD">
        <w:t xml:space="preserve">(Report, </w:t>
      </w:r>
      <w:r w:rsidR="00344EF7">
        <w:t>3 December 2021)</w:t>
      </w:r>
      <w:r w:rsidR="00344EF7">
        <w:br/>
      </w:r>
      <w:r w:rsidR="00B72DC3">
        <w:t>&lt;https://opan.org.au/about-us/what-we-do</w:t>
      </w:r>
      <w:r w:rsidR="003918C4" w:rsidRPr="00C83260">
        <w:t>&gt;</w:t>
      </w:r>
      <w:r w:rsidR="00A23DE6">
        <w:t>.</w:t>
      </w:r>
    </w:p>
  </w:endnote>
  <w:endnote w:id="12">
    <w:p w14:paraId="147950EB" w14:textId="365F959E" w:rsidR="00B84CAF" w:rsidRDefault="00B84CAF" w:rsidP="00B84CAF">
      <w:pPr>
        <w:pStyle w:val="EndnoteText"/>
      </w:pPr>
      <w:r>
        <w:rPr>
          <w:rStyle w:val="EndnoteReference"/>
        </w:rPr>
        <w:endnoteRef/>
      </w:r>
      <w:r w:rsidRPr="00C83260">
        <w:t xml:space="preserve"> </w:t>
      </w:r>
      <w:r w:rsidR="001436BD">
        <w:t>I</w:t>
      </w:r>
      <w:r w:rsidR="003918C4" w:rsidRPr="00C83260">
        <w:t>bid.</w:t>
      </w:r>
    </w:p>
  </w:endnote>
  <w:endnote w:id="13">
    <w:p w14:paraId="0D21F4B5" w14:textId="7267FFF9" w:rsidR="00B84CAF" w:rsidRDefault="00B84CAF" w:rsidP="00B84CAF">
      <w:pPr>
        <w:pStyle w:val="EndnoteText"/>
      </w:pPr>
      <w:r>
        <w:rPr>
          <w:rStyle w:val="EndnoteReference"/>
        </w:rPr>
        <w:endnoteRef/>
      </w:r>
      <w:r>
        <w:t xml:space="preserve"> Older Persons Advocacy Network, </w:t>
      </w:r>
      <w:r w:rsidRPr="00110D9F">
        <w:rPr>
          <w:i/>
        </w:rPr>
        <w:t>NACAP Progress Report – Half yearly report: Jan 2021 – June 2021 with annual view</w:t>
      </w:r>
      <w:r w:rsidR="001436BD">
        <w:t>, (Report, 31 July 2021)</w:t>
      </w:r>
    </w:p>
  </w:endnote>
  <w:endnote w:id="14">
    <w:p w14:paraId="4E0DCB38" w14:textId="0BFB8D31" w:rsidR="00B84CAF" w:rsidRDefault="00B84CAF" w:rsidP="00B84CAF">
      <w:pPr>
        <w:pStyle w:val="EndnoteText"/>
      </w:pPr>
      <w:r>
        <w:rPr>
          <w:rStyle w:val="EndnoteReference"/>
        </w:rPr>
        <w:endnoteRef/>
      </w:r>
      <w:r>
        <w:t xml:space="preserve"> </w:t>
      </w:r>
      <w:r w:rsidR="00B402FF" w:rsidRPr="00F30110">
        <w:t>Royal Commission into Aged Care Quality and Safety</w:t>
      </w:r>
      <w:r w:rsidR="009A423A">
        <w:t xml:space="preserve">, </w:t>
      </w:r>
      <w:r w:rsidR="00B402FF" w:rsidRPr="006B611A">
        <w:rPr>
          <w:i/>
        </w:rPr>
        <w:t>Final Report – Executive Summary</w:t>
      </w:r>
      <w:r w:rsidR="00C83260">
        <w:t>,</w:t>
      </w:r>
      <w:r w:rsidR="00FA24A9" w:rsidRPr="00C83260">
        <w:t xml:space="preserve"> </w:t>
      </w:r>
      <w:r w:rsidR="00BD430D">
        <w:t xml:space="preserve">(Report, </w:t>
      </w:r>
      <w:r w:rsidR="001436BD">
        <w:t>26 February 2021)</w:t>
      </w:r>
      <w:r w:rsidR="00B402FF" w:rsidRPr="00C83260">
        <w:t xml:space="preserve"> </w:t>
      </w:r>
      <w:r w:rsidR="00FA24A9" w:rsidRPr="00C83260">
        <w:br/>
      </w:r>
      <w:r w:rsidR="00B402FF" w:rsidRPr="00C83260">
        <w:t>&lt;https://agedcare.royalcommission.gov.au/publications/final-report&gt;</w:t>
      </w:r>
      <w:r w:rsidR="00A23DE6">
        <w:t>.</w:t>
      </w:r>
    </w:p>
  </w:endnote>
  <w:endnote w:id="15">
    <w:p w14:paraId="3DFBE5B9" w14:textId="1740CD4E" w:rsidR="00496018" w:rsidRDefault="00496018">
      <w:pPr>
        <w:pStyle w:val="EndnoteText"/>
      </w:pPr>
      <w:r>
        <w:rPr>
          <w:rStyle w:val="EndnoteReference"/>
        </w:rPr>
        <w:endnoteRef/>
      </w:r>
      <w:r>
        <w:t xml:space="preserve"> </w:t>
      </w:r>
      <w:r w:rsidR="00C5621A">
        <w:t>Ibid.</w:t>
      </w:r>
    </w:p>
  </w:endnote>
  <w:endnote w:id="16">
    <w:p w14:paraId="2DB75F7C" w14:textId="6C915951" w:rsidR="0090150A" w:rsidRDefault="0090150A">
      <w:pPr>
        <w:pStyle w:val="EndnoteText"/>
      </w:pPr>
      <w:r>
        <w:rPr>
          <w:rStyle w:val="EndnoteReference"/>
        </w:rPr>
        <w:endnoteRef/>
      </w:r>
      <w:r>
        <w:t xml:space="preserve"> Ibid.</w:t>
      </w:r>
    </w:p>
  </w:endnote>
  <w:endnote w:id="17">
    <w:p w14:paraId="24427E5A" w14:textId="3A973737" w:rsidR="005338CB" w:rsidRDefault="005338CB" w:rsidP="005338CB">
      <w:pPr>
        <w:pStyle w:val="EndnoteText"/>
      </w:pPr>
      <w:r>
        <w:rPr>
          <w:rStyle w:val="EndnoteReference"/>
        </w:rPr>
        <w:endnoteRef/>
      </w:r>
      <w:r>
        <w:t xml:space="preserve"> </w:t>
      </w:r>
      <w:r w:rsidR="00B402FF">
        <w:t>Older Persons Advocacy Network</w:t>
      </w:r>
      <w:r w:rsidR="00F75978">
        <w:t xml:space="preserve">, </w:t>
      </w:r>
      <w:r w:rsidR="00F75978" w:rsidRPr="00110D9F">
        <w:rPr>
          <w:i/>
          <w:iCs/>
        </w:rPr>
        <w:t>NACAP Progress Report – Half yearly report: Jan 2021 – June 2021 with annual view</w:t>
      </w:r>
      <w:r w:rsidR="00F75978">
        <w:t>, (Report, 31 July 2021)</w:t>
      </w:r>
    </w:p>
  </w:endnote>
  <w:endnote w:id="18">
    <w:p w14:paraId="025FD749" w14:textId="3566DB33" w:rsidR="003515D2" w:rsidRDefault="003515D2">
      <w:pPr>
        <w:pStyle w:val="EndnoteText"/>
      </w:pPr>
      <w:r>
        <w:rPr>
          <w:rStyle w:val="EndnoteReference"/>
        </w:rPr>
        <w:endnoteRef/>
      </w:r>
      <w:r>
        <w:t xml:space="preserve"> </w:t>
      </w:r>
      <w:r w:rsidR="00D30AB5" w:rsidRPr="00C83260">
        <w:t>Older Persons Advocacy Network</w:t>
      </w:r>
      <w:r w:rsidR="00D30AB5">
        <w:t xml:space="preserve">, </w:t>
      </w:r>
      <w:r w:rsidRPr="006B611A">
        <w:rPr>
          <w:i/>
        </w:rPr>
        <w:t>OPAN annual report 2020-2021</w:t>
      </w:r>
      <w:r w:rsidR="00D30AB5">
        <w:t>, (Report, 2021)</w:t>
      </w:r>
    </w:p>
  </w:endnote>
  <w:endnote w:id="19">
    <w:p w14:paraId="427FDB1D" w14:textId="77777777" w:rsidR="005F3C0A" w:rsidRDefault="005F3C0A" w:rsidP="005F3C0A">
      <w:pPr>
        <w:pStyle w:val="EndnoteText"/>
      </w:pPr>
      <w:r>
        <w:rPr>
          <w:rStyle w:val="EndnoteReference"/>
        </w:rPr>
        <w:endnoteRef/>
      </w:r>
      <w:r>
        <w:t xml:space="preserve"> </w:t>
      </w:r>
      <w:r w:rsidRPr="00C83260">
        <w:t>Older Persons Advocacy Network</w:t>
      </w:r>
      <w:r>
        <w:t xml:space="preserve">, </w:t>
      </w:r>
      <w:r>
        <w:rPr>
          <w:i/>
          <w:iCs/>
        </w:rPr>
        <w:t>OPAN NACAP Presenting Issues Report</w:t>
      </w:r>
      <w:r>
        <w:t>, (Report, 2021)</w:t>
      </w:r>
    </w:p>
  </w:endnote>
  <w:endnote w:id="20">
    <w:p w14:paraId="4886A22C" w14:textId="596174BA" w:rsidR="00C71716" w:rsidRDefault="00C71716" w:rsidP="00C71716">
      <w:pPr>
        <w:pStyle w:val="EndnoteText"/>
      </w:pPr>
      <w:r>
        <w:rPr>
          <w:rStyle w:val="EndnoteReference"/>
        </w:rPr>
        <w:endnoteRef/>
      </w:r>
      <w:r>
        <w:t xml:space="preserve"> </w:t>
      </w:r>
      <w:r w:rsidR="001D1B4C">
        <w:t>Aged Care Quality and Safety Commission</w:t>
      </w:r>
      <w:r w:rsidR="006902B0">
        <w:t xml:space="preserve">, </w:t>
      </w:r>
      <w:r w:rsidR="001D1B4C" w:rsidRPr="006B611A">
        <w:rPr>
          <w:i/>
        </w:rPr>
        <w:t>About us</w:t>
      </w:r>
      <w:r w:rsidR="00C83260">
        <w:t>,</w:t>
      </w:r>
      <w:r w:rsidR="001D1B4C" w:rsidRPr="00C83260">
        <w:t xml:space="preserve"> </w:t>
      </w:r>
      <w:r w:rsidR="006902B0">
        <w:t>(Web Page, 2021)</w:t>
      </w:r>
      <w:r w:rsidR="001D1B4C" w:rsidRPr="00C83260">
        <w:t xml:space="preserve"> &lt;https://www.agedcarequality.gov.au/about-us&gt;</w:t>
      </w:r>
      <w:r w:rsidR="00A23DE6">
        <w:t>.</w:t>
      </w:r>
    </w:p>
  </w:endnote>
  <w:endnote w:id="21">
    <w:p w14:paraId="70085017" w14:textId="0AC7F790" w:rsidR="00C71716" w:rsidRDefault="00C71716" w:rsidP="00C71716">
      <w:pPr>
        <w:pStyle w:val="EndnoteText"/>
      </w:pPr>
      <w:r>
        <w:rPr>
          <w:rStyle w:val="EndnoteReference"/>
        </w:rPr>
        <w:endnoteRef/>
      </w:r>
      <w:r>
        <w:t xml:space="preserve"> </w:t>
      </w:r>
      <w:r w:rsidR="001D1B4C">
        <w:t>Aged Care Quality and Safety Commission</w:t>
      </w:r>
      <w:r w:rsidR="006902B0">
        <w:t xml:space="preserve">, </w:t>
      </w:r>
      <w:r w:rsidR="001D1B4C" w:rsidRPr="006B611A">
        <w:rPr>
          <w:i/>
        </w:rPr>
        <w:t>Annual Report 2020-21</w:t>
      </w:r>
      <w:r w:rsidR="00C83260">
        <w:t>,</w:t>
      </w:r>
      <w:r w:rsidR="0028163E" w:rsidRPr="00595489">
        <w:t xml:space="preserve"> </w:t>
      </w:r>
      <w:r w:rsidR="006902B0">
        <w:t>(Report, 2021)</w:t>
      </w:r>
      <w:r w:rsidR="001D1B4C">
        <w:t xml:space="preserve"> &lt;https://www.transparency.gov.au/annual-reports/aged-care-quality-and-safety-commission/reporting-year/2020-21</w:t>
      </w:r>
      <w:r w:rsidR="001D1B4C" w:rsidRPr="00C83260">
        <w:t>&gt;</w:t>
      </w:r>
      <w:r w:rsidR="00A23DE6">
        <w:t>.</w:t>
      </w:r>
    </w:p>
  </w:endnote>
  <w:endnote w:id="22">
    <w:p w14:paraId="09F587F5" w14:textId="347109AF" w:rsidR="00C71716" w:rsidRDefault="00C71716" w:rsidP="00C71716">
      <w:pPr>
        <w:pStyle w:val="EndnoteText"/>
      </w:pPr>
      <w:r>
        <w:rPr>
          <w:rStyle w:val="EndnoteReference"/>
        </w:rPr>
        <w:endnoteRef/>
      </w:r>
      <w:r>
        <w:t xml:space="preserve"> </w:t>
      </w:r>
      <w:r w:rsidR="006902B0">
        <w:t>I</w:t>
      </w:r>
      <w:r w:rsidR="00FC6826">
        <w:t>bid.</w:t>
      </w:r>
    </w:p>
  </w:endnote>
  <w:endnote w:id="23">
    <w:p w14:paraId="2B6D7063" w14:textId="0619B6B8" w:rsidR="00C71716" w:rsidRDefault="00C71716" w:rsidP="00C71716">
      <w:pPr>
        <w:pStyle w:val="EndnoteText"/>
      </w:pPr>
      <w:r>
        <w:rPr>
          <w:rStyle w:val="EndnoteReference"/>
        </w:rPr>
        <w:endnoteRef/>
      </w:r>
      <w:r>
        <w:t xml:space="preserve"> </w:t>
      </w:r>
      <w:r w:rsidR="006902B0">
        <w:t>I</w:t>
      </w:r>
      <w:r w:rsidR="00B9507D">
        <w:t>bid</w:t>
      </w:r>
      <w:r w:rsidR="00FC6826">
        <w:t>.</w:t>
      </w:r>
    </w:p>
  </w:endnote>
  <w:endnote w:id="24">
    <w:p w14:paraId="207D4A27" w14:textId="238356D6" w:rsidR="00C71716" w:rsidRDefault="00C71716" w:rsidP="00C71716">
      <w:pPr>
        <w:pStyle w:val="EndnoteText"/>
      </w:pPr>
      <w:r>
        <w:rPr>
          <w:rStyle w:val="EndnoteReference"/>
        </w:rPr>
        <w:endnoteRef/>
      </w:r>
      <w:r>
        <w:t xml:space="preserve"> </w:t>
      </w:r>
      <w:r w:rsidR="006902B0">
        <w:t>I</w:t>
      </w:r>
      <w:r w:rsidR="0066594E" w:rsidRPr="00EA178E">
        <w:t>bi</w:t>
      </w:r>
      <w:r w:rsidR="0066594E" w:rsidRPr="00C83260">
        <w:t>d.</w:t>
      </w:r>
    </w:p>
  </w:endnote>
  <w:endnote w:id="25">
    <w:p w14:paraId="07524FF0" w14:textId="77777777" w:rsidR="00C25803" w:rsidRPr="00D57016" w:rsidRDefault="00C25803" w:rsidP="00C25803">
      <w:pPr>
        <w:pStyle w:val="EndnoteText"/>
      </w:pPr>
      <w:r>
        <w:rPr>
          <w:rStyle w:val="EndnoteReference"/>
        </w:rPr>
        <w:endnoteRef/>
      </w:r>
      <w:r>
        <w:t xml:space="preserve"> Lixia Qu et al., ‘</w:t>
      </w:r>
      <w:r w:rsidRPr="00EA178E">
        <w:t>National Elder Abuse Prevalence Study: Final Report</w:t>
      </w:r>
      <w:r>
        <w:t>’</w:t>
      </w:r>
      <w:r w:rsidRPr="00EA178E">
        <w:t>.</w:t>
      </w:r>
      <w:r>
        <w:t xml:space="preserve"> (Research Report, July 2021</w:t>
      </w:r>
      <w:r w:rsidRPr="00C83260">
        <w:t>).</w:t>
      </w:r>
      <w:r>
        <w:t xml:space="preserve"> Melbourne: Australian Institute of Family Studies.</w:t>
      </w:r>
    </w:p>
  </w:endnote>
  <w:endnote w:id="26">
    <w:p w14:paraId="1C64B256" w14:textId="77777777" w:rsidR="00DE775D" w:rsidRDefault="00DE775D" w:rsidP="00DE775D">
      <w:pPr>
        <w:pStyle w:val="EndnoteText"/>
      </w:pPr>
      <w:r>
        <w:rPr>
          <w:rStyle w:val="EndnoteReference"/>
        </w:rPr>
        <w:endnoteRef/>
      </w:r>
      <w:r>
        <w:t xml:space="preserve"> Older Persons Advocacy Network, </w:t>
      </w:r>
      <w:r w:rsidRPr="00110D9F">
        <w:rPr>
          <w:i/>
          <w:iCs/>
        </w:rPr>
        <w:t>NACAP Progress Report – Half yearly report: Jan 2021 – June 2021 with annual view</w:t>
      </w:r>
      <w:r>
        <w:t>, (Report, 31 July 2021)</w:t>
      </w:r>
    </w:p>
  </w:endnote>
  <w:endnote w:id="27">
    <w:p w14:paraId="6C644174" w14:textId="7067469A" w:rsidR="005A7552" w:rsidRDefault="005A7552" w:rsidP="005A7552">
      <w:pPr>
        <w:pStyle w:val="EndnoteText"/>
      </w:pPr>
      <w:r>
        <w:rPr>
          <w:rStyle w:val="EndnoteReference"/>
        </w:rPr>
        <w:endnoteRef/>
      </w:r>
      <w:r>
        <w:t xml:space="preserve"> AHA Consulting</w:t>
      </w:r>
      <w:r w:rsidR="00EE17CE">
        <w:t xml:space="preserve">, </w:t>
      </w:r>
      <w:r w:rsidRPr="006B611A">
        <w:rPr>
          <w:i/>
        </w:rPr>
        <w:t xml:space="preserve">Review of Commonwealth Aged </w:t>
      </w:r>
      <w:r w:rsidR="002D0A3C" w:rsidRPr="006B611A">
        <w:rPr>
          <w:i/>
        </w:rPr>
        <w:t>Care Advocacy Services – Final Report</w:t>
      </w:r>
      <w:r w:rsidR="0076368B" w:rsidRPr="006B611A">
        <w:rPr>
          <w:i/>
        </w:rPr>
        <w:t>,</w:t>
      </w:r>
      <w:r w:rsidR="00BF745D" w:rsidRPr="00C83260">
        <w:t xml:space="preserve"> </w:t>
      </w:r>
      <w:r w:rsidR="00EE17CE">
        <w:t xml:space="preserve">(Report, </w:t>
      </w:r>
      <w:r w:rsidR="00037E7E">
        <w:t>December 2015)</w:t>
      </w:r>
      <w:r w:rsidR="00EE17CE">
        <w:t xml:space="preserve"> </w:t>
      </w:r>
      <w:r w:rsidR="00C66CB9" w:rsidRPr="00C83260">
        <w:t>&lt;</w:t>
      </w:r>
      <w:r w:rsidR="004B27B5" w:rsidRPr="00EA178E">
        <w:t>https://www.dss.gov.au/sites/default/files/documents/02_2016/advocacy_review_final_report.pdf</w:t>
      </w:r>
      <w:r w:rsidR="00A23DE6">
        <w:t>&gt;.</w:t>
      </w:r>
    </w:p>
  </w:endnote>
  <w:endnote w:id="28">
    <w:p w14:paraId="37E2DD2B" w14:textId="6F8D4527" w:rsidR="00D6069D" w:rsidRDefault="00D6069D" w:rsidP="00D6069D">
      <w:pPr>
        <w:pStyle w:val="EndnoteText"/>
      </w:pPr>
      <w:r>
        <w:rPr>
          <w:rStyle w:val="EndnoteReference"/>
        </w:rPr>
        <w:endnoteRef/>
      </w:r>
      <w:r w:rsidR="005703E3">
        <w:t xml:space="preserve"> Older Persons Advocacy Network</w:t>
      </w:r>
      <w:r w:rsidR="00491099">
        <w:t xml:space="preserve">, </w:t>
      </w:r>
      <w:r w:rsidR="00847521" w:rsidRPr="006B611A">
        <w:rPr>
          <w:i/>
        </w:rPr>
        <w:t>OPAN Response to the Aged Care Royal Commission Final Report “Care, Dignity and Respect”</w:t>
      </w:r>
      <w:r w:rsidR="00C83260" w:rsidRPr="006B611A">
        <w:rPr>
          <w:i/>
        </w:rPr>
        <w:t>,</w:t>
      </w:r>
      <w:r w:rsidR="00D45C8C" w:rsidRPr="00595489">
        <w:t xml:space="preserve"> </w:t>
      </w:r>
      <w:r w:rsidR="00491099">
        <w:t xml:space="preserve">(Report, </w:t>
      </w:r>
      <w:r w:rsidR="00EE17CE">
        <w:t>A</w:t>
      </w:r>
      <w:r w:rsidR="00527F68">
        <w:t>p</w:t>
      </w:r>
      <w:r w:rsidR="00EE17CE">
        <w:t>ril 2021)</w:t>
      </w:r>
      <w:r w:rsidR="0076775F">
        <w:br/>
      </w:r>
      <w:r w:rsidR="00F20C70">
        <w:t xml:space="preserve"> </w:t>
      </w:r>
      <w:r w:rsidR="00D45C8C">
        <w:t>&lt;</w:t>
      </w:r>
      <w:r w:rsidR="00D45C8C" w:rsidRPr="00D45C8C">
        <w:t>https://opan.org.au/wp-content/uploads/2021/04/OPAN-Response-to-the-Royal-Commission-Final-Report_V2-1.pdf</w:t>
      </w:r>
      <w:r w:rsidR="00D45C8C" w:rsidRPr="00C83260">
        <w:t>&gt;</w:t>
      </w:r>
      <w:r w:rsidR="00A23DE6">
        <w:t>.</w:t>
      </w:r>
    </w:p>
  </w:endnote>
  <w:endnote w:id="29">
    <w:p w14:paraId="2FD10CEF" w14:textId="266FCBD7" w:rsidR="00AC2445" w:rsidRDefault="00AC2445" w:rsidP="00AC2445">
      <w:pPr>
        <w:pStyle w:val="EndnoteText"/>
      </w:pPr>
      <w:r>
        <w:rPr>
          <w:rStyle w:val="EndnoteReference"/>
        </w:rPr>
        <w:endnoteRef/>
      </w:r>
      <w:r>
        <w:t xml:space="preserve"> </w:t>
      </w:r>
      <w:r w:rsidR="00D45C8C">
        <w:t>Older Persons Advocacy Network (2021</w:t>
      </w:r>
      <w:r w:rsidR="00115D90">
        <w:t>).</w:t>
      </w:r>
      <w:r w:rsidR="00D45C8C">
        <w:t xml:space="preserve"> </w:t>
      </w:r>
      <w:r w:rsidR="00D45C8C" w:rsidRPr="00EA178E">
        <w:t>NACAP</w:t>
      </w:r>
      <w:r>
        <w:t xml:space="preserve"> Progress Report </w:t>
      </w:r>
      <w:r w:rsidR="00D45C8C" w:rsidRPr="00EA178E">
        <w:t xml:space="preserve">– Half yearly report: </w:t>
      </w:r>
      <w:r>
        <w:t>Jan 2021 – June 2021 with annual view</w:t>
      </w:r>
      <w:r w:rsidR="00D45C8C">
        <w:t>.</w:t>
      </w:r>
    </w:p>
  </w:endnote>
  <w:endnote w:id="30">
    <w:p w14:paraId="1EBC7729" w14:textId="2A59D0FC" w:rsidR="006C7652" w:rsidRDefault="006C7652" w:rsidP="006C7652">
      <w:pPr>
        <w:pStyle w:val="EndnoteText"/>
      </w:pPr>
      <w:r>
        <w:rPr>
          <w:rStyle w:val="EndnoteReference"/>
        </w:rPr>
        <w:endnoteRef/>
      </w:r>
      <w:r>
        <w:t xml:space="preserve"> </w:t>
      </w:r>
      <w:r w:rsidR="00E25017">
        <w:t>I</w:t>
      </w:r>
      <w:r w:rsidR="00D45C8C" w:rsidRPr="00C83260">
        <w:t>bid.</w:t>
      </w:r>
    </w:p>
  </w:endnote>
  <w:endnote w:id="31">
    <w:p w14:paraId="15EB828A" w14:textId="19A2ED6B" w:rsidR="009601A2" w:rsidRDefault="009601A2" w:rsidP="009601A2">
      <w:pPr>
        <w:pStyle w:val="EndnoteText"/>
      </w:pPr>
      <w:r>
        <w:rPr>
          <w:rStyle w:val="EndnoteReference"/>
        </w:rPr>
        <w:endnoteRef/>
      </w:r>
      <w:r w:rsidR="00D45C8C">
        <w:t xml:space="preserve"> Older Persons Advocacy Network</w:t>
      </w:r>
      <w:r w:rsidR="00006995">
        <w:t xml:space="preserve">, </w:t>
      </w:r>
      <w:r w:rsidR="00D45C8C" w:rsidRPr="006B611A">
        <w:rPr>
          <w:i/>
        </w:rPr>
        <w:t>OPAN Response to the Aged Care Royal Commission Final Report “Care, Dignity and Respect”</w:t>
      </w:r>
      <w:r w:rsidR="00C83260">
        <w:t>,</w:t>
      </w:r>
      <w:r w:rsidR="00D45C8C" w:rsidRPr="00EA178E">
        <w:t xml:space="preserve"> </w:t>
      </w:r>
      <w:r w:rsidR="00527F68">
        <w:t>(Report, April 2021)</w:t>
      </w:r>
      <w:r w:rsidR="00527F68">
        <w:br/>
      </w:r>
      <w:r w:rsidR="00D45C8C">
        <w:t>&lt;</w:t>
      </w:r>
      <w:r w:rsidR="00D45C8C" w:rsidRPr="00D45C8C">
        <w:t>https://opan.org.au/wp-content/uploads/2021/04/OPAN-Response-to-the-Royal-Commission-Final-Report_V2-1.pdf</w:t>
      </w:r>
      <w:r w:rsidR="00D45C8C" w:rsidRPr="00C83260">
        <w:t>&gt;</w:t>
      </w:r>
      <w:r w:rsidR="00A23DE6">
        <w:t>.</w:t>
      </w:r>
    </w:p>
  </w:endnote>
  <w:endnote w:id="32">
    <w:p w14:paraId="06FB976B" w14:textId="1038C3D5" w:rsidR="009601A2" w:rsidRDefault="009601A2" w:rsidP="009601A2">
      <w:pPr>
        <w:pStyle w:val="EndnoteText"/>
      </w:pPr>
      <w:r>
        <w:rPr>
          <w:rStyle w:val="EndnoteReference"/>
        </w:rPr>
        <w:endnoteRef/>
      </w:r>
      <w:r>
        <w:t xml:space="preserve"> </w:t>
      </w:r>
      <w:r w:rsidR="00D45C8C">
        <w:t>Older Persons Advocacy Network</w:t>
      </w:r>
      <w:r w:rsidR="00186381">
        <w:t xml:space="preserve">, </w:t>
      </w:r>
      <w:r w:rsidR="00D45C8C" w:rsidRPr="006B611A">
        <w:rPr>
          <w:i/>
        </w:rPr>
        <w:t>NACAP Progress Report – Half yearly report: Jan 2021 – June 2021 with annual view</w:t>
      </w:r>
      <w:r w:rsidR="00647000">
        <w:t>, (</w:t>
      </w:r>
      <w:r w:rsidR="00C56F44">
        <w:t>Report</w:t>
      </w:r>
      <w:r w:rsidR="00F70D5B">
        <w:t>, 31 July 2021)</w:t>
      </w:r>
    </w:p>
  </w:endnote>
  <w:endnote w:id="33">
    <w:p w14:paraId="4BC99045" w14:textId="6CBD8284" w:rsidR="00EA554D" w:rsidRDefault="00EA554D" w:rsidP="00EA554D">
      <w:pPr>
        <w:pStyle w:val="EndnoteText"/>
      </w:pPr>
      <w:r>
        <w:rPr>
          <w:rStyle w:val="EndnoteReference"/>
        </w:rPr>
        <w:endnoteRef/>
      </w:r>
      <w:r>
        <w:t xml:space="preserve"> </w:t>
      </w:r>
      <w:r w:rsidR="00186381">
        <w:t>I</w:t>
      </w:r>
      <w:r w:rsidR="00D45C8C" w:rsidRPr="00C83260">
        <w:t>bid.</w:t>
      </w:r>
    </w:p>
  </w:endnote>
  <w:endnote w:id="34">
    <w:p w14:paraId="7CEC8895" w14:textId="3D44EE60" w:rsidR="009601A2" w:rsidRDefault="009601A2" w:rsidP="009601A2">
      <w:pPr>
        <w:pStyle w:val="EndnoteText"/>
      </w:pPr>
      <w:r>
        <w:rPr>
          <w:rStyle w:val="EndnoteReference"/>
        </w:rPr>
        <w:endnoteRef/>
      </w:r>
      <w:r>
        <w:t xml:space="preserve"> </w:t>
      </w:r>
      <w:r w:rsidR="00186381">
        <w:t>I</w:t>
      </w:r>
      <w:r w:rsidR="00D45C8C" w:rsidRPr="00C83260">
        <w:t>bid.</w:t>
      </w:r>
    </w:p>
  </w:endnote>
  <w:endnote w:id="35">
    <w:p w14:paraId="104B913E" w14:textId="77777777" w:rsidR="00FF15B0" w:rsidRDefault="00FF15B0" w:rsidP="00FF15B0">
      <w:pPr>
        <w:pStyle w:val="EndnoteText"/>
      </w:pPr>
      <w:r>
        <w:rPr>
          <w:rStyle w:val="EndnoteReference"/>
        </w:rPr>
        <w:endnoteRef/>
      </w:r>
      <w:r>
        <w:t xml:space="preserve"> The Treasury, </w:t>
      </w:r>
      <w:r w:rsidRPr="005033AE">
        <w:rPr>
          <w:i/>
        </w:rPr>
        <w:t>2021 Intergenerational Report</w:t>
      </w:r>
      <w:r>
        <w:t>, (Report, 28 June 2021) &lt;</w:t>
      </w:r>
      <w:r w:rsidRPr="006B611A">
        <w:t>https://treasury.gov.au/publication/2021-intergenerational-report</w:t>
      </w:r>
      <w:r>
        <w:t>&gt;.</w:t>
      </w:r>
    </w:p>
  </w:endnote>
  <w:endnote w:id="36">
    <w:p w14:paraId="291AF1AD" w14:textId="1A7AEC47" w:rsidR="00FF15B0" w:rsidRPr="00FB5AA7" w:rsidRDefault="00FF15B0" w:rsidP="00FF15B0">
      <w:pPr>
        <w:pStyle w:val="EndnoteText"/>
      </w:pPr>
      <w:r>
        <w:rPr>
          <w:rStyle w:val="EndnoteReference"/>
        </w:rPr>
        <w:endnoteRef/>
      </w:r>
      <w:r>
        <w:t xml:space="preserve"> Australian Bureau of Statistics, </w:t>
      </w:r>
      <w:r w:rsidRPr="006B611A">
        <w:rPr>
          <w:i/>
        </w:rPr>
        <w:t>Cause of death, Australia,</w:t>
      </w:r>
      <w:r>
        <w:rPr>
          <w:i/>
          <w:iCs/>
        </w:rPr>
        <w:t xml:space="preserve"> </w:t>
      </w:r>
      <w:r w:rsidRPr="006B611A">
        <w:rPr>
          <w:i/>
        </w:rPr>
        <w:t>2020</w:t>
      </w:r>
      <w:r>
        <w:t>, (Catalogue No 3303.0, 29 September 2021).</w:t>
      </w:r>
    </w:p>
  </w:endnote>
  <w:endnote w:id="37">
    <w:p w14:paraId="0557B96F" w14:textId="46D3CC76" w:rsidR="001B43B7" w:rsidRPr="00AC17C2" w:rsidRDefault="001B43B7" w:rsidP="001B43B7">
      <w:pPr>
        <w:pStyle w:val="EndnoteText"/>
      </w:pPr>
      <w:r>
        <w:rPr>
          <w:rStyle w:val="EndnoteReference"/>
        </w:rPr>
        <w:endnoteRef/>
      </w:r>
      <w:r>
        <w:t xml:space="preserve"> Australian Institute of Health and Welfare, </w:t>
      </w:r>
      <w:r w:rsidRPr="005033AE">
        <w:rPr>
          <w:i/>
        </w:rPr>
        <w:t>GEN Aged Care Data: People using aged care</w:t>
      </w:r>
      <w:r>
        <w:t>, (Report, 27 April 2021)</w:t>
      </w:r>
      <w:r w:rsidR="00A95B6A">
        <w:t xml:space="preserve"> </w:t>
      </w:r>
      <w:r>
        <w:t>&lt;</w:t>
      </w:r>
      <w:r w:rsidRPr="006B611A">
        <w:t>https://www.gen-agedcaredata.gov.au/Topics/People-using-aged-care</w:t>
      </w:r>
      <w:r>
        <w:t>&gt;.</w:t>
      </w:r>
    </w:p>
  </w:endnote>
  <w:endnote w:id="38">
    <w:p w14:paraId="611762FC" w14:textId="1AB7AE8C" w:rsidR="009D5109" w:rsidRPr="005F0894" w:rsidRDefault="009D5109" w:rsidP="009D5109">
      <w:pPr>
        <w:pStyle w:val="EndnoteText"/>
      </w:pPr>
      <w:r>
        <w:rPr>
          <w:rStyle w:val="EndnoteReference"/>
        </w:rPr>
        <w:endnoteRef/>
      </w:r>
      <w:r>
        <w:t xml:space="preserve"> Aged Care Workforce Strategy Taskforce</w:t>
      </w:r>
      <w:r w:rsidR="00E10F01">
        <w:t>,</w:t>
      </w:r>
      <w:r>
        <w:t xml:space="preserve"> </w:t>
      </w:r>
      <w:r>
        <w:rPr>
          <w:i/>
          <w:iCs/>
        </w:rPr>
        <w:t>A Matter of Care, Australia’s Aged Care Workforce Strategy,</w:t>
      </w:r>
      <w:r>
        <w:t xml:space="preserve"> </w:t>
      </w:r>
      <w:r w:rsidR="00E10F01">
        <w:t>(R</w:t>
      </w:r>
      <w:r w:rsidR="0026453E">
        <w:t>eport, June 2018)</w:t>
      </w:r>
      <w:r w:rsidR="00A95B6A">
        <w:t xml:space="preserve"> </w:t>
      </w:r>
      <w:r w:rsidR="006B4A89">
        <w:t>&lt;</w:t>
      </w:r>
      <w:r w:rsidR="006B4A89" w:rsidRPr="006B611A">
        <w:t>https://agedcare.royalcommission.gov.au/system/files/2020-06/UVH.0001.0007.0001.pdf</w:t>
      </w:r>
      <w:r w:rsidR="006B4A89">
        <w:t>&gt;</w:t>
      </w:r>
      <w:r w:rsidR="001400A5">
        <w:t>.</w:t>
      </w:r>
    </w:p>
  </w:endnote>
  <w:endnote w:id="39">
    <w:p w14:paraId="3F5E1E80" w14:textId="29C137AA" w:rsidR="005C3DD4" w:rsidRDefault="005C3DD4" w:rsidP="005C3DD4">
      <w:pPr>
        <w:pStyle w:val="EndnoteText"/>
      </w:pPr>
      <w:r>
        <w:rPr>
          <w:rStyle w:val="EndnoteReference"/>
        </w:rPr>
        <w:endnoteRef/>
      </w:r>
      <w:r>
        <w:t xml:space="preserve"> Department of Social Services, </w:t>
      </w:r>
      <w:r w:rsidRPr="006B611A">
        <w:rPr>
          <w:i/>
        </w:rPr>
        <w:t xml:space="preserve">Review of the National Disability Advocacy Program </w:t>
      </w:r>
      <w:r w:rsidRPr="006B611A">
        <w:rPr>
          <w:i/>
          <w:iCs/>
        </w:rPr>
        <w:t>– Consultation Report</w:t>
      </w:r>
      <w:r w:rsidRPr="006B611A">
        <w:rPr>
          <w:i/>
        </w:rPr>
        <w:t>,</w:t>
      </w:r>
      <w:r w:rsidRPr="00EA178E">
        <w:t xml:space="preserve"> </w:t>
      </w:r>
      <w:r>
        <w:t>(Report, July 2017)</w:t>
      </w:r>
      <w:r w:rsidR="00A95B6A">
        <w:t xml:space="preserve"> </w:t>
      </w:r>
      <w:r>
        <w:t>&lt;</w:t>
      </w:r>
      <w:r w:rsidRPr="007B0EE2">
        <w:t>https://engage.dss.gov.au/wp-content/uploads/</w:t>
      </w:r>
      <w:r w:rsidRPr="00F56EFC">
        <w:t>2017/07/consultation_report_-_review_of_the_</w:t>
      </w:r>
      <w:r>
        <w:t>national</w:t>
      </w:r>
      <w:r w:rsidRPr="00F56EFC">
        <w:t>_</w:t>
      </w:r>
      <w:r>
        <w:t>disability</w:t>
      </w:r>
      <w:r w:rsidRPr="00F56EFC">
        <w:t>_</w:t>
      </w:r>
      <w:r>
        <w:t>advocacy</w:t>
      </w:r>
      <w:r w:rsidRPr="00F56EFC">
        <w:t>_</w:t>
      </w:r>
      <w:r>
        <w:t>program</w:t>
      </w:r>
      <w:r w:rsidRPr="007B0EE2">
        <w:t>.pdf</w:t>
      </w:r>
      <w:r w:rsidRPr="00C83260">
        <w:t>&gt;</w:t>
      </w:r>
      <w:r>
        <w:t>.</w:t>
      </w:r>
    </w:p>
  </w:endnote>
  <w:endnote w:id="40">
    <w:p w14:paraId="18C4E128" w14:textId="77777777" w:rsidR="005C3DD4" w:rsidRDefault="005C3DD4" w:rsidP="005C3DD4">
      <w:pPr>
        <w:pStyle w:val="EndnoteText"/>
      </w:pPr>
      <w:r>
        <w:rPr>
          <w:rStyle w:val="EndnoteReference"/>
        </w:rPr>
        <w:endnoteRef/>
      </w:r>
      <w:r>
        <w:t xml:space="preserve"> Senate Community Affairs Committee Secretariat, </w:t>
      </w:r>
      <w:r w:rsidRPr="006B611A">
        <w:rPr>
          <w:i/>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t>, (Report, November 2015) &lt;</w:t>
      </w:r>
      <w:r w:rsidRPr="00EA178E">
        <w:t>https://www.aph.gov.au/Parliamentary_Business/Committees/Senate/Community_Affairs/Violence_abuse_neglect/~/media/Committees/clac_ctte/Violence_abuse_neglect/report.pdf</w:t>
      </w:r>
      <w:r w:rsidRPr="00C83260">
        <w:t>&gt;</w:t>
      </w:r>
      <w:r>
        <w:t>.</w:t>
      </w:r>
    </w:p>
  </w:endnote>
  <w:endnote w:id="41">
    <w:p w14:paraId="53FE680A" w14:textId="3216C209" w:rsidR="005C3DD4" w:rsidRDefault="005C3DD4" w:rsidP="005C3DD4">
      <w:pPr>
        <w:pStyle w:val="EndnoteText"/>
      </w:pPr>
      <w:r>
        <w:rPr>
          <w:rStyle w:val="EndnoteReference"/>
        </w:rPr>
        <w:endnoteRef/>
      </w:r>
      <w:r w:rsidRPr="00C83260">
        <w:t xml:space="preserve"> Department of Social Services</w:t>
      </w:r>
      <w:r>
        <w:t xml:space="preserve">, Discussion paper - </w:t>
      </w:r>
      <w:r w:rsidRPr="006B611A">
        <w:rPr>
          <w:i/>
        </w:rPr>
        <w:t xml:space="preserve">Review of the National Disability Advocacy </w:t>
      </w:r>
      <w:r w:rsidRPr="006B611A">
        <w:rPr>
          <w:i/>
          <w:iCs/>
        </w:rPr>
        <w:t>Framewor</w:t>
      </w:r>
      <w:r>
        <w:rPr>
          <w:i/>
          <w:iCs/>
        </w:rPr>
        <w:t>k</w:t>
      </w:r>
      <w:r>
        <w:t>,</w:t>
      </w:r>
      <w:r w:rsidRPr="00EA178E">
        <w:t xml:space="preserve"> </w:t>
      </w:r>
      <w:r>
        <w:t>(Report, June 2015)</w:t>
      </w:r>
      <w:r w:rsidR="00A95B6A">
        <w:t xml:space="preserve"> </w:t>
      </w:r>
      <w:r w:rsidRPr="00C83260">
        <w:t>&lt;http://neda.org.au/sites/default/files/2017-06/NDAF%20-%20Discussion%20-%20Paper.pdf&gt;</w:t>
      </w:r>
      <w:r>
        <w:t>.</w:t>
      </w:r>
    </w:p>
  </w:endnote>
  <w:endnote w:id="42">
    <w:p w14:paraId="61EA1D6D" w14:textId="67855821" w:rsidR="005C3DD4" w:rsidRDefault="005C3DD4" w:rsidP="005C3DD4">
      <w:pPr>
        <w:pStyle w:val="EndnoteText"/>
      </w:pPr>
      <w:r>
        <w:rPr>
          <w:rStyle w:val="EndnoteReference"/>
        </w:rPr>
        <w:endnoteRef/>
      </w:r>
      <w:r>
        <w:t xml:space="preserve"> Royal Commission into Violence, Abuse, Neglect and Exploitation of People with Disability, </w:t>
      </w:r>
      <w:r w:rsidRPr="006B611A">
        <w:rPr>
          <w:i/>
        </w:rPr>
        <w:t>Interim Report Summary</w:t>
      </w:r>
      <w:r>
        <w:t>, (Report, October 2020)</w:t>
      </w:r>
      <w:r w:rsidR="00A95B6A">
        <w:t xml:space="preserve"> </w:t>
      </w:r>
      <w:r>
        <w:t>&lt;</w:t>
      </w:r>
      <w:r w:rsidRPr="00393FED">
        <w:t>https://disability.royalcommission.gov.au/system/files/2020-10/Interim%20Report%20-%20Summary.pdf</w:t>
      </w:r>
      <w:r w:rsidRPr="00C83260">
        <w:t>&gt;</w:t>
      </w:r>
      <w:r>
        <w:t>.</w:t>
      </w:r>
    </w:p>
  </w:endnote>
  <w:endnote w:id="43">
    <w:p w14:paraId="6D77B79C" w14:textId="77777777" w:rsidR="005C3DD4" w:rsidRDefault="005C3DD4" w:rsidP="005C3DD4">
      <w:pPr>
        <w:pStyle w:val="EndnoteText"/>
      </w:pPr>
      <w:r>
        <w:rPr>
          <w:rStyle w:val="EndnoteReference"/>
        </w:rPr>
        <w:endnoteRef/>
      </w:r>
      <w:r>
        <w:t xml:space="preserve"> Budget 2021-22, </w:t>
      </w:r>
      <w:r w:rsidRPr="006B611A">
        <w:rPr>
          <w:i/>
        </w:rPr>
        <w:t>Budget Paper No. 2 – Budget Measures</w:t>
      </w:r>
      <w:r>
        <w:t>, (Report, 11 May 2021) &lt;</w:t>
      </w:r>
      <w:r w:rsidRPr="00EA178E">
        <w:t>https://budget.gov.au/</w:t>
      </w:r>
      <w:r>
        <w:t>2021-</w:t>
      </w:r>
      <w:r w:rsidRPr="00EA178E">
        <w:t>22/content/bp2/index.htm</w:t>
      </w:r>
      <w:r w:rsidRPr="00C83260">
        <w:t>&gt;</w:t>
      </w:r>
      <w:r>
        <w:t>.</w:t>
      </w:r>
    </w:p>
  </w:endnote>
  <w:endnote w:id="44">
    <w:p w14:paraId="24CBD3C9" w14:textId="66A00541" w:rsidR="005C3DD4" w:rsidRDefault="005C3DD4" w:rsidP="005C3DD4">
      <w:pPr>
        <w:pStyle w:val="EndnoteText"/>
      </w:pPr>
      <w:r>
        <w:rPr>
          <w:rStyle w:val="EndnoteReference"/>
        </w:rPr>
        <w:endnoteRef/>
      </w:r>
      <w:r>
        <w:t xml:space="preserve"> </w:t>
      </w:r>
      <w:r w:rsidRPr="00C83260">
        <w:t xml:space="preserve">Department of Health </w:t>
      </w:r>
      <w:r>
        <w:t xml:space="preserve">(VIC), </w:t>
      </w:r>
      <w:r w:rsidRPr="006B611A">
        <w:rPr>
          <w:i/>
        </w:rPr>
        <w:t>2021-22 Victorian State Budget Mental Health Highlights</w:t>
      </w:r>
      <w:r>
        <w:t>,</w:t>
      </w:r>
      <w:r w:rsidRPr="00C83260">
        <w:t xml:space="preserve"> </w:t>
      </w:r>
      <w:r>
        <w:t>(Report, 20 May 2021)</w:t>
      </w:r>
      <w:r w:rsidR="00215E28">
        <w:t xml:space="preserve"> </w:t>
      </w:r>
      <w:r w:rsidRPr="00C83260">
        <w:t>&lt;</w:t>
      </w:r>
      <w:r w:rsidRPr="00EA178E">
        <w:t>https://www.health.vic.gov.au/mental-health-reform/2021-22-victorian-state-budget-mental-health-highlights</w:t>
      </w:r>
      <w:r w:rsidRPr="00C83260">
        <w:t>&gt;</w:t>
      </w:r>
      <w:r>
        <w:t>.</w:t>
      </w:r>
    </w:p>
  </w:endnote>
  <w:endnote w:id="45">
    <w:p w14:paraId="3A888017" w14:textId="581FB152" w:rsidR="005C3DD4" w:rsidRDefault="005C3DD4" w:rsidP="005C3DD4">
      <w:pPr>
        <w:pStyle w:val="EndnoteText"/>
      </w:pPr>
      <w:r>
        <w:rPr>
          <w:rStyle w:val="EndnoteReference"/>
        </w:rPr>
        <w:endnoteRef/>
      </w:r>
      <w:r>
        <w:t xml:space="preserve"> Royal Commission into Victoria’s Mental Health System, </w:t>
      </w:r>
      <w:r>
        <w:rPr>
          <w:i/>
          <w:iCs/>
        </w:rPr>
        <w:t xml:space="preserve">Volume </w:t>
      </w:r>
      <w:r>
        <w:rPr>
          <w:i/>
        </w:rPr>
        <w:t>5</w:t>
      </w:r>
      <w:r>
        <w:rPr>
          <w:i/>
          <w:iCs/>
        </w:rPr>
        <w:t>: Transforming the system – innovation and implementation</w:t>
      </w:r>
      <w:r>
        <w:t>, (Report, February 2021)</w:t>
      </w:r>
      <w:r w:rsidRPr="00C83260">
        <w:br/>
        <w:t>&lt;</w:t>
      </w:r>
      <w:r w:rsidRPr="00EA178E">
        <w:t>https://finalreport.rcvmhs.vic.gov.au/download-report</w:t>
      </w:r>
      <w:r w:rsidRPr="00C83260">
        <w:t>/&gt;</w:t>
      </w:r>
      <w:r>
        <w:t>.</w:t>
      </w:r>
    </w:p>
  </w:endnote>
  <w:endnote w:id="46">
    <w:p w14:paraId="21A6C36E" w14:textId="7AD60E2F" w:rsidR="005C3DD4" w:rsidRDefault="005C3DD4" w:rsidP="005C3DD4">
      <w:pPr>
        <w:pStyle w:val="EndnoteText"/>
      </w:pPr>
      <w:r>
        <w:rPr>
          <w:rStyle w:val="EndnoteReference"/>
        </w:rPr>
        <w:endnoteRef/>
      </w:r>
      <w:r>
        <w:t xml:space="preserve"> </w:t>
      </w:r>
      <w:r w:rsidRPr="00C83260">
        <w:t>Independent Mental Health Advocacy</w:t>
      </w:r>
      <w:r>
        <w:t xml:space="preserve">, IMHA </w:t>
      </w:r>
      <w:r w:rsidRPr="00EA178E">
        <w:t xml:space="preserve">5 Year Achievements </w:t>
      </w:r>
      <w:r>
        <w:t>(</w:t>
      </w:r>
      <w:r w:rsidRPr="00EA178E">
        <w:t>Report</w:t>
      </w:r>
      <w:r>
        <w:t>,</w:t>
      </w:r>
      <w:r w:rsidRPr="00C83260">
        <w:t xml:space="preserve"> </w:t>
      </w:r>
      <w:r>
        <w:t>December 2021)</w:t>
      </w:r>
      <w:r w:rsidR="008771CB">
        <w:t xml:space="preserve"> </w:t>
      </w:r>
      <w:r w:rsidRPr="00C83260">
        <w:t>&lt;</w:t>
      </w:r>
      <w:r w:rsidRPr="00EA178E">
        <w:t>https://www.imha.vic.gov.au/about-us/improving-our-services</w:t>
      </w:r>
      <w:r w:rsidRPr="00C83260">
        <w:t>&gt;</w:t>
      </w:r>
      <w:r>
        <w:t>.</w:t>
      </w:r>
    </w:p>
  </w:endnote>
  <w:endnote w:id="47">
    <w:p w14:paraId="15A41AF8" w14:textId="77777777" w:rsidR="005C3DD4" w:rsidRDefault="005C3DD4" w:rsidP="005C3DD4">
      <w:pPr>
        <w:pStyle w:val="EndnoteText"/>
      </w:pPr>
      <w:r>
        <w:rPr>
          <w:rStyle w:val="EndnoteReference"/>
        </w:rPr>
        <w:endnoteRef/>
      </w:r>
      <w:r>
        <w:t xml:space="preserve"> Legal Aid NSW, </w:t>
      </w:r>
      <w:r w:rsidRPr="006B611A">
        <w:rPr>
          <w:i/>
        </w:rPr>
        <w:t>Annual Report 2019-2020</w:t>
      </w:r>
      <w:r>
        <w:t>, (Report, 2020) &lt;</w:t>
      </w:r>
      <w:r w:rsidRPr="006B611A">
        <w:t>https://www.legalaid.nsw.gov.au/publications/annual-report</w:t>
      </w:r>
      <w:r w:rsidRPr="00DF1B02">
        <w:t>&gt;</w:t>
      </w:r>
      <w:r>
        <w:t>.</w:t>
      </w:r>
    </w:p>
  </w:endnote>
  <w:endnote w:id="48">
    <w:p w14:paraId="53AB64EC" w14:textId="127E0BD5" w:rsidR="005C3DD4" w:rsidRDefault="005C3DD4" w:rsidP="005C3DD4">
      <w:pPr>
        <w:pStyle w:val="EndnoteText"/>
      </w:pPr>
      <w:r>
        <w:rPr>
          <w:rStyle w:val="EndnoteReference"/>
        </w:rPr>
        <w:endnoteRef/>
      </w:r>
      <w:r>
        <w:t xml:space="preserve"> Queensland Alliance for Mental Health, </w:t>
      </w:r>
      <w:r w:rsidRPr="006B611A">
        <w:rPr>
          <w:i/>
        </w:rPr>
        <w:t>2021 Annual Report</w:t>
      </w:r>
      <w:r>
        <w:t>, (Report, 2021)</w:t>
      </w:r>
      <w:r w:rsidR="008771CB">
        <w:t xml:space="preserve"> </w:t>
      </w:r>
      <w:r>
        <w:t>&lt;</w:t>
      </w:r>
      <w:r w:rsidRPr="006B611A">
        <w:t>https://www.qamh.org.au/2021-annual-report/</w:t>
      </w:r>
      <w:r w:rsidRPr="00DF1B02">
        <w:t>&gt;</w:t>
      </w:r>
      <w:r>
        <w:t>.</w:t>
      </w:r>
    </w:p>
  </w:endnote>
  <w:endnote w:id="49">
    <w:p w14:paraId="714BA0DA" w14:textId="77777777" w:rsidR="005C3DD4" w:rsidRDefault="005C3DD4" w:rsidP="005C3DD4">
      <w:pPr>
        <w:pStyle w:val="EndnoteText"/>
      </w:pPr>
      <w:r>
        <w:rPr>
          <w:rStyle w:val="EndnoteReference"/>
        </w:rPr>
        <w:endnoteRef/>
      </w:r>
      <w:r>
        <w:t xml:space="preserve"> Mental Health Advocacy Service, </w:t>
      </w:r>
      <w:r w:rsidRPr="006B611A">
        <w:rPr>
          <w:i/>
        </w:rPr>
        <w:t>Annual Report 2020-2021</w:t>
      </w:r>
      <w:r>
        <w:t>, (Report, 2021) &lt;</w:t>
      </w:r>
      <w:r w:rsidRPr="006B611A">
        <w:t>https://mhas.wa.gov.au/</w:t>
      </w:r>
      <w:r w:rsidRPr="00DF1B02">
        <w:t>&gt;</w:t>
      </w:r>
      <w:r>
        <w:t>.</w:t>
      </w:r>
    </w:p>
  </w:endnote>
  <w:endnote w:id="50">
    <w:p w14:paraId="7D66B358" w14:textId="77777777" w:rsidR="005C3DD4" w:rsidRDefault="005C3DD4" w:rsidP="005C3DD4">
      <w:pPr>
        <w:pStyle w:val="EndnoteText"/>
      </w:pPr>
      <w:r>
        <w:rPr>
          <w:rStyle w:val="EndnoteReference"/>
        </w:rPr>
        <w:endnoteRef/>
      </w:r>
      <w:r>
        <w:t xml:space="preserve"> Royal Commission into Victoria’s Mental Health System, </w:t>
      </w:r>
      <w:r w:rsidRPr="006B611A">
        <w:rPr>
          <w:i/>
        </w:rPr>
        <w:t xml:space="preserve">Final </w:t>
      </w:r>
      <w:r w:rsidRPr="00327F6F">
        <w:rPr>
          <w:i/>
        </w:rPr>
        <w:t>R</w:t>
      </w:r>
      <w:r w:rsidRPr="006B611A">
        <w:rPr>
          <w:i/>
        </w:rPr>
        <w:t>eport</w:t>
      </w:r>
      <w:r>
        <w:t>, (Report, 3 February 2021) &lt;</w:t>
      </w:r>
      <w:r w:rsidRPr="006B611A">
        <w:t>https://finalreport.rcvmhs.vic.gov.au/</w:t>
      </w:r>
      <w:r w:rsidRPr="00DF1B02">
        <w:t>&gt;</w:t>
      </w:r>
      <w:r>
        <w:t>.</w:t>
      </w:r>
    </w:p>
  </w:endnote>
  <w:endnote w:id="51">
    <w:p w14:paraId="67FB2363" w14:textId="49C244E6" w:rsidR="005C3DD4" w:rsidRDefault="005C3DD4" w:rsidP="005C3DD4">
      <w:pPr>
        <w:pStyle w:val="EndnoteText"/>
      </w:pPr>
      <w:r>
        <w:rPr>
          <w:rStyle w:val="EndnoteReference"/>
        </w:rPr>
        <w:endnoteRef/>
      </w:r>
      <w:r>
        <w:t xml:space="preserve"> Department of Veterans’ Affairs, </w:t>
      </w:r>
      <w:r>
        <w:rPr>
          <w:i/>
        </w:rPr>
        <w:t>Finding an advocate</w:t>
      </w:r>
      <w:r>
        <w:t>, (Website, 2022)</w:t>
      </w:r>
      <w:r w:rsidR="008771CB">
        <w:t xml:space="preserve"> </w:t>
      </w:r>
      <w:r>
        <w:t>&lt;</w:t>
      </w:r>
      <w:r w:rsidRPr="00717F99">
        <w:t>https://www.dva.gov.au/civilian-life/finding-advocate</w:t>
      </w:r>
      <w:r>
        <w:t>&gt;</w:t>
      </w:r>
    </w:p>
  </w:endnote>
  <w:endnote w:id="52">
    <w:p w14:paraId="288986E0" w14:textId="0898ABA5" w:rsidR="005C3DD4" w:rsidRDefault="005C3DD4" w:rsidP="005C3DD4">
      <w:pPr>
        <w:pStyle w:val="EndnoteText"/>
      </w:pPr>
      <w:r>
        <w:rPr>
          <w:rStyle w:val="EndnoteReference"/>
        </w:rPr>
        <w:endnoteRef/>
      </w:r>
      <w:r>
        <w:t xml:space="preserve"> Department of Veterans’ Affairs, </w:t>
      </w:r>
      <w:r>
        <w:rPr>
          <w:i/>
        </w:rPr>
        <w:t>Our purpose</w:t>
      </w:r>
      <w:r>
        <w:t>, (Website, 2019) &lt;</w:t>
      </w:r>
      <w:r w:rsidRPr="00717F99">
        <w:t>https://www.dva.gov.au/</w:t>
      </w:r>
      <w:r>
        <w:t>about-us</w:t>
      </w:r>
      <w:r w:rsidRPr="00717F99">
        <w:t>/</w:t>
      </w:r>
      <w:r>
        <w:t>overview/our-purpose&gt;</w:t>
      </w:r>
    </w:p>
  </w:endnote>
  <w:endnote w:id="53">
    <w:p w14:paraId="3F080728" w14:textId="77777777" w:rsidR="005C3DD4" w:rsidRDefault="005C3DD4" w:rsidP="005C3DD4">
      <w:pPr>
        <w:pStyle w:val="EndnoteText"/>
      </w:pPr>
      <w:r>
        <w:rPr>
          <w:rStyle w:val="EndnoteReference"/>
        </w:rPr>
        <w:endnoteRef/>
      </w:r>
      <w:r>
        <w:t xml:space="preserve"> Department of Veterans’ Affairs, </w:t>
      </w:r>
      <w:r w:rsidRPr="00327F6F">
        <w:rPr>
          <w:i/>
        </w:rPr>
        <w:t>Find an ex-service organisatio</w:t>
      </w:r>
      <w:r w:rsidRPr="006B611A">
        <w:rPr>
          <w:i/>
        </w:rPr>
        <w:t>n</w:t>
      </w:r>
      <w:r>
        <w:t>, (Website, 2022) &lt;</w:t>
      </w:r>
      <w:r w:rsidRPr="006B611A">
        <w:t>https://www.dva.gov.au/civilian-life/find-ex-service-organisation</w:t>
      </w:r>
      <w:r w:rsidRPr="00DF1B02">
        <w:t>&gt;</w:t>
      </w:r>
      <w:r>
        <w:t>.</w:t>
      </w:r>
    </w:p>
  </w:endnote>
  <w:endnote w:id="54">
    <w:p w14:paraId="320763D2" w14:textId="77777777" w:rsidR="005C3DD4" w:rsidRDefault="005C3DD4" w:rsidP="005C3DD4">
      <w:pPr>
        <w:pStyle w:val="EndnoteText"/>
      </w:pPr>
      <w:r>
        <w:rPr>
          <w:rStyle w:val="EndnoteReference"/>
        </w:rPr>
        <w:endnoteRef/>
      </w:r>
      <w:r>
        <w:t xml:space="preserve"> Bates, S., Bedford, M., Katz, I., ‘</w:t>
      </w:r>
      <w:r w:rsidRPr="00DF1B02">
        <w:t xml:space="preserve">Baseline study of current and future availability of ex-service organisation advocacy </w:t>
      </w:r>
      <w:r w:rsidRPr="00110D9F">
        <w:t>services</w:t>
      </w:r>
      <w:r>
        <w:t xml:space="preserve">’ (2021), </w:t>
      </w:r>
      <w:r w:rsidRPr="00110D9F">
        <w:rPr>
          <w:i/>
        </w:rPr>
        <w:t>UNSW Sydney</w:t>
      </w:r>
      <w:r>
        <w:t xml:space="preserve"> </w:t>
      </w:r>
      <w:r w:rsidRPr="00DF6588">
        <w:t>&lt;https://www.dva.gov.au/sites/default/files/2021-10/unsw-advocacy-capacity-research.pdf&gt;</w:t>
      </w:r>
      <w:r>
        <w:t>.</w:t>
      </w:r>
    </w:p>
  </w:endnote>
  <w:endnote w:id="55">
    <w:p w14:paraId="608D4468" w14:textId="55ED039C" w:rsidR="005C3DD4" w:rsidRDefault="005C3DD4" w:rsidP="005C3DD4">
      <w:pPr>
        <w:pStyle w:val="EndnoteText"/>
      </w:pPr>
      <w:r>
        <w:rPr>
          <w:rStyle w:val="EndnoteReference"/>
        </w:rPr>
        <w:endnoteRef/>
      </w:r>
      <w:r>
        <w:t xml:space="preserve"> Department of Veterans’ Affairs, </w:t>
      </w:r>
      <w:r>
        <w:rPr>
          <w:i/>
          <w:iCs/>
        </w:rPr>
        <w:t>Finding an advocate</w:t>
      </w:r>
      <w:r>
        <w:t>, (Website, 2022)</w:t>
      </w:r>
      <w:r w:rsidR="008771CB">
        <w:t xml:space="preserve"> </w:t>
      </w:r>
      <w:r>
        <w:t>&lt;</w:t>
      </w:r>
      <w:r w:rsidRPr="00717F99">
        <w:t>https://www.dva.gov.au/civilian-life/finding-advocate</w:t>
      </w:r>
      <w:r>
        <w:t>&gt;</w:t>
      </w:r>
    </w:p>
  </w:endnote>
  <w:endnote w:id="56">
    <w:p w14:paraId="268630CF" w14:textId="77777777" w:rsidR="005C3DD4" w:rsidRDefault="005C3DD4" w:rsidP="005C3DD4">
      <w:pPr>
        <w:pStyle w:val="EndnoteText"/>
      </w:pPr>
      <w:r>
        <w:rPr>
          <w:rStyle w:val="EndnoteReference"/>
        </w:rPr>
        <w:endnoteRef/>
      </w:r>
      <w:r>
        <w:t xml:space="preserve"> Bates, S., Bedford, M., Katz, I., ‘</w:t>
      </w:r>
      <w:r w:rsidRPr="00DF1B02">
        <w:t>Baseline study of current and future availability of ex-service organisation advocacy services</w:t>
      </w:r>
      <w:r>
        <w:t>’ (2021),</w:t>
      </w:r>
      <w:r w:rsidRPr="00DF1B02">
        <w:t xml:space="preserve"> </w:t>
      </w:r>
      <w:r w:rsidRPr="00110D9F">
        <w:rPr>
          <w:i/>
        </w:rPr>
        <w:t>UNSW Sydney</w:t>
      </w:r>
      <w:r>
        <w:t xml:space="preserve"> </w:t>
      </w:r>
      <w:r w:rsidRPr="00DF6588">
        <w:t>&lt;https://www.dva.gov.au/sites/default/files/2021-10/unsw-advocacy-capacity-research.pdf&gt;</w:t>
      </w:r>
      <w:r>
        <w:t>.</w:t>
      </w:r>
    </w:p>
  </w:endnote>
  <w:endnote w:id="57">
    <w:p w14:paraId="050B45AD" w14:textId="77777777" w:rsidR="005C3DD4" w:rsidRDefault="005C3DD4" w:rsidP="005C3DD4">
      <w:pPr>
        <w:pStyle w:val="EndnoteText"/>
      </w:pPr>
      <w:r>
        <w:rPr>
          <w:rStyle w:val="EndnoteReference"/>
        </w:rPr>
        <w:endnoteRef/>
      </w:r>
      <w:r>
        <w:t xml:space="preserve"> I</w:t>
      </w:r>
      <w:r w:rsidRPr="00DF1B02">
        <w:t>bid</w:t>
      </w:r>
      <w:r>
        <w:t>.</w:t>
      </w:r>
    </w:p>
  </w:endnote>
  <w:endnote w:id="58">
    <w:p w14:paraId="1C7CB479" w14:textId="77777777" w:rsidR="005C3DD4" w:rsidRDefault="005C3DD4" w:rsidP="005C3DD4">
      <w:pPr>
        <w:pStyle w:val="EndnoteText"/>
      </w:pPr>
      <w:r>
        <w:rPr>
          <w:rStyle w:val="EndnoteReference"/>
        </w:rPr>
        <w:endnoteRef/>
      </w:r>
      <w:r>
        <w:t xml:space="preserve"> I</w:t>
      </w:r>
      <w:r w:rsidRPr="00DF1B02">
        <w:t>bid</w:t>
      </w:r>
      <w:r>
        <w:t>.</w:t>
      </w:r>
    </w:p>
  </w:endnote>
  <w:endnote w:id="59">
    <w:p w14:paraId="77244964" w14:textId="77777777" w:rsidR="005C3DD4" w:rsidRDefault="005C3DD4" w:rsidP="005C3DD4">
      <w:pPr>
        <w:pStyle w:val="EndnoteText"/>
      </w:pPr>
      <w:r>
        <w:rPr>
          <w:rStyle w:val="EndnoteReference"/>
        </w:rPr>
        <w:endnoteRef/>
      </w:r>
      <w:r>
        <w:t xml:space="preserve"> I</w:t>
      </w:r>
      <w:r w:rsidRPr="00DF1B02">
        <w:t>bid</w:t>
      </w:r>
      <w:r>
        <w:t>.</w:t>
      </w:r>
    </w:p>
  </w:endnote>
  <w:endnote w:id="60">
    <w:p w14:paraId="46206D73" w14:textId="09367494" w:rsidR="005C3DD4" w:rsidRDefault="005C3DD4" w:rsidP="005C3DD4">
      <w:pPr>
        <w:pStyle w:val="EndnoteText"/>
      </w:pPr>
      <w:r>
        <w:rPr>
          <w:rStyle w:val="EndnoteReference"/>
        </w:rPr>
        <w:endnoteRef/>
      </w:r>
      <w:r>
        <w:t xml:space="preserve"> Department of </w:t>
      </w:r>
      <w:r w:rsidRPr="00DF6588">
        <w:t>Veteran</w:t>
      </w:r>
      <w:r>
        <w:t xml:space="preserve">s’ Affairs, </w:t>
      </w:r>
      <w:r w:rsidRPr="00110D9F">
        <w:rPr>
          <w:i/>
        </w:rPr>
        <w:t>Veterans’ Advocacy and Support Services Scoping Stud</w:t>
      </w:r>
      <w:r>
        <w:rPr>
          <w:i/>
        </w:rPr>
        <w:t>y</w:t>
      </w:r>
      <w:r>
        <w:rPr>
          <w:i/>
          <w:iCs/>
        </w:rPr>
        <w:t xml:space="preserve">, </w:t>
      </w:r>
      <w:r>
        <w:t>(</w:t>
      </w:r>
      <w:r w:rsidRPr="00DF1B02">
        <w:t>Report</w:t>
      </w:r>
      <w:r>
        <w:t>, December 2018)</w:t>
      </w:r>
      <w:r w:rsidR="008771CB">
        <w:t xml:space="preserve"> </w:t>
      </w:r>
      <w:r w:rsidRPr="00DF6588">
        <w:t>&lt;</w:t>
      </w:r>
      <w:r w:rsidRPr="001C1CC3">
        <w:t>https://www.dva.gov.au/sites/default/files/files/consultation%20and%20grants/atdp/veterans-advocacy-support-services-scoping-study-report.pdf</w:t>
      </w:r>
      <w:r w:rsidRPr="00DF1B02">
        <w:t>&gt;</w:t>
      </w:r>
      <w:r>
        <w:t>.</w:t>
      </w:r>
    </w:p>
  </w:endnote>
  <w:endnote w:id="61">
    <w:p w14:paraId="6513B2CF" w14:textId="22B7943B" w:rsidR="005C3DD4" w:rsidRDefault="005C3DD4" w:rsidP="005C3DD4">
      <w:pPr>
        <w:pStyle w:val="EndnoteText"/>
      </w:pPr>
      <w:r>
        <w:rPr>
          <w:rStyle w:val="EndnoteReference"/>
        </w:rPr>
        <w:endnoteRef/>
      </w:r>
      <w:r>
        <w:rPr>
          <w:rStyle w:val="EndnoteReference"/>
        </w:rPr>
        <w:endnoteRef/>
      </w:r>
      <w:r>
        <w:t xml:space="preserve"> </w:t>
      </w:r>
      <w:r w:rsidRPr="006B611A">
        <w:t>Dep</w:t>
      </w:r>
      <w:r>
        <w:t xml:space="preserve">artment of Veterans’ Affairs, </w:t>
      </w:r>
      <w:r w:rsidRPr="00327F6F">
        <w:rPr>
          <w:i/>
        </w:rPr>
        <w:t>Review of DVA-Funded ESO Advocacy and Welfare Services</w:t>
      </w:r>
      <w:r>
        <w:t>, (Report, 13 January 2020)</w:t>
      </w:r>
      <w:r w:rsidR="008771CB">
        <w:t xml:space="preserve"> </w:t>
      </w:r>
      <w:r>
        <w:t>&lt;</w:t>
      </w:r>
      <w:r w:rsidRPr="009A0B0C">
        <w:t xml:space="preserve"> https://www.dva.gov.au/civilian-life/support-ex-service-organisations-and-advocates/review-our-eso-advocacy-and-welfare</w:t>
      </w:r>
      <w:r w:rsidRPr="00DF1B02">
        <w:t>&gt;</w:t>
      </w:r>
      <w:r>
        <w:t>.</w:t>
      </w:r>
    </w:p>
  </w:endnote>
  <w:endnote w:id="62">
    <w:p w14:paraId="3FBFADD4" w14:textId="4B36DD89" w:rsidR="005C3DD4" w:rsidRDefault="005C3DD4" w:rsidP="005C3DD4">
      <w:pPr>
        <w:pStyle w:val="EndnoteText"/>
      </w:pPr>
      <w:r>
        <w:rPr>
          <w:rStyle w:val="EndnoteReference"/>
        </w:rPr>
        <w:endnoteRef/>
      </w:r>
      <w:r>
        <w:t xml:space="preserve"> Department of Veterans’ Affairs, </w:t>
      </w:r>
      <w:r>
        <w:rPr>
          <w:i/>
        </w:rPr>
        <w:t>Finding an advocate</w:t>
      </w:r>
      <w:r>
        <w:t>, (Website, 2022)</w:t>
      </w:r>
      <w:r w:rsidR="008771CB">
        <w:t xml:space="preserve"> </w:t>
      </w:r>
      <w:r>
        <w:t>&lt;</w:t>
      </w:r>
      <w:r w:rsidRPr="00717F99">
        <w:t>https://www.dva.gov.au/civilian-life/finding-advocate</w:t>
      </w:r>
      <w:r>
        <w:t>&gt;</w:t>
      </w:r>
    </w:p>
  </w:endnote>
  <w:endnote w:id="63">
    <w:p w14:paraId="377C76CE" w14:textId="3349999E" w:rsidR="005C3DD4" w:rsidRDefault="005C3DD4" w:rsidP="005C3DD4">
      <w:pPr>
        <w:pStyle w:val="EndnoteText"/>
      </w:pPr>
      <w:r>
        <w:rPr>
          <w:rStyle w:val="EndnoteReference"/>
        </w:rPr>
        <w:endnoteRef/>
      </w:r>
      <w:r>
        <w:t xml:space="preserve"> Department of Veterans’ Affairs, </w:t>
      </w:r>
      <w:r w:rsidRPr="00327F6F">
        <w:rPr>
          <w:i/>
        </w:rPr>
        <w:t>Navigating Aged Care</w:t>
      </w:r>
      <w:r>
        <w:t>, (Website, 2022)</w:t>
      </w:r>
      <w:r w:rsidR="008771CB">
        <w:t xml:space="preserve"> </w:t>
      </w:r>
      <w:r>
        <w:t>&lt;</w:t>
      </w:r>
      <w:r w:rsidRPr="005273EF">
        <w:t xml:space="preserve"> https://www.dva.gov.au/health-and-treatment/care-home-or-aged-care/help-pay-home-or-aged-care/navigating-aged-care#:~:text=Veterans%20and%20war%20widows%20%28ers%29%20who%20need%20aged,Care%20national%20contact%20centre%20on%201800%20200%20422</w:t>
      </w:r>
      <w:r w:rsidRPr="00DF1B02">
        <w:t>.&gt;</w:t>
      </w:r>
      <w:r>
        <w:t>.</w:t>
      </w:r>
    </w:p>
  </w:endnote>
  <w:endnote w:id="64">
    <w:p w14:paraId="3CE6A00B" w14:textId="752FD20C" w:rsidR="005C3DD4" w:rsidRDefault="005C3DD4" w:rsidP="005C3DD4">
      <w:pPr>
        <w:pStyle w:val="EndnoteText"/>
      </w:pPr>
      <w:r>
        <w:rPr>
          <w:rStyle w:val="EndnoteReference"/>
        </w:rPr>
        <w:endnoteRef/>
      </w:r>
      <w:r>
        <w:t xml:space="preserve"> </w:t>
      </w:r>
      <w:r w:rsidRPr="006B611A">
        <w:t>Ro</w:t>
      </w:r>
      <w:r>
        <w:t>yal Commission into Defence and Veteran Suicide,</w:t>
      </w:r>
      <w:r w:rsidRPr="006B611A">
        <w:t xml:space="preserve"> </w:t>
      </w:r>
      <w:r w:rsidRPr="00327F6F">
        <w:rPr>
          <w:i/>
        </w:rPr>
        <w:t>About the Commission</w:t>
      </w:r>
      <w:r>
        <w:t>, (Website, 2022)</w:t>
      </w:r>
      <w:r w:rsidR="008771CB">
        <w:t xml:space="preserve"> </w:t>
      </w:r>
      <w:r>
        <w:t>&lt;</w:t>
      </w:r>
      <w:r w:rsidRPr="00780CFF">
        <w:t>https://defenceveteransuicide.royalcommission.gov.au/about</w:t>
      </w:r>
      <w:r w:rsidRPr="00DF1B02">
        <w:t>&gt;</w:t>
      </w:r>
      <w:r>
        <w:t>.</w:t>
      </w:r>
    </w:p>
  </w:endnote>
  <w:endnote w:id="65">
    <w:p w14:paraId="76968C5A" w14:textId="208B8232" w:rsidR="005C3DD4" w:rsidRDefault="005C3DD4" w:rsidP="005C3DD4">
      <w:pPr>
        <w:pStyle w:val="EndnoteText"/>
      </w:pPr>
      <w:r>
        <w:rPr>
          <w:rStyle w:val="EndnoteReference"/>
        </w:rPr>
        <w:endnoteRef/>
      </w:r>
      <w:r>
        <w:t xml:space="preserve"> Department of Veterans’ Affairs, </w:t>
      </w:r>
      <w:r w:rsidRPr="00327F6F">
        <w:rPr>
          <w:i/>
        </w:rPr>
        <w:t>Latest news for veterans</w:t>
      </w:r>
      <w:r>
        <w:t>, (Website, 2022)</w:t>
      </w:r>
      <w:r w:rsidR="008771CB">
        <w:t xml:space="preserve"> </w:t>
      </w:r>
      <w:r>
        <w:t>&lt;</w:t>
      </w:r>
      <w:r w:rsidDel="00757EA2">
        <w:t xml:space="preserve"> </w:t>
      </w:r>
      <w:r w:rsidRPr="008C00F0">
        <w:t>https://www.dva.gov.au/newsroom/latest-news-veterans/please-reach-out-support-available-those-affected-afghanistan</w:t>
      </w:r>
      <w:r w:rsidRPr="00DF1B02">
        <w:t>&gt;</w:t>
      </w:r>
      <w:r>
        <w:t>.</w:t>
      </w:r>
    </w:p>
  </w:endnote>
  <w:endnote w:id="66">
    <w:p w14:paraId="0893480B" w14:textId="7F85B33B" w:rsidR="005C3DD4" w:rsidRDefault="005C3DD4" w:rsidP="005C3DD4">
      <w:pPr>
        <w:pStyle w:val="EndnoteText"/>
      </w:pPr>
      <w:r>
        <w:rPr>
          <w:rStyle w:val="EndnoteReference"/>
        </w:rPr>
        <w:endnoteRef/>
      </w:r>
      <w:r>
        <w:t xml:space="preserve"> Department of </w:t>
      </w:r>
      <w:r w:rsidRPr="00DF6588">
        <w:t>Veteran</w:t>
      </w:r>
      <w:r>
        <w:t>s’</w:t>
      </w:r>
      <w:r w:rsidRPr="00DF6588">
        <w:t xml:space="preserve"> </w:t>
      </w:r>
      <w:r>
        <w:t xml:space="preserve">Affairs, </w:t>
      </w:r>
      <w:r w:rsidRPr="00327F6F">
        <w:rPr>
          <w:i/>
        </w:rPr>
        <w:t>Veterans’ Advocacy and Support Services Scoping Stud</w:t>
      </w:r>
      <w:r>
        <w:rPr>
          <w:i/>
        </w:rPr>
        <w:t>y</w:t>
      </w:r>
      <w:r>
        <w:rPr>
          <w:i/>
          <w:iCs/>
        </w:rPr>
        <w:t xml:space="preserve">, </w:t>
      </w:r>
      <w:r>
        <w:t>(</w:t>
      </w:r>
      <w:r w:rsidRPr="006B611A">
        <w:t>Report</w:t>
      </w:r>
      <w:r>
        <w:t>, December 2018)</w:t>
      </w:r>
      <w:r w:rsidR="008771CB">
        <w:t xml:space="preserve"> </w:t>
      </w:r>
      <w:r>
        <w:t>&lt;</w:t>
      </w:r>
      <w:r w:rsidRPr="001C1CC3">
        <w:t>https://www.dva.gov.au/sites/default/files/files/consultation%20and%20grants/atdp/veterans-advocacy-support-services-scoping-study-report.pdf</w:t>
      </w:r>
      <w:r w:rsidRPr="00DF6588">
        <w:t>&gt;</w:t>
      </w:r>
      <w:r>
        <w:t>.</w:t>
      </w:r>
    </w:p>
  </w:endnote>
  <w:endnote w:id="67">
    <w:p w14:paraId="153F7E7A" w14:textId="77777777" w:rsidR="005C3DD4" w:rsidRDefault="005C3DD4" w:rsidP="005C3DD4">
      <w:pPr>
        <w:pStyle w:val="EndnoteText"/>
      </w:pPr>
      <w:r>
        <w:rPr>
          <w:rStyle w:val="EndnoteReference"/>
        </w:rPr>
        <w:endnoteRef/>
      </w:r>
      <w:r>
        <w:t xml:space="preserve"> Bates, S., Bedford, M., Katz, I., ‘</w:t>
      </w:r>
      <w:r w:rsidRPr="006B611A">
        <w:t>Baseline study of current and future availability of ex-service organisation advocacy services</w:t>
      </w:r>
      <w:r>
        <w:t>’ (2021),</w:t>
      </w:r>
      <w:r w:rsidRPr="00DF6588">
        <w:t xml:space="preserve"> </w:t>
      </w:r>
      <w:r w:rsidRPr="006B611A">
        <w:rPr>
          <w:i/>
          <w:iCs/>
        </w:rPr>
        <w:t>UNSW Sydney</w:t>
      </w:r>
      <w:r>
        <w:t xml:space="preserve"> &lt;</w:t>
      </w:r>
      <w:r w:rsidRPr="00595489">
        <w:t>https://www.dva.gov.au/sites/default/files/2021-10/unsw-advocacy-capacity-research.pdf</w:t>
      </w:r>
      <w:r w:rsidRPr="00DF6588">
        <w:t>&gt;</w:t>
      </w:r>
      <w:r>
        <w:t>.</w:t>
      </w:r>
    </w:p>
  </w:endnote>
  <w:endnote w:id="68">
    <w:p w14:paraId="3FE3D5CD" w14:textId="13B432A8" w:rsidR="005C3DD4" w:rsidRDefault="005C3DD4" w:rsidP="005C3DD4">
      <w:pPr>
        <w:pStyle w:val="EndnoteText"/>
      </w:pPr>
      <w:r>
        <w:rPr>
          <w:rStyle w:val="EndnoteReference"/>
        </w:rPr>
        <w:endnoteRef/>
      </w:r>
      <w:r>
        <w:t xml:space="preserve"> Worldometer, </w:t>
      </w:r>
      <w:r w:rsidRPr="00F438C3">
        <w:rPr>
          <w:i/>
        </w:rPr>
        <w:t>New Zealand Population</w:t>
      </w:r>
      <w:r>
        <w:t>, (Website, 2021)</w:t>
      </w:r>
      <w:r w:rsidR="008771CB">
        <w:t xml:space="preserve"> </w:t>
      </w:r>
      <w:r>
        <w:t>&lt;</w:t>
      </w:r>
      <w:r w:rsidRPr="0078193D">
        <w:t>https://www.worldometers.info/world-population/new-zealand-population/#:~:text=The%20current%20population%20of%20New%20Zealand%20is%204%2C876%2C262,equivalent%20to%200.06%25%20of%20the%20total%20world%20population</w:t>
      </w:r>
      <w:r w:rsidRPr="00DF6588">
        <w:t>.&gt;</w:t>
      </w:r>
      <w:r>
        <w:t>.</w:t>
      </w:r>
    </w:p>
  </w:endnote>
  <w:endnote w:id="69">
    <w:p w14:paraId="228DFE41" w14:textId="659F195F" w:rsidR="005C3DD4" w:rsidRDefault="005C3DD4" w:rsidP="005C3DD4">
      <w:pPr>
        <w:pStyle w:val="EndnoteText"/>
      </w:pPr>
      <w:r>
        <w:rPr>
          <w:rStyle w:val="EndnoteReference"/>
        </w:rPr>
        <w:endnoteRef/>
      </w:r>
      <w:r>
        <w:t xml:space="preserve"> New Zealand Aged Care Association, </w:t>
      </w:r>
      <w:r w:rsidRPr="00F438C3">
        <w:rPr>
          <w:i/>
        </w:rPr>
        <w:t>Annual Report 2020/21</w:t>
      </w:r>
      <w:r>
        <w:t>, (Report, 2021)</w:t>
      </w:r>
      <w:r w:rsidR="008771CB">
        <w:t xml:space="preserve"> </w:t>
      </w:r>
      <w:r>
        <w:t>&lt;</w:t>
      </w:r>
      <w:r w:rsidRPr="00A169C6">
        <w:t>https://nzaca.org.nz/news/annual-reports</w:t>
      </w:r>
      <w:r w:rsidRPr="00DF6588">
        <w:t>/&gt;</w:t>
      </w:r>
      <w:r>
        <w:t>.</w:t>
      </w:r>
    </w:p>
  </w:endnote>
  <w:endnote w:id="70">
    <w:p w14:paraId="3C5FC2DA" w14:textId="77777777" w:rsidR="005C3DD4" w:rsidRDefault="005C3DD4" w:rsidP="005C3DD4">
      <w:pPr>
        <w:pStyle w:val="EndnoteText"/>
      </w:pPr>
      <w:r>
        <w:rPr>
          <w:rStyle w:val="EndnoteReference"/>
        </w:rPr>
        <w:endnoteRef/>
      </w:r>
      <w:r>
        <w:t xml:space="preserve"> </w:t>
      </w:r>
      <w:r w:rsidRPr="00DF6588">
        <w:t>Alzheimer’s</w:t>
      </w:r>
      <w:r>
        <w:t xml:space="preserve"> New Zealand, </w:t>
      </w:r>
      <w:r w:rsidRPr="00803C05">
        <w:rPr>
          <w:i/>
        </w:rPr>
        <w:t>Dementia Economic Impact Report 2020</w:t>
      </w:r>
      <w:r>
        <w:t>, (Report, September 2021) &lt;</w:t>
      </w:r>
      <w:r w:rsidRPr="00BD10D0">
        <w:t>https://cdn.alzheimers.org.nz/wp-content/uploads/2021/09/Dementia-Economic-Impact-Report-2020.pdf</w:t>
      </w:r>
      <w:r w:rsidRPr="00DF6588">
        <w:t>&gt;</w:t>
      </w:r>
      <w:r>
        <w:t>.</w:t>
      </w:r>
    </w:p>
  </w:endnote>
  <w:endnote w:id="71">
    <w:p w14:paraId="40C30AB9" w14:textId="01ED843E" w:rsidR="005C3DD4" w:rsidRDefault="005C3DD4" w:rsidP="005C3DD4">
      <w:pPr>
        <w:pStyle w:val="EndnoteText"/>
      </w:pPr>
      <w:r>
        <w:rPr>
          <w:rStyle w:val="EndnoteReference"/>
        </w:rPr>
        <w:endnoteRef/>
      </w:r>
      <w:r>
        <w:t xml:space="preserve"> Ministry of Health NZ, </w:t>
      </w:r>
      <w:r>
        <w:rPr>
          <w:i/>
        </w:rPr>
        <w:t xml:space="preserve">Older people’s health data and stats, </w:t>
      </w:r>
      <w:r>
        <w:t>(Website, 2018)</w:t>
      </w:r>
      <w:r w:rsidR="008771CB">
        <w:t xml:space="preserve"> </w:t>
      </w:r>
      <w:r>
        <w:t>&lt;</w:t>
      </w:r>
      <w:r w:rsidRPr="00C22E74">
        <w:t>https://www.health.govt.nz/nz-health-statistics/health-statistics-and-data-sets/older-peoples-health-data-and-stats</w:t>
      </w:r>
      <w:r>
        <w:t>&gt;</w:t>
      </w:r>
    </w:p>
  </w:endnote>
  <w:endnote w:id="72">
    <w:p w14:paraId="157F39C5" w14:textId="5AC3CE95" w:rsidR="005C3DD4" w:rsidRDefault="005C3DD4" w:rsidP="005C3DD4">
      <w:pPr>
        <w:pStyle w:val="EndnoteText"/>
      </w:pPr>
      <w:r>
        <w:rPr>
          <w:rStyle w:val="EndnoteReference"/>
        </w:rPr>
        <w:endnoteRef/>
      </w:r>
      <w:r>
        <w:t xml:space="preserve"> Ministry of Health NZ, </w:t>
      </w:r>
      <w:r>
        <w:rPr>
          <w:i/>
        </w:rPr>
        <w:t>Support services for older people</w:t>
      </w:r>
      <w:r>
        <w:rPr>
          <w:i/>
          <w:iCs/>
        </w:rPr>
        <w:t xml:space="preserve"> </w:t>
      </w:r>
      <w:r>
        <w:t>(Website, 2018)</w:t>
      </w:r>
      <w:r w:rsidR="008771CB">
        <w:t xml:space="preserve"> </w:t>
      </w:r>
      <w:r>
        <w:t>&lt;</w:t>
      </w:r>
      <w:r w:rsidRPr="00C22E74">
        <w:t>https://www.health.govt.nz/</w:t>
      </w:r>
      <w:r w:rsidRPr="009639AD">
        <w:t>your</w:t>
      </w:r>
      <w:r w:rsidRPr="00C22E74">
        <w:t>-health</w:t>
      </w:r>
      <w:r w:rsidRPr="009639AD">
        <w:t>/services-and-support</w:t>
      </w:r>
      <w:r w:rsidRPr="00C22E74">
        <w:t>/health-</w:t>
      </w:r>
      <w:r w:rsidRPr="009639AD">
        <w:t>care-services/services-</w:t>
      </w:r>
      <w:r w:rsidRPr="00C22E74">
        <w:t>older-</w:t>
      </w:r>
      <w:r w:rsidRPr="009639AD">
        <w:t>people/support-services-older-people</w:t>
      </w:r>
      <w:r>
        <w:t>&gt;</w:t>
      </w:r>
    </w:p>
  </w:endnote>
  <w:endnote w:id="73">
    <w:p w14:paraId="4CD7F6E2" w14:textId="77777777" w:rsidR="005C3DD4" w:rsidRDefault="005C3DD4" w:rsidP="005C3DD4">
      <w:pPr>
        <w:pStyle w:val="EndnoteText"/>
      </w:pPr>
      <w:r>
        <w:rPr>
          <w:rStyle w:val="EndnoteReference"/>
        </w:rPr>
        <w:endnoteRef/>
      </w:r>
      <w:r>
        <w:t xml:space="preserve"> Ministry of Health NZ, </w:t>
      </w:r>
      <w:r w:rsidRPr="00E8047E">
        <w:rPr>
          <w:i/>
        </w:rPr>
        <w:t>Residential care questions and answers</w:t>
      </w:r>
      <w:r>
        <w:t>,</w:t>
      </w:r>
      <w:r w:rsidRPr="006B611A">
        <w:t xml:space="preserve"> </w:t>
      </w:r>
      <w:r>
        <w:t>(Website, 2020) &lt;</w:t>
      </w:r>
      <w:r w:rsidRPr="008344F0">
        <w:t>https://www.health.govt.nz/our-work/life-stages/health-older-people/long-term-residential-care/residential-care-questions-and</w:t>
      </w:r>
      <w:r>
        <w:t>-</w:t>
      </w:r>
      <w:r w:rsidRPr="008344F0">
        <w:t>answers#:~:text=District%20health%20boards%20%28DHBs%29%20are%20responsible%20for%20funding,Residential%20Care%20and%20Disability%20Support%20Services%20Act%20201</w:t>
      </w:r>
      <w:r>
        <w:t>8</w:t>
      </w:r>
      <w:r w:rsidRPr="00DF6588">
        <w:t>.&gt;</w:t>
      </w:r>
      <w:r>
        <w:t>.</w:t>
      </w:r>
    </w:p>
  </w:endnote>
  <w:endnote w:id="74">
    <w:p w14:paraId="14271E69" w14:textId="792A644C" w:rsidR="005C3DD4" w:rsidRDefault="005C3DD4" w:rsidP="005C3DD4">
      <w:pPr>
        <w:pStyle w:val="EndnoteText"/>
      </w:pPr>
      <w:r>
        <w:rPr>
          <w:rStyle w:val="EndnoteReference"/>
        </w:rPr>
        <w:endnoteRef/>
      </w:r>
      <w:r>
        <w:t xml:space="preserve"> Ministry of Health NZ, </w:t>
      </w:r>
      <w:r>
        <w:rPr>
          <w:i/>
        </w:rPr>
        <w:t xml:space="preserve">Rest homes, </w:t>
      </w:r>
      <w:r>
        <w:t>(Website, 2022)</w:t>
      </w:r>
      <w:r w:rsidR="008771CB">
        <w:t xml:space="preserve"> </w:t>
      </w:r>
      <w:r>
        <w:t>&lt;</w:t>
      </w:r>
      <w:r w:rsidRPr="00C22E74">
        <w:t>https://www.health.govt.nz/</w:t>
      </w:r>
      <w:r w:rsidRPr="009C0A7F">
        <w:t>your</w:t>
      </w:r>
      <w:r w:rsidRPr="00C22E74">
        <w:t>-health</w:t>
      </w:r>
      <w:r w:rsidRPr="009C0A7F">
        <w:t>/certified-providers/aged-care</w:t>
      </w:r>
      <w:r>
        <w:t>&gt;</w:t>
      </w:r>
    </w:p>
  </w:endnote>
  <w:endnote w:id="75">
    <w:p w14:paraId="3BC6619C" w14:textId="1CB6AE39" w:rsidR="005C3DD4" w:rsidRDefault="005C3DD4" w:rsidP="005C3DD4">
      <w:pPr>
        <w:pStyle w:val="EndnoteText"/>
      </w:pPr>
      <w:r>
        <w:rPr>
          <w:rStyle w:val="EndnoteReference"/>
        </w:rPr>
        <w:endnoteRef/>
      </w:r>
      <w:r>
        <w:t xml:space="preserve"> JLL NZ</w:t>
      </w:r>
      <w:r w:rsidDel="009C0A7F">
        <w:t>,</w:t>
      </w:r>
      <w:r>
        <w:t xml:space="preserve"> </w:t>
      </w:r>
      <w:r w:rsidRPr="005B7A6B">
        <w:rPr>
          <w:i/>
        </w:rPr>
        <w:t>NZ retirement villages and aged care</w:t>
      </w:r>
      <w:r>
        <w:t>, (Review, 7 July 2020)</w:t>
      </w:r>
      <w:r w:rsidR="008771CB">
        <w:t xml:space="preserve"> </w:t>
      </w:r>
      <w:r>
        <w:t>&lt;</w:t>
      </w:r>
      <w:r w:rsidRPr="00E74C80">
        <w:t>https://www.jll.nz/en/trends-and-insights/research/nz-retirement-villages-market-review-2020</w:t>
      </w:r>
      <w:r w:rsidRPr="00DF6588">
        <w:t>&gt;</w:t>
      </w:r>
      <w:r>
        <w:t>.</w:t>
      </w:r>
    </w:p>
  </w:endnote>
  <w:endnote w:id="76">
    <w:p w14:paraId="449B71BE" w14:textId="59702C5E" w:rsidR="005C3DD4" w:rsidRDefault="005C3DD4" w:rsidP="005C3DD4">
      <w:pPr>
        <w:pStyle w:val="EndnoteText"/>
      </w:pPr>
      <w:r>
        <w:rPr>
          <w:rStyle w:val="EndnoteReference"/>
        </w:rPr>
        <w:endnoteRef/>
      </w:r>
      <w:r>
        <w:t xml:space="preserve"> Knoema, </w:t>
      </w:r>
      <w:r w:rsidRPr="00E8047E">
        <w:rPr>
          <w:i/>
        </w:rPr>
        <w:t>New Zealand – Total population aged 65 years and over</w:t>
      </w:r>
      <w:r>
        <w:t>,</w:t>
      </w:r>
      <w:r w:rsidRPr="006B611A">
        <w:t xml:space="preserve"> </w:t>
      </w:r>
      <w:r>
        <w:t>(Website, 2020)</w:t>
      </w:r>
      <w:r w:rsidR="008771CB">
        <w:t xml:space="preserve"> </w:t>
      </w:r>
      <w:r>
        <w:t>&lt;</w:t>
      </w:r>
      <w:r w:rsidRPr="00AE5463">
        <w:t>https://knoema.com/atlas/New-Zealand/topics/Demographics/Age/Population-aged-65-years#:~:text=In%202020%2C%20population%20aged%2065%2B%20years%20for%20New,2013%20and%20then%20decreased%20to%203.18%25%20in%202020</w:t>
      </w:r>
      <w:r w:rsidRPr="00DF6588">
        <w:t>.&gt;</w:t>
      </w:r>
      <w:r>
        <w:t>.</w:t>
      </w:r>
    </w:p>
  </w:endnote>
  <w:endnote w:id="77">
    <w:p w14:paraId="1A675839" w14:textId="4DD00E47" w:rsidR="005C3DD4" w:rsidRDefault="005C3DD4" w:rsidP="005C3DD4">
      <w:pPr>
        <w:pStyle w:val="EndnoteText"/>
      </w:pPr>
      <w:r>
        <w:rPr>
          <w:rStyle w:val="EndnoteReference"/>
        </w:rPr>
        <w:endnoteRef/>
      </w:r>
      <w:r>
        <w:t xml:space="preserve"> Health Quality and Safety Commission New Zealand, </w:t>
      </w:r>
      <w:r w:rsidRPr="00E8047E">
        <w:rPr>
          <w:i/>
        </w:rPr>
        <w:t>Quality improvement in aged residential care</w:t>
      </w:r>
      <w:r>
        <w:t>, (Report, 2019)</w:t>
      </w:r>
      <w:r w:rsidR="00DB6666">
        <w:t xml:space="preserve"> </w:t>
      </w:r>
      <w:r>
        <w:t>&lt;</w:t>
      </w:r>
      <w:r w:rsidRPr="00FB6A69">
        <w:t>https://www.hqsc.govt.nz/our-programmes/aged-residential-care/projects/quality-improvement-in-aged-residential-care</w:t>
      </w:r>
      <w:r w:rsidRPr="00DF6588">
        <w:t>/&gt;</w:t>
      </w:r>
      <w:r>
        <w:t>.</w:t>
      </w:r>
    </w:p>
  </w:endnote>
  <w:endnote w:id="78">
    <w:p w14:paraId="09B04027" w14:textId="535ECA16" w:rsidR="005C3DD4" w:rsidRDefault="005C3DD4" w:rsidP="005C3DD4">
      <w:pPr>
        <w:pStyle w:val="EndnoteText"/>
      </w:pPr>
      <w:r>
        <w:rPr>
          <w:rStyle w:val="EndnoteReference"/>
        </w:rPr>
        <w:endnoteRef/>
      </w:r>
      <w:r>
        <w:t xml:space="preserve"> Ministry of Health NZ, </w:t>
      </w:r>
      <w:r w:rsidRPr="00524936">
        <w:rPr>
          <w:i/>
        </w:rPr>
        <w:t>Age-related residential care services agreement</w:t>
      </w:r>
      <w:r>
        <w:t>,</w:t>
      </w:r>
      <w:r w:rsidRPr="00524936">
        <w:t xml:space="preserve"> </w:t>
      </w:r>
      <w:r>
        <w:t>(Website, October 2013)</w:t>
      </w:r>
      <w:r w:rsidR="00DB6666">
        <w:t xml:space="preserve"> </w:t>
      </w:r>
      <w:r>
        <w:t>&lt;</w:t>
      </w:r>
      <w:r w:rsidRPr="009639AD">
        <w:t>https://www.health.govt.nz/</w:t>
      </w:r>
      <w:r w:rsidRPr="00E6634B">
        <w:t>our-work/life-stages/</w:t>
      </w:r>
      <w:r w:rsidRPr="009639AD">
        <w:t>health-older-people/</w:t>
      </w:r>
      <w:r w:rsidRPr="00E6634B">
        <w:t>long-term-residential-care/age-related-residential-care-services-agreement</w:t>
      </w:r>
      <w:r>
        <w:t>&gt;</w:t>
      </w:r>
    </w:p>
  </w:endnote>
  <w:endnote w:id="79">
    <w:p w14:paraId="4999C98C" w14:textId="2EC3F424" w:rsidR="005C3DD4" w:rsidRDefault="005C3DD4" w:rsidP="005C3DD4">
      <w:pPr>
        <w:pStyle w:val="EndnoteText"/>
      </w:pPr>
      <w:r>
        <w:rPr>
          <w:rStyle w:val="EndnoteReference"/>
        </w:rPr>
        <w:endnoteRef/>
      </w:r>
      <w:r>
        <w:t xml:space="preserve"> Ministry of Health NZ, </w:t>
      </w:r>
      <w:r w:rsidRPr="00524936" w:rsidDel="005B3850">
        <w:rPr>
          <w:i/>
        </w:rPr>
        <w:t>New Zealand Framework for Dementia Care</w:t>
      </w:r>
      <w:r>
        <w:t>, (Report, November 2013)</w:t>
      </w:r>
      <w:r w:rsidR="00DB6666">
        <w:t xml:space="preserve"> </w:t>
      </w:r>
      <w:r w:rsidRPr="00DF6588">
        <w:t>&lt;</w:t>
      </w:r>
      <w:r w:rsidRPr="00E60FD2">
        <w:t>https://www.health.govt.nz/system/files/documents/publications/new-zealand-framework-for-dementia-care-nov13.pdf</w:t>
      </w:r>
      <w:r w:rsidRPr="00DF6588">
        <w:t>&gt;</w:t>
      </w:r>
      <w:r>
        <w:t>.</w:t>
      </w:r>
    </w:p>
  </w:endnote>
  <w:endnote w:id="80">
    <w:p w14:paraId="4455AD7C" w14:textId="7E6196B4" w:rsidR="005C3DD4" w:rsidRDefault="005C3DD4" w:rsidP="005C3DD4">
      <w:pPr>
        <w:pStyle w:val="EndnoteText"/>
      </w:pPr>
      <w:r>
        <w:rPr>
          <w:rStyle w:val="EndnoteReference"/>
        </w:rPr>
        <w:endnoteRef/>
      </w:r>
      <w:r>
        <w:t xml:space="preserve"> Williams, E</w:t>
      </w:r>
      <w:r w:rsidRPr="00DF6588">
        <w:t>.</w:t>
      </w:r>
      <w:r>
        <w:t>, ‘</w:t>
      </w:r>
      <w:r w:rsidRPr="006B611A">
        <w:t>Towards Positive Ageing: Older People’s Advocacy in New Zealand, 1970-2001</w:t>
      </w:r>
      <w:r>
        <w:t xml:space="preserve">’ (2019), </w:t>
      </w:r>
      <w:r w:rsidRPr="006B611A">
        <w:rPr>
          <w:i/>
        </w:rPr>
        <w:t>University of Canterbury</w:t>
      </w:r>
      <w:r>
        <w:t>.</w:t>
      </w:r>
      <w:r w:rsidR="00DB6666">
        <w:t xml:space="preserve"> </w:t>
      </w:r>
      <w:r>
        <w:t>&lt;</w:t>
      </w:r>
      <w:r w:rsidRPr="00DC21B9">
        <w:t>https://ir.canterbury.ac.nz/bitstream/handle/10092/17955/Williams%2C%20Eve_Master%27s%20Thesis.pdf?sequence=1</w:t>
      </w:r>
      <w:r w:rsidRPr="00E510B3">
        <w:t>&gt;</w:t>
      </w:r>
      <w:r>
        <w:t>.</w:t>
      </w:r>
    </w:p>
  </w:endnote>
  <w:endnote w:id="81">
    <w:p w14:paraId="25ED5826" w14:textId="00DF6E88" w:rsidR="005C3DD4" w:rsidRPr="00E510B3" w:rsidRDefault="005C3DD4" w:rsidP="005C3DD4">
      <w:pPr>
        <w:pStyle w:val="EndnoteText"/>
      </w:pPr>
      <w:r>
        <w:rPr>
          <w:rStyle w:val="EndnoteReference"/>
        </w:rPr>
        <w:endnoteRef/>
      </w:r>
      <w:r>
        <w:t xml:space="preserve"> </w:t>
      </w:r>
      <w:r w:rsidRPr="006B611A">
        <w:t>Ag</w:t>
      </w:r>
      <w:r>
        <w:t xml:space="preserve">e Concern NZ, </w:t>
      </w:r>
      <w:r w:rsidRPr="00E8047E">
        <w:rPr>
          <w:i/>
        </w:rPr>
        <w:t>Who we are</w:t>
      </w:r>
      <w:r>
        <w:t>,</w:t>
      </w:r>
      <w:r w:rsidRPr="006B611A">
        <w:t xml:space="preserve"> </w:t>
      </w:r>
      <w:r>
        <w:t>(Website, 2021) &lt;</w:t>
      </w:r>
      <w:r w:rsidRPr="0010290C">
        <w:t>https://www.ageconcern.org.nz/Public/About_Us/Who_We_Are/Public/About/WhoWeAre.aspx?hkey=d149b078-812b-49f7-b0ef-6f8f5b30d26a</w:t>
      </w:r>
      <w:r w:rsidRPr="00E510B3">
        <w:t>&gt;</w:t>
      </w:r>
      <w:r>
        <w:t>.</w:t>
      </w:r>
    </w:p>
  </w:endnote>
  <w:endnote w:id="82">
    <w:p w14:paraId="1D5B6513" w14:textId="13BA5E31" w:rsidR="005C3DD4" w:rsidRDefault="005C3DD4" w:rsidP="005C3DD4">
      <w:pPr>
        <w:pStyle w:val="EndnoteText"/>
      </w:pPr>
      <w:r>
        <w:rPr>
          <w:rStyle w:val="EndnoteReference"/>
        </w:rPr>
        <w:endnoteRef/>
      </w:r>
      <w:r w:rsidRPr="00E510B3">
        <w:t xml:space="preserve"> </w:t>
      </w:r>
      <w:r w:rsidRPr="00DF6588">
        <w:t>New Zealand Aged Care Association</w:t>
      </w:r>
      <w:r>
        <w:t>,</w:t>
      </w:r>
      <w:r w:rsidRPr="00E510B3">
        <w:t xml:space="preserve"> </w:t>
      </w:r>
      <w:r w:rsidRPr="00E8047E">
        <w:rPr>
          <w:i/>
        </w:rPr>
        <w:t>About us</w:t>
      </w:r>
      <w:r>
        <w:t>,</w:t>
      </w:r>
      <w:r w:rsidRPr="006B611A">
        <w:t xml:space="preserve"> </w:t>
      </w:r>
      <w:r>
        <w:t>(Website, 2021)</w:t>
      </w:r>
      <w:r w:rsidR="00DB6666">
        <w:t xml:space="preserve"> </w:t>
      </w:r>
      <w:r w:rsidRPr="00E510B3">
        <w:t>&lt;https://nzaca.org.nz/nzaca/&gt;</w:t>
      </w:r>
      <w:r>
        <w:t>.</w:t>
      </w:r>
    </w:p>
  </w:endnote>
  <w:endnote w:id="83">
    <w:p w14:paraId="56415761" w14:textId="252F2AB3" w:rsidR="005C3DD4" w:rsidRDefault="005C3DD4" w:rsidP="005C3DD4">
      <w:pPr>
        <w:pStyle w:val="EndnoteText"/>
      </w:pPr>
      <w:r>
        <w:rPr>
          <w:rStyle w:val="EndnoteReference"/>
        </w:rPr>
        <w:endnoteRef/>
      </w:r>
      <w:r>
        <w:t xml:space="preserve"> </w:t>
      </w:r>
      <w:r w:rsidRPr="00595489">
        <w:t>Ag</w:t>
      </w:r>
      <w:r>
        <w:t xml:space="preserve">e Concern NZ, </w:t>
      </w:r>
      <w:r w:rsidRPr="00E8047E">
        <w:rPr>
          <w:i/>
        </w:rPr>
        <w:t>Structure</w:t>
      </w:r>
      <w:r>
        <w:t>,</w:t>
      </w:r>
      <w:r w:rsidRPr="006B611A">
        <w:t xml:space="preserve"> </w:t>
      </w:r>
      <w:r>
        <w:t>(Website, 2021) &lt;</w:t>
      </w:r>
      <w:r w:rsidRPr="0010290C">
        <w:t>https://www.ageconcern.org.nz/Public/About_Us/Who_We_Are/</w:t>
      </w:r>
      <w:r w:rsidRPr="007C6BCE">
        <w:t>Structure/</w:t>
      </w:r>
      <w:r w:rsidRPr="0010290C">
        <w:t>Public/About/</w:t>
      </w:r>
      <w:r w:rsidRPr="007C6BCE">
        <w:t>Who_are_we/Structure</w:t>
      </w:r>
      <w:r w:rsidRPr="0010290C">
        <w:t>.aspx?hkey=</w:t>
      </w:r>
      <w:r w:rsidRPr="007C6BCE">
        <w:t>b61a432a-f36f-4391-a188-a99705af4b49</w:t>
      </w:r>
      <w:r w:rsidRPr="00E510B3">
        <w:t>&gt;</w:t>
      </w:r>
      <w:r>
        <w:t>.</w:t>
      </w:r>
    </w:p>
  </w:endnote>
  <w:endnote w:id="84">
    <w:p w14:paraId="23C1F709" w14:textId="32820193" w:rsidR="005C3DD4" w:rsidRDefault="005C3DD4" w:rsidP="005C3DD4">
      <w:pPr>
        <w:pStyle w:val="EndnoteText"/>
      </w:pPr>
      <w:r>
        <w:rPr>
          <w:rStyle w:val="EndnoteReference"/>
        </w:rPr>
        <w:endnoteRef/>
      </w:r>
      <w:r>
        <w:t xml:space="preserve"> </w:t>
      </w:r>
      <w:r w:rsidRPr="00595489">
        <w:t>Ag</w:t>
      </w:r>
      <w:r>
        <w:t xml:space="preserve">e Concern NZ, </w:t>
      </w:r>
      <w:r w:rsidRPr="00E8047E">
        <w:rPr>
          <w:i/>
        </w:rPr>
        <w:t>Our work</w:t>
      </w:r>
      <w:r>
        <w:t>,</w:t>
      </w:r>
      <w:r w:rsidRPr="006B611A">
        <w:t xml:space="preserve"> </w:t>
      </w:r>
      <w:r>
        <w:t>(Website, 2021)</w:t>
      </w:r>
      <w:r w:rsidR="00DB6666">
        <w:t xml:space="preserve"> </w:t>
      </w:r>
      <w:r>
        <w:t>&lt;</w:t>
      </w:r>
      <w:r w:rsidRPr="007C6BCE">
        <w:t>https://www.ageconcern.org.nz/Public/About_Us/</w:t>
      </w:r>
      <w:r w:rsidRPr="00C92F32">
        <w:t>Our_Work</w:t>
      </w:r>
      <w:r w:rsidRPr="007C6BCE">
        <w:t>/Public/About/</w:t>
      </w:r>
      <w:r w:rsidRPr="00C92F32">
        <w:t>OurWork</w:t>
      </w:r>
      <w:r w:rsidRPr="007C6BCE">
        <w:t>.aspx?hkey=</w:t>
      </w:r>
      <w:r w:rsidRPr="00C92F32">
        <w:t>ba008b51-4c2e-4d8e-8418-19f0befaa42a</w:t>
      </w:r>
      <w:r w:rsidRPr="00E510B3">
        <w:t>&gt;</w:t>
      </w:r>
      <w:r>
        <w:t>.</w:t>
      </w:r>
    </w:p>
  </w:endnote>
  <w:endnote w:id="85">
    <w:p w14:paraId="632EE318" w14:textId="05DDC35D" w:rsidR="005C3DD4" w:rsidRDefault="005C3DD4" w:rsidP="005C3DD4">
      <w:pPr>
        <w:pStyle w:val="EndnoteText"/>
      </w:pPr>
      <w:r>
        <w:rPr>
          <w:rStyle w:val="EndnoteReference"/>
        </w:rPr>
        <w:endnoteRef/>
      </w:r>
      <w:r>
        <w:t xml:space="preserve"> </w:t>
      </w:r>
      <w:r w:rsidRPr="006B611A">
        <w:t>A</w:t>
      </w:r>
      <w:r>
        <w:t xml:space="preserve">ge Concern NZ, </w:t>
      </w:r>
      <w:r w:rsidRPr="00E8047E">
        <w:rPr>
          <w:i/>
        </w:rPr>
        <w:t>How do we fund our services</w:t>
      </w:r>
      <w:r>
        <w:t>, (Website, 2021)</w:t>
      </w:r>
      <w:r w:rsidR="00DB6666">
        <w:t xml:space="preserve"> </w:t>
      </w:r>
      <w:r>
        <w:t>&lt;</w:t>
      </w:r>
      <w:r w:rsidRPr="000C76CA">
        <w:t>https://www.ageconcern.org.nz/Public/Get-Involved/Donate/How_do_we_fund_our_services/Public/get-involved/Donate/How_do_we_fund_our_services.aspx?hkey=4bca9bec-c3f5-4baa-b367-ce90d273a081</w:t>
      </w:r>
      <w:r w:rsidRPr="00E510B3">
        <w:t>&gt;</w:t>
      </w:r>
      <w:r>
        <w:t>.</w:t>
      </w:r>
    </w:p>
  </w:endnote>
  <w:endnote w:id="86">
    <w:p w14:paraId="18CAECDB" w14:textId="38C910FD" w:rsidR="005C3DD4" w:rsidRDefault="005C3DD4" w:rsidP="005C3DD4">
      <w:pPr>
        <w:pStyle w:val="EndnoteText"/>
      </w:pPr>
      <w:r>
        <w:rPr>
          <w:rStyle w:val="EndnoteReference"/>
        </w:rPr>
        <w:endnoteRef/>
      </w:r>
      <w:r>
        <w:t xml:space="preserve"> Age Concern NZ, </w:t>
      </w:r>
      <w:r w:rsidRPr="00E8047E">
        <w:rPr>
          <w:i/>
        </w:rPr>
        <w:t>Annual Report 2018-19</w:t>
      </w:r>
      <w:r>
        <w:t>, (Report, 2019)</w:t>
      </w:r>
      <w:r w:rsidR="00DB6666">
        <w:t xml:space="preserve"> </w:t>
      </w:r>
      <w:r>
        <w:t>&lt;</w:t>
      </w:r>
      <w:r w:rsidRPr="0027507A">
        <w:t>https://www.ageconcern.org.nz/Public/About_Us/Our_Impact/Annual_Report/Public/About/Our_Impact1/Annual_Report.aspx?hkey=7f88aa6e-bcaa-4964-a57a-2d4ac71bcd17</w:t>
      </w:r>
      <w:r w:rsidRPr="00E510B3">
        <w:t>&gt;</w:t>
      </w:r>
      <w:r>
        <w:t>.</w:t>
      </w:r>
    </w:p>
  </w:endnote>
  <w:endnote w:id="87">
    <w:p w14:paraId="3BED5EEE" w14:textId="05B1BAEA" w:rsidR="005C3DD4" w:rsidRDefault="005C3DD4" w:rsidP="005C3DD4">
      <w:pPr>
        <w:pStyle w:val="EndnoteText"/>
      </w:pPr>
      <w:r>
        <w:rPr>
          <w:rStyle w:val="EndnoteReference"/>
        </w:rPr>
        <w:endnoteRef/>
      </w:r>
      <w:r w:rsidRPr="00DF6588">
        <w:t>New Zealand Aged Care Association</w:t>
      </w:r>
      <w:r>
        <w:t>,</w:t>
      </w:r>
      <w:r w:rsidRPr="00E510B3">
        <w:t xml:space="preserve"> </w:t>
      </w:r>
      <w:r>
        <w:rPr>
          <w:i/>
        </w:rPr>
        <w:t>About us</w:t>
      </w:r>
      <w:r>
        <w:t>,</w:t>
      </w:r>
      <w:r w:rsidRPr="00595489">
        <w:t xml:space="preserve"> </w:t>
      </w:r>
      <w:r>
        <w:t>(Website, 2021)</w:t>
      </w:r>
      <w:r w:rsidR="00DB6666">
        <w:t xml:space="preserve"> </w:t>
      </w:r>
      <w:r w:rsidRPr="00595489">
        <w:t>&lt;https://nzaca.org.nz/nzaca/</w:t>
      </w:r>
      <w:r>
        <w:t>&gt;</w:t>
      </w:r>
    </w:p>
  </w:endnote>
  <w:endnote w:id="88">
    <w:p w14:paraId="1C5FB458" w14:textId="77777777" w:rsidR="005C3DD4" w:rsidRDefault="005C3DD4" w:rsidP="005C3DD4">
      <w:pPr>
        <w:pStyle w:val="EndnoteText"/>
      </w:pPr>
      <w:r>
        <w:rPr>
          <w:rStyle w:val="EndnoteReference"/>
        </w:rPr>
        <w:endnoteRef/>
      </w:r>
      <w:r>
        <w:t>Drage, J</w:t>
      </w:r>
      <w:r w:rsidRPr="00E510B3">
        <w:t>.</w:t>
      </w:r>
      <w:r>
        <w:t>, ‘</w:t>
      </w:r>
      <w:r w:rsidRPr="006B611A">
        <w:t>New Zealand’s National Health and Disability Advocacy Service: A successful model of advocacy’</w:t>
      </w:r>
      <w:r>
        <w:t xml:space="preserve"> (2012),</w:t>
      </w:r>
      <w:r w:rsidRPr="006B611A">
        <w:t xml:space="preserve"> </w:t>
      </w:r>
      <w:r w:rsidRPr="006B611A">
        <w:rPr>
          <w:i/>
          <w:iCs/>
        </w:rPr>
        <w:t>Health and Human Rights Journal</w:t>
      </w:r>
      <w:r>
        <w:t xml:space="preserve">, 14(1) </w:t>
      </w:r>
      <w:r w:rsidRPr="006B611A">
        <w:t>&lt;https://www.hhrjournal.org/2013/08/new-zealands-national-health-and-disability-advocacy-service-a-successful-model-of-advocacy/&gt;</w:t>
      </w:r>
      <w:r>
        <w:t>.</w:t>
      </w:r>
    </w:p>
  </w:endnote>
  <w:endnote w:id="89">
    <w:p w14:paraId="1E964C51" w14:textId="0763253D" w:rsidR="005C3DD4" w:rsidRDefault="005C3DD4" w:rsidP="005C3DD4">
      <w:pPr>
        <w:pStyle w:val="EndnoteText"/>
      </w:pPr>
      <w:r>
        <w:rPr>
          <w:rStyle w:val="EndnoteReference"/>
        </w:rPr>
        <w:endnoteRef/>
      </w:r>
      <w:r>
        <w:t xml:space="preserve"> </w:t>
      </w:r>
      <w:r w:rsidRPr="00DF6588">
        <w:t>New Zealand Aged Care Association</w:t>
      </w:r>
      <w:r>
        <w:t xml:space="preserve">, </w:t>
      </w:r>
      <w:r w:rsidRPr="00E8047E">
        <w:rPr>
          <w:i/>
        </w:rPr>
        <w:t>Code of Residents’ Rights and Responsibilities</w:t>
      </w:r>
      <w:r>
        <w:t>, (Website, July 2020)</w:t>
      </w:r>
      <w:r w:rsidR="00DB6666">
        <w:t xml:space="preserve"> </w:t>
      </w:r>
      <w:r>
        <w:t>&lt;</w:t>
      </w:r>
      <w:r w:rsidRPr="00892411">
        <w:t>https://nzaca.org.nz/wp-content/uploads/2020/07/NZACA-Code-of-Residents-Rights-and-Responsibilities-July-2020.pdf#:~:text=Code%20of%20Residents%E2%80%99%20Rights%20and%20Responsibilities%20The%20New,in%20your%20home.%20You%20have%20a%20right%20to%3A</w:t>
      </w:r>
      <w:r>
        <w:t>&gt;</w:t>
      </w:r>
      <w:r w:rsidRPr="00E510B3">
        <w:t>20You%20have%20a%20right%20to%3A&gt;</w:t>
      </w:r>
      <w:r>
        <w:t>.</w:t>
      </w:r>
    </w:p>
  </w:endnote>
  <w:endnote w:id="90">
    <w:p w14:paraId="06FA89AF" w14:textId="4C8E8B36" w:rsidR="005C3DD4" w:rsidRDefault="005C3DD4" w:rsidP="005C3DD4">
      <w:pPr>
        <w:pStyle w:val="EndnoteText"/>
      </w:pPr>
      <w:r>
        <w:rPr>
          <w:rStyle w:val="EndnoteReference"/>
        </w:rPr>
        <w:endnoteRef/>
      </w:r>
      <w:r>
        <w:t xml:space="preserve"> Michas, F., </w:t>
      </w:r>
      <w:r w:rsidRPr="0079142C">
        <w:rPr>
          <w:i/>
        </w:rPr>
        <w:t>Residential care in the UK – statistics &amp; facts</w:t>
      </w:r>
      <w:r>
        <w:t>, Statista (8 June 2021)</w:t>
      </w:r>
      <w:r w:rsidR="00DB6666">
        <w:t xml:space="preserve"> </w:t>
      </w:r>
      <w:r>
        <w:t>&lt;</w:t>
      </w:r>
      <w:r w:rsidRPr="001E3EF9">
        <w:t>https://www.statista.com/topics/7908/residential-care-in-the-uk/</w:t>
      </w:r>
      <w:r>
        <w:t>&gt;.</w:t>
      </w:r>
    </w:p>
  </w:endnote>
  <w:endnote w:id="91">
    <w:p w14:paraId="5480B246" w14:textId="6CED05F3" w:rsidR="005C3DD4" w:rsidRDefault="005C3DD4" w:rsidP="005C3DD4">
      <w:pPr>
        <w:pStyle w:val="EndnoteText"/>
      </w:pPr>
      <w:r>
        <w:rPr>
          <w:rStyle w:val="EndnoteReference"/>
        </w:rPr>
        <w:endnoteRef/>
      </w:r>
      <w:r>
        <w:t xml:space="preserve"> Office for National Statistics, </w:t>
      </w:r>
      <w:r>
        <w:rPr>
          <w:i/>
        </w:rPr>
        <w:t>Overview of the UK population: January 2021</w:t>
      </w:r>
      <w:r>
        <w:t>, (Article, 14 January 2021)</w:t>
      </w:r>
      <w:r w:rsidR="00DB6666">
        <w:t xml:space="preserve"> </w:t>
      </w:r>
      <w:r>
        <w:t>&lt;</w:t>
      </w:r>
      <w:r w:rsidRPr="006565D5">
        <w:t>https://www.ons.gov.uk/peoplepopulationandcommunity/populationandmigration/populationestimates/articles/overviewoftheukpopulation/january2021#the-uks-population-is-ageing</w:t>
      </w:r>
      <w:r>
        <w:t>&gt;</w:t>
      </w:r>
    </w:p>
  </w:endnote>
  <w:endnote w:id="92">
    <w:p w14:paraId="68440E01" w14:textId="0B5A2052" w:rsidR="005C3DD4" w:rsidRDefault="005C3DD4" w:rsidP="005C3DD4">
      <w:pPr>
        <w:pStyle w:val="EndnoteText"/>
      </w:pPr>
      <w:r>
        <w:rPr>
          <w:rStyle w:val="EndnoteReference"/>
        </w:rPr>
        <w:endnoteRef/>
      </w:r>
      <w:r>
        <w:t xml:space="preserve"> National Voices,</w:t>
      </w:r>
      <w:r w:rsidRPr="000B2C6A">
        <w:t xml:space="preserve"> </w:t>
      </w:r>
      <w:r>
        <w:t>UCL Partners and Age UK</w:t>
      </w:r>
      <w:r w:rsidRPr="00543B0D">
        <w:rPr>
          <w:i/>
          <w:iCs/>
        </w:rPr>
        <w:t>,</w:t>
      </w:r>
      <w:r w:rsidRPr="00543B0D">
        <w:rPr>
          <w:i/>
        </w:rPr>
        <w:t xml:space="preserve"> </w:t>
      </w:r>
      <w:r w:rsidRPr="00E8047E">
        <w:rPr>
          <w:i/>
        </w:rPr>
        <w:t>I’m still me – A narrative for coordinated support for older people</w:t>
      </w:r>
      <w:r>
        <w:t>,</w:t>
      </w:r>
      <w:r w:rsidRPr="006B611A">
        <w:t xml:space="preserve"> </w:t>
      </w:r>
      <w:r>
        <w:t>(Report, December 2014)</w:t>
      </w:r>
      <w:r w:rsidR="00DB6666">
        <w:t xml:space="preserve"> </w:t>
      </w:r>
      <w:r>
        <w:t>&lt;</w:t>
      </w:r>
      <w:r w:rsidRPr="00F353E8">
        <w:t>https://www.</w:t>
      </w:r>
      <w:r w:rsidRPr="00DA5082">
        <w:t>nationalvoices.org.</w:t>
      </w:r>
      <w:r w:rsidRPr="00F353E8">
        <w:t>uk</w:t>
      </w:r>
      <w:r w:rsidRPr="00DA5082">
        <w:t>/publications/our-publications/im-still-me</w:t>
      </w:r>
      <w:r w:rsidRPr="00E510B3">
        <w:t>&gt;</w:t>
      </w:r>
      <w:r>
        <w:t>.</w:t>
      </w:r>
    </w:p>
  </w:endnote>
  <w:endnote w:id="93">
    <w:p w14:paraId="15DA2FC1" w14:textId="77777777" w:rsidR="005C3DD4" w:rsidRDefault="005C3DD4" w:rsidP="005C3DD4">
      <w:pPr>
        <w:pStyle w:val="EndnoteText"/>
      </w:pPr>
      <w:r>
        <w:rPr>
          <w:rStyle w:val="EndnoteReference"/>
        </w:rPr>
        <w:endnoteRef/>
      </w:r>
      <w:r>
        <w:t xml:space="preserve"> </w:t>
      </w:r>
      <w:r w:rsidRPr="006B611A">
        <w:t>A</w:t>
      </w:r>
      <w:r>
        <w:t xml:space="preserve">ge UK, </w:t>
      </w:r>
      <w:r w:rsidRPr="00E8047E">
        <w:rPr>
          <w:i/>
        </w:rPr>
        <w:t>Briefing: Health and Care of Older People in England 2019</w:t>
      </w:r>
      <w:r>
        <w:t>, (Report, July 2019)  &lt;</w:t>
      </w:r>
      <w:r w:rsidRPr="005D39BF">
        <w:t>https://www.ageuk.org.uk/globalassets/age-uk/documents/reports-and-publications/reports-and-briefings/health--wellbeing/age_uk_briefing_state_of_health_and_care_of_older_people_july2019.pdf</w:t>
      </w:r>
      <w:r w:rsidRPr="00E510B3">
        <w:t>&gt;</w:t>
      </w:r>
      <w:r>
        <w:t>.</w:t>
      </w:r>
    </w:p>
  </w:endnote>
  <w:endnote w:id="94">
    <w:p w14:paraId="6E66CE76" w14:textId="7AD17A3F" w:rsidR="005C3DD4" w:rsidRDefault="005C3DD4" w:rsidP="005C3DD4">
      <w:pPr>
        <w:pStyle w:val="EndnoteText"/>
      </w:pPr>
      <w:r>
        <w:rPr>
          <w:rStyle w:val="EndnoteReference"/>
        </w:rPr>
        <w:endnoteRef/>
      </w:r>
      <w:r>
        <w:t xml:space="preserve"> </w:t>
      </w:r>
      <w:r w:rsidRPr="006B611A">
        <w:t>The</w:t>
      </w:r>
      <w:r>
        <w:t xml:space="preserve"> King’s Fund, </w:t>
      </w:r>
      <w:r w:rsidRPr="00E8047E">
        <w:rPr>
          <w:i/>
        </w:rPr>
        <w:t>Key facts and figures about adult social care</w:t>
      </w:r>
      <w:r>
        <w:t>, (Website, 2 July 2021)</w:t>
      </w:r>
      <w:r w:rsidR="00DB6666">
        <w:t xml:space="preserve"> </w:t>
      </w:r>
      <w:r>
        <w:t>&lt;</w:t>
      </w:r>
      <w:r w:rsidRPr="00A852D8">
        <w:t>https://www.kingsfund.org.uk/audio-video/key-facts-figures-adult-social-care</w:t>
      </w:r>
      <w:r w:rsidRPr="00E510B3">
        <w:t>&gt;</w:t>
      </w:r>
      <w:r>
        <w:t>.</w:t>
      </w:r>
    </w:p>
  </w:endnote>
  <w:endnote w:id="95">
    <w:p w14:paraId="790B6C6A" w14:textId="5EBF66C2" w:rsidR="005C3DD4" w:rsidRDefault="005C3DD4" w:rsidP="005C3DD4">
      <w:pPr>
        <w:pStyle w:val="EndnoteText"/>
      </w:pPr>
      <w:r>
        <w:rPr>
          <w:rStyle w:val="EndnoteReference"/>
        </w:rPr>
        <w:endnoteRef/>
      </w:r>
      <w:r>
        <w:t xml:space="preserve"> </w:t>
      </w:r>
      <w:r w:rsidRPr="005F21BB">
        <w:t xml:space="preserve"> </w:t>
      </w:r>
      <w:r>
        <w:t xml:space="preserve">Michas, F., </w:t>
      </w:r>
      <w:r w:rsidRPr="0079142C">
        <w:rPr>
          <w:i/>
        </w:rPr>
        <w:t>Residential care in the UK – statistics &amp; facts</w:t>
      </w:r>
      <w:r>
        <w:t>, Statista (8 June 2021)</w:t>
      </w:r>
      <w:r w:rsidR="00DB6666">
        <w:t xml:space="preserve"> </w:t>
      </w:r>
      <w:r>
        <w:t>&lt;</w:t>
      </w:r>
      <w:r w:rsidRPr="001E3EF9">
        <w:t>https://www.statista.com/topics/7908/residential-care-in-the-uk/</w:t>
      </w:r>
      <w:r>
        <w:t>&gt;.</w:t>
      </w:r>
    </w:p>
  </w:endnote>
  <w:endnote w:id="96">
    <w:p w14:paraId="464B1FE9" w14:textId="021E4281" w:rsidR="005C3DD4" w:rsidRDefault="005C3DD4" w:rsidP="005C3DD4">
      <w:pPr>
        <w:pStyle w:val="EndnoteText"/>
      </w:pPr>
      <w:r>
        <w:rPr>
          <w:rStyle w:val="EndnoteReference"/>
        </w:rPr>
        <w:endnoteRef/>
      </w:r>
      <w:r>
        <w:t xml:space="preserve"> Consultus Care, </w:t>
      </w:r>
      <w:r>
        <w:rPr>
          <w:i/>
        </w:rPr>
        <w:t>The Care Choice Gap: Overcoming challenges in elderly care provision</w:t>
      </w:r>
      <w:r>
        <w:t>, (Commissioned by Consultus Care and Nursing, 2014)</w:t>
      </w:r>
      <w:r w:rsidR="00DB6666">
        <w:t xml:space="preserve"> </w:t>
      </w:r>
      <w:r>
        <w:t>&lt;</w:t>
      </w:r>
      <w:r w:rsidRPr="00191791">
        <w:t>https://consultuscare.com/wp-content/uploads/2020/08/care-choice-gap-report.pdf</w:t>
      </w:r>
      <w:r>
        <w:t>&gt;</w:t>
      </w:r>
      <w:r w:rsidDel="00BB02A4">
        <w:t xml:space="preserve"> </w:t>
      </w:r>
    </w:p>
  </w:endnote>
  <w:endnote w:id="97">
    <w:p w14:paraId="4B13FBCB" w14:textId="730CF06F" w:rsidR="005C3DD4" w:rsidRDefault="005C3DD4" w:rsidP="005C3DD4">
      <w:pPr>
        <w:pStyle w:val="EndnoteText"/>
      </w:pPr>
      <w:r>
        <w:rPr>
          <w:rStyle w:val="EndnoteReference"/>
        </w:rPr>
        <w:endnoteRef/>
      </w:r>
      <w:r>
        <w:t xml:space="preserve"> Michas, F., </w:t>
      </w:r>
      <w:r w:rsidRPr="0079142C">
        <w:rPr>
          <w:i/>
        </w:rPr>
        <w:t>Residential care in the UK – statistics &amp; facts</w:t>
      </w:r>
      <w:r>
        <w:t>, Statista (8 June 2021)</w:t>
      </w:r>
      <w:r w:rsidR="00DB6666">
        <w:t xml:space="preserve"> </w:t>
      </w:r>
      <w:r>
        <w:t>&lt;</w:t>
      </w:r>
      <w:r w:rsidRPr="001E3EF9">
        <w:t>https://www.statista.com/topics/7908/residential-care-in-the-uk/</w:t>
      </w:r>
      <w:r>
        <w:t>&gt;.</w:t>
      </w:r>
    </w:p>
  </w:endnote>
  <w:endnote w:id="98">
    <w:p w14:paraId="58AF85E4" w14:textId="4E20ED2A" w:rsidR="005C3DD4" w:rsidRDefault="005C3DD4" w:rsidP="005C3DD4">
      <w:pPr>
        <w:pStyle w:val="EndnoteText"/>
      </w:pPr>
      <w:r>
        <w:rPr>
          <w:rStyle w:val="EndnoteReference"/>
        </w:rPr>
        <w:endnoteRef/>
      </w:r>
      <w:r>
        <w:t xml:space="preserve"> Care Quality Commission, </w:t>
      </w:r>
      <w:r w:rsidRPr="00DF1752">
        <w:rPr>
          <w:i/>
        </w:rPr>
        <w:t>What we do</w:t>
      </w:r>
      <w:r>
        <w:t>, (Website, 2022)</w:t>
      </w:r>
      <w:r w:rsidR="00DB6666">
        <w:t xml:space="preserve"> </w:t>
      </w:r>
      <w:r>
        <w:t>&lt;</w:t>
      </w:r>
      <w:r w:rsidRPr="00A279F1">
        <w:t>https://www.cqc.org.uk/what-we-do</w:t>
      </w:r>
      <w:r>
        <w:t>&gt;.</w:t>
      </w:r>
    </w:p>
  </w:endnote>
  <w:endnote w:id="99">
    <w:p w14:paraId="60B0724A" w14:textId="77777777" w:rsidR="005C3DD4" w:rsidRDefault="005C3DD4" w:rsidP="005C3DD4">
      <w:pPr>
        <w:pStyle w:val="EndnoteText"/>
      </w:pPr>
      <w:r>
        <w:rPr>
          <w:rStyle w:val="EndnoteReference"/>
        </w:rPr>
        <w:endnoteRef/>
      </w:r>
      <w:r>
        <w:t xml:space="preserve"> Older People’s Advocacy Alliance, </w:t>
      </w:r>
      <w:r w:rsidRPr="00371ACC">
        <w:rPr>
          <w:i/>
        </w:rPr>
        <w:t>Advocating Change for Older People</w:t>
      </w:r>
      <w:r>
        <w:t>, (Website, 2021) &lt;https://opaal.org.uk/&gt;.</w:t>
      </w:r>
    </w:p>
  </w:endnote>
  <w:endnote w:id="100">
    <w:p w14:paraId="6C1D6163" w14:textId="2C6348B5" w:rsidR="005C3DD4" w:rsidRDefault="005C3DD4" w:rsidP="005C3DD4">
      <w:pPr>
        <w:pStyle w:val="EndnoteText"/>
      </w:pPr>
      <w:r>
        <w:rPr>
          <w:rStyle w:val="EndnoteReference"/>
        </w:rPr>
        <w:endnoteRef/>
      </w:r>
      <w:r>
        <w:t xml:space="preserve"> Older People’s Advocacy Alliance, </w:t>
      </w:r>
      <w:r>
        <w:rPr>
          <w:i/>
        </w:rPr>
        <w:t>For members: What is the Advocacy</w:t>
      </w:r>
      <w:r>
        <w:rPr>
          <w:i/>
          <w:iCs/>
        </w:rPr>
        <w:t xml:space="preserve"> </w:t>
      </w:r>
      <w:r>
        <w:rPr>
          <w:i/>
        </w:rPr>
        <w:t>Checklist</w:t>
      </w:r>
      <w:r>
        <w:t>, (Website, 2021) &lt;https://opaal.org.uk</w:t>
      </w:r>
      <w:r w:rsidRPr="00411CE6">
        <w:t>/what-is-the-advocacy-checklist/</w:t>
      </w:r>
      <w:r>
        <w:t>&gt;</w:t>
      </w:r>
    </w:p>
  </w:endnote>
  <w:endnote w:id="101">
    <w:p w14:paraId="3E2E115F" w14:textId="3BE6C016" w:rsidR="005C3DD4" w:rsidRDefault="005C3DD4" w:rsidP="005C3DD4">
      <w:pPr>
        <w:pStyle w:val="EndnoteText"/>
      </w:pPr>
      <w:r>
        <w:rPr>
          <w:rStyle w:val="EndnoteReference"/>
        </w:rPr>
        <w:endnoteRef/>
      </w:r>
      <w:r>
        <w:t xml:space="preserve"> Independent Advocacy Perth &amp; Kinross, </w:t>
      </w:r>
      <w:r w:rsidRPr="00371ACC">
        <w:rPr>
          <w:i/>
        </w:rPr>
        <w:t>Non-Instructed Advocac</w:t>
      </w:r>
      <w:r w:rsidRPr="006B611A">
        <w:rPr>
          <w:i/>
        </w:rPr>
        <w:t>y</w:t>
      </w:r>
      <w:r>
        <w:t>, (Website, 2009)</w:t>
      </w:r>
      <w:r w:rsidR="00DB6666">
        <w:t xml:space="preserve"> </w:t>
      </w:r>
      <w:r>
        <w:t>&lt;</w:t>
      </w:r>
      <w:r w:rsidRPr="006B611A">
        <w:t>https://www.iapk.org.uk/how-we-can-help/what-we-do/non-instructed-advocacy/</w:t>
      </w:r>
      <w:r>
        <w:t>&gt;.</w:t>
      </w:r>
    </w:p>
  </w:endnote>
  <w:endnote w:id="102">
    <w:p w14:paraId="085D2D7A" w14:textId="6EBB6ADF" w:rsidR="005C3DD4" w:rsidRDefault="005C3DD4" w:rsidP="005C3DD4">
      <w:pPr>
        <w:pStyle w:val="EndnoteText"/>
      </w:pPr>
      <w:r>
        <w:rPr>
          <w:rStyle w:val="EndnoteReference"/>
        </w:rPr>
        <w:endnoteRef/>
      </w:r>
      <w:r>
        <w:t xml:space="preserve"> The Advocacy Project, </w:t>
      </w:r>
      <w:r w:rsidRPr="00371ACC">
        <w:rPr>
          <w:i/>
        </w:rPr>
        <w:t xml:space="preserve">Types of </w:t>
      </w:r>
      <w:r w:rsidRPr="00371ACC">
        <w:rPr>
          <w:i/>
        </w:rPr>
        <w:t>advocacy</w:t>
      </w:r>
      <w:r>
        <w:t>, (Website, 2021)</w:t>
      </w:r>
      <w:r w:rsidR="00DB6666">
        <w:t xml:space="preserve"> </w:t>
      </w:r>
      <w:r>
        <w:t>&lt;</w:t>
      </w:r>
      <w:r w:rsidRPr="006B611A">
        <w:t>https://www.advocacyproject.org.uk/what-we-do/advocacy/types-of-advocacy/</w:t>
      </w:r>
      <w:r>
        <w:t>&gt;.</w:t>
      </w:r>
    </w:p>
  </w:endnote>
  <w:endnote w:id="103">
    <w:p w14:paraId="79A64B21" w14:textId="5708927A" w:rsidR="005C3DD4" w:rsidRDefault="005C3DD4" w:rsidP="005C3DD4">
      <w:pPr>
        <w:pStyle w:val="EndnoteText"/>
      </w:pPr>
      <w:r>
        <w:rPr>
          <w:rStyle w:val="EndnoteReference"/>
        </w:rPr>
        <w:endnoteRef/>
      </w:r>
      <w:r>
        <w:t xml:space="preserve"> Hartman, A.</w:t>
      </w:r>
      <w:r w:rsidRPr="006B611A">
        <w:rPr>
          <w:i/>
          <w:iCs/>
        </w:rPr>
        <w:t xml:space="preserve">, </w:t>
      </w:r>
      <w:r w:rsidRPr="00EA7F83">
        <w:rPr>
          <w:i/>
        </w:rPr>
        <w:t>Peer Advocacy</w:t>
      </w:r>
      <w:r>
        <w:t>, National Survivor User Network (23 September 2019)</w:t>
      </w:r>
      <w:r w:rsidR="00DB6666">
        <w:t xml:space="preserve"> </w:t>
      </w:r>
      <w:r>
        <w:t>&lt;</w:t>
      </w:r>
      <w:r w:rsidRPr="006B611A">
        <w:t>https://www.nsun.org.uk/peer-advocacy/</w:t>
      </w:r>
      <w:r>
        <w:t>&gt;.</w:t>
      </w:r>
    </w:p>
  </w:endnote>
  <w:endnote w:id="104">
    <w:p w14:paraId="7B9D1876" w14:textId="2ED89134" w:rsidR="005C3DD4" w:rsidRDefault="005C3DD4" w:rsidP="005C3DD4">
      <w:pPr>
        <w:pStyle w:val="EndnoteText"/>
      </w:pPr>
      <w:r>
        <w:rPr>
          <w:rStyle w:val="EndnoteReference"/>
        </w:rPr>
        <w:endnoteRef/>
      </w:r>
      <w:r>
        <w:t xml:space="preserve"> Centre for Policy on Ageing, </w:t>
      </w:r>
      <w:r w:rsidRPr="006B611A">
        <w:rPr>
          <w:i/>
        </w:rPr>
        <w:t>Citizenship and Culture – Citizen Advocacy</w:t>
      </w:r>
      <w:r>
        <w:t>, (Publication, 1995)</w:t>
      </w:r>
      <w:r w:rsidR="00DB6666">
        <w:t xml:space="preserve"> </w:t>
      </w:r>
      <w:r>
        <w:t>&lt;</w:t>
      </w:r>
      <w:r w:rsidRPr="006B611A">
        <w:t>http://www.cpa.org.uk/pubs/citizenadvocacy.html</w:t>
      </w:r>
      <w:r>
        <w:t>&gt;.</w:t>
      </w:r>
    </w:p>
  </w:endnote>
  <w:endnote w:id="105">
    <w:p w14:paraId="54C06139" w14:textId="455DE85F" w:rsidR="005C3DD4" w:rsidRDefault="005C3DD4" w:rsidP="005C3DD4">
      <w:pPr>
        <w:pStyle w:val="EndnoteText"/>
      </w:pPr>
      <w:r>
        <w:rPr>
          <w:rStyle w:val="EndnoteReference"/>
        </w:rPr>
        <w:endnoteRef/>
      </w:r>
      <w:r>
        <w:t xml:space="preserve"> Mind, </w:t>
      </w:r>
      <w:r w:rsidRPr="00EA7F83">
        <w:rPr>
          <w:i/>
        </w:rPr>
        <w:t>Advocacy in mental healt</w:t>
      </w:r>
      <w:r w:rsidRPr="00191097">
        <w:rPr>
          <w:i/>
        </w:rPr>
        <w:t>h</w:t>
      </w:r>
      <w:r>
        <w:t>,</w:t>
      </w:r>
      <w:r>
        <w:rPr>
          <w:i/>
          <w:iCs/>
        </w:rPr>
        <w:t xml:space="preserve"> </w:t>
      </w:r>
      <w:r>
        <w:t>(Website, October 2017)</w:t>
      </w:r>
      <w:r w:rsidR="00DB6666">
        <w:t xml:space="preserve"> </w:t>
      </w:r>
      <w:r>
        <w:t>&lt;</w:t>
      </w:r>
      <w:r w:rsidRPr="006B611A">
        <w:t>https://www.mind.org.uk/information-support/guides-to-support-and-services/advocacy/imcas/</w:t>
      </w:r>
      <w:r>
        <w:t>&gt;.</w:t>
      </w:r>
    </w:p>
  </w:endnote>
  <w:endnote w:id="106">
    <w:p w14:paraId="735EB95F" w14:textId="5C975019" w:rsidR="005C3DD4" w:rsidRDefault="005C3DD4" w:rsidP="005C3DD4">
      <w:pPr>
        <w:pStyle w:val="EndnoteText"/>
      </w:pPr>
      <w:r>
        <w:rPr>
          <w:rStyle w:val="EndnoteReference"/>
        </w:rPr>
        <w:endnoteRef/>
      </w:r>
      <w:r>
        <w:t xml:space="preserve"> Social Care Institute for Excellence, </w:t>
      </w:r>
      <w:r w:rsidRPr="009D3FA3">
        <w:rPr>
          <w:i/>
          <w:iCs/>
        </w:rPr>
        <w:t xml:space="preserve">Deprivation of Liberty Safeguards (DoLS) </w:t>
      </w:r>
      <w:r w:rsidRPr="009D3FA3">
        <w:rPr>
          <w:i/>
          <w:iCs/>
        </w:rPr>
        <w:t>at a glance</w:t>
      </w:r>
      <w:r>
        <w:rPr>
          <w:i/>
          <w:iCs/>
        </w:rPr>
        <w:t>,</w:t>
      </w:r>
      <w:r>
        <w:t xml:space="preserve"> (Website, May 2015)</w:t>
      </w:r>
      <w:r w:rsidR="00DB6666">
        <w:t xml:space="preserve"> </w:t>
      </w:r>
      <w:r>
        <w:t>&lt;</w:t>
      </w:r>
      <w:r w:rsidRPr="009D3FA3">
        <w:t>https://www.scie.org.uk/mca/dols/at-a-glance#:~:text=DoLS%20ensures%20people%20who%20cannot,in%20the%20person's%20best%20interests</w:t>
      </w:r>
      <w:r w:rsidRPr="00190D3D">
        <w:t>.</w:t>
      </w:r>
      <w:r>
        <w:t>&gt;</w:t>
      </w:r>
    </w:p>
  </w:endnote>
  <w:endnote w:id="107">
    <w:p w14:paraId="13FA6069" w14:textId="0231BA0E" w:rsidR="005C3DD4" w:rsidRDefault="005C3DD4" w:rsidP="005C3DD4">
      <w:pPr>
        <w:pStyle w:val="EndnoteText"/>
      </w:pPr>
      <w:r>
        <w:rPr>
          <w:rStyle w:val="EndnoteReference"/>
        </w:rPr>
        <w:endnoteRef/>
      </w:r>
      <w:r>
        <w:t xml:space="preserve"> VoiceAbility, </w:t>
      </w:r>
      <w:r w:rsidRPr="009D3FA3">
        <w:rPr>
          <w:i/>
          <w:iCs/>
        </w:rPr>
        <w:t>Independent Mental Health Advocacy (IMHA</w:t>
      </w:r>
      <w:r>
        <w:rPr>
          <w:i/>
          <w:iCs/>
        </w:rPr>
        <w:t>), (</w:t>
      </w:r>
      <w:r>
        <w:t>Website, 2021)</w:t>
      </w:r>
      <w:r w:rsidR="00DB6666">
        <w:t xml:space="preserve"> </w:t>
      </w:r>
      <w:r>
        <w:t>&lt;</w:t>
      </w:r>
      <w:r w:rsidRPr="009D3FA3">
        <w:t>https://www.voiceability.org/about-advocacy/types-of-advocacy/independent-mental-health-advocacy-imha</w:t>
      </w:r>
      <w:r>
        <w:t>&gt;</w:t>
      </w:r>
    </w:p>
  </w:endnote>
  <w:endnote w:id="108">
    <w:p w14:paraId="07514908" w14:textId="54E0063D" w:rsidR="005C3DD4" w:rsidRDefault="005C3DD4" w:rsidP="005C3DD4">
      <w:pPr>
        <w:pStyle w:val="EndnoteText"/>
      </w:pPr>
      <w:r>
        <w:rPr>
          <w:rStyle w:val="EndnoteReference"/>
        </w:rPr>
        <w:endnoteRef/>
      </w:r>
      <w:r>
        <w:t xml:space="preserve"> Older People’s Advocacy Alliance, </w:t>
      </w:r>
      <w:r w:rsidRPr="006F273C">
        <w:rPr>
          <w:i/>
        </w:rPr>
        <w:t>Age Connects Cardiff &amp; The Vale of Glamorgan</w:t>
      </w:r>
      <w:r>
        <w:t>, (Website, 2021)</w:t>
      </w:r>
      <w:r w:rsidR="00DB6666">
        <w:t xml:space="preserve"> </w:t>
      </w:r>
      <w:r>
        <w:t>&lt;</w:t>
      </w:r>
      <w:r w:rsidRPr="00D122B9">
        <w:t>https://opaal.org.uk/location/age-connects-cardiff-the-vale-of-glamorgan/</w:t>
      </w:r>
      <w:r>
        <w:t>&gt;.</w:t>
      </w:r>
    </w:p>
  </w:endnote>
  <w:endnote w:id="109">
    <w:p w14:paraId="546B63D0" w14:textId="3A55738C" w:rsidR="005C3DD4" w:rsidRDefault="005C3DD4" w:rsidP="005C3DD4">
      <w:pPr>
        <w:pStyle w:val="EndnoteText"/>
      </w:pPr>
      <w:r>
        <w:rPr>
          <w:rStyle w:val="EndnoteReference"/>
        </w:rPr>
        <w:endnoteRef/>
      </w:r>
      <w:r>
        <w:t xml:space="preserve"> </w:t>
      </w:r>
      <w:r w:rsidRPr="006B611A">
        <w:t>O</w:t>
      </w:r>
      <w:r>
        <w:t xml:space="preserve">lder People’s Advocacy Alliance, </w:t>
      </w:r>
      <w:r w:rsidRPr="006F273C">
        <w:rPr>
          <w:i/>
        </w:rPr>
        <w:t>Advocacy Services Near You</w:t>
      </w:r>
      <w:r>
        <w:t>, (Website, 2021)</w:t>
      </w:r>
      <w:r w:rsidR="00DB6666">
        <w:t xml:space="preserve"> </w:t>
      </w:r>
      <w:r>
        <w:t>&lt;</w:t>
      </w:r>
      <w:r w:rsidRPr="00D122B9">
        <w:t>https://opaal.org.uk/location</w:t>
      </w:r>
      <w:r>
        <w:t>s/&gt;.</w:t>
      </w:r>
    </w:p>
  </w:endnote>
  <w:endnote w:id="110">
    <w:p w14:paraId="36E10D56" w14:textId="2D91608F" w:rsidR="005C3DD4" w:rsidRDefault="005C3DD4" w:rsidP="005C3DD4">
      <w:pPr>
        <w:pStyle w:val="EndnoteText"/>
      </w:pPr>
      <w:r>
        <w:rPr>
          <w:rStyle w:val="EndnoteReference"/>
        </w:rPr>
        <w:endnoteRef/>
      </w:r>
      <w:r>
        <w:t xml:space="preserve"> </w:t>
      </w:r>
      <w:r w:rsidRPr="006B611A">
        <w:t>A</w:t>
      </w:r>
      <w:r>
        <w:t xml:space="preserve">ge UK, </w:t>
      </w:r>
      <w:r w:rsidRPr="006F273C">
        <w:rPr>
          <w:i/>
        </w:rPr>
        <w:t>About us</w:t>
      </w:r>
      <w:r>
        <w:t>, (Website, 2021)</w:t>
      </w:r>
      <w:r w:rsidR="00DB6666">
        <w:t xml:space="preserve"> </w:t>
      </w:r>
      <w:r>
        <w:t>&lt;</w:t>
      </w:r>
      <w:r w:rsidRPr="000D4AD0">
        <w:t>https://www.ageuk.org.uk/about-us/</w:t>
      </w:r>
      <w:r>
        <w:t>&gt;.</w:t>
      </w:r>
    </w:p>
  </w:endnote>
  <w:endnote w:id="111">
    <w:p w14:paraId="72C96FDC" w14:textId="387FC73A" w:rsidR="005C3DD4" w:rsidRDefault="005C3DD4" w:rsidP="005C3DD4">
      <w:pPr>
        <w:pStyle w:val="EndnoteText"/>
      </w:pPr>
      <w:r>
        <w:rPr>
          <w:rStyle w:val="EndnoteReference"/>
        </w:rPr>
        <w:endnoteRef/>
      </w:r>
      <w:r>
        <w:t xml:space="preserve"> </w:t>
      </w:r>
      <w:r w:rsidRPr="00595489">
        <w:t>A</w:t>
      </w:r>
      <w:r>
        <w:t xml:space="preserve">ge UK, </w:t>
      </w:r>
      <w:r>
        <w:rPr>
          <w:i/>
        </w:rPr>
        <w:t>Annual Report</w:t>
      </w:r>
      <w:r>
        <w:t xml:space="preserve"> 2019-20, (Report, 2020)</w:t>
      </w:r>
      <w:r w:rsidR="00DB6666">
        <w:t xml:space="preserve"> </w:t>
      </w:r>
      <w:r>
        <w:t>&lt;</w:t>
      </w:r>
      <w:r w:rsidRPr="000D4AD0">
        <w:t>https://www.ageuk.org.uk/about-us</w:t>
      </w:r>
      <w:r w:rsidRPr="00C7063C">
        <w:t>/what-we-do/annual-reports/</w:t>
      </w:r>
      <w:r>
        <w:t>&gt;</w:t>
      </w:r>
    </w:p>
  </w:endnote>
  <w:endnote w:id="112">
    <w:p w14:paraId="34D54009" w14:textId="77777777" w:rsidR="005C3DD4" w:rsidRDefault="005C3DD4" w:rsidP="005C3DD4">
      <w:pPr>
        <w:pStyle w:val="EndnoteText"/>
      </w:pPr>
      <w:r>
        <w:rPr>
          <w:rStyle w:val="EndnoteReference"/>
        </w:rPr>
        <w:endnoteRef/>
      </w:r>
      <w:r>
        <w:t xml:space="preserve"> Ibid.</w:t>
      </w:r>
    </w:p>
  </w:endnote>
  <w:endnote w:id="113">
    <w:p w14:paraId="74066F82" w14:textId="77777777" w:rsidR="005C3DD4" w:rsidRDefault="005C3DD4" w:rsidP="005C3DD4">
      <w:pPr>
        <w:pStyle w:val="EndnoteText"/>
      </w:pPr>
      <w:r>
        <w:rPr>
          <w:rStyle w:val="EndnoteReference"/>
        </w:rPr>
        <w:endnoteRef/>
      </w:r>
      <w:r>
        <w:t xml:space="preserve"> Ibid.</w:t>
      </w:r>
    </w:p>
  </w:endnote>
  <w:endnote w:id="114">
    <w:p w14:paraId="35F0D10D" w14:textId="50B17253" w:rsidR="005C3DD4" w:rsidRDefault="005C3DD4" w:rsidP="005C3DD4">
      <w:pPr>
        <w:pStyle w:val="EndnoteText"/>
      </w:pPr>
      <w:r>
        <w:rPr>
          <w:rStyle w:val="EndnoteReference"/>
        </w:rPr>
        <w:endnoteRef/>
      </w:r>
      <w:r>
        <w:t xml:space="preserve"> </w:t>
      </w:r>
      <w:r w:rsidRPr="006B611A">
        <w:t>Deloitte</w:t>
      </w:r>
      <w:r>
        <w:t xml:space="preserve"> Access Economics, </w:t>
      </w:r>
      <w:r w:rsidRPr="00B404A6">
        <w:rPr>
          <w:i/>
        </w:rPr>
        <w:t>Making Canada the best place in the world to aged by 2030: a senior-centric strategy</w:t>
      </w:r>
      <w:r>
        <w:t xml:space="preserve"> (report commissioned by the Future of Canada Centre, 2021)</w:t>
      </w:r>
      <w:r w:rsidR="00DB6666">
        <w:t xml:space="preserve"> </w:t>
      </w:r>
      <w:r>
        <w:t>&lt;</w:t>
      </w:r>
      <w:r w:rsidRPr="00BA52B9">
        <w:t>https://www2.deloitte.com/content/dam/Deloitte/ca/Documents/fcc/ca-en-canada-2030-senior-centric-strategy-policy-brief-aoda.pdf#:~:text=MAKING%20CANADA%20THE%20BEST%20PLACE%20IN%20THE%20WORLD,was%20under%20severe%20strain%20even%20before%20the%20crisis.</w:t>
      </w:r>
      <w:r>
        <w:t>&gt;.</w:t>
      </w:r>
    </w:p>
  </w:endnote>
  <w:endnote w:id="115">
    <w:p w14:paraId="7290BF41" w14:textId="77777777" w:rsidR="005C3DD4" w:rsidRDefault="005C3DD4" w:rsidP="005C3DD4">
      <w:pPr>
        <w:pStyle w:val="EndnoteText"/>
        <w:spacing w:after="0"/>
      </w:pPr>
      <w:r>
        <w:rPr>
          <w:rStyle w:val="EndnoteReference"/>
        </w:rPr>
        <w:endnoteRef/>
      </w:r>
      <w:r>
        <w:t xml:space="preserve"> National Institute on Ageing, </w:t>
      </w:r>
      <w:r w:rsidRPr="00324441">
        <w:rPr>
          <w:i/>
        </w:rPr>
        <w:t>National Seniors Strategy 2020 – Third Edition</w:t>
      </w:r>
      <w:r>
        <w:t>,</w:t>
      </w:r>
      <w:r>
        <w:rPr>
          <w:i/>
          <w:iCs/>
        </w:rPr>
        <w:t xml:space="preserve"> </w:t>
      </w:r>
      <w:r w:rsidRPr="00EB5D23">
        <w:t>(Report,</w:t>
      </w:r>
      <w:r>
        <w:t xml:space="preserve"> 2020)</w:t>
      </w:r>
      <w:r>
        <w:rPr>
          <w:i/>
          <w:iCs/>
        </w:rPr>
        <w:t xml:space="preserve"> &lt;</w:t>
      </w:r>
      <w:r w:rsidRPr="006B611A">
        <w:t>http://nationalseniorsstrategy.ca/wp-content/uploads/2020/09/NSS_2020_Third_Edition.pdf</w:t>
      </w:r>
      <w:r>
        <w:t>.&gt;.</w:t>
      </w:r>
    </w:p>
  </w:endnote>
  <w:endnote w:id="116">
    <w:p w14:paraId="36061128" w14:textId="1DE31263" w:rsidR="005C3DD4" w:rsidRDefault="005C3DD4" w:rsidP="005C3DD4">
      <w:pPr>
        <w:pStyle w:val="EndnoteText"/>
      </w:pPr>
      <w:r>
        <w:br/>
      </w:r>
      <w:r>
        <w:rPr>
          <w:rStyle w:val="EndnoteReference"/>
        </w:rPr>
        <w:endnoteRef/>
      </w:r>
      <w:r>
        <w:t xml:space="preserve"> Government of Canada, </w:t>
      </w:r>
      <w:r w:rsidRPr="00FC7E0C">
        <w:rPr>
          <w:i/>
        </w:rPr>
        <w:t>Ageing and Chronic Diseases: A profile of Canadian seniors</w:t>
      </w:r>
      <w:r>
        <w:t>, (Report, 2020)</w:t>
      </w:r>
      <w:r w:rsidR="00DB6666">
        <w:t xml:space="preserve"> </w:t>
      </w:r>
      <w:r>
        <w:t>&lt;</w:t>
      </w:r>
      <w:r w:rsidRPr="001E7156">
        <w:t>https://www.canada.ca/en/public-health/services/publications/diseases-conditions/aging-chronic-diseases-profile-canadian-seniors-report.html#a1</w:t>
      </w:r>
      <w:r>
        <w:t>&gt;.</w:t>
      </w:r>
    </w:p>
  </w:endnote>
  <w:endnote w:id="117">
    <w:p w14:paraId="21CCFEC7" w14:textId="18CD50C3" w:rsidR="005C3DD4" w:rsidRDefault="005C3DD4" w:rsidP="005C3DD4">
      <w:pPr>
        <w:pStyle w:val="EndnoteText"/>
      </w:pPr>
      <w:r>
        <w:rPr>
          <w:rStyle w:val="EndnoteReference"/>
        </w:rPr>
        <w:endnoteRef/>
      </w:r>
      <w:r>
        <w:t xml:space="preserve"> Canadian Institute for Health Information, </w:t>
      </w:r>
      <w:r>
        <w:rPr>
          <w:i/>
        </w:rPr>
        <w:t>Seniors in Transition: Exploring Pathways Across the Care Continuum</w:t>
      </w:r>
      <w:r>
        <w:t>, (Website, 2017)</w:t>
      </w:r>
      <w:r w:rsidR="00DB6666">
        <w:t xml:space="preserve"> </w:t>
      </w:r>
      <w:r>
        <w:t>&lt;</w:t>
      </w:r>
      <w:r w:rsidRPr="009D3FA3">
        <w:t>https://www.cihi.ca/en/seniors-in-transition-exploring-pathways-across-the-care-continuum</w:t>
      </w:r>
      <w:r>
        <w:t>&gt;</w:t>
      </w:r>
    </w:p>
  </w:endnote>
  <w:endnote w:id="118">
    <w:p w14:paraId="5056EA90" w14:textId="718B0AFB" w:rsidR="005C3DD4" w:rsidRDefault="005C3DD4" w:rsidP="005C3DD4">
      <w:pPr>
        <w:pStyle w:val="EndnoteText"/>
      </w:pPr>
      <w:r>
        <w:rPr>
          <w:rStyle w:val="EndnoteReference"/>
        </w:rPr>
        <w:endnoteRef/>
      </w:r>
      <w:r>
        <w:t xml:space="preserve"> Canadian Medical Association (2016). </w:t>
      </w:r>
      <w:r w:rsidRPr="000D7092">
        <w:rPr>
          <w:i/>
        </w:rPr>
        <w:t>The State of Seniors Health Care in Canada</w:t>
      </w:r>
      <w:r>
        <w:t>, (Report, September 2016)</w:t>
      </w:r>
      <w:r w:rsidR="00DB6666">
        <w:t xml:space="preserve"> </w:t>
      </w:r>
      <w:r>
        <w:t>&lt;</w:t>
      </w:r>
      <w:r w:rsidRPr="00550970">
        <w:t>https://cma.ca/sites/default/files/2018-11/the-state-of-seniors-health-care-in-canada-september-2016.pdf</w:t>
      </w:r>
      <w:r>
        <w:t>&gt;.</w:t>
      </w:r>
    </w:p>
  </w:endnote>
  <w:endnote w:id="119">
    <w:p w14:paraId="31718116" w14:textId="402903DB" w:rsidR="005C3DD4" w:rsidRDefault="005C3DD4" w:rsidP="005C3DD4">
      <w:pPr>
        <w:pStyle w:val="EndnoteText"/>
      </w:pPr>
      <w:r>
        <w:rPr>
          <w:rStyle w:val="EndnoteReference"/>
        </w:rPr>
        <w:endnoteRef/>
      </w:r>
      <w:r>
        <w:t xml:space="preserve"> Lowndes, G., </w:t>
      </w:r>
      <w:r w:rsidRPr="000D7092">
        <w:rPr>
          <w:i/>
        </w:rPr>
        <w:t>Aged-Care in Canada</w:t>
      </w:r>
      <w:r>
        <w:t xml:space="preserve">, </w:t>
      </w:r>
      <w:r w:rsidRPr="006B611A">
        <w:t>Home</w:t>
      </w:r>
      <w:r>
        <w:t>care Australia (20 January 2020)</w:t>
      </w:r>
      <w:r w:rsidR="00DB6666">
        <w:t xml:space="preserve"> </w:t>
      </w:r>
      <w:r>
        <w:t>&lt;</w:t>
      </w:r>
      <w:r w:rsidRPr="00395175">
        <w:t>https://www.homecareaustralia.com.au/post/aged-care-in-canada#:~:text=One%20of%20the%20biggest%20issues%20related%20to%20aged-care,policies%20are%20increasingly%20geared%20towards%20encouraging%20the%20elderly</w:t>
      </w:r>
      <w:r>
        <w:t>&gt;.</w:t>
      </w:r>
    </w:p>
  </w:endnote>
  <w:endnote w:id="120">
    <w:p w14:paraId="6A71FC9C" w14:textId="262398DE" w:rsidR="005C3DD4" w:rsidRDefault="005C3DD4" w:rsidP="005C3DD4">
      <w:pPr>
        <w:pStyle w:val="EndnoteText"/>
      </w:pPr>
      <w:r>
        <w:rPr>
          <w:rStyle w:val="EndnoteReference"/>
        </w:rPr>
        <w:endnoteRef/>
      </w:r>
      <w:r>
        <w:t xml:space="preserve"> Comfort Life, </w:t>
      </w:r>
      <w:r w:rsidRPr="000D7092">
        <w:rPr>
          <w:i/>
        </w:rPr>
        <w:t>Long Term Care</w:t>
      </w:r>
      <w:r>
        <w:t>, (Website, 2021)</w:t>
      </w:r>
      <w:r w:rsidR="00DB6666">
        <w:t xml:space="preserve"> </w:t>
      </w:r>
      <w:r>
        <w:t>&lt;</w:t>
      </w:r>
      <w:r w:rsidRPr="00827583">
        <w:t>https://www.comfortlife.ca/retirement-communities/long-term-care#:~:text=In%20Canada%2C%20long%20term%20care%20is%20required%20for,social%20service%20agencies%20run%20at%20the%20provincial%20level.</w:t>
      </w:r>
      <w:r>
        <w:t>&gt;.</w:t>
      </w:r>
    </w:p>
  </w:endnote>
  <w:endnote w:id="121">
    <w:p w14:paraId="31F4E1C9" w14:textId="7131BC9A" w:rsidR="005C3DD4" w:rsidRDefault="005C3DD4" w:rsidP="005C3DD4">
      <w:pPr>
        <w:pStyle w:val="EndnoteText"/>
      </w:pPr>
      <w:r>
        <w:rPr>
          <w:rStyle w:val="EndnoteReference"/>
        </w:rPr>
        <w:endnoteRef/>
      </w:r>
      <w:r>
        <w:t xml:space="preserve"> </w:t>
      </w:r>
      <w:r w:rsidRPr="006B611A">
        <w:t>Gove</w:t>
      </w:r>
      <w:r>
        <w:t xml:space="preserve">rnment of Canada, </w:t>
      </w:r>
      <w:r w:rsidRPr="000D7092">
        <w:rPr>
          <w:i/>
        </w:rPr>
        <w:t>Justice Laws Website – Canada Health Act</w:t>
      </w:r>
      <w:r>
        <w:t>, (Document, 12 December 2017)</w:t>
      </w:r>
      <w:r w:rsidR="00DB6666">
        <w:t xml:space="preserve"> </w:t>
      </w:r>
      <w:r>
        <w:t>&lt;</w:t>
      </w:r>
      <w:r w:rsidRPr="00A9246B">
        <w:t>https://laws-lois.justice.gc.ca/eng/acts/C-6/</w:t>
      </w:r>
      <w:r>
        <w:t>&gt;.</w:t>
      </w:r>
    </w:p>
  </w:endnote>
  <w:endnote w:id="122">
    <w:p w14:paraId="1A86B231" w14:textId="2DB686DC" w:rsidR="005C3DD4" w:rsidRDefault="005C3DD4" w:rsidP="005C3DD4">
      <w:pPr>
        <w:pStyle w:val="EndnoteText"/>
      </w:pPr>
      <w:r>
        <w:rPr>
          <w:rStyle w:val="EndnoteReference"/>
        </w:rPr>
        <w:endnoteRef/>
      </w:r>
      <w:r>
        <w:t xml:space="preserve"> </w:t>
      </w:r>
      <w:r w:rsidRPr="004B5FA1">
        <w:t xml:space="preserve"> </w:t>
      </w:r>
      <w:r>
        <w:t xml:space="preserve">Commission on Accreditation of Rehabilitation Facilities, </w:t>
      </w:r>
      <w:r>
        <w:rPr>
          <w:i/>
          <w:iCs/>
        </w:rPr>
        <w:t>CARF Canada</w:t>
      </w:r>
      <w:r>
        <w:t>, (Website, 2021)</w:t>
      </w:r>
      <w:r w:rsidR="00DB6666">
        <w:t xml:space="preserve"> </w:t>
      </w:r>
      <w:r>
        <w:t>&lt;</w:t>
      </w:r>
      <w:r w:rsidRPr="00B842D6">
        <w:t>http://www.carf.org/CARFCanada</w:t>
      </w:r>
      <w:r>
        <w:t>/&gt;</w:t>
      </w:r>
    </w:p>
  </w:endnote>
  <w:endnote w:id="123">
    <w:p w14:paraId="3C6EB0EE" w14:textId="6EA2AFE6" w:rsidR="005C3DD4" w:rsidRDefault="005C3DD4" w:rsidP="005C3DD4">
      <w:pPr>
        <w:pStyle w:val="EndnoteText"/>
      </w:pPr>
      <w:r>
        <w:rPr>
          <w:rStyle w:val="EndnoteReference"/>
        </w:rPr>
        <w:endnoteRef/>
      </w:r>
      <w:r>
        <w:t xml:space="preserve"> </w:t>
      </w:r>
      <w:r w:rsidRPr="006B611A">
        <w:t>CanAg</w:t>
      </w:r>
      <w:r>
        <w:t xml:space="preserve">e, </w:t>
      </w:r>
      <w:r w:rsidRPr="00E32E17">
        <w:rPr>
          <w:i/>
        </w:rPr>
        <w:t>About</w:t>
      </w:r>
      <w:r>
        <w:t>, (Website, 2021)</w:t>
      </w:r>
      <w:r w:rsidR="00DB6666">
        <w:t xml:space="preserve"> </w:t>
      </w:r>
      <w:r>
        <w:t>&lt;</w:t>
      </w:r>
      <w:r w:rsidRPr="008F7927">
        <w:t>https://www.canage.ca/about/</w:t>
      </w:r>
      <w:r>
        <w:t>&gt;.</w:t>
      </w:r>
    </w:p>
  </w:endnote>
  <w:endnote w:id="124">
    <w:p w14:paraId="7D867DF6" w14:textId="10540DFC" w:rsidR="005C3DD4" w:rsidRDefault="005C3DD4" w:rsidP="005C3DD4">
      <w:pPr>
        <w:pStyle w:val="EndnoteText"/>
      </w:pPr>
      <w:r>
        <w:rPr>
          <w:rStyle w:val="EndnoteReference"/>
        </w:rPr>
        <w:endnoteRef/>
      </w:r>
      <w:r>
        <w:t xml:space="preserve"> Concerned Friends, </w:t>
      </w:r>
      <w:r>
        <w:rPr>
          <w:i/>
          <w:iCs/>
        </w:rPr>
        <w:t>About</w:t>
      </w:r>
      <w:r>
        <w:t>, (Website, 2021)</w:t>
      </w:r>
      <w:r w:rsidR="00DB6666">
        <w:t xml:space="preserve"> </w:t>
      </w:r>
      <w:r>
        <w:t>&lt;</w:t>
      </w:r>
      <w:r w:rsidRPr="00273027">
        <w:t>https://www.concernedfriends.ca/about/</w:t>
      </w:r>
      <w:r>
        <w:t>&gt;</w:t>
      </w:r>
      <w:r w:rsidRPr="006B611A">
        <w:t>About</w:t>
      </w:r>
      <w:r>
        <w:t>, Available at:</w:t>
      </w:r>
      <w:r>
        <w:br/>
        <w:t>&lt;</w:t>
      </w:r>
      <w:r w:rsidRPr="008F7927">
        <w:t>https://www.</w:t>
      </w:r>
      <w:r w:rsidRPr="00273027">
        <w:t>concernedfriends</w:t>
      </w:r>
      <w:r w:rsidRPr="008F7927">
        <w:t>.ca/about</w:t>
      </w:r>
      <w:r w:rsidRPr="00273027">
        <w:t>/</w:t>
      </w:r>
      <w:r>
        <w:t>&gt;.</w:t>
      </w:r>
    </w:p>
  </w:endnote>
  <w:endnote w:id="125">
    <w:p w14:paraId="2B9B4EF7" w14:textId="10307EFD" w:rsidR="005C3DD4" w:rsidRDefault="005C3DD4" w:rsidP="005C3DD4">
      <w:pPr>
        <w:pStyle w:val="EndnoteText"/>
      </w:pPr>
      <w:r>
        <w:rPr>
          <w:rStyle w:val="EndnoteReference"/>
        </w:rPr>
        <w:endnoteRef/>
      </w:r>
      <w:r>
        <w:t xml:space="preserve"> Concerned Friends, </w:t>
      </w:r>
      <w:r>
        <w:rPr>
          <w:i/>
          <w:iCs/>
        </w:rPr>
        <w:t>Advocacy</w:t>
      </w:r>
      <w:r>
        <w:t>, (Website, 2021)</w:t>
      </w:r>
      <w:r w:rsidR="00DB6666">
        <w:t xml:space="preserve"> </w:t>
      </w:r>
      <w:r>
        <w:t>&lt;</w:t>
      </w:r>
      <w:r w:rsidRPr="00273027">
        <w:t>https://www.concernedfriends.ca/</w:t>
      </w:r>
      <w:r>
        <w:t>advocacy</w:t>
      </w:r>
      <w:r w:rsidRPr="00273027">
        <w:t>/</w:t>
      </w:r>
      <w:r>
        <w:t>&gt;</w:t>
      </w:r>
      <w:r w:rsidRPr="006B611A">
        <w:t>Advocacy</w:t>
      </w:r>
      <w:r>
        <w:t>, Available at:</w:t>
      </w:r>
      <w:r>
        <w:br/>
        <w:t>&lt;</w:t>
      </w:r>
      <w:r w:rsidRPr="00273027">
        <w:t>https://www.concernedfriends.ca/</w:t>
      </w:r>
      <w:r>
        <w:t>advocacy</w:t>
      </w:r>
      <w:r w:rsidRPr="00273027">
        <w:t>/</w:t>
      </w:r>
      <w:r>
        <w:t>&gt;.</w:t>
      </w:r>
    </w:p>
  </w:endnote>
  <w:endnote w:id="126">
    <w:p w14:paraId="0031124E" w14:textId="0524DBCC" w:rsidR="005C3DD4" w:rsidRDefault="005C3DD4" w:rsidP="005C3DD4">
      <w:pPr>
        <w:pStyle w:val="EndnoteText"/>
      </w:pPr>
      <w:r>
        <w:rPr>
          <w:rStyle w:val="EndnoteReference"/>
        </w:rPr>
        <w:endnoteRef/>
      </w:r>
      <w:r>
        <w:t xml:space="preserve"> Concerned Friends, </w:t>
      </w:r>
      <w:r w:rsidRPr="002328EE">
        <w:rPr>
          <w:i/>
        </w:rPr>
        <w:t>2020</w:t>
      </w:r>
      <w:r w:rsidRPr="00E86C52">
        <w:rPr>
          <w:i/>
        </w:rPr>
        <w:t xml:space="preserve"> </w:t>
      </w:r>
      <w:r w:rsidRPr="002328EE">
        <w:rPr>
          <w:i/>
        </w:rPr>
        <w:t>-</w:t>
      </w:r>
      <w:r>
        <w:rPr>
          <w:i/>
          <w:iCs/>
        </w:rPr>
        <w:t xml:space="preserve"> </w:t>
      </w:r>
      <w:r w:rsidRPr="002328EE">
        <w:rPr>
          <w:i/>
        </w:rPr>
        <w:t>The Year of Tragedy in Long Term Care</w:t>
      </w:r>
      <w:r>
        <w:t>, (Report, 2020)</w:t>
      </w:r>
      <w:r w:rsidR="00DB6666">
        <w:t xml:space="preserve"> </w:t>
      </w:r>
      <w:r>
        <w:t>&lt;</w:t>
      </w:r>
      <w:r w:rsidRPr="006B611A">
        <w:t>https://www.concernedfriends.ca/wp-content/uploads/2021/03/Concerned-Friends-2020-LTC-Inspection-Report.pdf</w:t>
      </w:r>
      <w:r>
        <w:t>&gt;.</w:t>
      </w:r>
    </w:p>
  </w:endnote>
  <w:endnote w:id="127">
    <w:p w14:paraId="7597F321" w14:textId="77777777" w:rsidR="005C3DD4" w:rsidRDefault="005C3DD4" w:rsidP="005C3DD4">
      <w:pPr>
        <w:pStyle w:val="EndnoteText"/>
      </w:pPr>
      <w:r>
        <w:rPr>
          <w:rStyle w:val="EndnoteReference"/>
        </w:rPr>
        <w:endnoteRef/>
      </w:r>
      <w:r>
        <w:t xml:space="preserve"> Conseil pour la Protection des Malades, </w:t>
      </w:r>
      <w:r w:rsidRPr="002328EE">
        <w:rPr>
          <w:i/>
        </w:rPr>
        <w:t>Our Values</w:t>
      </w:r>
      <w:r>
        <w:t>, (Website, 2021) &lt;</w:t>
      </w:r>
      <w:r w:rsidRPr="00DF3335">
        <w:t>https://cpm.qc.ca/en/our-values/</w:t>
      </w:r>
      <w:r>
        <w:t>&gt;.</w:t>
      </w:r>
    </w:p>
  </w:endnote>
  <w:endnote w:id="128">
    <w:p w14:paraId="61572D0D" w14:textId="77777777" w:rsidR="005C3DD4" w:rsidRDefault="005C3DD4" w:rsidP="005C3DD4">
      <w:pPr>
        <w:pStyle w:val="EndnoteText"/>
      </w:pPr>
      <w:r>
        <w:rPr>
          <w:rStyle w:val="EndnoteReference"/>
        </w:rPr>
        <w:endnoteRef/>
      </w:r>
      <w:r>
        <w:t xml:space="preserve"> Conseil pour la Protection des Malades,</w:t>
      </w:r>
      <w:r>
        <w:rPr>
          <w:i/>
          <w:iCs/>
        </w:rPr>
        <w:t xml:space="preserve"> </w:t>
      </w:r>
      <w:r w:rsidRPr="002328EE">
        <w:rPr>
          <w:i/>
        </w:rPr>
        <w:t>Advice Service</w:t>
      </w:r>
      <w:r>
        <w:t>, (Website, 2021) &lt;</w:t>
      </w:r>
      <w:r w:rsidRPr="00DF3335">
        <w:t>https://cpm.qc.ca/en/</w:t>
      </w:r>
      <w:r>
        <w:t>advice-service</w:t>
      </w:r>
      <w:r w:rsidRPr="00DF3335">
        <w:t>/</w:t>
      </w:r>
      <w:r>
        <w:t>&gt;.</w:t>
      </w:r>
    </w:p>
  </w:endnote>
  <w:endnote w:id="129">
    <w:p w14:paraId="1F7A6EA9" w14:textId="08906900" w:rsidR="00907077" w:rsidRDefault="00907077" w:rsidP="00907077">
      <w:pPr>
        <w:pStyle w:val="EndnoteText"/>
      </w:pPr>
      <w:r>
        <w:rPr>
          <w:rStyle w:val="EndnoteReference"/>
        </w:rPr>
        <w:endnoteRef/>
      </w:r>
      <w:r>
        <w:t xml:space="preserve"> Office of the Seniors Advocate, </w:t>
      </w:r>
      <w:r>
        <w:rPr>
          <w:i/>
          <w:iCs/>
        </w:rPr>
        <w:t>2020-21</w:t>
      </w:r>
      <w:r>
        <w:rPr>
          <w:i/>
        </w:rPr>
        <w:t xml:space="preserve"> A</w:t>
      </w:r>
      <w:r w:rsidRPr="002328EE">
        <w:rPr>
          <w:i/>
        </w:rPr>
        <w:t>nnual Report</w:t>
      </w:r>
      <w:r>
        <w:rPr>
          <w:i/>
          <w:iCs/>
        </w:rPr>
        <w:t>,</w:t>
      </w:r>
      <w:r>
        <w:t xml:space="preserve"> (Report, August 2021)</w:t>
      </w:r>
      <w:r w:rsidR="00DB6666">
        <w:t xml:space="preserve"> </w:t>
      </w:r>
      <w:r>
        <w:t>&lt;</w:t>
      </w:r>
      <w:r w:rsidRPr="000E3689">
        <w:t>https://www.seniorsadvocatebc.ca/app/uploads/sites/4/2021/08/Annual_Report_2020_21-FINAL.pdf</w:t>
      </w:r>
      <w:r>
        <w:t>&gt;.</w:t>
      </w:r>
    </w:p>
  </w:endnote>
  <w:endnote w:id="130">
    <w:p w14:paraId="6AB8943D" w14:textId="2718C9CB" w:rsidR="00CD7C69" w:rsidRPr="005950CA" w:rsidRDefault="00CD7C69" w:rsidP="00CD7C69">
      <w:pPr>
        <w:pStyle w:val="EndnoteText"/>
      </w:pPr>
      <w:r>
        <w:rPr>
          <w:rStyle w:val="EndnoteReference"/>
        </w:rPr>
        <w:endnoteRef/>
      </w:r>
      <w:r>
        <w:t xml:space="preserve"> Statista, </w:t>
      </w:r>
      <w:r w:rsidRPr="00BD7819">
        <w:rPr>
          <w:i/>
          <w:iCs/>
        </w:rPr>
        <w:t>Population of British Columbia by age and sex 2020</w:t>
      </w:r>
      <w:r>
        <w:t>, (Website, 2022) &lt;</w:t>
      </w:r>
      <w:r w:rsidRPr="0045019A">
        <w:t>https://www.statista.com/statistics/605971/population-of-british-columbia-by-age-and-sex/#statisticContainer</w:t>
      </w:r>
      <w:r>
        <w:t>&gt;</w:t>
      </w:r>
    </w:p>
  </w:endnote>
  <w:endnote w:id="131">
    <w:p w14:paraId="686841E2" w14:textId="158C4A18" w:rsidR="005C3DD4" w:rsidRDefault="005C3DD4" w:rsidP="005C3DD4">
      <w:r>
        <w:rPr>
          <w:rStyle w:val="EndnoteReference"/>
        </w:rPr>
        <w:endnoteRef/>
      </w:r>
      <w:r>
        <w:t xml:space="preserve"> </w:t>
      </w:r>
      <w:r w:rsidR="006D1F22">
        <w:t>Ibid.</w:t>
      </w:r>
    </w:p>
  </w:endnote>
  <w:endnote w:id="132">
    <w:p w14:paraId="02B4661A" w14:textId="57458418" w:rsidR="005C3DD4" w:rsidRDefault="005C3DD4" w:rsidP="005C3DD4">
      <w:pPr>
        <w:pStyle w:val="EndnoteText"/>
      </w:pPr>
      <w:r>
        <w:rPr>
          <w:rStyle w:val="EndnoteReference"/>
        </w:rPr>
        <w:endnoteRef/>
      </w:r>
      <w:r>
        <w:t xml:space="preserve"> Productivity Commission, </w:t>
      </w:r>
      <w:r w:rsidRPr="006B611A">
        <w:rPr>
          <w:i/>
        </w:rPr>
        <w:t>Annual Report on Government Services (RoGS)</w:t>
      </w:r>
      <w:r>
        <w:t>, (Aged Care Services, 2021)</w:t>
      </w:r>
      <w:r w:rsidR="00DB6666">
        <w:t xml:space="preserve"> </w:t>
      </w:r>
      <w:r>
        <w:t>&lt;</w:t>
      </w:r>
      <w:r w:rsidRPr="006B611A">
        <w:t>https://www.pc.gov.au/research/ongoing/report-on-government-services/2021/community-services/aged-care-services/rogs-2021-partf-section14-aged-care-data-tables.xlsx</w:t>
      </w:r>
      <w:r>
        <w:t>&gt;.</w:t>
      </w:r>
    </w:p>
  </w:endnote>
  <w:endnote w:id="133">
    <w:p w14:paraId="5DBDB59B" w14:textId="33D41BD9" w:rsidR="005C3DD4" w:rsidRDefault="005C3DD4" w:rsidP="005C3DD4">
      <w:pPr>
        <w:pStyle w:val="EndnoteText"/>
      </w:pPr>
      <w:r>
        <w:rPr>
          <w:rStyle w:val="EndnoteReference"/>
        </w:rPr>
        <w:endnoteRef/>
      </w:r>
      <w:r>
        <w:t xml:space="preserve"> Stats NZ, </w:t>
      </w:r>
      <w:r w:rsidRPr="006B611A">
        <w:rPr>
          <w:i/>
        </w:rPr>
        <w:t xml:space="preserve">National population estimates: </w:t>
      </w:r>
      <w:r w:rsidRPr="006B611A">
        <w:rPr>
          <w:i/>
        </w:rPr>
        <w:t>At 30 June 2021</w:t>
      </w:r>
      <w:r>
        <w:t>, (Data, 17 August 2021)</w:t>
      </w:r>
      <w:r w:rsidR="00DB6666">
        <w:t xml:space="preserve"> </w:t>
      </w:r>
      <w:r>
        <w:t>&lt;</w:t>
      </w:r>
      <w:r w:rsidRPr="006B611A">
        <w:t>https://www.stats.govt.nz/assets/Uploads/National-population-estimates/National-population-estimates-At-30-June-2021/Download-data/national-population-estimates-at-30-june-2021.xlsx</w:t>
      </w:r>
      <w:r>
        <w:t xml:space="preserve">&gt;. </w:t>
      </w:r>
    </w:p>
  </w:endnote>
  <w:endnote w:id="134">
    <w:p w14:paraId="51ECE40F" w14:textId="23EE7E17" w:rsidR="005C3DD4" w:rsidRDefault="005C3DD4" w:rsidP="005C3DD4">
      <w:pPr>
        <w:pStyle w:val="EndnoteText"/>
      </w:pPr>
      <w:r>
        <w:rPr>
          <w:rStyle w:val="EndnoteReference"/>
        </w:rPr>
        <w:endnoteRef/>
      </w:r>
      <w:r>
        <w:t xml:space="preserve"> Statistics Canada, </w:t>
      </w:r>
      <w:r w:rsidRPr="006B611A">
        <w:rPr>
          <w:i/>
        </w:rPr>
        <w:t>Population estimates on July 1</w:t>
      </w:r>
      <w:r w:rsidRPr="006B611A">
        <w:rPr>
          <w:i/>
          <w:vertAlign w:val="superscript"/>
        </w:rPr>
        <w:t>st</w:t>
      </w:r>
      <w:r>
        <w:rPr>
          <w:i/>
          <w:iCs/>
        </w:rPr>
        <w:t xml:space="preserve"> 2021</w:t>
      </w:r>
      <w:r w:rsidRPr="006B611A">
        <w:rPr>
          <w:i/>
        </w:rPr>
        <w:t>, by age and sex</w:t>
      </w:r>
      <w:r>
        <w:t>, (Table, 29 September 2021)</w:t>
      </w:r>
      <w:r w:rsidR="00DB6666">
        <w:t xml:space="preserve"> </w:t>
      </w:r>
      <w:r>
        <w:t>&lt;</w:t>
      </w:r>
      <w:r w:rsidRPr="006B611A">
        <w:t>https://www150.statcan.gc.ca/t1/tbl1/en/tv.action?pid=1710000501</w:t>
      </w:r>
      <w:r>
        <w:t>&gt;.</w:t>
      </w:r>
    </w:p>
  </w:endnote>
  <w:endnote w:id="135">
    <w:p w14:paraId="07F601BF" w14:textId="2507EB6D" w:rsidR="005C3DD4" w:rsidRDefault="005C3DD4" w:rsidP="005C3DD4">
      <w:pPr>
        <w:pStyle w:val="EndnoteText"/>
      </w:pPr>
      <w:r>
        <w:rPr>
          <w:rStyle w:val="EndnoteReference"/>
        </w:rPr>
        <w:endnoteRef/>
      </w:r>
      <w:r>
        <w:t xml:space="preserve"> Michas, F., </w:t>
      </w:r>
      <w:r w:rsidRPr="00FC3179">
        <w:rPr>
          <w:i/>
        </w:rPr>
        <w:t>Residential care in the UK – statistics &amp; facts</w:t>
      </w:r>
      <w:r>
        <w:t>, Statista (8 June 2021)</w:t>
      </w:r>
      <w:r w:rsidR="00DB6666">
        <w:t xml:space="preserve"> </w:t>
      </w:r>
      <w:r>
        <w:t>&lt;</w:t>
      </w:r>
      <w:r w:rsidRPr="001E3EF9">
        <w:t>https://www.statista.com/topics/7908/residential-care-in-the-uk/</w:t>
      </w:r>
      <w:r>
        <w:t>&gt;.</w:t>
      </w:r>
    </w:p>
  </w:endnote>
  <w:endnote w:id="136">
    <w:p w14:paraId="03ADBE41" w14:textId="08180B01" w:rsidR="005C3DD4" w:rsidRDefault="005C3DD4" w:rsidP="005C3DD4">
      <w:pPr>
        <w:pStyle w:val="EndnoteText"/>
      </w:pPr>
      <w:r>
        <w:rPr>
          <w:rStyle w:val="EndnoteReference"/>
        </w:rPr>
        <w:endnoteRef/>
      </w:r>
      <w:r>
        <w:t xml:space="preserve"> Productivity Commission, </w:t>
      </w:r>
      <w:r w:rsidRPr="00110D9F">
        <w:rPr>
          <w:i/>
        </w:rPr>
        <w:t>Annual Report on Government Services (RoGS)</w:t>
      </w:r>
      <w:r>
        <w:t>, (Aged Care Services, 2021)</w:t>
      </w:r>
      <w:r w:rsidR="00DB6666">
        <w:t xml:space="preserve"> </w:t>
      </w:r>
      <w:r>
        <w:t>&lt;</w:t>
      </w:r>
      <w:r w:rsidRPr="00595489">
        <w:t>https://www.pc.gov.au/research/ongoing/report-on-government-services/2021/community-services/aged-care-services/rogs-2021-partf-section14-aged-care-data-tables.xlsx</w:t>
      </w:r>
      <w:r>
        <w:t>&gt;.</w:t>
      </w:r>
    </w:p>
  </w:endnote>
  <w:endnote w:id="137">
    <w:p w14:paraId="49CE592F" w14:textId="1D6ADD56" w:rsidR="00874B86" w:rsidRPr="00BC21A7" w:rsidRDefault="00874B86">
      <w:pPr>
        <w:pStyle w:val="EndnoteText"/>
      </w:pPr>
      <w:r>
        <w:rPr>
          <w:rStyle w:val="EndnoteReference"/>
        </w:rPr>
        <w:endnoteRef/>
      </w:r>
      <w:r>
        <w:t xml:space="preserve"> </w:t>
      </w:r>
      <w:r w:rsidR="00F764B6">
        <w:t xml:space="preserve">The Behavioural Insights Team, </w:t>
      </w:r>
      <w:r w:rsidR="00F764B6">
        <w:rPr>
          <w:i/>
          <w:iCs/>
        </w:rPr>
        <w:t>EAST Four simple ways to apply behavioural insights</w:t>
      </w:r>
      <w:r w:rsidR="00BC21A7">
        <w:rPr>
          <w:i/>
          <w:iCs/>
        </w:rPr>
        <w:t xml:space="preserve">, </w:t>
      </w:r>
      <w:r w:rsidR="00BC21A7">
        <w:t>(</w:t>
      </w:r>
      <w:r w:rsidR="002762DA">
        <w:t xml:space="preserve">Report, </w:t>
      </w:r>
      <w:r w:rsidR="00BC21A7">
        <w:t>2014) &lt;</w:t>
      </w:r>
      <w:r w:rsidR="00BC21A7" w:rsidRPr="00BC21A7">
        <w:t>https://www.bi.team/wp-content/uploads/2015/07/BIT-Publication-EAST_FA_WEB.pdf</w:t>
      </w:r>
      <w:r w:rsidR="00BC21A7">
        <w:t>&gt;.</w:t>
      </w:r>
    </w:p>
  </w:endnote>
  <w:endnote w:id="138">
    <w:p w14:paraId="53DDF618" w14:textId="7D645D52" w:rsidR="00CA42CB" w:rsidRDefault="00CA42CB">
      <w:pPr>
        <w:pStyle w:val="EndnoteText"/>
      </w:pPr>
      <w:r>
        <w:rPr>
          <w:rStyle w:val="EndnoteReference"/>
        </w:rPr>
        <w:endnoteRef/>
      </w:r>
      <w:r>
        <w:t xml:space="preserve"> </w:t>
      </w:r>
      <w:r w:rsidR="00C439BB">
        <w:t xml:space="preserve">BETA, </w:t>
      </w:r>
      <w:r w:rsidR="00C439BB" w:rsidRPr="00B10C01">
        <w:rPr>
          <w:i/>
          <w:iCs/>
        </w:rPr>
        <w:t>Nudge vs Superbugs: A behavioural economics trial to reduce the overprescription of antibiotics</w:t>
      </w:r>
      <w:r w:rsidR="002762DA">
        <w:rPr>
          <w:i/>
          <w:iCs/>
        </w:rPr>
        <w:t xml:space="preserve">, </w:t>
      </w:r>
      <w:r w:rsidR="002762DA">
        <w:t xml:space="preserve">(Report, </w:t>
      </w:r>
      <w:r w:rsidR="00225128">
        <w:t>2018) &lt;</w:t>
      </w:r>
      <w:hyperlink r:id="rId1" w:history="1">
        <w:r w:rsidR="00225128" w:rsidRPr="003E6E73">
          <w:rPr>
            <w:rStyle w:val="Hyperlink"/>
          </w:rPr>
          <w:t>https://behaviouraleconomics.pmc.gov.au/projects/nudge-vs-superbugs-behavioural-economics-trial-reduce-overprescribing-antibiotics</w:t>
        </w:r>
      </w:hyperlink>
      <w:r w:rsidR="00225128">
        <w:t>&gt;</w:t>
      </w:r>
      <w:r w:rsidR="000973A9">
        <w:t>.</w:t>
      </w:r>
    </w:p>
  </w:endnote>
  <w:endnote w:id="139">
    <w:p w14:paraId="3BE7A937" w14:textId="639AB861" w:rsidR="00561704" w:rsidRDefault="00561704">
      <w:pPr>
        <w:pStyle w:val="EndnoteText"/>
      </w:pPr>
      <w:r>
        <w:rPr>
          <w:rStyle w:val="EndnoteReference"/>
        </w:rPr>
        <w:endnoteRef/>
      </w:r>
      <w:r>
        <w:t xml:space="preserve"> The Behavioural Insights Team, </w:t>
      </w:r>
      <w:r>
        <w:rPr>
          <w:i/>
          <w:iCs/>
        </w:rPr>
        <w:t xml:space="preserve">EAST Four simple ways to apply behavioural insights, </w:t>
      </w:r>
      <w:r>
        <w:t>(Report, 2014) &lt;</w:t>
      </w:r>
      <w:r w:rsidRPr="00BC21A7">
        <w:t>https://www.bi.team/wp-content/uploads/2015/07/BIT-Publication-EAST_FA_WEB.pdf</w:t>
      </w:r>
      <w:r>
        <w:t>&gt;.</w:t>
      </w:r>
    </w:p>
  </w:endnote>
  <w:endnote w:id="140">
    <w:p w14:paraId="44EBD400" w14:textId="27B9FA05" w:rsidR="009C7F53" w:rsidRDefault="009C7F53" w:rsidP="009C7F53">
      <w:pPr>
        <w:pStyle w:val="EndnoteText"/>
      </w:pPr>
      <w:r>
        <w:rPr>
          <w:rStyle w:val="EndnoteReference"/>
        </w:rPr>
        <w:endnoteRef/>
      </w:r>
      <w:r>
        <w:t xml:space="preserve"> Aged Care Quality and Safety Commission, </w:t>
      </w:r>
      <w:r w:rsidRPr="007F71A8">
        <w:rPr>
          <w:i/>
        </w:rPr>
        <w:t>Annual Report 2020-21</w:t>
      </w:r>
      <w:r>
        <w:t>,</w:t>
      </w:r>
      <w:r w:rsidRPr="00595489">
        <w:t xml:space="preserve"> </w:t>
      </w:r>
      <w:r>
        <w:t>(Report, 14 October 2021) &lt;https://www.transparency.gov.au/annual-reports/aged-care-quality-and-safety-commission/reporting-year/2020-21</w:t>
      </w:r>
      <w:r w:rsidRPr="00C83260">
        <w:t>&gt;</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137F51" w14:paraId="50317E1A"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5FF9934B" w14:textId="77777777" w:rsidR="00137F51" w:rsidRDefault="00137F51"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1</w:t>
          </w:r>
          <w:r w:rsidRPr="006C4F67">
            <w:rPr>
              <w:rStyle w:val="PageNumber"/>
            </w:rPr>
            <w:fldChar w:fldCharType="end"/>
          </w:r>
        </w:p>
      </w:tc>
      <w:tc>
        <w:tcPr>
          <w:tcW w:w="7002" w:type="dxa"/>
          <w:vAlign w:val="bottom"/>
        </w:tcPr>
        <w:p w14:paraId="04948150" w14:textId="77777777" w:rsidR="00137F51" w:rsidRPr="00904097" w:rsidRDefault="00137F51" w:rsidP="00536AB8">
          <w:pPr>
            <w:pStyle w:val="Footer"/>
            <w:spacing w:line="180" w:lineRule="atLeast"/>
            <w:rPr>
              <w:sz w:val="14"/>
              <w:szCs w:val="14"/>
            </w:rPr>
          </w:pPr>
        </w:p>
      </w:tc>
    </w:tr>
  </w:tbl>
  <w:p w14:paraId="15BF9373" w14:textId="77777777" w:rsidR="00137F51" w:rsidRDefault="00137F51"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06CF" w14:textId="4F24FEA5" w:rsidR="00137F51" w:rsidRPr="00490199" w:rsidRDefault="00137F51" w:rsidP="004901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951C" w14:textId="3FEFBFE6" w:rsidR="00A6563E" w:rsidRPr="00FD7D79" w:rsidRDefault="00A6563E" w:rsidP="00FD7D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2CE72" w14:textId="77777777" w:rsidR="00137F51" w:rsidRPr="00672300" w:rsidRDefault="00137F51"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3686B">
      <w:rPr>
        <w:rStyle w:val="PageNumber"/>
        <w:noProof/>
      </w:rPr>
      <w:t>i</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E412" w14:textId="073AFE8C" w:rsidR="00137F51" w:rsidRPr="00B526AF" w:rsidRDefault="007E7D93" w:rsidP="007E7D93">
    <w:pPr>
      <w:pStyle w:val="Footer"/>
      <w:rPr>
        <w:sz w:val="22"/>
        <w:szCs w:val="22"/>
      </w:rPr>
    </w:pPr>
    <w:r w:rsidRPr="00B526AF">
      <w:rPr>
        <w:rStyle w:val="PageNumber"/>
        <w:sz w:val="22"/>
        <w:szCs w:val="22"/>
      </w:rPr>
      <w:fldChar w:fldCharType="begin"/>
    </w:r>
    <w:r w:rsidRPr="00B526AF">
      <w:rPr>
        <w:rStyle w:val="PageNumber"/>
        <w:sz w:val="22"/>
        <w:szCs w:val="22"/>
      </w:rPr>
      <w:instrText xml:space="preserve"> PAGE </w:instrText>
    </w:r>
    <w:r w:rsidRPr="00B526AF">
      <w:rPr>
        <w:rStyle w:val="PageNumber"/>
        <w:sz w:val="22"/>
        <w:szCs w:val="22"/>
      </w:rPr>
      <w:fldChar w:fldCharType="separate"/>
    </w:r>
    <w:r w:rsidR="0013686B" w:rsidRPr="00B526AF">
      <w:rPr>
        <w:rStyle w:val="PageNumber"/>
        <w:noProof/>
        <w:sz w:val="22"/>
        <w:szCs w:val="22"/>
      </w:rPr>
      <w:t>ii</w:t>
    </w:r>
    <w:r w:rsidRPr="00B526AF">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0B52" w14:textId="0F335926" w:rsidR="007E7D93" w:rsidRPr="007E13F7" w:rsidRDefault="007E7D93" w:rsidP="007E7D93">
    <w:pPr>
      <w:pStyle w:val="Footer"/>
      <w:rPr>
        <w:sz w:val="22"/>
        <w:szCs w:val="22"/>
      </w:rPr>
    </w:pPr>
    <w:r w:rsidRPr="007E13F7">
      <w:rPr>
        <w:rStyle w:val="PageNumber"/>
        <w:sz w:val="22"/>
        <w:szCs w:val="22"/>
      </w:rPr>
      <w:fldChar w:fldCharType="begin"/>
    </w:r>
    <w:r w:rsidRPr="007E13F7">
      <w:rPr>
        <w:rStyle w:val="PageNumber"/>
        <w:sz w:val="22"/>
        <w:szCs w:val="22"/>
      </w:rPr>
      <w:instrText xml:space="preserve"> PAGE </w:instrText>
    </w:r>
    <w:r w:rsidRPr="007E13F7">
      <w:rPr>
        <w:rStyle w:val="PageNumber"/>
        <w:sz w:val="22"/>
        <w:szCs w:val="22"/>
      </w:rPr>
      <w:fldChar w:fldCharType="separate"/>
    </w:r>
    <w:r w:rsidR="0085005B" w:rsidRPr="007E13F7">
      <w:rPr>
        <w:rStyle w:val="PageNumber"/>
        <w:noProof/>
        <w:sz w:val="22"/>
        <w:szCs w:val="22"/>
      </w:rPr>
      <w:t>9</w:t>
    </w:r>
    <w:r w:rsidRPr="007E13F7">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6A21" w14:textId="4CF24993" w:rsidR="005C3DD4" w:rsidRPr="007E7D93" w:rsidRDefault="005C3DD4"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E7A31" w14:textId="77777777" w:rsidR="00906269" w:rsidRDefault="00906269" w:rsidP="00C702C7">
      <w:pPr>
        <w:spacing w:line="240" w:lineRule="auto"/>
      </w:pPr>
      <w:r>
        <w:separator/>
      </w:r>
    </w:p>
  </w:footnote>
  <w:footnote w:type="continuationSeparator" w:id="0">
    <w:p w14:paraId="23C8B3A9" w14:textId="77777777" w:rsidR="00906269" w:rsidRDefault="00906269" w:rsidP="00C702C7">
      <w:pPr>
        <w:spacing w:line="240" w:lineRule="auto"/>
      </w:pPr>
      <w:r>
        <w:continuationSeparator/>
      </w:r>
    </w:p>
  </w:footnote>
  <w:footnote w:type="continuationNotice" w:id="1">
    <w:p w14:paraId="7119391A" w14:textId="77777777" w:rsidR="00906269" w:rsidRDefault="00906269">
      <w:pPr>
        <w:spacing w:after="0" w:line="240" w:lineRule="auto"/>
      </w:pPr>
    </w:p>
  </w:footnote>
  <w:footnote w:id="2">
    <w:p w14:paraId="3DC2DD7E" w14:textId="77777777" w:rsidR="005B1640" w:rsidRPr="00B10C01" w:rsidRDefault="005B1640" w:rsidP="005B1640">
      <w:pPr>
        <w:pStyle w:val="FootnoteText"/>
        <w:rPr>
          <w:szCs w:val="16"/>
        </w:rPr>
      </w:pPr>
      <w:r w:rsidRPr="00E32CE6">
        <w:rPr>
          <w:rStyle w:val="FootnoteReference"/>
          <w:szCs w:val="16"/>
        </w:rPr>
        <w:footnoteRef/>
      </w:r>
      <w:r w:rsidRPr="00E32CE6">
        <w:rPr>
          <w:szCs w:val="16"/>
        </w:rPr>
        <w:t xml:space="preserve"> As defined by the Department, for the purposes of this project, actual demand is defined as the number of </w:t>
      </w:r>
      <w:r w:rsidRPr="00EB5DF4">
        <w:rPr>
          <w:szCs w:val="16"/>
        </w:rPr>
        <w:t>requests for services, including advocacy, information and education, that are made to OPAN; whereas unmet demand is a measure of aged care users or potential users who would benefit from advocacy support.</w:t>
      </w:r>
    </w:p>
  </w:footnote>
  <w:footnote w:id="3">
    <w:p w14:paraId="63DF4D43" w14:textId="770F6C45" w:rsidR="00EA5047" w:rsidRPr="00691682" w:rsidRDefault="00EA5047">
      <w:pPr>
        <w:pStyle w:val="FootnoteText"/>
        <w:rPr>
          <w:szCs w:val="16"/>
        </w:rPr>
      </w:pPr>
      <w:r w:rsidRPr="00E32CE6">
        <w:rPr>
          <w:rStyle w:val="FootnoteReference"/>
          <w:szCs w:val="16"/>
        </w:rPr>
        <w:footnoteRef/>
      </w:r>
      <w:r w:rsidRPr="00E32CE6">
        <w:rPr>
          <w:szCs w:val="16"/>
        </w:rPr>
        <w:t xml:space="preserve"> </w:t>
      </w:r>
      <w:r w:rsidR="00525AC2" w:rsidRPr="00E32CE6">
        <w:rPr>
          <w:szCs w:val="16"/>
        </w:rPr>
        <w:t xml:space="preserve">The </w:t>
      </w:r>
      <w:r w:rsidR="00DB4FD5" w:rsidRPr="00BD2B35">
        <w:rPr>
          <w:szCs w:val="16"/>
        </w:rPr>
        <w:t xml:space="preserve">OPAN </w:t>
      </w:r>
      <w:r w:rsidR="00525AC2" w:rsidRPr="0058621E">
        <w:rPr>
          <w:szCs w:val="16"/>
        </w:rPr>
        <w:t xml:space="preserve">progress </w:t>
      </w:r>
      <w:r w:rsidR="00DB4FD5" w:rsidRPr="00482FCB">
        <w:rPr>
          <w:szCs w:val="16"/>
        </w:rPr>
        <w:t xml:space="preserve">report </w:t>
      </w:r>
      <w:r w:rsidR="00525AC2" w:rsidRPr="00691682">
        <w:rPr>
          <w:szCs w:val="16"/>
        </w:rPr>
        <w:t>does not indicate whether a case captures a unique user or includes repeat users.</w:t>
      </w:r>
    </w:p>
  </w:footnote>
  <w:footnote w:id="4">
    <w:p w14:paraId="6A4D8DB1" w14:textId="77777777" w:rsidR="00A361DA" w:rsidRPr="00B10C01" w:rsidRDefault="00A361DA" w:rsidP="00A361DA">
      <w:pPr>
        <w:pStyle w:val="FootnoteText"/>
        <w:rPr>
          <w:szCs w:val="16"/>
        </w:rPr>
      </w:pPr>
      <w:r w:rsidRPr="00E32CE6">
        <w:rPr>
          <w:rStyle w:val="FootnoteReference"/>
          <w:szCs w:val="16"/>
        </w:rPr>
        <w:footnoteRef/>
      </w:r>
      <w:r w:rsidRPr="00E32CE6">
        <w:rPr>
          <w:szCs w:val="16"/>
        </w:rPr>
        <w:t xml:space="preserve"> The number of education sessions being delivered nationally did not return to levels observed prior to the pandemic until the last quarter of 2020/21. This means that the data for education sessi</w:t>
      </w:r>
      <w:r w:rsidRPr="00EB5DF4">
        <w:rPr>
          <w:szCs w:val="16"/>
        </w:rPr>
        <w:t>ons is not reflective of normal operations according to SDOs</w:t>
      </w:r>
      <w:r w:rsidRPr="00B10C01">
        <w:rPr>
          <w:szCs w:val="16"/>
        </w:rPr>
        <w:t>. The SDOs pivoted towards online delivery of education sessions, however the transition to this alternate service model took some time.</w:t>
      </w:r>
    </w:p>
  </w:footnote>
  <w:footnote w:id="5">
    <w:p w14:paraId="6FE66B19" w14:textId="50C41CFF" w:rsidR="00E9680A" w:rsidRPr="00E32CE6" w:rsidRDefault="00E9680A">
      <w:pPr>
        <w:pStyle w:val="FootnoteText"/>
        <w:rPr>
          <w:szCs w:val="16"/>
        </w:rPr>
      </w:pPr>
      <w:r w:rsidRPr="00E32CE6">
        <w:rPr>
          <w:rStyle w:val="FootnoteReference"/>
          <w:szCs w:val="16"/>
        </w:rPr>
        <w:footnoteRef/>
      </w:r>
      <w:r w:rsidRPr="00E32CE6">
        <w:rPr>
          <w:szCs w:val="16"/>
        </w:rPr>
        <w:t xml:space="preserve"> </w:t>
      </w:r>
      <w:r w:rsidR="00DA3C70" w:rsidRPr="00B10C01">
        <w:rPr>
          <w:szCs w:val="16"/>
        </w:rPr>
        <w:t>The 50-64 cohort likely</w:t>
      </w:r>
      <w:r w:rsidR="007A1DF1" w:rsidRPr="00B10C01">
        <w:rPr>
          <w:szCs w:val="16"/>
        </w:rPr>
        <w:t xml:space="preserve"> </w:t>
      </w:r>
      <w:r w:rsidR="00AD38A7" w:rsidRPr="00B10C01">
        <w:rPr>
          <w:szCs w:val="16"/>
        </w:rPr>
        <w:t>includes</w:t>
      </w:r>
      <w:r w:rsidR="007A1DF1" w:rsidRPr="00B10C01">
        <w:rPr>
          <w:szCs w:val="16"/>
        </w:rPr>
        <w:t xml:space="preserve"> Aboriginal and Torres Strait Islander </w:t>
      </w:r>
      <w:r w:rsidR="00DA3C70" w:rsidRPr="00B10C01">
        <w:rPr>
          <w:szCs w:val="16"/>
        </w:rPr>
        <w:t>peoples,</w:t>
      </w:r>
      <w:r w:rsidR="007A1DF1" w:rsidRPr="00B10C01">
        <w:rPr>
          <w:szCs w:val="16"/>
        </w:rPr>
        <w:t xml:space="preserve"> who are eligible for NACAP </w:t>
      </w:r>
      <w:r w:rsidR="00DA3C70" w:rsidRPr="00B10C01">
        <w:rPr>
          <w:szCs w:val="16"/>
        </w:rPr>
        <w:t xml:space="preserve">from 50 years of </w:t>
      </w:r>
      <w:r w:rsidR="007A1DF1" w:rsidRPr="00B10C01">
        <w:rPr>
          <w:szCs w:val="16"/>
        </w:rPr>
        <w:t xml:space="preserve">age, </w:t>
      </w:r>
      <w:r w:rsidR="00AD38A7" w:rsidRPr="00B10C01">
        <w:rPr>
          <w:szCs w:val="16"/>
        </w:rPr>
        <w:t>and</w:t>
      </w:r>
      <w:r w:rsidR="00DA3C70" w:rsidRPr="00B10C01">
        <w:rPr>
          <w:szCs w:val="16"/>
        </w:rPr>
        <w:t xml:space="preserve"> potentially the</w:t>
      </w:r>
      <w:r w:rsidR="007A1DF1" w:rsidRPr="00B10C01">
        <w:rPr>
          <w:szCs w:val="16"/>
        </w:rPr>
        <w:t xml:space="preserve"> children and younger representatives of older </w:t>
      </w:r>
      <w:r w:rsidR="00DA3C70" w:rsidRPr="00B10C01">
        <w:rPr>
          <w:szCs w:val="16"/>
        </w:rPr>
        <w:t xml:space="preserve">persons who access NACAP services on behalf of the older person. The available data does not allow </w:t>
      </w:r>
      <w:r w:rsidR="008D0860" w:rsidRPr="00B10C01">
        <w:rPr>
          <w:szCs w:val="16"/>
        </w:rPr>
        <w:t>u</w:t>
      </w:r>
      <w:r w:rsidR="00DA3C70" w:rsidRPr="00B10C01">
        <w:rPr>
          <w:szCs w:val="16"/>
        </w:rPr>
        <w:t>s to investigate these possibilities further</w:t>
      </w:r>
      <w:r w:rsidR="00AD38A7" w:rsidRPr="00B10C01">
        <w:rPr>
          <w:szCs w:val="16"/>
        </w:rPr>
        <w:t>.</w:t>
      </w:r>
    </w:p>
  </w:footnote>
  <w:footnote w:id="6">
    <w:p w14:paraId="3A97CB6F" w14:textId="77777777" w:rsidR="005A7552" w:rsidRPr="00B10C01" w:rsidRDefault="005A7552" w:rsidP="005A7552">
      <w:pPr>
        <w:pStyle w:val="FootnoteText"/>
        <w:rPr>
          <w:szCs w:val="16"/>
        </w:rPr>
      </w:pPr>
      <w:r w:rsidRPr="00E32CE6">
        <w:rPr>
          <w:rStyle w:val="FootnoteReference"/>
          <w:szCs w:val="16"/>
        </w:rPr>
        <w:footnoteRef/>
      </w:r>
      <w:r w:rsidRPr="00E32CE6">
        <w:rPr>
          <w:szCs w:val="16"/>
        </w:rPr>
        <w:t xml:space="preserve"> This is substantially lower than reported in research conducted by Essential Research for OPAN, which suggested that 35-40% of respondents had heard of aged care advocacy. However, it was also reported that half of those parti</w:t>
      </w:r>
      <w:r w:rsidRPr="00EB5DF4">
        <w:rPr>
          <w:szCs w:val="16"/>
        </w:rPr>
        <w:t xml:space="preserve">cipants would not be able to explain the concept to someone </w:t>
      </w:r>
      <w:r w:rsidRPr="00B10C01">
        <w:rPr>
          <w:szCs w:val="16"/>
        </w:rPr>
        <w:t>else. This would imply that only 17-20% of total respondents are meaningfully aware of aged care advocacy.</w:t>
      </w:r>
    </w:p>
  </w:footnote>
  <w:footnote w:id="7">
    <w:p w14:paraId="5E76574E" w14:textId="2076F3C0" w:rsidR="00F372C2" w:rsidRPr="00933C07" w:rsidRDefault="00F372C2" w:rsidP="00F372C2">
      <w:pPr>
        <w:pStyle w:val="FootnoteText"/>
        <w:rPr>
          <w:szCs w:val="16"/>
        </w:rPr>
      </w:pPr>
      <w:r w:rsidRPr="00E32CE6">
        <w:rPr>
          <w:rStyle w:val="FootnoteReference"/>
          <w:szCs w:val="16"/>
        </w:rPr>
        <w:footnoteRef/>
      </w:r>
      <w:r w:rsidRPr="00E32CE6">
        <w:rPr>
          <w:szCs w:val="16"/>
        </w:rPr>
        <w:t xml:space="preserve"> Additional conversations on data and methodology with Devon </w:t>
      </w:r>
      <w:r w:rsidRPr="00E32CE6">
        <w:rPr>
          <w:szCs w:val="16"/>
        </w:rPr>
        <w:t xml:space="preserve">Indig, Catherine </w:t>
      </w:r>
      <w:r w:rsidRPr="00E32CE6">
        <w:rPr>
          <w:szCs w:val="16"/>
        </w:rPr>
        <w:t>Stade and Matt Cleary.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F9B2" w14:textId="0303B35A" w:rsidR="00137F51" w:rsidRDefault="00A96775" w:rsidP="00474643">
    <w:pPr>
      <w:pStyle w:val="Header"/>
    </w:pPr>
    <w:sdt>
      <w:sdtPr>
        <w:rPr>
          <w:lang w:val="en-US"/>
        </w:r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2441BE">
          <w:rPr>
            <w:lang w:val="en-US"/>
          </w:rPr>
          <w:t>Demand Study of the National Aged Care Advocacy Program (NACAP)</w:t>
        </w:r>
      </w:sdtContent>
    </w:sdt>
  </w:p>
  <w:p w14:paraId="7B1E2516" w14:textId="77777777" w:rsidR="00137F51" w:rsidRPr="00474643" w:rsidRDefault="00137F51"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75E2" w14:textId="77777777" w:rsidR="00137F51" w:rsidRDefault="00137F51" w:rsidP="00612D76">
    <w:pPr>
      <w:pStyle w:val="Header"/>
      <w:spacing w:line="14" w:lineRule="exact"/>
    </w:pPr>
  </w:p>
  <w:p w14:paraId="36EDB4AD" w14:textId="7CE72F49" w:rsidR="00E33B5F" w:rsidRPr="00E5008B" w:rsidRDefault="00A96775" w:rsidP="00474643">
    <w:pPr>
      <w:pStyle w:val="Header"/>
      <w:rPr>
        <w:sz w:val="22"/>
        <w:szCs w:val="22"/>
      </w:rPr>
    </w:pPr>
    <w:sdt>
      <w:sdtPr>
        <w:rPr>
          <w:sz w:val="22"/>
          <w:szCs w:val="22"/>
        </w:rPr>
        <w:alias w:val="Title"/>
        <w:id w:val="-315108774"/>
        <w:dataBinding w:prefixMappings="xmlns:ns0='http://purl.org/dc/elements/1.1/' xmlns:ns1='http://schemas.openxmlformats.org/package/2006/metadata/core-properties' " w:xpath="/ns1:coreProperties[1]/ns0:title[1]" w:storeItemID="{6C3C8BC8-F283-45AE-878A-BAB7291924A1}"/>
        <w:text/>
      </w:sdtPr>
      <w:sdtEndPr/>
      <w:sdtContent>
        <w:r w:rsidR="002441BE" w:rsidRPr="008E14C9">
          <w:rPr>
            <w:sz w:val="22"/>
            <w:szCs w:val="22"/>
          </w:rPr>
          <w:t>Demand Study of the National Aged Care Advocacy Program (NACAP)</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9B81" w14:textId="70B1013D" w:rsidR="00137F51" w:rsidRPr="00322D5E" w:rsidRDefault="00A96775" w:rsidP="00E33B5F">
    <w:pPr>
      <w:pStyle w:val="Header"/>
      <w:rPr>
        <w:sz w:val="22"/>
        <w:szCs w:val="22"/>
      </w:rPr>
    </w:pPr>
    <w:sdt>
      <w:sdtPr>
        <w:rPr>
          <w:sz w:val="22"/>
          <w:szCs w:val="22"/>
        </w:rPr>
        <w:alias w:val="Title"/>
        <w:id w:val="-130020643"/>
        <w:dataBinding w:prefixMappings="xmlns:ns0='http://purl.org/dc/elements/1.1/' xmlns:ns1='http://schemas.openxmlformats.org/package/2006/metadata/core-properties' " w:xpath="/ns1:coreProperties[1]/ns0:title[1]" w:storeItemID="{6C3C8BC8-F283-45AE-878A-BAB7291924A1}"/>
        <w:text/>
      </w:sdtPr>
      <w:sdtEndPr/>
      <w:sdtContent>
        <w:r w:rsidR="002441BE" w:rsidRPr="00322D5E">
          <w:rPr>
            <w:sz w:val="22"/>
            <w:szCs w:val="22"/>
          </w:rPr>
          <w:t>Demand Study of the National Aged Care Advocacy Program (NACAP)</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4F2F" w14:textId="60772BC0" w:rsidR="00137F51" w:rsidRPr="003E34CA" w:rsidRDefault="00A96775" w:rsidP="00E33B5F">
    <w:pPr>
      <w:pStyle w:val="Header"/>
      <w:rPr>
        <w:sz w:val="22"/>
        <w:szCs w:val="22"/>
      </w:rPr>
    </w:pPr>
    <w:sdt>
      <w:sdtPr>
        <w:rPr>
          <w:sz w:val="22"/>
          <w:szCs w:val="22"/>
        </w:rPr>
        <w:alias w:val="Title"/>
        <w:id w:val="-1085762893"/>
        <w:dataBinding w:prefixMappings="xmlns:ns0='http://purl.org/dc/elements/1.1/' xmlns:ns1='http://schemas.openxmlformats.org/package/2006/metadata/core-properties' " w:xpath="/ns1:coreProperties[1]/ns0:title[1]" w:storeItemID="{6C3C8BC8-F283-45AE-878A-BAB7291924A1}"/>
        <w:text/>
      </w:sdtPr>
      <w:sdtEndPr/>
      <w:sdtContent>
        <w:r w:rsidR="002441BE" w:rsidRPr="003E34CA">
          <w:rPr>
            <w:sz w:val="22"/>
            <w:szCs w:val="22"/>
          </w:rPr>
          <w:t>Demand Study of the National Aged Care Advocacy Program (NACAP)</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175A2F"/>
    <w:multiLevelType w:val="hybridMultilevel"/>
    <w:tmpl w:val="27B0FF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84F34"/>
    <w:multiLevelType w:val="hybridMultilevel"/>
    <w:tmpl w:val="9EC467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03477CDE"/>
    <w:multiLevelType w:val="hybridMultilevel"/>
    <w:tmpl w:val="4EEACB9A"/>
    <w:lvl w:ilvl="0" w:tplc="4C98BB78">
      <w:start w:val="1"/>
      <w:numFmt w:val="bullet"/>
      <w:lvlText w:val="•"/>
      <w:lvlJc w:val="left"/>
      <w:pPr>
        <w:tabs>
          <w:tab w:val="num" w:pos="360"/>
        </w:tabs>
        <w:ind w:left="360" w:hanging="360"/>
      </w:pPr>
      <w:rPr>
        <w:rFonts w:ascii="Arial" w:hAnsi="Arial" w:hint="default"/>
      </w:rPr>
    </w:lvl>
    <w:lvl w:ilvl="1" w:tplc="81AC080E" w:tentative="1">
      <w:start w:val="1"/>
      <w:numFmt w:val="bullet"/>
      <w:lvlText w:val="•"/>
      <w:lvlJc w:val="left"/>
      <w:pPr>
        <w:tabs>
          <w:tab w:val="num" w:pos="1080"/>
        </w:tabs>
        <w:ind w:left="1080" w:hanging="360"/>
      </w:pPr>
      <w:rPr>
        <w:rFonts w:ascii="Arial" w:hAnsi="Arial" w:hint="default"/>
      </w:rPr>
    </w:lvl>
    <w:lvl w:ilvl="2" w:tplc="7D326F2E" w:tentative="1">
      <w:start w:val="1"/>
      <w:numFmt w:val="bullet"/>
      <w:lvlText w:val="•"/>
      <w:lvlJc w:val="left"/>
      <w:pPr>
        <w:tabs>
          <w:tab w:val="num" w:pos="1800"/>
        </w:tabs>
        <w:ind w:left="1800" w:hanging="360"/>
      </w:pPr>
      <w:rPr>
        <w:rFonts w:ascii="Arial" w:hAnsi="Arial" w:hint="default"/>
      </w:rPr>
    </w:lvl>
    <w:lvl w:ilvl="3" w:tplc="BA9C6802" w:tentative="1">
      <w:start w:val="1"/>
      <w:numFmt w:val="bullet"/>
      <w:lvlText w:val="•"/>
      <w:lvlJc w:val="left"/>
      <w:pPr>
        <w:tabs>
          <w:tab w:val="num" w:pos="2520"/>
        </w:tabs>
        <w:ind w:left="2520" w:hanging="360"/>
      </w:pPr>
      <w:rPr>
        <w:rFonts w:ascii="Arial" w:hAnsi="Arial" w:hint="default"/>
      </w:rPr>
    </w:lvl>
    <w:lvl w:ilvl="4" w:tplc="AD202342" w:tentative="1">
      <w:start w:val="1"/>
      <w:numFmt w:val="bullet"/>
      <w:lvlText w:val="•"/>
      <w:lvlJc w:val="left"/>
      <w:pPr>
        <w:tabs>
          <w:tab w:val="num" w:pos="3240"/>
        </w:tabs>
        <w:ind w:left="3240" w:hanging="360"/>
      </w:pPr>
      <w:rPr>
        <w:rFonts w:ascii="Arial" w:hAnsi="Arial" w:hint="default"/>
      </w:rPr>
    </w:lvl>
    <w:lvl w:ilvl="5" w:tplc="14D46180" w:tentative="1">
      <w:start w:val="1"/>
      <w:numFmt w:val="bullet"/>
      <w:lvlText w:val="•"/>
      <w:lvlJc w:val="left"/>
      <w:pPr>
        <w:tabs>
          <w:tab w:val="num" w:pos="3960"/>
        </w:tabs>
        <w:ind w:left="3960" w:hanging="360"/>
      </w:pPr>
      <w:rPr>
        <w:rFonts w:ascii="Arial" w:hAnsi="Arial" w:hint="default"/>
      </w:rPr>
    </w:lvl>
    <w:lvl w:ilvl="6" w:tplc="F882539A" w:tentative="1">
      <w:start w:val="1"/>
      <w:numFmt w:val="bullet"/>
      <w:lvlText w:val="•"/>
      <w:lvlJc w:val="left"/>
      <w:pPr>
        <w:tabs>
          <w:tab w:val="num" w:pos="4680"/>
        </w:tabs>
        <w:ind w:left="4680" w:hanging="360"/>
      </w:pPr>
      <w:rPr>
        <w:rFonts w:ascii="Arial" w:hAnsi="Arial" w:hint="default"/>
      </w:rPr>
    </w:lvl>
    <w:lvl w:ilvl="7" w:tplc="90245FFA" w:tentative="1">
      <w:start w:val="1"/>
      <w:numFmt w:val="bullet"/>
      <w:lvlText w:val="•"/>
      <w:lvlJc w:val="left"/>
      <w:pPr>
        <w:tabs>
          <w:tab w:val="num" w:pos="5400"/>
        </w:tabs>
        <w:ind w:left="5400" w:hanging="360"/>
      </w:pPr>
      <w:rPr>
        <w:rFonts w:ascii="Arial" w:hAnsi="Arial" w:hint="default"/>
      </w:rPr>
    </w:lvl>
    <w:lvl w:ilvl="8" w:tplc="7E7AAB4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04DF1832"/>
    <w:multiLevelType w:val="hybridMultilevel"/>
    <w:tmpl w:val="ECD0695A"/>
    <w:lvl w:ilvl="0" w:tplc="34888B98">
      <w:start w:val="1"/>
      <w:numFmt w:val="bullet"/>
      <w:lvlText w:val="•"/>
      <w:lvlJc w:val="left"/>
      <w:pPr>
        <w:tabs>
          <w:tab w:val="num" w:pos="360"/>
        </w:tabs>
        <w:ind w:left="360" w:hanging="360"/>
      </w:pPr>
      <w:rPr>
        <w:rFonts w:ascii="Arial" w:hAnsi="Arial" w:hint="default"/>
      </w:rPr>
    </w:lvl>
    <w:lvl w:ilvl="1" w:tplc="B0FC47EA" w:tentative="1">
      <w:start w:val="1"/>
      <w:numFmt w:val="bullet"/>
      <w:lvlText w:val="•"/>
      <w:lvlJc w:val="left"/>
      <w:pPr>
        <w:tabs>
          <w:tab w:val="num" w:pos="1080"/>
        </w:tabs>
        <w:ind w:left="1080" w:hanging="360"/>
      </w:pPr>
      <w:rPr>
        <w:rFonts w:ascii="Arial" w:hAnsi="Arial" w:hint="default"/>
      </w:rPr>
    </w:lvl>
    <w:lvl w:ilvl="2" w:tplc="29BA287A" w:tentative="1">
      <w:start w:val="1"/>
      <w:numFmt w:val="bullet"/>
      <w:lvlText w:val="•"/>
      <w:lvlJc w:val="left"/>
      <w:pPr>
        <w:tabs>
          <w:tab w:val="num" w:pos="1800"/>
        </w:tabs>
        <w:ind w:left="1800" w:hanging="360"/>
      </w:pPr>
      <w:rPr>
        <w:rFonts w:ascii="Arial" w:hAnsi="Arial" w:hint="default"/>
      </w:rPr>
    </w:lvl>
    <w:lvl w:ilvl="3" w:tplc="2500D07A" w:tentative="1">
      <w:start w:val="1"/>
      <w:numFmt w:val="bullet"/>
      <w:lvlText w:val="•"/>
      <w:lvlJc w:val="left"/>
      <w:pPr>
        <w:tabs>
          <w:tab w:val="num" w:pos="2520"/>
        </w:tabs>
        <w:ind w:left="2520" w:hanging="360"/>
      </w:pPr>
      <w:rPr>
        <w:rFonts w:ascii="Arial" w:hAnsi="Arial" w:hint="default"/>
      </w:rPr>
    </w:lvl>
    <w:lvl w:ilvl="4" w:tplc="78C6D7F0" w:tentative="1">
      <w:start w:val="1"/>
      <w:numFmt w:val="bullet"/>
      <w:lvlText w:val="•"/>
      <w:lvlJc w:val="left"/>
      <w:pPr>
        <w:tabs>
          <w:tab w:val="num" w:pos="3240"/>
        </w:tabs>
        <w:ind w:left="3240" w:hanging="360"/>
      </w:pPr>
      <w:rPr>
        <w:rFonts w:ascii="Arial" w:hAnsi="Arial" w:hint="default"/>
      </w:rPr>
    </w:lvl>
    <w:lvl w:ilvl="5" w:tplc="BD5C0006" w:tentative="1">
      <w:start w:val="1"/>
      <w:numFmt w:val="bullet"/>
      <w:lvlText w:val="•"/>
      <w:lvlJc w:val="left"/>
      <w:pPr>
        <w:tabs>
          <w:tab w:val="num" w:pos="3960"/>
        </w:tabs>
        <w:ind w:left="3960" w:hanging="360"/>
      </w:pPr>
      <w:rPr>
        <w:rFonts w:ascii="Arial" w:hAnsi="Arial" w:hint="default"/>
      </w:rPr>
    </w:lvl>
    <w:lvl w:ilvl="6" w:tplc="378200EE" w:tentative="1">
      <w:start w:val="1"/>
      <w:numFmt w:val="bullet"/>
      <w:lvlText w:val="•"/>
      <w:lvlJc w:val="left"/>
      <w:pPr>
        <w:tabs>
          <w:tab w:val="num" w:pos="4680"/>
        </w:tabs>
        <w:ind w:left="4680" w:hanging="360"/>
      </w:pPr>
      <w:rPr>
        <w:rFonts w:ascii="Arial" w:hAnsi="Arial" w:hint="default"/>
      </w:rPr>
    </w:lvl>
    <w:lvl w:ilvl="7" w:tplc="063A6322" w:tentative="1">
      <w:start w:val="1"/>
      <w:numFmt w:val="bullet"/>
      <w:lvlText w:val="•"/>
      <w:lvlJc w:val="left"/>
      <w:pPr>
        <w:tabs>
          <w:tab w:val="num" w:pos="5400"/>
        </w:tabs>
        <w:ind w:left="5400" w:hanging="360"/>
      </w:pPr>
      <w:rPr>
        <w:rFonts w:ascii="Arial" w:hAnsi="Arial" w:hint="default"/>
      </w:rPr>
    </w:lvl>
    <w:lvl w:ilvl="8" w:tplc="8A5A151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92E5EB4"/>
    <w:multiLevelType w:val="multilevel"/>
    <w:tmpl w:val="00AAE512"/>
    <w:lvl w:ilvl="0">
      <w:start w:val="1"/>
      <w:numFmt w:val="bullet"/>
      <w:lvlText w:val=""/>
      <w:lvlJc w:val="left"/>
      <w:pPr>
        <w:ind w:left="680" w:hanging="340"/>
      </w:pPr>
      <w:rPr>
        <w:rFonts w:ascii="Symbol" w:hAnsi="Symbol" w:hint="default"/>
        <w:b w:val="0"/>
        <w:bCs/>
        <w:color w:val="auto"/>
      </w:rPr>
    </w:lvl>
    <w:lvl w:ilvl="1">
      <w:start w:val="1"/>
      <w:numFmt w:val="lowerLetter"/>
      <w:lvlText w:val="%2)"/>
      <w:lvlJc w:val="left"/>
      <w:pPr>
        <w:ind w:left="1020" w:hanging="340"/>
      </w:pPr>
      <w:rPr>
        <w:rFonts w:hint="default"/>
      </w:rPr>
    </w:lvl>
    <w:lvl w:ilvl="2">
      <w:start w:val="1"/>
      <w:numFmt w:val="lowerRoman"/>
      <w:lvlText w:val="%3)"/>
      <w:lvlJc w:val="left"/>
      <w:pPr>
        <w:ind w:left="1360" w:hanging="340"/>
      </w:pPr>
      <w:rPr>
        <w:rFonts w:hint="default"/>
      </w:rPr>
    </w:lvl>
    <w:lvl w:ilvl="3">
      <w:start w:val="1"/>
      <w:numFmt w:val="decimal"/>
      <w:lvlText w:val="(%4)"/>
      <w:lvlJc w:val="left"/>
      <w:pPr>
        <w:ind w:left="1700" w:hanging="340"/>
      </w:pPr>
      <w:rPr>
        <w:rFonts w:hint="default"/>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10" w15:restartNumberingAfterBreak="0">
    <w:nsid w:val="0BE805CD"/>
    <w:multiLevelType w:val="multilevel"/>
    <w:tmpl w:val="73782100"/>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1" w15:restartNumberingAfterBreak="0">
    <w:nsid w:val="0C194AFF"/>
    <w:multiLevelType w:val="hybridMultilevel"/>
    <w:tmpl w:val="DE2AA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B67335"/>
    <w:multiLevelType w:val="hybridMultilevel"/>
    <w:tmpl w:val="3130795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3991905"/>
    <w:multiLevelType w:val="hybridMultilevel"/>
    <w:tmpl w:val="2468EB34"/>
    <w:lvl w:ilvl="0" w:tplc="D1DC5B02">
      <w:start w:val="1"/>
      <w:numFmt w:val="bullet"/>
      <w:lvlText w:val="•"/>
      <w:lvlJc w:val="left"/>
      <w:pPr>
        <w:tabs>
          <w:tab w:val="num" w:pos="360"/>
        </w:tabs>
        <w:ind w:left="360" w:hanging="360"/>
      </w:pPr>
      <w:rPr>
        <w:rFonts w:ascii="Arial" w:hAnsi="Arial" w:hint="default"/>
      </w:rPr>
    </w:lvl>
    <w:lvl w:ilvl="1" w:tplc="EB548782" w:tentative="1">
      <w:start w:val="1"/>
      <w:numFmt w:val="bullet"/>
      <w:lvlText w:val="•"/>
      <w:lvlJc w:val="left"/>
      <w:pPr>
        <w:tabs>
          <w:tab w:val="num" w:pos="1080"/>
        </w:tabs>
        <w:ind w:left="1080" w:hanging="360"/>
      </w:pPr>
      <w:rPr>
        <w:rFonts w:ascii="Arial" w:hAnsi="Arial" w:hint="default"/>
      </w:rPr>
    </w:lvl>
    <w:lvl w:ilvl="2" w:tplc="EF984774" w:tentative="1">
      <w:start w:val="1"/>
      <w:numFmt w:val="bullet"/>
      <w:lvlText w:val="•"/>
      <w:lvlJc w:val="left"/>
      <w:pPr>
        <w:tabs>
          <w:tab w:val="num" w:pos="1800"/>
        </w:tabs>
        <w:ind w:left="1800" w:hanging="360"/>
      </w:pPr>
      <w:rPr>
        <w:rFonts w:ascii="Arial" w:hAnsi="Arial" w:hint="default"/>
      </w:rPr>
    </w:lvl>
    <w:lvl w:ilvl="3" w:tplc="99108358" w:tentative="1">
      <w:start w:val="1"/>
      <w:numFmt w:val="bullet"/>
      <w:lvlText w:val="•"/>
      <w:lvlJc w:val="left"/>
      <w:pPr>
        <w:tabs>
          <w:tab w:val="num" w:pos="2520"/>
        </w:tabs>
        <w:ind w:left="2520" w:hanging="360"/>
      </w:pPr>
      <w:rPr>
        <w:rFonts w:ascii="Arial" w:hAnsi="Arial" w:hint="default"/>
      </w:rPr>
    </w:lvl>
    <w:lvl w:ilvl="4" w:tplc="40546C60" w:tentative="1">
      <w:start w:val="1"/>
      <w:numFmt w:val="bullet"/>
      <w:lvlText w:val="•"/>
      <w:lvlJc w:val="left"/>
      <w:pPr>
        <w:tabs>
          <w:tab w:val="num" w:pos="3240"/>
        </w:tabs>
        <w:ind w:left="3240" w:hanging="360"/>
      </w:pPr>
      <w:rPr>
        <w:rFonts w:ascii="Arial" w:hAnsi="Arial" w:hint="default"/>
      </w:rPr>
    </w:lvl>
    <w:lvl w:ilvl="5" w:tplc="0428EDD0" w:tentative="1">
      <w:start w:val="1"/>
      <w:numFmt w:val="bullet"/>
      <w:lvlText w:val="•"/>
      <w:lvlJc w:val="left"/>
      <w:pPr>
        <w:tabs>
          <w:tab w:val="num" w:pos="3960"/>
        </w:tabs>
        <w:ind w:left="3960" w:hanging="360"/>
      </w:pPr>
      <w:rPr>
        <w:rFonts w:ascii="Arial" w:hAnsi="Arial" w:hint="default"/>
      </w:rPr>
    </w:lvl>
    <w:lvl w:ilvl="6" w:tplc="0284DDE4" w:tentative="1">
      <w:start w:val="1"/>
      <w:numFmt w:val="bullet"/>
      <w:lvlText w:val="•"/>
      <w:lvlJc w:val="left"/>
      <w:pPr>
        <w:tabs>
          <w:tab w:val="num" w:pos="4680"/>
        </w:tabs>
        <w:ind w:left="4680" w:hanging="360"/>
      </w:pPr>
      <w:rPr>
        <w:rFonts w:ascii="Arial" w:hAnsi="Arial" w:hint="default"/>
      </w:rPr>
    </w:lvl>
    <w:lvl w:ilvl="7" w:tplc="0B48200E" w:tentative="1">
      <w:start w:val="1"/>
      <w:numFmt w:val="bullet"/>
      <w:lvlText w:val="•"/>
      <w:lvlJc w:val="left"/>
      <w:pPr>
        <w:tabs>
          <w:tab w:val="num" w:pos="5400"/>
        </w:tabs>
        <w:ind w:left="5400" w:hanging="360"/>
      </w:pPr>
      <w:rPr>
        <w:rFonts w:ascii="Arial" w:hAnsi="Arial" w:hint="default"/>
      </w:rPr>
    </w:lvl>
    <w:lvl w:ilvl="8" w:tplc="3592959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4122BC3"/>
    <w:multiLevelType w:val="hybridMultilevel"/>
    <w:tmpl w:val="2EE2E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63949F2"/>
    <w:multiLevelType w:val="hybridMultilevel"/>
    <w:tmpl w:val="0F8E2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8" w15:restartNumberingAfterBreak="0">
    <w:nsid w:val="19B84ABD"/>
    <w:multiLevelType w:val="hybridMultilevel"/>
    <w:tmpl w:val="E2EC0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39552FF"/>
    <w:multiLevelType w:val="hybridMultilevel"/>
    <w:tmpl w:val="1B0C09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D75845"/>
    <w:multiLevelType w:val="hybridMultilevel"/>
    <w:tmpl w:val="328A4E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65C408E"/>
    <w:multiLevelType w:val="hybridMultilevel"/>
    <w:tmpl w:val="8C5AD5D0"/>
    <w:lvl w:ilvl="0" w:tplc="1BA6F3E0">
      <w:start w:val="1"/>
      <w:numFmt w:val="bullet"/>
      <w:lvlText w:val="•"/>
      <w:lvlJc w:val="left"/>
      <w:pPr>
        <w:tabs>
          <w:tab w:val="num" w:pos="360"/>
        </w:tabs>
        <w:ind w:left="360" w:hanging="360"/>
      </w:pPr>
      <w:rPr>
        <w:rFonts w:ascii="Arial" w:hAnsi="Arial" w:hint="default"/>
      </w:rPr>
    </w:lvl>
    <w:lvl w:ilvl="1" w:tplc="6A9C3EE4" w:tentative="1">
      <w:start w:val="1"/>
      <w:numFmt w:val="bullet"/>
      <w:lvlText w:val="•"/>
      <w:lvlJc w:val="left"/>
      <w:pPr>
        <w:tabs>
          <w:tab w:val="num" w:pos="1080"/>
        </w:tabs>
        <w:ind w:left="1080" w:hanging="360"/>
      </w:pPr>
      <w:rPr>
        <w:rFonts w:ascii="Arial" w:hAnsi="Arial" w:hint="default"/>
      </w:rPr>
    </w:lvl>
    <w:lvl w:ilvl="2" w:tplc="4462B6CE" w:tentative="1">
      <w:start w:val="1"/>
      <w:numFmt w:val="bullet"/>
      <w:lvlText w:val="•"/>
      <w:lvlJc w:val="left"/>
      <w:pPr>
        <w:tabs>
          <w:tab w:val="num" w:pos="1800"/>
        </w:tabs>
        <w:ind w:left="1800" w:hanging="360"/>
      </w:pPr>
      <w:rPr>
        <w:rFonts w:ascii="Arial" w:hAnsi="Arial" w:hint="default"/>
      </w:rPr>
    </w:lvl>
    <w:lvl w:ilvl="3" w:tplc="91142860" w:tentative="1">
      <w:start w:val="1"/>
      <w:numFmt w:val="bullet"/>
      <w:lvlText w:val="•"/>
      <w:lvlJc w:val="left"/>
      <w:pPr>
        <w:tabs>
          <w:tab w:val="num" w:pos="2520"/>
        </w:tabs>
        <w:ind w:left="2520" w:hanging="360"/>
      </w:pPr>
      <w:rPr>
        <w:rFonts w:ascii="Arial" w:hAnsi="Arial" w:hint="default"/>
      </w:rPr>
    </w:lvl>
    <w:lvl w:ilvl="4" w:tplc="2DF81374" w:tentative="1">
      <w:start w:val="1"/>
      <w:numFmt w:val="bullet"/>
      <w:lvlText w:val="•"/>
      <w:lvlJc w:val="left"/>
      <w:pPr>
        <w:tabs>
          <w:tab w:val="num" w:pos="3240"/>
        </w:tabs>
        <w:ind w:left="3240" w:hanging="360"/>
      </w:pPr>
      <w:rPr>
        <w:rFonts w:ascii="Arial" w:hAnsi="Arial" w:hint="default"/>
      </w:rPr>
    </w:lvl>
    <w:lvl w:ilvl="5" w:tplc="9C2E0344" w:tentative="1">
      <w:start w:val="1"/>
      <w:numFmt w:val="bullet"/>
      <w:lvlText w:val="•"/>
      <w:lvlJc w:val="left"/>
      <w:pPr>
        <w:tabs>
          <w:tab w:val="num" w:pos="3960"/>
        </w:tabs>
        <w:ind w:left="3960" w:hanging="360"/>
      </w:pPr>
      <w:rPr>
        <w:rFonts w:ascii="Arial" w:hAnsi="Arial" w:hint="default"/>
      </w:rPr>
    </w:lvl>
    <w:lvl w:ilvl="6" w:tplc="80F81CCA" w:tentative="1">
      <w:start w:val="1"/>
      <w:numFmt w:val="bullet"/>
      <w:lvlText w:val="•"/>
      <w:lvlJc w:val="left"/>
      <w:pPr>
        <w:tabs>
          <w:tab w:val="num" w:pos="4680"/>
        </w:tabs>
        <w:ind w:left="4680" w:hanging="360"/>
      </w:pPr>
      <w:rPr>
        <w:rFonts w:ascii="Arial" w:hAnsi="Arial" w:hint="default"/>
      </w:rPr>
    </w:lvl>
    <w:lvl w:ilvl="7" w:tplc="E86E5084" w:tentative="1">
      <w:start w:val="1"/>
      <w:numFmt w:val="bullet"/>
      <w:lvlText w:val="•"/>
      <w:lvlJc w:val="left"/>
      <w:pPr>
        <w:tabs>
          <w:tab w:val="num" w:pos="5400"/>
        </w:tabs>
        <w:ind w:left="5400" w:hanging="360"/>
      </w:pPr>
      <w:rPr>
        <w:rFonts w:ascii="Arial" w:hAnsi="Arial" w:hint="default"/>
      </w:rPr>
    </w:lvl>
    <w:lvl w:ilvl="8" w:tplc="45367C16"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3" w15:restartNumberingAfterBreak="0">
    <w:nsid w:val="2D666E68"/>
    <w:multiLevelType w:val="hybridMultilevel"/>
    <w:tmpl w:val="CFACA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E565E5"/>
    <w:multiLevelType w:val="hybridMultilevel"/>
    <w:tmpl w:val="A8925BDC"/>
    <w:lvl w:ilvl="0" w:tplc="93164850">
      <w:start w:val="1"/>
      <w:numFmt w:val="bullet"/>
      <w:lvlText w:val="•"/>
      <w:lvlJc w:val="left"/>
      <w:pPr>
        <w:tabs>
          <w:tab w:val="num" w:pos="360"/>
        </w:tabs>
        <w:ind w:left="360" w:hanging="360"/>
      </w:pPr>
      <w:rPr>
        <w:rFonts w:ascii="Arial" w:hAnsi="Arial" w:hint="default"/>
      </w:rPr>
    </w:lvl>
    <w:lvl w:ilvl="1" w:tplc="83EEC56A" w:tentative="1">
      <w:start w:val="1"/>
      <w:numFmt w:val="bullet"/>
      <w:lvlText w:val="•"/>
      <w:lvlJc w:val="left"/>
      <w:pPr>
        <w:tabs>
          <w:tab w:val="num" w:pos="1080"/>
        </w:tabs>
        <w:ind w:left="1080" w:hanging="360"/>
      </w:pPr>
      <w:rPr>
        <w:rFonts w:ascii="Arial" w:hAnsi="Arial" w:hint="default"/>
      </w:rPr>
    </w:lvl>
    <w:lvl w:ilvl="2" w:tplc="F5C6716C" w:tentative="1">
      <w:start w:val="1"/>
      <w:numFmt w:val="bullet"/>
      <w:lvlText w:val="•"/>
      <w:lvlJc w:val="left"/>
      <w:pPr>
        <w:tabs>
          <w:tab w:val="num" w:pos="1800"/>
        </w:tabs>
        <w:ind w:left="1800" w:hanging="360"/>
      </w:pPr>
      <w:rPr>
        <w:rFonts w:ascii="Arial" w:hAnsi="Arial" w:hint="default"/>
      </w:rPr>
    </w:lvl>
    <w:lvl w:ilvl="3" w:tplc="B030C928" w:tentative="1">
      <w:start w:val="1"/>
      <w:numFmt w:val="bullet"/>
      <w:lvlText w:val="•"/>
      <w:lvlJc w:val="left"/>
      <w:pPr>
        <w:tabs>
          <w:tab w:val="num" w:pos="2520"/>
        </w:tabs>
        <w:ind w:left="2520" w:hanging="360"/>
      </w:pPr>
      <w:rPr>
        <w:rFonts w:ascii="Arial" w:hAnsi="Arial" w:hint="default"/>
      </w:rPr>
    </w:lvl>
    <w:lvl w:ilvl="4" w:tplc="8E2CABE6" w:tentative="1">
      <w:start w:val="1"/>
      <w:numFmt w:val="bullet"/>
      <w:lvlText w:val="•"/>
      <w:lvlJc w:val="left"/>
      <w:pPr>
        <w:tabs>
          <w:tab w:val="num" w:pos="3240"/>
        </w:tabs>
        <w:ind w:left="3240" w:hanging="360"/>
      </w:pPr>
      <w:rPr>
        <w:rFonts w:ascii="Arial" w:hAnsi="Arial" w:hint="default"/>
      </w:rPr>
    </w:lvl>
    <w:lvl w:ilvl="5" w:tplc="3FE23454" w:tentative="1">
      <w:start w:val="1"/>
      <w:numFmt w:val="bullet"/>
      <w:lvlText w:val="•"/>
      <w:lvlJc w:val="left"/>
      <w:pPr>
        <w:tabs>
          <w:tab w:val="num" w:pos="3960"/>
        </w:tabs>
        <w:ind w:left="3960" w:hanging="360"/>
      </w:pPr>
      <w:rPr>
        <w:rFonts w:ascii="Arial" w:hAnsi="Arial" w:hint="default"/>
      </w:rPr>
    </w:lvl>
    <w:lvl w:ilvl="6" w:tplc="ECAC016E" w:tentative="1">
      <w:start w:val="1"/>
      <w:numFmt w:val="bullet"/>
      <w:lvlText w:val="•"/>
      <w:lvlJc w:val="left"/>
      <w:pPr>
        <w:tabs>
          <w:tab w:val="num" w:pos="4680"/>
        </w:tabs>
        <w:ind w:left="4680" w:hanging="360"/>
      </w:pPr>
      <w:rPr>
        <w:rFonts w:ascii="Arial" w:hAnsi="Arial" w:hint="default"/>
      </w:rPr>
    </w:lvl>
    <w:lvl w:ilvl="7" w:tplc="221AA5DC" w:tentative="1">
      <w:start w:val="1"/>
      <w:numFmt w:val="bullet"/>
      <w:lvlText w:val="•"/>
      <w:lvlJc w:val="left"/>
      <w:pPr>
        <w:tabs>
          <w:tab w:val="num" w:pos="5400"/>
        </w:tabs>
        <w:ind w:left="5400" w:hanging="360"/>
      </w:pPr>
      <w:rPr>
        <w:rFonts w:ascii="Arial" w:hAnsi="Arial" w:hint="default"/>
      </w:rPr>
    </w:lvl>
    <w:lvl w:ilvl="8" w:tplc="5A82A792"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2E9E14FA"/>
    <w:multiLevelType w:val="multilevel"/>
    <w:tmpl w:val="19EE38D2"/>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6" w15:restartNumberingAfterBreak="0">
    <w:nsid w:val="30B83066"/>
    <w:multiLevelType w:val="hybridMultilevel"/>
    <w:tmpl w:val="B148B3AA"/>
    <w:lvl w:ilvl="0" w:tplc="0C09001B">
      <w:start w:val="1"/>
      <w:numFmt w:val="lowerRoman"/>
      <w:lvlText w:val="%1."/>
      <w:lvlJc w:val="righ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37974FF1"/>
    <w:multiLevelType w:val="hybridMultilevel"/>
    <w:tmpl w:val="082E1E34"/>
    <w:lvl w:ilvl="0" w:tplc="3BEAF84C">
      <w:start w:val="1"/>
      <w:numFmt w:val="bullet"/>
      <w:lvlText w:val="•"/>
      <w:lvlJc w:val="left"/>
      <w:pPr>
        <w:tabs>
          <w:tab w:val="num" w:pos="360"/>
        </w:tabs>
        <w:ind w:left="360" w:hanging="360"/>
      </w:pPr>
      <w:rPr>
        <w:rFonts w:ascii="Arial" w:hAnsi="Arial" w:hint="default"/>
      </w:rPr>
    </w:lvl>
    <w:lvl w:ilvl="1" w:tplc="3294A74C" w:tentative="1">
      <w:start w:val="1"/>
      <w:numFmt w:val="bullet"/>
      <w:lvlText w:val="•"/>
      <w:lvlJc w:val="left"/>
      <w:pPr>
        <w:tabs>
          <w:tab w:val="num" w:pos="1080"/>
        </w:tabs>
        <w:ind w:left="1080" w:hanging="360"/>
      </w:pPr>
      <w:rPr>
        <w:rFonts w:ascii="Arial" w:hAnsi="Arial" w:hint="default"/>
      </w:rPr>
    </w:lvl>
    <w:lvl w:ilvl="2" w:tplc="C136ECEC" w:tentative="1">
      <w:start w:val="1"/>
      <w:numFmt w:val="bullet"/>
      <w:lvlText w:val="•"/>
      <w:lvlJc w:val="left"/>
      <w:pPr>
        <w:tabs>
          <w:tab w:val="num" w:pos="1800"/>
        </w:tabs>
        <w:ind w:left="1800" w:hanging="360"/>
      </w:pPr>
      <w:rPr>
        <w:rFonts w:ascii="Arial" w:hAnsi="Arial" w:hint="default"/>
      </w:rPr>
    </w:lvl>
    <w:lvl w:ilvl="3" w:tplc="DD8E4BEE" w:tentative="1">
      <w:start w:val="1"/>
      <w:numFmt w:val="bullet"/>
      <w:lvlText w:val="•"/>
      <w:lvlJc w:val="left"/>
      <w:pPr>
        <w:tabs>
          <w:tab w:val="num" w:pos="2520"/>
        </w:tabs>
        <w:ind w:left="2520" w:hanging="360"/>
      </w:pPr>
      <w:rPr>
        <w:rFonts w:ascii="Arial" w:hAnsi="Arial" w:hint="default"/>
      </w:rPr>
    </w:lvl>
    <w:lvl w:ilvl="4" w:tplc="40F8C76E" w:tentative="1">
      <w:start w:val="1"/>
      <w:numFmt w:val="bullet"/>
      <w:lvlText w:val="•"/>
      <w:lvlJc w:val="left"/>
      <w:pPr>
        <w:tabs>
          <w:tab w:val="num" w:pos="3240"/>
        </w:tabs>
        <w:ind w:left="3240" w:hanging="360"/>
      </w:pPr>
      <w:rPr>
        <w:rFonts w:ascii="Arial" w:hAnsi="Arial" w:hint="default"/>
      </w:rPr>
    </w:lvl>
    <w:lvl w:ilvl="5" w:tplc="667C1F90" w:tentative="1">
      <w:start w:val="1"/>
      <w:numFmt w:val="bullet"/>
      <w:lvlText w:val="•"/>
      <w:lvlJc w:val="left"/>
      <w:pPr>
        <w:tabs>
          <w:tab w:val="num" w:pos="3960"/>
        </w:tabs>
        <w:ind w:left="3960" w:hanging="360"/>
      </w:pPr>
      <w:rPr>
        <w:rFonts w:ascii="Arial" w:hAnsi="Arial" w:hint="default"/>
      </w:rPr>
    </w:lvl>
    <w:lvl w:ilvl="6" w:tplc="1C9CD5F6" w:tentative="1">
      <w:start w:val="1"/>
      <w:numFmt w:val="bullet"/>
      <w:lvlText w:val="•"/>
      <w:lvlJc w:val="left"/>
      <w:pPr>
        <w:tabs>
          <w:tab w:val="num" w:pos="4680"/>
        </w:tabs>
        <w:ind w:left="4680" w:hanging="360"/>
      </w:pPr>
      <w:rPr>
        <w:rFonts w:ascii="Arial" w:hAnsi="Arial" w:hint="default"/>
      </w:rPr>
    </w:lvl>
    <w:lvl w:ilvl="7" w:tplc="F0C20A22" w:tentative="1">
      <w:start w:val="1"/>
      <w:numFmt w:val="bullet"/>
      <w:lvlText w:val="•"/>
      <w:lvlJc w:val="left"/>
      <w:pPr>
        <w:tabs>
          <w:tab w:val="num" w:pos="5400"/>
        </w:tabs>
        <w:ind w:left="5400" w:hanging="360"/>
      </w:pPr>
      <w:rPr>
        <w:rFonts w:ascii="Arial" w:hAnsi="Arial" w:hint="default"/>
      </w:rPr>
    </w:lvl>
    <w:lvl w:ilvl="8" w:tplc="28665A7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38F13E69"/>
    <w:multiLevelType w:val="hybridMultilevel"/>
    <w:tmpl w:val="0602DA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3AA46B37"/>
    <w:multiLevelType w:val="hybridMultilevel"/>
    <w:tmpl w:val="CBE0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A62723"/>
    <w:multiLevelType w:val="hybridMultilevel"/>
    <w:tmpl w:val="66203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374517"/>
    <w:multiLevelType w:val="hybridMultilevel"/>
    <w:tmpl w:val="E49273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CC052CB"/>
    <w:multiLevelType w:val="multilevel"/>
    <w:tmpl w:val="00AAE512"/>
    <w:lvl w:ilvl="0">
      <w:start w:val="1"/>
      <w:numFmt w:val="bullet"/>
      <w:lvlText w:val=""/>
      <w:lvlJc w:val="left"/>
      <w:pPr>
        <w:ind w:left="680" w:hanging="340"/>
      </w:pPr>
      <w:rPr>
        <w:rFonts w:ascii="Symbol" w:hAnsi="Symbol" w:hint="default"/>
        <w:b w:val="0"/>
        <w:bCs/>
        <w:color w:val="auto"/>
      </w:rPr>
    </w:lvl>
    <w:lvl w:ilvl="1">
      <w:start w:val="1"/>
      <w:numFmt w:val="lowerLetter"/>
      <w:lvlText w:val="%2)"/>
      <w:lvlJc w:val="left"/>
      <w:pPr>
        <w:ind w:left="1020" w:hanging="340"/>
      </w:pPr>
      <w:rPr>
        <w:rFonts w:hint="default"/>
      </w:rPr>
    </w:lvl>
    <w:lvl w:ilvl="2">
      <w:start w:val="1"/>
      <w:numFmt w:val="lowerRoman"/>
      <w:lvlText w:val="%3)"/>
      <w:lvlJc w:val="left"/>
      <w:pPr>
        <w:ind w:left="1360" w:hanging="340"/>
      </w:pPr>
      <w:rPr>
        <w:rFonts w:hint="default"/>
      </w:rPr>
    </w:lvl>
    <w:lvl w:ilvl="3">
      <w:start w:val="1"/>
      <w:numFmt w:val="decimal"/>
      <w:lvlText w:val="(%4)"/>
      <w:lvlJc w:val="left"/>
      <w:pPr>
        <w:ind w:left="1700" w:hanging="340"/>
      </w:pPr>
      <w:rPr>
        <w:rFonts w:hint="default"/>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33" w15:restartNumberingAfterBreak="0">
    <w:nsid w:val="3F642E05"/>
    <w:multiLevelType w:val="hybridMultilevel"/>
    <w:tmpl w:val="699E2C0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AD01D2"/>
    <w:multiLevelType w:val="multilevel"/>
    <w:tmpl w:val="270E871E"/>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163"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142" w:firstLine="0"/>
      </w:pPr>
      <w:rPr>
        <w:rFonts w:hint="default"/>
      </w:rPr>
    </w:lvl>
    <w:lvl w:ilvl="7">
      <w:start w:val="1"/>
      <w:numFmt w:val="decimal"/>
      <w:lvlRestart w:val="1"/>
      <w:pStyle w:val="CaptionChart"/>
      <w:suff w:val="nothing"/>
      <w:lvlText w:val="Chart %1.%8"/>
      <w:lvlJc w:val="left"/>
      <w:pPr>
        <w:ind w:left="710" w:firstLine="0"/>
      </w:pPr>
    </w:lvl>
    <w:lvl w:ilvl="8">
      <w:start w:val="1"/>
      <w:numFmt w:val="decimal"/>
      <w:lvlRestart w:val="1"/>
      <w:pStyle w:val="CaptionFigure"/>
      <w:suff w:val="nothing"/>
      <w:lvlText w:val="Figure %1.%9"/>
      <w:lvlJc w:val="left"/>
      <w:pPr>
        <w:ind w:left="0" w:firstLine="0"/>
      </w:pPr>
      <w:rPr>
        <w:rFonts w:hint="default"/>
      </w:rPr>
    </w:lvl>
  </w:abstractNum>
  <w:abstractNum w:abstractNumId="35" w15:restartNumberingAfterBreak="0">
    <w:nsid w:val="405F4842"/>
    <w:multiLevelType w:val="multilevel"/>
    <w:tmpl w:val="3A06559A"/>
    <w:lvl w:ilvl="0">
      <w:start w:val="1"/>
      <w:numFmt w:val="decimal"/>
      <w:pStyle w:val="ListNumber"/>
      <w:lvlText w:val="%1."/>
      <w:lvlJc w:val="left"/>
      <w:pPr>
        <w:ind w:left="340" w:hanging="340"/>
      </w:pPr>
      <w:rPr>
        <w:rFonts w:hint="default"/>
        <w:b w:val="0"/>
        <w:bCs/>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6" w15:restartNumberingAfterBreak="0">
    <w:nsid w:val="414F28D9"/>
    <w:multiLevelType w:val="hybridMultilevel"/>
    <w:tmpl w:val="B142C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1C601D7"/>
    <w:multiLevelType w:val="hybridMultilevel"/>
    <w:tmpl w:val="6CD4764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9"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F8566C"/>
    <w:multiLevelType w:val="hybridMultilevel"/>
    <w:tmpl w:val="6BE0C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A2F3C87"/>
    <w:multiLevelType w:val="hybridMultilevel"/>
    <w:tmpl w:val="763C728A"/>
    <w:lvl w:ilvl="0" w:tplc="B4DC047E">
      <w:start w:val="1"/>
      <w:numFmt w:val="bullet"/>
      <w:lvlText w:val="•"/>
      <w:lvlJc w:val="left"/>
      <w:pPr>
        <w:tabs>
          <w:tab w:val="num" w:pos="360"/>
        </w:tabs>
        <w:ind w:left="360" w:hanging="360"/>
      </w:pPr>
      <w:rPr>
        <w:rFonts w:ascii="Arial" w:hAnsi="Arial" w:hint="default"/>
      </w:rPr>
    </w:lvl>
    <w:lvl w:ilvl="1" w:tplc="C4825CA6" w:tentative="1">
      <w:start w:val="1"/>
      <w:numFmt w:val="bullet"/>
      <w:lvlText w:val="•"/>
      <w:lvlJc w:val="left"/>
      <w:pPr>
        <w:tabs>
          <w:tab w:val="num" w:pos="1080"/>
        </w:tabs>
        <w:ind w:left="1080" w:hanging="360"/>
      </w:pPr>
      <w:rPr>
        <w:rFonts w:ascii="Arial" w:hAnsi="Arial" w:hint="default"/>
      </w:rPr>
    </w:lvl>
    <w:lvl w:ilvl="2" w:tplc="E72C30B8" w:tentative="1">
      <w:start w:val="1"/>
      <w:numFmt w:val="bullet"/>
      <w:lvlText w:val="•"/>
      <w:lvlJc w:val="left"/>
      <w:pPr>
        <w:tabs>
          <w:tab w:val="num" w:pos="1800"/>
        </w:tabs>
        <w:ind w:left="1800" w:hanging="360"/>
      </w:pPr>
      <w:rPr>
        <w:rFonts w:ascii="Arial" w:hAnsi="Arial" w:hint="default"/>
      </w:rPr>
    </w:lvl>
    <w:lvl w:ilvl="3" w:tplc="61EAB602" w:tentative="1">
      <w:start w:val="1"/>
      <w:numFmt w:val="bullet"/>
      <w:lvlText w:val="•"/>
      <w:lvlJc w:val="left"/>
      <w:pPr>
        <w:tabs>
          <w:tab w:val="num" w:pos="2520"/>
        </w:tabs>
        <w:ind w:left="2520" w:hanging="360"/>
      </w:pPr>
      <w:rPr>
        <w:rFonts w:ascii="Arial" w:hAnsi="Arial" w:hint="default"/>
      </w:rPr>
    </w:lvl>
    <w:lvl w:ilvl="4" w:tplc="09FED37C" w:tentative="1">
      <w:start w:val="1"/>
      <w:numFmt w:val="bullet"/>
      <w:lvlText w:val="•"/>
      <w:lvlJc w:val="left"/>
      <w:pPr>
        <w:tabs>
          <w:tab w:val="num" w:pos="3240"/>
        </w:tabs>
        <w:ind w:left="3240" w:hanging="360"/>
      </w:pPr>
      <w:rPr>
        <w:rFonts w:ascii="Arial" w:hAnsi="Arial" w:hint="default"/>
      </w:rPr>
    </w:lvl>
    <w:lvl w:ilvl="5" w:tplc="C7E40206" w:tentative="1">
      <w:start w:val="1"/>
      <w:numFmt w:val="bullet"/>
      <w:lvlText w:val="•"/>
      <w:lvlJc w:val="left"/>
      <w:pPr>
        <w:tabs>
          <w:tab w:val="num" w:pos="3960"/>
        </w:tabs>
        <w:ind w:left="3960" w:hanging="360"/>
      </w:pPr>
      <w:rPr>
        <w:rFonts w:ascii="Arial" w:hAnsi="Arial" w:hint="default"/>
      </w:rPr>
    </w:lvl>
    <w:lvl w:ilvl="6" w:tplc="F33CF706" w:tentative="1">
      <w:start w:val="1"/>
      <w:numFmt w:val="bullet"/>
      <w:lvlText w:val="•"/>
      <w:lvlJc w:val="left"/>
      <w:pPr>
        <w:tabs>
          <w:tab w:val="num" w:pos="4680"/>
        </w:tabs>
        <w:ind w:left="4680" w:hanging="360"/>
      </w:pPr>
      <w:rPr>
        <w:rFonts w:ascii="Arial" w:hAnsi="Arial" w:hint="default"/>
      </w:rPr>
    </w:lvl>
    <w:lvl w:ilvl="7" w:tplc="4CCCC612" w:tentative="1">
      <w:start w:val="1"/>
      <w:numFmt w:val="bullet"/>
      <w:lvlText w:val="•"/>
      <w:lvlJc w:val="left"/>
      <w:pPr>
        <w:tabs>
          <w:tab w:val="num" w:pos="5400"/>
        </w:tabs>
        <w:ind w:left="5400" w:hanging="360"/>
      </w:pPr>
      <w:rPr>
        <w:rFonts w:ascii="Arial" w:hAnsi="Arial" w:hint="default"/>
      </w:rPr>
    </w:lvl>
    <w:lvl w:ilvl="8" w:tplc="5C220A6E"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4B9C62DC"/>
    <w:multiLevelType w:val="hybridMultilevel"/>
    <w:tmpl w:val="C2746B3A"/>
    <w:lvl w:ilvl="0" w:tplc="1A4E9C38">
      <w:start w:val="1"/>
      <w:numFmt w:val="bullet"/>
      <w:lvlText w:val="•"/>
      <w:lvlJc w:val="left"/>
      <w:pPr>
        <w:tabs>
          <w:tab w:val="num" w:pos="360"/>
        </w:tabs>
        <w:ind w:left="360" w:hanging="360"/>
      </w:pPr>
      <w:rPr>
        <w:rFonts w:ascii="Arial" w:hAnsi="Arial" w:hint="default"/>
      </w:rPr>
    </w:lvl>
    <w:lvl w:ilvl="1" w:tplc="7DA46374" w:tentative="1">
      <w:start w:val="1"/>
      <w:numFmt w:val="bullet"/>
      <w:lvlText w:val="•"/>
      <w:lvlJc w:val="left"/>
      <w:pPr>
        <w:tabs>
          <w:tab w:val="num" w:pos="1080"/>
        </w:tabs>
        <w:ind w:left="1080" w:hanging="360"/>
      </w:pPr>
      <w:rPr>
        <w:rFonts w:ascii="Arial" w:hAnsi="Arial" w:hint="default"/>
      </w:rPr>
    </w:lvl>
    <w:lvl w:ilvl="2" w:tplc="DAB4C36A" w:tentative="1">
      <w:start w:val="1"/>
      <w:numFmt w:val="bullet"/>
      <w:lvlText w:val="•"/>
      <w:lvlJc w:val="left"/>
      <w:pPr>
        <w:tabs>
          <w:tab w:val="num" w:pos="1800"/>
        </w:tabs>
        <w:ind w:left="1800" w:hanging="360"/>
      </w:pPr>
      <w:rPr>
        <w:rFonts w:ascii="Arial" w:hAnsi="Arial" w:hint="default"/>
      </w:rPr>
    </w:lvl>
    <w:lvl w:ilvl="3" w:tplc="5AB8CDAA" w:tentative="1">
      <w:start w:val="1"/>
      <w:numFmt w:val="bullet"/>
      <w:lvlText w:val="•"/>
      <w:lvlJc w:val="left"/>
      <w:pPr>
        <w:tabs>
          <w:tab w:val="num" w:pos="2520"/>
        </w:tabs>
        <w:ind w:left="2520" w:hanging="360"/>
      </w:pPr>
      <w:rPr>
        <w:rFonts w:ascii="Arial" w:hAnsi="Arial" w:hint="default"/>
      </w:rPr>
    </w:lvl>
    <w:lvl w:ilvl="4" w:tplc="90E64EE6" w:tentative="1">
      <w:start w:val="1"/>
      <w:numFmt w:val="bullet"/>
      <w:lvlText w:val="•"/>
      <w:lvlJc w:val="left"/>
      <w:pPr>
        <w:tabs>
          <w:tab w:val="num" w:pos="3240"/>
        </w:tabs>
        <w:ind w:left="3240" w:hanging="360"/>
      </w:pPr>
      <w:rPr>
        <w:rFonts w:ascii="Arial" w:hAnsi="Arial" w:hint="default"/>
      </w:rPr>
    </w:lvl>
    <w:lvl w:ilvl="5" w:tplc="269C90FA" w:tentative="1">
      <w:start w:val="1"/>
      <w:numFmt w:val="bullet"/>
      <w:lvlText w:val="•"/>
      <w:lvlJc w:val="left"/>
      <w:pPr>
        <w:tabs>
          <w:tab w:val="num" w:pos="3960"/>
        </w:tabs>
        <w:ind w:left="3960" w:hanging="360"/>
      </w:pPr>
      <w:rPr>
        <w:rFonts w:ascii="Arial" w:hAnsi="Arial" w:hint="default"/>
      </w:rPr>
    </w:lvl>
    <w:lvl w:ilvl="6" w:tplc="4AD2A7B4" w:tentative="1">
      <w:start w:val="1"/>
      <w:numFmt w:val="bullet"/>
      <w:lvlText w:val="•"/>
      <w:lvlJc w:val="left"/>
      <w:pPr>
        <w:tabs>
          <w:tab w:val="num" w:pos="4680"/>
        </w:tabs>
        <w:ind w:left="4680" w:hanging="360"/>
      </w:pPr>
      <w:rPr>
        <w:rFonts w:ascii="Arial" w:hAnsi="Arial" w:hint="default"/>
      </w:rPr>
    </w:lvl>
    <w:lvl w:ilvl="7" w:tplc="48E4B996" w:tentative="1">
      <w:start w:val="1"/>
      <w:numFmt w:val="bullet"/>
      <w:lvlText w:val="•"/>
      <w:lvlJc w:val="left"/>
      <w:pPr>
        <w:tabs>
          <w:tab w:val="num" w:pos="5400"/>
        </w:tabs>
        <w:ind w:left="5400" w:hanging="360"/>
      </w:pPr>
      <w:rPr>
        <w:rFonts w:ascii="Arial" w:hAnsi="Arial" w:hint="default"/>
      </w:rPr>
    </w:lvl>
    <w:lvl w:ilvl="8" w:tplc="570278F0"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4C4C46F8"/>
    <w:multiLevelType w:val="hybridMultilevel"/>
    <w:tmpl w:val="C3008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1876D0D"/>
    <w:multiLevelType w:val="hybridMultilevel"/>
    <w:tmpl w:val="C78E1B5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3215895"/>
    <w:multiLevelType w:val="hybridMultilevel"/>
    <w:tmpl w:val="1D42B84E"/>
    <w:lvl w:ilvl="0" w:tplc="36023572">
      <w:start w:val="1"/>
      <w:numFmt w:val="bullet"/>
      <w:lvlText w:val="•"/>
      <w:lvlJc w:val="left"/>
      <w:pPr>
        <w:tabs>
          <w:tab w:val="num" w:pos="360"/>
        </w:tabs>
        <w:ind w:left="360" w:hanging="360"/>
      </w:pPr>
      <w:rPr>
        <w:rFonts w:ascii="Arial" w:hAnsi="Arial" w:hint="default"/>
      </w:rPr>
    </w:lvl>
    <w:lvl w:ilvl="1" w:tplc="C92C1DA0" w:tentative="1">
      <w:start w:val="1"/>
      <w:numFmt w:val="bullet"/>
      <w:lvlText w:val="•"/>
      <w:lvlJc w:val="left"/>
      <w:pPr>
        <w:tabs>
          <w:tab w:val="num" w:pos="1080"/>
        </w:tabs>
        <w:ind w:left="1080" w:hanging="360"/>
      </w:pPr>
      <w:rPr>
        <w:rFonts w:ascii="Arial" w:hAnsi="Arial" w:hint="default"/>
      </w:rPr>
    </w:lvl>
    <w:lvl w:ilvl="2" w:tplc="0A6C2916" w:tentative="1">
      <w:start w:val="1"/>
      <w:numFmt w:val="bullet"/>
      <w:lvlText w:val="•"/>
      <w:lvlJc w:val="left"/>
      <w:pPr>
        <w:tabs>
          <w:tab w:val="num" w:pos="1800"/>
        </w:tabs>
        <w:ind w:left="1800" w:hanging="360"/>
      </w:pPr>
      <w:rPr>
        <w:rFonts w:ascii="Arial" w:hAnsi="Arial" w:hint="default"/>
      </w:rPr>
    </w:lvl>
    <w:lvl w:ilvl="3" w:tplc="BA447104" w:tentative="1">
      <w:start w:val="1"/>
      <w:numFmt w:val="bullet"/>
      <w:lvlText w:val="•"/>
      <w:lvlJc w:val="left"/>
      <w:pPr>
        <w:tabs>
          <w:tab w:val="num" w:pos="2520"/>
        </w:tabs>
        <w:ind w:left="2520" w:hanging="360"/>
      </w:pPr>
      <w:rPr>
        <w:rFonts w:ascii="Arial" w:hAnsi="Arial" w:hint="default"/>
      </w:rPr>
    </w:lvl>
    <w:lvl w:ilvl="4" w:tplc="3992F2EA" w:tentative="1">
      <w:start w:val="1"/>
      <w:numFmt w:val="bullet"/>
      <w:lvlText w:val="•"/>
      <w:lvlJc w:val="left"/>
      <w:pPr>
        <w:tabs>
          <w:tab w:val="num" w:pos="3240"/>
        </w:tabs>
        <w:ind w:left="3240" w:hanging="360"/>
      </w:pPr>
      <w:rPr>
        <w:rFonts w:ascii="Arial" w:hAnsi="Arial" w:hint="default"/>
      </w:rPr>
    </w:lvl>
    <w:lvl w:ilvl="5" w:tplc="80EA2CF8" w:tentative="1">
      <w:start w:val="1"/>
      <w:numFmt w:val="bullet"/>
      <w:lvlText w:val="•"/>
      <w:lvlJc w:val="left"/>
      <w:pPr>
        <w:tabs>
          <w:tab w:val="num" w:pos="3960"/>
        </w:tabs>
        <w:ind w:left="3960" w:hanging="360"/>
      </w:pPr>
      <w:rPr>
        <w:rFonts w:ascii="Arial" w:hAnsi="Arial" w:hint="default"/>
      </w:rPr>
    </w:lvl>
    <w:lvl w:ilvl="6" w:tplc="AB2C64B4" w:tentative="1">
      <w:start w:val="1"/>
      <w:numFmt w:val="bullet"/>
      <w:lvlText w:val="•"/>
      <w:lvlJc w:val="left"/>
      <w:pPr>
        <w:tabs>
          <w:tab w:val="num" w:pos="4680"/>
        </w:tabs>
        <w:ind w:left="4680" w:hanging="360"/>
      </w:pPr>
      <w:rPr>
        <w:rFonts w:ascii="Arial" w:hAnsi="Arial" w:hint="default"/>
      </w:rPr>
    </w:lvl>
    <w:lvl w:ilvl="7" w:tplc="B9FA6240" w:tentative="1">
      <w:start w:val="1"/>
      <w:numFmt w:val="bullet"/>
      <w:lvlText w:val="•"/>
      <w:lvlJc w:val="left"/>
      <w:pPr>
        <w:tabs>
          <w:tab w:val="num" w:pos="5400"/>
        </w:tabs>
        <w:ind w:left="5400" w:hanging="360"/>
      </w:pPr>
      <w:rPr>
        <w:rFonts w:ascii="Arial" w:hAnsi="Arial" w:hint="default"/>
      </w:rPr>
    </w:lvl>
    <w:lvl w:ilvl="8" w:tplc="C7FC9096"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56553726"/>
    <w:multiLevelType w:val="hybridMultilevel"/>
    <w:tmpl w:val="D1A42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AD61056"/>
    <w:multiLevelType w:val="hybridMultilevel"/>
    <w:tmpl w:val="E7240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BC2764D"/>
    <w:multiLevelType w:val="hybridMultilevel"/>
    <w:tmpl w:val="4DF63E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C0740C5"/>
    <w:multiLevelType w:val="hybridMultilevel"/>
    <w:tmpl w:val="82B00864"/>
    <w:lvl w:ilvl="0" w:tplc="0C090017">
      <w:start w:val="1"/>
      <w:numFmt w:val="lowerLetter"/>
      <w:lvlText w:val="%1)"/>
      <w:lvlJc w:val="left"/>
      <w:pPr>
        <w:ind w:left="720" w:hanging="360"/>
      </w:pPr>
    </w:lvl>
    <w:lvl w:ilvl="1" w:tplc="488A26CE">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CB60E85"/>
    <w:multiLevelType w:val="hybridMultilevel"/>
    <w:tmpl w:val="709A3A7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5FB73CAC"/>
    <w:multiLevelType w:val="hybridMultilevel"/>
    <w:tmpl w:val="87D68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55" w15:restartNumberingAfterBreak="0">
    <w:nsid w:val="61B6600B"/>
    <w:multiLevelType w:val="hybridMultilevel"/>
    <w:tmpl w:val="A4667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23E3BE2"/>
    <w:multiLevelType w:val="hybridMultilevel"/>
    <w:tmpl w:val="EA8EDAB0"/>
    <w:lvl w:ilvl="0" w:tplc="2E9CA3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2436679"/>
    <w:multiLevelType w:val="hybridMultilevel"/>
    <w:tmpl w:val="026A09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59" w15:restartNumberingAfterBreak="0">
    <w:nsid w:val="66773D24"/>
    <w:multiLevelType w:val="hybridMultilevel"/>
    <w:tmpl w:val="C276D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D400D7"/>
    <w:multiLevelType w:val="hybridMultilevel"/>
    <w:tmpl w:val="A9D4CE90"/>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C7C2BE1"/>
    <w:multiLevelType w:val="hybridMultilevel"/>
    <w:tmpl w:val="2FD2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DD1361C"/>
    <w:multiLevelType w:val="multilevel"/>
    <w:tmpl w:val="00AAE512"/>
    <w:lvl w:ilvl="0">
      <w:start w:val="1"/>
      <w:numFmt w:val="bullet"/>
      <w:lvlText w:val=""/>
      <w:lvlJc w:val="left"/>
      <w:pPr>
        <w:ind w:left="680" w:hanging="340"/>
      </w:pPr>
      <w:rPr>
        <w:rFonts w:ascii="Symbol" w:hAnsi="Symbol" w:hint="default"/>
        <w:b w:val="0"/>
        <w:bCs/>
        <w:color w:val="auto"/>
      </w:rPr>
    </w:lvl>
    <w:lvl w:ilvl="1">
      <w:start w:val="1"/>
      <w:numFmt w:val="lowerLetter"/>
      <w:lvlText w:val="%2)"/>
      <w:lvlJc w:val="left"/>
      <w:pPr>
        <w:ind w:left="1020" w:hanging="340"/>
      </w:pPr>
      <w:rPr>
        <w:rFonts w:hint="default"/>
      </w:rPr>
    </w:lvl>
    <w:lvl w:ilvl="2">
      <w:start w:val="1"/>
      <w:numFmt w:val="lowerRoman"/>
      <w:lvlText w:val="%3)"/>
      <w:lvlJc w:val="left"/>
      <w:pPr>
        <w:ind w:left="1360" w:hanging="340"/>
      </w:pPr>
      <w:rPr>
        <w:rFonts w:hint="default"/>
      </w:rPr>
    </w:lvl>
    <w:lvl w:ilvl="3">
      <w:start w:val="1"/>
      <w:numFmt w:val="decimal"/>
      <w:lvlText w:val="(%4)"/>
      <w:lvlJc w:val="left"/>
      <w:pPr>
        <w:ind w:left="1700" w:hanging="340"/>
      </w:pPr>
      <w:rPr>
        <w:rFonts w:hint="default"/>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63" w15:restartNumberingAfterBreak="0">
    <w:nsid w:val="6E5F0E99"/>
    <w:multiLevelType w:val="hybridMultilevel"/>
    <w:tmpl w:val="C78E1B5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F23718A"/>
    <w:multiLevelType w:val="hybridMultilevel"/>
    <w:tmpl w:val="FC84F4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FD62A85"/>
    <w:multiLevelType w:val="hybridMultilevel"/>
    <w:tmpl w:val="D8D64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8246D8"/>
    <w:multiLevelType w:val="hybridMultilevel"/>
    <w:tmpl w:val="411EA68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7" w15:restartNumberingAfterBreak="0">
    <w:nsid w:val="7658585A"/>
    <w:multiLevelType w:val="hybridMultilevel"/>
    <w:tmpl w:val="633ECA5C"/>
    <w:lvl w:ilvl="0" w:tplc="A81E2548">
      <w:start w:val="1"/>
      <w:numFmt w:val="bullet"/>
      <w:lvlText w:val="•"/>
      <w:lvlJc w:val="left"/>
      <w:pPr>
        <w:tabs>
          <w:tab w:val="num" w:pos="360"/>
        </w:tabs>
        <w:ind w:left="360" w:hanging="360"/>
      </w:pPr>
      <w:rPr>
        <w:rFonts w:ascii="Arial" w:hAnsi="Arial" w:hint="default"/>
      </w:rPr>
    </w:lvl>
    <w:lvl w:ilvl="1" w:tplc="B8169828" w:tentative="1">
      <w:start w:val="1"/>
      <w:numFmt w:val="bullet"/>
      <w:lvlText w:val="•"/>
      <w:lvlJc w:val="left"/>
      <w:pPr>
        <w:tabs>
          <w:tab w:val="num" w:pos="1080"/>
        </w:tabs>
        <w:ind w:left="1080" w:hanging="360"/>
      </w:pPr>
      <w:rPr>
        <w:rFonts w:ascii="Arial" w:hAnsi="Arial" w:hint="default"/>
      </w:rPr>
    </w:lvl>
    <w:lvl w:ilvl="2" w:tplc="AD50570A" w:tentative="1">
      <w:start w:val="1"/>
      <w:numFmt w:val="bullet"/>
      <w:lvlText w:val="•"/>
      <w:lvlJc w:val="left"/>
      <w:pPr>
        <w:tabs>
          <w:tab w:val="num" w:pos="1800"/>
        </w:tabs>
        <w:ind w:left="1800" w:hanging="360"/>
      </w:pPr>
      <w:rPr>
        <w:rFonts w:ascii="Arial" w:hAnsi="Arial" w:hint="default"/>
      </w:rPr>
    </w:lvl>
    <w:lvl w:ilvl="3" w:tplc="839C997E" w:tentative="1">
      <w:start w:val="1"/>
      <w:numFmt w:val="bullet"/>
      <w:lvlText w:val="•"/>
      <w:lvlJc w:val="left"/>
      <w:pPr>
        <w:tabs>
          <w:tab w:val="num" w:pos="2520"/>
        </w:tabs>
        <w:ind w:left="2520" w:hanging="360"/>
      </w:pPr>
      <w:rPr>
        <w:rFonts w:ascii="Arial" w:hAnsi="Arial" w:hint="default"/>
      </w:rPr>
    </w:lvl>
    <w:lvl w:ilvl="4" w:tplc="2092E612" w:tentative="1">
      <w:start w:val="1"/>
      <w:numFmt w:val="bullet"/>
      <w:lvlText w:val="•"/>
      <w:lvlJc w:val="left"/>
      <w:pPr>
        <w:tabs>
          <w:tab w:val="num" w:pos="3240"/>
        </w:tabs>
        <w:ind w:left="3240" w:hanging="360"/>
      </w:pPr>
      <w:rPr>
        <w:rFonts w:ascii="Arial" w:hAnsi="Arial" w:hint="default"/>
      </w:rPr>
    </w:lvl>
    <w:lvl w:ilvl="5" w:tplc="C69CDBD8" w:tentative="1">
      <w:start w:val="1"/>
      <w:numFmt w:val="bullet"/>
      <w:lvlText w:val="•"/>
      <w:lvlJc w:val="left"/>
      <w:pPr>
        <w:tabs>
          <w:tab w:val="num" w:pos="3960"/>
        </w:tabs>
        <w:ind w:left="3960" w:hanging="360"/>
      </w:pPr>
      <w:rPr>
        <w:rFonts w:ascii="Arial" w:hAnsi="Arial" w:hint="default"/>
      </w:rPr>
    </w:lvl>
    <w:lvl w:ilvl="6" w:tplc="6608BC0A" w:tentative="1">
      <w:start w:val="1"/>
      <w:numFmt w:val="bullet"/>
      <w:lvlText w:val="•"/>
      <w:lvlJc w:val="left"/>
      <w:pPr>
        <w:tabs>
          <w:tab w:val="num" w:pos="4680"/>
        </w:tabs>
        <w:ind w:left="4680" w:hanging="360"/>
      </w:pPr>
      <w:rPr>
        <w:rFonts w:ascii="Arial" w:hAnsi="Arial" w:hint="default"/>
      </w:rPr>
    </w:lvl>
    <w:lvl w:ilvl="7" w:tplc="7FCC5542" w:tentative="1">
      <w:start w:val="1"/>
      <w:numFmt w:val="bullet"/>
      <w:lvlText w:val="•"/>
      <w:lvlJc w:val="left"/>
      <w:pPr>
        <w:tabs>
          <w:tab w:val="num" w:pos="5400"/>
        </w:tabs>
        <w:ind w:left="5400" w:hanging="360"/>
      </w:pPr>
      <w:rPr>
        <w:rFonts w:ascii="Arial" w:hAnsi="Arial" w:hint="default"/>
      </w:rPr>
    </w:lvl>
    <w:lvl w:ilvl="8" w:tplc="3026A546" w:tentative="1">
      <w:start w:val="1"/>
      <w:numFmt w:val="bullet"/>
      <w:lvlText w:val="•"/>
      <w:lvlJc w:val="left"/>
      <w:pPr>
        <w:tabs>
          <w:tab w:val="num" w:pos="6120"/>
        </w:tabs>
        <w:ind w:left="6120" w:hanging="360"/>
      </w:pPr>
      <w:rPr>
        <w:rFonts w:ascii="Arial" w:hAnsi="Arial" w:hint="default"/>
      </w:rPr>
    </w:lvl>
  </w:abstractNum>
  <w:num w:numId="1" w16cid:durableId="7013238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674409">
    <w:abstractNumId w:val="22"/>
  </w:num>
  <w:num w:numId="3" w16cid:durableId="805775569">
    <w:abstractNumId w:val="3"/>
  </w:num>
  <w:num w:numId="4" w16cid:durableId="1985158515">
    <w:abstractNumId w:val="2"/>
  </w:num>
  <w:num w:numId="5" w16cid:durableId="1257902789">
    <w:abstractNumId w:val="1"/>
  </w:num>
  <w:num w:numId="6" w16cid:durableId="651376360">
    <w:abstractNumId w:val="0"/>
  </w:num>
  <w:num w:numId="7" w16cid:durableId="1286738956">
    <w:abstractNumId w:val="41"/>
  </w:num>
  <w:num w:numId="8" w16cid:durableId="140932179">
    <w:abstractNumId w:val="39"/>
  </w:num>
  <w:num w:numId="9" w16cid:durableId="374157628">
    <w:abstractNumId w:val="54"/>
  </w:num>
  <w:num w:numId="10" w16cid:durableId="1600721795">
    <w:abstractNumId w:val="15"/>
  </w:num>
  <w:num w:numId="11" w16cid:durableId="1263688205">
    <w:abstractNumId w:val="10"/>
  </w:num>
  <w:num w:numId="12" w16cid:durableId="1510094704">
    <w:abstractNumId w:val="6"/>
  </w:num>
  <w:num w:numId="13" w16cid:durableId="1828740098">
    <w:abstractNumId w:val="38"/>
  </w:num>
  <w:num w:numId="14" w16cid:durableId="1699089418">
    <w:abstractNumId w:val="35"/>
  </w:num>
  <w:num w:numId="15" w16cid:durableId="1546989901">
    <w:abstractNumId w:val="58"/>
  </w:num>
  <w:num w:numId="16" w16cid:durableId="567883741">
    <w:abstractNumId w:val="17"/>
  </w:num>
  <w:num w:numId="17" w16cid:durableId="340469071">
    <w:abstractNumId w:val="25"/>
  </w:num>
  <w:num w:numId="18" w16cid:durableId="707223154">
    <w:abstractNumId w:val="29"/>
  </w:num>
  <w:num w:numId="19" w16cid:durableId="625114082">
    <w:abstractNumId w:val="59"/>
  </w:num>
  <w:num w:numId="20" w16cid:durableId="1313170046">
    <w:abstractNumId w:val="33"/>
  </w:num>
  <w:num w:numId="21" w16cid:durableId="594631249">
    <w:abstractNumId w:val="37"/>
  </w:num>
  <w:num w:numId="22" w16cid:durableId="1870750875">
    <w:abstractNumId w:val="56"/>
  </w:num>
  <w:num w:numId="23" w16cid:durableId="2144343620">
    <w:abstractNumId w:val="53"/>
  </w:num>
  <w:num w:numId="24" w16cid:durableId="1893884396">
    <w:abstractNumId w:val="12"/>
  </w:num>
  <w:num w:numId="25" w16cid:durableId="1831866220">
    <w:abstractNumId w:val="28"/>
  </w:num>
  <w:num w:numId="26" w16cid:durableId="1871261504">
    <w:abstractNumId w:val="49"/>
  </w:num>
  <w:num w:numId="27" w16cid:durableId="1000624815">
    <w:abstractNumId w:val="61"/>
  </w:num>
  <w:num w:numId="28" w16cid:durableId="1760444168">
    <w:abstractNumId w:val="66"/>
  </w:num>
  <w:num w:numId="29" w16cid:durableId="21256119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6811918">
    <w:abstractNumId w:val="55"/>
  </w:num>
  <w:num w:numId="31" w16cid:durableId="2139645977">
    <w:abstractNumId w:val="14"/>
  </w:num>
  <w:num w:numId="32" w16cid:durableId="1408920262">
    <w:abstractNumId w:val="65"/>
  </w:num>
  <w:num w:numId="33" w16cid:durableId="206139954">
    <w:abstractNumId w:val="57"/>
  </w:num>
  <w:num w:numId="34" w16cid:durableId="909122704">
    <w:abstractNumId w:val="32"/>
  </w:num>
  <w:num w:numId="35" w16cid:durableId="1178888656">
    <w:abstractNumId w:val="62"/>
  </w:num>
  <w:num w:numId="36" w16cid:durableId="1096556156">
    <w:abstractNumId w:val="9"/>
  </w:num>
  <w:num w:numId="37" w16cid:durableId="1787581928">
    <w:abstractNumId w:val="30"/>
  </w:num>
  <w:num w:numId="38" w16cid:durableId="1697193111">
    <w:abstractNumId w:val="16"/>
  </w:num>
  <w:num w:numId="39" w16cid:durableId="874082083">
    <w:abstractNumId w:val="44"/>
  </w:num>
  <w:num w:numId="40" w16cid:durableId="1031957341">
    <w:abstractNumId w:val="23"/>
  </w:num>
  <w:num w:numId="41" w16cid:durableId="262955473">
    <w:abstractNumId w:val="18"/>
  </w:num>
  <w:num w:numId="42" w16cid:durableId="1521577741">
    <w:abstractNumId w:val="40"/>
  </w:num>
  <w:num w:numId="43" w16cid:durableId="1480878964">
    <w:abstractNumId w:val="5"/>
  </w:num>
  <w:num w:numId="44" w16cid:durableId="10596722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6273929">
    <w:abstractNumId w:val="46"/>
  </w:num>
  <w:num w:numId="46" w16cid:durableId="998968035">
    <w:abstractNumId w:val="48"/>
  </w:num>
  <w:num w:numId="47" w16cid:durableId="1541554713">
    <w:abstractNumId w:val="63"/>
  </w:num>
  <w:num w:numId="48" w16cid:durableId="1801000628">
    <w:abstractNumId w:val="36"/>
  </w:num>
  <w:num w:numId="49" w16cid:durableId="3314933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3852983">
    <w:abstractNumId w:val="11"/>
  </w:num>
  <w:num w:numId="51" w16cid:durableId="977416152">
    <w:abstractNumId w:val="51"/>
  </w:num>
  <w:num w:numId="52" w16cid:durableId="1989507756">
    <w:abstractNumId w:val="64"/>
  </w:num>
  <w:num w:numId="53" w16cid:durableId="739443119">
    <w:abstractNumId w:val="52"/>
  </w:num>
  <w:num w:numId="54" w16cid:durableId="868570892">
    <w:abstractNumId w:val="26"/>
  </w:num>
  <w:num w:numId="55" w16cid:durableId="521435506">
    <w:abstractNumId w:val="4"/>
  </w:num>
  <w:num w:numId="56" w16cid:durableId="1251354029">
    <w:abstractNumId w:val="34"/>
  </w:num>
  <w:num w:numId="57" w16cid:durableId="752748668">
    <w:abstractNumId w:val="20"/>
  </w:num>
  <w:num w:numId="58" w16cid:durableId="2089495109">
    <w:abstractNumId w:val="60"/>
  </w:num>
  <w:num w:numId="59" w16cid:durableId="1208445607">
    <w:abstractNumId w:val="31"/>
  </w:num>
  <w:num w:numId="60" w16cid:durableId="3984839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440986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03956669">
    <w:abstractNumId w:val="27"/>
  </w:num>
  <w:num w:numId="63" w16cid:durableId="1453477226">
    <w:abstractNumId w:val="8"/>
  </w:num>
  <w:num w:numId="64" w16cid:durableId="1502042621">
    <w:abstractNumId w:val="67"/>
  </w:num>
  <w:num w:numId="65" w16cid:durableId="1791169925">
    <w:abstractNumId w:val="24"/>
  </w:num>
  <w:num w:numId="66" w16cid:durableId="930117885">
    <w:abstractNumId w:val="13"/>
  </w:num>
  <w:num w:numId="67" w16cid:durableId="561020557">
    <w:abstractNumId w:val="21"/>
  </w:num>
  <w:num w:numId="68" w16cid:durableId="136458438">
    <w:abstractNumId w:val="42"/>
  </w:num>
  <w:num w:numId="69" w16cid:durableId="1600527182">
    <w:abstractNumId w:val="47"/>
  </w:num>
  <w:num w:numId="70" w16cid:durableId="1817257154">
    <w:abstractNumId w:val="7"/>
  </w:num>
  <w:num w:numId="71" w16cid:durableId="1792475494">
    <w:abstractNumId w:val="43"/>
  </w:num>
  <w:num w:numId="72" w16cid:durableId="8955102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64693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3400784">
    <w:abstractNumId w:val="19"/>
  </w:num>
  <w:num w:numId="75" w16cid:durableId="16701329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418917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418158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070051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972889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957270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381119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347263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512740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994364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975129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027545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744017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316144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625668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313704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731625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541744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3090877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3251608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080846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631377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7824582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0947452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902666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588760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937372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109708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720040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564470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792765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124462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7062166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40567901">
    <w:abstractNumId w:val="5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138"/>
    <w:rsid w:val="00000430"/>
    <w:rsid w:val="000005FE"/>
    <w:rsid w:val="00000607"/>
    <w:rsid w:val="0000060E"/>
    <w:rsid w:val="000006DC"/>
    <w:rsid w:val="0000077A"/>
    <w:rsid w:val="00000848"/>
    <w:rsid w:val="00000A26"/>
    <w:rsid w:val="00000BDB"/>
    <w:rsid w:val="00000C4E"/>
    <w:rsid w:val="0000100A"/>
    <w:rsid w:val="00001115"/>
    <w:rsid w:val="0000131E"/>
    <w:rsid w:val="000013B5"/>
    <w:rsid w:val="000016B7"/>
    <w:rsid w:val="00001B4C"/>
    <w:rsid w:val="00001BCD"/>
    <w:rsid w:val="00002245"/>
    <w:rsid w:val="0000261D"/>
    <w:rsid w:val="00002793"/>
    <w:rsid w:val="000029D4"/>
    <w:rsid w:val="000029DF"/>
    <w:rsid w:val="00002AD6"/>
    <w:rsid w:val="00002BEF"/>
    <w:rsid w:val="00002CF9"/>
    <w:rsid w:val="00002F66"/>
    <w:rsid w:val="00002FF1"/>
    <w:rsid w:val="0000318E"/>
    <w:rsid w:val="000033DD"/>
    <w:rsid w:val="000034F7"/>
    <w:rsid w:val="000035E7"/>
    <w:rsid w:val="00003734"/>
    <w:rsid w:val="000037CF"/>
    <w:rsid w:val="0000385C"/>
    <w:rsid w:val="000038C5"/>
    <w:rsid w:val="00003928"/>
    <w:rsid w:val="0000394C"/>
    <w:rsid w:val="00003A85"/>
    <w:rsid w:val="00003E4E"/>
    <w:rsid w:val="00003FAE"/>
    <w:rsid w:val="00004288"/>
    <w:rsid w:val="00004291"/>
    <w:rsid w:val="00004293"/>
    <w:rsid w:val="000043FB"/>
    <w:rsid w:val="000044DC"/>
    <w:rsid w:val="000045F1"/>
    <w:rsid w:val="00004D4D"/>
    <w:rsid w:val="00004E67"/>
    <w:rsid w:val="00005140"/>
    <w:rsid w:val="0000534D"/>
    <w:rsid w:val="000053F8"/>
    <w:rsid w:val="00005722"/>
    <w:rsid w:val="00005832"/>
    <w:rsid w:val="000058E2"/>
    <w:rsid w:val="00005C62"/>
    <w:rsid w:val="00005D20"/>
    <w:rsid w:val="00005DF5"/>
    <w:rsid w:val="00005E3C"/>
    <w:rsid w:val="00005E5A"/>
    <w:rsid w:val="00006008"/>
    <w:rsid w:val="000063C9"/>
    <w:rsid w:val="00006405"/>
    <w:rsid w:val="000064EB"/>
    <w:rsid w:val="000066A7"/>
    <w:rsid w:val="0000696A"/>
    <w:rsid w:val="00006995"/>
    <w:rsid w:val="00006C00"/>
    <w:rsid w:val="00006E64"/>
    <w:rsid w:val="00006F46"/>
    <w:rsid w:val="0000708E"/>
    <w:rsid w:val="000072C9"/>
    <w:rsid w:val="000073EC"/>
    <w:rsid w:val="00007590"/>
    <w:rsid w:val="0000760B"/>
    <w:rsid w:val="000076BD"/>
    <w:rsid w:val="000077A2"/>
    <w:rsid w:val="0000782E"/>
    <w:rsid w:val="00007985"/>
    <w:rsid w:val="00007C0B"/>
    <w:rsid w:val="00007F08"/>
    <w:rsid w:val="00007F81"/>
    <w:rsid w:val="00007FD8"/>
    <w:rsid w:val="000101A1"/>
    <w:rsid w:val="000101FC"/>
    <w:rsid w:val="00010298"/>
    <w:rsid w:val="0001030B"/>
    <w:rsid w:val="00010427"/>
    <w:rsid w:val="00010755"/>
    <w:rsid w:val="00010782"/>
    <w:rsid w:val="00010937"/>
    <w:rsid w:val="00010A52"/>
    <w:rsid w:val="00010C93"/>
    <w:rsid w:val="00010CBE"/>
    <w:rsid w:val="00010D74"/>
    <w:rsid w:val="0001106C"/>
    <w:rsid w:val="0001118F"/>
    <w:rsid w:val="0001153A"/>
    <w:rsid w:val="0001161A"/>
    <w:rsid w:val="000116B0"/>
    <w:rsid w:val="000116E1"/>
    <w:rsid w:val="00011837"/>
    <w:rsid w:val="0001194D"/>
    <w:rsid w:val="000119BA"/>
    <w:rsid w:val="00011B1B"/>
    <w:rsid w:val="00011B89"/>
    <w:rsid w:val="00011E6F"/>
    <w:rsid w:val="00012069"/>
    <w:rsid w:val="0001207C"/>
    <w:rsid w:val="00012377"/>
    <w:rsid w:val="000124A3"/>
    <w:rsid w:val="000127A9"/>
    <w:rsid w:val="00012E7E"/>
    <w:rsid w:val="00012F43"/>
    <w:rsid w:val="000131A3"/>
    <w:rsid w:val="00013302"/>
    <w:rsid w:val="00013470"/>
    <w:rsid w:val="00013608"/>
    <w:rsid w:val="00013B44"/>
    <w:rsid w:val="00013B61"/>
    <w:rsid w:val="00013C25"/>
    <w:rsid w:val="00013C29"/>
    <w:rsid w:val="00013C45"/>
    <w:rsid w:val="00013DE2"/>
    <w:rsid w:val="00013F1E"/>
    <w:rsid w:val="00013FE6"/>
    <w:rsid w:val="000140E5"/>
    <w:rsid w:val="000141CC"/>
    <w:rsid w:val="000142D6"/>
    <w:rsid w:val="0001446A"/>
    <w:rsid w:val="00014496"/>
    <w:rsid w:val="000144F8"/>
    <w:rsid w:val="00014611"/>
    <w:rsid w:val="000148A9"/>
    <w:rsid w:val="0001490A"/>
    <w:rsid w:val="00014944"/>
    <w:rsid w:val="00014976"/>
    <w:rsid w:val="00014B89"/>
    <w:rsid w:val="00014C5E"/>
    <w:rsid w:val="00014C75"/>
    <w:rsid w:val="00014E48"/>
    <w:rsid w:val="000150C5"/>
    <w:rsid w:val="00015141"/>
    <w:rsid w:val="00015299"/>
    <w:rsid w:val="000152EC"/>
    <w:rsid w:val="00015518"/>
    <w:rsid w:val="00015524"/>
    <w:rsid w:val="0001558E"/>
    <w:rsid w:val="00015593"/>
    <w:rsid w:val="00015663"/>
    <w:rsid w:val="000156A2"/>
    <w:rsid w:val="0001586E"/>
    <w:rsid w:val="00015A55"/>
    <w:rsid w:val="00015AD7"/>
    <w:rsid w:val="00015B37"/>
    <w:rsid w:val="00015C54"/>
    <w:rsid w:val="000161F3"/>
    <w:rsid w:val="00016473"/>
    <w:rsid w:val="00016503"/>
    <w:rsid w:val="00016BD4"/>
    <w:rsid w:val="00016CD9"/>
    <w:rsid w:val="00016CE3"/>
    <w:rsid w:val="00016D34"/>
    <w:rsid w:val="00016D6D"/>
    <w:rsid w:val="00016EA1"/>
    <w:rsid w:val="00016EE8"/>
    <w:rsid w:val="00016F7B"/>
    <w:rsid w:val="000170EA"/>
    <w:rsid w:val="000172C7"/>
    <w:rsid w:val="000173B3"/>
    <w:rsid w:val="000173B9"/>
    <w:rsid w:val="00017470"/>
    <w:rsid w:val="000175F0"/>
    <w:rsid w:val="000176CF"/>
    <w:rsid w:val="000178A9"/>
    <w:rsid w:val="00017A93"/>
    <w:rsid w:val="00017B49"/>
    <w:rsid w:val="00017C94"/>
    <w:rsid w:val="00020034"/>
    <w:rsid w:val="000201EB"/>
    <w:rsid w:val="00020297"/>
    <w:rsid w:val="0002034C"/>
    <w:rsid w:val="00020354"/>
    <w:rsid w:val="000203C3"/>
    <w:rsid w:val="000203D9"/>
    <w:rsid w:val="00020475"/>
    <w:rsid w:val="00020734"/>
    <w:rsid w:val="00020782"/>
    <w:rsid w:val="000208F4"/>
    <w:rsid w:val="00020A04"/>
    <w:rsid w:val="00020A2C"/>
    <w:rsid w:val="00020A42"/>
    <w:rsid w:val="00020B10"/>
    <w:rsid w:val="00020B93"/>
    <w:rsid w:val="00020BB0"/>
    <w:rsid w:val="00020D44"/>
    <w:rsid w:val="00020EDE"/>
    <w:rsid w:val="00021115"/>
    <w:rsid w:val="00021224"/>
    <w:rsid w:val="00021240"/>
    <w:rsid w:val="0002165C"/>
    <w:rsid w:val="0002169A"/>
    <w:rsid w:val="000216A5"/>
    <w:rsid w:val="000216A7"/>
    <w:rsid w:val="0002194C"/>
    <w:rsid w:val="0002195D"/>
    <w:rsid w:val="00021A39"/>
    <w:rsid w:val="00021CC3"/>
    <w:rsid w:val="00021DC1"/>
    <w:rsid w:val="00021E0B"/>
    <w:rsid w:val="00021E12"/>
    <w:rsid w:val="00021E79"/>
    <w:rsid w:val="00021F4B"/>
    <w:rsid w:val="0002210B"/>
    <w:rsid w:val="000222B0"/>
    <w:rsid w:val="000223ED"/>
    <w:rsid w:val="00022492"/>
    <w:rsid w:val="00022A32"/>
    <w:rsid w:val="00022D52"/>
    <w:rsid w:val="00022F0B"/>
    <w:rsid w:val="00023109"/>
    <w:rsid w:val="0002318F"/>
    <w:rsid w:val="000232C2"/>
    <w:rsid w:val="0002355E"/>
    <w:rsid w:val="00023790"/>
    <w:rsid w:val="000238A2"/>
    <w:rsid w:val="000239C5"/>
    <w:rsid w:val="00023B6D"/>
    <w:rsid w:val="00023BD3"/>
    <w:rsid w:val="00023C63"/>
    <w:rsid w:val="00023E15"/>
    <w:rsid w:val="00023E5E"/>
    <w:rsid w:val="00023E99"/>
    <w:rsid w:val="00023F22"/>
    <w:rsid w:val="00023FB5"/>
    <w:rsid w:val="00023FF4"/>
    <w:rsid w:val="000245CA"/>
    <w:rsid w:val="00024785"/>
    <w:rsid w:val="00024B74"/>
    <w:rsid w:val="00024B76"/>
    <w:rsid w:val="00024F0C"/>
    <w:rsid w:val="00025277"/>
    <w:rsid w:val="00025710"/>
    <w:rsid w:val="00025719"/>
    <w:rsid w:val="00025870"/>
    <w:rsid w:val="00025883"/>
    <w:rsid w:val="00025931"/>
    <w:rsid w:val="00025AE1"/>
    <w:rsid w:val="00025E7D"/>
    <w:rsid w:val="00025E86"/>
    <w:rsid w:val="00025EF6"/>
    <w:rsid w:val="00025FFA"/>
    <w:rsid w:val="00026053"/>
    <w:rsid w:val="000260F7"/>
    <w:rsid w:val="0002641C"/>
    <w:rsid w:val="00026453"/>
    <w:rsid w:val="000264B5"/>
    <w:rsid w:val="000267CC"/>
    <w:rsid w:val="000267FE"/>
    <w:rsid w:val="0002682A"/>
    <w:rsid w:val="00027807"/>
    <w:rsid w:val="0002782C"/>
    <w:rsid w:val="000278E1"/>
    <w:rsid w:val="000278E7"/>
    <w:rsid w:val="00027A7B"/>
    <w:rsid w:val="00027A90"/>
    <w:rsid w:val="00027C99"/>
    <w:rsid w:val="00027D0C"/>
    <w:rsid w:val="00030033"/>
    <w:rsid w:val="00030434"/>
    <w:rsid w:val="00030667"/>
    <w:rsid w:val="000307CC"/>
    <w:rsid w:val="0003091C"/>
    <w:rsid w:val="00030E78"/>
    <w:rsid w:val="00030FAD"/>
    <w:rsid w:val="00031008"/>
    <w:rsid w:val="000310A9"/>
    <w:rsid w:val="0003115C"/>
    <w:rsid w:val="00031289"/>
    <w:rsid w:val="00031417"/>
    <w:rsid w:val="00031724"/>
    <w:rsid w:val="00031732"/>
    <w:rsid w:val="00031CBD"/>
    <w:rsid w:val="00031D87"/>
    <w:rsid w:val="00031DDF"/>
    <w:rsid w:val="00031F08"/>
    <w:rsid w:val="00031F42"/>
    <w:rsid w:val="00031F7A"/>
    <w:rsid w:val="000320EF"/>
    <w:rsid w:val="000321A0"/>
    <w:rsid w:val="0003223F"/>
    <w:rsid w:val="00032812"/>
    <w:rsid w:val="000329E2"/>
    <w:rsid w:val="00032B30"/>
    <w:rsid w:val="00032C89"/>
    <w:rsid w:val="00032D17"/>
    <w:rsid w:val="00032E21"/>
    <w:rsid w:val="00032ED0"/>
    <w:rsid w:val="0003311E"/>
    <w:rsid w:val="00033378"/>
    <w:rsid w:val="000335E3"/>
    <w:rsid w:val="000336E4"/>
    <w:rsid w:val="000338EB"/>
    <w:rsid w:val="00033943"/>
    <w:rsid w:val="00033B46"/>
    <w:rsid w:val="00033DB7"/>
    <w:rsid w:val="000340F5"/>
    <w:rsid w:val="00034160"/>
    <w:rsid w:val="00034212"/>
    <w:rsid w:val="00034283"/>
    <w:rsid w:val="0003432A"/>
    <w:rsid w:val="00034335"/>
    <w:rsid w:val="00034441"/>
    <w:rsid w:val="000344F0"/>
    <w:rsid w:val="000345B7"/>
    <w:rsid w:val="00034743"/>
    <w:rsid w:val="00034A3A"/>
    <w:rsid w:val="00034CB5"/>
    <w:rsid w:val="00034D9B"/>
    <w:rsid w:val="00034E55"/>
    <w:rsid w:val="00034F72"/>
    <w:rsid w:val="00035189"/>
    <w:rsid w:val="00035316"/>
    <w:rsid w:val="0003534B"/>
    <w:rsid w:val="00035863"/>
    <w:rsid w:val="0003586E"/>
    <w:rsid w:val="00035B6B"/>
    <w:rsid w:val="00035B7D"/>
    <w:rsid w:val="00035D60"/>
    <w:rsid w:val="00035DBA"/>
    <w:rsid w:val="00035F10"/>
    <w:rsid w:val="00035F3E"/>
    <w:rsid w:val="00035F8D"/>
    <w:rsid w:val="00036227"/>
    <w:rsid w:val="0003648B"/>
    <w:rsid w:val="00036781"/>
    <w:rsid w:val="000367C8"/>
    <w:rsid w:val="00036A68"/>
    <w:rsid w:val="00036B90"/>
    <w:rsid w:val="00036C75"/>
    <w:rsid w:val="00036CA2"/>
    <w:rsid w:val="00036D2F"/>
    <w:rsid w:val="00036DAD"/>
    <w:rsid w:val="00036ED2"/>
    <w:rsid w:val="00036F3F"/>
    <w:rsid w:val="000374B2"/>
    <w:rsid w:val="0003750F"/>
    <w:rsid w:val="0003764F"/>
    <w:rsid w:val="000378F5"/>
    <w:rsid w:val="00037C17"/>
    <w:rsid w:val="00037CAB"/>
    <w:rsid w:val="00037DD0"/>
    <w:rsid w:val="00037E6C"/>
    <w:rsid w:val="00037E7E"/>
    <w:rsid w:val="00037EB0"/>
    <w:rsid w:val="00037FAE"/>
    <w:rsid w:val="00040323"/>
    <w:rsid w:val="000403B8"/>
    <w:rsid w:val="0004049C"/>
    <w:rsid w:val="00040661"/>
    <w:rsid w:val="00040CEC"/>
    <w:rsid w:val="00040E1C"/>
    <w:rsid w:val="000411F2"/>
    <w:rsid w:val="00041602"/>
    <w:rsid w:val="00041867"/>
    <w:rsid w:val="00041977"/>
    <w:rsid w:val="00041CF1"/>
    <w:rsid w:val="00041DA2"/>
    <w:rsid w:val="00041DB4"/>
    <w:rsid w:val="00042415"/>
    <w:rsid w:val="00042690"/>
    <w:rsid w:val="000429AC"/>
    <w:rsid w:val="00042B6A"/>
    <w:rsid w:val="00042B99"/>
    <w:rsid w:val="00042BAB"/>
    <w:rsid w:val="00042C70"/>
    <w:rsid w:val="00042E09"/>
    <w:rsid w:val="00042E3A"/>
    <w:rsid w:val="00043086"/>
    <w:rsid w:val="000433CF"/>
    <w:rsid w:val="000433F7"/>
    <w:rsid w:val="000434C0"/>
    <w:rsid w:val="000435E4"/>
    <w:rsid w:val="0004367C"/>
    <w:rsid w:val="0004377E"/>
    <w:rsid w:val="00043921"/>
    <w:rsid w:val="00043A76"/>
    <w:rsid w:val="00043B7F"/>
    <w:rsid w:val="00043BFC"/>
    <w:rsid w:val="00043EC7"/>
    <w:rsid w:val="000441EB"/>
    <w:rsid w:val="000441F3"/>
    <w:rsid w:val="00044410"/>
    <w:rsid w:val="000447EB"/>
    <w:rsid w:val="00044811"/>
    <w:rsid w:val="00044854"/>
    <w:rsid w:val="000448BA"/>
    <w:rsid w:val="000448CB"/>
    <w:rsid w:val="0004497B"/>
    <w:rsid w:val="00044998"/>
    <w:rsid w:val="00044CA6"/>
    <w:rsid w:val="00044D42"/>
    <w:rsid w:val="00044DDD"/>
    <w:rsid w:val="00044F9A"/>
    <w:rsid w:val="00044FA5"/>
    <w:rsid w:val="000452A1"/>
    <w:rsid w:val="000452D9"/>
    <w:rsid w:val="0004531E"/>
    <w:rsid w:val="000454D0"/>
    <w:rsid w:val="000457C7"/>
    <w:rsid w:val="000459D8"/>
    <w:rsid w:val="00045BF8"/>
    <w:rsid w:val="00045CDC"/>
    <w:rsid w:val="00045ECD"/>
    <w:rsid w:val="00045FCF"/>
    <w:rsid w:val="00046149"/>
    <w:rsid w:val="0004634D"/>
    <w:rsid w:val="00046446"/>
    <w:rsid w:val="0004651D"/>
    <w:rsid w:val="000466B1"/>
    <w:rsid w:val="0004683D"/>
    <w:rsid w:val="00046AC6"/>
    <w:rsid w:val="00046E53"/>
    <w:rsid w:val="0004706F"/>
    <w:rsid w:val="00047123"/>
    <w:rsid w:val="00047319"/>
    <w:rsid w:val="00047A02"/>
    <w:rsid w:val="00047F10"/>
    <w:rsid w:val="00047F28"/>
    <w:rsid w:val="00047F5A"/>
    <w:rsid w:val="00047F73"/>
    <w:rsid w:val="00047FB4"/>
    <w:rsid w:val="00047FBE"/>
    <w:rsid w:val="00050020"/>
    <w:rsid w:val="0005013C"/>
    <w:rsid w:val="00050281"/>
    <w:rsid w:val="0005043D"/>
    <w:rsid w:val="00050461"/>
    <w:rsid w:val="000506E6"/>
    <w:rsid w:val="00050A1E"/>
    <w:rsid w:val="00050AE9"/>
    <w:rsid w:val="0005100D"/>
    <w:rsid w:val="00051276"/>
    <w:rsid w:val="00051444"/>
    <w:rsid w:val="0005158A"/>
    <w:rsid w:val="0005169B"/>
    <w:rsid w:val="000516C4"/>
    <w:rsid w:val="000517C0"/>
    <w:rsid w:val="00051830"/>
    <w:rsid w:val="0005187F"/>
    <w:rsid w:val="00051969"/>
    <w:rsid w:val="00051993"/>
    <w:rsid w:val="00051A43"/>
    <w:rsid w:val="00051AC8"/>
    <w:rsid w:val="00051FC3"/>
    <w:rsid w:val="0005200B"/>
    <w:rsid w:val="00052135"/>
    <w:rsid w:val="00052710"/>
    <w:rsid w:val="0005285B"/>
    <w:rsid w:val="00052AED"/>
    <w:rsid w:val="00052BCD"/>
    <w:rsid w:val="00052D78"/>
    <w:rsid w:val="00052E0D"/>
    <w:rsid w:val="00052E29"/>
    <w:rsid w:val="00052F81"/>
    <w:rsid w:val="00053191"/>
    <w:rsid w:val="000535F8"/>
    <w:rsid w:val="00053765"/>
    <w:rsid w:val="000537EC"/>
    <w:rsid w:val="000538E5"/>
    <w:rsid w:val="000538F3"/>
    <w:rsid w:val="0005390D"/>
    <w:rsid w:val="00053A29"/>
    <w:rsid w:val="00053ADD"/>
    <w:rsid w:val="00053D2C"/>
    <w:rsid w:val="00053E0F"/>
    <w:rsid w:val="00053E82"/>
    <w:rsid w:val="00054062"/>
    <w:rsid w:val="000540EB"/>
    <w:rsid w:val="000541F2"/>
    <w:rsid w:val="000542A0"/>
    <w:rsid w:val="00054375"/>
    <w:rsid w:val="000546AE"/>
    <w:rsid w:val="000546C2"/>
    <w:rsid w:val="00054724"/>
    <w:rsid w:val="00054842"/>
    <w:rsid w:val="00054B88"/>
    <w:rsid w:val="00055753"/>
    <w:rsid w:val="00055773"/>
    <w:rsid w:val="00055884"/>
    <w:rsid w:val="00055ACB"/>
    <w:rsid w:val="00055E89"/>
    <w:rsid w:val="00055EAE"/>
    <w:rsid w:val="00055EE6"/>
    <w:rsid w:val="00055F5F"/>
    <w:rsid w:val="0005613C"/>
    <w:rsid w:val="00056213"/>
    <w:rsid w:val="00056368"/>
    <w:rsid w:val="000569E5"/>
    <w:rsid w:val="00056AC1"/>
    <w:rsid w:val="00056B7C"/>
    <w:rsid w:val="00056ED4"/>
    <w:rsid w:val="00057106"/>
    <w:rsid w:val="000577ED"/>
    <w:rsid w:val="00057ADA"/>
    <w:rsid w:val="00057B3F"/>
    <w:rsid w:val="00057B55"/>
    <w:rsid w:val="00057C98"/>
    <w:rsid w:val="00057D0A"/>
    <w:rsid w:val="00057F45"/>
    <w:rsid w:val="00060174"/>
    <w:rsid w:val="0006067D"/>
    <w:rsid w:val="000607F6"/>
    <w:rsid w:val="0006096F"/>
    <w:rsid w:val="00060975"/>
    <w:rsid w:val="00060B82"/>
    <w:rsid w:val="00060C00"/>
    <w:rsid w:val="00060D17"/>
    <w:rsid w:val="00060E52"/>
    <w:rsid w:val="0006107A"/>
    <w:rsid w:val="00061475"/>
    <w:rsid w:val="00061663"/>
    <w:rsid w:val="00061947"/>
    <w:rsid w:val="0006198F"/>
    <w:rsid w:val="0006199F"/>
    <w:rsid w:val="000619DF"/>
    <w:rsid w:val="000619FD"/>
    <w:rsid w:val="00061B2F"/>
    <w:rsid w:val="00061F44"/>
    <w:rsid w:val="000621A9"/>
    <w:rsid w:val="00062570"/>
    <w:rsid w:val="0006262B"/>
    <w:rsid w:val="00062705"/>
    <w:rsid w:val="000628F9"/>
    <w:rsid w:val="00062B80"/>
    <w:rsid w:val="00062C08"/>
    <w:rsid w:val="00062F85"/>
    <w:rsid w:val="0006322B"/>
    <w:rsid w:val="0006335C"/>
    <w:rsid w:val="00063502"/>
    <w:rsid w:val="000637A6"/>
    <w:rsid w:val="00063BD2"/>
    <w:rsid w:val="00063BDB"/>
    <w:rsid w:val="00063C4A"/>
    <w:rsid w:val="00063C72"/>
    <w:rsid w:val="00063FB0"/>
    <w:rsid w:val="000642A7"/>
    <w:rsid w:val="000643D7"/>
    <w:rsid w:val="00064550"/>
    <w:rsid w:val="0006468E"/>
    <w:rsid w:val="00064740"/>
    <w:rsid w:val="00064930"/>
    <w:rsid w:val="00064A7B"/>
    <w:rsid w:val="00064E99"/>
    <w:rsid w:val="00064F4D"/>
    <w:rsid w:val="00065029"/>
    <w:rsid w:val="00065194"/>
    <w:rsid w:val="00065302"/>
    <w:rsid w:val="0006540A"/>
    <w:rsid w:val="000657E8"/>
    <w:rsid w:val="00065A3C"/>
    <w:rsid w:val="00065C50"/>
    <w:rsid w:val="00065C8B"/>
    <w:rsid w:val="00065D14"/>
    <w:rsid w:val="00065D26"/>
    <w:rsid w:val="00065DC8"/>
    <w:rsid w:val="00065EC3"/>
    <w:rsid w:val="00065FF7"/>
    <w:rsid w:val="00066071"/>
    <w:rsid w:val="00066115"/>
    <w:rsid w:val="000662FA"/>
    <w:rsid w:val="000663B9"/>
    <w:rsid w:val="000663CD"/>
    <w:rsid w:val="000667A0"/>
    <w:rsid w:val="00066A76"/>
    <w:rsid w:val="00066B52"/>
    <w:rsid w:val="00066BBA"/>
    <w:rsid w:val="00066C8D"/>
    <w:rsid w:val="00066CA6"/>
    <w:rsid w:val="00066CDE"/>
    <w:rsid w:val="00066D01"/>
    <w:rsid w:val="00066D57"/>
    <w:rsid w:val="00066D69"/>
    <w:rsid w:val="00066D82"/>
    <w:rsid w:val="00067197"/>
    <w:rsid w:val="000672FE"/>
    <w:rsid w:val="000673B7"/>
    <w:rsid w:val="00067462"/>
    <w:rsid w:val="00067548"/>
    <w:rsid w:val="000675C7"/>
    <w:rsid w:val="000679C8"/>
    <w:rsid w:val="00067CED"/>
    <w:rsid w:val="00067DD7"/>
    <w:rsid w:val="00067F55"/>
    <w:rsid w:val="00067F5E"/>
    <w:rsid w:val="000701F0"/>
    <w:rsid w:val="00070227"/>
    <w:rsid w:val="0007026A"/>
    <w:rsid w:val="0007048A"/>
    <w:rsid w:val="000705E7"/>
    <w:rsid w:val="00070605"/>
    <w:rsid w:val="00070620"/>
    <w:rsid w:val="0007068A"/>
    <w:rsid w:val="00070BBD"/>
    <w:rsid w:val="00070DA2"/>
    <w:rsid w:val="00070DC5"/>
    <w:rsid w:val="00070E87"/>
    <w:rsid w:val="00070E89"/>
    <w:rsid w:val="00071003"/>
    <w:rsid w:val="00071404"/>
    <w:rsid w:val="00071509"/>
    <w:rsid w:val="000715A5"/>
    <w:rsid w:val="0007175F"/>
    <w:rsid w:val="00071823"/>
    <w:rsid w:val="0007183B"/>
    <w:rsid w:val="0007185B"/>
    <w:rsid w:val="00071D2C"/>
    <w:rsid w:val="00071D5F"/>
    <w:rsid w:val="00071DD4"/>
    <w:rsid w:val="00071EBA"/>
    <w:rsid w:val="0007211B"/>
    <w:rsid w:val="000722EC"/>
    <w:rsid w:val="00072332"/>
    <w:rsid w:val="000723FE"/>
    <w:rsid w:val="00072819"/>
    <w:rsid w:val="000729F9"/>
    <w:rsid w:val="00072B93"/>
    <w:rsid w:val="00072C4B"/>
    <w:rsid w:val="00072FCE"/>
    <w:rsid w:val="000732FE"/>
    <w:rsid w:val="00073441"/>
    <w:rsid w:val="00073808"/>
    <w:rsid w:val="00073F0E"/>
    <w:rsid w:val="00073FAB"/>
    <w:rsid w:val="000741D0"/>
    <w:rsid w:val="00074390"/>
    <w:rsid w:val="000744D7"/>
    <w:rsid w:val="0007479B"/>
    <w:rsid w:val="00074AEA"/>
    <w:rsid w:val="00074E18"/>
    <w:rsid w:val="000751A5"/>
    <w:rsid w:val="00075236"/>
    <w:rsid w:val="00075315"/>
    <w:rsid w:val="0007531B"/>
    <w:rsid w:val="00075409"/>
    <w:rsid w:val="0007545C"/>
    <w:rsid w:val="000756B0"/>
    <w:rsid w:val="000757ED"/>
    <w:rsid w:val="00075846"/>
    <w:rsid w:val="00075892"/>
    <w:rsid w:val="000759E4"/>
    <w:rsid w:val="00075AB7"/>
    <w:rsid w:val="00075CA7"/>
    <w:rsid w:val="00075D3A"/>
    <w:rsid w:val="00075D93"/>
    <w:rsid w:val="00075E97"/>
    <w:rsid w:val="00075F32"/>
    <w:rsid w:val="00076005"/>
    <w:rsid w:val="0007607D"/>
    <w:rsid w:val="0007621E"/>
    <w:rsid w:val="00076294"/>
    <w:rsid w:val="00076416"/>
    <w:rsid w:val="0007698D"/>
    <w:rsid w:val="00076D61"/>
    <w:rsid w:val="00076D8A"/>
    <w:rsid w:val="00076DBD"/>
    <w:rsid w:val="000770C3"/>
    <w:rsid w:val="00077221"/>
    <w:rsid w:val="0007723D"/>
    <w:rsid w:val="000772DC"/>
    <w:rsid w:val="00077335"/>
    <w:rsid w:val="000776BC"/>
    <w:rsid w:val="00077992"/>
    <w:rsid w:val="000779FB"/>
    <w:rsid w:val="00077B85"/>
    <w:rsid w:val="00077C71"/>
    <w:rsid w:val="00077CE9"/>
    <w:rsid w:val="00080013"/>
    <w:rsid w:val="000800FB"/>
    <w:rsid w:val="00080118"/>
    <w:rsid w:val="000801EA"/>
    <w:rsid w:val="0008020F"/>
    <w:rsid w:val="00080265"/>
    <w:rsid w:val="000802A1"/>
    <w:rsid w:val="0008037F"/>
    <w:rsid w:val="0008045D"/>
    <w:rsid w:val="0008063F"/>
    <w:rsid w:val="0008072A"/>
    <w:rsid w:val="00080779"/>
    <w:rsid w:val="000807BF"/>
    <w:rsid w:val="00080A4D"/>
    <w:rsid w:val="00080D93"/>
    <w:rsid w:val="00080E35"/>
    <w:rsid w:val="00080E44"/>
    <w:rsid w:val="00081444"/>
    <w:rsid w:val="000814AF"/>
    <w:rsid w:val="00081671"/>
    <w:rsid w:val="00081C0F"/>
    <w:rsid w:val="00081EEC"/>
    <w:rsid w:val="0008239B"/>
    <w:rsid w:val="000825A3"/>
    <w:rsid w:val="00082DA4"/>
    <w:rsid w:val="00082F6E"/>
    <w:rsid w:val="0008305B"/>
    <w:rsid w:val="0008307C"/>
    <w:rsid w:val="000832DF"/>
    <w:rsid w:val="0008345C"/>
    <w:rsid w:val="000838EB"/>
    <w:rsid w:val="00083945"/>
    <w:rsid w:val="000839A7"/>
    <w:rsid w:val="00083BE9"/>
    <w:rsid w:val="00083C96"/>
    <w:rsid w:val="00083DD5"/>
    <w:rsid w:val="00083EA8"/>
    <w:rsid w:val="00083EC1"/>
    <w:rsid w:val="00083F12"/>
    <w:rsid w:val="00083FF7"/>
    <w:rsid w:val="000841CD"/>
    <w:rsid w:val="000841E1"/>
    <w:rsid w:val="0008435C"/>
    <w:rsid w:val="0008450F"/>
    <w:rsid w:val="0008459A"/>
    <w:rsid w:val="0008465F"/>
    <w:rsid w:val="000846DF"/>
    <w:rsid w:val="00084743"/>
    <w:rsid w:val="00084DB0"/>
    <w:rsid w:val="000850C8"/>
    <w:rsid w:val="0008522C"/>
    <w:rsid w:val="0008535C"/>
    <w:rsid w:val="00085379"/>
    <w:rsid w:val="000853BA"/>
    <w:rsid w:val="000853EF"/>
    <w:rsid w:val="00085B0B"/>
    <w:rsid w:val="00085CF7"/>
    <w:rsid w:val="000862F0"/>
    <w:rsid w:val="0008634A"/>
    <w:rsid w:val="000864B2"/>
    <w:rsid w:val="000864FA"/>
    <w:rsid w:val="00086626"/>
    <w:rsid w:val="00086968"/>
    <w:rsid w:val="00086A21"/>
    <w:rsid w:val="00086A75"/>
    <w:rsid w:val="00086B59"/>
    <w:rsid w:val="00086CB6"/>
    <w:rsid w:val="00086D46"/>
    <w:rsid w:val="00086E5A"/>
    <w:rsid w:val="00086E85"/>
    <w:rsid w:val="00086EC5"/>
    <w:rsid w:val="000872DB"/>
    <w:rsid w:val="00087476"/>
    <w:rsid w:val="00087514"/>
    <w:rsid w:val="0008761A"/>
    <w:rsid w:val="00087881"/>
    <w:rsid w:val="000879A1"/>
    <w:rsid w:val="00087A21"/>
    <w:rsid w:val="00087C04"/>
    <w:rsid w:val="00087C5D"/>
    <w:rsid w:val="00087C6D"/>
    <w:rsid w:val="00087D4E"/>
    <w:rsid w:val="00090107"/>
    <w:rsid w:val="0009029D"/>
    <w:rsid w:val="0009039C"/>
    <w:rsid w:val="00090434"/>
    <w:rsid w:val="00090477"/>
    <w:rsid w:val="000905DB"/>
    <w:rsid w:val="0009067C"/>
    <w:rsid w:val="000907BB"/>
    <w:rsid w:val="000907C8"/>
    <w:rsid w:val="000909F0"/>
    <w:rsid w:val="00090B6D"/>
    <w:rsid w:val="00090DBF"/>
    <w:rsid w:val="00090FB3"/>
    <w:rsid w:val="00091002"/>
    <w:rsid w:val="000913AE"/>
    <w:rsid w:val="000915EA"/>
    <w:rsid w:val="0009175A"/>
    <w:rsid w:val="00091964"/>
    <w:rsid w:val="00091B05"/>
    <w:rsid w:val="00091C82"/>
    <w:rsid w:val="00091D3E"/>
    <w:rsid w:val="00092096"/>
    <w:rsid w:val="000920E1"/>
    <w:rsid w:val="00092341"/>
    <w:rsid w:val="000924E8"/>
    <w:rsid w:val="0009261B"/>
    <w:rsid w:val="000926CC"/>
    <w:rsid w:val="00092708"/>
    <w:rsid w:val="00092788"/>
    <w:rsid w:val="00092836"/>
    <w:rsid w:val="00092A05"/>
    <w:rsid w:val="00092E7A"/>
    <w:rsid w:val="00092F06"/>
    <w:rsid w:val="00092F4A"/>
    <w:rsid w:val="00093095"/>
    <w:rsid w:val="000930F7"/>
    <w:rsid w:val="00093162"/>
    <w:rsid w:val="00093254"/>
    <w:rsid w:val="00093389"/>
    <w:rsid w:val="00093510"/>
    <w:rsid w:val="0009354A"/>
    <w:rsid w:val="00093563"/>
    <w:rsid w:val="000935BB"/>
    <w:rsid w:val="000936EC"/>
    <w:rsid w:val="0009376B"/>
    <w:rsid w:val="00093874"/>
    <w:rsid w:val="0009389A"/>
    <w:rsid w:val="00093B37"/>
    <w:rsid w:val="00093B9F"/>
    <w:rsid w:val="00093DA2"/>
    <w:rsid w:val="00093F96"/>
    <w:rsid w:val="000942DC"/>
    <w:rsid w:val="000943D3"/>
    <w:rsid w:val="0009440A"/>
    <w:rsid w:val="0009454B"/>
    <w:rsid w:val="00094642"/>
    <w:rsid w:val="0009464A"/>
    <w:rsid w:val="000946B1"/>
    <w:rsid w:val="000948EC"/>
    <w:rsid w:val="0009496F"/>
    <w:rsid w:val="00094B24"/>
    <w:rsid w:val="00094D69"/>
    <w:rsid w:val="00095085"/>
    <w:rsid w:val="0009524E"/>
    <w:rsid w:val="000952AD"/>
    <w:rsid w:val="000955FD"/>
    <w:rsid w:val="00095617"/>
    <w:rsid w:val="00095C69"/>
    <w:rsid w:val="00095EC6"/>
    <w:rsid w:val="000961D8"/>
    <w:rsid w:val="0009628D"/>
    <w:rsid w:val="000966A1"/>
    <w:rsid w:val="00096708"/>
    <w:rsid w:val="0009672B"/>
    <w:rsid w:val="00096A97"/>
    <w:rsid w:val="00096C5E"/>
    <w:rsid w:val="00096DF9"/>
    <w:rsid w:val="00096E17"/>
    <w:rsid w:val="00096E49"/>
    <w:rsid w:val="00097234"/>
    <w:rsid w:val="000972F7"/>
    <w:rsid w:val="000973A9"/>
    <w:rsid w:val="000973BE"/>
    <w:rsid w:val="000978B7"/>
    <w:rsid w:val="00097A0D"/>
    <w:rsid w:val="00097A15"/>
    <w:rsid w:val="00097A38"/>
    <w:rsid w:val="00097B55"/>
    <w:rsid w:val="00097E5A"/>
    <w:rsid w:val="00097FEE"/>
    <w:rsid w:val="000A024B"/>
    <w:rsid w:val="000A0317"/>
    <w:rsid w:val="000A06E0"/>
    <w:rsid w:val="000A081F"/>
    <w:rsid w:val="000A09E5"/>
    <w:rsid w:val="000A0B2F"/>
    <w:rsid w:val="000A0BB2"/>
    <w:rsid w:val="000A0EEB"/>
    <w:rsid w:val="000A0FC3"/>
    <w:rsid w:val="000A0FC5"/>
    <w:rsid w:val="000A119B"/>
    <w:rsid w:val="000A1211"/>
    <w:rsid w:val="000A1311"/>
    <w:rsid w:val="000A13E1"/>
    <w:rsid w:val="000A1452"/>
    <w:rsid w:val="000A14A4"/>
    <w:rsid w:val="000A17E3"/>
    <w:rsid w:val="000A19D9"/>
    <w:rsid w:val="000A1B08"/>
    <w:rsid w:val="000A1D70"/>
    <w:rsid w:val="000A1E04"/>
    <w:rsid w:val="000A1ECB"/>
    <w:rsid w:val="000A2082"/>
    <w:rsid w:val="000A2174"/>
    <w:rsid w:val="000A22E7"/>
    <w:rsid w:val="000A23C7"/>
    <w:rsid w:val="000A25C5"/>
    <w:rsid w:val="000A26DD"/>
    <w:rsid w:val="000A26F2"/>
    <w:rsid w:val="000A2723"/>
    <w:rsid w:val="000A2ECA"/>
    <w:rsid w:val="000A2F45"/>
    <w:rsid w:val="000A310A"/>
    <w:rsid w:val="000A31D2"/>
    <w:rsid w:val="000A32A8"/>
    <w:rsid w:val="000A34D1"/>
    <w:rsid w:val="000A35CB"/>
    <w:rsid w:val="000A37C1"/>
    <w:rsid w:val="000A37DA"/>
    <w:rsid w:val="000A37E2"/>
    <w:rsid w:val="000A3851"/>
    <w:rsid w:val="000A387E"/>
    <w:rsid w:val="000A3A75"/>
    <w:rsid w:val="000A3AB3"/>
    <w:rsid w:val="000A3B24"/>
    <w:rsid w:val="000A3B34"/>
    <w:rsid w:val="000A3CE6"/>
    <w:rsid w:val="000A3D3C"/>
    <w:rsid w:val="000A3E1F"/>
    <w:rsid w:val="000A3E4D"/>
    <w:rsid w:val="000A3F0A"/>
    <w:rsid w:val="000A403C"/>
    <w:rsid w:val="000A4118"/>
    <w:rsid w:val="000A4544"/>
    <w:rsid w:val="000A4697"/>
    <w:rsid w:val="000A4698"/>
    <w:rsid w:val="000A48E3"/>
    <w:rsid w:val="000A5042"/>
    <w:rsid w:val="000A5086"/>
    <w:rsid w:val="000A5138"/>
    <w:rsid w:val="000A51AC"/>
    <w:rsid w:val="000A5209"/>
    <w:rsid w:val="000A5319"/>
    <w:rsid w:val="000A5326"/>
    <w:rsid w:val="000A5393"/>
    <w:rsid w:val="000A5480"/>
    <w:rsid w:val="000A553B"/>
    <w:rsid w:val="000A57F7"/>
    <w:rsid w:val="000A5894"/>
    <w:rsid w:val="000A58A4"/>
    <w:rsid w:val="000A5A25"/>
    <w:rsid w:val="000A5ABA"/>
    <w:rsid w:val="000A5DC6"/>
    <w:rsid w:val="000A5E97"/>
    <w:rsid w:val="000A5F3A"/>
    <w:rsid w:val="000A60A1"/>
    <w:rsid w:val="000A62C3"/>
    <w:rsid w:val="000A6463"/>
    <w:rsid w:val="000A6528"/>
    <w:rsid w:val="000A6676"/>
    <w:rsid w:val="000A6941"/>
    <w:rsid w:val="000A6A81"/>
    <w:rsid w:val="000A6A8B"/>
    <w:rsid w:val="000A6AF4"/>
    <w:rsid w:val="000A6B5A"/>
    <w:rsid w:val="000A6C8E"/>
    <w:rsid w:val="000A6D17"/>
    <w:rsid w:val="000A6E0F"/>
    <w:rsid w:val="000A6FA8"/>
    <w:rsid w:val="000A6FDD"/>
    <w:rsid w:val="000A7058"/>
    <w:rsid w:val="000A70AB"/>
    <w:rsid w:val="000A714C"/>
    <w:rsid w:val="000A715A"/>
    <w:rsid w:val="000A74C0"/>
    <w:rsid w:val="000A7544"/>
    <w:rsid w:val="000A7716"/>
    <w:rsid w:val="000A7913"/>
    <w:rsid w:val="000A7A0A"/>
    <w:rsid w:val="000A7AE7"/>
    <w:rsid w:val="000A7E94"/>
    <w:rsid w:val="000A7F05"/>
    <w:rsid w:val="000A7F1B"/>
    <w:rsid w:val="000B0033"/>
    <w:rsid w:val="000B0104"/>
    <w:rsid w:val="000B0116"/>
    <w:rsid w:val="000B031F"/>
    <w:rsid w:val="000B0608"/>
    <w:rsid w:val="000B069D"/>
    <w:rsid w:val="000B0C41"/>
    <w:rsid w:val="000B0CA1"/>
    <w:rsid w:val="000B0DFD"/>
    <w:rsid w:val="000B0E40"/>
    <w:rsid w:val="000B0EC7"/>
    <w:rsid w:val="000B136C"/>
    <w:rsid w:val="000B15F9"/>
    <w:rsid w:val="000B161F"/>
    <w:rsid w:val="000B16F7"/>
    <w:rsid w:val="000B17A9"/>
    <w:rsid w:val="000B1896"/>
    <w:rsid w:val="000B1974"/>
    <w:rsid w:val="000B1BC4"/>
    <w:rsid w:val="000B1C61"/>
    <w:rsid w:val="000B1DEE"/>
    <w:rsid w:val="000B1E14"/>
    <w:rsid w:val="000B1FD2"/>
    <w:rsid w:val="000B200F"/>
    <w:rsid w:val="000B23CA"/>
    <w:rsid w:val="000B2586"/>
    <w:rsid w:val="000B2605"/>
    <w:rsid w:val="000B271C"/>
    <w:rsid w:val="000B2754"/>
    <w:rsid w:val="000B27F9"/>
    <w:rsid w:val="000B29FB"/>
    <w:rsid w:val="000B2A61"/>
    <w:rsid w:val="000B2BCA"/>
    <w:rsid w:val="000B2C6A"/>
    <w:rsid w:val="000B2D20"/>
    <w:rsid w:val="000B2DE5"/>
    <w:rsid w:val="000B2E20"/>
    <w:rsid w:val="000B2E3C"/>
    <w:rsid w:val="000B2FE7"/>
    <w:rsid w:val="000B309D"/>
    <w:rsid w:val="000B3167"/>
    <w:rsid w:val="000B3231"/>
    <w:rsid w:val="000B3262"/>
    <w:rsid w:val="000B3437"/>
    <w:rsid w:val="000B3748"/>
    <w:rsid w:val="000B3A5E"/>
    <w:rsid w:val="000B3A9B"/>
    <w:rsid w:val="000B3AF5"/>
    <w:rsid w:val="000B3BD7"/>
    <w:rsid w:val="000B3D40"/>
    <w:rsid w:val="000B3E3E"/>
    <w:rsid w:val="000B3E75"/>
    <w:rsid w:val="000B3F20"/>
    <w:rsid w:val="000B3F45"/>
    <w:rsid w:val="000B3F5D"/>
    <w:rsid w:val="000B40E7"/>
    <w:rsid w:val="000B42DE"/>
    <w:rsid w:val="000B430F"/>
    <w:rsid w:val="000B4355"/>
    <w:rsid w:val="000B43A3"/>
    <w:rsid w:val="000B44E8"/>
    <w:rsid w:val="000B4730"/>
    <w:rsid w:val="000B4B21"/>
    <w:rsid w:val="000B4FF5"/>
    <w:rsid w:val="000B505A"/>
    <w:rsid w:val="000B511C"/>
    <w:rsid w:val="000B5219"/>
    <w:rsid w:val="000B5234"/>
    <w:rsid w:val="000B548F"/>
    <w:rsid w:val="000B57F9"/>
    <w:rsid w:val="000B59C5"/>
    <w:rsid w:val="000B5BEB"/>
    <w:rsid w:val="000B616B"/>
    <w:rsid w:val="000B6604"/>
    <w:rsid w:val="000B66AE"/>
    <w:rsid w:val="000B6763"/>
    <w:rsid w:val="000B688D"/>
    <w:rsid w:val="000B6952"/>
    <w:rsid w:val="000B695A"/>
    <w:rsid w:val="000B6C05"/>
    <w:rsid w:val="000B6CE0"/>
    <w:rsid w:val="000B6E33"/>
    <w:rsid w:val="000B6F19"/>
    <w:rsid w:val="000B707E"/>
    <w:rsid w:val="000B72C1"/>
    <w:rsid w:val="000B7526"/>
    <w:rsid w:val="000B75B9"/>
    <w:rsid w:val="000B76BC"/>
    <w:rsid w:val="000B7891"/>
    <w:rsid w:val="000B79B3"/>
    <w:rsid w:val="000B79FE"/>
    <w:rsid w:val="000B7BAD"/>
    <w:rsid w:val="000B7C0A"/>
    <w:rsid w:val="000B7DDC"/>
    <w:rsid w:val="000B7E56"/>
    <w:rsid w:val="000B7EAB"/>
    <w:rsid w:val="000B7F33"/>
    <w:rsid w:val="000B7FDF"/>
    <w:rsid w:val="000C00CF"/>
    <w:rsid w:val="000C0179"/>
    <w:rsid w:val="000C03BB"/>
    <w:rsid w:val="000C03FD"/>
    <w:rsid w:val="000C0509"/>
    <w:rsid w:val="000C0582"/>
    <w:rsid w:val="000C0668"/>
    <w:rsid w:val="000C0941"/>
    <w:rsid w:val="000C0DF1"/>
    <w:rsid w:val="000C1312"/>
    <w:rsid w:val="000C175C"/>
    <w:rsid w:val="000C1850"/>
    <w:rsid w:val="000C1943"/>
    <w:rsid w:val="000C1E88"/>
    <w:rsid w:val="000C1EE4"/>
    <w:rsid w:val="000C1FE7"/>
    <w:rsid w:val="000C20BD"/>
    <w:rsid w:val="000C2173"/>
    <w:rsid w:val="000C237B"/>
    <w:rsid w:val="000C26E2"/>
    <w:rsid w:val="000C2A88"/>
    <w:rsid w:val="000C2AD7"/>
    <w:rsid w:val="000C2B24"/>
    <w:rsid w:val="000C2B6F"/>
    <w:rsid w:val="000C3264"/>
    <w:rsid w:val="000C3280"/>
    <w:rsid w:val="000C334D"/>
    <w:rsid w:val="000C375A"/>
    <w:rsid w:val="000C39C2"/>
    <w:rsid w:val="000C3AAD"/>
    <w:rsid w:val="000C3BB0"/>
    <w:rsid w:val="000C3D5B"/>
    <w:rsid w:val="000C3DE6"/>
    <w:rsid w:val="000C40E8"/>
    <w:rsid w:val="000C4232"/>
    <w:rsid w:val="000C42C2"/>
    <w:rsid w:val="000C4466"/>
    <w:rsid w:val="000C45CE"/>
    <w:rsid w:val="000C475A"/>
    <w:rsid w:val="000C4775"/>
    <w:rsid w:val="000C4820"/>
    <w:rsid w:val="000C48F8"/>
    <w:rsid w:val="000C4CB1"/>
    <w:rsid w:val="000C4D35"/>
    <w:rsid w:val="000C4DFF"/>
    <w:rsid w:val="000C4EEB"/>
    <w:rsid w:val="000C4FA4"/>
    <w:rsid w:val="000C501F"/>
    <w:rsid w:val="000C554B"/>
    <w:rsid w:val="000C556A"/>
    <w:rsid w:val="000C5679"/>
    <w:rsid w:val="000C5707"/>
    <w:rsid w:val="000C573B"/>
    <w:rsid w:val="000C576F"/>
    <w:rsid w:val="000C5DFA"/>
    <w:rsid w:val="000C5E9B"/>
    <w:rsid w:val="000C5EA5"/>
    <w:rsid w:val="000C5F28"/>
    <w:rsid w:val="000C64EF"/>
    <w:rsid w:val="000C6597"/>
    <w:rsid w:val="000C6832"/>
    <w:rsid w:val="000C6A71"/>
    <w:rsid w:val="000C6AFE"/>
    <w:rsid w:val="000C74DA"/>
    <w:rsid w:val="000C76CA"/>
    <w:rsid w:val="000C78AF"/>
    <w:rsid w:val="000C78B7"/>
    <w:rsid w:val="000C78C2"/>
    <w:rsid w:val="000C7C0C"/>
    <w:rsid w:val="000D0165"/>
    <w:rsid w:val="000D0440"/>
    <w:rsid w:val="000D0528"/>
    <w:rsid w:val="000D0540"/>
    <w:rsid w:val="000D054F"/>
    <w:rsid w:val="000D08BC"/>
    <w:rsid w:val="000D0986"/>
    <w:rsid w:val="000D0A49"/>
    <w:rsid w:val="000D0AE5"/>
    <w:rsid w:val="000D0D40"/>
    <w:rsid w:val="000D16CD"/>
    <w:rsid w:val="000D17FF"/>
    <w:rsid w:val="000D1C7C"/>
    <w:rsid w:val="000D257A"/>
    <w:rsid w:val="000D2800"/>
    <w:rsid w:val="000D295C"/>
    <w:rsid w:val="000D2A95"/>
    <w:rsid w:val="000D2DC3"/>
    <w:rsid w:val="000D2DD9"/>
    <w:rsid w:val="000D2DE0"/>
    <w:rsid w:val="000D2E74"/>
    <w:rsid w:val="000D34CB"/>
    <w:rsid w:val="000D38D0"/>
    <w:rsid w:val="000D3D7D"/>
    <w:rsid w:val="000D3E1A"/>
    <w:rsid w:val="000D411D"/>
    <w:rsid w:val="000D418A"/>
    <w:rsid w:val="000D41FE"/>
    <w:rsid w:val="000D437C"/>
    <w:rsid w:val="000D44E8"/>
    <w:rsid w:val="000D45F2"/>
    <w:rsid w:val="000D4627"/>
    <w:rsid w:val="000D4747"/>
    <w:rsid w:val="000D48A0"/>
    <w:rsid w:val="000D4AD0"/>
    <w:rsid w:val="000D4BA1"/>
    <w:rsid w:val="000D4D6A"/>
    <w:rsid w:val="000D4DA3"/>
    <w:rsid w:val="000D4E9B"/>
    <w:rsid w:val="000D52ED"/>
    <w:rsid w:val="000D55CF"/>
    <w:rsid w:val="000D571E"/>
    <w:rsid w:val="000D578D"/>
    <w:rsid w:val="000D5929"/>
    <w:rsid w:val="000D5B38"/>
    <w:rsid w:val="000D5BC8"/>
    <w:rsid w:val="000D5FD3"/>
    <w:rsid w:val="000D6077"/>
    <w:rsid w:val="000D6093"/>
    <w:rsid w:val="000D60FA"/>
    <w:rsid w:val="000D61B9"/>
    <w:rsid w:val="000D62A6"/>
    <w:rsid w:val="000D6443"/>
    <w:rsid w:val="000D6567"/>
    <w:rsid w:val="000D65CF"/>
    <w:rsid w:val="000D660A"/>
    <w:rsid w:val="000D67AC"/>
    <w:rsid w:val="000D696C"/>
    <w:rsid w:val="000D69AB"/>
    <w:rsid w:val="000D6F80"/>
    <w:rsid w:val="000D7092"/>
    <w:rsid w:val="000D7200"/>
    <w:rsid w:val="000D7464"/>
    <w:rsid w:val="000D7711"/>
    <w:rsid w:val="000D781F"/>
    <w:rsid w:val="000D7B02"/>
    <w:rsid w:val="000D7C19"/>
    <w:rsid w:val="000D7CA3"/>
    <w:rsid w:val="000D7D1C"/>
    <w:rsid w:val="000D7D29"/>
    <w:rsid w:val="000D7D9D"/>
    <w:rsid w:val="000D7FC2"/>
    <w:rsid w:val="000E0081"/>
    <w:rsid w:val="000E015C"/>
    <w:rsid w:val="000E01F6"/>
    <w:rsid w:val="000E0741"/>
    <w:rsid w:val="000E08A3"/>
    <w:rsid w:val="000E08E4"/>
    <w:rsid w:val="000E09DD"/>
    <w:rsid w:val="000E0BF8"/>
    <w:rsid w:val="000E0E92"/>
    <w:rsid w:val="000E1018"/>
    <w:rsid w:val="000E1100"/>
    <w:rsid w:val="000E1116"/>
    <w:rsid w:val="000E1127"/>
    <w:rsid w:val="000E14B1"/>
    <w:rsid w:val="000E14F7"/>
    <w:rsid w:val="000E15BD"/>
    <w:rsid w:val="000E1618"/>
    <w:rsid w:val="000E165F"/>
    <w:rsid w:val="000E18B3"/>
    <w:rsid w:val="000E194C"/>
    <w:rsid w:val="000E1A58"/>
    <w:rsid w:val="000E1AB6"/>
    <w:rsid w:val="000E1B6C"/>
    <w:rsid w:val="000E1BAD"/>
    <w:rsid w:val="000E1DE1"/>
    <w:rsid w:val="000E1DF1"/>
    <w:rsid w:val="000E1FD9"/>
    <w:rsid w:val="000E22A1"/>
    <w:rsid w:val="000E230E"/>
    <w:rsid w:val="000E231C"/>
    <w:rsid w:val="000E2633"/>
    <w:rsid w:val="000E26EF"/>
    <w:rsid w:val="000E2753"/>
    <w:rsid w:val="000E298C"/>
    <w:rsid w:val="000E2B5B"/>
    <w:rsid w:val="000E2C94"/>
    <w:rsid w:val="000E2CF1"/>
    <w:rsid w:val="000E2E0C"/>
    <w:rsid w:val="000E30AF"/>
    <w:rsid w:val="000E3165"/>
    <w:rsid w:val="000E328F"/>
    <w:rsid w:val="000E34F9"/>
    <w:rsid w:val="000E3689"/>
    <w:rsid w:val="000E3B69"/>
    <w:rsid w:val="000E3CEA"/>
    <w:rsid w:val="000E3FB6"/>
    <w:rsid w:val="000E4142"/>
    <w:rsid w:val="000E41A3"/>
    <w:rsid w:val="000E4385"/>
    <w:rsid w:val="000E4575"/>
    <w:rsid w:val="000E45E9"/>
    <w:rsid w:val="000E4646"/>
    <w:rsid w:val="000E4694"/>
    <w:rsid w:val="000E4829"/>
    <w:rsid w:val="000E482D"/>
    <w:rsid w:val="000E4885"/>
    <w:rsid w:val="000E499D"/>
    <w:rsid w:val="000E4AA4"/>
    <w:rsid w:val="000E4CF4"/>
    <w:rsid w:val="000E4DF9"/>
    <w:rsid w:val="000E4E45"/>
    <w:rsid w:val="000E4ED0"/>
    <w:rsid w:val="000E4EFB"/>
    <w:rsid w:val="000E4FC5"/>
    <w:rsid w:val="000E5160"/>
    <w:rsid w:val="000E5831"/>
    <w:rsid w:val="000E5AD4"/>
    <w:rsid w:val="000E5B2E"/>
    <w:rsid w:val="000E5C73"/>
    <w:rsid w:val="000E5E04"/>
    <w:rsid w:val="000E5EB8"/>
    <w:rsid w:val="000E5FD7"/>
    <w:rsid w:val="000E6098"/>
    <w:rsid w:val="000E61EB"/>
    <w:rsid w:val="000E6233"/>
    <w:rsid w:val="000E62CF"/>
    <w:rsid w:val="000E6534"/>
    <w:rsid w:val="000E65F7"/>
    <w:rsid w:val="000E6658"/>
    <w:rsid w:val="000E687E"/>
    <w:rsid w:val="000E68A8"/>
    <w:rsid w:val="000E6955"/>
    <w:rsid w:val="000E6D73"/>
    <w:rsid w:val="000E6EAB"/>
    <w:rsid w:val="000E6F15"/>
    <w:rsid w:val="000E6F32"/>
    <w:rsid w:val="000E706B"/>
    <w:rsid w:val="000E7159"/>
    <w:rsid w:val="000E75FC"/>
    <w:rsid w:val="000E770A"/>
    <w:rsid w:val="000E771B"/>
    <w:rsid w:val="000E7816"/>
    <w:rsid w:val="000E7851"/>
    <w:rsid w:val="000E7CAD"/>
    <w:rsid w:val="000E7CD0"/>
    <w:rsid w:val="000E7DAF"/>
    <w:rsid w:val="000E7DEC"/>
    <w:rsid w:val="000F0030"/>
    <w:rsid w:val="000F0142"/>
    <w:rsid w:val="000F0223"/>
    <w:rsid w:val="000F038C"/>
    <w:rsid w:val="000F05E4"/>
    <w:rsid w:val="000F07E5"/>
    <w:rsid w:val="000F09A9"/>
    <w:rsid w:val="000F0ADC"/>
    <w:rsid w:val="000F0D7B"/>
    <w:rsid w:val="000F0F7B"/>
    <w:rsid w:val="000F101D"/>
    <w:rsid w:val="000F1036"/>
    <w:rsid w:val="000F12D6"/>
    <w:rsid w:val="000F12F2"/>
    <w:rsid w:val="000F1470"/>
    <w:rsid w:val="000F14CF"/>
    <w:rsid w:val="000F17B5"/>
    <w:rsid w:val="000F181F"/>
    <w:rsid w:val="000F183C"/>
    <w:rsid w:val="000F193E"/>
    <w:rsid w:val="000F1996"/>
    <w:rsid w:val="000F1A8D"/>
    <w:rsid w:val="000F1BCD"/>
    <w:rsid w:val="000F1D06"/>
    <w:rsid w:val="000F1D6D"/>
    <w:rsid w:val="000F2143"/>
    <w:rsid w:val="000F2183"/>
    <w:rsid w:val="000F2A81"/>
    <w:rsid w:val="000F2B6F"/>
    <w:rsid w:val="000F2CAB"/>
    <w:rsid w:val="000F2E26"/>
    <w:rsid w:val="000F2F42"/>
    <w:rsid w:val="000F3055"/>
    <w:rsid w:val="000F313C"/>
    <w:rsid w:val="000F3288"/>
    <w:rsid w:val="000F3313"/>
    <w:rsid w:val="000F340A"/>
    <w:rsid w:val="000F3910"/>
    <w:rsid w:val="000F396C"/>
    <w:rsid w:val="000F39AF"/>
    <w:rsid w:val="000F3B5A"/>
    <w:rsid w:val="000F3BDC"/>
    <w:rsid w:val="000F3DDC"/>
    <w:rsid w:val="000F3EBE"/>
    <w:rsid w:val="000F41E4"/>
    <w:rsid w:val="000F42D1"/>
    <w:rsid w:val="000F4471"/>
    <w:rsid w:val="000F452D"/>
    <w:rsid w:val="000F4761"/>
    <w:rsid w:val="000F47BF"/>
    <w:rsid w:val="000F47C4"/>
    <w:rsid w:val="000F4C2B"/>
    <w:rsid w:val="000F5119"/>
    <w:rsid w:val="000F5155"/>
    <w:rsid w:val="000F56B3"/>
    <w:rsid w:val="000F59AC"/>
    <w:rsid w:val="000F5BE9"/>
    <w:rsid w:val="000F5C22"/>
    <w:rsid w:val="000F5F74"/>
    <w:rsid w:val="000F6111"/>
    <w:rsid w:val="000F632B"/>
    <w:rsid w:val="000F6642"/>
    <w:rsid w:val="000F693A"/>
    <w:rsid w:val="000F6C7C"/>
    <w:rsid w:val="000F6CCB"/>
    <w:rsid w:val="000F6E2A"/>
    <w:rsid w:val="000F703A"/>
    <w:rsid w:val="000F7178"/>
    <w:rsid w:val="000F721C"/>
    <w:rsid w:val="000F7811"/>
    <w:rsid w:val="000F78EA"/>
    <w:rsid w:val="000F79CC"/>
    <w:rsid w:val="000F7A98"/>
    <w:rsid w:val="000F7E9D"/>
    <w:rsid w:val="000F7F54"/>
    <w:rsid w:val="000F7FE4"/>
    <w:rsid w:val="0010041A"/>
    <w:rsid w:val="0010049E"/>
    <w:rsid w:val="001008A1"/>
    <w:rsid w:val="00100AFF"/>
    <w:rsid w:val="00100B14"/>
    <w:rsid w:val="00100B7A"/>
    <w:rsid w:val="00100D4F"/>
    <w:rsid w:val="00100DB2"/>
    <w:rsid w:val="00100F38"/>
    <w:rsid w:val="00101115"/>
    <w:rsid w:val="0010113D"/>
    <w:rsid w:val="001014EA"/>
    <w:rsid w:val="0010165E"/>
    <w:rsid w:val="00101685"/>
    <w:rsid w:val="001018AB"/>
    <w:rsid w:val="00101959"/>
    <w:rsid w:val="001019FB"/>
    <w:rsid w:val="00101BC5"/>
    <w:rsid w:val="00101CDE"/>
    <w:rsid w:val="00101D18"/>
    <w:rsid w:val="00101E76"/>
    <w:rsid w:val="001022C0"/>
    <w:rsid w:val="00102517"/>
    <w:rsid w:val="00102642"/>
    <w:rsid w:val="001027C9"/>
    <w:rsid w:val="0010290C"/>
    <w:rsid w:val="001029B0"/>
    <w:rsid w:val="00102B3F"/>
    <w:rsid w:val="00102CC1"/>
    <w:rsid w:val="0010307B"/>
    <w:rsid w:val="00103229"/>
    <w:rsid w:val="00103333"/>
    <w:rsid w:val="0010335F"/>
    <w:rsid w:val="001033F2"/>
    <w:rsid w:val="001034C6"/>
    <w:rsid w:val="001037AD"/>
    <w:rsid w:val="00103A47"/>
    <w:rsid w:val="00103BC1"/>
    <w:rsid w:val="00103F43"/>
    <w:rsid w:val="00103FD4"/>
    <w:rsid w:val="00104178"/>
    <w:rsid w:val="0010426B"/>
    <w:rsid w:val="001042A2"/>
    <w:rsid w:val="00104312"/>
    <w:rsid w:val="0010462B"/>
    <w:rsid w:val="00104721"/>
    <w:rsid w:val="00104743"/>
    <w:rsid w:val="0010484D"/>
    <w:rsid w:val="001048B3"/>
    <w:rsid w:val="00104915"/>
    <w:rsid w:val="00104980"/>
    <w:rsid w:val="00104B10"/>
    <w:rsid w:val="00104C47"/>
    <w:rsid w:val="0010514F"/>
    <w:rsid w:val="00105163"/>
    <w:rsid w:val="0010521C"/>
    <w:rsid w:val="00105571"/>
    <w:rsid w:val="001055E5"/>
    <w:rsid w:val="001058EC"/>
    <w:rsid w:val="00105A3F"/>
    <w:rsid w:val="00105AC6"/>
    <w:rsid w:val="00105B76"/>
    <w:rsid w:val="00105C09"/>
    <w:rsid w:val="00105C8B"/>
    <w:rsid w:val="00105CD4"/>
    <w:rsid w:val="00105D30"/>
    <w:rsid w:val="00105DD5"/>
    <w:rsid w:val="00105F56"/>
    <w:rsid w:val="00105FF5"/>
    <w:rsid w:val="00106289"/>
    <w:rsid w:val="001063D3"/>
    <w:rsid w:val="001065DD"/>
    <w:rsid w:val="00106631"/>
    <w:rsid w:val="001069C1"/>
    <w:rsid w:val="001069FE"/>
    <w:rsid w:val="00106D0B"/>
    <w:rsid w:val="00106D40"/>
    <w:rsid w:val="00106DD0"/>
    <w:rsid w:val="00106EE0"/>
    <w:rsid w:val="001070BF"/>
    <w:rsid w:val="001072B7"/>
    <w:rsid w:val="00107526"/>
    <w:rsid w:val="001079C6"/>
    <w:rsid w:val="00107A03"/>
    <w:rsid w:val="00107BFA"/>
    <w:rsid w:val="00107E75"/>
    <w:rsid w:val="00110141"/>
    <w:rsid w:val="001101DA"/>
    <w:rsid w:val="00110215"/>
    <w:rsid w:val="001103A1"/>
    <w:rsid w:val="00110533"/>
    <w:rsid w:val="001105DC"/>
    <w:rsid w:val="001107AF"/>
    <w:rsid w:val="001108C8"/>
    <w:rsid w:val="00110C92"/>
    <w:rsid w:val="0011102D"/>
    <w:rsid w:val="0011106E"/>
    <w:rsid w:val="001111E6"/>
    <w:rsid w:val="001111ED"/>
    <w:rsid w:val="00111354"/>
    <w:rsid w:val="0011141D"/>
    <w:rsid w:val="001114C0"/>
    <w:rsid w:val="00111538"/>
    <w:rsid w:val="00111638"/>
    <w:rsid w:val="00111667"/>
    <w:rsid w:val="001116A9"/>
    <w:rsid w:val="00111780"/>
    <w:rsid w:val="001119BE"/>
    <w:rsid w:val="00111ACF"/>
    <w:rsid w:val="00111AD5"/>
    <w:rsid w:val="00111B16"/>
    <w:rsid w:val="00111DE6"/>
    <w:rsid w:val="00111FB5"/>
    <w:rsid w:val="001120C8"/>
    <w:rsid w:val="001121B0"/>
    <w:rsid w:val="00112217"/>
    <w:rsid w:val="001122C7"/>
    <w:rsid w:val="0011236F"/>
    <w:rsid w:val="00112515"/>
    <w:rsid w:val="00112527"/>
    <w:rsid w:val="00112916"/>
    <w:rsid w:val="00112A1A"/>
    <w:rsid w:val="00112A4A"/>
    <w:rsid w:val="00112BB6"/>
    <w:rsid w:val="00112EEA"/>
    <w:rsid w:val="00112F21"/>
    <w:rsid w:val="001132A9"/>
    <w:rsid w:val="00113579"/>
    <w:rsid w:val="001136AB"/>
    <w:rsid w:val="001136CD"/>
    <w:rsid w:val="00113792"/>
    <w:rsid w:val="00113B24"/>
    <w:rsid w:val="00113B50"/>
    <w:rsid w:val="00113CB5"/>
    <w:rsid w:val="00114244"/>
    <w:rsid w:val="0011439F"/>
    <w:rsid w:val="0011442E"/>
    <w:rsid w:val="00114642"/>
    <w:rsid w:val="001147EA"/>
    <w:rsid w:val="001148C8"/>
    <w:rsid w:val="00114A7D"/>
    <w:rsid w:val="00114B2B"/>
    <w:rsid w:val="00114C5B"/>
    <w:rsid w:val="00115233"/>
    <w:rsid w:val="00115687"/>
    <w:rsid w:val="0011571E"/>
    <w:rsid w:val="0011582C"/>
    <w:rsid w:val="00115849"/>
    <w:rsid w:val="0011586C"/>
    <w:rsid w:val="001158D7"/>
    <w:rsid w:val="00115AAF"/>
    <w:rsid w:val="00115B64"/>
    <w:rsid w:val="00115BB1"/>
    <w:rsid w:val="00115BCF"/>
    <w:rsid w:val="00115D1E"/>
    <w:rsid w:val="00115D90"/>
    <w:rsid w:val="00115FDA"/>
    <w:rsid w:val="00115FF5"/>
    <w:rsid w:val="00116374"/>
    <w:rsid w:val="001163A2"/>
    <w:rsid w:val="0011653B"/>
    <w:rsid w:val="0011654A"/>
    <w:rsid w:val="001167D0"/>
    <w:rsid w:val="0011691F"/>
    <w:rsid w:val="00116BE6"/>
    <w:rsid w:val="00116E8F"/>
    <w:rsid w:val="00116F2A"/>
    <w:rsid w:val="00116FCA"/>
    <w:rsid w:val="0011708D"/>
    <w:rsid w:val="00117126"/>
    <w:rsid w:val="001171B4"/>
    <w:rsid w:val="0011729C"/>
    <w:rsid w:val="0011734F"/>
    <w:rsid w:val="0011738D"/>
    <w:rsid w:val="001173F2"/>
    <w:rsid w:val="00117524"/>
    <w:rsid w:val="00117BBF"/>
    <w:rsid w:val="00117BEE"/>
    <w:rsid w:val="00117D52"/>
    <w:rsid w:val="00117E3B"/>
    <w:rsid w:val="0012039F"/>
    <w:rsid w:val="0012046F"/>
    <w:rsid w:val="0012048F"/>
    <w:rsid w:val="00120491"/>
    <w:rsid w:val="00120670"/>
    <w:rsid w:val="0012075E"/>
    <w:rsid w:val="00120857"/>
    <w:rsid w:val="00120910"/>
    <w:rsid w:val="00120BC7"/>
    <w:rsid w:val="00120F50"/>
    <w:rsid w:val="00121131"/>
    <w:rsid w:val="001216A9"/>
    <w:rsid w:val="00121701"/>
    <w:rsid w:val="001218D5"/>
    <w:rsid w:val="00121A40"/>
    <w:rsid w:val="00121AA9"/>
    <w:rsid w:val="00121B2C"/>
    <w:rsid w:val="00121FF1"/>
    <w:rsid w:val="00122104"/>
    <w:rsid w:val="001221B5"/>
    <w:rsid w:val="0012222D"/>
    <w:rsid w:val="00122491"/>
    <w:rsid w:val="001224A2"/>
    <w:rsid w:val="00122617"/>
    <w:rsid w:val="0012264B"/>
    <w:rsid w:val="001228C0"/>
    <w:rsid w:val="001228F0"/>
    <w:rsid w:val="00122C29"/>
    <w:rsid w:val="00122D0A"/>
    <w:rsid w:val="00122D95"/>
    <w:rsid w:val="00122DE2"/>
    <w:rsid w:val="00122EEC"/>
    <w:rsid w:val="00123106"/>
    <w:rsid w:val="0012315B"/>
    <w:rsid w:val="0012335E"/>
    <w:rsid w:val="00123549"/>
    <w:rsid w:val="001235A9"/>
    <w:rsid w:val="00123756"/>
    <w:rsid w:val="001238A6"/>
    <w:rsid w:val="00123AD3"/>
    <w:rsid w:val="00123C15"/>
    <w:rsid w:val="00123F3D"/>
    <w:rsid w:val="0012419D"/>
    <w:rsid w:val="0012423B"/>
    <w:rsid w:val="00124294"/>
    <w:rsid w:val="00124358"/>
    <w:rsid w:val="001244AD"/>
    <w:rsid w:val="00124526"/>
    <w:rsid w:val="00124683"/>
    <w:rsid w:val="001248E1"/>
    <w:rsid w:val="00124A8B"/>
    <w:rsid w:val="00124B34"/>
    <w:rsid w:val="00124B7F"/>
    <w:rsid w:val="00124CAB"/>
    <w:rsid w:val="00124DBB"/>
    <w:rsid w:val="00124DE4"/>
    <w:rsid w:val="00124E4F"/>
    <w:rsid w:val="00124EC6"/>
    <w:rsid w:val="00124F4C"/>
    <w:rsid w:val="0012506F"/>
    <w:rsid w:val="0012510F"/>
    <w:rsid w:val="0012528A"/>
    <w:rsid w:val="001253EB"/>
    <w:rsid w:val="00125409"/>
    <w:rsid w:val="00125570"/>
    <w:rsid w:val="00125A2D"/>
    <w:rsid w:val="00125D27"/>
    <w:rsid w:val="00125EEF"/>
    <w:rsid w:val="00126092"/>
    <w:rsid w:val="001261BD"/>
    <w:rsid w:val="001261E9"/>
    <w:rsid w:val="00126218"/>
    <w:rsid w:val="001263C2"/>
    <w:rsid w:val="00126435"/>
    <w:rsid w:val="001265CF"/>
    <w:rsid w:val="001267CA"/>
    <w:rsid w:val="001267D6"/>
    <w:rsid w:val="00126AA1"/>
    <w:rsid w:val="00126DB8"/>
    <w:rsid w:val="00126ECD"/>
    <w:rsid w:val="0012705E"/>
    <w:rsid w:val="0012737E"/>
    <w:rsid w:val="00127601"/>
    <w:rsid w:val="0012778C"/>
    <w:rsid w:val="00127842"/>
    <w:rsid w:val="00127A23"/>
    <w:rsid w:val="00127B0F"/>
    <w:rsid w:val="00127B34"/>
    <w:rsid w:val="00127B42"/>
    <w:rsid w:val="00127C53"/>
    <w:rsid w:val="00127C8C"/>
    <w:rsid w:val="00127D5D"/>
    <w:rsid w:val="00127E80"/>
    <w:rsid w:val="00130191"/>
    <w:rsid w:val="00130347"/>
    <w:rsid w:val="00130400"/>
    <w:rsid w:val="00130439"/>
    <w:rsid w:val="001304BB"/>
    <w:rsid w:val="00130595"/>
    <w:rsid w:val="0013079D"/>
    <w:rsid w:val="00130D7B"/>
    <w:rsid w:val="00131196"/>
    <w:rsid w:val="00131352"/>
    <w:rsid w:val="0013158F"/>
    <w:rsid w:val="00131661"/>
    <w:rsid w:val="00131841"/>
    <w:rsid w:val="001318C2"/>
    <w:rsid w:val="0013190B"/>
    <w:rsid w:val="00131AB7"/>
    <w:rsid w:val="00131C99"/>
    <w:rsid w:val="00131D83"/>
    <w:rsid w:val="00131DB6"/>
    <w:rsid w:val="00131EB0"/>
    <w:rsid w:val="00131FA5"/>
    <w:rsid w:val="00132088"/>
    <w:rsid w:val="001320EB"/>
    <w:rsid w:val="0013222B"/>
    <w:rsid w:val="00132561"/>
    <w:rsid w:val="001326B5"/>
    <w:rsid w:val="001326DC"/>
    <w:rsid w:val="00132DF9"/>
    <w:rsid w:val="00132E0E"/>
    <w:rsid w:val="0013300C"/>
    <w:rsid w:val="001331E3"/>
    <w:rsid w:val="001336CB"/>
    <w:rsid w:val="00133820"/>
    <w:rsid w:val="00133B48"/>
    <w:rsid w:val="00133BEB"/>
    <w:rsid w:val="00133D13"/>
    <w:rsid w:val="00133DFA"/>
    <w:rsid w:val="00133E73"/>
    <w:rsid w:val="00133EA0"/>
    <w:rsid w:val="0013418D"/>
    <w:rsid w:val="001343D3"/>
    <w:rsid w:val="00134509"/>
    <w:rsid w:val="0013450A"/>
    <w:rsid w:val="0013474C"/>
    <w:rsid w:val="001349EA"/>
    <w:rsid w:val="00134A8D"/>
    <w:rsid w:val="001353D3"/>
    <w:rsid w:val="00135490"/>
    <w:rsid w:val="001354D9"/>
    <w:rsid w:val="0013560C"/>
    <w:rsid w:val="0013570C"/>
    <w:rsid w:val="0013581E"/>
    <w:rsid w:val="00135901"/>
    <w:rsid w:val="00135990"/>
    <w:rsid w:val="00135AF6"/>
    <w:rsid w:val="00135B53"/>
    <w:rsid w:val="00135D9C"/>
    <w:rsid w:val="00135DAA"/>
    <w:rsid w:val="00136165"/>
    <w:rsid w:val="001361DC"/>
    <w:rsid w:val="00136294"/>
    <w:rsid w:val="001362E4"/>
    <w:rsid w:val="00136314"/>
    <w:rsid w:val="001367E3"/>
    <w:rsid w:val="0013686B"/>
    <w:rsid w:val="001368B5"/>
    <w:rsid w:val="00136C41"/>
    <w:rsid w:val="0013718F"/>
    <w:rsid w:val="001375B6"/>
    <w:rsid w:val="00137647"/>
    <w:rsid w:val="001376DD"/>
    <w:rsid w:val="001376F3"/>
    <w:rsid w:val="001378B7"/>
    <w:rsid w:val="00137A0F"/>
    <w:rsid w:val="00137A72"/>
    <w:rsid w:val="00137C0F"/>
    <w:rsid w:val="00137CF0"/>
    <w:rsid w:val="00137DA6"/>
    <w:rsid w:val="00137F51"/>
    <w:rsid w:val="001400A5"/>
    <w:rsid w:val="001402B4"/>
    <w:rsid w:val="001402C1"/>
    <w:rsid w:val="00140309"/>
    <w:rsid w:val="0014040F"/>
    <w:rsid w:val="0014047F"/>
    <w:rsid w:val="00140506"/>
    <w:rsid w:val="00140676"/>
    <w:rsid w:val="001406E5"/>
    <w:rsid w:val="00140D89"/>
    <w:rsid w:val="00140DA2"/>
    <w:rsid w:val="00140EBE"/>
    <w:rsid w:val="001412D2"/>
    <w:rsid w:val="00141363"/>
    <w:rsid w:val="001413B9"/>
    <w:rsid w:val="00141472"/>
    <w:rsid w:val="001416A9"/>
    <w:rsid w:val="001417EE"/>
    <w:rsid w:val="001417F2"/>
    <w:rsid w:val="00141845"/>
    <w:rsid w:val="0014192D"/>
    <w:rsid w:val="00141C33"/>
    <w:rsid w:val="00141C68"/>
    <w:rsid w:val="00141D13"/>
    <w:rsid w:val="00141FE9"/>
    <w:rsid w:val="00142962"/>
    <w:rsid w:val="00142977"/>
    <w:rsid w:val="00142C8C"/>
    <w:rsid w:val="00142D59"/>
    <w:rsid w:val="00142DAD"/>
    <w:rsid w:val="0014315D"/>
    <w:rsid w:val="001436BD"/>
    <w:rsid w:val="0014370F"/>
    <w:rsid w:val="0014398C"/>
    <w:rsid w:val="001439F8"/>
    <w:rsid w:val="00143BDC"/>
    <w:rsid w:val="00143D26"/>
    <w:rsid w:val="0014428F"/>
    <w:rsid w:val="001443D3"/>
    <w:rsid w:val="0014448F"/>
    <w:rsid w:val="001445A3"/>
    <w:rsid w:val="00144747"/>
    <w:rsid w:val="001447B4"/>
    <w:rsid w:val="00144A3B"/>
    <w:rsid w:val="00144D6B"/>
    <w:rsid w:val="00144EDF"/>
    <w:rsid w:val="00145124"/>
    <w:rsid w:val="0014554A"/>
    <w:rsid w:val="0014569B"/>
    <w:rsid w:val="001457B7"/>
    <w:rsid w:val="001457B8"/>
    <w:rsid w:val="001457BC"/>
    <w:rsid w:val="0014586B"/>
    <w:rsid w:val="001459F8"/>
    <w:rsid w:val="00145AEA"/>
    <w:rsid w:val="00145C5D"/>
    <w:rsid w:val="00145C62"/>
    <w:rsid w:val="00145D87"/>
    <w:rsid w:val="00146161"/>
    <w:rsid w:val="00146165"/>
    <w:rsid w:val="001463BC"/>
    <w:rsid w:val="00146526"/>
    <w:rsid w:val="001467C2"/>
    <w:rsid w:val="00146899"/>
    <w:rsid w:val="001469D5"/>
    <w:rsid w:val="00146A07"/>
    <w:rsid w:val="00146C14"/>
    <w:rsid w:val="00146CFE"/>
    <w:rsid w:val="00146F51"/>
    <w:rsid w:val="00147178"/>
    <w:rsid w:val="0014718D"/>
    <w:rsid w:val="001471D4"/>
    <w:rsid w:val="001472F0"/>
    <w:rsid w:val="0014739C"/>
    <w:rsid w:val="0014745E"/>
    <w:rsid w:val="00147518"/>
    <w:rsid w:val="0014759A"/>
    <w:rsid w:val="0014773F"/>
    <w:rsid w:val="00147797"/>
    <w:rsid w:val="001477F3"/>
    <w:rsid w:val="001477FD"/>
    <w:rsid w:val="001478A3"/>
    <w:rsid w:val="0014795C"/>
    <w:rsid w:val="00147B4B"/>
    <w:rsid w:val="00147C91"/>
    <w:rsid w:val="00147D12"/>
    <w:rsid w:val="00147FEF"/>
    <w:rsid w:val="00150012"/>
    <w:rsid w:val="0015077F"/>
    <w:rsid w:val="00150876"/>
    <w:rsid w:val="00150DA0"/>
    <w:rsid w:val="00150E2C"/>
    <w:rsid w:val="0015116A"/>
    <w:rsid w:val="001511E0"/>
    <w:rsid w:val="001515FA"/>
    <w:rsid w:val="0015171A"/>
    <w:rsid w:val="00151788"/>
    <w:rsid w:val="00151890"/>
    <w:rsid w:val="001518F0"/>
    <w:rsid w:val="001519D3"/>
    <w:rsid w:val="00151AA7"/>
    <w:rsid w:val="00151B74"/>
    <w:rsid w:val="00151C05"/>
    <w:rsid w:val="00151E1D"/>
    <w:rsid w:val="00151E3D"/>
    <w:rsid w:val="00151ECB"/>
    <w:rsid w:val="00152064"/>
    <w:rsid w:val="00152105"/>
    <w:rsid w:val="001521DE"/>
    <w:rsid w:val="00152217"/>
    <w:rsid w:val="00152297"/>
    <w:rsid w:val="001522A5"/>
    <w:rsid w:val="00152516"/>
    <w:rsid w:val="00152526"/>
    <w:rsid w:val="001528A2"/>
    <w:rsid w:val="00152A27"/>
    <w:rsid w:val="00152B6E"/>
    <w:rsid w:val="00152BF8"/>
    <w:rsid w:val="00152E25"/>
    <w:rsid w:val="00153086"/>
    <w:rsid w:val="0015320A"/>
    <w:rsid w:val="00153300"/>
    <w:rsid w:val="0015330D"/>
    <w:rsid w:val="00153553"/>
    <w:rsid w:val="001536C5"/>
    <w:rsid w:val="0015387D"/>
    <w:rsid w:val="00153A33"/>
    <w:rsid w:val="00153B27"/>
    <w:rsid w:val="00153DDD"/>
    <w:rsid w:val="00153DFD"/>
    <w:rsid w:val="00154106"/>
    <w:rsid w:val="00154160"/>
    <w:rsid w:val="001542CB"/>
    <w:rsid w:val="00154300"/>
    <w:rsid w:val="00154342"/>
    <w:rsid w:val="00154344"/>
    <w:rsid w:val="001543A2"/>
    <w:rsid w:val="0015444E"/>
    <w:rsid w:val="0015451F"/>
    <w:rsid w:val="00154595"/>
    <w:rsid w:val="0015461E"/>
    <w:rsid w:val="00154714"/>
    <w:rsid w:val="0015475D"/>
    <w:rsid w:val="001547A6"/>
    <w:rsid w:val="001547B2"/>
    <w:rsid w:val="00154BAB"/>
    <w:rsid w:val="00154BEF"/>
    <w:rsid w:val="00154D5E"/>
    <w:rsid w:val="00154F61"/>
    <w:rsid w:val="00154F93"/>
    <w:rsid w:val="00155123"/>
    <w:rsid w:val="0015515B"/>
    <w:rsid w:val="001551AF"/>
    <w:rsid w:val="001552BC"/>
    <w:rsid w:val="00155470"/>
    <w:rsid w:val="00155743"/>
    <w:rsid w:val="00155901"/>
    <w:rsid w:val="00155DDE"/>
    <w:rsid w:val="00155F12"/>
    <w:rsid w:val="00155FC9"/>
    <w:rsid w:val="0015606F"/>
    <w:rsid w:val="00156105"/>
    <w:rsid w:val="00156112"/>
    <w:rsid w:val="001561E9"/>
    <w:rsid w:val="00156321"/>
    <w:rsid w:val="00156435"/>
    <w:rsid w:val="00156649"/>
    <w:rsid w:val="00156844"/>
    <w:rsid w:val="00156AC3"/>
    <w:rsid w:val="00156BAF"/>
    <w:rsid w:val="001570EB"/>
    <w:rsid w:val="001571BC"/>
    <w:rsid w:val="00157343"/>
    <w:rsid w:val="00157BD7"/>
    <w:rsid w:val="00157CD1"/>
    <w:rsid w:val="00157D57"/>
    <w:rsid w:val="00157E03"/>
    <w:rsid w:val="00157EBE"/>
    <w:rsid w:val="00157FC5"/>
    <w:rsid w:val="00160428"/>
    <w:rsid w:val="00160822"/>
    <w:rsid w:val="00160B6D"/>
    <w:rsid w:val="00160BD4"/>
    <w:rsid w:val="001613EE"/>
    <w:rsid w:val="001616A4"/>
    <w:rsid w:val="001617B8"/>
    <w:rsid w:val="00161814"/>
    <w:rsid w:val="00161BC8"/>
    <w:rsid w:val="00161BDF"/>
    <w:rsid w:val="00161C4F"/>
    <w:rsid w:val="00161D79"/>
    <w:rsid w:val="00161DCF"/>
    <w:rsid w:val="001622A5"/>
    <w:rsid w:val="00162978"/>
    <w:rsid w:val="00162AC3"/>
    <w:rsid w:val="00162AC5"/>
    <w:rsid w:val="00162B70"/>
    <w:rsid w:val="00162E45"/>
    <w:rsid w:val="00163131"/>
    <w:rsid w:val="001631C0"/>
    <w:rsid w:val="001632B5"/>
    <w:rsid w:val="00163331"/>
    <w:rsid w:val="001633EA"/>
    <w:rsid w:val="00163591"/>
    <w:rsid w:val="00163764"/>
    <w:rsid w:val="0016382B"/>
    <w:rsid w:val="00163859"/>
    <w:rsid w:val="00163881"/>
    <w:rsid w:val="00163AD2"/>
    <w:rsid w:val="00163AF8"/>
    <w:rsid w:val="00163C58"/>
    <w:rsid w:val="00163D28"/>
    <w:rsid w:val="00163D32"/>
    <w:rsid w:val="00163EF3"/>
    <w:rsid w:val="00163EF5"/>
    <w:rsid w:val="00164175"/>
    <w:rsid w:val="001645F6"/>
    <w:rsid w:val="00164647"/>
    <w:rsid w:val="00164711"/>
    <w:rsid w:val="00164748"/>
    <w:rsid w:val="00164EA9"/>
    <w:rsid w:val="00164F67"/>
    <w:rsid w:val="00164FBE"/>
    <w:rsid w:val="0016509A"/>
    <w:rsid w:val="00165103"/>
    <w:rsid w:val="00165171"/>
    <w:rsid w:val="0016522E"/>
    <w:rsid w:val="001652DF"/>
    <w:rsid w:val="00165738"/>
    <w:rsid w:val="001659E4"/>
    <w:rsid w:val="00165A3A"/>
    <w:rsid w:val="00165BFC"/>
    <w:rsid w:val="00165D17"/>
    <w:rsid w:val="00165DAF"/>
    <w:rsid w:val="00165E1A"/>
    <w:rsid w:val="00166119"/>
    <w:rsid w:val="001661CB"/>
    <w:rsid w:val="001661ED"/>
    <w:rsid w:val="0016659D"/>
    <w:rsid w:val="0016690F"/>
    <w:rsid w:val="00166973"/>
    <w:rsid w:val="00166C2A"/>
    <w:rsid w:val="00167071"/>
    <w:rsid w:val="001672D0"/>
    <w:rsid w:val="001673AB"/>
    <w:rsid w:val="001673CD"/>
    <w:rsid w:val="0016761E"/>
    <w:rsid w:val="00167863"/>
    <w:rsid w:val="00167AA4"/>
    <w:rsid w:val="00167AF9"/>
    <w:rsid w:val="00167B44"/>
    <w:rsid w:val="00167B5B"/>
    <w:rsid w:val="00167C37"/>
    <w:rsid w:val="001701EF"/>
    <w:rsid w:val="00170440"/>
    <w:rsid w:val="0017086E"/>
    <w:rsid w:val="001708B9"/>
    <w:rsid w:val="001712AB"/>
    <w:rsid w:val="00171308"/>
    <w:rsid w:val="00171529"/>
    <w:rsid w:val="0017165E"/>
    <w:rsid w:val="00171809"/>
    <w:rsid w:val="00171837"/>
    <w:rsid w:val="00171A24"/>
    <w:rsid w:val="00171D6E"/>
    <w:rsid w:val="00171F22"/>
    <w:rsid w:val="00171FD1"/>
    <w:rsid w:val="001720BF"/>
    <w:rsid w:val="0017210A"/>
    <w:rsid w:val="001721E3"/>
    <w:rsid w:val="001723A5"/>
    <w:rsid w:val="00172489"/>
    <w:rsid w:val="0017254F"/>
    <w:rsid w:val="001726C3"/>
    <w:rsid w:val="0017280D"/>
    <w:rsid w:val="00172821"/>
    <w:rsid w:val="00172AAA"/>
    <w:rsid w:val="00172D3F"/>
    <w:rsid w:val="00172E0D"/>
    <w:rsid w:val="00172F96"/>
    <w:rsid w:val="001730E2"/>
    <w:rsid w:val="0017310F"/>
    <w:rsid w:val="0017323E"/>
    <w:rsid w:val="00173277"/>
    <w:rsid w:val="001734D8"/>
    <w:rsid w:val="001735AD"/>
    <w:rsid w:val="001735BC"/>
    <w:rsid w:val="001736AC"/>
    <w:rsid w:val="0017372D"/>
    <w:rsid w:val="001738B7"/>
    <w:rsid w:val="00173B41"/>
    <w:rsid w:val="00173EB9"/>
    <w:rsid w:val="00174245"/>
    <w:rsid w:val="001742A4"/>
    <w:rsid w:val="00174337"/>
    <w:rsid w:val="001743B3"/>
    <w:rsid w:val="00174573"/>
    <w:rsid w:val="001747C7"/>
    <w:rsid w:val="00174A0B"/>
    <w:rsid w:val="00174A2F"/>
    <w:rsid w:val="00174B7E"/>
    <w:rsid w:val="00174E02"/>
    <w:rsid w:val="00174ECD"/>
    <w:rsid w:val="00175001"/>
    <w:rsid w:val="00175021"/>
    <w:rsid w:val="00175032"/>
    <w:rsid w:val="001751E6"/>
    <w:rsid w:val="001751F2"/>
    <w:rsid w:val="001752D7"/>
    <w:rsid w:val="0017541A"/>
    <w:rsid w:val="0017554B"/>
    <w:rsid w:val="001757CE"/>
    <w:rsid w:val="00175A57"/>
    <w:rsid w:val="00175B8C"/>
    <w:rsid w:val="00175BC4"/>
    <w:rsid w:val="00175BC6"/>
    <w:rsid w:val="00175C7E"/>
    <w:rsid w:val="00175D26"/>
    <w:rsid w:val="00175E05"/>
    <w:rsid w:val="00175EEB"/>
    <w:rsid w:val="00175FE9"/>
    <w:rsid w:val="001760C1"/>
    <w:rsid w:val="00176137"/>
    <w:rsid w:val="0017629C"/>
    <w:rsid w:val="00176443"/>
    <w:rsid w:val="0017650E"/>
    <w:rsid w:val="00176524"/>
    <w:rsid w:val="00176762"/>
    <w:rsid w:val="00176898"/>
    <w:rsid w:val="001768FF"/>
    <w:rsid w:val="00176B04"/>
    <w:rsid w:val="00176B9A"/>
    <w:rsid w:val="00176B9E"/>
    <w:rsid w:val="00176C31"/>
    <w:rsid w:val="00176F0D"/>
    <w:rsid w:val="0017700E"/>
    <w:rsid w:val="00177269"/>
    <w:rsid w:val="001772D7"/>
    <w:rsid w:val="001772DA"/>
    <w:rsid w:val="001772DB"/>
    <w:rsid w:val="001776B9"/>
    <w:rsid w:val="001778C0"/>
    <w:rsid w:val="0017793E"/>
    <w:rsid w:val="00177AB2"/>
    <w:rsid w:val="00177B0A"/>
    <w:rsid w:val="00177D5D"/>
    <w:rsid w:val="00177E3C"/>
    <w:rsid w:val="00177E3E"/>
    <w:rsid w:val="00177E97"/>
    <w:rsid w:val="00177E9E"/>
    <w:rsid w:val="00177FA6"/>
    <w:rsid w:val="00180008"/>
    <w:rsid w:val="00180477"/>
    <w:rsid w:val="00180887"/>
    <w:rsid w:val="0018096D"/>
    <w:rsid w:val="001809B2"/>
    <w:rsid w:val="00180AED"/>
    <w:rsid w:val="00180BDA"/>
    <w:rsid w:val="00180E3A"/>
    <w:rsid w:val="00180F2D"/>
    <w:rsid w:val="00181081"/>
    <w:rsid w:val="0018108F"/>
    <w:rsid w:val="0018109B"/>
    <w:rsid w:val="0018115C"/>
    <w:rsid w:val="001814C9"/>
    <w:rsid w:val="0018162F"/>
    <w:rsid w:val="001816FE"/>
    <w:rsid w:val="00181736"/>
    <w:rsid w:val="00181786"/>
    <w:rsid w:val="001817F8"/>
    <w:rsid w:val="00181853"/>
    <w:rsid w:val="00181888"/>
    <w:rsid w:val="0018189B"/>
    <w:rsid w:val="00181910"/>
    <w:rsid w:val="00181D66"/>
    <w:rsid w:val="00181E2C"/>
    <w:rsid w:val="00181F70"/>
    <w:rsid w:val="00181FF2"/>
    <w:rsid w:val="0018215B"/>
    <w:rsid w:val="0018218F"/>
    <w:rsid w:val="0018264C"/>
    <w:rsid w:val="001827D2"/>
    <w:rsid w:val="00182844"/>
    <w:rsid w:val="001829A8"/>
    <w:rsid w:val="00182ABB"/>
    <w:rsid w:val="00182F4F"/>
    <w:rsid w:val="001830C3"/>
    <w:rsid w:val="00183115"/>
    <w:rsid w:val="00183133"/>
    <w:rsid w:val="0018323F"/>
    <w:rsid w:val="001837DD"/>
    <w:rsid w:val="001839A2"/>
    <w:rsid w:val="001839A6"/>
    <w:rsid w:val="001839C9"/>
    <w:rsid w:val="00183A55"/>
    <w:rsid w:val="00183DA7"/>
    <w:rsid w:val="00183F72"/>
    <w:rsid w:val="001840B6"/>
    <w:rsid w:val="00184262"/>
    <w:rsid w:val="001845E6"/>
    <w:rsid w:val="001847E8"/>
    <w:rsid w:val="00184A9C"/>
    <w:rsid w:val="00184AA5"/>
    <w:rsid w:val="00184B42"/>
    <w:rsid w:val="00184F02"/>
    <w:rsid w:val="00185069"/>
    <w:rsid w:val="00185229"/>
    <w:rsid w:val="0018531B"/>
    <w:rsid w:val="00185709"/>
    <w:rsid w:val="00185870"/>
    <w:rsid w:val="00185890"/>
    <w:rsid w:val="00185B28"/>
    <w:rsid w:val="00185B4C"/>
    <w:rsid w:val="00185D1B"/>
    <w:rsid w:val="00185D57"/>
    <w:rsid w:val="00185E84"/>
    <w:rsid w:val="00185FED"/>
    <w:rsid w:val="00186154"/>
    <w:rsid w:val="001861E0"/>
    <w:rsid w:val="00186381"/>
    <w:rsid w:val="001864A7"/>
    <w:rsid w:val="0018656D"/>
    <w:rsid w:val="001866A5"/>
    <w:rsid w:val="001868DC"/>
    <w:rsid w:val="001868EC"/>
    <w:rsid w:val="00186B21"/>
    <w:rsid w:val="00186C52"/>
    <w:rsid w:val="00186D60"/>
    <w:rsid w:val="00186EB1"/>
    <w:rsid w:val="00186F5E"/>
    <w:rsid w:val="00186FC8"/>
    <w:rsid w:val="00187009"/>
    <w:rsid w:val="001873AE"/>
    <w:rsid w:val="001874BD"/>
    <w:rsid w:val="001874D3"/>
    <w:rsid w:val="0018776F"/>
    <w:rsid w:val="0018777E"/>
    <w:rsid w:val="001877A0"/>
    <w:rsid w:val="001900F4"/>
    <w:rsid w:val="0019024B"/>
    <w:rsid w:val="001902E4"/>
    <w:rsid w:val="00190363"/>
    <w:rsid w:val="001903AB"/>
    <w:rsid w:val="001903EE"/>
    <w:rsid w:val="00190727"/>
    <w:rsid w:val="0019079C"/>
    <w:rsid w:val="00190846"/>
    <w:rsid w:val="00190945"/>
    <w:rsid w:val="00190E38"/>
    <w:rsid w:val="00191097"/>
    <w:rsid w:val="001911EE"/>
    <w:rsid w:val="00191427"/>
    <w:rsid w:val="0019167C"/>
    <w:rsid w:val="00191791"/>
    <w:rsid w:val="00191A78"/>
    <w:rsid w:val="00191C2C"/>
    <w:rsid w:val="00191FCB"/>
    <w:rsid w:val="001920D9"/>
    <w:rsid w:val="001923D4"/>
    <w:rsid w:val="00192B70"/>
    <w:rsid w:val="00192C29"/>
    <w:rsid w:val="00192D00"/>
    <w:rsid w:val="00192DC6"/>
    <w:rsid w:val="001931D9"/>
    <w:rsid w:val="001931E7"/>
    <w:rsid w:val="0019325A"/>
    <w:rsid w:val="00193388"/>
    <w:rsid w:val="001934BF"/>
    <w:rsid w:val="001938D1"/>
    <w:rsid w:val="00193A19"/>
    <w:rsid w:val="00193A70"/>
    <w:rsid w:val="00193AF9"/>
    <w:rsid w:val="00193CCE"/>
    <w:rsid w:val="00193D25"/>
    <w:rsid w:val="00193D7F"/>
    <w:rsid w:val="00193DF1"/>
    <w:rsid w:val="00193E30"/>
    <w:rsid w:val="00193FD4"/>
    <w:rsid w:val="0019416B"/>
    <w:rsid w:val="0019426D"/>
    <w:rsid w:val="001943D1"/>
    <w:rsid w:val="00194475"/>
    <w:rsid w:val="00194534"/>
    <w:rsid w:val="00194898"/>
    <w:rsid w:val="00194C53"/>
    <w:rsid w:val="00194E14"/>
    <w:rsid w:val="00194EB9"/>
    <w:rsid w:val="0019507D"/>
    <w:rsid w:val="00195410"/>
    <w:rsid w:val="0019543C"/>
    <w:rsid w:val="0019550F"/>
    <w:rsid w:val="00195555"/>
    <w:rsid w:val="00195783"/>
    <w:rsid w:val="0019588A"/>
    <w:rsid w:val="001959E8"/>
    <w:rsid w:val="00195BF1"/>
    <w:rsid w:val="00195C00"/>
    <w:rsid w:val="00195D1E"/>
    <w:rsid w:val="00195DA8"/>
    <w:rsid w:val="00195E52"/>
    <w:rsid w:val="00195E57"/>
    <w:rsid w:val="00195EF4"/>
    <w:rsid w:val="00195F27"/>
    <w:rsid w:val="00196142"/>
    <w:rsid w:val="0019658E"/>
    <w:rsid w:val="00196826"/>
    <w:rsid w:val="00196846"/>
    <w:rsid w:val="00196918"/>
    <w:rsid w:val="00196A7A"/>
    <w:rsid w:val="00196B4D"/>
    <w:rsid w:val="00196BF4"/>
    <w:rsid w:val="00196C2C"/>
    <w:rsid w:val="00196DE2"/>
    <w:rsid w:val="00196F0B"/>
    <w:rsid w:val="00196F44"/>
    <w:rsid w:val="00197209"/>
    <w:rsid w:val="001972D6"/>
    <w:rsid w:val="0019742A"/>
    <w:rsid w:val="001975EF"/>
    <w:rsid w:val="0019765A"/>
    <w:rsid w:val="00197779"/>
    <w:rsid w:val="00197832"/>
    <w:rsid w:val="00197912"/>
    <w:rsid w:val="001979ED"/>
    <w:rsid w:val="00197D94"/>
    <w:rsid w:val="001A0002"/>
    <w:rsid w:val="001A0150"/>
    <w:rsid w:val="001A0278"/>
    <w:rsid w:val="001A02F4"/>
    <w:rsid w:val="001A0686"/>
    <w:rsid w:val="001A091A"/>
    <w:rsid w:val="001A09B6"/>
    <w:rsid w:val="001A0BE2"/>
    <w:rsid w:val="001A0E69"/>
    <w:rsid w:val="001A0F7F"/>
    <w:rsid w:val="001A10A6"/>
    <w:rsid w:val="001A1243"/>
    <w:rsid w:val="001A138C"/>
    <w:rsid w:val="001A1722"/>
    <w:rsid w:val="001A17D1"/>
    <w:rsid w:val="001A191C"/>
    <w:rsid w:val="001A1C9F"/>
    <w:rsid w:val="001A1D82"/>
    <w:rsid w:val="001A1E90"/>
    <w:rsid w:val="001A2332"/>
    <w:rsid w:val="001A2617"/>
    <w:rsid w:val="001A28A5"/>
    <w:rsid w:val="001A29F3"/>
    <w:rsid w:val="001A2CA9"/>
    <w:rsid w:val="001A3187"/>
    <w:rsid w:val="001A3316"/>
    <w:rsid w:val="001A33F0"/>
    <w:rsid w:val="001A37EC"/>
    <w:rsid w:val="001A38B9"/>
    <w:rsid w:val="001A3944"/>
    <w:rsid w:val="001A3A3F"/>
    <w:rsid w:val="001A3A73"/>
    <w:rsid w:val="001A3B1F"/>
    <w:rsid w:val="001A3DD3"/>
    <w:rsid w:val="001A41A2"/>
    <w:rsid w:val="001A42B9"/>
    <w:rsid w:val="001A4423"/>
    <w:rsid w:val="001A45CF"/>
    <w:rsid w:val="001A4A6C"/>
    <w:rsid w:val="001A4B00"/>
    <w:rsid w:val="001A4B60"/>
    <w:rsid w:val="001A4B7D"/>
    <w:rsid w:val="001A4B8A"/>
    <w:rsid w:val="001A5060"/>
    <w:rsid w:val="001A50FA"/>
    <w:rsid w:val="001A5138"/>
    <w:rsid w:val="001A5194"/>
    <w:rsid w:val="001A525C"/>
    <w:rsid w:val="001A527F"/>
    <w:rsid w:val="001A544A"/>
    <w:rsid w:val="001A5472"/>
    <w:rsid w:val="001A5538"/>
    <w:rsid w:val="001A5728"/>
    <w:rsid w:val="001A59B2"/>
    <w:rsid w:val="001A5C65"/>
    <w:rsid w:val="001A5CC3"/>
    <w:rsid w:val="001A5CEA"/>
    <w:rsid w:val="001A5FD1"/>
    <w:rsid w:val="001A60B3"/>
    <w:rsid w:val="001A616B"/>
    <w:rsid w:val="001A6355"/>
    <w:rsid w:val="001A6520"/>
    <w:rsid w:val="001A6D49"/>
    <w:rsid w:val="001A733B"/>
    <w:rsid w:val="001A743B"/>
    <w:rsid w:val="001A7487"/>
    <w:rsid w:val="001A74CC"/>
    <w:rsid w:val="001A7727"/>
    <w:rsid w:val="001A7745"/>
    <w:rsid w:val="001A77E4"/>
    <w:rsid w:val="001A785D"/>
    <w:rsid w:val="001A7972"/>
    <w:rsid w:val="001A7C3A"/>
    <w:rsid w:val="001A7CA0"/>
    <w:rsid w:val="001A7D34"/>
    <w:rsid w:val="001B000C"/>
    <w:rsid w:val="001B0220"/>
    <w:rsid w:val="001B03D9"/>
    <w:rsid w:val="001B0439"/>
    <w:rsid w:val="001B0583"/>
    <w:rsid w:val="001B071D"/>
    <w:rsid w:val="001B0724"/>
    <w:rsid w:val="001B09BA"/>
    <w:rsid w:val="001B0C67"/>
    <w:rsid w:val="001B0DC6"/>
    <w:rsid w:val="001B0F26"/>
    <w:rsid w:val="001B0F7F"/>
    <w:rsid w:val="001B0F94"/>
    <w:rsid w:val="001B1455"/>
    <w:rsid w:val="001B17BF"/>
    <w:rsid w:val="001B18E2"/>
    <w:rsid w:val="001B1BC0"/>
    <w:rsid w:val="001B1BD9"/>
    <w:rsid w:val="001B1C32"/>
    <w:rsid w:val="001B1C91"/>
    <w:rsid w:val="001B1D2A"/>
    <w:rsid w:val="001B2160"/>
    <w:rsid w:val="001B21DE"/>
    <w:rsid w:val="001B23A4"/>
    <w:rsid w:val="001B2457"/>
    <w:rsid w:val="001B265F"/>
    <w:rsid w:val="001B29F0"/>
    <w:rsid w:val="001B2C55"/>
    <w:rsid w:val="001B2DD8"/>
    <w:rsid w:val="001B2E9E"/>
    <w:rsid w:val="001B2F5F"/>
    <w:rsid w:val="001B30A9"/>
    <w:rsid w:val="001B30E6"/>
    <w:rsid w:val="001B32E5"/>
    <w:rsid w:val="001B3428"/>
    <w:rsid w:val="001B356F"/>
    <w:rsid w:val="001B37FE"/>
    <w:rsid w:val="001B38E9"/>
    <w:rsid w:val="001B3BAF"/>
    <w:rsid w:val="001B3FF8"/>
    <w:rsid w:val="001B4195"/>
    <w:rsid w:val="001B4354"/>
    <w:rsid w:val="001B43B7"/>
    <w:rsid w:val="001B448B"/>
    <w:rsid w:val="001B4781"/>
    <w:rsid w:val="001B48F5"/>
    <w:rsid w:val="001B497E"/>
    <w:rsid w:val="001B4DA3"/>
    <w:rsid w:val="001B4DBE"/>
    <w:rsid w:val="001B4FDB"/>
    <w:rsid w:val="001B4FE4"/>
    <w:rsid w:val="001B506A"/>
    <w:rsid w:val="001B53E6"/>
    <w:rsid w:val="001B5416"/>
    <w:rsid w:val="001B555D"/>
    <w:rsid w:val="001B563F"/>
    <w:rsid w:val="001B58A7"/>
    <w:rsid w:val="001B59CE"/>
    <w:rsid w:val="001B5AAD"/>
    <w:rsid w:val="001B5C19"/>
    <w:rsid w:val="001B5D91"/>
    <w:rsid w:val="001B5DBC"/>
    <w:rsid w:val="001B5DF8"/>
    <w:rsid w:val="001B5E28"/>
    <w:rsid w:val="001B620E"/>
    <w:rsid w:val="001B6335"/>
    <w:rsid w:val="001B63D0"/>
    <w:rsid w:val="001B65F0"/>
    <w:rsid w:val="001B67C8"/>
    <w:rsid w:val="001B6830"/>
    <w:rsid w:val="001B686F"/>
    <w:rsid w:val="001B68D8"/>
    <w:rsid w:val="001B6CA5"/>
    <w:rsid w:val="001B6E15"/>
    <w:rsid w:val="001B705E"/>
    <w:rsid w:val="001B756C"/>
    <w:rsid w:val="001B7699"/>
    <w:rsid w:val="001B76CA"/>
    <w:rsid w:val="001B77B1"/>
    <w:rsid w:val="001B781D"/>
    <w:rsid w:val="001B7821"/>
    <w:rsid w:val="001B7E43"/>
    <w:rsid w:val="001C00C2"/>
    <w:rsid w:val="001C0117"/>
    <w:rsid w:val="001C02E9"/>
    <w:rsid w:val="001C0322"/>
    <w:rsid w:val="001C03B2"/>
    <w:rsid w:val="001C0561"/>
    <w:rsid w:val="001C0597"/>
    <w:rsid w:val="001C0654"/>
    <w:rsid w:val="001C07DD"/>
    <w:rsid w:val="001C07DF"/>
    <w:rsid w:val="001C08AE"/>
    <w:rsid w:val="001C0C8A"/>
    <w:rsid w:val="001C0CB1"/>
    <w:rsid w:val="001C0D10"/>
    <w:rsid w:val="001C0D6E"/>
    <w:rsid w:val="001C0E16"/>
    <w:rsid w:val="001C0F5D"/>
    <w:rsid w:val="001C12D2"/>
    <w:rsid w:val="001C151D"/>
    <w:rsid w:val="001C16F2"/>
    <w:rsid w:val="001C16FD"/>
    <w:rsid w:val="001C18C7"/>
    <w:rsid w:val="001C1C22"/>
    <w:rsid w:val="001C1CC3"/>
    <w:rsid w:val="001C202A"/>
    <w:rsid w:val="001C21A7"/>
    <w:rsid w:val="001C232B"/>
    <w:rsid w:val="001C2407"/>
    <w:rsid w:val="001C26BE"/>
    <w:rsid w:val="001C2742"/>
    <w:rsid w:val="001C29B7"/>
    <w:rsid w:val="001C2B5D"/>
    <w:rsid w:val="001C2BEB"/>
    <w:rsid w:val="001C3264"/>
    <w:rsid w:val="001C3398"/>
    <w:rsid w:val="001C33AB"/>
    <w:rsid w:val="001C3445"/>
    <w:rsid w:val="001C34DF"/>
    <w:rsid w:val="001C3793"/>
    <w:rsid w:val="001C39C6"/>
    <w:rsid w:val="001C3A15"/>
    <w:rsid w:val="001C3AA6"/>
    <w:rsid w:val="001C3BBC"/>
    <w:rsid w:val="001C3C04"/>
    <w:rsid w:val="001C3EC4"/>
    <w:rsid w:val="001C41FC"/>
    <w:rsid w:val="001C4283"/>
    <w:rsid w:val="001C4647"/>
    <w:rsid w:val="001C4691"/>
    <w:rsid w:val="001C490D"/>
    <w:rsid w:val="001C4DAF"/>
    <w:rsid w:val="001C5020"/>
    <w:rsid w:val="001C514A"/>
    <w:rsid w:val="001C5194"/>
    <w:rsid w:val="001C526D"/>
    <w:rsid w:val="001C5271"/>
    <w:rsid w:val="001C52F9"/>
    <w:rsid w:val="001C5447"/>
    <w:rsid w:val="001C5573"/>
    <w:rsid w:val="001C56DD"/>
    <w:rsid w:val="001C5A2D"/>
    <w:rsid w:val="001C6021"/>
    <w:rsid w:val="001C6059"/>
    <w:rsid w:val="001C60C7"/>
    <w:rsid w:val="001C62BC"/>
    <w:rsid w:val="001C638F"/>
    <w:rsid w:val="001C6836"/>
    <w:rsid w:val="001C6949"/>
    <w:rsid w:val="001C699B"/>
    <w:rsid w:val="001C6B77"/>
    <w:rsid w:val="001C6FA6"/>
    <w:rsid w:val="001C706D"/>
    <w:rsid w:val="001C7327"/>
    <w:rsid w:val="001C7363"/>
    <w:rsid w:val="001C740B"/>
    <w:rsid w:val="001C7512"/>
    <w:rsid w:val="001C7733"/>
    <w:rsid w:val="001C7861"/>
    <w:rsid w:val="001C786B"/>
    <w:rsid w:val="001C7CAB"/>
    <w:rsid w:val="001C7D73"/>
    <w:rsid w:val="001C7F75"/>
    <w:rsid w:val="001C7FCD"/>
    <w:rsid w:val="001D00D1"/>
    <w:rsid w:val="001D03A7"/>
    <w:rsid w:val="001D04A0"/>
    <w:rsid w:val="001D0641"/>
    <w:rsid w:val="001D0A45"/>
    <w:rsid w:val="001D0DD9"/>
    <w:rsid w:val="001D0EB9"/>
    <w:rsid w:val="001D0EC3"/>
    <w:rsid w:val="001D0F09"/>
    <w:rsid w:val="001D13D3"/>
    <w:rsid w:val="001D164C"/>
    <w:rsid w:val="001D1B4C"/>
    <w:rsid w:val="001D1BED"/>
    <w:rsid w:val="001D1E41"/>
    <w:rsid w:val="001D1E4E"/>
    <w:rsid w:val="001D2053"/>
    <w:rsid w:val="001D206E"/>
    <w:rsid w:val="001D22F7"/>
    <w:rsid w:val="001D23D0"/>
    <w:rsid w:val="001D255B"/>
    <w:rsid w:val="001D2601"/>
    <w:rsid w:val="001D26D3"/>
    <w:rsid w:val="001D2959"/>
    <w:rsid w:val="001D2AF1"/>
    <w:rsid w:val="001D2C29"/>
    <w:rsid w:val="001D2D06"/>
    <w:rsid w:val="001D2DD3"/>
    <w:rsid w:val="001D2E51"/>
    <w:rsid w:val="001D2E94"/>
    <w:rsid w:val="001D2E9C"/>
    <w:rsid w:val="001D2FB1"/>
    <w:rsid w:val="001D3079"/>
    <w:rsid w:val="001D33DA"/>
    <w:rsid w:val="001D3417"/>
    <w:rsid w:val="001D373F"/>
    <w:rsid w:val="001D3780"/>
    <w:rsid w:val="001D37B7"/>
    <w:rsid w:val="001D3888"/>
    <w:rsid w:val="001D39EC"/>
    <w:rsid w:val="001D3A15"/>
    <w:rsid w:val="001D3B36"/>
    <w:rsid w:val="001D3CC8"/>
    <w:rsid w:val="001D3D5A"/>
    <w:rsid w:val="001D3DAB"/>
    <w:rsid w:val="001D3DE3"/>
    <w:rsid w:val="001D3DFD"/>
    <w:rsid w:val="001D3FD6"/>
    <w:rsid w:val="001D4054"/>
    <w:rsid w:val="001D42FF"/>
    <w:rsid w:val="001D43D6"/>
    <w:rsid w:val="001D4461"/>
    <w:rsid w:val="001D46BB"/>
    <w:rsid w:val="001D487B"/>
    <w:rsid w:val="001D495C"/>
    <w:rsid w:val="001D4F1B"/>
    <w:rsid w:val="001D4F5D"/>
    <w:rsid w:val="001D518F"/>
    <w:rsid w:val="001D52A9"/>
    <w:rsid w:val="001D52F5"/>
    <w:rsid w:val="001D5EE9"/>
    <w:rsid w:val="001D5F30"/>
    <w:rsid w:val="001D5F7F"/>
    <w:rsid w:val="001D64C9"/>
    <w:rsid w:val="001D6632"/>
    <w:rsid w:val="001D6768"/>
    <w:rsid w:val="001D6772"/>
    <w:rsid w:val="001D6843"/>
    <w:rsid w:val="001D6A5F"/>
    <w:rsid w:val="001D6A64"/>
    <w:rsid w:val="001D6C1D"/>
    <w:rsid w:val="001D6EF3"/>
    <w:rsid w:val="001D7097"/>
    <w:rsid w:val="001D7130"/>
    <w:rsid w:val="001D71AE"/>
    <w:rsid w:val="001D721E"/>
    <w:rsid w:val="001D7353"/>
    <w:rsid w:val="001D7486"/>
    <w:rsid w:val="001D75EE"/>
    <w:rsid w:val="001D7891"/>
    <w:rsid w:val="001D7A1A"/>
    <w:rsid w:val="001D7B5F"/>
    <w:rsid w:val="001D7B6D"/>
    <w:rsid w:val="001D7E3C"/>
    <w:rsid w:val="001E016B"/>
    <w:rsid w:val="001E01EC"/>
    <w:rsid w:val="001E0631"/>
    <w:rsid w:val="001E082E"/>
    <w:rsid w:val="001E0A14"/>
    <w:rsid w:val="001E0BE1"/>
    <w:rsid w:val="001E0F65"/>
    <w:rsid w:val="001E1581"/>
    <w:rsid w:val="001E1627"/>
    <w:rsid w:val="001E1694"/>
    <w:rsid w:val="001E1A16"/>
    <w:rsid w:val="001E1C4F"/>
    <w:rsid w:val="001E1CD6"/>
    <w:rsid w:val="001E1D6C"/>
    <w:rsid w:val="001E1EBD"/>
    <w:rsid w:val="001E247E"/>
    <w:rsid w:val="001E25BF"/>
    <w:rsid w:val="001E269A"/>
    <w:rsid w:val="001E2725"/>
    <w:rsid w:val="001E2A52"/>
    <w:rsid w:val="001E2B8D"/>
    <w:rsid w:val="001E2E2D"/>
    <w:rsid w:val="001E3056"/>
    <w:rsid w:val="001E30AF"/>
    <w:rsid w:val="001E3316"/>
    <w:rsid w:val="001E349B"/>
    <w:rsid w:val="001E35F9"/>
    <w:rsid w:val="001E3764"/>
    <w:rsid w:val="001E37E6"/>
    <w:rsid w:val="001E38AE"/>
    <w:rsid w:val="001E3A65"/>
    <w:rsid w:val="001E3D54"/>
    <w:rsid w:val="001E3D85"/>
    <w:rsid w:val="001E3E84"/>
    <w:rsid w:val="001E3EF9"/>
    <w:rsid w:val="001E3F0A"/>
    <w:rsid w:val="001E3F23"/>
    <w:rsid w:val="001E3F8A"/>
    <w:rsid w:val="001E4036"/>
    <w:rsid w:val="001E412C"/>
    <w:rsid w:val="001E4479"/>
    <w:rsid w:val="001E44E0"/>
    <w:rsid w:val="001E48F3"/>
    <w:rsid w:val="001E4951"/>
    <w:rsid w:val="001E4A13"/>
    <w:rsid w:val="001E4A7B"/>
    <w:rsid w:val="001E4BB8"/>
    <w:rsid w:val="001E4BDE"/>
    <w:rsid w:val="001E4C06"/>
    <w:rsid w:val="001E4C1C"/>
    <w:rsid w:val="001E4C36"/>
    <w:rsid w:val="001E4E45"/>
    <w:rsid w:val="001E4FBA"/>
    <w:rsid w:val="001E5126"/>
    <w:rsid w:val="001E53DC"/>
    <w:rsid w:val="001E5561"/>
    <w:rsid w:val="001E5656"/>
    <w:rsid w:val="001E5682"/>
    <w:rsid w:val="001E58AB"/>
    <w:rsid w:val="001E59A4"/>
    <w:rsid w:val="001E5EEC"/>
    <w:rsid w:val="001E5FBB"/>
    <w:rsid w:val="001E6629"/>
    <w:rsid w:val="001E6689"/>
    <w:rsid w:val="001E66A6"/>
    <w:rsid w:val="001E6BA4"/>
    <w:rsid w:val="001E6DF5"/>
    <w:rsid w:val="001E6F37"/>
    <w:rsid w:val="001E6F58"/>
    <w:rsid w:val="001E7017"/>
    <w:rsid w:val="001E70F3"/>
    <w:rsid w:val="001E7156"/>
    <w:rsid w:val="001E72EB"/>
    <w:rsid w:val="001E75CC"/>
    <w:rsid w:val="001E75FA"/>
    <w:rsid w:val="001E768D"/>
    <w:rsid w:val="001E7777"/>
    <w:rsid w:val="001E78AF"/>
    <w:rsid w:val="001E79AB"/>
    <w:rsid w:val="001E7B0B"/>
    <w:rsid w:val="001E7BDF"/>
    <w:rsid w:val="001E7D3E"/>
    <w:rsid w:val="001E7D80"/>
    <w:rsid w:val="001E7F8D"/>
    <w:rsid w:val="001F009C"/>
    <w:rsid w:val="001F015A"/>
    <w:rsid w:val="001F03A8"/>
    <w:rsid w:val="001F03B7"/>
    <w:rsid w:val="001F05D8"/>
    <w:rsid w:val="001F0682"/>
    <w:rsid w:val="001F0793"/>
    <w:rsid w:val="001F09C3"/>
    <w:rsid w:val="001F0C46"/>
    <w:rsid w:val="001F0CDB"/>
    <w:rsid w:val="001F0DE1"/>
    <w:rsid w:val="001F0F30"/>
    <w:rsid w:val="001F1038"/>
    <w:rsid w:val="001F107C"/>
    <w:rsid w:val="001F10B9"/>
    <w:rsid w:val="001F129F"/>
    <w:rsid w:val="001F1368"/>
    <w:rsid w:val="001F149F"/>
    <w:rsid w:val="001F1502"/>
    <w:rsid w:val="001F1621"/>
    <w:rsid w:val="001F1807"/>
    <w:rsid w:val="001F1852"/>
    <w:rsid w:val="001F1967"/>
    <w:rsid w:val="001F1B6D"/>
    <w:rsid w:val="001F1C39"/>
    <w:rsid w:val="001F1E81"/>
    <w:rsid w:val="001F2183"/>
    <w:rsid w:val="001F22C4"/>
    <w:rsid w:val="001F25F1"/>
    <w:rsid w:val="001F3235"/>
    <w:rsid w:val="001F33D7"/>
    <w:rsid w:val="001F3731"/>
    <w:rsid w:val="001F3781"/>
    <w:rsid w:val="001F3794"/>
    <w:rsid w:val="001F38BE"/>
    <w:rsid w:val="001F38C0"/>
    <w:rsid w:val="001F3A3C"/>
    <w:rsid w:val="001F3BD4"/>
    <w:rsid w:val="001F3E19"/>
    <w:rsid w:val="001F3E4A"/>
    <w:rsid w:val="001F3FE4"/>
    <w:rsid w:val="001F410E"/>
    <w:rsid w:val="001F412B"/>
    <w:rsid w:val="001F41A2"/>
    <w:rsid w:val="001F41BA"/>
    <w:rsid w:val="001F432F"/>
    <w:rsid w:val="001F440E"/>
    <w:rsid w:val="001F44CF"/>
    <w:rsid w:val="001F4531"/>
    <w:rsid w:val="001F46AD"/>
    <w:rsid w:val="001F4A05"/>
    <w:rsid w:val="001F4B59"/>
    <w:rsid w:val="001F4C80"/>
    <w:rsid w:val="001F4DFB"/>
    <w:rsid w:val="001F5048"/>
    <w:rsid w:val="001F51D7"/>
    <w:rsid w:val="001F51DC"/>
    <w:rsid w:val="001F51E5"/>
    <w:rsid w:val="001F5434"/>
    <w:rsid w:val="001F544D"/>
    <w:rsid w:val="001F54B5"/>
    <w:rsid w:val="001F57E8"/>
    <w:rsid w:val="001F5857"/>
    <w:rsid w:val="001F59AA"/>
    <w:rsid w:val="001F5B19"/>
    <w:rsid w:val="001F5D07"/>
    <w:rsid w:val="001F5D8F"/>
    <w:rsid w:val="001F5E21"/>
    <w:rsid w:val="001F5F9A"/>
    <w:rsid w:val="001F5FC6"/>
    <w:rsid w:val="001F61B8"/>
    <w:rsid w:val="001F63A3"/>
    <w:rsid w:val="001F6484"/>
    <w:rsid w:val="001F6839"/>
    <w:rsid w:val="001F68A6"/>
    <w:rsid w:val="001F68BA"/>
    <w:rsid w:val="001F6B8C"/>
    <w:rsid w:val="001F6D8D"/>
    <w:rsid w:val="001F6E4B"/>
    <w:rsid w:val="001F6F3D"/>
    <w:rsid w:val="001F716D"/>
    <w:rsid w:val="001F72BE"/>
    <w:rsid w:val="001F7307"/>
    <w:rsid w:val="001F7316"/>
    <w:rsid w:val="001F7361"/>
    <w:rsid w:val="001F7550"/>
    <w:rsid w:val="001F778E"/>
    <w:rsid w:val="001F7A1B"/>
    <w:rsid w:val="001F7C4C"/>
    <w:rsid w:val="001F7D7F"/>
    <w:rsid w:val="0020045A"/>
    <w:rsid w:val="00200532"/>
    <w:rsid w:val="0020053C"/>
    <w:rsid w:val="00200584"/>
    <w:rsid w:val="0020063C"/>
    <w:rsid w:val="0020070A"/>
    <w:rsid w:val="0020083D"/>
    <w:rsid w:val="0020096F"/>
    <w:rsid w:val="00200B89"/>
    <w:rsid w:val="00200CC7"/>
    <w:rsid w:val="0020100D"/>
    <w:rsid w:val="00201136"/>
    <w:rsid w:val="0020121A"/>
    <w:rsid w:val="0020142A"/>
    <w:rsid w:val="00201717"/>
    <w:rsid w:val="0020178D"/>
    <w:rsid w:val="00201816"/>
    <w:rsid w:val="002018E5"/>
    <w:rsid w:val="00201A57"/>
    <w:rsid w:val="00201B6E"/>
    <w:rsid w:val="00201D03"/>
    <w:rsid w:val="00202021"/>
    <w:rsid w:val="00202139"/>
    <w:rsid w:val="0020213F"/>
    <w:rsid w:val="00202140"/>
    <w:rsid w:val="00202332"/>
    <w:rsid w:val="00202512"/>
    <w:rsid w:val="00202602"/>
    <w:rsid w:val="002027FC"/>
    <w:rsid w:val="002029DA"/>
    <w:rsid w:val="00202A5F"/>
    <w:rsid w:val="00202B79"/>
    <w:rsid w:val="00202C0B"/>
    <w:rsid w:val="00202CDE"/>
    <w:rsid w:val="00202DFC"/>
    <w:rsid w:val="002030B3"/>
    <w:rsid w:val="002030E3"/>
    <w:rsid w:val="0020333E"/>
    <w:rsid w:val="002036CE"/>
    <w:rsid w:val="00203B4B"/>
    <w:rsid w:val="00203D2A"/>
    <w:rsid w:val="00203F0E"/>
    <w:rsid w:val="00203FF4"/>
    <w:rsid w:val="0020418F"/>
    <w:rsid w:val="002041BE"/>
    <w:rsid w:val="00204658"/>
    <w:rsid w:val="00204706"/>
    <w:rsid w:val="002049CD"/>
    <w:rsid w:val="002049F7"/>
    <w:rsid w:val="00204CAB"/>
    <w:rsid w:val="00204CBA"/>
    <w:rsid w:val="00204DC6"/>
    <w:rsid w:val="00204F38"/>
    <w:rsid w:val="00205114"/>
    <w:rsid w:val="002051E0"/>
    <w:rsid w:val="002053F8"/>
    <w:rsid w:val="00205497"/>
    <w:rsid w:val="002054E6"/>
    <w:rsid w:val="0020553F"/>
    <w:rsid w:val="0020564E"/>
    <w:rsid w:val="0020568E"/>
    <w:rsid w:val="002056EC"/>
    <w:rsid w:val="002057FD"/>
    <w:rsid w:val="00205930"/>
    <w:rsid w:val="00205A89"/>
    <w:rsid w:val="00205ADA"/>
    <w:rsid w:val="00205EF2"/>
    <w:rsid w:val="00205F1F"/>
    <w:rsid w:val="00206084"/>
    <w:rsid w:val="002061E5"/>
    <w:rsid w:val="0020640B"/>
    <w:rsid w:val="0020644C"/>
    <w:rsid w:val="00206472"/>
    <w:rsid w:val="002064E6"/>
    <w:rsid w:val="002067FA"/>
    <w:rsid w:val="0020681D"/>
    <w:rsid w:val="00206A7C"/>
    <w:rsid w:val="00206A8B"/>
    <w:rsid w:val="00206BB8"/>
    <w:rsid w:val="00206CA3"/>
    <w:rsid w:val="00206D97"/>
    <w:rsid w:val="00206F05"/>
    <w:rsid w:val="0020739B"/>
    <w:rsid w:val="002075EF"/>
    <w:rsid w:val="00207769"/>
    <w:rsid w:val="002079D8"/>
    <w:rsid w:val="00207AB5"/>
    <w:rsid w:val="00207C70"/>
    <w:rsid w:val="00207D26"/>
    <w:rsid w:val="00207E55"/>
    <w:rsid w:val="00207E5C"/>
    <w:rsid w:val="00207FA7"/>
    <w:rsid w:val="0021007E"/>
    <w:rsid w:val="0021008B"/>
    <w:rsid w:val="002100E4"/>
    <w:rsid w:val="0021026B"/>
    <w:rsid w:val="002102C6"/>
    <w:rsid w:val="002104A6"/>
    <w:rsid w:val="00210771"/>
    <w:rsid w:val="00210773"/>
    <w:rsid w:val="00210B6E"/>
    <w:rsid w:val="00210E2F"/>
    <w:rsid w:val="00211083"/>
    <w:rsid w:val="00211093"/>
    <w:rsid w:val="00211103"/>
    <w:rsid w:val="00211677"/>
    <w:rsid w:val="0021173A"/>
    <w:rsid w:val="002117B7"/>
    <w:rsid w:val="002117EA"/>
    <w:rsid w:val="00211918"/>
    <w:rsid w:val="002119B7"/>
    <w:rsid w:val="00211A16"/>
    <w:rsid w:val="00211A3D"/>
    <w:rsid w:val="00211B73"/>
    <w:rsid w:val="00211C44"/>
    <w:rsid w:val="00211EA9"/>
    <w:rsid w:val="00211EC9"/>
    <w:rsid w:val="002120B2"/>
    <w:rsid w:val="00212155"/>
    <w:rsid w:val="002121BC"/>
    <w:rsid w:val="0021221A"/>
    <w:rsid w:val="002122FD"/>
    <w:rsid w:val="0021263C"/>
    <w:rsid w:val="0021283E"/>
    <w:rsid w:val="00212852"/>
    <w:rsid w:val="00213081"/>
    <w:rsid w:val="00213250"/>
    <w:rsid w:val="00213469"/>
    <w:rsid w:val="0021346D"/>
    <w:rsid w:val="00213AA5"/>
    <w:rsid w:val="00213AD4"/>
    <w:rsid w:val="00213CC2"/>
    <w:rsid w:val="00213DB2"/>
    <w:rsid w:val="00214058"/>
    <w:rsid w:val="00214111"/>
    <w:rsid w:val="00214159"/>
    <w:rsid w:val="002141BC"/>
    <w:rsid w:val="0021449C"/>
    <w:rsid w:val="00214924"/>
    <w:rsid w:val="00214951"/>
    <w:rsid w:val="00214E03"/>
    <w:rsid w:val="00214E32"/>
    <w:rsid w:val="002150EE"/>
    <w:rsid w:val="002152E9"/>
    <w:rsid w:val="00215321"/>
    <w:rsid w:val="00215383"/>
    <w:rsid w:val="002153C5"/>
    <w:rsid w:val="002153F7"/>
    <w:rsid w:val="002154A0"/>
    <w:rsid w:val="00215548"/>
    <w:rsid w:val="002155E4"/>
    <w:rsid w:val="0021562F"/>
    <w:rsid w:val="00215939"/>
    <w:rsid w:val="00215A7E"/>
    <w:rsid w:val="00215BD1"/>
    <w:rsid w:val="00215BFC"/>
    <w:rsid w:val="00215C20"/>
    <w:rsid w:val="00215DEA"/>
    <w:rsid w:val="00215E28"/>
    <w:rsid w:val="00215E93"/>
    <w:rsid w:val="00215FB9"/>
    <w:rsid w:val="00215FED"/>
    <w:rsid w:val="00216197"/>
    <w:rsid w:val="002163DE"/>
    <w:rsid w:val="0021651F"/>
    <w:rsid w:val="00216532"/>
    <w:rsid w:val="00216534"/>
    <w:rsid w:val="002166EA"/>
    <w:rsid w:val="002169B0"/>
    <w:rsid w:val="00216A55"/>
    <w:rsid w:val="00216AF2"/>
    <w:rsid w:val="00216BE7"/>
    <w:rsid w:val="00216CEE"/>
    <w:rsid w:val="00216CF6"/>
    <w:rsid w:val="00216F14"/>
    <w:rsid w:val="00217000"/>
    <w:rsid w:val="002171AA"/>
    <w:rsid w:val="002171CD"/>
    <w:rsid w:val="00217223"/>
    <w:rsid w:val="00217240"/>
    <w:rsid w:val="00217492"/>
    <w:rsid w:val="00217591"/>
    <w:rsid w:val="00217762"/>
    <w:rsid w:val="0021798D"/>
    <w:rsid w:val="00217CC7"/>
    <w:rsid w:val="00217D24"/>
    <w:rsid w:val="00217D85"/>
    <w:rsid w:val="00217E7F"/>
    <w:rsid w:val="00217FB2"/>
    <w:rsid w:val="0022074F"/>
    <w:rsid w:val="00220BD3"/>
    <w:rsid w:val="00220CCF"/>
    <w:rsid w:val="00220D17"/>
    <w:rsid w:val="00220EED"/>
    <w:rsid w:val="0022103A"/>
    <w:rsid w:val="00221363"/>
    <w:rsid w:val="00221419"/>
    <w:rsid w:val="0022182F"/>
    <w:rsid w:val="00221C6B"/>
    <w:rsid w:val="00221D45"/>
    <w:rsid w:val="00221ED1"/>
    <w:rsid w:val="002220B5"/>
    <w:rsid w:val="002222BC"/>
    <w:rsid w:val="00222332"/>
    <w:rsid w:val="002225CB"/>
    <w:rsid w:val="0022286D"/>
    <w:rsid w:val="00222BF3"/>
    <w:rsid w:val="002231AD"/>
    <w:rsid w:val="00223240"/>
    <w:rsid w:val="00223409"/>
    <w:rsid w:val="0022367D"/>
    <w:rsid w:val="002239F4"/>
    <w:rsid w:val="00223BCA"/>
    <w:rsid w:val="00223C77"/>
    <w:rsid w:val="00223CFF"/>
    <w:rsid w:val="00223D0B"/>
    <w:rsid w:val="00223F25"/>
    <w:rsid w:val="00223FB3"/>
    <w:rsid w:val="0022418F"/>
    <w:rsid w:val="00224288"/>
    <w:rsid w:val="0022431B"/>
    <w:rsid w:val="002244CC"/>
    <w:rsid w:val="002244D3"/>
    <w:rsid w:val="00224565"/>
    <w:rsid w:val="002245D3"/>
    <w:rsid w:val="00224705"/>
    <w:rsid w:val="00224804"/>
    <w:rsid w:val="00224813"/>
    <w:rsid w:val="002248C5"/>
    <w:rsid w:val="00224B07"/>
    <w:rsid w:val="00224BFE"/>
    <w:rsid w:val="00224D60"/>
    <w:rsid w:val="00224D6F"/>
    <w:rsid w:val="00224D7E"/>
    <w:rsid w:val="00224ECB"/>
    <w:rsid w:val="00225128"/>
    <w:rsid w:val="00225401"/>
    <w:rsid w:val="0022543C"/>
    <w:rsid w:val="002255ED"/>
    <w:rsid w:val="00225692"/>
    <w:rsid w:val="002256E0"/>
    <w:rsid w:val="002257BE"/>
    <w:rsid w:val="00225B5D"/>
    <w:rsid w:val="00225BD5"/>
    <w:rsid w:val="00225EDD"/>
    <w:rsid w:val="00225F78"/>
    <w:rsid w:val="00226052"/>
    <w:rsid w:val="002260E1"/>
    <w:rsid w:val="002261D0"/>
    <w:rsid w:val="00226308"/>
    <w:rsid w:val="00226488"/>
    <w:rsid w:val="00226572"/>
    <w:rsid w:val="002266D1"/>
    <w:rsid w:val="002267DA"/>
    <w:rsid w:val="00226848"/>
    <w:rsid w:val="002268CC"/>
    <w:rsid w:val="002268F4"/>
    <w:rsid w:val="00226903"/>
    <w:rsid w:val="00226B35"/>
    <w:rsid w:val="00226BF2"/>
    <w:rsid w:val="00226C4B"/>
    <w:rsid w:val="00226CE6"/>
    <w:rsid w:val="00227372"/>
    <w:rsid w:val="00227399"/>
    <w:rsid w:val="0022742D"/>
    <w:rsid w:val="00227594"/>
    <w:rsid w:val="00227755"/>
    <w:rsid w:val="0022775F"/>
    <w:rsid w:val="00227785"/>
    <w:rsid w:val="00227A7A"/>
    <w:rsid w:val="00227B45"/>
    <w:rsid w:val="00227BF1"/>
    <w:rsid w:val="00227C03"/>
    <w:rsid w:val="00227F1F"/>
    <w:rsid w:val="0023014F"/>
    <w:rsid w:val="002301B7"/>
    <w:rsid w:val="00230455"/>
    <w:rsid w:val="0023046D"/>
    <w:rsid w:val="00230473"/>
    <w:rsid w:val="00230670"/>
    <w:rsid w:val="00230967"/>
    <w:rsid w:val="00230BE3"/>
    <w:rsid w:val="00230D45"/>
    <w:rsid w:val="00230DD7"/>
    <w:rsid w:val="00231018"/>
    <w:rsid w:val="0023113D"/>
    <w:rsid w:val="0023115E"/>
    <w:rsid w:val="002311E1"/>
    <w:rsid w:val="0023157B"/>
    <w:rsid w:val="00231A63"/>
    <w:rsid w:val="00231B44"/>
    <w:rsid w:val="00231D83"/>
    <w:rsid w:val="00231DE3"/>
    <w:rsid w:val="00231DE8"/>
    <w:rsid w:val="00231E2D"/>
    <w:rsid w:val="00231EC5"/>
    <w:rsid w:val="00231FEE"/>
    <w:rsid w:val="00232364"/>
    <w:rsid w:val="002324B9"/>
    <w:rsid w:val="0023252B"/>
    <w:rsid w:val="00232541"/>
    <w:rsid w:val="002325CB"/>
    <w:rsid w:val="0023264B"/>
    <w:rsid w:val="00232866"/>
    <w:rsid w:val="002328EE"/>
    <w:rsid w:val="0023294C"/>
    <w:rsid w:val="00232950"/>
    <w:rsid w:val="002329D1"/>
    <w:rsid w:val="00232AFA"/>
    <w:rsid w:val="00232BF7"/>
    <w:rsid w:val="00232D23"/>
    <w:rsid w:val="00232D40"/>
    <w:rsid w:val="00232DE2"/>
    <w:rsid w:val="0023312F"/>
    <w:rsid w:val="002331A8"/>
    <w:rsid w:val="002334EF"/>
    <w:rsid w:val="00233559"/>
    <w:rsid w:val="00233639"/>
    <w:rsid w:val="00233704"/>
    <w:rsid w:val="0023379D"/>
    <w:rsid w:val="00233833"/>
    <w:rsid w:val="00233A29"/>
    <w:rsid w:val="00233B95"/>
    <w:rsid w:val="00233BA2"/>
    <w:rsid w:val="00233F14"/>
    <w:rsid w:val="00233F89"/>
    <w:rsid w:val="00234019"/>
    <w:rsid w:val="002340B6"/>
    <w:rsid w:val="002343DB"/>
    <w:rsid w:val="00234400"/>
    <w:rsid w:val="0023442C"/>
    <w:rsid w:val="0023465A"/>
    <w:rsid w:val="00234910"/>
    <w:rsid w:val="002349D6"/>
    <w:rsid w:val="00234B73"/>
    <w:rsid w:val="00234BA2"/>
    <w:rsid w:val="00234BCE"/>
    <w:rsid w:val="00234F5B"/>
    <w:rsid w:val="0023531C"/>
    <w:rsid w:val="0023533E"/>
    <w:rsid w:val="002353EE"/>
    <w:rsid w:val="002354E7"/>
    <w:rsid w:val="00235535"/>
    <w:rsid w:val="00235582"/>
    <w:rsid w:val="00235A22"/>
    <w:rsid w:val="00235C29"/>
    <w:rsid w:val="00235F3C"/>
    <w:rsid w:val="0023609C"/>
    <w:rsid w:val="002361BA"/>
    <w:rsid w:val="00236243"/>
    <w:rsid w:val="0023631C"/>
    <w:rsid w:val="00236366"/>
    <w:rsid w:val="002363D0"/>
    <w:rsid w:val="00236400"/>
    <w:rsid w:val="00236451"/>
    <w:rsid w:val="002367B9"/>
    <w:rsid w:val="0023684B"/>
    <w:rsid w:val="002368DE"/>
    <w:rsid w:val="00236BD9"/>
    <w:rsid w:val="00236DE9"/>
    <w:rsid w:val="00236EBD"/>
    <w:rsid w:val="0023702E"/>
    <w:rsid w:val="002370AB"/>
    <w:rsid w:val="0023720D"/>
    <w:rsid w:val="00237280"/>
    <w:rsid w:val="0023730C"/>
    <w:rsid w:val="0023763B"/>
    <w:rsid w:val="00237872"/>
    <w:rsid w:val="00237895"/>
    <w:rsid w:val="002379C1"/>
    <w:rsid w:val="00237A2C"/>
    <w:rsid w:val="00237E9C"/>
    <w:rsid w:val="0024005D"/>
    <w:rsid w:val="002400C5"/>
    <w:rsid w:val="0024022C"/>
    <w:rsid w:val="0024024F"/>
    <w:rsid w:val="00240270"/>
    <w:rsid w:val="00240324"/>
    <w:rsid w:val="0024045D"/>
    <w:rsid w:val="0024050F"/>
    <w:rsid w:val="0024067E"/>
    <w:rsid w:val="002406B7"/>
    <w:rsid w:val="002406DA"/>
    <w:rsid w:val="002407CB"/>
    <w:rsid w:val="00240816"/>
    <w:rsid w:val="002408BC"/>
    <w:rsid w:val="002409E3"/>
    <w:rsid w:val="00240A24"/>
    <w:rsid w:val="00240D24"/>
    <w:rsid w:val="00240DE4"/>
    <w:rsid w:val="00240E05"/>
    <w:rsid w:val="00240E11"/>
    <w:rsid w:val="00240FF5"/>
    <w:rsid w:val="00241539"/>
    <w:rsid w:val="00241696"/>
    <w:rsid w:val="002417D9"/>
    <w:rsid w:val="002417DC"/>
    <w:rsid w:val="002417E1"/>
    <w:rsid w:val="0024185B"/>
    <w:rsid w:val="002418E2"/>
    <w:rsid w:val="0024190E"/>
    <w:rsid w:val="00241B5E"/>
    <w:rsid w:val="00241CE5"/>
    <w:rsid w:val="00241D1C"/>
    <w:rsid w:val="00241EE7"/>
    <w:rsid w:val="00241FB1"/>
    <w:rsid w:val="0024217B"/>
    <w:rsid w:val="002424A0"/>
    <w:rsid w:val="002428B4"/>
    <w:rsid w:val="00242E69"/>
    <w:rsid w:val="00242EEC"/>
    <w:rsid w:val="00242F64"/>
    <w:rsid w:val="00243030"/>
    <w:rsid w:val="0024326E"/>
    <w:rsid w:val="002432A5"/>
    <w:rsid w:val="00243361"/>
    <w:rsid w:val="00243688"/>
    <w:rsid w:val="002436B6"/>
    <w:rsid w:val="002438D0"/>
    <w:rsid w:val="00243AC9"/>
    <w:rsid w:val="00243D87"/>
    <w:rsid w:val="00243F03"/>
    <w:rsid w:val="00244010"/>
    <w:rsid w:val="002441BE"/>
    <w:rsid w:val="002442F3"/>
    <w:rsid w:val="00244420"/>
    <w:rsid w:val="0024443C"/>
    <w:rsid w:val="00244484"/>
    <w:rsid w:val="00244680"/>
    <w:rsid w:val="00244926"/>
    <w:rsid w:val="00244933"/>
    <w:rsid w:val="002449DF"/>
    <w:rsid w:val="00244BCA"/>
    <w:rsid w:val="00244BDF"/>
    <w:rsid w:val="00244DB8"/>
    <w:rsid w:val="00244E6F"/>
    <w:rsid w:val="00244F01"/>
    <w:rsid w:val="00245029"/>
    <w:rsid w:val="00245053"/>
    <w:rsid w:val="00245149"/>
    <w:rsid w:val="002451D7"/>
    <w:rsid w:val="00245231"/>
    <w:rsid w:val="00245507"/>
    <w:rsid w:val="0024563A"/>
    <w:rsid w:val="002456F4"/>
    <w:rsid w:val="00245702"/>
    <w:rsid w:val="00245714"/>
    <w:rsid w:val="00245E0E"/>
    <w:rsid w:val="00245F26"/>
    <w:rsid w:val="00245FBD"/>
    <w:rsid w:val="0024628A"/>
    <w:rsid w:val="00246502"/>
    <w:rsid w:val="00246657"/>
    <w:rsid w:val="00246A65"/>
    <w:rsid w:val="00246A94"/>
    <w:rsid w:val="00246C15"/>
    <w:rsid w:val="002472E9"/>
    <w:rsid w:val="0024743D"/>
    <w:rsid w:val="00247615"/>
    <w:rsid w:val="0024773B"/>
    <w:rsid w:val="002477F5"/>
    <w:rsid w:val="0024799B"/>
    <w:rsid w:val="00247B43"/>
    <w:rsid w:val="00247B60"/>
    <w:rsid w:val="00247B88"/>
    <w:rsid w:val="00247F41"/>
    <w:rsid w:val="00247F48"/>
    <w:rsid w:val="0025005B"/>
    <w:rsid w:val="0025006C"/>
    <w:rsid w:val="0025023B"/>
    <w:rsid w:val="00250686"/>
    <w:rsid w:val="002506D4"/>
    <w:rsid w:val="00250750"/>
    <w:rsid w:val="00250BAA"/>
    <w:rsid w:val="00250C39"/>
    <w:rsid w:val="00250E39"/>
    <w:rsid w:val="00250FDF"/>
    <w:rsid w:val="00251056"/>
    <w:rsid w:val="002511E9"/>
    <w:rsid w:val="002512AB"/>
    <w:rsid w:val="002512B8"/>
    <w:rsid w:val="00251577"/>
    <w:rsid w:val="002515C0"/>
    <w:rsid w:val="002517C4"/>
    <w:rsid w:val="00251836"/>
    <w:rsid w:val="002519AB"/>
    <w:rsid w:val="00251C39"/>
    <w:rsid w:val="00251D7A"/>
    <w:rsid w:val="0025222B"/>
    <w:rsid w:val="0025248D"/>
    <w:rsid w:val="00252735"/>
    <w:rsid w:val="0025298B"/>
    <w:rsid w:val="002529CB"/>
    <w:rsid w:val="00252C7E"/>
    <w:rsid w:val="00252CA4"/>
    <w:rsid w:val="002530A9"/>
    <w:rsid w:val="0025316E"/>
    <w:rsid w:val="00253173"/>
    <w:rsid w:val="00253181"/>
    <w:rsid w:val="00253191"/>
    <w:rsid w:val="002532B9"/>
    <w:rsid w:val="00253653"/>
    <w:rsid w:val="0025367E"/>
    <w:rsid w:val="00253919"/>
    <w:rsid w:val="00253A17"/>
    <w:rsid w:val="00253B19"/>
    <w:rsid w:val="00253C94"/>
    <w:rsid w:val="00253D2A"/>
    <w:rsid w:val="00253F7C"/>
    <w:rsid w:val="002542C2"/>
    <w:rsid w:val="002544BC"/>
    <w:rsid w:val="002546B7"/>
    <w:rsid w:val="00254BC0"/>
    <w:rsid w:val="00255035"/>
    <w:rsid w:val="0025518E"/>
    <w:rsid w:val="0025529F"/>
    <w:rsid w:val="002552D9"/>
    <w:rsid w:val="0025538B"/>
    <w:rsid w:val="0025538C"/>
    <w:rsid w:val="0025541C"/>
    <w:rsid w:val="00255579"/>
    <w:rsid w:val="0025564A"/>
    <w:rsid w:val="00255846"/>
    <w:rsid w:val="00255B95"/>
    <w:rsid w:val="00255BEA"/>
    <w:rsid w:val="00255D53"/>
    <w:rsid w:val="00255EC4"/>
    <w:rsid w:val="002561EA"/>
    <w:rsid w:val="00256252"/>
    <w:rsid w:val="00256279"/>
    <w:rsid w:val="00256856"/>
    <w:rsid w:val="00256888"/>
    <w:rsid w:val="00256B82"/>
    <w:rsid w:val="00256C6F"/>
    <w:rsid w:val="00256EE0"/>
    <w:rsid w:val="00256EE2"/>
    <w:rsid w:val="0025700D"/>
    <w:rsid w:val="0025718A"/>
    <w:rsid w:val="00257263"/>
    <w:rsid w:val="002572B7"/>
    <w:rsid w:val="00257CB3"/>
    <w:rsid w:val="00257D64"/>
    <w:rsid w:val="00257F0A"/>
    <w:rsid w:val="00260116"/>
    <w:rsid w:val="00260146"/>
    <w:rsid w:val="002602CE"/>
    <w:rsid w:val="002603C0"/>
    <w:rsid w:val="0026057A"/>
    <w:rsid w:val="0026070C"/>
    <w:rsid w:val="00260765"/>
    <w:rsid w:val="0026093D"/>
    <w:rsid w:val="00260A5A"/>
    <w:rsid w:val="00260BD5"/>
    <w:rsid w:val="00260BD7"/>
    <w:rsid w:val="00260CDE"/>
    <w:rsid w:val="00260D58"/>
    <w:rsid w:val="00260EAF"/>
    <w:rsid w:val="00260EB7"/>
    <w:rsid w:val="002610C4"/>
    <w:rsid w:val="00261174"/>
    <w:rsid w:val="0026125C"/>
    <w:rsid w:val="002612C4"/>
    <w:rsid w:val="002612E6"/>
    <w:rsid w:val="002619DB"/>
    <w:rsid w:val="00261A46"/>
    <w:rsid w:val="00261D9E"/>
    <w:rsid w:val="00261DAF"/>
    <w:rsid w:val="00261DE5"/>
    <w:rsid w:val="00261FCC"/>
    <w:rsid w:val="00262078"/>
    <w:rsid w:val="00262081"/>
    <w:rsid w:val="002620E1"/>
    <w:rsid w:val="002623B6"/>
    <w:rsid w:val="0026258A"/>
    <w:rsid w:val="002626B1"/>
    <w:rsid w:val="00262A3F"/>
    <w:rsid w:val="00262AC9"/>
    <w:rsid w:val="00262FA5"/>
    <w:rsid w:val="002631DD"/>
    <w:rsid w:val="00263310"/>
    <w:rsid w:val="00263599"/>
    <w:rsid w:val="00263839"/>
    <w:rsid w:val="00263992"/>
    <w:rsid w:val="00263C82"/>
    <w:rsid w:val="00263DB6"/>
    <w:rsid w:val="00264008"/>
    <w:rsid w:val="0026413D"/>
    <w:rsid w:val="002641F8"/>
    <w:rsid w:val="0026438D"/>
    <w:rsid w:val="002643CB"/>
    <w:rsid w:val="002644DC"/>
    <w:rsid w:val="0026453E"/>
    <w:rsid w:val="002645D0"/>
    <w:rsid w:val="0026463A"/>
    <w:rsid w:val="00264678"/>
    <w:rsid w:val="0026472C"/>
    <w:rsid w:val="0026483E"/>
    <w:rsid w:val="0026487D"/>
    <w:rsid w:val="00264A1D"/>
    <w:rsid w:val="00264AFB"/>
    <w:rsid w:val="00264C7C"/>
    <w:rsid w:val="00264C88"/>
    <w:rsid w:val="00264CB0"/>
    <w:rsid w:val="00264DB3"/>
    <w:rsid w:val="0026520B"/>
    <w:rsid w:val="00265270"/>
    <w:rsid w:val="002652AE"/>
    <w:rsid w:val="00265309"/>
    <w:rsid w:val="00265468"/>
    <w:rsid w:val="002656E1"/>
    <w:rsid w:val="0026575A"/>
    <w:rsid w:val="00265848"/>
    <w:rsid w:val="00265FA2"/>
    <w:rsid w:val="00266067"/>
    <w:rsid w:val="0026623D"/>
    <w:rsid w:val="002664C8"/>
    <w:rsid w:val="00266515"/>
    <w:rsid w:val="0026680D"/>
    <w:rsid w:val="0026686C"/>
    <w:rsid w:val="00266BE2"/>
    <w:rsid w:val="00266C35"/>
    <w:rsid w:val="00266D09"/>
    <w:rsid w:val="00266F3B"/>
    <w:rsid w:val="0026702E"/>
    <w:rsid w:val="0026705A"/>
    <w:rsid w:val="0026708C"/>
    <w:rsid w:val="002671F4"/>
    <w:rsid w:val="0026737F"/>
    <w:rsid w:val="00267390"/>
    <w:rsid w:val="0026755C"/>
    <w:rsid w:val="0026769F"/>
    <w:rsid w:val="00267794"/>
    <w:rsid w:val="0026794B"/>
    <w:rsid w:val="00267A11"/>
    <w:rsid w:val="00267A1C"/>
    <w:rsid w:val="00267A4E"/>
    <w:rsid w:val="00267AA1"/>
    <w:rsid w:val="00267BB9"/>
    <w:rsid w:val="00267C05"/>
    <w:rsid w:val="00267DE9"/>
    <w:rsid w:val="00267E23"/>
    <w:rsid w:val="00267F68"/>
    <w:rsid w:val="00270291"/>
    <w:rsid w:val="002702A4"/>
    <w:rsid w:val="002703FE"/>
    <w:rsid w:val="0027043D"/>
    <w:rsid w:val="00270586"/>
    <w:rsid w:val="00270A8C"/>
    <w:rsid w:val="00270B97"/>
    <w:rsid w:val="00270CBB"/>
    <w:rsid w:val="00270E16"/>
    <w:rsid w:val="0027104C"/>
    <w:rsid w:val="00271144"/>
    <w:rsid w:val="002715CB"/>
    <w:rsid w:val="002716A5"/>
    <w:rsid w:val="002717BF"/>
    <w:rsid w:val="002717E8"/>
    <w:rsid w:val="00271861"/>
    <w:rsid w:val="00271911"/>
    <w:rsid w:val="00271A46"/>
    <w:rsid w:val="00271D10"/>
    <w:rsid w:val="00271ED8"/>
    <w:rsid w:val="002723F5"/>
    <w:rsid w:val="0027247D"/>
    <w:rsid w:val="00272872"/>
    <w:rsid w:val="00272BF4"/>
    <w:rsid w:val="00272D17"/>
    <w:rsid w:val="00272D3E"/>
    <w:rsid w:val="00272F31"/>
    <w:rsid w:val="00272FAA"/>
    <w:rsid w:val="00272FE5"/>
    <w:rsid w:val="00273027"/>
    <w:rsid w:val="002730E1"/>
    <w:rsid w:val="00273287"/>
    <w:rsid w:val="002734B6"/>
    <w:rsid w:val="002735DF"/>
    <w:rsid w:val="002736CC"/>
    <w:rsid w:val="00273749"/>
    <w:rsid w:val="00273AB3"/>
    <w:rsid w:val="00273B9A"/>
    <w:rsid w:val="00273C74"/>
    <w:rsid w:val="00273D35"/>
    <w:rsid w:val="00273D92"/>
    <w:rsid w:val="0027415C"/>
    <w:rsid w:val="002742DA"/>
    <w:rsid w:val="00274804"/>
    <w:rsid w:val="00274870"/>
    <w:rsid w:val="00274B0E"/>
    <w:rsid w:val="00274B3E"/>
    <w:rsid w:val="00274BD8"/>
    <w:rsid w:val="00274DD9"/>
    <w:rsid w:val="00274EFD"/>
    <w:rsid w:val="0027507A"/>
    <w:rsid w:val="00275083"/>
    <w:rsid w:val="00275149"/>
    <w:rsid w:val="002753EF"/>
    <w:rsid w:val="00275446"/>
    <w:rsid w:val="002757BE"/>
    <w:rsid w:val="002758E3"/>
    <w:rsid w:val="00275CF2"/>
    <w:rsid w:val="00275D3E"/>
    <w:rsid w:val="00275D5A"/>
    <w:rsid w:val="00275DC3"/>
    <w:rsid w:val="00275EB1"/>
    <w:rsid w:val="00275ECE"/>
    <w:rsid w:val="00275EFC"/>
    <w:rsid w:val="002760F6"/>
    <w:rsid w:val="0027623B"/>
    <w:rsid w:val="002762DA"/>
    <w:rsid w:val="0027635B"/>
    <w:rsid w:val="0027640E"/>
    <w:rsid w:val="002765AB"/>
    <w:rsid w:val="002768E8"/>
    <w:rsid w:val="002769DA"/>
    <w:rsid w:val="00276B3A"/>
    <w:rsid w:val="00276CBD"/>
    <w:rsid w:val="00276CCB"/>
    <w:rsid w:val="00276D6C"/>
    <w:rsid w:val="00276F1F"/>
    <w:rsid w:val="00276F87"/>
    <w:rsid w:val="00276FDD"/>
    <w:rsid w:val="00277243"/>
    <w:rsid w:val="002777C7"/>
    <w:rsid w:val="002777F6"/>
    <w:rsid w:val="00277808"/>
    <w:rsid w:val="0027791F"/>
    <w:rsid w:val="002779BD"/>
    <w:rsid w:val="00277A87"/>
    <w:rsid w:val="00277D00"/>
    <w:rsid w:val="00280131"/>
    <w:rsid w:val="002801B7"/>
    <w:rsid w:val="00280267"/>
    <w:rsid w:val="0028064A"/>
    <w:rsid w:val="00280651"/>
    <w:rsid w:val="002806D0"/>
    <w:rsid w:val="0028074D"/>
    <w:rsid w:val="00280761"/>
    <w:rsid w:val="00280775"/>
    <w:rsid w:val="00280919"/>
    <w:rsid w:val="00280B0D"/>
    <w:rsid w:val="00280C75"/>
    <w:rsid w:val="00280CD6"/>
    <w:rsid w:val="00280D8F"/>
    <w:rsid w:val="00280DCF"/>
    <w:rsid w:val="002810EB"/>
    <w:rsid w:val="0028112D"/>
    <w:rsid w:val="00281284"/>
    <w:rsid w:val="002812F5"/>
    <w:rsid w:val="0028149F"/>
    <w:rsid w:val="0028163E"/>
    <w:rsid w:val="00281753"/>
    <w:rsid w:val="0028197C"/>
    <w:rsid w:val="0028198C"/>
    <w:rsid w:val="00281990"/>
    <w:rsid w:val="00281D07"/>
    <w:rsid w:val="00281D41"/>
    <w:rsid w:val="00281F7F"/>
    <w:rsid w:val="00282146"/>
    <w:rsid w:val="0028253D"/>
    <w:rsid w:val="00282723"/>
    <w:rsid w:val="00282854"/>
    <w:rsid w:val="00282860"/>
    <w:rsid w:val="0028286B"/>
    <w:rsid w:val="0028288A"/>
    <w:rsid w:val="00282A2B"/>
    <w:rsid w:val="00282A96"/>
    <w:rsid w:val="00282C57"/>
    <w:rsid w:val="00282FA3"/>
    <w:rsid w:val="00283463"/>
    <w:rsid w:val="002834FA"/>
    <w:rsid w:val="00283803"/>
    <w:rsid w:val="002838A3"/>
    <w:rsid w:val="00283ACA"/>
    <w:rsid w:val="00283DDB"/>
    <w:rsid w:val="00283EB6"/>
    <w:rsid w:val="00283EC8"/>
    <w:rsid w:val="00283F9C"/>
    <w:rsid w:val="00284364"/>
    <w:rsid w:val="00284393"/>
    <w:rsid w:val="00284487"/>
    <w:rsid w:val="00284816"/>
    <w:rsid w:val="00284A92"/>
    <w:rsid w:val="00284AE4"/>
    <w:rsid w:val="00284AFE"/>
    <w:rsid w:val="00284B86"/>
    <w:rsid w:val="00284BD1"/>
    <w:rsid w:val="00284C7B"/>
    <w:rsid w:val="00284F08"/>
    <w:rsid w:val="00284FEB"/>
    <w:rsid w:val="00285254"/>
    <w:rsid w:val="002852C8"/>
    <w:rsid w:val="0028540B"/>
    <w:rsid w:val="002856F6"/>
    <w:rsid w:val="00285850"/>
    <w:rsid w:val="0028586B"/>
    <w:rsid w:val="002858F5"/>
    <w:rsid w:val="00285AB7"/>
    <w:rsid w:val="00285E8F"/>
    <w:rsid w:val="00285F90"/>
    <w:rsid w:val="002864FE"/>
    <w:rsid w:val="00286623"/>
    <w:rsid w:val="002868A3"/>
    <w:rsid w:val="00286948"/>
    <w:rsid w:val="00286B51"/>
    <w:rsid w:val="00286BBE"/>
    <w:rsid w:val="00286C5F"/>
    <w:rsid w:val="00286DD9"/>
    <w:rsid w:val="00286F51"/>
    <w:rsid w:val="0028707F"/>
    <w:rsid w:val="00287248"/>
    <w:rsid w:val="002872CD"/>
    <w:rsid w:val="0028754A"/>
    <w:rsid w:val="00287667"/>
    <w:rsid w:val="002877C1"/>
    <w:rsid w:val="002877C2"/>
    <w:rsid w:val="00287B4F"/>
    <w:rsid w:val="00287B69"/>
    <w:rsid w:val="00287DD4"/>
    <w:rsid w:val="002900AC"/>
    <w:rsid w:val="00290200"/>
    <w:rsid w:val="002902AE"/>
    <w:rsid w:val="00290387"/>
    <w:rsid w:val="002903C4"/>
    <w:rsid w:val="002905CB"/>
    <w:rsid w:val="00290608"/>
    <w:rsid w:val="00290827"/>
    <w:rsid w:val="00290AEA"/>
    <w:rsid w:val="00290C02"/>
    <w:rsid w:val="00290E17"/>
    <w:rsid w:val="00291277"/>
    <w:rsid w:val="0029132C"/>
    <w:rsid w:val="00291523"/>
    <w:rsid w:val="0029177E"/>
    <w:rsid w:val="002918BE"/>
    <w:rsid w:val="00291959"/>
    <w:rsid w:val="002919AA"/>
    <w:rsid w:val="00291ACE"/>
    <w:rsid w:val="00291CBD"/>
    <w:rsid w:val="00292061"/>
    <w:rsid w:val="00292137"/>
    <w:rsid w:val="002921B2"/>
    <w:rsid w:val="002921F5"/>
    <w:rsid w:val="00292440"/>
    <w:rsid w:val="0029265E"/>
    <w:rsid w:val="00292747"/>
    <w:rsid w:val="00292960"/>
    <w:rsid w:val="00292997"/>
    <w:rsid w:val="00292C09"/>
    <w:rsid w:val="00292C43"/>
    <w:rsid w:val="00292C5D"/>
    <w:rsid w:val="00292E13"/>
    <w:rsid w:val="00292ED0"/>
    <w:rsid w:val="002930B2"/>
    <w:rsid w:val="002930E7"/>
    <w:rsid w:val="002931CF"/>
    <w:rsid w:val="00293C24"/>
    <w:rsid w:val="002940B4"/>
    <w:rsid w:val="002941A9"/>
    <w:rsid w:val="00294237"/>
    <w:rsid w:val="00294295"/>
    <w:rsid w:val="00294476"/>
    <w:rsid w:val="00294673"/>
    <w:rsid w:val="002946E4"/>
    <w:rsid w:val="00294BBA"/>
    <w:rsid w:val="00294BCE"/>
    <w:rsid w:val="00294D0C"/>
    <w:rsid w:val="00294E8E"/>
    <w:rsid w:val="00295069"/>
    <w:rsid w:val="00295190"/>
    <w:rsid w:val="0029522E"/>
    <w:rsid w:val="0029528A"/>
    <w:rsid w:val="00295393"/>
    <w:rsid w:val="002953A1"/>
    <w:rsid w:val="002953FE"/>
    <w:rsid w:val="0029553C"/>
    <w:rsid w:val="00295593"/>
    <w:rsid w:val="002959C1"/>
    <w:rsid w:val="00295A71"/>
    <w:rsid w:val="00295D27"/>
    <w:rsid w:val="00295EC1"/>
    <w:rsid w:val="00295FFB"/>
    <w:rsid w:val="002961D0"/>
    <w:rsid w:val="002965C2"/>
    <w:rsid w:val="002965D2"/>
    <w:rsid w:val="002968FE"/>
    <w:rsid w:val="00296A32"/>
    <w:rsid w:val="00296F29"/>
    <w:rsid w:val="00297214"/>
    <w:rsid w:val="002974FB"/>
    <w:rsid w:val="00297790"/>
    <w:rsid w:val="0029781B"/>
    <w:rsid w:val="00297A67"/>
    <w:rsid w:val="00297A77"/>
    <w:rsid w:val="00297B0A"/>
    <w:rsid w:val="00297C61"/>
    <w:rsid w:val="00297D00"/>
    <w:rsid w:val="00297DB4"/>
    <w:rsid w:val="00297F2C"/>
    <w:rsid w:val="002A004A"/>
    <w:rsid w:val="002A0216"/>
    <w:rsid w:val="002A03B6"/>
    <w:rsid w:val="002A05B3"/>
    <w:rsid w:val="002A06AD"/>
    <w:rsid w:val="002A09D3"/>
    <w:rsid w:val="002A0B4F"/>
    <w:rsid w:val="002A0B7B"/>
    <w:rsid w:val="002A0FEE"/>
    <w:rsid w:val="002A10E1"/>
    <w:rsid w:val="002A1200"/>
    <w:rsid w:val="002A133B"/>
    <w:rsid w:val="002A1353"/>
    <w:rsid w:val="002A135F"/>
    <w:rsid w:val="002A13A7"/>
    <w:rsid w:val="002A15A8"/>
    <w:rsid w:val="002A1671"/>
    <w:rsid w:val="002A1723"/>
    <w:rsid w:val="002A1AF5"/>
    <w:rsid w:val="002A2141"/>
    <w:rsid w:val="002A25B2"/>
    <w:rsid w:val="002A25E9"/>
    <w:rsid w:val="002A27FE"/>
    <w:rsid w:val="002A2FEC"/>
    <w:rsid w:val="002A320C"/>
    <w:rsid w:val="002A3251"/>
    <w:rsid w:val="002A3272"/>
    <w:rsid w:val="002A32B3"/>
    <w:rsid w:val="002A342E"/>
    <w:rsid w:val="002A3535"/>
    <w:rsid w:val="002A3843"/>
    <w:rsid w:val="002A38DA"/>
    <w:rsid w:val="002A3B4F"/>
    <w:rsid w:val="002A3BAB"/>
    <w:rsid w:val="002A3BDC"/>
    <w:rsid w:val="002A3EC4"/>
    <w:rsid w:val="002A3F94"/>
    <w:rsid w:val="002A4045"/>
    <w:rsid w:val="002A43F9"/>
    <w:rsid w:val="002A45E5"/>
    <w:rsid w:val="002A470A"/>
    <w:rsid w:val="002A4A54"/>
    <w:rsid w:val="002A4A64"/>
    <w:rsid w:val="002A4B00"/>
    <w:rsid w:val="002A4B45"/>
    <w:rsid w:val="002A4B53"/>
    <w:rsid w:val="002A4CA7"/>
    <w:rsid w:val="002A4CB2"/>
    <w:rsid w:val="002A4E0F"/>
    <w:rsid w:val="002A4E89"/>
    <w:rsid w:val="002A4FBB"/>
    <w:rsid w:val="002A5143"/>
    <w:rsid w:val="002A51AB"/>
    <w:rsid w:val="002A52E5"/>
    <w:rsid w:val="002A54D5"/>
    <w:rsid w:val="002A55F5"/>
    <w:rsid w:val="002A561E"/>
    <w:rsid w:val="002A57ED"/>
    <w:rsid w:val="002A585E"/>
    <w:rsid w:val="002A5A45"/>
    <w:rsid w:val="002A60A8"/>
    <w:rsid w:val="002A6146"/>
    <w:rsid w:val="002A61D4"/>
    <w:rsid w:val="002A64A3"/>
    <w:rsid w:val="002A6B82"/>
    <w:rsid w:val="002A6DD1"/>
    <w:rsid w:val="002A6E7A"/>
    <w:rsid w:val="002A6FA1"/>
    <w:rsid w:val="002A7035"/>
    <w:rsid w:val="002A70E9"/>
    <w:rsid w:val="002A7218"/>
    <w:rsid w:val="002A7258"/>
    <w:rsid w:val="002A7437"/>
    <w:rsid w:val="002A7532"/>
    <w:rsid w:val="002A7586"/>
    <w:rsid w:val="002A783C"/>
    <w:rsid w:val="002A78CE"/>
    <w:rsid w:val="002A7A8A"/>
    <w:rsid w:val="002A7C34"/>
    <w:rsid w:val="002A7CC7"/>
    <w:rsid w:val="002A7D0B"/>
    <w:rsid w:val="002A7D5E"/>
    <w:rsid w:val="002A7E4B"/>
    <w:rsid w:val="002A7ED8"/>
    <w:rsid w:val="002B02F5"/>
    <w:rsid w:val="002B02F9"/>
    <w:rsid w:val="002B06CF"/>
    <w:rsid w:val="002B0C41"/>
    <w:rsid w:val="002B0D00"/>
    <w:rsid w:val="002B0DF3"/>
    <w:rsid w:val="002B0E76"/>
    <w:rsid w:val="002B0E7C"/>
    <w:rsid w:val="002B14DF"/>
    <w:rsid w:val="002B17FF"/>
    <w:rsid w:val="002B1868"/>
    <w:rsid w:val="002B1A6B"/>
    <w:rsid w:val="002B1C45"/>
    <w:rsid w:val="002B1CC6"/>
    <w:rsid w:val="002B1D32"/>
    <w:rsid w:val="002B1D36"/>
    <w:rsid w:val="002B1E26"/>
    <w:rsid w:val="002B1E67"/>
    <w:rsid w:val="002B1F47"/>
    <w:rsid w:val="002B2011"/>
    <w:rsid w:val="002B2376"/>
    <w:rsid w:val="002B2499"/>
    <w:rsid w:val="002B26F0"/>
    <w:rsid w:val="002B2B78"/>
    <w:rsid w:val="002B2D73"/>
    <w:rsid w:val="002B2E6C"/>
    <w:rsid w:val="002B308A"/>
    <w:rsid w:val="002B3090"/>
    <w:rsid w:val="002B3441"/>
    <w:rsid w:val="002B3528"/>
    <w:rsid w:val="002B3721"/>
    <w:rsid w:val="002B378B"/>
    <w:rsid w:val="002B37E9"/>
    <w:rsid w:val="002B39B5"/>
    <w:rsid w:val="002B3A3D"/>
    <w:rsid w:val="002B3C13"/>
    <w:rsid w:val="002B3D53"/>
    <w:rsid w:val="002B3EFD"/>
    <w:rsid w:val="002B4054"/>
    <w:rsid w:val="002B405B"/>
    <w:rsid w:val="002B4142"/>
    <w:rsid w:val="002B4164"/>
    <w:rsid w:val="002B4268"/>
    <w:rsid w:val="002B441E"/>
    <w:rsid w:val="002B4682"/>
    <w:rsid w:val="002B46F7"/>
    <w:rsid w:val="002B47FC"/>
    <w:rsid w:val="002B4899"/>
    <w:rsid w:val="002B49BD"/>
    <w:rsid w:val="002B4A4D"/>
    <w:rsid w:val="002B4A51"/>
    <w:rsid w:val="002B4CF9"/>
    <w:rsid w:val="002B4D02"/>
    <w:rsid w:val="002B4D31"/>
    <w:rsid w:val="002B4D46"/>
    <w:rsid w:val="002B4DE3"/>
    <w:rsid w:val="002B5215"/>
    <w:rsid w:val="002B527E"/>
    <w:rsid w:val="002B535A"/>
    <w:rsid w:val="002B5369"/>
    <w:rsid w:val="002B55BD"/>
    <w:rsid w:val="002B57D9"/>
    <w:rsid w:val="002B5B35"/>
    <w:rsid w:val="002B5C12"/>
    <w:rsid w:val="002B5EEA"/>
    <w:rsid w:val="002B5F0C"/>
    <w:rsid w:val="002B62CB"/>
    <w:rsid w:val="002B63BC"/>
    <w:rsid w:val="002B64EB"/>
    <w:rsid w:val="002B6844"/>
    <w:rsid w:val="002B687A"/>
    <w:rsid w:val="002B6A88"/>
    <w:rsid w:val="002B6CB4"/>
    <w:rsid w:val="002B6CEA"/>
    <w:rsid w:val="002B6D2E"/>
    <w:rsid w:val="002B70D9"/>
    <w:rsid w:val="002B71C2"/>
    <w:rsid w:val="002B72AB"/>
    <w:rsid w:val="002B73AF"/>
    <w:rsid w:val="002B73EB"/>
    <w:rsid w:val="002B753F"/>
    <w:rsid w:val="002B77F9"/>
    <w:rsid w:val="002B7914"/>
    <w:rsid w:val="002B791E"/>
    <w:rsid w:val="002B79A9"/>
    <w:rsid w:val="002B79B3"/>
    <w:rsid w:val="002B79BB"/>
    <w:rsid w:val="002B7A1A"/>
    <w:rsid w:val="002B7A3A"/>
    <w:rsid w:val="002B7A86"/>
    <w:rsid w:val="002B7F6A"/>
    <w:rsid w:val="002B7F6C"/>
    <w:rsid w:val="002B7FB5"/>
    <w:rsid w:val="002C00B9"/>
    <w:rsid w:val="002C0506"/>
    <w:rsid w:val="002C05CE"/>
    <w:rsid w:val="002C06EE"/>
    <w:rsid w:val="002C0729"/>
    <w:rsid w:val="002C075C"/>
    <w:rsid w:val="002C099C"/>
    <w:rsid w:val="002C0D24"/>
    <w:rsid w:val="002C0ED3"/>
    <w:rsid w:val="002C0FDE"/>
    <w:rsid w:val="002C0FEC"/>
    <w:rsid w:val="002C1140"/>
    <w:rsid w:val="002C11B7"/>
    <w:rsid w:val="002C11E0"/>
    <w:rsid w:val="002C1232"/>
    <w:rsid w:val="002C126C"/>
    <w:rsid w:val="002C1383"/>
    <w:rsid w:val="002C13C3"/>
    <w:rsid w:val="002C14D0"/>
    <w:rsid w:val="002C1617"/>
    <w:rsid w:val="002C16FF"/>
    <w:rsid w:val="002C18CD"/>
    <w:rsid w:val="002C1AB3"/>
    <w:rsid w:val="002C1BA7"/>
    <w:rsid w:val="002C1CA0"/>
    <w:rsid w:val="002C1E42"/>
    <w:rsid w:val="002C2093"/>
    <w:rsid w:val="002C2290"/>
    <w:rsid w:val="002C23E1"/>
    <w:rsid w:val="002C2834"/>
    <w:rsid w:val="002C294E"/>
    <w:rsid w:val="002C297E"/>
    <w:rsid w:val="002C2A10"/>
    <w:rsid w:val="002C2BD5"/>
    <w:rsid w:val="002C2DC4"/>
    <w:rsid w:val="002C2DD2"/>
    <w:rsid w:val="002C2E6C"/>
    <w:rsid w:val="002C3136"/>
    <w:rsid w:val="002C335F"/>
    <w:rsid w:val="002C36B0"/>
    <w:rsid w:val="002C36D6"/>
    <w:rsid w:val="002C3804"/>
    <w:rsid w:val="002C3947"/>
    <w:rsid w:val="002C39CE"/>
    <w:rsid w:val="002C39DB"/>
    <w:rsid w:val="002C3C80"/>
    <w:rsid w:val="002C3DF3"/>
    <w:rsid w:val="002C40F6"/>
    <w:rsid w:val="002C4211"/>
    <w:rsid w:val="002C45D0"/>
    <w:rsid w:val="002C45EC"/>
    <w:rsid w:val="002C4743"/>
    <w:rsid w:val="002C478D"/>
    <w:rsid w:val="002C4A81"/>
    <w:rsid w:val="002C4A9E"/>
    <w:rsid w:val="002C4B4E"/>
    <w:rsid w:val="002C4CC0"/>
    <w:rsid w:val="002C4DE4"/>
    <w:rsid w:val="002C4DFC"/>
    <w:rsid w:val="002C5007"/>
    <w:rsid w:val="002C50C3"/>
    <w:rsid w:val="002C52EF"/>
    <w:rsid w:val="002C5991"/>
    <w:rsid w:val="002C5A5A"/>
    <w:rsid w:val="002C5ADD"/>
    <w:rsid w:val="002C5B96"/>
    <w:rsid w:val="002C5BB3"/>
    <w:rsid w:val="002C5C1F"/>
    <w:rsid w:val="002C5DCE"/>
    <w:rsid w:val="002C5FEA"/>
    <w:rsid w:val="002C60CA"/>
    <w:rsid w:val="002C6309"/>
    <w:rsid w:val="002C63E9"/>
    <w:rsid w:val="002C690A"/>
    <w:rsid w:val="002C6E8A"/>
    <w:rsid w:val="002C6EBF"/>
    <w:rsid w:val="002C6F50"/>
    <w:rsid w:val="002C6F74"/>
    <w:rsid w:val="002C70ED"/>
    <w:rsid w:val="002C7212"/>
    <w:rsid w:val="002C750F"/>
    <w:rsid w:val="002C7626"/>
    <w:rsid w:val="002C7881"/>
    <w:rsid w:val="002C78E0"/>
    <w:rsid w:val="002C795F"/>
    <w:rsid w:val="002C7E6E"/>
    <w:rsid w:val="002C7E9D"/>
    <w:rsid w:val="002D0270"/>
    <w:rsid w:val="002D02D0"/>
    <w:rsid w:val="002D0419"/>
    <w:rsid w:val="002D047A"/>
    <w:rsid w:val="002D057A"/>
    <w:rsid w:val="002D0796"/>
    <w:rsid w:val="002D082A"/>
    <w:rsid w:val="002D08C5"/>
    <w:rsid w:val="002D097F"/>
    <w:rsid w:val="002D0A3C"/>
    <w:rsid w:val="002D0E17"/>
    <w:rsid w:val="002D119F"/>
    <w:rsid w:val="002D11F4"/>
    <w:rsid w:val="002D1224"/>
    <w:rsid w:val="002D16BE"/>
    <w:rsid w:val="002D1894"/>
    <w:rsid w:val="002D1C44"/>
    <w:rsid w:val="002D1E0E"/>
    <w:rsid w:val="002D1F0D"/>
    <w:rsid w:val="002D1F96"/>
    <w:rsid w:val="002D2316"/>
    <w:rsid w:val="002D316D"/>
    <w:rsid w:val="002D31A9"/>
    <w:rsid w:val="002D323B"/>
    <w:rsid w:val="002D3313"/>
    <w:rsid w:val="002D346C"/>
    <w:rsid w:val="002D34D5"/>
    <w:rsid w:val="002D34EC"/>
    <w:rsid w:val="002D37CD"/>
    <w:rsid w:val="002D38F4"/>
    <w:rsid w:val="002D3967"/>
    <w:rsid w:val="002D3A45"/>
    <w:rsid w:val="002D409D"/>
    <w:rsid w:val="002D41D9"/>
    <w:rsid w:val="002D41F7"/>
    <w:rsid w:val="002D4350"/>
    <w:rsid w:val="002D446E"/>
    <w:rsid w:val="002D44CE"/>
    <w:rsid w:val="002D481D"/>
    <w:rsid w:val="002D4921"/>
    <w:rsid w:val="002D49AD"/>
    <w:rsid w:val="002D49D5"/>
    <w:rsid w:val="002D4B92"/>
    <w:rsid w:val="002D4C0C"/>
    <w:rsid w:val="002D4C6E"/>
    <w:rsid w:val="002D4E7F"/>
    <w:rsid w:val="002D4FAB"/>
    <w:rsid w:val="002D52A2"/>
    <w:rsid w:val="002D5546"/>
    <w:rsid w:val="002D56BF"/>
    <w:rsid w:val="002D596B"/>
    <w:rsid w:val="002D59A9"/>
    <w:rsid w:val="002D59D3"/>
    <w:rsid w:val="002D5FA1"/>
    <w:rsid w:val="002D60A0"/>
    <w:rsid w:val="002D6145"/>
    <w:rsid w:val="002D64C3"/>
    <w:rsid w:val="002D658C"/>
    <w:rsid w:val="002D6597"/>
    <w:rsid w:val="002D6940"/>
    <w:rsid w:val="002D6AD3"/>
    <w:rsid w:val="002D6AF7"/>
    <w:rsid w:val="002D6B4A"/>
    <w:rsid w:val="002D6C95"/>
    <w:rsid w:val="002D6D78"/>
    <w:rsid w:val="002D6E86"/>
    <w:rsid w:val="002D6EC5"/>
    <w:rsid w:val="002D6EDC"/>
    <w:rsid w:val="002D7438"/>
    <w:rsid w:val="002D7674"/>
    <w:rsid w:val="002D78E4"/>
    <w:rsid w:val="002D7D3E"/>
    <w:rsid w:val="002D7DA6"/>
    <w:rsid w:val="002D7DE0"/>
    <w:rsid w:val="002D7E67"/>
    <w:rsid w:val="002D7F1F"/>
    <w:rsid w:val="002D7F50"/>
    <w:rsid w:val="002D7FF4"/>
    <w:rsid w:val="002E0227"/>
    <w:rsid w:val="002E022C"/>
    <w:rsid w:val="002E038A"/>
    <w:rsid w:val="002E056A"/>
    <w:rsid w:val="002E08AD"/>
    <w:rsid w:val="002E08EA"/>
    <w:rsid w:val="002E0AB4"/>
    <w:rsid w:val="002E0B5C"/>
    <w:rsid w:val="002E116C"/>
    <w:rsid w:val="002E11AD"/>
    <w:rsid w:val="002E1506"/>
    <w:rsid w:val="002E160E"/>
    <w:rsid w:val="002E168E"/>
    <w:rsid w:val="002E1C00"/>
    <w:rsid w:val="002E1EA8"/>
    <w:rsid w:val="002E238C"/>
    <w:rsid w:val="002E2435"/>
    <w:rsid w:val="002E254C"/>
    <w:rsid w:val="002E26F9"/>
    <w:rsid w:val="002E284A"/>
    <w:rsid w:val="002E2ADC"/>
    <w:rsid w:val="002E2B86"/>
    <w:rsid w:val="002E2BC9"/>
    <w:rsid w:val="002E2C93"/>
    <w:rsid w:val="002E2D24"/>
    <w:rsid w:val="002E2EDF"/>
    <w:rsid w:val="002E2F34"/>
    <w:rsid w:val="002E30B7"/>
    <w:rsid w:val="002E31CC"/>
    <w:rsid w:val="002E3335"/>
    <w:rsid w:val="002E35DC"/>
    <w:rsid w:val="002E362D"/>
    <w:rsid w:val="002E3762"/>
    <w:rsid w:val="002E394F"/>
    <w:rsid w:val="002E3A29"/>
    <w:rsid w:val="002E3ABC"/>
    <w:rsid w:val="002E3B6A"/>
    <w:rsid w:val="002E3E28"/>
    <w:rsid w:val="002E4071"/>
    <w:rsid w:val="002E42A1"/>
    <w:rsid w:val="002E437A"/>
    <w:rsid w:val="002E4390"/>
    <w:rsid w:val="002E44F4"/>
    <w:rsid w:val="002E45D3"/>
    <w:rsid w:val="002E45E9"/>
    <w:rsid w:val="002E4750"/>
    <w:rsid w:val="002E47DD"/>
    <w:rsid w:val="002E4910"/>
    <w:rsid w:val="002E4982"/>
    <w:rsid w:val="002E4C3D"/>
    <w:rsid w:val="002E4CCD"/>
    <w:rsid w:val="002E4D75"/>
    <w:rsid w:val="002E4D7A"/>
    <w:rsid w:val="002E4DE2"/>
    <w:rsid w:val="002E4EC2"/>
    <w:rsid w:val="002E4F4C"/>
    <w:rsid w:val="002E4F96"/>
    <w:rsid w:val="002E50B0"/>
    <w:rsid w:val="002E52DD"/>
    <w:rsid w:val="002E53A9"/>
    <w:rsid w:val="002E54CD"/>
    <w:rsid w:val="002E5605"/>
    <w:rsid w:val="002E5638"/>
    <w:rsid w:val="002E57E8"/>
    <w:rsid w:val="002E57F5"/>
    <w:rsid w:val="002E580D"/>
    <w:rsid w:val="002E5A32"/>
    <w:rsid w:val="002E5D2F"/>
    <w:rsid w:val="002E5D8F"/>
    <w:rsid w:val="002E5E6D"/>
    <w:rsid w:val="002E600B"/>
    <w:rsid w:val="002E62A3"/>
    <w:rsid w:val="002E62D8"/>
    <w:rsid w:val="002E64CE"/>
    <w:rsid w:val="002E67BC"/>
    <w:rsid w:val="002E69BB"/>
    <w:rsid w:val="002E6B37"/>
    <w:rsid w:val="002E6C77"/>
    <w:rsid w:val="002E6C78"/>
    <w:rsid w:val="002E6DB7"/>
    <w:rsid w:val="002E7045"/>
    <w:rsid w:val="002E7099"/>
    <w:rsid w:val="002E7146"/>
    <w:rsid w:val="002E720C"/>
    <w:rsid w:val="002E726F"/>
    <w:rsid w:val="002E72EF"/>
    <w:rsid w:val="002E7349"/>
    <w:rsid w:val="002E736B"/>
    <w:rsid w:val="002E7494"/>
    <w:rsid w:val="002E74AE"/>
    <w:rsid w:val="002E7503"/>
    <w:rsid w:val="002E76A1"/>
    <w:rsid w:val="002E77AE"/>
    <w:rsid w:val="002E78D0"/>
    <w:rsid w:val="002E7CB7"/>
    <w:rsid w:val="002E7EA0"/>
    <w:rsid w:val="002F0280"/>
    <w:rsid w:val="002F07F8"/>
    <w:rsid w:val="002F0A8B"/>
    <w:rsid w:val="002F0CC8"/>
    <w:rsid w:val="002F0E64"/>
    <w:rsid w:val="002F0F79"/>
    <w:rsid w:val="002F1242"/>
    <w:rsid w:val="002F1251"/>
    <w:rsid w:val="002F14D0"/>
    <w:rsid w:val="002F1664"/>
    <w:rsid w:val="002F174B"/>
    <w:rsid w:val="002F177A"/>
    <w:rsid w:val="002F189A"/>
    <w:rsid w:val="002F1A01"/>
    <w:rsid w:val="002F1B25"/>
    <w:rsid w:val="002F1B7E"/>
    <w:rsid w:val="002F1C79"/>
    <w:rsid w:val="002F1F44"/>
    <w:rsid w:val="002F2003"/>
    <w:rsid w:val="002F21AA"/>
    <w:rsid w:val="002F21B8"/>
    <w:rsid w:val="002F227C"/>
    <w:rsid w:val="002F2771"/>
    <w:rsid w:val="002F2779"/>
    <w:rsid w:val="002F27DF"/>
    <w:rsid w:val="002F2898"/>
    <w:rsid w:val="002F2A5A"/>
    <w:rsid w:val="002F2D40"/>
    <w:rsid w:val="002F2DFE"/>
    <w:rsid w:val="002F2E50"/>
    <w:rsid w:val="002F2FBA"/>
    <w:rsid w:val="002F31DD"/>
    <w:rsid w:val="002F342A"/>
    <w:rsid w:val="002F347A"/>
    <w:rsid w:val="002F34AC"/>
    <w:rsid w:val="002F37E4"/>
    <w:rsid w:val="002F3871"/>
    <w:rsid w:val="002F3A7D"/>
    <w:rsid w:val="002F3B56"/>
    <w:rsid w:val="002F3CAB"/>
    <w:rsid w:val="002F3D63"/>
    <w:rsid w:val="002F3DA1"/>
    <w:rsid w:val="002F3EFC"/>
    <w:rsid w:val="002F4007"/>
    <w:rsid w:val="002F42C2"/>
    <w:rsid w:val="002F43EB"/>
    <w:rsid w:val="002F4590"/>
    <w:rsid w:val="002F47F5"/>
    <w:rsid w:val="002F489E"/>
    <w:rsid w:val="002F4964"/>
    <w:rsid w:val="002F4FE2"/>
    <w:rsid w:val="002F5010"/>
    <w:rsid w:val="002F50F8"/>
    <w:rsid w:val="002F5215"/>
    <w:rsid w:val="002F53B6"/>
    <w:rsid w:val="002F5462"/>
    <w:rsid w:val="002F56CE"/>
    <w:rsid w:val="002F5A26"/>
    <w:rsid w:val="002F5A37"/>
    <w:rsid w:val="002F5D47"/>
    <w:rsid w:val="002F60D8"/>
    <w:rsid w:val="002F60EC"/>
    <w:rsid w:val="002F621A"/>
    <w:rsid w:val="002F6239"/>
    <w:rsid w:val="002F62F4"/>
    <w:rsid w:val="002F6428"/>
    <w:rsid w:val="002F65B3"/>
    <w:rsid w:val="002F673A"/>
    <w:rsid w:val="002F6907"/>
    <w:rsid w:val="002F6A53"/>
    <w:rsid w:val="002F6A62"/>
    <w:rsid w:val="002F6DB8"/>
    <w:rsid w:val="002F6E2D"/>
    <w:rsid w:val="002F6E3E"/>
    <w:rsid w:val="002F6EF4"/>
    <w:rsid w:val="002F70E7"/>
    <w:rsid w:val="002F7406"/>
    <w:rsid w:val="002F7459"/>
    <w:rsid w:val="002F761B"/>
    <w:rsid w:val="002F7692"/>
    <w:rsid w:val="002F76B4"/>
    <w:rsid w:val="002F7752"/>
    <w:rsid w:val="002F783D"/>
    <w:rsid w:val="002F7934"/>
    <w:rsid w:val="002F798C"/>
    <w:rsid w:val="002F7AA5"/>
    <w:rsid w:val="002F7DB0"/>
    <w:rsid w:val="002F7E21"/>
    <w:rsid w:val="002F7E2A"/>
    <w:rsid w:val="002F7E77"/>
    <w:rsid w:val="002F7F3B"/>
    <w:rsid w:val="0030003A"/>
    <w:rsid w:val="00300209"/>
    <w:rsid w:val="0030022F"/>
    <w:rsid w:val="00300230"/>
    <w:rsid w:val="0030076E"/>
    <w:rsid w:val="00300913"/>
    <w:rsid w:val="00300AC6"/>
    <w:rsid w:val="00300DDB"/>
    <w:rsid w:val="00301359"/>
    <w:rsid w:val="00301444"/>
    <w:rsid w:val="00301559"/>
    <w:rsid w:val="00301812"/>
    <w:rsid w:val="00301890"/>
    <w:rsid w:val="00301ABA"/>
    <w:rsid w:val="00301B0C"/>
    <w:rsid w:val="00301B7B"/>
    <w:rsid w:val="00301BC5"/>
    <w:rsid w:val="00301EEA"/>
    <w:rsid w:val="00302101"/>
    <w:rsid w:val="00302182"/>
    <w:rsid w:val="00302308"/>
    <w:rsid w:val="003026D0"/>
    <w:rsid w:val="00302817"/>
    <w:rsid w:val="003029D3"/>
    <w:rsid w:val="003029DA"/>
    <w:rsid w:val="003029FA"/>
    <w:rsid w:val="00302A2A"/>
    <w:rsid w:val="00302A99"/>
    <w:rsid w:val="00302AF2"/>
    <w:rsid w:val="00302B1D"/>
    <w:rsid w:val="00302BF3"/>
    <w:rsid w:val="00302C24"/>
    <w:rsid w:val="00302C6C"/>
    <w:rsid w:val="00302CC7"/>
    <w:rsid w:val="00302E7A"/>
    <w:rsid w:val="00302F42"/>
    <w:rsid w:val="00302F73"/>
    <w:rsid w:val="00303128"/>
    <w:rsid w:val="003032E8"/>
    <w:rsid w:val="003037A6"/>
    <w:rsid w:val="00303900"/>
    <w:rsid w:val="00304111"/>
    <w:rsid w:val="00304327"/>
    <w:rsid w:val="00304331"/>
    <w:rsid w:val="003043C2"/>
    <w:rsid w:val="0030451B"/>
    <w:rsid w:val="0030459B"/>
    <w:rsid w:val="003045B6"/>
    <w:rsid w:val="00304832"/>
    <w:rsid w:val="00304891"/>
    <w:rsid w:val="003048EB"/>
    <w:rsid w:val="0030495C"/>
    <w:rsid w:val="00304ADD"/>
    <w:rsid w:val="00304DAA"/>
    <w:rsid w:val="00304E3E"/>
    <w:rsid w:val="00304EC5"/>
    <w:rsid w:val="00304ECE"/>
    <w:rsid w:val="00304FE3"/>
    <w:rsid w:val="0030504A"/>
    <w:rsid w:val="00305072"/>
    <w:rsid w:val="00305098"/>
    <w:rsid w:val="0030585A"/>
    <w:rsid w:val="00305AF6"/>
    <w:rsid w:val="00305C0A"/>
    <w:rsid w:val="00305D68"/>
    <w:rsid w:val="00305D85"/>
    <w:rsid w:val="00305EF6"/>
    <w:rsid w:val="0030610B"/>
    <w:rsid w:val="00306176"/>
    <w:rsid w:val="003062AE"/>
    <w:rsid w:val="003063A8"/>
    <w:rsid w:val="003063BC"/>
    <w:rsid w:val="0030677B"/>
    <w:rsid w:val="003068BF"/>
    <w:rsid w:val="003068F7"/>
    <w:rsid w:val="00306959"/>
    <w:rsid w:val="003069AA"/>
    <w:rsid w:val="00306B81"/>
    <w:rsid w:val="00306D7C"/>
    <w:rsid w:val="00306F38"/>
    <w:rsid w:val="0030702C"/>
    <w:rsid w:val="0030705F"/>
    <w:rsid w:val="003075EF"/>
    <w:rsid w:val="003078A5"/>
    <w:rsid w:val="00307A33"/>
    <w:rsid w:val="00307A44"/>
    <w:rsid w:val="00307BF0"/>
    <w:rsid w:val="00307D90"/>
    <w:rsid w:val="00307E5A"/>
    <w:rsid w:val="00307ED9"/>
    <w:rsid w:val="00307F9D"/>
    <w:rsid w:val="00307FC6"/>
    <w:rsid w:val="00310197"/>
    <w:rsid w:val="003101E9"/>
    <w:rsid w:val="003102BC"/>
    <w:rsid w:val="0031056C"/>
    <w:rsid w:val="003105A9"/>
    <w:rsid w:val="003105F3"/>
    <w:rsid w:val="003106E7"/>
    <w:rsid w:val="00310737"/>
    <w:rsid w:val="00310755"/>
    <w:rsid w:val="00310911"/>
    <w:rsid w:val="00310988"/>
    <w:rsid w:val="003109A4"/>
    <w:rsid w:val="00310AF3"/>
    <w:rsid w:val="00310BF9"/>
    <w:rsid w:val="00310DA0"/>
    <w:rsid w:val="00310E4E"/>
    <w:rsid w:val="0031102D"/>
    <w:rsid w:val="00311058"/>
    <w:rsid w:val="00311062"/>
    <w:rsid w:val="00311324"/>
    <w:rsid w:val="003117BB"/>
    <w:rsid w:val="00311879"/>
    <w:rsid w:val="00311A1E"/>
    <w:rsid w:val="0031216A"/>
    <w:rsid w:val="003121C1"/>
    <w:rsid w:val="00312261"/>
    <w:rsid w:val="003122D6"/>
    <w:rsid w:val="003124FC"/>
    <w:rsid w:val="0031260D"/>
    <w:rsid w:val="003126BA"/>
    <w:rsid w:val="00312C88"/>
    <w:rsid w:val="00312F40"/>
    <w:rsid w:val="003133AB"/>
    <w:rsid w:val="00313563"/>
    <w:rsid w:val="003135A2"/>
    <w:rsid w:val="00313CC6"/>
    <w:rsid w:val="00313F22"/>
    <w:rsid w:val="00314028"/>
    <w:rsid w:val="0031424B"/>
    <w:rsid w:val="00314452"/>
    <w:rsid w:val="00314661"/>
    <w:rsid w:val="0031480B"/>
    <w:rsid w:val="00314E16"/>
    <w:rsid w:val="00314EBF"/>
    <w:rsid w:val="00314FE6"/>
    <w:rsid w:val="00315188"/>
    <w:rsid w:val="00315195"/>
    <w:rsid w:val="00315412"/>
    <w:rsid w:val="00315455"/>
    <w:rsid w:val="003154CB"/>
    <w:rsid w:val="003159F0"/>
    <w:rsid w:val="00315B77"/>
    <w:rsid w:val="00315C25"/>
    <w:rsid w:val="00315D7A"/>
    <w:rsid w:val="00315F88"/>
    <w:rsid w:val="003160AB"/>
    <w:rsid w:val="003161DD"/>
    <w:rsid w:val="00316358"/>
    <w:rsid w:val="00316596"/>
    <w:rsid w:val="00316645"/>
    <w:rsid w:val="0031672B"/>
    <w:rsid w:val="0031686D"/>
    <w:rsid w:val="0031689D"/>
    <w:rsid w:val="003168A7"/>
    <w:rsid w:val="0031690E"/>
    <w:rsid w:val="003169CF"/>
    <w:rsid w:val="00316DCE"/>
    <w:rsid w:val="00317060"/>
    <w:rsid w:val="00317073"/>
    <w:rsid w:val="003171E4"/>
    <w:rsid w:val="003172D9"/>
    <w:rsid w:val="0031740C"/>
    <w:rsid w:val="003174CC"/>
    <w:rsid w:val="0031761E"/>
    <w:rsid w:val="00317702"/>
    <w:rsid w:val="00317797"/>
    <w:rsid w:val="003177D2"/>
    <w:rsid w:val="003177DC"/>
    <w:rsid w:val="0031799D"/>
    <w:rsid w:val="00317C4F"/>
    <w:rsid w:val="00317CBF"/>
    <w:rsid w:val="00320101"/>
    <w:rsid w:val="0032039B"/>
    <w:rsid w:val="00320819"/>
    <w:rsid w:val="00320A40"/>
    <w:rsid w:val="00320B26"/>
    <w:rsid w:val="00320B68"/>
    <w:rsid w:val="00320DD0"/>
    <w:rsid w:val="0032115E"/>
    <w:rsid w:val="003216F1"/>
    <w:rsid w:val="00321714"/>
    <w:rsid w:val="00321894"/>
    <w:rsid w:val="0032192A"/>
    <w:rsid w:val="00321CA8"/>
    <w:rsid w:val="0032208C"/>
    <w:rsid w:val="00322211"/>
    <w:rsid w:val="00322305"/>
    <w:rsid w:val="00322340"/>
    <w:rsid w:val="00322639"/>
    <w:rsid w:val="0032287E"/>
    <w:rsid w:val="00322AFE"/>
    <w:rsid w:val="00322C6B"/>
    <w:rsid w:val="00322D5E"/>
    <w:rsid w:val="00322EC8"/>
    <w:rsid w:val="00322F07"/>
    <w:rsid w:val="00322F10"/>
    <w:rsid w:val="0032320D"/>
    <w:rsid w:val="003233C8"/>
    <w:rsid w:val="003234C7"/>
    <w:rsid w:val="003236B2"/>
    <w:rsid w:val="0032373B"/>
    <w:rsid w:val="0032384D"/>
    <w:rsid w:val="003238F4"/>
    <w:rsid w:val="00323B9B"/>
    <w:rsid w:val="00323C2C"/>
    <w:rsid w:val="00323F3F"/>
    <w:rsid w:val="00324032"/>
    <w:rsid w:val="003240DF"/>
    <w:rsid w:val="003241E4"/>
    <w:rsid w:val="0032423C"/>
    <w:rsid w:val="00324441"/>
    <w:rsid w:val="0032444B"/>
    <w:rsid w:val="003244DC"/>
    <w:rsid w:val="0032479E"/>
    <w:rsid w:val="003247F2"/>
    <w:rsid w:val="00324819"/>
    <w:rsid w:val="00324932"/>
    <w:rsid w:val="003249CB"/>
    <w:rsid w:val="00324B9D"/>
    <w:rsid w:val="00324E20"/>
    <w:rsid w:val="00324E9A"/>
    <w:rsid w:val="00325074"/>
    <w:rsid w:val="00325145"/>
    <w:rsid w:val="00325725"/>
    <w:rsid w:val="003259CF"/>
    <w:rsid w:val="00325DE0"/>
    <w:rsid w:val="0032601E"/>
    <w:rsid w:val="0032608F"/>
    <w:rsid w:val="00326148"/>
    <w:rsid w:val="003261E6"/>
    <w:rsid w:val="00326201"/>
    <w:rsid w:val="003264C9"/>
    <w:rsid w:val="003266FA"/>
    <w:rsid w:val="0032670F"/>
    <w:rsid w:val="00326A50"/>
    <w:rsid w:val="00326E79"/>
    <w:rsid w:val="0032708A"/>
    <w:rsid w:val="00327094"/>
    <w:rsid w:val="003271E0"/>
    <w:rsid w:val="0032737D"/>
    <w:rsid w:val="003275CA"/>
    <w:rsid w:val="003276FF"/>
    <w:rsid w:val="00327A26"/>
    <w:rsid w:val="00327A70"/>
    <w:rsid w:val="00327A7D"/>
    <w:rsid w:val="00327C3E"/>
    <w:rsid w:val="00327CA5"/>
    <w:rsid w:val="00327CEA"/>
    <w:rsid w:val="00327F6F"/>
    <w:rsid w:val="00330032"/>
    <w:rsid w:val="003301E9"/>
    <w:rsid w:val="003305B0"/>
    <w:rsid w:val="003306A2"/>
    <w:rsid w:val="0033079E"/>
    <w:rsid w:val="00330970"/>
    <w:rsid w:val="00330AB2"/>
    <w:rsid w:val="00330B45"/>
    <w:rsid w:val="00330B54"/>
    <w:rsid w:val="00330F5D"/>
    <w:rsid w:val="0033115F"/>
    <w:rsid w:val="00331172"/>
    <w:rsid w:val="00331205"/>
    <w:rsid w:val="00331BD8"/>
    <w:rsid w:val="00331D1F"/>
    <w:rsid w:val="00331DC0"/>
    <w:rsid w:val="00331F8F"/>
    <w:rsid w:val="0033204F"/>
    <w:rsid w:val="00332234"/>
    <w:rsid w:val="003322FD"/>
    <w:rsid w:val="00332476"/>
    <w:rsid w:val="003326CE"/>
    <w:rsid w:val="00332C33"/>
    <w:rsid w:val="00332C39"/>
    <w:rsid w:val="00332D0E"/>
    <w:rsid w:val="00332D67"/>
    <w:rsid w:val="00332E50"/>
    <w:rsid w:val="00332F94"/>
    <w:rsid w:val="003332E6"/>
    <w:rsid w:val="0033350D"/>
    <w:rsid w:val="00333548"/>
    <w:rsid w:val="0033355A"/>
    <w:rsid w:val="003335C2"/>
    <w:rsid w:val="0033360A"/>
    <w:rsid w:val="003336D8"/>
    <w:rsid w:val="00333AD2"/>
    <w:rsid w:val="00333AFC"/>
    <w:rsid w:val="00333BCB"/>
    <w:rsid w:val="00333F97"/>
    <w:rsid w:val="00334001"/>
    <w:rsid w:val="00334017"/>
    <w:rsid w:val="0033420E"/>
    <w:rsid w:val="003342DF"/>
    <w:rsid w:val="00334303"/>
    <w:rsid w:val="003343AC"/>
    <w:rsid w:val="003346C7"/>
    <w:rsid w:val="003346D2"/>
    <w:rsid w:val="00334843"/>
    <w:rsid w:val="00334A8B"/>
    <w:rsid w:val="00334AC6"/>
    <w:rsid w:val="00334B99"/>
    <w:rsid w:val="00334C69"/>
    <w:rsid w:val="00334CDD"/>
    <w:rsid w:val="0033566B"/>
    <w:rsid w:val="0033580D"/>
    <w:rsid w:val="00335983"/>
    <w:rsid w:val="00335BFE"/>
    <w:rsid w:val="00335CDC"/>
    <w:rsid w:val="00335DEA"/>
    <w:rsid w:val="003360AE"/>
    <w:rsid w:val="00336244"/>
    <w:rsid w:val="003363DF"/>
    <w:rsid w:val="00336421"/>
    <w:rsid w:val="003364F1"/>
    <w:rsid w:val="00336534"/>
    <w:rsid w:val="00336575"/>
    <w:rsid w:val="00336631"/>
    <w:rsid w:val="00336801"/>
    <w:rsid w:val="00336843"/>
    <w:rsid w:val="003369BE"/>
    <w:rsid w:val="00336A86"/>
    <w:rsid w:val="00336AED"/>
    <w:rsid w:val="00336BFD"/>
    <w:rsid w:val="00336D34"/>
    <w:rsid w:val="00336E5A"/>
    <w:rsid w:val="00336F00"/>
    <w:rsid w:val="00336FD8"/>
    <w:rsid w:val="0033720C"/>
    <w:rsid w:val="0033722F"/>
    <w:rsid w:val="003372DF"/>
    <w:rsid w:val="0033751E"/>
    <w:rsid w:val="00337680"/>
    <w:rsid w:val="003377C0"/>
    <w:rsid w:val="00337882"/>
    <w:rsid w:val="003378E1"/>
    <w:rsid w:val="0033792D"/>
    <w:rsid w:val="00337942"/>
    <w:rsid w:val="00337994"/>
    <w:rsid w:val="00337A67"/>
    <w:rsid w:val="00337B72"/>
    <w:rsid w:val="00337EB6"/>
    <w:rsid w:val="003401A2"/>
    <w:rsid w:val="003401EF"/>
    <w:rsid w:val="003403E9"/>
    <w:rsid w:val="003404AB"/>
    <w:rsid w:val="003405D9"/>
    <w:rsid w:val="0034065F"/>
    <w:rsid w:val="00340726"/>
    <w:rsid w:val="00340A68"/>
    <w:rsid w:val="00340B4E"/>
    <w:rsid w:val="00340FCA"/>
    <w:rsid w:val="00341487"/>
    <w:rsid w:val="003417C8"/>
    <w:rsid w:val="00341AB5"/>
    <w:rsid w:val="00341DDE"/>
    <w:rsid w:val="00341DE7"/>
    <w:rsid w:val="00341EB5"/>
    <w:rsid w:val="003420D9"/>
    <w:rsid w:val="00342306"/>
    <w:rsid w:val="00342368"/>
    <w:rsid w:val="00342484"/>
    <w:rsid w:val="00342586"/>
    <w:rsid w:val="003427CB"/>
    <w:rsid w:val="00342979"/>
    <w:rsid w:val="0034299A"/>
    <w:rsid w:val="00342E0C"/>
    <w:rsid w:val="0034321D"/>
    <w:rsid w:val="003432BD"/>
    <w:rsid w:val="003433DC"/>
    <w:rsid w:val="0034342C"/>
    <w:rsid w:val="00343577"/>
    <w:rsid w:val="003435D1"/>
    <w:rsid w:val="003437D8"/>
    <w:rsid w:val="003439B5"/>
    <w:rsid w:val="00343AE7"/>
    <w:rsid w:val="00343BB3"/>
    <w:rsid w:val="00343D9E"/>
    <w:rsid w:val="00343E7B"/>
    <w:rsid w:val="00343F35"/>
    <w:rsid w:val="00343F59"/>
    <w:rsid w:val="0034411B"/>
    <w:rsid w:val="00344184"/>
    <w:rsid w:val="003442A1"/>
    <w:rsid w:val="00344334"/>
    <w:rsid w:val="003443EE"/>
    <w:rsid w:val="00344447"/>
    <w:rsid w:val="00344649"/>
    <w:rsid w:val="0034466C"/>
    <w:rsid w:val="003446A7"/>
    <w:rsid w:val="00344779"/>
    <w:rsid w:val="003447F8"/>
    <w:rsid w:val="003448EE"/>
    <w:rsid w:val="00344D20"/>
    <w:rsid w:val="00344EF7"/>
    <w:rsid w:val="00344FDE"/>
    <w:rsid w:val="003453BD"/>
    <w:rsid w:val="0034586C"/>
    <w:rsid w:val="003458D2"/>
    <w:rsid w:val="0034591C"/>
    <w:rsid w:val="0034592B"/>
    <w:rsid w:val="00345ADB"/>
    <w:rsid w:val="00345B52"/>
    <w:rsid w:val="00345DC2"/>
    <w:rsid w:val="0034618B"/>
    <w:rsid w:val="003461E2"/>
    <w:rsid w:val="003461EE"/>
    <w:rsid w:val="00346251"/>
    <w:rsid w:val="003463EE"/>
    <w:rsid w:val="00346465"/>
    <w:rsid w:val="003466DF"/>
    <w:rsid w:val="00346732"/>
    <w:rsid w:val="0034692D"/>
    <w:rsid w:val="00346B06"/>
    <w:rsid w:val="00346C6E"/>
    <w:rsid w:val="00346D0B"/>
    <w:rsid w:val="00346EDA"/>
    <w:rsid w:val="00347397"/>
    <w:rsid w:val="00347446"/>
    <w:rsid w:val="00347485"/>
    <w:rsid w:val="003474A7"/>
    <w:rsid w:val="0034758A"/>
    <w:rsid w:val="00347662"/>
    <w:rsid w:val="00347BA1"/>
    <w:rsid w:val="00347C04"/>
    <w:rsid w:val="00347CAB"/>
    <w:rsid w:val="00347DBA"/>
    <w:rsid w:val="00350066"/>
    <w:rsid w:val="003500FB"/>
    <w:rsid w:val="003503BA"/>
    <w:rsid w:val="0035060B"/>
    <w:rsid w:val="003507C1"/>
    <w:rsid w:val="0035085D"/>
    <w:rsid w:val="0035093D"/>
    <w:rsid w:val="00350940"/>
    <w:rsid w:val="00350A2D"/>
    <w:rsid w:val="00350B9C"/>
    <w:rsid w:val="00350D57"/>
    <w:rsid w:val="00350ED3"/>
    <w:rsid w:val="003510E7"/>
    <w:rsid w:val="0035114C"/>
    <w:rsid w:val="00351177"/>
    <w:rsid w:val="0035147B"/>
    <w:rsid w:val="003515D2"/>
    <w:rsid w:val="00351708"/>
    <w:rsid w:val="003518F9"/>
    <w:rsid w:val="00351921"/>
    <w:rsid w:val="00351CF8"/>
    <w:rsid w:val="00352343"/>
    <w:rsid w:val="00352524"/>
    <w:rsid w:val="00352857"/>
    <w:rsid w:val="003528FF"/>
    <w:rsid w:val="00352A17"/>
    <w:rsid w:val="00352CD9"/>
    <w:rsid w:val="003530F5"/>
    <w:rsid w:val="0035318D"/>
    <w:rsid w:val="00353232"/>
    <w:rsid w:val="003533AC"/>
    <w:rsid w:val="00353472"/>
    <w:rsid w:val="003535E1"/>
    <w:rsid w:val="003536F5"/>
    <w:rsid w:val="003538B8"/>
    <w:rsid w:val="00353950"/>
    <w:rsid w:val="0035399A"/>
    <w:rsid w:val="00353D7F"/>
    <w:rsid w:val="00354405"/>
    <w:rsid w:val="00354744"/>
    <w:rsid w:val="0035476B"/>
    <w:rsid w:val="003548C6"/>
    <w:rsid w:val="00354CC6"/>
    <w:rsid w:val="00355530"/>
    <w:rsid w:val="0035567A"/>
    <w:rsid w:val="003556FC"/>
    <w:rsid w:val="003558C5"/>
    <w:rsid w:val="00355AE2"/>
    <w:rsid w:val="00355BE8"/>
    <w:rsid w:val="00355C87"/>
    <w:rsid w:val="00355CB7"/>
    <w:rsid w:val="00355D21"/>
    <w:rsid w:val="0035611F"/>
    <w:rsid w:val="00356231"/>
    <w:rsid w:val="003562B4"/>
    <w:rsid w:val="003566AA"/>
    <w:rsid w:val="0035675A"/>
    <w:rsid w:val="00356787"/>
    <w:rsid w:val="003568C5"/>
    <w:rsid w:val="0035694E"/>
    <w:rsid w:val="00356A16"/>
    <w:rsid w:val="00356A52"/>
    <w:rsid w:val="00356E4B"/>
    <w:rsid w:val="00357313"/>
    <w:rsid w:val="00357319"/>
    <w:rsid w:val="00357622"/>
    <w:rsid w:val="0035764F"/>
    <w:rsid w:val="00357761"/>
    <w:rsid w:val="003578C6"/>
    <w:rsid w:val="00357B1F"/>
    <w:rsid w:val="00357CD4"/>
    <w:rsid w:val="00357CD9"/>
    <w:rsid w:val="00357DDC"/>
    <w:rsid w:val="00357E4F"/>
    <w:rsid w:val="00360171"/>
    <w:rsid w:val="003601D8"/>
    <w:rsid w:val="0036037D"/>
    <w:rsid w:val="00360B8E"/>
    <w:rsid w:val="00360CDA"/>
    <w:rsid w:val="00361099"/>
    <w:rsid w:val="003610D6"/>
    <w:rsid w:val="003611C2"/>
    <w:rsid w:val="00361252"/>
    <w:rsid w:val="003614FC"/>
    <w:rsid w:val="0036155C"/>
    <w:rsid w:val="0036159E"/>
    <w:rsid w:val="00361814"/>
    <w:rsid w:val="00361847"/>
    <w:rsid w:val="00361B56"/>
    <w:rsid w:val="00361CA3"/>
    <w:rsid w:val="00361CFF"/>
    <w:rsid w:val="00361D2D"/>
    <w:rsid w:val="00361DA1"/>
    <w:rsid w:val="003620AD"/>
    <w:rsid w:val="0036258E"/>
    <w:rsid w:val="0036269D"/>
    <w:rsid w:val="003628E7"/>
    <w:rsid w:val="00362A9C"/>
    <w:rsid w:val="00362B36"/>
    <w:rsid w:val="00362CE2"/>
    <w:rsid w:val="00362F43"/>
    <w:rsid w:val="00362F80"/>
    <w:rsid w:val="00363023"/>
    <w:rsid w:val="0036335B"/>
    <w:rsid w:val="00363391"/>
    <w:rsid w:val="003634F0"/>
    <w:rsid w:val="003638C9"/>
    <w:rsid w:val="00363ABD"/>
    <w:rsid w:val="00363B56"/>
    <w:rsid w:val="00363B8A"/>
    <w:rsid w:val="00363C9E"/>
    <w:rsid w:val="00363D9D"/>
    <w:rsid w:val="00363ED1"/>
    <w:rsid w:val="003640AF"/>
    <w:rsid w:val="0036416D"/>
    <w:rsid w:val="0036452E"/>
    <w:rsid w:val="00364583"/>
    <w:rsid w:val="00364686"/>
    <w:rsid w:val="0036471E"/>
    <w:rsid w:val="003648B4"/>
    <w:rsid w:val="00364A93"/>
    <w:rsid w:val="00364B9E"/>
    <w:rsid w:val="00364CE8"/>
    <w:rsid w:val="00364E96"/>
    <w:rsid w:val="0036549C"/>
    <w:rsid w:val="00365649"/>
    <w:rsid w:val="00365698"/>
    <w:rsid w:val="003656A0"/>
    <w:rsid w:val="0036579E"/>
    <w:rsid w:val="0036597C"/>
    <w:rsid w:val="00365A3D"/>
    <w:rsid w:val="00365ADA"/>
    <w:rsid w:val="00365B27"/>
    <w:rsid w:val="00365B44"/>
    <w:rsid w:val="00365C42"/>
    <w:rsid w:val="00365DC1"/>
    <w:rsid w:val="00366205"/>
    <w:rsid w:val="003663BA"/>
    <w:rsid w:val="003663DA"/>
    <w:rsid w:val="003663F8"/>
    <w:rsid w:val="0036640C"/>
    <w:rsid w:val="00366576"/>
    <w:rsid w:val="003666C5"/>
    <w:rsid w:val="003668AA"/>
    <w:rsid w:val="00366963"/>
    <w:rsid w:val="00366B13"/>
    <w:rsid w:val="00366BF5"/>
    <w:rsid w:val="00366C9B"/>
    <w:rsid w:val="00366E17"/>
    <w:rsid w:val="00366E9A"/>
    <w:rsid w:val="00366F44"/>
    <w:rsid w:val="00367505"/>
    <w:rsid w:val="003677F9"/>
    <w:rsid w:val="00367A3C"/>
    <w:rsid w:val="00367A7E"/>
    <w:rsid w:val="00367B8D"/>
    <w:rsid w:val="00367D57"/>
    <w:rsid w:val="003700AF"/>
    <w:rsid w:val="0037010B"/>
    <w:rsid w:val="0037010E"/>
    <w:rsid w:val="00370583"/>
    <w:rsid w:val="00370BA8"/>
    <w:rsid w:val="00370C9A"/>
    <w:rsid w:val="00370F78"/>
    <w:rsid w:val="00371098"/>
    <w:rsid w:val="003712E7"/>
    <w:rsid w:val="003716A4"/>
    <w:rsid w:val="00371777"/>
    <w:rsid w:val="00371807"/>
    <w:rsid w:val="0037184B"/>
    <w:rsid w:val="0037196D"/>
    <w:rsid w:val="003719DE"/>
    <w:rsid w:val="00371A0B"/>
    <w:rsid w:val="00371A1F"/>
    <w:rsid w:val="00371A65"/>
    <w:rsid w:val="00371ACC"/>
    <w:rsid w:val="00371C08"/>
    <w:rsid w:val="00371C67"/>
    <w:rsid w:val="00371C6A"/>
    <w:rsid w:val="00371D9D"/>
    <w:rsid w:val="00371E97"/>
    <w:rsid w:val="00372091"/>
    <w:rsid w:val="00372194"/>
    <w:rsid w:val="00372238"/>
    <w:rsid w:val="00372395"/>
    <w:rsid w:val="00372580"/>
    <w:rsid w:val="00372648"/>
    <w:rsid w:val="00372831"/>
    <w:rsid w:val="0037289C"/>
    <w:rsid w:val="0037296E"/>
    <w:rsid w:val="0037298E"/>
    <w:rsid w:val="00372A25"/>
    <w:rsid w:val="00372C7C"/>
    <w:rsid w:val="00372EDE"/>
    <w:rsid w:val="00372F35"/>
    <w:rsid w:val="00372FFB"/>
    <w:rsid w:val="0037312E"/>
    <w:rsid w:val="00373185"/>
    <w:rsid w:val="0037342A"/>
    <w:rsid w:val="0037347E"/>
    <w:rsid w:val="003735AA"/>
    <w:rsid w:val="0037388A"/>
    <w:rsid w:val="003739BF"/>
    <w:rsid w:val="00373A4E"/>
    <w:rsid w:val="00373B1E"/>
    <w:rsid w:val="00373B4A"/>
    <w:rsid w:val="00373C2E"/>
    <w:rsid w:val="00373CD8"/>
    <w:rsid w:val="00374001"/>
    <w:rsid w:val="0037404C"/>
    <w:rsid w:val="00374262"/>
    <w:rsid w:val="003744CA"/>
    <w:rsid w:val="00374728"/>
    <w:rsid w:val="0037485C"/>
    <w:rsid w:val="00374CB4"/>
    <w:rsid w:val="00374EAB"/>
    <w:rsid w:val="00375415"/>
    <w:rsid w:val="0037568D"/>
    <w:rsid w:val="003756C2"/>
    <w:rsid w:val="003756FB"/>
    <w:rsid w:val="0037587D"/>
    <w:rsid w:val="003758C9"/>
    <w:rsid w:val="00375BA9"/>
    <w:rsid w:val="00375E88"/>
    <w:rsid w:val="00375EB8"/>
    <w:rsid w:val="003760F8"/>
    <w:rsid w:val="00376286"/>
    <w:rsid w:val="00376289"/>
    <w:rsid w:val="00376317"/>
    <w:rsid w:val="0037634E"/>
    <w:rsid w:val="003765C1"/>
    <w:rsid w:val="00376B5C"/>
    <w:rsid w:val="00376BAF"/>
    <w:rsid w:val="00376CAA"/>
    <w:rsid w:val="00376D48"/>
    <w:rsid w:val="00376D64"/>
    <w:rsid w:val="0037701F"/>
    <w:rsid w:val="00377267"/>
    <w:rsid w:val="003776A7"/>
    <w:rsid w:val="00377777"/>
    <w:rsid w:val="00377806"/>
    <w:rsid w:val="003778DA"/>
    <w:rsid w:val="00377977"/>
    <w:rsid w:val="003779EE"/>
    <w:rsid w:val="00377A4D"/>
    <w:rsid w:val="00377AE4"/>
    <w:rsid w:val="00377C4A"/>
    <w:rsid w:val="00377DB3"/>
    <w:rsid w:val="00377E4D"/>
    <w:rsid w:val="00377EB6"/>
    <w:rsid w:val="00380037"/>
    <w:rsid w:val="003800EB"/>
    <w:rsid w:val="0038011C"/>
    <w:rsid w:val="00380831"/>
    <w:rsid w:val="0038083D"/>
    <w:rsid w:val="00380859"/>
    <w:rsid w:val="00380BAA"/>
    <w:rsid w:val="00380C6F"/>
    <w:rsid w:val="00380E04"/>
    <w:rsid w:val="00380F90"/>
    <w:rsid w:val="00381040"/>
    <w:rsid w:val="00381108"/>
    <w:rsid w:val="00381A98"/>
    <w:rsid w:val="00381B99"/>
    <w:rsid w:val="00381BBC"/>
    <w:rsid w:val="00381F5E"/>
    <w:rsid w:val="00382032"/>
    <w:rsid w:val="0038254F"/>
    <w:rsid w:val="0038270C"/>
    <w:rsid w:val="003827EB"/>
    <w:rsid w:val="0038293D"/>
    <w:rsid w:val="00382993"/>
    <w:rsid w:val="00382ACA"/>
    <w:rsid w:val="00382CFF"/>
    <w:rsid w:val="00382EE8"/>
    <w:rsid w:val="00383219"/>
    <w:rsid w:val="00383397"/>
    <w:rsid w:val="003835DC"/>
    <w:rsid w:val="00383981"/>
    <w:rsid w:val="003839C7"/>
    <w:rsid w:val="00383DA5"/>
    <w:rsid w:val="00383F93"/>
    <w:rsid w:val="00383F9A"/>
    <w:rsid w:val="003840EE"/>
    <w:rsid w:val="0038425F"/>
    <w:rsid w:val="0038444F"/>
    <w:rsid w:val="0038452C"/>
    <w:rsid w:val="0038458C"/>
    <w:rsid w:val="003845DB"/>
    <w:rsid w:val="00384783"/>
    <w:rsid w:val="00384800"/>
    <w:rsid w:val="00384CAD"/>
    <w:rsid w:val="00384CF8"/>
    <w:rsid w:val="00384EE8"/>
    <w:rsid w:val="00384FB1"/>
    <w:rsid w:val="00385190"/>
    <w:rsid w:val="003853F4"/>
    <w:rsid w:val="00385593"/>
    <w:rsid w:val="00385621"/>
    <w:rsid w:val="0038573D"/>
    <w:rsid w:val="0038591D"/>
    <w:rsid w:val="00385B03"/>
    <w:rsid w:val="00385B52"/>
    <w:rsid w:val="00385D40"/>
    <w:rsid w:val="00385F00"/>
    <w:rsid w:val="00385F88"/>
    <w:rsid w:val="00386198"/>
    <w:rsid w:val="003863C7"/>
    <w:rsid w:val="0038640F"/>
    <w:rsid w:val="00386568"/>
    <w:rsid w:val="003865E9"/>
    <w:rsid w:val="003867BE"/>
    <w:rsid w:val="00386949"/>
    <w:rsid w:val="00386B25"/>
    <w:rsid w:val="00386B9C"/>
    <w:rsid w:val="00386F56"/>
    <w:rsid w:val="00387048"/>
    <w:rsid w:val="00387857"/>
    <w:rsid w:val="003878F9"/>
    <w:rsid w:val="00387AAD"/>
    <w:rsid w:val="00387CB0"/>
    <w:rsid w:val="00387CB2"/>
    <w:rsid w:val="00387D9A"/>
    <w:rsid w:val="00387F86"/>
    <w:rsid w:val="00390404"/>
    <w:rsid w:val="00390471"/>
    <w:rsid w:val="00390504"/>
    <w:rsid w:val="00390B49"/>
    <w:rsid w:val="00390EDA"/>
    <w:rsid w:val="00391104"/>
    <w:rsid w:val="003912CB"/>
    <w:rsid w:val="00391370"/>
    <w:rsid w:val="0039167B"/>
    <w:rsid w:val="003916E4"/>
    <w:rsid w:val="0039181B"/>
    <w:rsid w:val="003918C4"/>
    <w:rsid w:val="003919DB"/>
    <w:rsid w:val="00391B54"/>
    <w:rsid w:val="00391C70"/>
    <w:rsid w:val="00392068"/>
    <w:rsid w:val="003921B4"/>
    <w:rsid w:val="00392298"/>
    <w:rsid w:val="003922D9"/>
    <w:rsid w:val="00392306"/>
    <w:rsid w:val="003923FD"/>
    <w:rsid w:val="003924CF"/>
    <w:rsid w:val="0039250F"/>
    <w:rsid w:val="00392773"/>
    <w:rsid w:val="00392903"/>
    <w:rsid w:val="00392A76"/>
    <w:rsid w:val="00392AB1"/>
    <w:rsid w:val="00392ACF"/>
    <w:rsid w:val="00392B63"/>
    <w:rsid w:val="00392C83"/>
    <w:rsid w:val="00392CF0"/>
    <w:rsid w:val="00392DBD"/>
    <w:rsid w:val="00392E4D"/>
    <w:rsid w:val="00392F41"/>
    <w:rsid w:val="0039344A"/>
    <w:rsid w:val="0039350F"/>
    <w:rsid w:val="003936A5"/>
    <w:rsid w:val="00393814"/>
    <w:rsid w:val="00393A65"/>
    <w:rsid w:val="00393B4C"/>
    <w:rsid w:val="00393BA3"/>
    <w:rsid w:val="00393C60"/>
    <w:rsid w:val="00393D10"/>
    <w:rsid w:val="00393F0A"/>
    <w:rsid w:val="00393FED"/>
    <w:rsid w:val="00394199"/>
    <w:rsid w:val="0039429F"/>
    <w:rsid w:val="00394470"/>
    <w:rsid w:val="003944B0"/>
    <w:rsid w:val="00394667"/>
    <w:rsid w:val="00394B8C"/>
    <w:rsid w:val="00394E86"/>
    <w:rsid w:val="00394FC5"/>
    <w:rsid w:val="003950AD"/>
    <w:rsid w:val="00395175"/>
    <w:rsid w:val="003951DC"/>
    <w:rsid w:val="00395252"/>
    <w:rsid w:val="00395258"/>
    <w:rsid w:val="00395355"/>
    <w:rsid w:val="003953CC"/>
    <w:rsid w:val="0039543D"/>
    <w:rsid w:val="003954EF"/>
    <w:rsid w:val="0039556C"/>
    <w:rsid w:val="0039558B"/>
    <w:rsid w:val="0039575B"/>
    <w:rsid w:val="00395827"/>
    <w:rsid w:val="00395A22"/>
    <w:rsid w:val="00395B31"/>
    <w:rsid w:val="00395BB9"/>
    <w:rsid w:val="00395D9D"/>
    <w:rsid w:val="00395F3D"/>
    <w:rsid w:val="00396004"/>
    <w:rsid w:val="003963F7"/>
    <w:rsid w:val="00396551"/>
    <w:rsid w:val="003968EE"/>
    <w:rsid w:val="003969E9"/>
    <w:rsid w:val="00396AA5"/>
    <w:rsid w:val="00396AF6"/>
    <w:rsid w:val="00396DE1"/>
    <w:rsid w:val="00397114"/>
    <w:rsid w:val="003972CB"/>
    <w:rsid w:val="00397339"/>
    <w:rsid w:val="003973A7"/>
    <w:rsid w:val="003973FE"/>
    <w:rsid w:val="0039753B"/>
    <w:rsid w:val="00397703"/>
    <w:rsid w:val="003979BF"/>
    <w:rsid w:val="00397CB6"/>
    <w:rsid w:val="003A0006"/>
    <w:rsid w:val="003A0108"/>
    <w:rsid w:val="003A02C8"/>
    <w:rsid w:val="003A030B"/>
    <w:rsid w:val="003A0382"/>
    <w:rsid w:val="003A07AE"/>
    <w:rsid w:val="003A07B9"/>
    <w:rsid w:val="003A0D07"/>
    <w:rsid w:val="003A0FCE"/>
    <w:rsid w:val="003A0FFE"/>
    <w:rsid w:val="003A11DE"/>
    <w:rsid w:val="003A1203"/>
    <w:rsid w:val="003A1343"/>
    <w:rsid w:val="003A13AC"/>
    <w:rsid w:val="003A13FD"/>
    <w:rsid w:val="003A14D1"/>
    <w:rsid w:val="003A1CCD"/>
    <w:rsid w:val="003A21B2"/>
    <w:rsid w:val="003A23C7"/>
    <w:rsid w:val="003A2459"/>
    <w:rsid w:val="003A264F"/>
    <w:rsid w:val="003A2736"/>
    <w:rsid w:val="003A295A"/>
    <w:rsid w:val="003A2A1F"/>
    <w:rsid w:val="003A2B92"/>
    <w:rsid w:val="003A31C4"/>
    <w:rsid w:val="003A3259"/>
    <w:rsid w:val="003A32BA"/>
    <w:rsid w:val="003A3452"/>
    <w:rsid w:val="003A3882"/>
    <w:rsid w:val="003A3D20"/>
    <w:rsid w:val="003A3DA6"/>
    <w:rsid w:val="003A3DAF"/>
    <w:rsid w:val="003A3FE2"/>
    <w:rsid w:val="003A4148"/>
    <w:rsid w:val="003A4364"/>
    <w:rsid w:val="003A45DA"/>
    <w:rsid w:val="003A4620"/>
    <w:rsid w:val="003A464A"/>
    <w:rsid w:val="003A4679"/>
    <w:rsid w:val="003A4850"/>
    <w:rsid w:val="003A4867"/>
    <w:rsid w:val="003A494E"/>
    <w:rsid w:val="003A494F"/>
    <w:rsid w:val="003A4B75"/>
    <w:rsid w:val="003A4BB9"/>
    <w:rsid w:val="003A4C6E"/>
    <w:rsid w:val="003A4C99"/>
    <w:rsid w:val="003A4EA7"/>
    <w:rsid w:val="003A4F14"/>
    <w:rsid w:val="003A52B1"/>
    <w:rsid w:val="003A52E9"/>
    <w:rsid w:val="003A5462"/>
    <w:rsid w:val="003A54D8"/>
    <w:rsid w:val="003A5511"/>
    <w:rsid w:val="003A55A9"/>
    <w:rsid w:val="003A563D"/>
    <w:rsid w:val="003A56F3"/>
    <w:rsid w:val="003A5713"/>
    <w:rsid w:val="003A57D8"/>
    <w:rsid w:val="003A5B5C"/>
    <w:rsid w:val="003A5BDC"/>
    <w:rsid w:val="003A5D68"/>
    <w:rsid w:val="003A5E3B"/>
    <w:rsid w:val="003A5E6A"/>
    <w:rsid w:val="003A5FE1"/>
    <w:rsid w:val="003A64D0"/>
    <w:rsid w:val="003A66B5"/>
    <w:rsid w:val="003A67A1"/>
    <w:rsid w:val="003A68AC"/>
    <w:rsid w:val="003A68F3"/>
    <w:rsid w:val="003A6B24"/>
    <w:rsid w:val="003A6E59"/>
    <w:rsid w:val="003A713F"/>
    <w:rsid w:val="003A73D8"/>
    <w:rsid w:val="003A753F"/>
    <w:rsid w:val="003A76C1"/>
    <w:rsid w:val="003A76C9"/>
    <w:rsid w:val="003A7726"/>
    <w:rsid w:val="003A782C"/>
    <w:rsid w:val="003A7C54"/>
    <w:rsid w:val="003A7EA4"/>
    <w:rsid w:val="003B029E"/>
    <w:rsid w:val="003B0439"/>
    <w:rsid w:val="003B0625"/>
    <w:rsid w:val="003B07A2"/>
    <w:rsid w:val="003B0852"/>
    <w:rsid w:val="003B0856"/>
    <w:rsid w:val="003B09B3"/>
    <w:rsid w:val="003B09E2"/>
    <w:rsid w:val="003B0BA8"/>
    <w:rsid w:val="003B0CDB"/>
    <w:rsid w:val="003B0DB4"/>
    <w:rsid w:val="003B0FBD"/>
    <w:rsid w:val="003B1005"/>
    <w:rsid w:val="003B10B2"/>
    <w:rsid w:val="003B1201"/>
    <w:rsid w:val="003B1277"/>
    <w:rsid w:val="003B1312"/>
    <w:rsid w:val="003B176C"/>
    <w:rsid w:val="003B1932"/>
    <w:rsid w:val="003B1BF1"/>
    <w:rsid w:val="003B1D95"/>
    <w:rsid w:val="003B1DE5"/>
    <w:rsid w:val="003B1E28"/>
    <w:rsid w:val="003B1F93"/>
    <w:rsid w:val="003B20B4"/>
    <w:rsid w:val="003B234E"/>
    <w:rsid w:val="003B23B4"/>
    <w:rsid w:val="003B2739"/>
    <w:rsid w:val="003B27C4"/>
    <w:rsid w:val="003B28E3"/>
    <w:rsid w:val="003B28E4"/>
    <w:rsid w:val="003B2A7B"/>
    <w:rsid w:val="003B2C27"/>
    <w:rsid w:val="003B2D22"/>
    <w:rsid w:val="003B2D52"/>
    <w:rsid w:val="003B2F73"/>
    <w:rsid w:val="003B3079"/>
    <w:rsid w:val="003B307F"/>
    <w:rsid w:val="003B327F"/>
    <w:rsid w:val="003B3379"/>
    <w:rsid w:val="003B33CD"/>
    <w:rsid w:val="003B33E6"/>
    <w:rsid w:val="003B33E7"/>
    <w:rsid w:val="003B345C"/>
    <w:rsid w:val="003B3791"/>
    <w:rsid w:val="003B3810"/>
    <w:rsid w:val="003B3842"/>
    <w:rsid w:val="003B38BB"/>
    <w:rsid w:val="003B3C47"/>
    <w:rsid w:val="003B3D56"/>
    <w:rsid w:val="003B3F96"/>
    <w:rsid w:val="003B407F"/>
    <w:rsid w:val="003B4430"/>
    <w:rsid w:val="003B45D1"/>
    <w:rsid w:val="003B4615"/>
    <w:rsid w:val="003B47E5"/>
    <w:rsid w:val="003B4A9F"/>
    <w:rsid w:val="003B4BCC"/>
    <w:rsid w:val="003B4C15"/>
    <w:rsid w:val="003B4D3F"/>
    <w:rsid w:val="003B4D6D"/>
    <w:rsid w:val="003B4EE6"/>
    <w:rsid w:val="003B50AE"/>
    <w:rsid w:val="003B50FC"/>
    <w:rsid w:val="003B5153"/>
    <w:rsid w:val="003B519F"/>
    <w:rsid w:val="003B51A5"/>
    <w:rsid w:val="003B529D"/>
    <w:rsid w:val="003B53BD"/>
    <w:rsid w:val="003B547D"/>
    <w:rsid w:val="003B5589"/>
    <w:rsid w:val="003B55B4"/>
    <w:rsid w:val="003B574D"/>
    <w:rsid w:val="003B575F"/>
    <w:rsid w:val="003B5EEE"/>
    <w:rsid w:val="003B62F5"/>
    <w:rsid w:val="003B6727"/>
    <w:rsid w:val="003B682E"/>
    <w:rsid w:val="003B69C2"/>
    <w:rsid w:val="003B6CD7"/>
    <w:rsid w:val="003B7109"/>
    <w:rsid w:val="003B71AD"/>
    <w:rsid w:val="003B72AC"/>
    <w:rsid w:val="003B72F0"/>
    <w:rsid w:val="003B7610"/>
    <w:rsid w:val="003B7804"/>
    <w:rsid w:val="003B7978"/>
    <w:rsid w:val="003B79AD"/>
    <w:rsid w:val="003B7B8A"/>
    <w:rsid w:val="003B7DAC"/>
    <w:rsid w:val="003B7E00"/>
    <w:rsid w:val="003B7F0B"/>
    <w:rsid w:val="003C017A"/>
    <w:rsid w:val="003C0296"/>
    <w:rsid w:val="003C02BC"/>
    <w:rsid w:val="003C0370"/>
    <w:rsid w:val="003C056A"/>
    <w:rsid w:val="003C05B3"/>
    <w:rsid w:val="003C0959"/>
    <w:rsid w:val="003C0AB2"/>
    <w:rsid w:val="003C0C2C"/>
    <w:rsid w:val="003C0D96"/>
    <w:rsid w:val="003C0E9B"/>
    <w:rsid w:val="003C0EAD"/>
    <w:rsid w:val="003C1233"/>
    <w:rsid w:val="003C12AF"/>
    <w:rsid w:val="003C13A7"/>
    <w:rsid w:val="003C1639"/>
    <w:rsid w:val="003C1748"/>
    <w:rsid w:val="003C179E"/>
    <w:rsid w:val="003C17AA"/>
    <w:rsid w:val="003C19AB"/>
    <w:rsid w:val="003C19BC"/>
    <w:rsid w:val="003C1AA1"/>
    <w:rsid w:val="003C1ADA"/>
    <w:rsid w:val="003C1CD9"/>
    <w:rsid w:val="003C1D4E"/>
    <w:rsid w:val="003C1FC9"/>
    <w:rsid w:val="003C1FF8"/>
    <w:rsid w:val="003C2007"/>
    <w:rsid w:val="003C2335"/>
    <w:rsid w:val="003C254A"/>
    <w:rsid w:val="003C255F"/>
    <w:rsid w:val="003C2676"/>
    <w:rsid w:val="003C27B8"/>
    <w:rsid w:val="003C2846"/>
    <w:rsid w:val="003C292E"/>
    <w:rsid w:val="003C292F"/>
    <w:rsid w:val="003C2993"/>
    <w:rsid w:val="003C2CBD"/>
    <w:rsid w:val="003C2EFE"/>
    <w:rsid w:val="003C3129"/>
    <w:rsid w:val="003C35AB"/>
    <w:rsid w:val="003C3811"/>
    <w:rsid w:val="003C393B"/>
    <w:rsid w:val="003C3B80"/>
    <w:rsid w:val="003C3B9A"/>
    <w:rsid w:val="003C3BB5"/>
    <w:rsid w:val="003C3D62"/>
    <w:rsid w:val="003C3EA0"/>
    <w:rsid w:val="003C404C"/>
    <w:rsid w:val="003C40BD"/>
    <w:rsid w:val="003C48A9"/>
    <w:rsid w:val="003C4A2D"/>
    <w:rsid w:val="003C4BE4"/>
    <w:rsid w:val="003C4C95"/>
    <w:rsid w:val="003C4DE4"/>
    <w:rsid w:val="003C4F6B"/>
    <w:rsid w:val="003C505C"/>
    <w:rsid w:val="003C520A"/>
    <w:rsid w:val="003C5210"/>
    <w:rsid w:val="003C53A7"/>
    <w:rsid w:val="003C5489"/>
    <w:rsid w:val="003C548C"/>
    <w:rsid w:val="003C558F"/>
    <w:rsid w:val="003C5699"/>
    <w:rsid w:val="003C56EC"/>
    <w:rsid w:val="003C56F1"/>
    <w:rsid w:val="003C575E"/>
    <w:rsid w:val="003C5774"/>
    <w:rsid w:val="003C58D3"/>
    <w:rsid w:val="003C5FA3"/>
    <w:rsid w:val="003C600B"/>
    <w:rsid w:val="003C6132"/>
    <w:rsid w:val="003C642F"/>
    <w:rsid w:val="003C66F0"/>
    <w:rsid w:val="003C6825"/>
    <w:rsid w:val="003C688C"/>
    <w:rsid w:val="003C6B79"/>
    <w:rsid w:val="003C6B9F"/>
    <w:rsid w:val="003C6CAE"/>
    <w:rsid w:val="003C6D26"/>
    <w:rsid w:val="003C6D9F"/>
    <w:rsid w:val="003C6FDD"/>
    <w:rsid w:val="003C7043"/>
    <w:rsid w:val="003C7639"/>
    <w:rsid w:val="003C786F"/>
    <w:rsid w:val="003C793E"/>
    <w:rsid w:val="003C7B36"/>
    <w:rsid w:val="003C7B4D"/>
    <w:rsid w:val="003C7E57"/>
    <w:rsid w:val="003C7E5A"/>
    <w:rsid w:val="003C7E7E"/>
    <w:rsid w:val="003D01F6"/>
    <w:rsid w:val="003D0251"/>
    <w:rsid w:val="003D04FF"/>
    <w:rsid w:val="003D0550"/>
    <w:rsid w:val="003D0727"/>
    <w:rsid w:val="003D09A1"/>
    <w:rsid w:val="003D09CC"/>
    <w:rsid w:val="003D0ADE"/>
    <w:rsid w:val="003D0F55"/>
    <w:rsid w:val="003D116B"/>
    <w:rsid w:val="003D11D3"/>
    <w:rsid w:val="003D137E"/>
    <w:rsid w:val="003D1783"/>
    <w:rsid w:val="003D191E"/>
    <w:rsid w:val="003D19A4"/>
    <w:rsid w:val="003D1A22"/>
    <w:rsid w:val="003D1A80"/>
    <w:rsid w:val="003D1A96"/>
    <w:rsid w:val="003D1B0F"/>
    <w:rsid w:val="003D1B2B"/>
    <w:rsid w:val="003D1CB6"/>
    <w:rsid w:val="003D1D87"/>
    <w:rsid w:val="003D1EEE"/>
    <w:rsid w:val="003D21DC"/>
    <w:rsid w:val="003D24C2"/>
    <w:rsid w:val="003D24C3"/>
    <w:rsid w:val="003D2529"/>
    <w:rsid w:val="003D25FF"/>
    <w:rsid w:val="003D2951"/>
    <w:rsid w:val="003D2AD6"/>
    <w:rsid w:val="003D2C3F"/>
    <w:rsid w:val="003D2CD1"/>
    <w:rsid w:val="003D2D1D"/>
    <w:rsid w:val="003D2E33"/>
    <w:rsid w:val="003D2E88"/>
    <w:rsid w:val="003D2FB9"/>
    <w:rsid w:val="003D315B"/>
    <w:rsid w:val="003D353E"/>
    <w:rsid w:val="003D35C6"/>
    <w:rsid w:val="003D361F"/>
    <w:rsid w:val="003D3637"/>
    <w:rsid w:val="003D368F"/>
    <w:rsid w:val="003D385A"/>
    <w:rsid w:val="003D397F"/>
    <w:rsid w:val="003D3BE2"/>
    <w:rsid w:val="003D3C76"/>
    <w:rsid w:val="003D3E0B"/>
    <w:rsid w:val="003D3EE3"/>
    <w:rsid w:val="003D413C"/>
    <w:rsid w:val="003D429D"/>
    <w:rsid w:val="003D43D4"/>
    <w:rsid w:val="003D4593"/>
    <w:rsid w:val="003D45AD"/>
    <w:rsid w:val="003D45C4"/>
    <w:rsid w:val="003D4773"/>
    <w:rsid w:val="003D47A4"/>
    <w:rsid w:val="003D47A6"/>
    <w:rsid w:val="003D4DBE"/>
    <w:rsid w:val="003D4E3E"/>
    <w:rsid w:val="003D5369"/>
    <w:rsid w:val="003D5370"/>
    <w:rsid w:val="003D53C3"/>
    <w:rsid w:val="003D555C"/>
    <w:rsid w:val="003D5623"/>
    <w:rsid w:val="003D58AA"/>
    <w:rsid w:val="003D58BC"/>
    <w:rsid w:val="003D5DAF"/>
    <w:rsid w:val="003D5DD9"/>
    <w:rsid w:val="003D5F2E"/>
    <w:rsid w:val="003D5F3B"/>
    <w:rsid w:val="003D60B0"/>
    <w:rsid w:val="003D6197"/>
    <w:rsid w:val="003D6241"/>
    <w:rsid w:val="003D6350"/>
    <w:rsid w:val="003D645E"/>
    <w:rsid w:val="003D64C5"/>
    <w:rsid w:val="003D654D"/>
    <w:rsid w:val="003D66E3"/>
    <w:rsid w:val="003D67DE"/>
    <w:rsid w:val="003D687C"/>
    <w:rsid w:val="003D6932"/>
    <w:rsid w:val="003D6B43"/>
    <w:rsid w:val="003D6CC1"/>
    <w:rsid w:val="003D6E70"/>
    <w:rsid w:val="003D7053"/>
    <w:rsid w:val="003D72B3"/>
    <w:rsid w:val="003D75C0"/>
    <w:rsid w:val="003D76E7"/>
    <w:rsid w:val="003D77D9"/>
    <w:rsid w:val="003D780D"/>
    <w:rsid w:val="003D786B"/>
    <w:rsid w:val="003D7AAA"/>
    <w:rsid w:val="003D7CE0"/>
    <w:rsid w:val="003D7EB8"/>
    <w:rsid w:val="003E00E0"/>
    <w:rsid w:val="003E05A6"/>
    <w:rsid w:val="003E07A4"/>
    <w:rsid w:val="003E0B4E"/>
    <w:rsid w:val="003E0BBB"/>
    <w:rsid w:val="003E0D7A"/>
    <w:rsid w:val="003E0E1F"/>
    <w:rsid w:val="003E1357"/>
    <w:rsid w:val="003E138D"/>
    <w:rsid w:val="003E14C4"/>
    <w:rsid w:val="003E169C"/>
    <w:rsid w:val="003E178A"/>
    <w:rsid w:val="003E1820"/>
    <w:rsid w:val="003E19FE"/>
    <w:rsid w:val="003E1B76"/>
    <w:rsid w:val="003E1BC8"/>
    <w:rsid w:val="003E1C20"/>
    <w:rsid w:val="003E1C79"/>
    <w:rsid w:val="003E1CF7"/>
    <w:rsid w:val="003E1D10"/>
    <w:rsid w:val="003E1D82"/>
    <w:rsid w:val="003E1DBA"/>
    <w:rsid w:val="003E2066"/>
    <w:rsid w:val="003E2298"/>
    <w:rsid w:val="003E2538"/>
    <w:rsid w:val="003E261F"/>
    <w:rsid w:val="003E2700"/>
    <w:rsid w:val="003E2851"/>
    <w:rsid w:val="003E2999"/>
    <w:rsid w:val="003E2A28"/>
    <w:rsid w:val="003E2AB3"/>
    <w:rsid w:val="003E2B1F"/>
    <w:rsid w:val="003E2B98"/>
    <w:rsid w:val="003E2C03"/>
    <w:rsid w:val="003E2CBC"/>
    <w:rsid w:val="003E2D32"/>
    <w:rsid w:val="003E2D47"/>
    <w:rsid w:val="003E2D8D"/>
    <w:rsid w:val="003E2F07"/>
    <w:rsid w:val="003E2F5A"/>
    <w:rsid w:val="003E3008"/>
    <w:rsid w:val="003E3032"/>
    <w:rsid w:val="003E3092"/>
    <w:rsid w:val="003E3281"/>
    <w:rsid w:val="003E333A"/>
    <w:rsid w:val="003E34BD"/>
    <w:rsid w:val="003E34CA"/>
    <w:rsid w:val="003E34D3"/>
    <w:rsid w:val="003E3860"/>
    <w:rsid w:val="003E396E"/>
    <w:rsid w:val="003E3CD8"/>
    <w:rsid w:val="003E3E61"/>
    <w:rsid w:val="003E3E9E"/>
    <w:rsid w:val="003E3EC1"/>
    <w:rsid w:val="003E3F05"/>
    <w:rsid w:val="003E4431"/>
    <w:rsid w:val="003E4547"/>
    <w:rsid w:val="003E48BE"/>
    <w:rsid w:val="003E49BA"/>
    <w:rsid w:val="003E4B53"/>
    <w:rsid w:val="003E4B9D"/>
    <w:rsid w:val="003E4C13"/>
    <w:rsid w:val="003E4E3F"/>
    <w:rsid w:val="003E5186"/>
    <w:rsid w:val="003E542C"/>
    <w:rsid w:val="003E545D"/>
    <w:rsid w:val="003E569C"/>
    <w:rsid w:val="003E574D"/>
    <w:rsid w:val="003E57D3"/>
    <w:rsid w:val="003E59FA"/>
    <w:rsid w:val="003E5B89"/>
    <w:rsid w:val="003E5BDC"/>
    <w:rsid w:val="003E5E34"/>
    <w:rsid w:val="003E6094"/>
    <w:rsid w:val="003E60FB"/>
    <w:rsid w:val="003E61CC"/>
    <w:rsid w:val="003E61EA"/>
    <w:rsid w:val="003E61F9"/>
    <w:rsid w:val="003E620F"/>
    <w:rsid w:val="003E630F"/>
    <w:rsid w:val="003E633C"/>
    <w:rsid w:val="003E63EC"/>
    <w:rsid w:val="003E6408"/>
    <w:rsid w:val="003E6624"/>
    <w:rsid w:val="003E696F"/>
    <w:rsid w:val="003E69EE"/>
    <w:rsid w:val="003E6A88"/>
    <w:rsid w:val="003E6BB1"/>
    <w:rsid w:val="003E6DFA"/>
    <w:rsid w:val="003E70FE"/>
    <w:rsid w:val="003E71B7"/>
    <w:rsid w:val="003E72E7"/>
    <w:rsid w:val="003E7344"/>
    <w:rsid w:val="003E7383"/>
    <w:rsid w:val="003E7443"/>
    <w:rsid w:val="003E7857"/>
    <w:rsid w:val="003E7E5E"/>
    <w:rsid w:val="003E7F37"/>
    <w:rsid w:val="003E7F9C"/>
    <w:rsid w:val="003F0030"/>
    <w:rsid w:val="003F0200"/>
    <w:rsid w:val="003F046D"/>
    <w:rsid w:val="003F0534"/>
    <w:rsid w:val="003F05A3"/>
    <w:rsid w:val="003F0695"/>
    <w:rsid w:val="003F073D"/>
    <w:rsid w:val="003F0ADC"/>
    <w:rsid w:val="003F0B33"/>
    <w:rsid w:val="003F0CF0"/>
    <w:rsid w:val="003F0E36"/>
    <w:rsid w:val="003F0E3D"/>
    <w:rsid w:val="003F1026"/>
    <w:rsid w:val="003F1065"/>
    <w:rsid w:val="003F107A"/>
    <w:rsid w:val="003F1375"/>
    <w:rsid w:val="003F13A2"/>
    <w:rsid w:val="003F13AA"/>
    <w:rsid w:val="003F159E"/>
    <w:rsid w:val="003F18B0"/>
    <w:rsid w:val="003F1B9D"/>
    <w:rsid w:val="003F1D24"/>
    <w:rsid w:val="003F1D66"/>
    <w:rsid w:val="003F1D97"/>
    <w:rsid w:val="003F1E64"/>
    <w:rsid w:val="003F20CB"/>
    <w:rsid w:val="003F2224"/>
    <w:rsid w:val="003F2484"/>
    <w:rsid w:val="003F27A7"/>
    <w:rsid w:val="003F2AA7"/>
    <w:rsid w:val="003F2BF1"/>
    <w:rsid w:val="003F2C59"/>
    <w:rsid w:val="003F3188"/>
    <w:rsid w:val="003F337C"/>
    <w:rsid w:val="003F33A6"/>
    <w:rsid w:val="003F341E"/>
    <w:rsid w:val="003F3952"/>
    <w:rsid w:val="003F3A18"/>
    <w:rsid w:val="003F3A80"/>
    <w:rsid w:val="003F3BF4"/>
    <w:rsid w:val="003F3C65"/>
    <w:rsid w:val="003F3E60"/>
    <w:rsid w:val="003F42B5"/>
    <w:rsid w:val="003F4592"/>
    <w:rsid w:val="003F4599"/>
    <w:rsid w:val="003F45D4"/>
    <w:rsid w:val="003F4C83"/>
    <w:rsid w:val="003F4CBD"/>
    <w:rsid w:val="003F4DE0"/>
    <w:rsid w:val="003F4E46"/>
    <w:rsid w:val="003F4E58"/>
    <w:rsid w:val="003F4FE6"/>
    <w:rsid w:val="003F517F"/>
    <w:rsid w:val="003F519A"/>
    <w:rsid w:val="003F5224"/>
    <w:rsid w:val="003F530B"/>
    <w:rsid w:val="003F53FE"/>
    <w:rsid w:val="003F59F8"/>
    <w:rsid w:val="003F5A46"/>
    <w:rsid w:val="003F5B4D"/>
    <w:rsid w:val="003F5CA0"/>
    <w:rsid w:val="003F5DE3"/>
    <w:rsid w:val="003F5FFF"/>
    <w:rsid w:val="003F6065"/>
    <w:rsid w:val="003F61DA"/>
    <w:rsid w:val="003F6334"/>
    <w:rsid w:val="003F65BD"/>
    <w:rsid w:val="003F6818"/>
    <w:rsid w:val="003F697B"/>
    <w:rsid w:val="003F698A"/>
    <w:rsid w:val="003F6C2E"/>
    <w:rsid w:val="003F6D27"/>
    <w:rsid w:val="003F6FF0"/>
    <w:rsid w:val="003F7031"/>
    <w:rsid w:val="003F7332"/>
    <w:rsid w:val="003F741B"/>
    <w:rsid w:val="003F75C6"/>
    <w:rsid w:val="003F7712"/>
    <w:rsid w:val="003F7920"/>
    <w:rsid w:val="003F7B35"/>
    <w:rsid w:val="00400007"/>
    <w:rsid w:val="004000D0"/>
    <w:rsid w:val="004002EE"/>
    <w:rsid w:val="00400327"/>
    <w:rsid w:val="004003C1"/>
    <w:rsid w:val="004004EF"/>
    <w:rsid w:val="004005AA"/>
    <w:rsid w:val="0040083F"/>
    <w:rsid w:val="00400A65"/>
    <w:rsid w:val="00400B11"/>
    <w:rsid w:val="00400B57"/>
    <w:rsid w:val="00400B76"/>
    <w:rsid w:val="00400FBE"/>
    <w:rsid w:val="0040103B"/>
    <w:rsid w:val="00401219"/>
    <w:rsid w:val="0040137F"/>
    <w:rsid w:val="00401427"/>
    <w:rsid w:val="00401454"/>
    <w:rsid w:val="004019A8"/>
    <w:rsid w:val="004019F0"/>
    <w:rsid w:val="00401A94"/>
    <w:rsid w:val="00401B3A"/>
    <w:rsid w:val="00401B91"/>
    <w:rsid w:val="00401C93"/>
    <w:rsid w:val="00401DF4"/>
    <w:rsid w:val="00401E00"/>
    <w:rsid w:val="00401E5C"/>
    <w:rsid w:val="00401FBB"/>
    <w:rsid w:val="00402024"/>
    <w:rsid w:val="00402205"/>
    <w:rsid w:val="0040234E"/>
    <w:rsid w:val="004023F7"/>
    <w:rsid w:val="004024A2"/>
    <w:rsid w:val="004024B4"/>
    <w:rsid w:val="00402675"/>
    <w:rsid w:val="004026C3"/>
    <w:rsid w:val="00402997"/>
    <w:rsid w:val="0040299D"/>
    <w:rsid w:val="00402A00"/>
    <w:rsid w:val="00402A06"/>
    <w:rsid w:val="00402B02"/>
    <w:rsid w:val="00402B08"/>
    <w:rsid w:val="00402FF1"/>
    <w:rsid w:val="00403052"/>
    <w:rsid w:val="004030F4"/>
    <w:rsid w:val="004036B4"/>
    <w:rsid w:val="00403701"/>
    <w:rsid w:val="00403826"/>
    <w:rsid w:val="00403951"/>
    <w:rsid w:val="00403A56"/>
    <w:rsid w:val="00403B0E"/>
    <w:rsid w:val="00403BBC"/>
    <w:rsid w:val="004040F0"/>
    <w:rsid w:val="00404297"/>
    <w:rsid w:val="00404376"/>
    <w:rsid w:val="00404619"/>
    <w:rsid w:val="0040461F"/>
    <w:rsid w:val="004047BC"/>
    <w:rsid w:val="0040489F"/>
    <w:rsid w:val="004048A3"/>
    <w:rsid w:val="004049CA"/>
    <w:rsid w:val="00404A63"/>
    <w:rsid w:val="00404AD6"/>
    <w:rsid w:val="00404BA9"/>
    <w:rsid w:val="00405015"/>
    <w:rsid w:val="004051B8"/>
    <w:rsid w:val="004051F5"/>
    <w:rsid w:val="004052BC"/>
    <w:rsid w:val="004052FB"/>
    <w:rsid w:val="0040539F"/>
    <w:rsid w:val="00405421"/>
    <w:rsid w:val="00405440"/>
    <w:rsid w:val="0040559A"/>
    <w:rsid w:val="00405601"/>
    <w:rsid w:val="00405659"/>
    <w:rsid w:val="004056D8"/>
    <w:rsid w:val="004056E9"/>
    <w:rsid w:val="0040574A"/>
    <w:rsid w:val="00405A75"/>
    <w:rsid w:val="00405C2F"/>
    <w:rsid w:val="00405E01"/>
    <w:rsid w:val="00405F74"/>
    <w:rsid w:val="00405FDE"/>
    <w:rsid w:val="00406009"/>
    <w:rsid w:val="004061D9"/>
    <w:rsid w:val="00406305"/>
    <w:rsid w:val="004063A3"/>
    <w:rsid w:val="004064D4"/>
    <w:rsid w:val="004066C3"/>
    <w:rsid w:val="004067EE"/>
    <w:rsid w:val="00406883"/>
    <w:rsid w:val="00406F1A"/>
    <w:rsid w:val="00406FF9"/>
    <w:rsid w:val="00407043"/>
    <w:rsid w:val="00407277"/>
    <w:rsid w:val="00407334"/>
    <w:rsid w:val="004073A2"/>
    <w:rsid w:val="0040771B"/>
    <w:rsid w:val="004078E9"/>
    <w:rsid w:val="00407D7B"/>
    <w:rsid w:val="00407E9D"/>
    <w:rsid w:val="00407F74"/>
    <w:rsid w:val="004104EA"/>
    <w:rsid w:val="00410954"/>
    <w:rsid w:val="00410C40"/>
    <w:rsid w:val="00410ED4"/>
    <w:rsid w:val="00410F0C"/>
    <w:rsid w:val="00410FCE"/>
    <w:rsid w:val="00411023"/>
    <w:rsid w:val="0041104F"/>
    <w:rsid w:val="0041107B"/>
    <w:rsid w:val="004111CF"/>
    <w:rsid w:val="0041124A"/>
    <w:rsid w:val="004112C8"/>
    <w:rsid w:val="004113C1"/>
    <w:rsid w:val="0041141B"/>
    <w:rsid w:val="0041154D"/>
    <w:rsid w:val="00411739"/>
    <w:rsid w:val="0041184E"/>
    <w:rsid w:val="004118DA"/>
    <w:rsid w:val="00411C1D"/>
    <w:rsid w:val="00411C67"/>
    <w:rsid w:val="00411CE6"/>
    <w:rsid w:val="0041205A"/>
    <w:rsid w:val="0041206A"/>
    <w:rsid w:val="00412910"/>
    <w:rsid w:val="00412DFE"/>
    <w:rsid w:val="00412EA0"/>
    <w:rsid w:val="00412ED5"/>
    <w:rsid w:val="00412F0C"/>
    <w:rsid w:val="00412F50"/>
    <w:rsid w:val="00413003"/>
    <w:rsid w:val="0041305B"/>
    <w:rsid w:val="00413078"/>
    <w:rsid w:val="00413408"/>
    <w:rsid w:val="0041345C"/>
    <w:rsid w:val="0041366D"/>
    <w:rsid w:val="00413699"/>
    <w:rsid w:val="00413A05"/>
    <w:rsid w:val="00413D4C"/>
    <w:rsid w:val="0041408E"/>
    <w:rsid w:val="004140BB"/>
    <w:rsid w:val="0041418C"/>
    <w:rsid w:val="004142E1"/>
    <w:rsid w:val="0041446B"/>
    <w:rsid w:val="0041451D"/>
    <w:rsid w:val="00414672"/>
    <w:rsid w:val="004146BF"/>
    <w:rsid w:val="0041477F"/>
    <w:rsid w:val="004148C5"/>
    <w:rsid w:val="00414CA4"/>
    <w:rsid w:val="00414EE7"/>
    <w:rsid w:val="004152C7"/>
    <w:rsid w:val="00415896"/>
    <w:rsid w:val="00415985"/>
    <w:rsid w:val="00415ACE"/>
    <w:rsid w:val="00415BBF"/>
    <w:rsid w:val="00415C77"/>
    <w:rsid w:val="00415F0F"/>
    <w:rsid w:val="00415FAE"/>
    <w:rsid w:val="004161B4"/>
    <w:rsid w:val="00416C46"/>
    <w:rsid w:val="00416CE5"/>
    <w:rsid w:val="00416F17"/>
    <w:rsid w:val="00416FF2"/>
    <w:rsid w:val="0041738E"/>
    <w:rsid w:val="0041739B"/>
    <w:rsid w:val="004173CC"/>
    <w:rsid w:val="00417453"/>
    <w:rsid w:val="00417494"/>
    <w:rsid w:val="004175A3"/>
    <w:rsid w:val="004176A0"/>
    <w:rsid w:val="00417710"/>
    <w:rsid w:val="00417774"/>
    <w:rsid w:val="004177D7"/>
    <w:rsid w:val="00417929"/>
    <w:rsid w:val="0041796B"/>
    <w:rsid w:val="00417A72"/>
    <w:rsid w:val="00417D85"/>
    <w:rsid w:val="00417E0B"/>
    <w:rsid w:val="00417E18"/>
    <w:rsid w:val="00417EE7"/>
    <w:rsid w:val="00417F30"/>
    <w:rsid w:val="00420086"/>
    <w:rsid w:val="0042029C"/>
    <w:rsid w:val="004202A4"/>
    <w:rsid w:val="0042041F"/>
    <w:rsid w:val="004204B5"/>
    <w:rsid w:val="0042050B"/>
    <w:rsid w:val="004206BD"/>
    <w:rsid w:val="004206C6"/>
    <w:rsid w:val="00420726"/>
    <w:rsid w:val="00420876"/>
    <w:rsid w:val="004208F5"/>
    <w:rsid w:val="00420A12"/>
    <w:rsid w:val="00420E2C"/>
    <w:rsid w:val="0042106C"/>
    <w:rsid w:val="00421364"/>
    <w:rsid w:val="004213EA"/>
    <w:rsid w:val="0042141A"/>
    <w:rsid w:val="00421506"/>
    <w:rsid w:val="004215CA"/>
    <w:rsid w:val="00421820"/>
    <w:rsid w:val="004218E8"/>
    <w:rsid w:val="00421B7F"/>
    <w:rsid w:val="00421CD9"/>
    <w:rsid w:val="00421DED"/>
    <w:rsid w:val="00421EFD"/>
    <w:rsid w:val="0042210A"/>
    <w:rsid w:val="00422341"/>
    <w:rsid w:val="0042242B"/>
    <w:rsid w:val="00422501"/>
    <w:rsid w:val="0042254E"/>
    <w:rsid w:val="004229C2"/>
    <w:rsid w:val="00422FAB"/>
    <w:rsid w:val="0042308B"/>
    <w:rsid w:val="004231AA"/>
    <w:rsid w:val="004232CA"/>
    <w:rsid w:val="00423385"/>
    <w:rsid w:val="00423667"/>
    <w:rsid w:val="004237DD"/>
    <w:rsid w:val="004239BA"/>
    <w:rsid w:val="00423A8F"/>
    <w:rsid w:val="00423AE1"/>
    <w:rsid w:val="00423E2C"/>
    <w:rsid w:val="00423FB2"/>
    <w:rsid w:val="004240E0"/>
    <w:rsid w:val="00424392"/>
    <w:rsid w:val="00424429"/>
    <w:rsid w:val="00424456"/>
    <w:rsid w:val="00424627"/>
    <w:rsid w:val="00424689"/>
    <w:rsid w:val="00424CA1"/>
    <w:rsid w:val="00424D8F"/>
    <w:rsid w:val="00424DF7"/>
    <w:rsid w:val="00424FED"/>
    <w:rsid w:val="0042503E"/>
    <w:rsid w:val="004250FB"/>
    <w:rsid w:val="004252FD"/>
    <w:rsid w:val="004254D7"/>
    <w:rsid w:val="00425780"/>
    <w:rsid w:val="00425DAD"/>
    <w:rsid w:val="00425EDA"/>
    <w:rsid w:val="0042600A"/>
    <w:rsid w:val="004260D4"/>
    <w:rsid w:val="00426171"/>
    <w:rsid w:val="0042627C"/>
    <w:rsid w:val="004262E8"/>
    <w:rsid w:val="0042671A"/>
    <w:rsid w:val="0042697B"/>
    <w:rsid w:val="00426B45"/>
    <w:rsid w:val="00426DA7"/>
    <w:rsid w:val="00426E56"/>
    <w:rsid w:val="00426F85"/>
    <w:rsid w:val="00427203"/>
    <w:rsid w:val="004272E4"/>
    <w:rsid w:val="00427331"/>
    <w:rsid w:val="004273A1"/>
    <w:rsid w:val="00427574"/>
    <w:rsid w:val="004275DA"/>
    <w:rsid w:val="00427885"/>
    <w:rsid w:val="00427CCF"/>
    <w:rsid w:val="00427D7D"/>
    <w:rsid w:val="00427EDA"/>
    <w:rsid w:val="004300E0"/>
    <w:rsid w:val="00430391"/>
    <w:rsid w:val="0043083C"/>
    <w:rsid w:val="0043091B"/>
    <w:rsid w:val="00430B39"/>
    <w:rsid w:val="00430BC7"/>
    <w:rsid w:val="00430C33"/>
    <w:rsid w:val="00430E49"/>
    <w:rsid w:val="00430E5C"/>
    <w:rsid w:val="00430F10"/>
    <w:rsid w:val="00431077"/>
    <w:rsid w:val="004310FD"/>
    <w:rsid w:val="004312C0"/>
    <w:rsid w:val="004314E1"/>
    <w:rsid w:val="00431538"/>
    <w:rsid w:val="00431578"/>
    <w:rsid w:val="00431656"/>
    <w:rsid w:val="00431A4B"/>
    <w:rsid w:val="00431AD1"/>
    <w:rsid w:val="00431BB2"/>
    <w:rsid w:val="00431C00"/>
    <w:rsid w:val="00431DE9"/>
    <w:rsid w:val="00432002"/>
    <w:rsid w:val="0043200F"/>
    <w:rsid w:val="0043203F"/>
    <w:rsid w:val="0043228F"/>
    <w:rsid w:val="004324A0"/>
    <w:rsid w:val="00432578"/>
    <w:rsid w:val="00432593"/>
    <w:rsid w:val="004325F5"/>
    <w:rsid w:val="00432917"/>
    <w:rsid w:val="00432CA8"/>
    <w:rsid w:val="00432EB0"/>
    <w:rsid w:val="00432EEE"/>
    <w:rsid w:val="00433114"/>
    <w:rsid w:val="00433470"/>
    <w:rsid w:val="00433498"/>
    <w:rsid w:val="00433643"/>
    <w:rsid w:val="00433659"/>
    <w:rsid w:val="004339F2"/>
    <w:rsid w:val="00433C00"/>
    <w:rsid w:val="00433C89"/>
    <w:rsid w:val="00433D52"/>
    <w:rsid w:val="00434024"/>
    <w:rsid w:val="00434360"/>
    <w:rsid w:val="00434361"/>
    <w:rsid w:val="0043479E"/>
    <w:rsid w:val="004347B5"/>
    <w:rsid w:val="004347DC"/>
    <w:rsid w:val="0043493E"/>
    <w:rsid w:val="00434ABD"/>
    <w:rsid w:val="00434C82"/>
    <w:rsid w:val="00434C8E"/>
    <w:rsid w:val="00434D63"/>
    <w:rsid w:val="00434E68"/>
    <w:rsid w:val="00435165"/>
    <w:rsid w:val="004351BE"/>
    <w:rsid w:val="004351EC"/>
    <w:rsid w:val="00435472"/>
    <w:rsid w:val="0043555F"/>
    <w:rsid w:val="00435A3F"/>
    <w:rsid w:val="00435A75"/>
    <w:rsid w:val="00435B2C"/>
    <w:rsid w:val="00435BE9"/>
    <w:rsid w:val="00435C59"/>
    <w:rsid w:val="00435E49"/>
    <w:rsid w:val="004361A5"/>
    <w:rsid w:val="00436369"/>
    <w:rsid w:val="004364B9"/>
    <w:rsid w:val="00436714"/>
    <w:rsid w:val="004367E5"/>
    <w:rsid w:val="00436972"/>
    <w:rsid w:val="004369C5"/>
    <w:rsid w:val="00436E4A"/>
    <w:rsid w:val="00436F3D"/>
    <w:rsid w:val="00437037"/>
    <w:rsid w:val="0043710F"/>
    <w:rsid w:val="004372DE"/>
    <w:rsid w:val="004373F4"/>
    <w:rsid w:val="0043772C"/>
    <w:rsid w:val="00437752"/>
    <w:rsid w:val="0043793B"/>
    <w:rsid w:val="00437993"/>
    <w:rsid w:val="004379F0"/>
    <w:rsid w:val="00437A46"/>
    <w:rsid w:val="00437BF4"/>
    <w:rsid w:val="00437C61"/>
    <w:rsid w:val="00437E62"/>
    <w:rsid w:val="00437F2D"/>
    <w:rsid w:val="00440314"/>
    <w:rsid w:val="00440582"/>
    <w:rsid w:val="004405E1"/>
    <w:rsid w:val="0044071A"/>
    <w:rsid w:val="0044071C"/>
    <w:rsid w:val="004407CE"/>
    <w:rsid w:val="004407F5"/>
    <w:rsid w:val="00440806"/>
    <w:rsid w:val="00440901"/>
    <w:rsid w:val="00440914"/>
    <w:rsid w:val="004409B2"/>
    <w:rsid w:val="00440B12"/>
    <w:rsid w:val="00440B16"/>
    <w:rsid w:val="00440B53"/>
    <w:rsid w:val="00440BC7"/>
    <w:rsid w:val="00440C72"/>
    <w:rsid w:val="00440D08"/>
    <w:rsid w:val="00440D39"/>
    <w:rsid w:val="00441171"/>
    <w:rsid w:val="0044117B"/>
    <w:rsid w:val="0044117C"/>
    <w:rsid w:val="00441265"/>
    <w:rsid w:val="004413EE"/>
    <w:rsid w:val="0044147B"/>
    <w:rsid w:val="00441519"/>
    <w:rsid w:val="0044160E"/>
    <w:rsid w:val="00441683"/>
    <w:rsid w:val="00441B87"/>
    <w:rsid w:val="00441D58"/>
    <w:rsid w:val="00442434"/>
    <w:rsid w:val="00442766"/>
    <w:rsid w:val="004427DE"/>
    <w:rsid w:val="00442CA4"/>
    <w:rsid w:val="00442D06"/>
    <w:rsid w:val="00442DA6"/>
    <w:rsid w:val="00442E0B"/>
    <w:rsid w:val="00442FCC"/>
    <w:rsid w:val="00443229"/>
    <w:rsid w:val="00443762"/>
    <w:rsid w:val="00443AD0"/>
    <w:rsid w:val="00443E6C"/>
    <w:rsid w:val="00444207"/>
    <w:rsid w:val="00444259"/>
    <w:rsid w:val="0044425C"/>
    <w:rsid w:val="00444273"/>
    <w:rsid w:val="0044434F"/>
    <w:rsid w:val="004449D2"/>
    <w:rsid w:val="00444BBD"/>
    <w:rsid w:val="00444F28"/>
    <w:rsid w:val="00444F95"/>
    <w:rsid w:val="00444FC8"/>
    <w:rsid w:val="00445298"/>
    <w:rsid w:val="0044558B"/>
    <w:rsid w:val="0044592E"/>
    <w:rsid w:val="00445B54"/>
    <w:rsid w:val="00445C5A"/>
    <w:rsid w:val="00446211"/>
    <w:rsid w:val="004463CA"/>
    <w:rsid w:val="004465B6"/>
    <w:rsid w:val="004465BC"/>
    <w:rsid w:val="004466F7"/>
    <w:rsid w:val="004469B3"/>
    <w:rsid w:val="00446A57"/>
    <w:rsid w:val="00446D1A"/>
    <w:rsid w:val="00446D2F"/>
    <w:rsid w:val="00446EB1"/>
    <w:rsid w:val="00446F4F"/>
    <w:rsid w:val="004471DC"/>
    <w:rsid w:val="0044737D"/>
    <w:rsid w:val="004473A6"/>
    <w:rsid w:val="00447680"/>
    <w:rsid w:val="004476D1"/>
    <w:rsid w:val="004476F3"/>
    <w:rsid w:val="00450045"/>
    <w:rsid w:val="0045007C"/>
    <w:rsid w:val="0045019A"/>
    <w:rsid w:val="00450257"/>
    <w:rsid w:val="004505DA"/>
    <w:rsid w:val="00450719"/>
    <w:rsid w:val="0045074C"/>
    <w:rsid w:val="0045093B"/>
    <w:rsid w:val="004509E3"/>
    <w:rsid w:val="00450AC7"/>
    <w:rsid w:val="004512B0"/>
    <w:rsid w:val="004512CF"/>
    <w:rsid w:val="00451334"/>
    <w:rsid w:val="0045142F"/>
    <w:rsid w:val="00451485"/>
    <w:rsid w:val="0045159B"/>
    <w:rsid w:val="00451617"/>
    <w:rsid w:val="0045168A"/>
    <w:rsid w:val="004519B6"/>
    <w:rsid w:val="00451AD9"/>
    <w:rsid w:val="00451D08"/>
    <w:rsid w:val="00451DD8"/>
    <w:rsid w:val="00451F08"/>
    <w:rsid w:val="004520C6"/>
    <w:rsid w:val="004521A2"/>
    <w:rsid w:val="0045229B"/>
    <w:rsid w:val="0045229F"/>
    <w:rsid w:val="00452385"/>
    <w:rsid w:val="0045243B"/>
    <w:rsid w:val="00452538"/>
    <w:rsid w:val="0045260A"/>
    <w:rsid w:val="0045275E"/>
    <w:rsid w:val="00452BA1"/>
    <w:rsid w:val="00452BD2"/>
    <w:rsid w:val="00452CBA"/>
    <w:rsid w:val="00452EC0"/>
    <w:rsid w:val="00452F12"/>
    <w:rsid w:val="0045316B"/>
    <w:rsid w:val="00453220"/>
    <w:rsid w:val="00453271"/>
    <w:rsid w:val="00453313"/>
    <w:rsid w:val="00453328"/>
    <w:rsid w:val="004533CC"/>
    <w:rsid w:val="004533D2"/>
    <w:rsid w:val="00453429"/>
    <w:rsid w:val="00453721"/>
    <w:rsid w:val="00453A65"/>
    <w:rsid w:val="00453BD3"/>
    <w:rsid w:val="00453E7B"/>
    <w:rsid w:val="00454277"/>
    <w:rsid w:val="0045427D"/>
    <w:rsid w:val="004542EC"/>
    <w:rsid w:val="00454408"/>
    <w:rsid w:val="004545A3"/>
    <w:rsid w:val="00454852"/>
    <w:rsid w:val="00454D80"/>
    <w:rsid w:val="00454E23"/>
    <w:rsid w:val="00454EA3"/>
    <w:rsid w:val="00454F87"/>
    <w:rsid w:val="0045503F"/>
    <w:rsid w:val="00455107"/>
    <w:rsid w:val="00455198"/>
    <w:rsid w:val="004551C7"/>
    <w:rsid w:val="004552C8"/>
    <w:rsid w:val="004552E4"/>
    <w:rsid w:val="004553D0"/>
    <w:rsid w:val="004555EB"/>
    <w:rsid w:val="0045564A"/>
    <w:rsid w:val="00455920"/>
    <w:rsid w:val="00455A9B"/>
    <w:rsid w:val="00455AAD"/>
    <w:rsid w:val="00455AFB"/>
    <w:rsid w:val="00455B8C"/>
    <w:rsid w:val="00455ECD"/>
    <w:rsid w:val="0045614D"/>
    <w:rsid w:val="004562D0"/>
    <w:rsid w:val="0045643C"/>
    <w:rsid w:val="004565B5"/>
    <w:rsid w:val="00456656"/>
    <w:rsid w:val="004567EF"/>
    <w:rsid w:val="004567FA"/>
    <w:rsid w:val="004569E8"/>
    <w:rsid w:val="00456A68"/>
    <w:rsid w:val="00456B8A"/>
    <w:rsid w:val="00456D31"/>
    <w:rsid w:val="00456DC3"/>
    <w:rsid w:val="00456E45"/>
    <w:rsid w:val="00456E7F"/>
    <w:rsid w:val="00457097"/>
    <w:rsid w:val="0045748B"/>
    <w:rsid w:val="004576D3"/>
    <w:rsid w:val="0045774A"/>
    <w:rsid w:val="00457838"/>
    <w:rsid w:val="004578E1"/>
    <w:rsid w:val="00457938"/>
    <w:rsid w:val="00457973"/>
    <w:rsid w:val="00457A16"/>
    <w:rsid w:val="00457A69"/>
    <w:rsid w:val="00457AD2"/>
    <w:rsid w:val="00457AE1"/>
    <w:rsid w:val="00457EB1"/>
    <w:rsid w:val="00460240"/>
    <w:rsid w:val="004602A8"/>
    <w:rsid w:val="0046034D"/>
    <w:rsid w:val="004606B1"/>
    <w:rsid w:val="00460704"/>
    <w:rsid w:val="00460BFB"/>
    <w:rsid w:val="00460C3F"/>
    <w:rsid w:val="00460D6C"/>
    <w:rsid w:val="00460DD8"/>
    <w:rsid w:val="00460E16"/>
    <w:rsid w:val="00460F71"/>
    <w:rsid w:val="0046108E"/>
    <w:rsid w:val="004610B5"/>
    <w:rsid w:val="00461105"/>
    <w:rsid w:val="00461297"/>
    <w:rsid w:val="00461322"/>
    <w:rsid w:val="00461364"/>
    <w:rsid w:val="00461420"/>
    <w:rsid w:val="00461421"/>
    <w:rsid w:val="0046144B"/>
    <w:rsid w:val="004614F4"/>
    <w:rsid w:val="00461A12"/>
    <w:rsid w:val="00461AC8"/>
    <w:rsid w:val="00461B0F"/>
    <w:rsid w:val="00461CF5"/>
    <w:rsid w:val="00461D41"/>
    <w:rsid w:val="00461E35"/>
    <w:rsid w:val="00461E5B"/>
    <w:rsid w:val="004624E3"/>
    <w:rsid w:val="004625E1"/>
    <w:rsid w:val="00462862"/>
    <w:rsid w:val="00462A1B"/>
    <w:rsid w:val="00462AA9"/>
    <w:rsid w:val="00462B7B"/>
    <w:rsid w:val="00462E2F"/>
    <w:rsid w:val="00462ECB"/>
    <w:rsid w:val="00462EFA"/>
    <w:rsid w:val="00462FF5"/>
    <w:rsid w:val="0046307E"/>
    <w:rsid w:val="00463270"/>
    <w:rsid w:val="004632B2"/>
    <w:rsid w:val="004633A2"/>
    <w:rsid w:val="0046341C"/>
    <w:rsid w:val="00463502"/>
    <w:rsid w:val="0046353B"/>
    <w:rsid w:val="00463575"/>
    <w:rsid w:val="0046359C"/>
    <w:rsid w:val="004635FC"/>
    <w:rsid w:val="00463731"/>
    <w:rsid w:val="00463770"/>
    <w:rsid w:val="0046380C"/>
    <w:rsid w:val="00463BE4"/>
    <w:rsid w:val="00463C4D"/>
    <w:rsid w:val="00463CA6"/>
    <w:rsid w:val="00463CCE"/>
    <w:rsid w:val="00463D13"/>
    <w:rsid w:val="00463D2C"/>
    <w:rsid w:val="004640F7"/>
    <w:rsid w:val="00464192"/>
    <w:rsid w:val="00464633"/>
    <w:rsid w:val="00464DDA"/>
    <w:rsid w:val="00464F18"/>
    <w:rsid w:val="00464FD2"/>
    <w:rsid w:val="004650D6"/>
    <w:rsid w:val="00465458"/>
    <w:rsid w:val="004655D6"/>
    <w:rsid w:val="00465601"/>
    <w:rsid w:val="0046589F"/>
    <w:rsid w:val="004658AE"/>
    <w:rsid w:val="00465A2F"/>
    <w:rsid w:val="00465A3D"/>
    <w:rsid w:val="00465B4D"/>
    <w:rsid w:val="00465E5B"/>
    <w:rsid w:val="00465E66"/>
    <w:rsid w:val="00465F9B"/>
    <w:rsid w:val="00465FE2"/>
    <w:rsid w:val="004660DE"/>
    <w:rsid w:val="004661B5"/>
    <w:rsid w:val="004663B9"/>
    <w:rsid w:val="00466511"/>
    <w:rsid w:val="004668D7"/>
    <w:rsid w:val="00466A77"/>
    <w:rsid w:val="00466D7A"/>
    <w:rsid w:val="00466DCC"/>
    <w:rsid w:val="004670B8"/>
    <w:rsid w:val="00467146"/>
    <w:rsid w:val="004671EA"/>
    <w:rsid w:val="00467207"/>
    <w:rsid w:val="004674C2"/>
    <w:rsid w:val="00467615"/>
    <w:rsid w:val="00467685"/>
    <w:rsid w:val="00467826"/>
    <w:rsid w:val="00467A9D"/>
    <w:rsid w:val="00467C0D"/>
    <w:rsid w:val="00467C92"/>
    <w:rsid w:val="00467DCE"/>
    <w:rsid w:val="00467F6D"/>
    <w:rsid w:val="00467FCE"/>
    <w:rsid w:val="004700B6"/>
    <w:rsid w:val="004702D1"/>
    <w:rsid w:val="00470336"/>
    <w:rsid w:val="0047038C"/>
    <w:rsid w:val="00470410"/>
    <w:rsid w:val="00470604"/>
    <w:rsid w:val="00470658"/>
    <w:rsid w:val="004707DB"/>
    <w:rsid w:val="00470817"/>
    <w:rsid w:val="004709B5"/>
    <w:rsid w:val="00470BA6"/>
    <w:rsid w:val="00470BD5"/>
    <w:rsid w:val="00470C9E"/>
    <w:rsid w:val="00470E10"/>
    <w:rsid w:val="00471091"/>
    <w:rsid w:val="004710BE"/>
    <w:rsid w:val="00471296"/>
    <w:rsid w:val="0047141C"/>
    <w:rsid w:val="00471608"/>
    <w:rsid w:val="004716F9"/>
    <w:rsid w:val="00471720"/>
    <w:rsid w:val="00471849"/>
    <w:rsid w:val="00471881"/>
    <w:rsid w:val="00471ADB"/>
    <w:rsid w:val="00471ADD"/>
    <w:rsid w:val="00471B88"/>
    <w:rsid w:val="00472351"/>
    <w:rsid w:val="00472530"/>
    <w:rsid w:val="00472D7A"/>
    <w:rsid w:val="00472DB8"/>
    <w:rsid w:val="00472F3B"/>
    <w:rsid w:val="0047327A"/>
    <w:rsid w:val="0047327E"/>
    <w:rsid w:val="004734BF"/>
    <w:rsid w:val="00473509"/>
    <w:rsid w:val="0047350F"/>
    <w:rsid w:val="00473561"/>
    <w:rsid w:val="00473614"/>
    <w:rsid w:val="0047361E"/>
    <w:rsid w:val="00473813"/>
    <w:rsid w:val="00473925"/>
    <w:rsid w:val="00473C2D"/>
    <w:rsid w:val="00473EAE"/>
    <w:rsid w:val="00473FB2"/>
    <w:rsid w:val="00473FE7"/>
    <w:rsid w:val="0047443F"/>
    <w:rsid w:val="00474643"/>
    <w:rsid w:val="0047480D"/>
    <w:rsid w:val="00474913"/>
    <w:rsid w:val="004749E0"/>
    <w:rsid w:val="00474B63"/>
    <w:rsid w:val="00474D65"/>
    <w:rsid w:val="00474ED6"/>
    <w:rsid w:val="00475072"/>
    <w:rsid w:val="004758E1"/>
    <w:rsid w:val="00475907"/>
    <w:rsid w:val="00475917"/>
    <w:rsid w:val="00475EC9"/>
    <w:rsid w:val="00475EE6"/>
    <w:rsid w:val="00475F18"/>
    <w:rsid w:val="00475F70"/>
    <w:rsid w:val="004761A3"/>
    <w:rsid w:val="00476312"/>
    <w:rsid w:val="004765E1"/>
    <w:rsid w:val="00476A2E"/>
    <w:rsid w:val="00476ADD"/>
    <w:rsid w:val="00477055"/>
    <w:rsid w:val="0047706F"/>
    <w:rsid w:val="0047711D"/>
    <w:rsid w:val="004774C2"/>
    <w:rsid w:val="004774D5"/>
    <w:rsid w:val="004776B7"/>
    <w:rsid w:val="004778A6"/>
    <w:rsid w:val="00477A58"/>
    <w:rsid w:val="00477CEB"/>
    <w:rsid w:val="00477DC3"/>
    <w:rsid w:val="00477EAF"/>
    <w:rsid w:val="00480001"/>
    <w:rsid w:val="00480067"/>
    <w:rsid w:val="004801F3"/>
    <w:rsid w:val="0048022E"/>
    <w:rsid w:val="0048038F"/>
    <w:rsid w:val="004803CB"/>
    <w:rsid w:val="00480802"/>
    <w:rsid w:val="00480B25"/>
    <w:rsid w:val="00480C44"/>
    <w:rsid w:val="00480D27"/>
    <w:rsid w:val="00480F02"/>
    <w:rsid w:val="00480F42"/>
    <w:rsid w:val="004810BF"/>
    <w:rsid w:val="00481599"/>
    <w:rsid w:val="004815D5"/>
    <w:rsid w:val="0048166D"/>
    <w:rsid w:val="0048170B"/>
    <w:rsid w:val="0048182A"/>
    <w:rsid w:val="00481869"/>
    <w:rsid w:val="0048188D"/>
    <w:rsid w:val="004818EB"/>
    <w:rsid w:val="00481905"/>
    <w:rsid w:val="00481979"/>
    <w:rsid w:val="00481B07"/>
    <w:rsid w:val="00481C28"/>
    <w:rsid w:val="00481D0F"/>
    <w:rsid w:val="00481D7D"/>
    <w:rsid w:val="00481E7C"/>
    <w:rsid w:val="00481F5C"/>
    <w:rsid w:val="00481FF8"/>
    <w:rsid w:val="00482102"/>
    <w:rsid w:val="004821F2"/>
    <w:rsid w:val="0048227D"/>
    <w:rsid w:val="00482405"/>
    <w:rsid w:val="00482491"/>
    <w:rsid w:val="00482592"/>
    <w:rsid w:val="0048259E"/>
    <w:rsid w:val="00482920"/>
    <w:rsid w:val="00482939"/>
    <w:rsid w:val="00482B1C"/>
    <w:rsid w:val="00482CA8"/>
    <w:rsid w:val="00482D60"/>
    <w:rsid w:val="00482F80"/>
    <w:rsid w:val="00482FCB"/>
    <w:rsid w:val="00482FE1"/>
    <w:rsid w:val="00483012"/>
    <w:rsid w:val="004830FC"/>
    <w:rsid w:val="0048319D"/>
    <w:rsid w:val="00483313"/>
    <w:rsid w:val="0048341D"/>
    <w:rsid w:val="00483479"/>
    <w:rsid w:val="004834C6"/>
    <w:rsid w:val="0048355C"/>
    <w:rsid w:val="004837AE"/>
    <w:rsid w:val="00483961"/>
    <w:rsid w:val="00483AC3"/>
    <w:rsid w:val="00483D40"/>
    <w:rsid w:val="00483D61"/>
    <w:rsid w:val="00483DBD"/>
    <w:rsid w:val="00483E5D"/>
    <w:rsid w:val="00483F0F"/>
    <w:rsid w:val="00483F60"/>
    <w:rsid w:val="00483F77"/>
    <w:rsid w:val="00483F9F"/>
    <w:rsid w:val="00484062"/>
    <w:rsid w:val="00484237"/>
    <w:rsid w:val="0048423D"/>
    <w:rsid w:val="004842BE"/>
    <w:rsid w:val="004843D1"/>
    <w:rsid w:val="004843D6"/>
    <w:rsid w:val="00484528"/>
    <w:rsid w:val="00484573"/>
    <w:rsid w:val="004845C4"/>
    <w:rsid w:val="0048474D"/>
    <w:rsid w:val="004847F2"/>
    <w:rsid w:val="00484C07"/>
    <w:rsid w:val="00484C12"/>
    <w:rsid w:val="00484D18"/>
    <w:rsid w:val="00485029"/>
    <w:rsid w:val="00485096"/>
    <w:rsid w:val="004850D8"/>
    <w:rsid w:val="00485119"/>
    <w:rsid w:val="004851BF"/>
    <w:rsid w:val="004854C1"/>
    <w:rsid w:val="004854C2"/>
    <w:rsid w:val="00485647"/>
    <w:rsid w:val="00485987"/>
    <w:rsid w:val="00485B99"/>
    <w:rsid w:val="00485B9C"/>
    <w:rsid w:val="00485C27"/>
    <w:rsid w:val="00485DDE"/>
    <w:rsid w:val="004860A3"/>
    <w:rsid w:val="004863A8"/>
    <w:rsid w:val="004863FC"/>
    <w:rsid w:val="00486736"/>
    <w:rsid w:val="004867D5"/>
    <w:rsid w:val="00486BB4"/>
    <w:rsid w:val="00486DAC"/>
    <w:rsid w:val="00486E5B"/>
    <w:rsid w:val="004870B9"/>
    <w:rsid w:val="00487236"/>
    <w:rsid w:val="0048744D"/>
    <w:rsid w:val="0048758A"/>
    <w:rsid w:val="004876EF"/>
    <w:rsid w:val="004877E6"/>
    <w:rsid w:val="0048793F"/>
    <w:rsid w:val="004879B2"/>
    <w:rsid w:val="004879BF"/>
    <w:rsid w:val="00487F53"/>
    <w:rsid w:val="00490048"/>
    <w:rsid w:val="0049016D"/>
    <w:rsid w:val="00490199"/>
    <w:rsid w:val="00490230"/>
    <w:rsid w:val="0049033C"/>
    <w:rsid w:val="00490345"/>
    <w:rsid w:val="004907F0"/>
    <w:rsid w:val="00490CD6"/>
    <w:rsid w:val="00490D66"/>
    <w:rsid w:val="00490EAC"/>
    <w:rsid w:val="00491099"/>
    <w:rsid w:val="004911BF"/>
    <w:rsid w:val="0049126C"/>
    <w:rsid w:val="00491663"/>
    <w:rsid w:val="004919C5"/>
    <w:rsid w:val="00491AAB"/>
    <w:rsid w:val="00492028"/>
    <w:rsid w:val="004921A6"/>
    <w:rsid w:val="004922CC"/>
    <w:rsid w:val="004922F7"/>
    <w:rsid w:val="004923FB"/>
    <w:rsid w:val="00492425"/>
    <w:rsid w:val="0049288C"/>
    <w:rsid w:val="004928DB"/>
    <w:rsid w:val="004928E5"/>
    <w:rsid w:val="00492A47"/>
    <w:rsid w:val="00492F53"/>
    <w:rsid w:val="00492F66"/>
    <w:rsid w:val="00493089"/>
    <w:rsid w:val="00493227"/>
    <w:rsid w:val="004935C4"/>
    <w:rsid w:val="00493773"/>
    <w:rsid w:val="00493A1C"/>
    <w:rsid w:val="00493AF9"/>
    <w:rsid w:val="00493BD7"/>
    <w:rsid w:val="004941B6"/>
    <w:rsid w:val="004945EF"/>
    <w:rsid w:val="00494635"/>
    <w:rsid w:val="004947D4"/>
    <w:rsid w:val="004947D8"/>
    <w:rsid w:val="00494AB3"/>
    <w:rsid w:val="00494B1C"/>
    <w:rsid w:val="00494D2A"/>
    <w:rsid w:val="00494EC9"/>
    <w:rsid w:val="00494F8C"/>
    <w:rsid w:val="004951FD"/>
    <w:rsid w:val="00495398"/>
    <w:rsid w:val="0049552A"/>
    <w:rsid w:val="00495A61"/>
    <w:rsid w:val="00495E98"/>
    <w:rsid w:val="00495F24"/>
    <w:rsid w:val="00496018"/>
    <w:rsid w:val="004960DD"/>
    <w:rsid w:val="0049611F"/>
    <w:rsid w:val="004963AE"/>
    <w:rsid w:val="0049661F"/>
    <w:rsid w:val="00496716"/>
    <w:rsid w:val="00496ADB"/>
    <w:rsid w:val="00496C24"/>
    <w:rsid w:val="00497044"/>
    <w:rsid w:val="00497174"/>
    <w:rsid w:val="0049744F"/>
    <w:rsid w:val="00497478"/>
    <w:rsid w:val="004976A7"/>
    <w:rsid w:val="00497804"/>
    <w:rsid w:val="00497BC3"/>
    <w:rsid w:val="00497E0D"/>
    <w:rsid w:val="00497E0F"/>
    <w:rsid w:val="00497E7C"/>
    <w:rsid w:val="00497E7E"/>
    <w:rsid w:val="00497ED9"/>
    <w:rsid w:val="004A023C"/>
    <w:rsid w:val="004A05D8"/>
    <w:rsid w:val="004A0742"/>
    <w:rsid w:val="004A0D2A"/>
    <w:rsid w:val="004A0D37"/>
    <w:rsid w:val="004A0DCC"/>
    <w:rsid w:val="004A0DFC"/>
    <w:rsid w:val="004A0E31"/>
    <w:rsid w:val="004A125C"/>
    <w:rsid w:val="004A12C9"/>
    <w:rsid w:val="004A12F0"/>
    <w:rsid w:val="004A12F7"/>
    <w:rsid w:val="004A1445"/>
    <w:rsid w:val="004A1648"/>
    <w:rsid w:val="004A1717"/>
    <w:rsid w:val="004A186C"/>
    <w:rsid w:val="004A1BEE"/>
    <w:rsid w:val="004A1D32"/>
    <w:rsid w:val="004A1E11"/>
    <w:rsid w:val="004A1F7E"/>
    <w:rsid w:val="004A20E9"/>
    <w:rsid w:val="004A2604"/>
    <w:rsid w:val="004A26B7"/>
    <w:rsid w:val="004A275E"/>
    <w:rsid w:val="004A2845"/>
    <w:rsid w:val="004A288C"/>
    <w:rsid w:val="004A292B"/>
    <w:rsid w:val="004A29E7"/>
    <w:rsid w:val="004A2A63"/>
    <w:rsid w:val="004A2FE3"/>
    <w:rsid w:val="004A3163"/>
    <w:rsid w:val="004A31D5"/>
    <w:rsid w:val="004A3463"/>
    <w:rsid w:val="004A35FD"/>
    <w:rsid w:val="004A37F8"/>
    <w:rsid w:val="004A3A29"/>
    <w:rsid w:val="004A3BF4"/>
    <w:rsid w:val="004A3CDD"/>
    <w:rsid w:val="004A3DB1"/>
    <w:rsid w:val="004A3EAF"/>
    <w:rsid w:val="004A40DE"/>
    <w:rsid w:val="004A42E2"/>
    <w:rsid w:val="004A433D"/>
    <w:rsid w:val="004A4474"/>
    <w:rsid w:val="004A46FC"/>
    <w:rsid w:val="004A47FC"/>
    <w:rsid w:val="004A484F"/>
    <w:rsid w:val="004A48D2"/>
    <w:rsid w:val="004A4B33"/>
    <w:rsid w:val="004A4C69"/>
    <w:rsid w:val="004A4C93"/>
    <w:rsid w:val="004A4EF9"/>
    <w:rsid w:val="004A514E"/>
    <w:rsid w:val="004A51E5"/>
    <w:rsid w:val="004A565F"/>
    <w:rsid w:val="004A5C29"/>
    <w:rsid w:val="004A5C3E"/>
    <w:rsid w:val="004A5F15"/>
    <w:rsid w:val="004A6150"/>
    <w:rsid w:val="004A69CB"/>
    <w:rsid w:val="004A6D2C"/>
    <w:rsid w:val="004A6D9D"/>
    <w:rsid w:val="004A6DF8"/>
    <w:rsid w:val="004A7021"/>
    <w:rsid w:val="004A7262"/>
    <w:rsid w:val="004A73EB"/>
    <w:rsid w:val="004A76B2"/>
    <w:rsid w:val="004A76C0"/>
    <w:rsid w:val="004A78D7"/>
    <w:rsid w:val="004A7946"/>
    <w:rsid w:val="004A7CA6"/>
    <w:rsid w:val="004A7CC5"/>
    <w:rsid w:val="004B016C"/>
    <w:rsid w:val="004B0503"/>
    <w:rsid w:val="004B05A9"/>
    <w:rsid w:val="004B062F"/>
    <w:rsid w:val="004B0742"/>
    <w:rsid w:val="004B0949"/>
    <w:rsid w:val="004B0B23"/>
    <w:rsid w:val="004B0D45"/>
    <w:rsid w:val="004B13F3"/>
    <w:rsid w:val="004B1436"/>
    <w:rsid w:val="004B1674"/>
    <w:rsid w:val="004B17E2"/>
    <w:rsid w:val="004B1869"/>
    <w:rsid w:val="004B1872"/>
    <w:rsid w:val="004B1896"/>
    <w:rsid w:val="004B18E6"/>
    <w:rsid w:val="004B18EE"/>
    <w:rsid w:val="004B1E63"/>
    <w:rsid w:val="004B1E73"/>
    <w:rsid w:val="004B200E"/>
    <w:rsid w:val="004B222E"/>
    <w:rsid w:val="004B2360"/>
    <w:rsid w:val="004B23A0"/>
    <w:rsid w:val="004B240B"/>
    <w:rsid w:val="004B2521"/>
    <w:rsid w:val="004B268A"/>
    <w:rsid w:val="004B27B5"/>
    <w:rsid w:val="004B2895"/>
    <w:rsid w:val="004B2AB0"/>
    <w:rsid w:val="004B2B5B"/>
    <w:rsid w:val="004B2DBE"/>
    <w:rsid w:val="004B2E22"/>
    <w:rsid w:val="004B325A"/>
    <w:rsid w:val="004B32C2"/>
    <w:rsid w:val="004B32D3"/>
    <w:rsid w:val="004B3503"/>
    <w:rsid w:val="004B3539"/>
    <w:rsid w:val="004B3627"/>
    <w:rsid w:val="004B3652"/>
    <w:rsid w:val="004B36B8"/>
    <w:rsid w:val="004B3873"/>
    <w:rsid w:val="004B3947"/>
    <w:rsid w:val="004B3BF3"/>
    <w:rsid w:val="004B3C3A"/>
    <w:rsid w:val="004B3DEC"/>
    <w:rsid w:val="004B3E59"/>
    <w:rsid w:val="004B4019"/>
    <w:rsid w:val="004B44CF"/>
    <w:rsid w:val="004B452C"/>
    <w:rsid w:val="004B45A0"/>
    <w:rsid w:val="004B45BA"/>
    <w:rsid w:val="004B46B9"/>
    <w:rsid w:val="004B4BA6"/>
    <w:rsid w:val="004B4CFC"/>
    <w:rsid w:val="004B4D01"/>
    <w:rsid w:val="004B4D0D"/>
    <w:rsid w:val="004B530E"/>
    <w:rsid w:val="004B5478"/>
    <w:rsid w:val="004B5624"/>
    <w:rsid w:val="004B5770"/>
    <w:rsid w:val="004B57C2"/>
    <w:rsid w:val="004B5815"/>
    <w:rsid w:val="004B589B"/>
    <w:rsid w:val="004B5A00"/>
    <w:rsid w:val="004B5E00"/>
    <w:rsid w:val="004B5E0C"/>
    <w:rsid w:val="004B5FA1"/>
    <w:rsid w:val="004B6137"/>
    <w:rsid w:val="004B61F9"/>
    <w:rsid w:val="004B6258"/>
    <w:rsid w:val="004B6330"/>
    <w:rsid w:val="004B6502"/>
    <w:rsid w:val="004B6590"/>
    <w:rsid w:val="004B66B3"/>
    <w:rsid w:val="004B696B"/>
    <w:rsid w:val="004B6BAA"/>
    <w:rsid w:val="004B6D86"/>
    <w:rsid w:val="004B6DB6"/>
    <w:rsid w:val="004B6FAF"/>
    <w:rsid w:val="004B6FC6"/>
    <w:rsid w:val="004B7170"/>
    <w:rsid w:val="004B7714"/>
    <w:rsid w:val="004B7820"/>
    <w:rsid w:val="004B7EB6"/>
    <w:rsid w:val="004B7FED"/>
    <w:rsid w:val="004C0177"/>
    <w:rsid w:val="004C0197"/>
    <w:rsid w:val="004C01C8"/>
    <w:rsid w:val="004C0231"/>
    <w:rsid w:val="004C028E"/>
    <w:rsid w:val="004C03A6"/>
    <w:rsid w:val="004C03BB"/>
    <w:rsid w:val="004C03D3"/>
    <w:rsid w:val="004C03EA"/>
    <w:rsid w:val="004C0743"/>
    <w:rsid w:val="004C0766"/>
    <w:rsid w:val="004C0D5A"/>
    <w:rsid w:val="004C0D9E"/>
    <w:rsid w:val="004C0DB5"/>
    <w:rsid w:val="004C0F34"/>
    <w:rsid w:val="004C1477"/>
    <w:rsid w:val="004C1520"/>
    <w:rsid w:val="004C19EF"/>
    <w:rsid w:val="004C1B4D"/>
    <w:rsid w:val="004C1BD8"/>
    <w:rsid w:val="004C1BF2"/>
    <w:rsid w:val="004C1C66"/>
    <w:rsid w:val="004C1D64"/>
    <w:rsid w:val="004C201F"/>
    <w:rsid w:val="004C2124"/>
    <w:rsid w:val="004C23AC"/>
    <w:rsid w:val="004C2616"/>
    <w:rsid w:val="004C2813"/>
    <w:rsid w:val="004C2912"/>
    <w:rsid w:val="004C2AC4"/>
    <w:rsid w:val="004C2B15"/>
    <w:rsid w:val="004C2B18"/>
    <w:rsid w:val="004C2DBA"/>
    <w:rsid w:val="004C2EEF"/>
    <w:rsid w:val="004C3389"/>
    <w:rsid w:val="004C3434"/>
    <w:rsid w:val="004C3471"/>
    <w:rsid w:val="004C35B3"/>
    <w:rsid w:val="004C36BC"/>
    <w:rsid w:val="004C375F"/>
    <w:rsid w:val="004C37AE"/>
    <w:rsid w:val="004C38B3"/>
    <w:rsid w:val="004C3D74"/>
    <w:rsid w:val="004C3E45"/>
    <w:rsid w:val="004C4018"/>
    <w:rsid w:val="004C4030"/>
    <w:rsid w:val="004C4162"/>
    <w:rsid w:val="004C45BB"/>
    <w:rsid w:val="004C45ED"/>
    <w:rsid w:val="004C4621"/>
    <w:rsid w:val="004C48A4"/>
    <w:rsid w:val="004C48EA"/>
    <w:rsid w:val="004C4A10"/>
    <w:rsid w:val="004C4D4D"/>
    <w:rsid w:val="004C4E4E"/>
    <w:rsid w:val="004C4EA0"/>
    <w:rsid w:val="004C4EEF"/>
    <w:rsid w:val="004C4EF3"/>
    <w:rsid w:val="004C5012"/>
    <w:rsid w:val="004C504F"/>
    <w:rsid w:val="004C50B3"/>
    <w:rsid w:val="004C54A9"/>
    <w:rsid w:val="004C55B1"/>
    <w:rsid w:val="004C55BD"/>
    <w:rsid w:val="004C57A2"/>
    <w:rsid w:val="004C5829"/>
    <w:rsid w:val="004C5940"/>
    <w:rsid w:val="004C59EF"/>
    <w:rsid w:val="004C5CEB"/>
    <w:rsid w:val="004C5E40"/>
    <w:rsid w:val="004C62D2"/>
    <w:rsid w:val="004C6397"/>
    <w:rsid w:val="004C6520"/>
    <w:rsid w:val="004C687F"/>
    <w:rsid w:val="004C6916"/>
    <w:rsid w:val="004C694E"/>
    <w:rsid w:val="004C6966"/>
    <w:rsid w:val="004C69C5"/>
    <w:rsid w:val="004C6A51"/>
    <w:rsid w:val="004C6E0B"/>
    <w:rsid w:val="004C6E8E"/>
    <w:rsid w:val="004C6F40"/>
    <w:rsid w:val="004C725D"/>
    <w:rsid w:val="004C7281"/>
    <w:rsid w:val="004C7342"/>
    <w:rsid w:val="004C73E0"/>
    <w:rsid w:val="004C7437"/>
    <w:rsid w:val="004C74F3"/>
    <w:rsid w:val="004C755A"/>
    <w:rsid w:val="004C772F"/>
    <w:rsid w:val="004C79B2"/>
    <w:rsid w:val="004C7BB7"/>
    <w:rsid w:val="004C7DDB"/>
    <w:rsid w:val="004C7E8B"/>
    <w:rsid w:val="004C7F96"/>
    <w:rsid w:val="004D050A"/>
    <w:rsid w:val="004D098A"/>
    <w:rsid w:val="004D0A56"/>
    <w:rsid w:val="004D0C36"/>
    <w:rsid w:val="004D0C8D"/>
    <w:rsid w:val="004D0CAE"/>
    <w:rsid w:val="004D0E13"/>
    <w:rsid w:val="004D1139"/>
    <w:rsid w:val="004D12B1"/>
    <w:rsid w:val="004D12D6"/>
    <w:rsid w:val="004D1416"/>
    <w:rsid w:val="004D159E"/>
    <w:rsid w:val="004D173D"/>
    <w:rsid w:val="004D178F"/>
    <w:rsid w:val="004D19DF"/>
    <w:rsid w:val="004D1F57"/>
    <w:rsid w:val="004D2178"/>
    <w:rsid w:val="004D21C7"/>
    <w:rsid w:val="004D21DC"/>
    <w:rsid w:val="004D22A7"/>
    <w:rsid w:val="004D230F"/>
    <w:rsid w:val="004D2355"/>
    <w:rsid w:val="004D2382"/>
    <w:rsid w:val="004D27A5"/>
    <w:rsid w:val="004D2AD8"/>
    <w:rsid w:val="004D2CDD"/>
    <w:rsid w:val="004D2EB8"/>
    <w:rsid w:val="004D2F05"/>
    <w:rsid w:val="004D30F0"/>
    <w:rsid w:val="004D31D4"/>
    <w:rsid w:val="004D31F0"/>
    <w:rsid w:val="004D3220"/>
    <w:rsid w:val="004D3645"/>
    <w:rsid w:val="004D36AF"/>
    <w:rsid w:val="004D3919"/>
    <w:rsid w:val="004D39EF"/>
    <w:rsid w:val="004D3A7D"/>
    <w:rsid w:val="004D3DF4"/>
    <w:rsid w:val="004D3F46"/>
    <w:rsid w:val="004D3F57"/>
    <w:rsid w:val="004D4394"/>
    <w:rsid w:val="004D4403"/>
    <w:rsid w:val="004D4494"/>
    <w:rsid w:val="004D4718"/>
    <w:rsid w:val="004D494C"/>
    <w:rsid w:val="004D49FC"/>
    <w:rsid w:val="004D4A3F"/>
    <w:rsid w:val="004D4AA5"/>
    <w:rsid w:val="004D4C84"/>
    <w:rsid w:val="004D4CC6"/>
    <w:rsid w:val="004D50F7"/>
    <w:rsid w:val="004D53ED"/>
    <w:rsid w:val="004D53FA"/>
    <w:rsid w:val="004D5423"/>
    <w:rsid w:val="004D5612"/>
    <w:rsid w:val="004D571E"/>
    <w:rsid w:val="004D5968"/>
    <w:rsid w:val="004D5B19"/>
    <w:rsid w:val="004D5CA4"/>
    <w:rsid w:val="004D5E1A"/>
    <w:rsid w:val="004D5EAC"/>
    <w:rsid w:val="004D5EDB"/>
    <w:rsid w:val="004D61BC"/>
    <w:rsid w:val="004D6480"/>
    <w:rsid w:val="004D6679"/>
    <w:rsid w:val="004D66D6"/>
    <w:rsid w:val="004D6730"/>
    <w:rsid w:val="004D67F1"/>
    <w:rsid w:val="004D688F"/>
    <w:rsid w:val="004D6964"/>
    <w:rsid w:val="004D6E06"/>
    <w:rsid w:val="004D6E51"/>
    <w:rsid w:val="004D7029"/>
    <w:rsid w:val="004D7278"/>
    <w:rsid w:val="004D7311"/>
    <w:rsid w:val="004D7327"/>
    <w:rsid w:val="004D7360"/>
    <w:rsid w:val="004D73FE"/>
    <w:rsid w:val="004D7508"/>
    <w:rsid w:val="004D75F9"/>
    <w:rsid w:val="004D7803"/>
    <w:rsid w:val="004D7841"/>
    <w:rsid w:val="004D7846"/>
    <w:rsid w:val="004D7938"/>
    <w:rsid w:val="004D79AF"/>
    <w:rsid w:val="004D79D4"/>
    <w:rsid w:val="004D7A5C"/>
    <w:rsid w:val="004D7B08"/>
    <w:rsid w:val="004D7FA2"/>
    <w:rsid w:val="004E0035"/>
    <w:rsid w:val="004E00E9"/>
    <w:rsid w:val="004E01BF"/>
    <w:rsid w:val="004E0358"/>
    <w:rsid w:val="004E0560"/>
    <w:rsid w:val="004E05E8"/>
    <w:rsid w:val="004E0821"/>
    <w:rsid w:val="004E091A"/>
    <w:rsid w:val="004E0B19"/>
    <w:rsid w:val="004E0B68"/>
    <w:rsid w:val="004E0C5F"/>
    <w:rsid w:val="004E0CD7"/>
    <w:rsid w:val="004E0CE9"/>
    <w:rsid w:val="004E0F9B"/>
    <w:rsid w:val="004E1032"/>
    <w:rsid w:val="004E10C2"/>
    <w:rsid w:val="004E1145"/>
    <w:rsid w:val="004E1196"/>
    <w:rsid w:val="004E120A"/>
    <w:rsid w:val="004E1390"/>
    <w:rsid w:val="004E144D"/>
    <w:rsid w:val="004E19F8"/>
    <w:rsid w:val="004E1AB4"/>
    <w:rsid w:val="004E1BED"/>
    <w:rsid w:val="004E1D7A"/>
    <w:rsid w:val="004E1ED6"/>
    <w:rsid w:val="004E1F37"/>
    <w:rsid w:val="004E2131"/>
    <w:rsid w:val="004E2135"/>
    <w:rsid w:val="004E2655"/>
    <w:rsid w:val="004E26FE"/>
    <w:rsid w:val="004E27BB"/>
    <w:rsid w:val="004E2C51"/>
    <w:rsid w:val="004E2CB0"/>
    <w:rsid w:val="004E2E41"/>
    <w:rsid w:val="004E2EA8"/>
    <w:rsid w:val="004E2ECE"/>
    <w:rsid w:val="004E3168"/>
    <w:rsid w:val="004E3219"/>
    <w:rsid w:val="004E32E0"/>
    <w:rsid w:val="004E3580"/>
    <w:rsid w:val="004E3613"/>
    <w:rsid w:val="004E39BF"/>
    <w:rsid w:val="004E39E3"/>
    <w:rsid w:val="004E3A1C"/>
    <w:rsid w:val="004E3A66"/>
    <w:rsid w:val="004E3A8E"/>
    <w:rsid w:val="004E4091"/>
    <w:rsid w:val="004E41EE"/>
    <w:rsid w:val="004E42B1"/>
    <w:rsid w:val="004E446D"/>
    <w:rsid w:val="004E44E6"/>
    <w:rsid w:val="004E4522"/>
    <w:rsid w:val="004E47FD"/>
    <w:rsid w:val="004E4911"/>
    <w:rsid w:val="004E4B4B"/>
    <w:rsid w:val="004E4B86"/>
    <w:rsid w:val="004E4BD6"/>
    <w:rsid w:val="004E4D5C"/>
    <w:rsid w:val="004E4E9D"/>
    <w:rsid w:val="004E4ECC"/>
    <w:rsid w:val="004E4EEA"/>
    <w:rsid w:val="004E5122"/>
    <w:rsid w:val="004E517B"/>
    <w:rsid w:val="004E53C9"/>
    <w:rsid w:val="004E53F9"/>
    <w:rsid w:val="004E546C"/>
    <w:rsid w:val="004E565B"/>
    <w:rsid w:val="004E573C"/>
    <w:rsid w:val="004E5797"/>
    <w:rsid w:val="004E5AA3"/>
    <w:rsid w:val="004E5B39"/>
    <w:rsid w:val="004E5B3F"/>
    <w:rsid w:val="004E5B6D"/>
    <w:rsid w:val="004E5CB0"/>
    <w:rsid w:val="004E5E75"/>
    <w:rsid w:val="004E5EB2"/>
    <w:rsid w:val="004E61B8"/>
    <w:rsid w:val="004E637E"/>
    <w:rsid w:val="004E6999"/>
    <w:rsid w:val="004E69D2"/>
    <w:rsid w:val="004E6F5B"/>
    <w:rsid w:val="004E6FA4"/>
    <w:rsid w:val="004E707B"/>
    <w:rsid w:val="004E70C2"/>
    <w:rsid w:val="004E74CB"/>
    <w:rsid w:val="004E7762"/>
    <w:rsid w:val="004E77FD"/>
    <w:rsid w:val="004E7919"/>
    <w:rsid w:val="004E7A17"/>
    <w:rsid w:val="004E7A20"/>
    <w:rsid w:val="004E7AA3"/>
    <w:rsid w:val="004E7CCD"/>
    <w:rsid w:val="004E7D93"/>
    <w:rsid w:val="004E7DA2"/>
    <w:rsid w:val="004F0192"/>
    <w:rsid w:val="004F0308"/>
    <w:rsid w:val="004F09F5"/>
    <w:rsid w:val="004F09F9"/>
    <w:rsid w:val="004F0A7C"/>
    <w:rsid w:val="004F0CBF"/>
    <w:rsid w:val="004F0D95"/>
    <w:rsid w:val="004F1100"/>
    <w:rsid w:val="004F12E3"/>
    <w:rsid w:val="004F13C8"/>
    <w:rsid w:val="004F17D2"/>
    <w:rsid w:val="004F1810"/>
    <w:rsid w:val="004F1A18"/>
    <w:rsid w:val="004F211C"/>
    <w:rsid w:val="004F2185"/>
    <w:rsid w:val="004F26E9"/>
    <w:rsid w:val="004F2952"/>
    <w:rsid w:val="004F29F6"/>
    <w:rsid w:val="004F2B4D"/>
    <w:rsid w:val="004F2B6C"/>
    <w:rsid w:val="004F2CE0"/>
    <w:rsid w:val="004F3448"/>
    <w:rsid w:val="004F3488"/>
    <w:rsid w:val="004F38D4"/>
    <w:rsid w:val="004F3A06"/>
    <w:rsid w:val="004F3AF5"/>
    <w:rsid w:val="004F3D08"/>
    <w:rsid w:val="004F3F7D"/>
    <w:rsid w:val="004F4276"/>
    <w:rsid w:val="004F4625"/>
    <w:rsid w:val="004F466D"/>
    <w:rsid w:val="004F467F"/>
    <w:rsid w:val="004F4745"/>
    <w:rsid w:val="004F47B4"/>
    <w:rsid w:val="004F4A4B"/>
    <w:rsid w:val="004F4BD1"/>
    <w:rsid w:val="004F4C25"/>
    <w:rsid w:val="004F4C48"/>
    <w:rsid w:val="004F508D"/>
    <w:rsid w:val="004F5114"/>
    <w:rsid w:val="004F5153"/>
    <w:rsid w:val="004F5403"/>
    <w:rsid w:val="004F558B"/>
    <w:rsid w:val="004F57CA"/>
    <w:rsid w:val="004F5874"/>
    <w:rsid w:val="004F597E"/>
    <w:rsid w:val="004F59F1"/>
    <w:rsid w:val="004F5AF3"/>
    <w:rsid w:val="004F5C0C"/>
    <w:rsid w:val="004F61B1"/>
    <w:rsid w:val="004F622C"/>
    <w:rsid w:val="004F62CD"/>
    <w:rsid w:val="004F62E4"/>
    <w:rsid w:val="004F657F"/>
    <w:rsid w:val="004F682D"/>
    <w:rsid w:val="004F6847"/>
    <w:rsid w:val="004F690E"/>
    <w:rsid w:val="004F696A"/>
    <w:rsid w:val="004F69B2"/>
    <w:rsid w:val="004F6B2A"/>
    <w:rsid w:val="004F6BD9"/>
    <w:rsid w:val="004F6C95"/>
    <w:rsid w:val="004F6D6B"/>
    <w:rsid w:val="004F7233"/>
    <w:rsid w:val="004F7308"/>
    <w:rsid w:val="004F742D"/>
    <w:rsid w:val="004F7822"/>
    <w:rsid w:val="004F796C"/>
    <w:rsid w:val="004F7BEC"/>
    <w:rsid w:val="004F7D16"/>
    <w:rsid w:val="005002ED"/>
    <w:rsid w:val="00500317"/>
    <w:rsid w:val="0050043B"/>
    <w:rsid w:val="005004C0"/>
    <w:rsid w:val="00500662"/>
    <w:rsid w:val="0050071F"/>
    <w:rsid w:val="005008E1"/>
    <w:rsid w:val="00500BEA"/>
    <w:rsid w:val="00500E2D"/>
    <w:rsid w:val="00500EB8"/>
    <w:rsid w:val="00500EC2"/>
    <w:rsid w:val="00500EF4"/>
    <w:rsid w:val="005010DB"/>
    <w:rsid w:val="005011B8"/>
    <w:rsid w:val="00501225"/>
    <w:rsid w:val="00501345"/>
    <w:rsid w:val="00501518"/>
    <w:rsid w:val="00501613"/>
    <w:rsid w:val="0050162E"/>
    <w:rsid w:val="005016B4"/>
    <w:rsid w:val="005016C6"/>
    <w:rsid w:val="0050182E"/>
    <w:rsid w:val="00501994"/>
    <w:rsid w:val="005019E9"/>
    <w:rsid w:val="00501CDB"/>
    <w:rsid w:val="00501EFF"/>
    <w:rsid w:val="00502027"/>
    <w:rsid w:val="005021A9"/>
    <w:rsid w:val="00502300"/>
    <w:rsid w:val="00502322"/>
    <w:rsid w:val="0050238F"/>
    <w:rsid w:val="005027B0"/>
    <w:rsid w:val="00502B1D"/>
    <w:rsid w:val="00502E4D"/>
    <w:rsid w:val="00502E9F"/>
    <w:rsid w:val="0050301F"/>
    <w:rsid w:val="00503027"/>
    <w:rsid w:val="00503029"/>
    <w:rsid w:val="00503268"/>
    <w:rsid w:val="005033AE"/>
    <w:rsid w:val="005034CD"/>
    <w:rsid w:val="0050404B"/>
    <w:rsid w:val="00504271"/>
    <w:rsid w:val="005042AF"/>
    <w:rsid w:val="005042EE"/>
    <w:rsid w:val="0050471F"/>
    <w:rsid w:val="005047B7"/>
    <w:rsid w:val="00504AEB"/>
    <w:rsid w:val="00504BDF"/>
    <w:rsid w:val="005050F3"/>
    <w:rsid w:val="00505509"/>
    <w:rsid w:val="005059D2"/>
    <w:rsid w:val="00505D47"/>
    <w:rsid w:val="00505F57"/>
    <w:rsid w:val="00506453"/>
    <w:rsid w:val="0050685A"/>
    <w:rsid w:val="00506894"/>
    <w:rsid w:val="00506A65"/>
    <w:rsid w:val="00506BE6"/>
    <w:rsid w:val="00506C47"/>
    <w:rsid w:val="00506F0D"/>
    <w:rsid w:val="00506F4E"/>
    <w:rsid w:val="00506F83"/>
    <w:rsid w:val="0050718C"/>
    <w:rsid w:val="00507221"/>
    <w:rsid w:val="00507390"/>
    <w:rsid w:val="005074FD"/>
    <w:rsid w:val="00507537"/>
    <w:rsid w:val="0050770F"/>
    <w:rsid w:val="00507784"/>
    <w:rsid w:val="005077BF"/>
    <w:rsid w:val="0050788F"/>
    <w:rsid w:val="00507AB8"/>
    <w:rsid w:val="00507AD0"/>
    <w:rsid w:val="00507BB1"/>
    <w:rsid w:val="005100B7"/>
    <w:rsid w:val="0051055E"/>
    <w:rsid w:val="005105A7"/>
    <w:rsid w:val="005108C7"/>
    <w:rsid w:val="00510929"/>
    <w:rsid w:val="00510BBE"/>
    <w:rsid w:val="00510C0D"/>
    <w:rsid w:val="00510C58"/>
    <w:rsid w:val="00510CD2"/>
    <w:rsid w:val="00510E11"/>
    <w:rsid w:val="00510EB7"/>
    <w:rsid w:val="00510EDF"/>
    <w:rsid w:val="00511246"/>
    <w:rsid w:val="005114D1"/>
    <w:rsid w:val="005115EA"/>
    <w:rsid w:val="00511698"/>
    <w:rsid w:val="00511850"/>
    <w:rsid w:val="005118F9"/>
    <w:rsid w:val="00511BCC"/>
    <w:rsid w:val="00511C93"/>
    <w:rsid w:val="00511D85"/>
    <w:rsid w:val="00511E17"/>
    <w:rsid w:val="00511F1E"/>
    <w:rsid w:val="005121C6"/>
    <w:rsid w:val="00512B0C"/>
    <w:rsid w:val="00512CFB"/>
    <w:rsid w:val="00512EE8"/>
    <w:rsid w:val="00512F90"/>
    <w:rsid w:val="00512FB7"/>
    <w:rsid w:val="00512FE2"/>
    <w:rsid w:val="005130B6"/>
    <w:rsid w:val="00513186"/>
    <w:rsid w:val="0051320D"/>
    <w:rsid w:val="0051324B"/>
    <w:rsid w:val="0051326E"/>
    <w:rsid w:val="0051338E"/>
    <w:rsid w:val="00513654"/>
    <w:rsid w:val="005136CF"/>
    <w:rsid w:val="0051378C"/>
    <w:rsid w:val="005139ED"/>
    <w:rsid w:val="00513BF3"/>
    <w:rsid w:val="00513DE2"/>
    <w:rsid w:val="0051408D"/>
    <w:rsid w:val="00514098"/>
    <w:rsid w:val="005141BF"/>
    <w:rsid w:val="005143B2"/>
    <w:rsid w:val="005144A3"/>
    <w:rsid w:val="00514527"/>
    <w:rsid w:val="00514707"/>
    <w:rsid w:val="0051483F"/>
    <w:rsid w:val="0051499A"/>
    <w:rsid w:val="00514A79"/>
    <w:rsid w:val="00514CF7"/>
    <w:rsid w:val="00514D2B"/>
    <w:rsid w:val="00514EB7"/>
    <w:rsid w:val="00515563"/>
    <w:rsid w:val="00515591"/>
    <w:rsid w:val="005155EF"/>
    <w:rsid w:val="005155F1"/>
    <w:rsid w:val="00515784"/>
    <w:rsid w:val="00515820"/>
    <w:rsid w:val="00515C5C"/>
    <w:rsid w:val="00515C87"/>
    <w:rsid w:val="00515D90"/>
    <w:rsid w:val="00515E2C"/>
    <w:rsid w:val="00516059"/>
    <w:rsid w:val="00516390"/>
    <w:rsid w:val="0051680C"/>
    <w:rsid w:val="00516853"/>
    <w:rsid w:val="0051698E"/>
    <w:rsid w:val="005169A2"/>
    <w:rsid w:val="00516D20"/>
    <w:rsid w:val="00516EB6"/>
    <w:rsid w:val="00516EED"/>
    <w:rsid w:val="00516FC0"/>
    <w:rsid w:val="0051712B"/>
    <w:rsid w:val="005174D4"/>
    <w:rsid w:val="0051758B"/>
    <w:rsid w:val="00517657"/>
    <w:rsid w:val="00517794"/>
    <w:rsid w:val="00517897"/>
    <w:rsid w:val="00517933"/>
    <w:rsid w:val="0051797B"/>
    <w:rsid w:val="00517F22"/>
    <w:rsid w:val="0052003A"/>
    <w:rsid w:val="00520061"/>
    <w:rsid w:val="00520181"/>
    <w:rsid w:val="00520322"/>
    <w:rsid w:val="0052035A"/>
    <w:rsid w:val="00520365"/>
    <w:rsid w:val="0052044B"/>
    <w:rsid w:val="00520472"/>
    <w:rsid w:val="00520BEF"/>
    <w:rsid w:val="00520CB8"/>
    <w:rsid w:val="00520D24"/>
    <w:rsid w:val="005212B3"/>
    <w:rsid w:val="00521371"/>
    <w:rsid w:val="0052139E"/>
    <w:rsid w:val="00521894"/>
    <w:rsid w:val="00521A60"/>
    <w:rsid w:val="00521ADB"/>
    <w:rsid w:val="00521CDA"/>
    <w:rsid w:val="00521EA1"/>
    <w:rsid w:val="00521F17"/>
    <w:rsid w:val="005221BB"/>
    <w:rsid w:val="00522292"/>
    <w:rsid w:val="00522294"/>
    <w:rsid w:val="0052266F"/>
    <w:rsid w:val="005227ED"/>
    <w:rsid w:val="0052288B"/>
    <w:rsid w:val="00522A79"/>
    <w:rsid w:val="00522B7B"/>
    <w:rsid w:val="00523014"/>
    <w:rsid w:val="0052307B"/>
    <w:rsid w:val="005230DB"/>
    <w:rsid w:val="0052328B"/>
    <w:rsid w:val="00523411"/>
    <w:rsid w:val="005234B7"/>
    <w:rsid w:val="00523534"/>
    <w:rsid w:val="00523552"/>
    <w:rsid w:val="0052366D"/>
    <w:rsid w:val="005237F2"/>
    <w:rsid w:val="00523D06"/>
    <w:rsid w:val="00523D42"/>
    <w:rsid w:val="00523D45"/>
    <w:rsid w:val="00523EC8"/>
    <w:rsid w:val="005241D4"/>
    <w:rsid w:val="0052434E"/>
    <w:rsid w:val="005244AD"/>
    <w:rsid w:val="005245BF"/>
    <w:rsid w:val="005246D7"/>
    <w:rsid w:val="00524752"/>
    <w:rsid w:val="00524869"/>
    <w:rsid w:val="005248B7"/>
    <w:rsid w:val="00524936"/>
    <w:rsid w:val="00524CDA"/>
    <w:rsid w:val="00524EDA"/>
    <w:rsid w:val="00524EE1"/>
    <w:rsid w:val="00524F42"/>
    <w:rsid w:val="0052511F"/>
    <w:rsid w:val="005251FA"/>
    <w:rsid w:val="00525208"/>
    <w:rsid w:val="0052523B"/>
    <w:rsid w:val="005252A2"/>
    <w:rsid w:val="005252C5"/>
    <w:rsid w:val="005252FA"/>
    <w:rsid w:val="00525337"/>
    <w:rsid w:val="00525412"/>
    <w:rsid w:val="0052544A"/>
    <w:rsid w:val="0052550D"/>
    <w:rsid w:val="00525643"/>
    <w:rsid w:val="005256AD"/>
    <w:rsid w:val="005258F9"/>
    <w:rsid w:val="005259B9"/>
    <w:rsid w:val="00525AC2"/>
    <w:rsid w:val="00525B0A"/>
    <w:rsid w:val="00525DC4"/>
    <w:rsid w:val="00525EB7"/>
    <w:rsid w:val="0052640E"/>
    <w:rsid w:val="0052647E"/>
    <w:rsid w:val="005264A4"/>
    <w:rsid w:val="0052657A"/>
    <w:rsid w:val="005266C4"/>
    <w:rsid w:val="00526863"/>
    <w:rsid w:val="005269F0"/>
    <w:rsid w:val="00526D31"/>
    <w:rsid w:val="00526DF6"/>
    <w:rsid w:val="00526EE9"/>
    <w:rsid w:val="005270F9"/>
    <w:rsid w:val="005271A9"/>
    <w:rsid w:val="005273EF"/>
    <w:rsid w:val="005274DB"/>
    <w:rsid w:val="005275E3"/>
    <w:rsid w:val="00527A45"/>
    <w:rsid w:val="00527B2F"/>
    <w:rsid w:val="00527BC4"/>
    <w:rsid w:val="00527C4C"/>
    <w:rsid w:val="00527CE7"/>
    <w:rsid w:val="00527CE8"/>
    <w:rsid w:val="00527D50"/>
    <w:rsid w:val="00527D6D"/>
    <w:rsid w:val="00527F63"/>
    <w:rsid w:val="00527F68"/>
    <w:rsid w:val="00527F72"/>
    <w:rsid w:val="0053006A"/>
    <w:rsid w:val="0053023E"/>
    <w:rsid w:val="005303F0"/>
    <w:rsid w:val="005305A1"/>
    <w:rsid w:val="00530669"/>
    <w:rsid w:val="005306BC"/>
    <w:rsid w:val="005306CB"/>
    <w:rsid w:val="005306D5"/>
    <w:rsid w:val="0053070B"/>
    <w:rsid w:val="00530C72"/>
    <w:rsid w:val="00530CAD"/>
    <w:rsid w:val="00530D31"/>
    <w:rsid w:val="00530D4C"/>
    <w:rsid w:val="00530DE4"/>
    <w:rsid w:val="0053108D"/>
    <w:rsid w:val="005312FA"/>
    <w:rsid w:val="005314DC"/>
    <w:rsid w:val="005316AC"/>
    <w:rsid w:val="00531912"/>
    <w:rsid w:val="005319CA"/>
    <w:rsid w:val="00531A49"/>
    <w:rsid w:val="00532369"/>
    <w:rsid w:val="0053259A"/>
    <w:rsid w:val="005325E8"/>
    <w:rsid w:val="00532713"/>
    <w:rsid w:val="00532900"/>
    <w:rsid w:val="00532BE7"/>
    <w:rsid w:val="00532CC3"/>
    <w:rsid w:val="00532CD6"/>
    <w:rsid w:val="00532D9F"/>
    <w:rsid w:val="00532E85"/>
    <w:rsid w:val="00532F9B"/>
    <w:rsid w:val="005330FA"/>
    <w:rsid w:val="0053318D"/>
    <w:rsid w:val="0053335E"/>
    <w:rsid w:val="005334B3"/>
    <w:rsid w:val="00533517"/>
    <w:rsid w:val="0053382C"/>
    <w:rsid w:val="00533838"/>
    <w:rsid w:val="005338CB"/>
    <w:rsid w:val="00533922"/>
    <w:rsid w:val="00533A1F"/>
    <w:rsid w:val="00533B67"/>
    <w:rsid w:val="00533D88"/>
    <w:rsid w:val="005341AB"/>
    <w:rsid w:val="00534264"/>
    <w:rsid w:val="00534443"/>
    <w:rsid w:val="00534546"/>
    <w:rsid w:val="0053459B"/>
    <w:rsid w:val="00534678"/>
    <w:rsid w:val="00534696"/>
    <w:rsid w:val="0053477B"/>
    <w:rsid w:val="0053478A"/>
    <w:rsid w:val="00534C4F"/>
    <w:rsid w:val="00534CEC"/>
    <w:rsid w:val="00534CFA"/>
    <w:rsid w:val="00534F0D"/>
    <w:rsid w:val="0053506A"/>
    <w:rsid w:val="005350A4"/>
    <w:rsid w:val="00535457"/>
    <w:rsid w:val="005354C6"/>
    <w:rsid w:val="00535500"/>
    <w:rsid w:val="005355E4"/>
    <w:rsid w:val="00535704"/>
    <w:rsid w:val="00535D37"/>
    <w:rsid w:val="00535F04"/>
    <w:rsid w:val="0053600E"/>
    <w:rsid w:val="005360E1"/>
    <w:rsid w:val="005361A8"/>
    <w:rsid w:val="0053626F"/>
    <w:rsid w:val="0053644A"/>
    <w:rsid w:val="00536531"/>
    <w:rsid w:val="005366A4"/>
    <w:rsid w:val="0053682B"/>
    <w:rsid w:val="0053686E"/>
    <w:rsid w:val="00536AB8"/>
    <w:rsid w:val="00536BC2"/>
    <w:rsid w:val="00536C22"/>
    <w:rsid w:val="00536F4E"/>
    <w:rsid w:val="00536FE1"/>
    <w:rsid w:val="0053705D"/>
    <w:rsid w:val="005371D6"/>
    <w:rsid w:val="0053732D"/>
    <w:rsid w:val="005373FE"/>
    <w:rsid w:val="0053779B"/>
    <w:rsid w:val="005378E8"/>
    <w:rsid w:val="00537AFD"/>
    <w:rsid w:val="00537C0B"/>
    <w:rsid w:val="00537CE4"/>
    <w:rsid w:val="00537D29"/>
    <w:rsid w:val="00537E7A"/>
    <w:rsid w:val="00537FB0"/>
    <w:rsid w:val="00537FC4"/>
    <w:rsid w:val="00540137"/>
    <w:rsid w:val="0054014D"/>
    <w:rsid w:val="005401A7"/>
    <w:rsid w:val="00540236"/>
    <w:rsid w:val="00540283"/>
    <w:rsid w:val="005402D6"/>
    <w:rsid w:val="0054062B"/>
    <w:rsid w:val="00540669"/>
    <w:rsid w:val="0054068B"/>
    <w:rsid w:val="005407B5"/>
    <w:rsid w:val="00540D30"/>
    <w:rsid w:val="00540FB9"/>
    <w:rsid w:val="0054113E"/>
    <w:rsid w:val="005411F8"/>
    <w:rsid w:val="00541439"/>
    <w:rsid w:val="005415D7"/>
    <w:rsid w:val="0054188D"/>
    <w:rsid w:val="005419E4"/>
    <w:rsid w:val="00541B3D"/>
    <w:rsid w:val="00541EA4"/>
    <w:rsid w:val="005420D9"/>
    <w:rsid w:val="005421EB"/>
    <w:rsid w:val="005424E1"/>
    <w:rsid w:val="00542505"/>
    <w:rsid w:val="005427E2"/>
    <w:rsid w:val="005427FA"/>
    <w:rsid w:val="00542AC5"/>
    <w:rsid w:val="00542B4C"/>
    <w:rsid w:val="00542D8B"/>
    <w:rsid w:val="00542F6D"/>
    <w:rsid w:val="0054340A"/>
    <w:rsid w:val="00543466"/>
    <w:rsid w:val="005435BB"/>
    <w:rsid w:val="0054373A"/>
    <w:rsid w:val="00543A20"/>
    <w:rsid w:val="00543AB2"/>
    <w:rsid w:val="00543B0D"/>
    <w:rsid w:val="00543BA8"/>
    <w:rsid w:val="00543E13"/>
    <w:rsid w:val="00543E22"/>
    <w:rsid w:val="00544095"/>
    <w:rsid w:val="00544155"/>
    <w:rsid w:val="00544216"/>
    <w:rsid w:val="00544366"/>
    <w:rsid w:val="00544B1D"/>
    <w:rsid w:val="00544C59"/>
    <w:rsid w:val="00544CA1"/>
    <w:rsid w:val="00544DF7"/>
    <w:rsid w:val="00544F25"/>
    <w:rsid w:val="00544FD3"/>
    <w:rsid w:val="00545168"/>
    <w:rsid w:val="005454AB"/>
    <w:rsid w:val="0054552C"/>
    <w:rsid w:val="005457B1"/>
    <w:rsid w:val="005457FB"/>
    <w:rsid w:val="0054584B"/>
    <w:rsid w:val="00545880"/>
    <w:rsid w:val="00545C50"/>
    <w:rsid w:val="00545CB9"/>
    <w:rsid w:val="00545F81"/>
    <w:rsid w:val="005463D2"/>
    <w:rsid w:val="005464FF"/>
    <w:rsid w:val="0054676E"/>
    <w:rsid w:val="00546852"/>
    <w:rsid w:val="00546A0E"/>
    <w:rsid w:val="00546DC4"/>
    <w:rsid w:val="00546E60"/>
    <w:rsid w:val="005471A0"/>
    <w:rsid w:val="005471ED"/>
    <w:rsid w:val="005472E5"/>
    <w:rsid w:val="005479D4"/>
    <w:rsid w:val="00547A61"/>
    <w:rsid w:val="00547A88"/>
    <w:rsid w:val="00547C3A"/>
    <w:rsid w:val="00547C7A"/>
    <w:rsid w:val="00547EED"/>
    <w:rsid w:val="0055005D"/>
    <w:rsid w:val="00550081"/>
    <w:rsid w:val="00550085"/>
    <w:rsid w:val="0055016A"/>
    <w:rsid w:val="005502E8"/>
    <w:rsid w:val="005502FF"/>
    <w:rsid w:val="005504E8"/>
    <w:rsid w:val="0055062F"/>
    <w:rsid w:val="00550970"/>
    <w:rsid w:val="00550CE5"/>
    <w:rsid w:val="00550E64"/>
    <w:rsid w:val="00550EB0"/>
    <w:rsid w:val="00550F11"/>
    <w:rsid w:val="00551039"/>
    <w:rsid w:val="00551477"/>
    <w:rsid w:val="00551503"/>
    <w:rsid w:val="0055169A"/>
    <w:rsid w:val="0055179C"/>
    <w:rsid w:val="00551999"/>
    <w:rsid w:val="00551A49"/>
    <w:rsid w:val="00551A90"/>
    <w:rsid w:val="00551D20"/>
    <w:rsid w:val="00551F5E"/>
    <w:rsid w:val="00552020"/>
    <w:rsid w:val="00552736"/>
    <w:rsid w:val="0055287E"/>
    <w:rsid w:val="00552A21"/>
    <w:rsid w:val="00552A3E"/>
    <w:rsid w:val="00552AE3"/>
    <w:rsid w:val="00552B2C"/>
    <w:rsid w:val="00552B7D"/>
    <w:rsid w:val="0055308D"/>
    <w:rsid w:val="005530BD"/>
    <w:rsid w:val="00553155"/>
    <w:rsid w:val="005531B2"/>
    <w:rsid w:val="00553866"/>
    <w:rsid w:val="00553870"/>
    <w:rsid w:val="005538E6"/>
    <w:rsid w:val="005539B4"/>
    <w:rsid w:val="00553A3B"/>
    <w:rsid w:val="00553A50"/>
    <w:rsid w:val="00553A54"/>
    <w:rsid w:val="00553C60"/>
    <w:rsid w:val="00553CF4"/>
    <w:rsid w:val="00553D02"/>
    <w:rsid w:val="00553DC8"/>
    <w:rsid w:val="00553E12"/>
    <w:rsid w:val="00554106"/>
    <w:rsid w:val="0055452A"/>
    <w:rsid w:val="00554554"/>
    <w:rsid w:val="005547B7"/>
    <w:rsid w:val="0055480E"/>
    <w:rsid w:val="00554900"/>
    <w:rsid w:val="005549C3"/>
    <w:rsid w:val="00554C54"/>
    <w:rsid w:val="00554CFB"/>
    <w:rsid w:val="00554D77"/>
    <w:rsid w:val="00555102"/>
    <w:rsid w:val="0055513A"/>
    <w:rsid w:val="00555272"/>
    <w:rsid w:val="0055546A"/>
    <w:rsid w:val="00555B65"/>
    <w:rsid w:val="00555C06"/>
    <w:rsid w:val="00555DA2"/>
    <w:rsid w:val="00555E5D"/>
    <w:rsid w:val="00556076"/>
    <w:rsid w:val="0055617B"/>
    <w:rsid w:val="005562BC"/>
    <w:rsid w:val="00556508"/>
    <w:rsid w:val="00556619"/>
    <w:rsid w:val="0055685D"/>
    <w:rsid w:val="0055689E"/>
    <w:rsid w:val="0055692B"/>
    <w:rsid w:val="00556A88"/>
    <w:rsid w:val="00556AF5"/>
    <w:rsid w:val="00556B6E"/>
    <w:rsid w:val="00556C72"/>
    <w:rsid w:val="00556D32"/>
    <w:rsid w:val="00556E84"/>
    <w:rsid w:val="00557283"/>
    <w:rsid w:val="005575F0"/>
    <w:rsid w:val="00557614"/>
    <w:rsid w:val="0055767A"/>
    <w:rsid w:val="005576AF"/>
    <w:rsid w:val="00557787"/>
    <w:rsid w:val="00557812"/>
    <w:rsid w:val="00557B8D"/>
    <w:rsid w:val="00557DFB"/>
    <w:rsid w:val="00557FDF"/>
    <w:rsid w:val="0056005B"/>
    <w:rsid w:val="0056007E"/>
    <w:rsid w:val="005601CF"/>
    <w:rsid w:val="00560246"/>
    <w:rsid w:val="0056026F"/>
    <w:rsid w:val="0056030C"/>
    <w:rsid w:val="005608D0"/>
    <w:rsid w:val="005609BF"/>
    <w:rsid w:val="00560E08"/>
    <w:rsid w:val="00560F48"/>
    <w:rsid w:val="00560F57"/>
    <w:rsid w:val="00561213"/>
    <w:rsid w:val="00561215"/>
    <w:rsid w:val="0056130E"/>
    <w:rsid w:val="005613C0"/>
    <w:rsid w:val="00561527"/>
    <w:rsid w:val="0056163E"/>
    <w:rsid w:val="00561704"/>
    <w:rsid w:val="0056171A"/>
    <w:rsid w:val="00561810"/>
    <w:rsid w:val="005619D2"/>
    <w:rsid w:val="00561CAD"/>
    <w:rsid w:val="00562347"/>
    <w:rsid w:val="0056247E"/>
    <w:rsid w:val="005625B4"/>
    <w:rsid w:val="00562973"/>
    <w:rsid w:val="00562BF9"/>
    <w:rsid w:val="00562F84"/>
    <w:rsid w:val="00563035"/>
    <w:rsid w:val="00563134"/>
    <w:rsid w:val="00563298"/>
    <w:rsid w:val="005635EB"/>
    <w:rsid w:val="00563622"/>
    <w:rsid w:val="005638DD"/>
    <w:rsid w:val="00563953"/>
    <w:rsid w:val="00563B74"/>
    <w:rsid w:val="00563B91"/>
    <w:rsid w:val="00563C6F"/>
    <w:rsid w:val="00564190"/>
    <w:rsid w:val="00564297"/>
    <w:rsid w:val="005644A6"/>
    <w:rsid w:val="005646F5"/>
    <w:rsid w:val="0056478A"/>
    <w:rsid w:val="0056482E"/>
    <w:rsid w:val="00564989"/>
    <w:rsid w:val="00564F21"/>
    <w:rsid w:val="0056521C"/>
    <w:rsid w:val="005653E7"/>
    <w:rsid w:val="00565424"/>
    <w:rsid w:val="00565698"/>
    <w:rsid w:val="005656B1"/>
    <w:rsid w:val="00565760"/>
    <w:rsid w:val="005657CB"/>
    <w:rsid w:val="005658A9"/>
    <w:rsid w:val="00565E96"/>
    <w:rsid w:val="00565EC6"/>
    <w:rsid w:val="00565F07"/>
    <w:rsid w:val="00565F5C"/>
    <w:rsid w:val="005661D8"/>
    <w:rsid w:val="00566507"/>
    <w:rsid w:val="0056654A"/>
    <w:rsid w:val="005667BD"/>
    <w:rsid w:val="0056684F"/>
    <w:rsid w:val="005668EA"/>
    <w:rsid w:val="005669A0"/>
    <w:rsid w:val="00566A32"/>
    <w:rsid w:val="00566BA9"/>
    <w:rsid w:val="00566F0E"/>
    <w:rsid w:val="00567534"/>
    <w:rsid w:val="005675A9"/>
    <w:rsid w:val="0056760D"/>
    <w:rsid w:val="0056777D"/>
    <w:rsid w:val="005678AD"/>
    <w:rsid w:val="00567B28"/>
    <w:rsid w:val="00567BCD"/>
    <w:rsid w:val="00567CC4"/>
    <w:rsid w:val="00567CD6"/>
    <w:rsid w:val="00567D6E"/>
    <w:rsid w:val="00567D7E"/>
    <w:rsid w:val="00567E30"/>
    <w:rsid w:val="00567F2D"/>
    <w:rsid w:val="0057017D"/>
    <w:rsid w:val="00570328"/>
    <w:rsid w:val="0057033C"/>
    <w:rsid w:val="0057036C"/>
    <w:rsid w:val="005703E3"/>
    <w:rsid w:val="005704CF"/>
    <w:rsid w:val="0057087F"/>
    <w:rsid w:val="005708C0"/>
    <w:rsid w:val="00570D8F"/>
    <w:rsid w:val="00570DB4"/>
    <w:rsid w:val="00571022"/>
    <w:rsid w:val="0057147D"/>
    <w:rsid w:val="0057158E"/>
    <w:rsid w:val="005715D9"/>
    <w:rsid w:val="005716DF"/>
    <w:rsid w:val="005716FB"/>
    <w:rsid w:val="005719BD"/>
    <w:rsid w:val="00571AE8"/>
    <w:rsid w:val="00571BCC"/>
    <w:rsid w:val="00571C37"/>
    <w:rsid w:val="00571F39"/>
    <w:rsid w:val="00571F85"/>
    <w:rsid w:val="005721E9"/>
    <w:rsid w:val="005721FC"/>
    <w:rsid w:val="005725BF"/>
    <w:rsid w:val="00572791"/>
    <w:rsid w:val="0057282C"/>
    <w:rsid w:val="005729AF"/>
    <w:rsid w:val="00572D14"/>
    <w:rsid w:val="00572D55"/>
    <w:rsid w:val="00572EFC"/>
    <w:rsid w:val="0057309A"/>
    <w:rsid w:val="005731CD"/>
    <w:rsid w:val="0057331E"/>
    <w:rsid w:val="0057332A"/>
    <w:rsid w:val="00573336"/>
    <w:rsid w:val="00573371"/>
    <w:rsid w:val="0057343C"/>
    <w:rsid w:val="00573556"/>
    <w:rsid w:val="00573564"/>
    <w:rsid w:val="00573829"/>
    <w:rsid w:val="00573906"/>
    <w:rsid w:val="00573D2F"/>
    <w:rsid w:val="005741FE"/>
    <w:rsid w:val="00574453"/>
    <w:rsid w:val="00574879"/>
    <w:rsid w:val="00574C37"/>
    <w:rsid w:val="0057500A"/>
    <w:rsid w:val="005750D6"/>
    <w:rsid w:val="005750FD"/>
    <w:rsid w:val="005752BE"/>
    <w:rsid w:val="00575319"/>
    <w:rsid w:val="00575339"/>
    <w:rsid w:val="00575DFC"/>
    <w:rsid w:val="00575E8D"/>
    <w:rsid w:val="0057600C"/>
    <w:rsid w:val="005760E7"/>
    <w:rsid w:val="00576231"/>
    <w:rsid w:val="0057623C"/>
    <w:rsid w:val="005763DB"/>
    <w:rsid w:val="0057643C"/>
    <w:rsid w:val="005764C5"/>
    <w:rsid w:val="00576573"/>
    <w:rsid w:val="00576659"/>
    <w:rsid w:val="005766C3"/>
    <w:rsid w:val="00576800"/>
    <w:rsid w:val="00576DF8"/>
    <w:rsid w:val="00576E31"/>
    <w:rsid w:val="00577101"/>
    <w:rsid w:val="00577598"/>
    <w:rsid w:val="00577977"/>
    <w:rsid w:val="00577AC2"/>
    <w:rsid w:val="00577D3F"/>
    <w:rsid w:val="00577E67"/>
    <w:rsid w:val="00577FF7"/>
    <w:rsid w:val="005800BA"/>
    <w:rsid w:val="0058038E"/>
    <w:rsid w:val="00580402"/>
    <w:rsid w:val="00580528"/>
    <w:rsid w:val="00580600"/>
    <w:rsid w:val="005807FF"/>
    <w:rsid w:val="00580A3D"/>
    <w:rsid w:val="00580C72"/>
    <w:rsid w:val="00580E94"/>
    <w:rsid w:val="00581107"/>
    <w:rsid w:val="005813DA"/>
    <w:rsid w:val="005814D3"/>
    <w:rsid w:val="00581810"/>
    <w:rsid w:val="00581AD5"/>
    <w:rsid w:val="00581B1E"/>
    <w:rsid w:val="00581B33"/>
    <w:rsid w:val="00581C45"/>
    <w:rsid w:val="00581D94"/>
    <w:rsid w:val="0058279D"/>
    <w:rsid w:val="005827F9"/>
    <w:rsid w:val="0058294D"/>
    <w:rsid w:val="00582EFD"/>
    <w:rsid w:val="0058326D"/>
    <w:rsid w:val="00583391"/>
    <w:rsid w:val="00583666"/>
    <w:rsid w:val="0058368C"/>
    <w:rsid w:val="005837FB"/>
    <w:rsid w:val="00583955"/>
    <w:rsid w:val="00583A37"/>
    <w:rsid w:val="00583C8A"/>
    <w:rsid w:val="00583CB5"/>
    <w:rsid w:val="00583E62"/>
    <w:rsid w:val="00583E6A"/>
    <w:rsid w:val="00583F06"/>
    <w:rsid w:val="005840C2"/>
    <w:rsid w:val="005841EE"/>
    <w:rsid w:val="00584372"/>
    <w:rsid w:val="005843DE"/>
    <w:rsid w:val="005843E8"/>
    <w:rsid w:val="00584461"/>
    <w:rsid w:val="005844A6"/>
    <w:rsid w:val="00584634"/>
    <w:rsid w:val="00584897"/>
    <w:rsid w:val="00584A0A"/>
    <w:rsid w:val="00584AD1"/>
    <w:rsid w:val="00584DD9"/>
    <w:rsid w:val="00584F40"/>
    <w:rsid w:val="005850E7"/>
    <w:rsid w:val="0058518A"/>
    <w:rsid w:val="00585385"/>
    <w:rsid w:val="005854B4"/>
    <w:rsid w:val="00585874"/>
    <w:rsid w:val="00585898"/>
    <w:rsid w:val="00585A02"/>
    <w:rsid w:val="00585CAF"/>
    <w:rsid w:val="00585D59"/>
    <w:rsid w:val="00585DEA"/>
    <w:rsid w:val="00585FDA"/>
    <w:rsid w:val="00586073"/>
    <w:rsid w:val="0058621E"/>
    <w:rsid w:val="00586228"/>
    <w:rsid w:val="00586386"/>
    <w:rsid w:val="0058640A"/>
    <w:rsid w:val="00586443"/>
    <w:rsid w:val="005866CB"/>
    <w:rsid w:val="00586746"/>
    <w:rsid w:val="005869C5"/>
    <w:rsid w:val="00586AF7"/>
    <w:rsid w:val="00586B89"/>
    <w:rsid w:val="00586D95"/>
    <w:rsid w:val="00586DB0"/>
    <w:rsid w:val="00586F61"/>
    <w:rsid w:val="0058701A"/>
    <w:rsid w:val="00587076"/>
    <w:rsid w:val="00587222"/>
    <w:rsid w:val="005875C9"/>
    <w:rsid w:val="00587763"/>
    <w:rsid w:val="00587767"/>
    <w:rsid w:val="005878A3"/>
    <w:rsid w:val="00587C3A"/>
    <w:rsid w:val="00587E0F"/>
    <w:rsid w:val="00587EFB"/>
    <w:rsid w:val="00590403"/>
    <w:rsid w:val="00590434"/>
    <w:rsid w:val="00590796"/>
    <w:rsid w:val="0059090F"/>
    <w:rsid w:val="00590C1D"/>
    <w:rsid w:val="00590CAC"/>
    <w:rsid w:val="00590CEB"/>
    <w:rsid w:val="00590D65"/>
    <w:rsid w:val="00590DD1"/>
    <w:rsid w:val="00590EB4"/>
    <w:rsid w:val="00591043"/>
    <w:rsid w:val="00591119"/>
    <w:rsid w:val="00591192"/>
    <w:rsid w:val="00591290"/>
    <w:rsid w:val="005912AE"/>
    <w:rsid w:val="005912D0"/>
    <w:rsid w:val="00591332"/>
    <w:rsid w:val="005913B3"/>
    <w:rsid w:val="005914BB"/>
    <w:rsid w:val="00591628"/>
    <w:rsid w:val="00591688"/>
    <w:rsid w:val="005917F2"/>
    <w:rsid w:val="00591885"/>
    <w:rsid w:val="005919B8"/>
    <w:rsid w:val="00591C13"/>
    <w:rsid w:val="00591E48"/>
    <w:rsid w:val="00592003"/>
    <w:rsid w:val="0059210F"/>
    <w:rsid w:val="005922DE"/>
    <w:rsid w:val="005923B0"/>
    <w:rsid w:val="0059246C"/>
    <w:rsid w:val="00592592"/>
    <w:rsid w:val="0059275C"/>
    <w:rsid w:val="00592A92"/>
    <w:rsid w:val="00592B51"/>
    <w:rsid w:val="00592B6C"/>
    <w:rsid w:val="00592E6C"/>
    <w:rsid w:val="0059311C"/>
    <w:rsid w:val="0059316E"/>
    <w:rsid w:val="00593412"/>
    <w:rsid w:val="00593627"/>
    <w:rsid w:val="00593759"/>
    <w:rsid w:val="005937F8"/>
    <w:rsid w:val="00593B97"/>
    <w:rsid w:val="00593BAD"/>
    <w:rsid w:val="00593BF7"/>
    <w:rsid w:val="00593C19"/>
    <w:rsid w:val="00593CEC"/>
    <w:rsid w:val="00593E12"/>
    <w:rsid w:val="00593F31"/>
    <w:rsid w:val="0059416D"/>
    <w:rsid w:val="00594224"/>
    <w:rsid w:val="005942C6"/>
    <w:rsid w:val="0059460C"/>
    <w:rsid w:val="00594805"/>
    <w:rsid w:val="005949EB"/>
    <w:rsid w:val="00594B35"/>
    <w:rsid w:val="00594BE0"/>
    <w:rsid w:val="00594BF4"/>
    <w:rsid w:val="00594DB6"/>
    <w:rsid w:val="00594E3C"/>
    <w:rsid w:val="00594EE4"/>
    <w:rsid w:val="00594F07"/>
    <w:rsid w:val="005950CA"/>
    <w:rsid w:val="005951AB"/>
    <w:rsid w:val="005951D3"/>
    <w:rsid w:val="00595350"/>
    <w:rsid w:val="005953B8"/>
    <w:rsid w:val="0059546D"/>
    <w:rsid w:val="005956C1"/>
    <w:rsid w:val="00595B25"/>
    <w:rsid w:val="00595BAB"/>
    <w:rsid w:val="00595C6F"/>
    <w:rsid w:val="00595C8A"/>
    <w:rsid w:val="00596274"/>
    <w:rsid w:val="005962AB"/>
    <w:rsid w:val="00596519"/>
    <w:rsid w:val="00596691"/>
    <w:rsid w:val="005966AB"/>
    <w:rsid w:val="005966C7"/>
    <w:rsid w:val="00596763"/>
    <w:rsid w:val="005967D7"/>
    <w:rsid w:val="0059682F"/>
    <w:rsid w:val="00596913"/>
    <w:rsid w:val="005969FB"/>
    <w:rsid w:val="00596AA5"/>
    <w:rsid w:val="00596AE3"/>
    <w:rsid w:val="00596C29"/>
    <w:rsid w:val="00596CEF"/>
    <w:rsid w:val="00596D76"/>
    <w:rsid w:val="005970A9"/>
    <w:rsid w:val="005971CA"/>
    <w:rsid w:val="00597242"/>
    <w:rsid w:val="005972CC"/>
    <w:rsid w:val="0059754A"/>
    <w:rsid w:val="0059765C"/>
    <w:rsid w:val="00597694"/>
    <w:rsid w:val="005976F1"/>
    <w:rsid w:val="00597802"/>
    <w:rsid w:val="00597881"/>
    <w:rsid w:val="00597C0C"/>
    <w:rsid w:val="005A03D6"/>
    <w:rsid w:val="005A04B2"/>
    <w:rsid w:val="005A050C"/>
    <w:rsid w:val="005A055A"/>
    <w:rsid w:val="005A0656"/>
    <w:rsid w:val="005A087E"/>
    <w:rsid w:val="005A089B"/>
    <w:rsid w:val="005A0A2C"/>
    <w:rsid w:val="005A0A38"/>
    <w:rsid w:val="005A0A8E"/>
    <w:rsid w:val="005A0AAB"/>
    <w:rsid w:val="005A0C2B"/>
    <w:rsid w:val="005A0FC1"/>
    <w:rsid w:val="005A1223"/>
    <w:rsid w:val="005A13BE"/>
    <w:rsid w:val="005A13F9"/>
    <w:rsid w:val="005A188E"/>
    <w:rsid w:val="005A1AE9"/>
    <w:rsid w:val="005A1B81"/>
    <w:rsid w:val="005A2211"/>
    <w:rsid w:val="005A2220"/>
    <w:rsid w:val="005A2249"/>
    <w:rsid w:val="005A2533"/>
    <w:rsid w:val="005A255C"/>
    <w:rsid w:val="005A261E"/>
    <w:rsid w:val="005A26C8"/>
    <w:rsid w:val="005A291D"/>
    <w:rsid w:val="005A306E"/>
    <w:rsid w:val="005A323E"/>
    <w:rsid w:val="005A33A2"/>
    <w:rsid w:val="005A3506"/>
    <w:rsid w:val="005A3BC5"/>
    <w:rsid w:val="005A3C4B"/>
    <w:rsid w:val="005A4013"/>
    <w:rsid w:val="005A40D7"/>
    <w:rsid w:val="005A4151"/>
    <w:rsid w:val="005A4235"/>
    <w:rsid w:val="005A42C1"/>
    <w:rsid w:val="005A44D6"/>
    <w:rsid w:val="005A4636"/>
    <w:rsid w:val="005A4711"/>
    <w:rsid w:val="005A474E"/>
    <w:rsid w:val="005A476C"/>
    <w:rsid w:val="005A47CF"/>
    <w:rsid w:val="005A49DF"/>
    <w:rsid w:val="005A4A39"/>
    <w:rsid w:val="005A4FDE"/>
    <w:rsid w:val="005A5007"/>
    <w:rsid w:val="005A50D2"/>
    <w:rsid w:val="005A539B"/>
    <w:rsid w:val="005A552C"/>
    <w:rsid w:val="005A5616"/>
    <w:rsid w:val="005A575A"/>
    <w:rsid w:val="005A5777"/>
    <w:rsid w:val="005A5A89"/>
    <w:rsid w:val="005A5C40"/>
    <w:rsid w:val="005A5C5F"/>
    <w:rsid w:val="005A5D15"/>
    <w:rsid w:val="005A5D3D"/>
    <w:rsid w:val="005A617B"/>
    <w:rsid w:val="005A63BE"/>
    <w:rsid w:val="005A6412"/>
    <w:rsid w:val="005A654A"/>
    <w:rsid w:val="005A68B0"/>
    <w:rsid w:val="005A6A11"/>
    <w:rsid w:val="005A6C80"/>
    <w:rsid w:val="005A6D34"/>
    <w:rsid w:val="005A6D70"/>
    <w:rsid w:val="005A7224"/>
    <w:rsid w:val="005A72AA"/>
    <w:rsid w:val="005A7502"/>
    <w:rsid w:val="005A7552"/>
    <w:rsid w:val="005A7654"/>
    <w:rsid w:val="005A782D"/>
    <w:rsid w:val="005A7899"/>
    <w:rsid w:val="005A78B0"/>
    <w:rsid w:val="005A7A0E"/>
    <w:rsid w:val="005A7C02"/>
    <w:rsid w:val="005A7D30"/>
    <w:rsid w:val="005A7DF9"/>
    <w:rsid w:val="005A7E58"/>
    <w:rsid w:val="005A7E70"/>
    <w:rsid w:val="005A7EB5"/>
    <w:rsid w:val="005A7EEF"/>
    <w:rsid w:val="005A7F63"/>
    <w:rsid w:val="005B00B8"/>
    <w:rsid w:val="005B0157"/>
    <w:rsid w:val="005B01AF"/>
    <w:rsid w:val="005B0475"/>
    <w:rsid w:val="005B0527"/>
    <w:rsid w:val="005B05FD"/>
    <w:rsid w:val="005B06AA"/>
    <w:rsid w:val="005B084A"/>
    <w:rsid w:val="005B0E2C"/>
    <w:rsid w:val="005B0E6C"/>
    <w:rsid w:val="005B0F6C"/>
    <w:rsid w:val="005B0FD0"/>
    <w:rsid w:val="005B12EA"/>
    <w:rsid w:val="005B12FD"/>
    <w:rsid w:val="005B156B"/>
    <w:rsid w:val="005B15A4"/>
    <w:rsid w:val="005B161A"/>
    <w:rsid w:val="005B1640"/>
    <w:rsid w:val="005B179D"/>
    <w:rsid w:val="005B1828"/>
    <w:rsid w:val="005B1AF7"/>
    <w:rsid w:val="005B1B92"/>
    <w:rsid w:val="005B1E02"/>
    <w:rsid w:val="005B1E50"/>
    <w:rsid w:val="005B1EAC"/>
    <w:rsid w:val="005B205C"/>
    <w:rsid w:val="005B2081"/>
    <w:rsid w:val="005B2348"/>
    <w:rsid w:val="005B2441"/>
    <w:rsid w:val="005B274A"/>
    <w:rsid w:val="005B2754"/>
    <w:rsid w:val="005B2788"/>
    <w:rsid w:val="005B2BA0"/>
    <w:rsid w:val="005B2CCF"/>
    <w:rsid w:val="005B2CDA"/>
    <w:rsid w:val="005B2D94"/>
    <w:rsid w:val="005B308E"/>
    <w:rsid w:val="005B3189"/>
    <w:rsid w:val="005B3196"/>
    <w:rsid w:val="005B32D0"/>
    <w:rsid w:val="005B3464"/>
    <w:rsid w:val="005B3798"/>
    <w:rsid w:val="005B3850"/>
    <w:rsid w:val="005B38D6"/>
    <w:rsid w:val="005B3A80"/>
    <w:rsid w:val="005B3B6F"/>
    <w:rsid w:val="005B3C2B"/>
    <w:rsid w:val="005B3CD6"/>
    <w:rsid w:val="005B3D88"/>
    <w:rsid w:val="005B4060"/>
    <w:rsid w:val="005B424F"/>
    <w:rsid w:val="005B4394"/>
    <w:rsid w:val="005B4492"/>
    <w:rsid w:val="005B449F"/>
    <w:rsid w:val="005B4627"/>
    <w:rsid w:val="005B4863"/>
    <w:rsid w:val="005B4AAC"/>
    <w:rsid w:val="005B4ADF"/>
    <w:rsid w:val="005B4EC2"/>
    <w:rsid w:val="005B4F5C"/>
    <w:rsid w:val="005B5348"/>
    <w:rsid w:val="005B5544"/>
    <w:rsid w:val="005B5777"/>
    <w:rsid w:val="005B587C"/>
    <w:rsid w:val="005B5B78"/>
    <w:rsid w:val="005B5D99"/>
    <w:rsid w:val="005B5DAC"/>
    <w:rsid w:val="005B5DD3"/>
    <w:rsid w:val="005B5E3E"/>
    <w:rsid w:val="005B5FA2"/>
    <w:rsid w:val="005B612C"/>
    <w:rsid w:val="005B6573"/>
    <w:rsid w:val="005B65C4"/>
    <w:rsid w:val="005B6662"/>
    <w:rsid w:val="005B69B1"/>
    <w:rsid w:val="005B6B53"/>
    <w:rsid w:val="005B6BC3"/>
    <w:rsid w:val="005B6F2C"/>
    <w:rsid w:val="005B70BB"/>
    <w:rsid w:val="005B72CA"/>
    <w:rsid w:val="005B7478"/>
    <w:rsid w:val="005B7661"/>
    <w:rsid w:val="005B7A00"/>
    <w:rsid w:val="005B7A6B"/>
    <w:rsid w:val="005B7D10"/>
    <w:rsid w:val="005B7E64"/>
    <w:rsid w:val="005C01DF"/>
    <w:rsid w:val="005C02C3"/>
    <w:rsid w:val="005C03A7"/>
    <w:rsid w:val="005C05CC"/>
    <w:rsid w:val="005C0723"/>
    <w:rsid w:val="005C0A07"/>
    <w:rsid w:val="005C0AD8"/>
    <w:rsid w:val="005C0C93"/>
    <w:rsid w:val="005C0E87"/>
    <w:rsid w:val="005C105A"/>
    <w:rsid w:val="005C122D"/>
    <w:rsid w:val="005C1565"/>
    <w:rsid w:val="005C183C"/>
    <w:rsid w:val="005C19D1"/>
    <w:rsid w:val="005C1CD6"/>
    <w:rsid w:val="005C1DC6"/>
    <w:rsid w:val="005C1FA4"/>
    <w:rsid w:val="005C209A"/>
    <w:rsid w:val="005C2125"/>
    <w:rsid w:val="005C2434"/>
    <w:rsid w:val="005C2438"/>
    <w:rsid w:val="005C24F1"/>
    <w:rsid w:val="005C2643"/>
    <w:rsid w:val="005C2877"/>
    <w:rsid w:val="005C2B78"/>
    <w:rsid w:val="005C2C43"/>
    <w:rsid w:val="005C2FE1"/>
    <w:rsid w:val="005C2FF8"/>
    <w:rsid w:val="005C3184"/>
    <w:rsid w:val="005C34F4"/>
    <w:rsid w:val="005C368E"/>
    <w:rsid w:val="005C37CF"/>
    <w:rsid w:val="005C3B5D"/>
    <w:rsid w:val="005C3C73"/>
    <w:rsid w:val="005C3D2E"/>
    <w:rsid w:val="005C3DD4"/>
    <w:rsid w:val="005C3FE3"/>
    <w:rsid w:val="005C405C"/>
    <w:rsid w:val="005C45B9"/>
    <w:rsid w:val="005C4667"/>
    <w:rsid w:val="005C489E"/>
    <w:rsid w:val="005C4916"/>
    <w:rsid w:val="005C4A7E"/>
    <w:rsid w:val="005C4C86"/>
    <w:rsid w:val="005C4CBA"/>
    <w:rsid w:val="005C4F47"/>
    <w:rsid w:val="005C5044"/>
    <w:rsid w:val="005C515A"/>
    <w:rsid w:val="005C5518"/>
    <w:rsid w:val="005C551E"/>
    <w:rsid w:val="005C553C"/>
    <w:rsid w:val="005C5766"/>
    <w:rsid w:val="005C579D"/>
    <w:rsid w:val="005C5907"/>
    <w:rsid w:val="005C5A1A"/>
    <w:rsid w:val="005C5AAB"/>
    <w:rsid w:val="005C5B28"/>
    <w:rsid w:val="005C5B84"/>
    <w:rsid w:val="005C5BA7"/>
    <w:rsid w:val="005C5C0B"/>
    <w:rsid w:val="005C6009"/>
    <w:rsid w:val="005C6056"/>
    <w:rsid w:val="005C612C"/>
    <w:rsid w:val="005C612D"/>
    <w:rsid w:val="005C63E6"/>
    <w:rsid w:val="005C6584"/>
    <w:rsid w:val="005C6588"/>
    <w:rsid w:val="005C685A"/>
    <w:rsid w:val="005C68C2"/>
    <w:rsid w:val="005C6A9E"/>
    <w:rsid w:val="005C6C0F"/>
    <w:rsid w:val="005C6C18"/>
    <w:rsid w:val="005C6E34"/>
    <w:rsid w:val="005C6E58"/>
    <w:rsid w:val="005C6F09"/>
    <w:rsid w:val="005C6F31"/>
    <w:rsid w:val="005C739A"/>
    <w:rsid w:val="005C748B"/>
    <w:rsid w:val="005C75E0"/>
    <w:rsid w:val="005C77A9"/>
    <w:rsid w:val="005C7B2F"/>
    <w:rsid w:val="005C7BD2"/>
    <w:rsid w:val="005C7E4A"/>
    <w:rsid w:val="005C7FB0"/>
    <w:rsid w:val="005D00C7"/>
    <w:rsid w:val="005D0159"/>
    <w:rsid w:val="005D01F4"/>
    <w:rsid w:val="005D0325"/>
    <w:rsid w:val="005D032E"/>
    <w:rsid w:val="005D056D"/>
    <w:rsid w:val="005D05EF"/>
    <w:rsid w:val="005D07A3"/>
    <w:rsid w:val="005D0837"/>
    <w:rsid w:val="005D09B4"/>
    <w:rsid w:val="005D0B6E"/>
    <w:rsid w:val="005D1047"/>
    <w:rsid w:val="005D1224"/>
    <w:rsid w:val="005D1226"/>
    <w:rsid w:val="005D1389"/>
    <w:rsid w:val="005D13B5"/>
    <w:rsid w:val="005D13D4"/>
    <w:rsid w:val="005D1499"/>
    <w:rsid w:val="005D14AF"/>
    <w:rsid w:val="005D1725"/>
    <w:rsid w:val="005D17AA"/>
    <w:rsid w:val="005D191D"/>
    <w:rsid w:val="005D1974"/>
    <w:rsid w:val="005D1B5B"/>
    <w:rsid w:val="005D1C26"/>
    <w:rsid w:val="005D1EED"/>
    <w:rsid w:val="005D2230"/>
    <w:rsid w:val="005D241C"/>
    <w:rsid w:val="005D2460"/>
    <w:rsid w:val="005D2528"/>
    <w:rsid w:val="005D253D"/>
    <w:rsid w:val="005D2650"/>
    <w:rsid w:val="005D2655"/>
    <w:rsid w:val="005D2672"/>
    <w:rsid w:val="005D2964"/>
    <w:rsid w:val="005D29F7"/>
    <w:rsid w:val="005D2C35"/>
    <w:rsid w:val="005D2C8C"/>
    <w:rsid w:val="005D2D63"/>
    <w:rsid w:val="005D2D98"/>
    <w:rsid w:val="005D2E89"/>
    <w:rsid w:val="005D2F2D"/>
    <w:rsid w:val="005D30F8"/>
    <w:rsid w:val="005D3413"/>
    <w:rsid w:val="005D3678"/>
    <w:rsid w:val="005D38BF"/>
    <w:rsid w:val="005D38CB"/>
    <w:rsid w:val="005D39BF"/>
    <w:rsid w:val="005D3BF1"/>
    <w:rsid w:val="005D3CA2"/>
    <w:rsid w:val="005D3D0B"/>
    <w:rsid w:val="005D41E3"/>
    <w:rsid w:val="005D42D3"/>
    <w:rsid w:val="005D4457"/>
    <w:rsid w:val="005D4629"/>
    <w:rsid w:val="005D470C"/>
    <w:rsid w:val="005D4B0B"/>
    <w:rsid w:val="005D4B3A"/>
    <w:rsid w:val="005D4E5C"/>
    <w:rsid w:val="005D4F97"/>
    <w:rsid w:val="005D4FE2"/>
    <w:rsid w:val="005D531A"/>
    <w:rsid w:val="005D550E"/>
    <w:rsid w:val="005D5512"/>
    <w:rsid w:val="005D584E"/>
    <w:rsid w:val="005D5892"/>
    <w:rsid w:val="005D591E"/>
    <w:rsid w:val="005D5957"/>
    <w:rsid w:val="005D5F15"/>
    <w:rsid w:val="005D61F4"/>
    <w:rsid w:val="005D6292"/>
    <w:rsid w:val="005D633D"/>
    <w:rsid w:val="005D652C"/>
    <w:rsid w:val="005D6648"/>
    <w:rsid w:val="005D6835"/>
    <w:rsid w:val="005D6AC3"/>
    <w:rsid w:val="005D6BC4"/>
    <w:rsid w:val="005D6BC7"/>
    <w:rsid w:val="005D6BE3"/>
    <w:rsid w:val="005D6D0C"/>
    <w:rsid w:val="005D6E1E"/>
    <w:rsid w:val="005D6E91"/>
    <w:rsid w:val="005D7053"/>
    <w:rsid w:val="005D7079"/>
    <w:rsid w:val="005D762F"/>
    <w:rsid w:val="005D7719"/>
    <w:rsid w:val="005D77DA"/>
    <w:rsid w:val="005D77F4"/>
    <w:rsid w:val="005D78FD"/>
    <w:rsid w:val="005D7B40"/>
    <w:rsid w:val="005D7D2F"/>
    <w:rsid w:val="005D7D54"/>
    <w:rsid w:val="005D7D7E"/>
    <w:rsid w:val="005D7DDB"/>
    <w:rsid w:val="005E0009"/>
    <w:rsid w:val="005E002E"/>
    <w:rsid w:val="005E0543"/>
    <w:rsid w:val="005E05E2"/>
    <w:rsid w:val="005E08A0"/>
    <w:rsid w:val="005E0931"/>
    <w:rsid w:val="005E0A3B"/>
    <w:rsid w:val="005E0B30"/>
    <w:rsid w:val="005E0B41"/>
    <w:rsid w:val="005E0FFC"/>
    <w:rsid w:val="005E1238"/>
    <w:rsid w:val="005E129A"/>
    <w:rsid w:val="005E145D"/>
    <w:rsid w:val="005E14C1"/>
    <w:rsid w:val="005E1566"/>
    <w:rsid w:val="005E1587"/>
    <w:rsid w:val="005E1614"/>
    <w:rsid w:val="005E19D0"/>
    <w:rsid w:val="005E1A5F"/>
    <w:rsid w:val="005E1D46"/>
    <w:rsid w:val="005E1E07"/>
    <w:rsid w:val="005E2079"/>
    <w:rsid w:val="005E2138"/>
    <w:rsid w:val="005E2416"/>
    <w:rsid w:val="005E2482"/>
    <w:rsid w:val="005E255E"/>
    <w:rsid w:val="005E2631"/>
    <w:rsid w:val="005E2641"/>
    <w:rsid w:val="005E2766"/>
    <w:rsid w:val="005E2826"/>
    <w:rsid w:val="005E3133"/>
    <w:rsid w:val="005E3439"/>
    <w:rsid w:val="005E3501"/>
    <w:rsid w:val="005E3551"/>
    <w:rsid w:val="005E3864"/>
    <w:rsid w:val="005E39D1"/>
    <w:rsid w:val="005E3BC4"/>
    <w:rsid w:val="005E3F7E"/>
    <w:rsid w:val="005E4144"/>
    <w:rsid w:val="005E430E"/>
    <w:rsid w:val="005E4649"/>
    <w:rsid w:val="005E4783"/>
    <w:rsid w:val="005E48E7"/>
    <w:rsid w:val="005E4A1D"/>
    <w:rsid w:val="005E4DFB"/>
    <w:rsid w:val="005E4EED"/>
    <w:rsid w:val="005E5001"/>
    <w:rsid w:val="005E50DF"/>
    <w:rsid w:val="005E527C"/>
    <w:rsid w:val="005E551E"/>
    <w:rsid w:val="005E55DA"/>
    <w:rsid w:val="005E5750"/>
    <w:rsid w:val="005E59C6"/>
    <w:rsid w:val="005E5A10"/>
    <w:rsid w:val="005E5AE9"/>
    <w:rsid w:val="005E5AFA"/>
    <w:rsid w:val="005E5B5A"/>
    <w:rsid w:val="005E5B7E"/>
    <w:rsid w:val="005E5B87"/>
    <w:rsid w:val="005E5D2B"/>
    <w:rsid w:val="005E62C8"/>
    <w:rsid w:val="005E62D9"/>
    <w:rsid w:val="005E630A"/>
    <w:rsid w:val="005E633A"/>
    <w:rsid w:val="005E63F1"/>
    <w:rsid w:val="005E641C"/>
    <w:rsid w:val="005E651F"/>
    <w:rsid w:val="005E6668"/>
    <w:rsid w:val="005E6881"/>
    <w:rsid w:val="005E69A8"/>
    <w:rsid w:val="005E6C8E"/>
    <w:rsid w:val="005E6CF4"/>
    <w:rsid w:val="005E6F68"/>
    <w:rsid w:val="005E7142"/>
    <w:rsid w:val="005E7188"/>
    <w:rsid w:val="005E739A"/>
    <w:rsid w:val="005E749C"/>
    <w:rsid w:val="005E7584"/>
    <w:rsid w:val="005E75CB"/>
    <w:rsid w:val="005E76B6"/>
    <w:rsid w:val="005E76E5"/>
    <w:rsid w:val="005E776B"/>
    <w:rsid w:val="005E7AE0"/>
    <w:rsid w:val="005E7B7F"/>
    <w:rsid w:val="005E7BCA"/>
    <w:rsid w:val="005E7C19"/>
    <w:rsid w:val="005E7C88"/>
    <w:rsid w:val="005E7CB6"/>
    <w:rsid w:val="005E7CD5"/>
    <w:rsid w:val="005E7FDE"/>
    <w:rsid w:val="005F043A"/>
    <w:rsid w:val="005F04B8"/>
    <w:rsid w:val="005F063E"/>
    <w:rsid w:val="005F0894"/>
    <w:rsid w:val="005F08EF"/>
    <w:rsid w:val="005F0AAD"/>
    <w:rsid w:val="005F0E80"/>
    <w:rsid w:val="005F0EFF"/>
    <w:rsid w:val="005F0F80"/>
    <w:rsid w:val="005F10A5"/>
    <w:rsid w:val="005F1127"/>
    <w:rsid w:val="005F11E1"/>
    <w:rsid w:val="005F12ED"/>
    <w:rsid w:val="005F1521"/>
    <w:rsid w:val="005F15A2"/>
    <w:rsid w:val="005F174D"/>
    <w:rsid w:val="005F17E7"/>
    <w:rsid w:val="005F1874"/>
    <w:rsid w:val="005F196B"/>
    <w:rsid w:val="005F1A0E"/>
    <w:rsid w:val="005F1AF0"/>
    <w:rsid w:val="005F1C5D"/>
    <w:rsid w:val="005F1E31"/>
    <w:rsid w:val="005F2020"/>
    <w:rsid w:val="005F21BB"/>
    <w:rsid w:val="005F2280"/>
    <w:rsid w:val="005F22B0"/>
    <w:rsid w:val="005F258E"/>
    <w:rsid w:val="005F27E9"/>
    <w:rsid w:val="005F2901"/>
    <w:rsid w:val="005F2A05"/>
    <w:rsid w:val="005F2A5E"/>
    <w:rsid w:val="005F2ACF"/>
    <w:rsid w:val="005F2FBB"/>
    <w:rsid w:val="005F323E"/>
    <w:rsid w:val="005F34E9"/>
    <w:rsid w:val="005F3553"/>
    <w:rsid w:val="005F38E9"/>
    <w:rsid w:val="005F3B23"/>
    <w:rsid w:val="005F3BE6"/>
    <w:rsid w:val="005F3C0A"/>
    <w:rsid w:val="005F3D7B"/>
    <w:rsid w:val="005F3E85"/>
    <w:rsid w:val="005F4005"/>
    <w:rsid w:val="005F4396"/>
    <w:rsid w:val="005F44DE"/>
    <w:rsid w:val="005F4667"/>
    <w:rsid w:val="005F483E"/>
    <w:rsid w:val="005F490A"/>
    <w:rsid w:val="005F49BF"/>
    <w:rsid w:val="005F4BE6"/>
    <w:rsid w:val="005F4E4F"/>
    <w:rsid w:val="005F4F3B"/>
    <w:rsid w:val="005F50AA"/>
    <w:rsid w:val="005F50D6"/>
    <w:rsid w:val="005F525A"/>
    <w:rsid w:val="005F528D"/>
    <w:rsid w:val="005F54F5"/>
    <w:rsid w:val="005F554C"/>
    <w:rsid w:val="005F5568"/>
    <w:rsid w:val="005F558E"/>
    <w:rsid w:val="005F5661"/>
    <w:rsid w:val="005F57A0"/>
    <w:rsid w:val="005F5880"/>
    <w:rsid w:val="005F5D1C"/>
    <w:rsid w:val="005F6275"/>
    <w:rsid w:val="005F6335"/>
    <w:rsid w:val="005F6745"/>
    <w:rsid w:val="005F67B5"/>
    <w:rsid w:val="005F6862"/>
    <w:rsid w:val="005F68FD"/>
    <w:rsid w:val="005F6C78"/>
    <w:rsid w:val="005F6E49"/>
    <w:rsid w:val="005F70C2"/>
    <w:rsid w:val="005F7150"/>
    <w:rsid w:val="005F72FF"/>
    <w:rsid w:val="005F73DA"/>
    <w:rsid w:val="005F74C0"/>
    <w:rsid w:val="005F755B"/>
    <w:rsid w:val="005F7910"/>
    <w:rsid w:val="005F7BB7"/>
    <w:rsid w:val="005F7BD1"/>
    <w:rsid w:val="005F7BE5"/>
    <w:rsid w:val="005F7BFE"/>
    <w:rsid w:val="005F7C05"/>
    <w:rsid w:val="005F7D17"/>
    <w:rsid w:val="005F7D45"/>
    <w:rsid w:val="005F7D62"/>
    <w:rsid w:val="0060028B"/>
    <w:rsid w:val="0060039E"/>
    <w:rsid w:val="006003F0"/>
    <w:rsid w:val="00600469"/>
    <w:rsid w:val="006004FB"/>
    <w:rsid w:val="00600520"/>
    <w:rsid w:val="0060078C"/>
    <w:rsid w:val="00600956"/>
    <w:rsid w:val="00600B5E"/>
    <w:rsid w:val="00600B90"/>
    <w:rsid w:val="00600C6A"/>
    <w:rsid w:val="00600D0B"/>
    <w:rsid w:val="00600D13"/>
    <w:rsid w:val="00600E5D"/>
    <w:rsid w:val="00600E7D"/>
    <w:rsid w:val="00600F2A"/>
    <w:rsid w:val="00600FD4"/>
    <w:rsid w:val="00600FF5"/>
    <w:rsid w:val="00601098"/>
    <w:rsid w:val="0060139F"/>
    <w:rsid w:val="006016C6"/>
    <w:rsid w:val="006016F0"/>
    <w:rsid w:val="00601792"/>
    <w:rsid w:val="00601BFA"/>
    <w:rsid w:val="00602181"/>
    <w:rsid w:val="006023DA"/>
    <w:rsid w:val="006026CA"/>
    <w:rsid w:val="00602713"/>
    <w:rsid w:val="00602717"/>
    <w:rsid w:val="006028BA"/>
    <w:rsid w:val="00602DAC"/>
    <w:rsid w:val="00602DBB"/>
    <w:rsid w:val="00602FA0"/>
    <w:rsid w:val="00603043"/>
    <w:rsid w:val="00603151"/>
    <w:rsid w:val="0060320D"/>
    <w:rsid w:val="0060321B"/>
    <w:rsid w:val="0060338F"/>
    <w:rsid w:val="006033AC"/>
    <w:rsid w:val="0060360F"/>
    <w:rsid w:val="006036F6"/>
    <w:rsid w:val="006037CD"/>
    <w:rsid w:val="00603992"/>
    <w:rsid w:val="00603AF6"/>
    <w:rsid w:val="00603BC5"/>
    <w:rsid w:val="0060415A"/>
    <w:rsid w:val="006042DF"/>
    <w:rsid w:val="0060434B"/>
    <w:rsid w:val="006043BE"/>
    <w:rsid w:val="0060443A"/>
    <w:rsid w:val="006044BE"/>
    <w:rsid w:val="00604501"/>
    <w:rsid w:val="00604558"/>
    <w:rsid w:val="00604672"/>
    <w:rsid w:val="00604792"/>
    <w:rsid w:val="006047D0"/>
    <w:rsid w:val="006049F4"/>
    <w:rsid w:val="006049FE"/>
    <w:rsid w:val="00604B6C"/>
    <w:rsid w:val="00604BBD"/>
    <w:rsid w:val="00604CCE"/>
    <w:rsid w:val="00604E92"/>
    <w:rsid w:val="00604FD9"/>
    <w:rsid w:val="00605199"/>
    <w:rsid w:val="00605362"/>
    <w:rsid w:val="006053A0"/>
    <w:rsid w:val="006054DE"/>
    <w:rsid w:val="00605B50"/>
    <w:rsid w:val="00605C7A"/>
    <w:rsid w:val="00605CBF"/>
    <w:rsid w:val="00605D82"/>
    <w:rsid w:val="00605E87"/>
    <w:rsid w:val="00605F32"/>
    <w:rsid w:val="00605F3A"/>
    <w:rsid w:val="00606027"/>
    <w:rsid w:val="00606056"/>
    <w:rsid w:val="00606142"/>
    <w:rsid w:val="006062B7"/>
    <w:rsid w:val="006063FA"/>
    <w:rsid w:val="0060641F"/>
    <w:rsid w:val="006065AE"/>
    <w:rsid w:val="0060662C"/>
    <w:rsid w:val="0060691F"/>
    <w:rsid w:val="00606978"/>
    <w:rsid w:val="00606A3A"/>
    <w:rsid w:val="00606D4C"/>
    <w:rsid w:val="00606D5E"/>
    <w:rsid w:val="006071F1"/>
    <w:rsid w:val="006073F4"/>
    <w:rsid w:val="00607408"/>
    <w:rsid w:val="0060744B"/>
    <w:rsid w:val="006074A1"/>
    <w:rsid w:val="0060768C"/>
    <w:rsid w:val="00607756"/>
    <w:rsid w:val="00607839"/>
    <w:rsid w:val="006078E4"/>
    <w:rsid w:val="00607BF1"/>
    <w:rsid w:val="00607E00"/>
    <w:rsid w:val="00607E3A"/>
    <w:rsid w:val="00607F8E"/>
    <w:rsid w:val="006100EB"/>
    <w:rsid w:val="006101CD"/>
    <w:rsid w:val="00610226"/>
    <w:rsid w:val="00610445"/>
    <w:rsid w:val="006104D2"/>
    <w:rsid w:val="006104F2"/>
    <w:rsid w:val="006106DF"/>
    <w:rsid w:val="006106EE"/>
    <w:rsid w:val="00610888"/>
    <w:rsid w:val="006108D8"/>
    <w:rsid w:val="0061097D"/>
    <w:rsid w:val="00610AEC"/>
    <w:rsid w:val="00610C22"/>
    <w:rsid w:val="00610C6B"/>
    <w:rsid w:val="00610D16"/>
    <w:rsid w:val="00611097"/>
    <w:rsid w:val="006110AB"/>
    <w:rsid w:val="0061110F"/>
    <w:rsid w:val="0061128F"/>
    <w:rsid w:val="00611365"/>
    <w:rsid w:val="00611557"/>
    <w:rsid w:val="00611798"/>
    <w:rsid w:val="00611A65"/>
    <w:rsid w:val="00611B2C"/>
    <w:rsid w:val="00611BB9"/>
    <w:rsid w:val="00611BC3"/>
    <w:rsid w:val="00611C57"/>
    <w:rsid w:val="00611DCF"/>
    <w:rsid w:val="00611E08"/>
    <w:rsid w:val="00611F37"/>
    <w:rsid w:val="00611FDA"/>
    <w:rsid w:val="00612120"/>
    <w:rsid w:val="0061227C"/>
    <w:rsid w:val="00612423"/>
    <w:rsid w:val="006124DF"/>
    <w:rsid w:val="00612565"/>
    <w:rsid w:val="006126B6"/>
    <w:rsid w:val="00612730"/>
    <w:rsid w:val="00612A1F"/>
    <w:rsid w:val="00612C34"/>
    <w:rsid w:val="00612D76"/>
    <w:rsid w:val="00612DFC"/>
    <w:rsid w:val="00612F22"/>
    <w:rsid w:val="00612FA2"/>
    <w:rsid w:val="00612FB3"/>
    <w:rsid w:val="00612FD5"/>
    <w:rsid w:val="006130E1"/>
    <w:rsid w:val="00613228"/>
    <w:rsid w:val="0061332E"/>
    <w:rsid w:val="00613374"/>
    <w:rsid w:val="0061337F"/>
    <w:rsid w:val="0061338B"/>
    <w:rsid w:val="006134E9"/>
    <w:rsid w:val="0061368E"/>
    <w:rsid w:val="00613BBB"/>
    <w:rsid w:val="00614264"/>
    <w:rsid w:val="006142B6"/>
    <w:rsid w:val="006143CF"/>
    <w:rsid w:val="00614501"/>
    <w:rsid w:val="006145AA"/>
    <w:rsid w:val="00614714"/>
    <w:rsid w:val="0061475A"/>
    <w:rsid w:val="00614870"/>
    <w:rsid w:val="00614A3A"/>
    <w:rsid w:val="00614AD9"/>
    <w:rsid w:val="00614B3F"/>
    <w:rsid w:val="00614B6F"/>
    <w:rsid w:val="00614D8D"/>
    <w:rsid w:val="00614EDA"/>
    <w:rsid w:val="0061504F"/>
    <w:rsid w:val="0061510D"/>
    <w:rsid w:val="006153A8"/>
    <w:rsid w:val="0061589D"/>
    <w:rsid w:val="006158A0"/>
    <w:rsid w:val="00615A11"/>
    <w:rsid w:val="00616276"/>
    <w:rsid w:val="006162E2"/>
    <w:rsid w:val="006163F4"/>
    <w:rsid w:val="006164E0"/>
    <w:rsid w:val="00616611"/>
    <w:rsid w:val="0061674F"/>
    <w:rsid w:val="00616EE6"/>
    <w:rsid w:val="006170D6"/>
    <w:rsid w:val="006170FA"/>
    <w:rsid w:val="00617235"/>
    <w:rsid w:val="0061744C"/>
    <w:rsid w:val="00617672"/>
    <w:rsid w:val="00617825"/>
    <w:rsid w:val="0061794C"/>
    <w:rsid w:val="00617AAD"/>
    <w:rsid w:val="00617B6C"/>
    <w:rsid w:val="00617C11"/>
    <w:rsid w:val="00617CC1"/>
    <w:rsid w:val="00620023"/>
    <w:rsid w:val="006202EC"/>
    <w:rsid w:val="00620373"/>
    <w:rsid w:val="00620BD6"/>
    <w:rsid w:val="00620C78"/>
    <w:rsid w:val="00620C90"/>
    <w:rsid w:val="00620F0D"/>
    <w:rsid w:val="006210B1"/>
    <w:rsid w:val="0062112B"/>
    <w:rsid w:val="006213E8"/>
    <w:rsid w:val="00621499"/>
    <w:rsid w:val="006215DA"/>
    <w:rsid w:val="0062173A"/>
    <w:rsid w:val="00621C90"/>
    <w:rsid w:val="00621D16"/>
    <w:rsid w:val="00621F16"/>
    <w:rsid w:val="00621F21"/>
    <w:rsid w:val="00621F7C"/>
    <w:rsid w:val="00621F84"/>
    <w:rsid w:val="0062201E"/>
    <w:rsid w:val="0062213E"/>
    <w:rsid w:val="006225C9"/>
    <w:rsid w:val="00622709"/>
    <w:rsid w:val="006227C8"/>
    <w:rsid w:val="0062285B"/>
    <w:rsid w:val="00622993"/>
    <w:rsid w:val="00622C48"/>
    <w:rsid w:val="00622DAD"/>
    <w:rsid w:val="00622DB7"/>
    <w:rsid w:val="00622DDA"/>
    <w:rsid w:val="00622FB6"/>
    <w:rsid w:val="0062342B"/>
    <w:rsid w:val="00623478"/>
    <w:rsid w:val="00623543"/>
    <w:rsid w:val="0062362E"/>
    <w:rsid w:val="00623949"/>
    <w:rsid w:val="00623A0F"/>
    <w:rsid w:val="00623A93"/>
    <w:rsid w:val="00623C1F"/>
    <w:rsid w:val="00623C93"/>
    <w:rsid w:val="00623DD1"/>
    <w:rsid w:val="00623E9C"/>
    <w:rsid w:val="00623F3F"/>
    <w:rsid w:val="0062407B"/>
    <w:rsid w:val="006240A7"/>
    <w:rsid w:val="0062425E"/>
    <w:rsid w:val="006242B7"/>
    <w:rsid w:val="006242E1"/>
    <w:rsid w:val="00624365"/>
    <w:rsid w:val="00624397"/>
    <w:rsid w:val="00624458"/>
    <w:rsid w:val="00624498"/>
    <w:rsid w:val="00624A46"/>
    <w:rsid w:val="00624ADF"/>
    <w:rsid w:val="00624B36"/>
    <w:rsid w:val="00624C57"/>
    <w:rsid w:val="00624C5E"/>
    <w:rsid w:val="00624DE4"/>
    <w:rsid w:val="00625005"/>
    <w:rsid w:val="0062511E"/>
    <w:rsid w:val="006251FC"/>
    <w:rsid w:val="006252AB"/>
    <w:rsid w:val="006252C7"/>
    <w:rsid w:val="006253C9"/>
    <w:rsid w:val="006253FC"/>
    <w:rsid w:val="00625552"/>
    <w:rsid w:val="00625624"/>
    <w:rsid w:val="006257F2"/>
    <w:rsid w:val="00625941"/>
    <w:rsid w:val="00625A06"/>
    <w:rsid w:val="00625BDB"/>
    <w:rsid w:val="00625EC3"/>
    <w:rsid w:val="006261F2"/>
    <w:rsid w:val="00626266"/>
    <w:rsid w:val="00626299"/>
    <w:rsid w:val="006262F1"/>
    <w:rsid w:val="00626575"/>
    <w:rsid w:val="006265E5"/>
    <w:rsid w:val="00626656"/>
    <w:rsid w:val="0062680F"/>
    <w:rsid w:val="00626AA6"/>
    <w:rsid w:val="00626D08"/>
    <w:rsid w:val="00626FD8"/>
    <w:rsid w:val="00627014"/>
    <w:rsid w:val="006271A3"/>
    <w:rsid w:val="00627243"/>
    <w:rsid w:val="00627296"/>
    <w:rsid w:val="006274BD"/>
    <w:rsid w:val="00627546"/>
    <w:rsid w:val="0062763A"/>
    <w:rsid w:val="00627687"/>
    <w:rsid w:val="006279D1"/>
    <w:rsid w:val="006279F3"/>
    <w:rsid w:val="00627BA1"/>
    <w:rsid w:val="00627C0A"/>
    <w:rsid w:val="00627F8D"/>
    <w:rsid w:val="00630217"/>
    <w:rsid w:val="00630388"/>
    <w:rsid w:val="006305F4"/>
    <w:rsid w:val="00630768"/>
    <w:rsid w:val="00630918"/>
    <w:rsid w:val="00630A4A"/>
    <w:rsid w:val="00630C53"/>
    <w:rsid w:val="00630ECC"/>
    <w:rsid w:val="0063103B"/>
    <w:rsid w:val="0063104B"/>
    <w:rsid w:val="0063111D"/>
    <w:rsid w:val="00631368"/>
    <w:rsid w:val="00631412"/>
    <w:rsid w:val="00631560"/>
    <w:rsid w:val="006316B5"/>
    <w:rsid w:val="006316E1"/>
    <w:rsid w:val="0063174E"/>
    <w:rsid w:val="0063178C"/>
    <w:rsid w:val="006317B4"/>
    <w:rsid w:val="006317CD"/>
    <w:rsid w:val="006318D7"/>
    <w:rsid w:val="00631BEB"/>
    <w:rsid w:val="00631E20"/>
    <w:rsid w:val="00631EEB"/>
    <w:rsid w:val="00632083"/>
    <w:rsid w:val="006323CC"/>
    <w:rsid w:val="00632747"/>
    <w:rsid w:val="0063275F"/>
    <w:rsid w:val="00632766"/>
    <w:rsid w:val="006329A8"/>
    <w:rsid w:val="00632BEE"/>
    <w:rsid w:val="00632BFA"/>
    <w:rsid w:val="00632E13"/>
    <w:rsid w:val="00632FD1"/>
    <w:rsid w:val="0063324B"/>
    <w:rsid w:val="00633559"/>
    <w:rsid w:val="00633943"/>
    <w:rsid w:val="00633947"/>
    <w:rsid w:val="00633A5A"/>
    <w:rsid w:val="00633A6F"/>
    <w:rsid w:val="00633B4E"/>
    <w:rsid w:val="00633BEE"/>
    <w:rsid w:val="00633DD8"/>
    <w:rsid w:val="00633DE2"/>
    <w:rsid w:val="00633F58"/>
    <w:rsid w:val="00633FF5"/>
    <w:rsid w:val="00634034"/>
    <w:rsid w:val="00634037"/>
    <w:rsid w:val="0063419D"/>
    <w:rsid w:val="006342D0"/>
    <w:rsid w:val="0063435B"/>
    <w:rsid w:val="006344C0"/>
    <w:rsid w:val="006347AF"/>
    <w:rsid w:val="00634849"/>
    <w:rsid w:val="006349DF"/>
    <w:rsid w:val="00634AC2"/>
    <w:rsid w:val="00634B86"/>
    <w:rsid w:val="006351D4"/>
    <w:rsid w:val="006352A5"/>
    <w:rsid w:val="00635900"/>
    <w:rsid w:val="0063590A"/>
    <w:rsid w:val="00635E18"/>
    <w:rsid w:val="00635F4E"/>
    <w:rsid w:val="00635F53"/>
    <w:rsid w:val="00635FE2"/>
    <w:rsid w:val="00636268"/>
    <w:rsid w:val="006363BB"/>
    <w:rsid w:val="0063656A"/>
    <w:rsid w:val="0063684B"/>
    <w:rsid w:val="006368CB"/>
    <w:rsid w:val="00636A6A"/>
    <w:rsid w:val="00636CCB"/>
    <w:rsid w:val="006371EF"/>
    <w:rsid w:val="00637203"/>
    <w:rsid w:val="006373F3"/>
    <w:rsid w:val="00637694"/>
    <w:rsid w:val="006376E5"/>
    <w:rsid w:val="006377CB"/>
    <w:rsid w:val="00637906"/>
    <w:rsid w:val="0063797C"/>
    <w:rsid w:val="00637A3E"/>
    <w:rsid w:val="00637A86"/>
    <w:rsid w:val="00637B62"/>
    <w:rsid w:val="00637C8C"/>
    <w:rsid w:val="00637FA9"/>
    <w:rsid w:val="00640211"/>
    <w:rsid w:val="006404B0"/>
    <w:rsid w:val="006404C5"/>
    <w:rsid w:val="006404F5"/>
    <w:rsid w:val="0064059D"/>
    <w:rsid w:val="0064067E"/>
    <w:rsid w:val="006407E4"/>
    <w:rsid w:val="00640DEA"/>
    <w:rsid w:val="00640E22"/>
    <w:rsid w:val="00640E50"/>
    <w:rsid w:val="006411B6"/>
    <w:rsid w:val="006412EE"/>
    <w:rsid w:val="006412FA"/>
    <w:rsid w:val="0064133B"/>
    <w:rsid w:val="006417FA"/>
    <w:rsid w:val="006418A6"/>
    <w:rsid w:val="00641A42"/>
    <w:rsid w:val="00641AD0"/>
    <w:rsid w:val="00641B12"/>
    <w:rsid w:val="00641BAE"/>
    <w:rsid w:val="00641C55"/>
    <w:rsid w:val="00641CCC"/>
    <w:rsid w:val="00641FAB"/>
    <w:rsid w:val="00642193"/>
    <w:rsid w:val="006422B9"/>
    <w:rsid w:val="00642359"/>
    <w:rsid w:val="006424A4"/>
    <w:rsid w:val="00642659"/>
    <w:rsid w:val="00642690"/>
    <w:rsid w:val="00642970"/>
    <w:rsid w:val="00642A35"/>
    <w:rsid w:val="00642A44"/>
    <w:rsid w:val="00642CDF"/>
    <w:rsid w:val="00642DB6"/>
    <w:rsid w:val="00642DFE"/>
    <w:rsid w:val="00642E73"/>
    <w:rsid w:val="00642E74"/>
    <w:rsid w:val="00642F3C"/>
    <w:rsid w:val="0064342C"/>
    <w:rsid w:val="00643460"/>
    <w:rsid w:val="0064353E"/>
    <w:rsid w:val="00643778"/>
    <w:rsid w:val="006437E2"/>
    <w:rsid w:val="00643927"/>
    <w:rsid w:val="006439B8"/>
    <w:rsid w:val="00643AD7"/>
    <w:rsid w:val="00643E4F"/>
    <w:rsid w:val="00644640"/>
    <w:rsid w:val="00644A6C"/>
    <w:rsid w:val="006450C0"/>
    <w:rsid w:val="006450F9"/>
    <w:rsid w:val="00645189"/>
    <w:rsid w:val="006453F6"/>
    <w:rsid w:val="00645AE8"/>
    <w:rsid w:val="00645CDC"/>
    <w:rsid w:val="00645D90"/>
    <w:rsid w:val="006461F8"/>
    <w:rsid w:val="00646223"/>
    <w:rsid w:val="006463BD"/>
    <w:rsid w:val="006463F5"/>
    <w:rsid w:val="006464CD"/>
    <w:rsid w:val="006465AC"/>
    <w:rsid w:val="006465C8"/>
    <w:rsid w:val="00646717"/>
    <w:rsid w:val="00646AAC"/>
    <w:rsid w:val="00646AE1"/>
    <w:rsid w:val="00646BCE"/>
    <w:rsid w:val="00646C61"/>
    <w:rsid w:val="00646CCC"/>
    <w:rsid w:val="00646D9B"/>
    <w:rsid w:val="00646E5F"/>
    <w:rsid w:val="00646E69"/>
    <w:rsid w:val="00646F99"/>
    <w:rsid w:val="00646FC2"/>
    <w:rsid w:val="00647000"/>
    <w:rsid w:val="00647102"/>
    <w:rsid w:val="00647118"/>
    <w:rsid w:val="0064729B"/>
    <w:rsid w:val="0064737F"/>
    <w:rsid w:val="00647516"/>
    <w:rsid w:val="0064768F"/>
    <w:rsid w:val="006478D8"/>
    <w:rsid w:val="0064792C"/>
    <w:rsid w:val="00647D8B"/>
    <w:rsid w:val="006500A5"/>
    <w:rsid w:val="00650418"/>
    <w:rsid w:val="0065042F"/>
    <w:rsid w:val="00650613"/>
    <w:rsid w:val="00650691"/>
    <w:rsid w:val="006506B8"/>
    <w:rsid w:val="0065072C"/>
    <w:rsid w:val="0065083A"/>
    <w:rsid w:val="006508A2"/>
    <w:rsid w:val="006509D5"/>
    <w:rsid w:val="00650B95"/>
    <w:rsid w:val="00650C76"/>
    <w:rsid w:val="00650CFF"/>
    <w:rsid w:val="00650D85"/>
    <w:rsid w:val="00650E03"/>
    <w:rsid w:val="00650E30"/>
    <w:rsid w:val="00650FC0"/>
    <w:rsid w:val="006510A6"/>
    <w:rsid w:val="00651118"/>
    <w:rsid w:val="0065117A"/>
    <w:rsid w:val="00651269"/>
    <w:rsid w:val="006512F5"/>
    <w:rsid w:val="006517A7"/>
    <w:rsid w:val="00651BF3"/>
    <w:rsid w:val="00651C6F"/>
    <w:rsid w:val="00651EAC"/>
    <w:rsid w:val="00651FF9"/>
    <w:rsid w:val="006520BB"/>
    <w:rsid w:val="006521C7"/>
    <w:rsid w:val="0065227C"/>
    <w:rsid w:val="00652448"/>
    <w:rsid w:val="0065248C"/>
    <w:rsid w:val="00652644"/>
    <w:rsid w:val="00652659"/>
    <w:rsid w:val="006527D5"/>
    <w:rsid w:val="006527F9"/>
    <w:rsid w:val="00652807"/>
    <w:rsid w:val="006528C9"/>
    <w:rsid w:val="00652957"/>
    <w:rsid w:val="00652BA4"/>
    <w:rsid w:val="00652C37"/>
    <w:rsid w:val="00652C88"/>
    <w:rsid w:val="00652E61"/>
    <w:rsid w:val="00652F99"/>
    <w:rsid w:val="00652F9E"/>
    <w:rsid w:val="00652FF7"/>
    <w:rsid w:val="00653152"/>
    <w:rsid w:val="006531D9"/>
    <w:rsid w:val="006531FC"/>
    <w:rsid w:val="00653483"/>
    <w:rsid w:val="00653488"/>
    <w:rsid w:val="0065380F"/>
    <w:rsid w:val="00653B50"/>
    <w:rsid w:val="00653BA4"/>
    <w:rsid w:val="00653C68"/>
    <w:rsid w:val="00653F20"/>
    <w:rsid w:val="00654007"/>
    <w:rsid w:val="0065401F"/>
    <w:rsid w:val="006540CD"/>
    <w:rsid w:val="00654684"/>
    <w:rsid w:val="006547B8"/>
    <w:rsid w:val="00654813"/>
    <w:rsid w:val="00654A89"/>
    <w:rsid w:val="00654DB0"/>
    <w:rsid w:val="00654F3C"/>
    <w:rsid w:val="006550C3"/>
    <w:rsid w:val="00655230"/>
    <w:rsid w:val="0065531E"/>
    <w:rsid w:val="006553C4"/>
    <w:rsid w:val="00655459"/>
    <w:rsid w:val="006556A5"/>
    <w:rsid w:val="006557D3"/>
    <w:rsid w:val="0065590C"/>
    <w:rsid w:val="00655A6A"/>
    <w:rsid w:val="00655D2C"/>
    <w:rsid w:val="00655E2D"/>
    <w:rsid w:val="00656057"/>
    <w:rsid w:val="0065607E"/>
    <w:rsid w:val="0065611C"/>
    <w:rsid w:val="0065624A"/>
    <w:rsid w:val="006565D5"/>
    <w:rsid w:val="00656610"/>
    <w:rsid w:val="00656767"/>
    <w:rsid w:val="00656AB0"/>
    <w:rsid w:val="00656B03"/>
    <w:rsid w:val="00656B0C"/>
    <w:rsid w:val="00656B5E"/>
    <w:rsid w:val="00656E64"/>
    <w:rsid w:val="00656E8B"/>
    <w:rsid w:val="006575BC"/>
    <w:rsid w:val="006576A6"/>
    <w:rsid w:val="00657874"/>
    <w:rsid w:val="006578AB"/>
    <w:rsid w:val="00657ABA"/>
    <w:rsid w:val="00657BF8"/>
    <w:rsid w:val="00657F9A"/>
    <w:rsid w:val="00657FAA"/>
    <w:rsid w:val="006603A8"/>
    <w:rsid w:val="00660422"/>
    <w:rsid w:val="00660444"/>
    <w:rsid w:val="006607BD"/>
    <w:rsid w:val="00660A1A"/>
    <w:rsid w:val="00660AC9"/>
    <w:rsid w:val="00660B02"/>
    <w:rsid w:val="00660BD4"/>
    <w:rsid w:val="00660CB8"/>
    <w:rsid w:val="00660EAC"/>
    <w:rsid w:val="00661133"/>
    <w:rsid w:val="00661137"/>
    <w:rsid w:val="006611F4"/>
    <w:rsid w:val="0066132E"/>
    <w:rsid w:val="00661450"/>
    <w:rsid w:val="006616D9"/>
    <w:rsid w:val="00661856"/>
    <w:rsid w:val="006618CB"/>
    <w:rsid w:val="00661B40"/>
    <w:rsid w:val="00661E17"/>
    <w:rsid w:val="00661E71"/>
    <w:rsid w:val="00661E81"/>
    <w:rsid w:val="00661ED0"/>
    <w:rsid w:val="006620F8"/>
    <w:rsid w:val="0066217B"/>
    <w:rsid w:val="0066221A"/>
    <w:rsid w:val="006622B6"/>
    <w:rsid w:val="00662313"/>
    <w:rsid w:val="006623EA"/>
    <w:rsid w:val="006626AE"/>
    <w:rsid w:val="006629F4"/>
    <w:rsid w:val="00662AA0"/>
    <w:rsid w:val="00662C7D"/>
    <w:rsid w:val="00663036"/>
    <w:rsid w:val="0066305D"/>
    <w:rsid w:val="00663082"/>
    <w:rsid w:val="00663172"/>
    <w:rsid w:val="0066329E"/>
    <w:rsid w:val="00663538"/>
    <w:rsid w:val="00663683"/>
    <w:rsid w:val="0066399E"/>
    <w:rsid w:val="00663BB0"/>
    <w:rsid w:val="00663C54"/>
    <w:rsid w:val="00663DAC"/>
    <w:rsid w:val="0066416E"/>
    <w:rsid w:val="0066470C"/>
    <w:rsid w:val="00664843"/>
    <w:rsid w:val="00664900"/>
    <w:rsid w:val="0066491B"/>
    <w:rsid w:val="006649C3"/>
    <w:rsid w:val="00664A55"/>
    <w:rsid w:val="00664A56"/>
    <w:rsid w:val="00664B43"/>
    <w:rsid w:val="00664B66"/>
    <w:rsid w:val="00664F29"/>
    <w:rsid w:val="00665158"/>
    <w:rsid w:val="006651BD"/>
    <w:rsid w:val="0066537C"/>
    <w:rsid w:val="006656EF"/>
    <w:rsid w:val="00665866"/>
    <w:rsid w:val="0066594E"/>
    <w:rsid w:val="00665D07"/>
    <w:rsid w:val="006660C0"/>
    <w:rsid w:val="006661A9"/>
    <w:rsid w:val="0066635A"/>
    <w:rsid w:val="00666361"/>
    <w:rsid w:val="00666601"/>
    <w:rsid w:val="00666689"/>
    <w:rsid w:val="006666E5"/>
    <w:rsid w:val="00666750"/>
    <w:rsid w:val="00666815"/>
    <w:rsid w:val="00666AFE"/>
    <w:rsid w:val="00666C3F"/>
    <w:rsid w:val="00666DC9"/>
    <w:rsid w:val="00666F14"/>
    <w:rsid w:val="0066701F"/>
    <w:rsid w:val="00667078"/>
    <w:rsid w:val="00667128"/>
    <w:rsid w:val="00667178"/>
    <w:rsid w:val="0066731F"/>
    <w:rsid w:val="0066732F"/>
    <w:rsid w:val="0066738C"/>
    <w:rsid w:val="006673E8"/>
    <w:rsid w:val="006674C3"/>
    <w:rsid w:val="006674DD"/>
    <w:rsid w:val="00667576"/>
    <w:rsid w:val="006675F2"/>
    <w:rsid w:val="00667973"/>
    <w:rsid w:val="006679A6"/>
    <w:rsid w:val="00667A74"/>
    <w:rsid w:val="00667ADF"/>
    <w:rsid w:val="00667B06"/>
    <w:rsid w:val="00667B64"/>
    <w:rsid w:val="00667CE6"/>
    <w:rsid w:val="00667D4E"/>
    <w:rsid w:val="006703AF"/>
    <w:rsid w:val="006704D4"/>
    <w:rsid w:val="006706E1"/>
    <w:rsid w:val="00670727"/>
    <w:rsid w:val="00670827"/>
    <w:rsid w:val="00670ADC"/>
    <w:rsid w:val="00670ADF"/>
    <w:rsid w:val="00670DB1"/>
    <w:rsid w:val="00670DD0"/>
    <w:rsid w:val="00670E18"/>
    <w:rsid w:val="00670F47"/>
    <w:rsid w:val="00670FFC"/>
    <w:rsid w:val="00671319"/>
    <w:rsid w:val="00671368"/>
    <w:rsid w:val="00671B9D"/>
    <w:rsid w:val="00671BD0"/>
    <w:rsid w:val="00671D13"/>
    <w:rsid w:val="00671DEE"/>
    <w:rsid w:val="00671EC0"/>
    <w:rsid w:val="0067205B"/>
    <w:rsid w:val="00672085"/>
    <w:rsid w:val="0067226C"/>
    <w:rsid w:val="00672300"/>
    <w:rsid w:val="00672366"/>
    <w:rsid w:val="0067238C"/>
    <w:rsid w:val="006723AB"/>
    <w:rsid w:val="00672615"/>
    <w:rsid w:val="00672730"/>
    <w:rsid w:val="006729F7"/>
    <w:rsid w:val="00672A32"/>
    <w:rsid w:val="00672C61"/>
    <w:rsid w:val="00672F99"/>
    <w:rsid w:val="00672FA8"/>
    <w:rsid w:val="00673041"/>
    <w:rsid w:val="006730C4"/>
    <w:rsid w:val="006732CF"/>
    <w:rsid w:val="0067348B"/>
    <w:rsid w:val="00673519"/>
    <w:rsid w:val="006735EB"/>
    <w:rsid w:val="00673773"/>
    <w:rsid w:val="006738CC"/>
    <w:rsid w:val="00673906"/>
    <w:rsid w:val="0067391F"/>
    <w:rsid w:val="00673929"/>
    <w:rsid w:val="00673AF8"/>
    <w:rsid w:val="00673D58"/>
    <w:rsid w:val="00673F81"/>
    <w:rsid w:val="00674019"/>
    <w:rsid w:val="006740C1"/>
    <w:rsid w:val="006741AF"/>
    <w:rsid w:val="006745FC"/>
    <w:rsid w:val="006746F5"/>
    <w:rsid w:val="006747DB"/>
    <w:rsid w:val="0067485E"/>
    <w:rsid w:val="006748B3"/>
    <w:rsid w:val="00674960"/>
    <w:rsid w:val="00674961"/>
    <w:rsid w:val="00674D09"/>
    <w:rsid w:val="00674F84"/>
    <w:rsid w:val="00674FA0"/>
    <w:rsid w:val="00675311"/>
    <w:rsid w:val="00675475"/>
    <w:rsid w:val="00675785"/>
    <w:rsid w:val="006757A2"/>
    <w:rsid w:val="00675A56"/>
    <w:rsid w:val="00675B7C"/>
    <w:rsid w:val="00675D58"/>
    <w:rsid w:val="00675E0A"/>
    <w:rsid w:val="0067625C"/>
    <w:rsid w:val="006764AE"/>
    <w:rsid w:val="00676813"/>
    <w:rsid w:val="00676951"/>
    <w:rsid w:val="00676A2E"/>
    <w:rsid w:val="00676B4B"/>
    <w:rsid w:val="00676CA3"/>
    <w:rsid w:val="00676E51"/>
    <w:rsid w:val="00676F48"/>
    <w:rsid w:val="00677124"/>
    <w:rsid w:val="006771EE"/>
    <w:rsid w:val="006775BB"/>
    <w:rsid w:val="0067770B"/>
    <w:rsid w:val="00677810"/>
    <w:rsid w:val="0067790D"/>
    <w:rsid w:val="006779E1"/>
    <w:rsid w:val="00677C89"/>
    <w:rsid w:val="00677D02"/>
    <w:rsid w:val="00677D82"/>
    <w:rsid w:val="00677ED4"/>
    <w:rsid w:val="00680512"/>
    <w:rsid w:val="006805F6"/>
    <w:rsid w:val="00680732"/>
    <w:rsid w:val="00680756"/>
    <w:rsid w:val="006807B0"/>
    <w:rsid w:val="00680966"/>
    <w:rsid w:val="00680992"/>
    <w:rsid w:val="00680B4C"/>
    <w:rsid w:val="00680CEC"/>
    <w:rsid w:val="00680D7C"/>
    <w:rsid w:val="00680D8F"/>
    <w:rsid w:val="00680DCA"/>
    <w:rsid w:val="00680E07"/>
    <w:rsid w:val="00680E26"/>
    <w:rsid w:val="00680E8A"/>
    <w:rsid w:val="00680EE6"/>
    <w:rsid w:val="006810C4"/>
    <w:rsid w:val="006812F8"/>
    <w:rsid w:val="0068136A"/>
    <w:rsid w:val="0068175B"/>
    <w:rsid w:val="00681791"/>
    <w:rsid w:val="006817DB"/>
    <w:rsid w:val="00681A82"/>
    <w:rsid w:val="00681ADB"/>
    <w:rsid w:val="00681B78"/>
    <w:rsid w:val="00681CA8"/>
    <w:rsid w:val="00681CB3"/>
    <w:rsid w:val="00681F8C"/>
    <w:rsid w:val="00681FE1"/>
    <w:rsid w:val="006823FB"/>
    <w:rsid w:val="0068256E"/>
    <w:rsid w:val="00682B73"/>
    <w:rsid w:val="00682CF4"/>
    <w:rsid w:val="00682E66"/>
    <w:rsid w:val="00682F94"/>
    <w:rsid w:val="00682F9B"/>
    <w:rsid w:val="00683171"/>
    <w:rsid w:val="0068323C"/>
    <w:rsid w:val="0068330F"/>
    <w:rsid w:val="00683452"/>
    <w:rsid w:val="0068346E"/>
    <w:rsid w:val="00683506"/>
    <w:rsid w:val="00683569"/>
    <w:rsid w:val="006838EB"/>
    <w:rsid w:val="00683A62"/>
    <w:rsid w:val="00683A82"/>
    <w:rsid w:val="00683B38"/>
    <w:rsid w:val="00683D70"/>
    <w:rsid w:val="00683E33"/>
    <w:rsid w:val="006840BD"/>
    <w:rsid w:val="00684191"/>
    <w:rsid w:val="006841C3"/>
    <w:rsid w:val="00684883"/>
    <w:rsid w:val="00684971"/>
    <w:rsid w:val="00684A03"/>
    <w:rsid w:val="00684A3F"/>
    <w:rsid w:val="00684A55"/>
    <w:rsid w:val="00684B4A"/>
    <w:rsid w:val="00684B5B"/>
    <w:rsid w:val="00684C41"/>
    <w:rsid w:val="00684DD4"/>
    <w:rsid w:val="00685350"/>
    <w:rsid w:val="00685478"/>
    <w:rsid w:val="006854CB"/>
    <w:rsid w:val="00685522"/>
    <w:rsid w:val="0068574D"/>
    <w:rsid w:val="0068587F"/>
    <w:rsid w:val="006858EA"/>
    <w:rsid w:val="00685C7C"/>
    <w:rsid w:val="00685D92"/>
    <w:rsid w:val="00685E98"/>
    <w:rsid w:val="00685F6C"/>
    <w:rsid w:val="00686056"/>
    <w:rsid w:val="006862E2"/>
    <w:rsid w:val="00686A0C"/>
    <w:rsid w:val="00686ADC"/>
    <w:rsid w:val="00686C19"/>
    <w:rsid w:val="00686D57"/>
    <w:rsid w:val="00687165"/>
    <w:rsid w:val="00687189"/>
    <w:rsid w:val="0068743F"/>
    <w:rsid w:val="00687485"/>
    <w:rsid w:val="0068774E"/>
    <w:rsid w:val="00687990"/>
    <w:rsid w:val="006879FB"/>
    <w:rsid w:val="00687A68"/>
    <w:rsid w:val="00687B0D"/>
    <w:rsid w:val="006900BE"/>
    <w:rsid w:val="006900CE"/>
    <w:rsid w:val="006902B0"/>
    <w:rsid w:val="00690348"/>
    <w:rsid w:val="00690391"/>
    <w:rsid w:val="00690561"/>
    <w:rsid w:val="00690683"/>
    <w:rsid w:val="006906CF"/>
    <w:rsid w:val="006909EB"/>
    <w:rsid w:val="00690A7C"/>
    <w:rsid w:val="00690B3A"/>
    <w:rsid w:val="0069102B"/>
    <w:rsid w:val="00691188"/>
    <w:rsid w:val="006914B5"/>
    <w:rsid w:val="00691637"/>
    <w:rsid w:val="00691682"/>
    <w:rsid w:val="006916BF"/>
    <w:rsid w:val="006916D1"/>
    <w:rsid w:val="00691956"/>
    <w:rsid w:val="00691A40"/>
    <w:rsid w:val="00691C32"/>
    <w:rsid w:val="00691E0D"/>
    <w:rsid w:val="00691E61"/>
    <w:rsid w:val="00691E88"/>
    <w:rsid w:val="00691F3C"/>
    <w:rsid w:val="006923ED"/>
    <w:rsid w:val="006923F2"/>
    <w:rsid w:val="006924E6"/>
    <w:rsid w:val="006925A2"/>
    <w:rsid w:val="00692693"/>
    <w:rsid w:val="0069275C"/>
    <w:rsid w:val="006927AF"/>
    <w:rsid w:val="00692C1B"/>
    <w:rsid w:val="00692C1E"/>
    <w:rsid w:val="00692C92"/>
    <w:rsid w:val="00692D56"/>
    <w:rsid w:val="00692D71"/>
    <w:rsid w:val="00692E23"/>
    <w:rsid w:val="00692E7B"/>
    <w:rsid w:val="00692FB5"/>
    <w:rsid w:val="00693175"/>
    <w:rsid w:val="006931E2"/>
    <w:rsid w:val="0069330F"/>
    <w:rsid w:val="00693362"/>
    <w:rsid w:val="00693388"/>
    <w:rsid w:val="0069347A"/>
    <w:rsid w:val="006934D8"/>
    <w:rsid w:val="00693535"/>
    <w:rsid w:val="00693666"/>
    <w:rsid w:val="006938F4"/>
    <w:rsid w:val="00693A8E"/>
    <w:rsid w:val="00693BAB"/>
    <w:rsid w:val="00693C19"/>
    <w:rsid w:val="00693CA0"/>
    <w:rsid w:val="00693D4F"/>
    <w:rsid w:val="00693D55"/>
    <w:rsid w:val="00693DC6"/>
    <w:rsid w:val="006944AE"/>
    <w:rsid w:val="00694745"/>
    <w:rsid w:val="00694775"/>
    <w:rsid w:val="00694A07"/>
    <w:rsid w:val="00694B39"/>
    <w:rsid w:val="00694C19"/>
    <w:rsid w:val="00694F5F"/>
    <w:rsid w:val="0069515B"/>
    <w:rsid w:val="00695401"/>
    <w:rsid w:val="006954BF"/>
    <w:rsid w:val="00695543"/>
    <w:rsid w:val="00695628"/>
    <w:rsid w:val="0069577C"/>
    <w:rsid w:val="00695922"/>
    <w:rsid w:val="00695CCD"/>
    <w:rsid w:val="00695CE3"/>
    <w:rsid w:val="00695F30"/>
    <w:rsid w:val="006961C9"/>
    <w:rsid w:val="0069648E"/>
    <w:rsid w:val="00696860"/>
    <w:rsid w:val="00696A05"/>
    <w:rsid w:val="00696DF4"/>
    <w:rsid w:val="00696EDB"/>
    <w:rsid w:val="00697177"/>
    <w:rsid w:val="00697238"/>
    <w:rsid w:val="0069725F"/>
    <w:rsid w:val="0069756E"/>
    <w:rsid w:val="006976F9"/>
    <w:rsid w:val="006976FA"/>
    <w:rsid w:val="006976FC"/>
    <w:rsid w:val="00697742"/>
    <w:rsid w:val="00697795"/>
    <w:rsid w:val="006978B8"/>
    <w:rsid w:val="006979D3"/>
    <w:rsid w:val="00697BA3"/>
    <w:rsid w:val="00697D00"/>
    <w:rsid w:val="00697F1E"/>
    <w:rsid w:val="00697F2C"/>
    <w:rsid w:val="006A0087"/>
    <w:rsid w:val="006A04E1"/>
    <w:rsid w:val="006A0B68"/>
    <w:rsid w:val="006A0DD3"/>
    <w:rsid w:val="006A0DFF"/>
    <w:rsid w:val="006A0E25"/>
    <w:rsid w:val="006A1103"/>
    <w:rsid w:val="006A156A"/>
    <w:rsid w:val="006A165A"/>
    <w:rsid w:val="006A16D0"/>
    <w:rsid w:val="006A1718"/>
    <w:rsid w:val="006A1775"/>
    <w:rsid w:val="006A1B20"/>
    <w:rsid w:val="006A1B75"/>
    <w:rsid w:val="006A1CAA"/>
    <w:rsid w:val="006A1D91"/>
    <w:rsid w:val="006A2033"/>
    <w:rsid w:val="006A23FC"/>
    <w:rsid w:val="006A25EA"/>
    <w:rsid w:val="006A27C4"/>
    <w:rsid w:val="006A2900"/>
    <w:rsid w:val="006A29E3"/>
    <w:rsid w:val="006A2AA4"/>
    <w:rsid w:val="006A2ADC"/>
    <w:rsid w:val="006A2C01"/>
    <w:rsid w:val="006A2D03"/>
    <w:rsid w:val="006A2D98"/>
    <w:rsid w:val="006A2DFF"/>
    <w:rsid w:val="006A2F98"/>
    <w:rsid w:val="006A30C3"/>
    <w:rsid w:val="006A3274"/>
    <w:rsid w:val="006A32EC"/>
    <w:rsid w:val="006A3306"/>
    <w:rsid w:val="006A3464"/>
    <w:rsid w:val="006A3567"/>
    <w:rsid w:val="006A38B3"/>
    <w:rsid w:val="006A39C5"/>
    <w:rsid w:val="006A3CD6"/>
    <w:rsid w:val="006A3D91"/>
    <w:rsid w:val="006A3DE6"/>
    <w:rsid w:val="006A3EDF"/>
    <w:rsid w:val="006A3F3E"/>
    <w:rsid w:val="006A46B0"/>
    <w:rsid w:val="006A472F"/>
    <w:rsid w:val="006A473D"/>
    <w:rsid w:val="006A48C8"/>
    <w:rsid w:val="006A48D9"/>
    <w:rsid w:val="006A4AF3"/>
    <w:rsid w:val="006A4C1E"/>
    <w:rsid w:val="006A4EA6"/>
    <w:rsid w:val="006A5003"/>
    <w:rsid w:val="006A5255"/>
    <w:rsid w:val="006A535A"/>
    <w:rsid w:val="006A5496"/>
    <w:rsid w:val="006A5610"/>
    <w:rsid w:val="006A56F7"/>
    <w:rsid w:val="006A575E"/>
    <w:rsid w:val="006A582B"/>
    <w:rsid w:val="006A58CA"/>
    <w:rsid w:val="006A5A66"/>
    <w:rsid w:val="006A5AA1"/>
    <w:rsid w:val="006A5C9A"/>
    <w:rsid w:val="006A5FAF"/>
    <w:rsid w:val="006A60B6"/>
    <w:rsid w:val="006A6898"/>
    <w:rsid w:val="006A698B"/>
    <w:rsid w:val="006A6B05"/>
    <w:rsid w:val="006A6C60"/>
    <w:rsid w:val="006A6C8B"/>
    <w:rsid w:val="006A6D92"/>
    <w:rsid w:val="006A722A"/>
    <w:rsid w:val="006A727B"/>
    <w:rsid w:val="006A73C6"/>
    <w:rsid w:val="006A759A"/>
    <w:rsid w:val="006A77EA"/>
    <w:rsid w:val="006A77FB"/>
    <w:rsid w:val="006A7A03"/>
    <w:rsid w:val="006A7ADC"/>
    <w:rsid w:val="006A7B92"/>
    <w:rsid w:val="006A7C67"/>
    <w:rsid w:val="006A7CD1"/>
    <w:rsid w:val="006A7E97"/>
    <w:rsid w:val="006B0513"/>
    <w:rsid w:val="006B05C9"/>
    <w:rsid w:val="006B073F"/>
    <w:rsid w:val="006B07C8"/>
    <w:rsid w:val="006B0924"/>
    <w:rsid w:val="006B0A2B"/>
    <w:rsid w:val="006B0D92"/>
    <w:rsid w:val="006B0DFF"/>
    <w:rsid w:val="006B0EA5"/>
    <w:rsid w:val="006B1255"/>
    <w:rsid w:val="006B12DC"/>
    <w:rsid w:val="006B13F9"/>
    <w:rsid w:val="006B1462"/>
    <w:rsid w:val="006B14BC"/>
    <w:rsid w:val="006B1517"/>
    <w:rsid w:val="006B1529"/>
    <w:rsid w:val="006B166E"/>
    <w:rsid w:val="006B16E0"/>
    <w:rsid w:val="006B175A"/>
    <w:rsid w:val="006B1817"/>
    <w:rsid w:val="006B188E"/>
    <w:rsid w:val="006B18B2"/>
    <w:rsid w:val="006B1EE8"/>
    <w:rsid w:val="006B217E"/>
    <w:rsid w:val="006B22E0"/>
    <w:rsid w:val="006B23B9"/>
    <w:rsid w:val="006B247F"/>
    <w:rsid w:val="006B24BB"/>
    <w:rsid w:val="006B24D9"/>
    <w:rsid w:val="006B267B"/>
    <w:rsid w:val="006B2C1B"/>
    <w:rsid w:val="006B2CD2"/>
    <w:rsid w:val="006B2D7E"/>
    <w:rsid w:val="006B2F56"/>
    <w:rsid w:val="006B2F7C"/>
    <w:rsid w:val="006B30D1"/>
    <w:rsid w:val="006B3C72"/>
    <w:rsid w:val="006B3E1B"/>
    <w:rsid w:val="006B3EF1"/>
    <w:rsid w:val="006B407A"/>
    <w:rsid w:val="006B41C5"/>
    <w:rsid w:val="006B42EA"/>
    <w:rsid w:val="006B4334"/>
    <w:rsid w:val="006B43A0"/>
    <w:rsid w:val="006B43A7"/>
    <w:rsid w:val="006B44CD"/>
    <w:rsid w:val="006B44FF"/>
    <w:rsid w:val="006B47D8"/>
    <w:rsid w:val="006B47ED"/>
    <w:rsid w:val="006B4816"/>
    <w:rsid w:val="006B4A89"/>
    <w:rsid w:val="006B4BA1"/>
    <w:rsid w:val="006B4D18"/>
    <w:rsid w:val="006B4E5E"/>
    <w:rsid w:val="006B5073"/>
    <w:rsid w:val="006B5127"/>
    <w:rsid w:val="006B5250"/>
    <w:rsid w:val="006B52AA"/>
    <w:rsid w:val="006B52CE"/>
    <w:rsid w:val="006B54DC"/>
    <w:rsid w:val="006B552E"/>
    <w:rsid w:val="006B55E1"/>
    <w:rsid w:val="006B55E6"/>
    <w:rsid w:val="006B58FF"/>
    <w:rsid w:val="006B5ACB"/>
    <w:rsid w:val="006B5C63"/>
    <w:rsid w:val="006B5D01"/>
    <w:rsid w:val="006B611A"/>
    <w:rsid w:val="006B625B"/>
    <w:rsid w:val="006B62A5"/>
    <w:rsid w:val="006B6365"/>
    <w:rsid w:val="006B6C50"/>
    <w:rsid w:val="006B6D67"/>
    <w:rsid w:val="006B7029"/>
    <w:rsid w:val="006B7260"/>
    <w:rsid w:val="006B77A2"/>
    <w:rsid w:val="006B7B96"/>
    <w:rsid w:val="006B7C88"/>
    <w:rsid w:val="006B7CFB"/>
    <w:rsid w:val="006B7F61"/>
    <w:rsid w:val="006C0132"/>
    <w:rsid w:val="006C02E4"/>
    <w:rsid w:val="006C039D"/>
    <w:rsid w:val="006C0418"/>
    <w:rsid w:val="006C06A7"/>
    <w:rsid w:val="006C0768"/>
    <w:rsid w:val="006C0C12"/>
    <w:rsid w:val="006C0D0E"/>
    <w:rsid w:val="006C0F3E"/>
    <w:rsid w:val="006C0FB6"/>
    <w:rsid w:val="006C115F"/>
    <w:rsid w:val="006C1237"/>
    <w:rsid w:val="006C12D1"/>
    <w:rsid w:val="006C1493"/>
    <w:rsid w:val="006C1583"/>
    <w:rsid w:val="006C17FB"/>
    <w:rsid w:val="006C189A"/>
    <w:rsid w:val="006C1961"/>
    <w:rsid w:val="006C1995"/>
    <w:rsid w:val="006C1A5A"/>
    <w:rsid w:val="006C1B91"/>
    <w:rsid w:val="006C1BE5"/>
    <w:rsid w:val="006C1C61"/>
    <w:rsid w:val="006C1D8E"/>
    <w:rsid w:val="006C1F3C"/>
    <w:rsid w:val="006C227A"/>
    <w:rsid w:val="006C2373"/>
    <w:rsid w:val="006C243D"/>
    <w:rsid w:val="006C2453"/>
    <w:rsid w:val="006C2749"/>
    <w:rsid w:val="006C2865"/>
    <w:rsid w:val="006C2B4A"/>
    <w:rsid w:val="006C2FCE"/>
    <w:rsid w:val="006C309C"/>
    <w:rsid w:val="006C3271"/>
    <w:rsid w:val="006C35EB"/>
    <w:rsid w:val="006C3606"/>
    <w:rsid w:val="006C3981"/>
    <w:rsid w:val="006C3B92"/>
    <w:rsid w:val="006C3BFF"/>
    <w:rsid w:val="006C3D24"/>
    <w:rsid w:val="006C43CF"/>
    <w:rsid w:val="006C43DE"/>
    <w:rsid w:val="006C4521"/>
    <w:rsid w:val="006C4591"/>
    <w:rsid w:val="006C459B"/>
    <w:rsid w:val="006C473F"/>
    <w:rsid w:val="006C47A6"/>
    <w:rsid w:val="006C4A11"/>
    <w:rsid w:val="006C4B0F"/>
    <w:rsid w:val="006C4C46"/>
    <w:rsid w:val="006C4CCC"/>
    <w:rsid w:val="006C4D91"/>
    <w:rsid w:val="006C4E15"/>
    <w:rsid w:val="006C4E65"/>
    <w:rsid w:val="006C4F9B"/>
    <w:rsid w:val="006C5006"/>
    <w:rsid w:val="006C533B"/>
    <w:rsid w:val="006C560D"/>
    <w:rsid w:val="006C5683"/>
    <w:rsid w:val="006C573F"/>
    <w:rsid w:val="006C58C5"/>
    <w:rsid w:val="006C59C3"/>
    <w:rsid w:val="006C5A3D"/>
    <w:rsid w:val="006C5AD3"/>
    <w:rsid w:val="006C5BFD"/>
    <w:rsid w:val="006C5C87"/>
    <w:rsid w:val="006C5DB0"/>
    <w:rsid w:val="006C5F34"/>
    <w:rsid w:val="006C5F54"/>
    <w:rsid w:val="006C5FC3"/>
    <w:rsid w:val="006C60D9"/>
    <w:rsid w:val="006C617F"/>
    <w:rsid w:val="006C631D"/>
    <w:rsid w:val="006C6399"/>
    <w:rsid w:val="006C6B69"/>
    <w:rsid w:val="006C6C62"/>
    <w:rsid w:val="006C6CF0"/>
    <w:rsid w:val="006C6D2C"/>
    <w:rsid w:val="006C6F54"/>
    <w:rsid w:val="006C71B3"/>
    <w:rsid w:val="006C722E"/>
    <w:rsid w:val="006C726B"/>
    <w:rsid w:val="006C73A3"/>
    <w:rsid w:val="006C73DD"/>
    <w:rsid w:val="006C74B8"/>
    <w:rsid w:val="006C7652"/>
    <w:rsid w:val="006C7A85"/>
    <w:rsid w:val="006C7CFF"/>
    <w:rsid w:val="006C7D01"/>
    <w:rsid w:val="006D01CC"/>
    <w:rsid w:val="006D021F"/>
    <w:rsid w:val="006D0240"/>
    <w:rsid w:val="006D02CF"/>
    <w:rsid w:val="006D0615"/>
    <w:rsid w:val="006D067E"/>
    <w:rsid w:val="006D0AFF"/>
    <w:rsid w:val="006D0BDE"/>
    <w:rsid w:val="006D0C85"/>
    <w:rsid w:val="006D0D35"/>
    <w:rsid w:val="006D0E8C"/>
    <w:rsid w:val="006D10F1"/>
    <w:rsid w:val="006D1220"/>
    <w:rsid w:val="006D1476"/>
    <w:rsid w:val="006D170E"/>
    <w:rsid w:val="006D1A6D"/>
    <w:rsid w:val="006D1F22"/>
    <w:rsid w:val="006D1F41"/>
    <w:rsid w:val="006D2145"/>
    <w:rsid w:val="006D216D"/>
    <w:rsid w:val="006D2301"/>
    <w:rsid w:val="006D247F"/>
    <w:rsid w:val="006D24D1"/>
    <w:rsid w:val="006D2519"/>
    <w:rsid w:val="006D2666"/>
    <w:rsid w:val="006D2717"/>
    <w:rsid w:val="006D275E"/>
    <w:rsid w:val="006D3033"/>
    <w:rsid w:val="006D30D6"/>
    <w:rsid w:val="006D3138"/>
    <w:rsid w:val="006D342E"/>
    <w:rsid w:val="006D356D"/>
    <w:rsid w:val="006D36C9"/>
    <w:rsid w:val="006D3836"/>
    <w:rsid w:val="006D39EC"/>
    <w:rsid w:val="006D3C27"/>
    <w:rsid w:val="006D3D8F"/>
    <w:rsid w:val="006D413B"/>
    <w:rsid w:val="006D4176"/>
    <w:rsid w:val="006D4349"/>
    <w:rsid w:val="006D4424"/>
    <w:rsid w:val="006D4770"/>
    <w:rsid w:val="006D47A2"/>
    <w:rsid w:val="006D4A10"/>
    <w:rsid w:val="006D4AE9"/>
    <w:rsid w:val="006D4D60"/>
    <w:rsid w:val="006D4E84"/>
    <w:rsid w:val="006D4EAB"/>
    <w:rsid w:val="006D5116"/>
    <w:rsid w:val="006D51C6"/>
    <w:rsid w:val="006D529D"/>
    <w:rsid w:val="006D5402"/>
    <w:rsid w:val="006D556F"/>
    <w:rsid w:val="006D57B3"/>
    <w:rsid w:val="006D57D7"/>
    <w:rsid w:val="006D587C"/>
    <w:rsid w:val="006D59EF"/>
    <w:rsid w:val="006D5B58"/>
    <w:rsid w:val="006D5B8A"/>
    <w:rsid w:val="006D5BFB"/>
    <w:rsid w:val="006D5CA7"/>
    <w:rsid w:val="006D5D37"/>
    <w:rsid w:val="006D5D6A"/>
    <w:rsid w:val="006D60F2"/>
    <w:rsid w:val="006D6158"/>
    <w:rsid w:val="006D6298"/>
    <w:rsid w:val="006D6538"/>
    <w:rsid w:val="006D65F8"/>
    <w:rsid w:val="006D682D"/>
    <w:rsid w:val="006D68FF"/>
    <w:rsid w:val="006D6928"/>
    <w:rsid w:val="006D69EA"/>
    <w:rsid w:val="006D6A17"/>
    <w:rsid w:val="006D6C24"/>
    <w:rsid w:val="006D6C91"/>
    <w:rsid w:val="006D6E15"/>
    <w:rsid w:val="006D6E55"/>
    <w:rsid w:val="006D6E6C"/>
    <w:rsid w:val="006D7558"/>
    <w:rsid w:val="006D7705"/>
    <w:rsid w:val="006D783F"/>
    <w:rsid w:val="006D79D3"/>
    <w:rsid w:val="006D7A65"/>
    <w:rsid w:val="006D7C50"/>
    <w:rsid w:val="006D7E29"/>
    <w:rsid w:val="006D7FD7"/>
    <w:rsid w:val="006E01E3"/>
    <w:rsid w:val="006E02B1"/>
    <w:rsid w:val="006E05FD"/>
    <w:rsid w:val="006E0650"/>
    <w:rsid w:val="006E066C"/>
    <w:rsid w:val="006E0B06"/>
    <w:rsid w:val="006E0BC7"/>
    <w:rsid w:val="006E0C89"/>
    <w:rsid w:val="006E0ED8"/>
    <w:rsid w:val="006E10E6"/>
    <w:rsid w:val="006E1260"/>
    <w:rsid w:val="006E12C5"/>
    <w:rsid w:val="006E13DC"/>
    <w:rsid w:val="006E145D"/>
    <w:rsid w:val="006E15F9"/>
    <w:rsid w:val="006E1849"/>
    <w:rsid w:val="006E188B"/>
    <w:rsid w:val="006E1B70"/>
    <w:rsid w:val="006E1B7D"/>
    <w:rsid w:val="006E1C85"/>
    <w:rsid w:val="006E1C94"/>
    <w:rsid w:val="006E1FE5"/>
    <w:rsid w:val="006E205F"/>
    <w:rsid w:val="006E2264"/>
    <w:rsid w:val="006E2565"/>
    <w:rsid w:val="006E293C"/>
    <w:rsid w:val="006E29B9"/>
    <w:rsid w:val="006E2A90"/>
    <w:rsid w:val="006E2C6B"/>
    <w:rsid w:val="006E2F63"/>
    <w:rsid w:val="006E320F"/>
    <w:rsid w:val="006E33DE"/>
    <w:rsid w:val="006E34C5"/>
    <w:rsid w:val="006E355D"/>
    <w:rsid w:val="006E3648"/>
    <w:rsid w:val="006E3CEE"/>
    <w:rsid w:val="006E3D2E"/>
    <w:rsid w:val="006E3D32"/>
    <w:rsid w:val="006E3D3A"/>
    <w:rsid w:val="006E3E10"/>
    <w:rsid w:val="006E3E51"/>
    <w:rsid w:val="006E3EAD"/>
    <w:rsid w:val="006E4013"/>
    <w:rsid w:val="006E4392"/>
    <w:rsid w:val="006E43DD"/>
    <w:rsid w:val="006E43FF"/>
    <w:rsid w:val="006E4463"/>
    <w:rsid w:val="006E4798"/>
    <w:rsid w:val="006E49E6"/>
    <w:rsid w:val="006E4B0B"/>
    <w:rsid w:val="006E4C99"/>
    <w:rsid w:val="006E4E66"/>
    <w:rsid w:val="006E4FE6"/>
    <w:rsid w:val="006E5269"/>
    <w:rsid w:val="006E53CD"/>
    <w:rsid w:val="006E556A"/>
    <w:rsid w:val="006E557D"/>
    <w:rsid w:val="006E55D3"/>
    <w:rsid w:val="006E5695"/>
    <w:rsid w:val="006E5771"/>
    <w:rsid w:val="006E5857"/>
    <w:rsid w:val="006E5965"/>
    <w:rsid w:val="006E5AE4"/>
    <w:rsid w:val="006E5DED"/>
    <w:rsid w:val="006E5EEB"/>
    <w:rsid w:val="006E5F78"/>
    <w:rsid w:val="006E6290"/>
    <w:rsid w:val="006E6461"/>
    <w:rsid w:val="006E65EE"/>
    <w:rsid w:val="006E67FB"/>
    <w:rsid w:val="006E6A98"/>
    <w:rsid w:val="006E6ABE"/>
    <w:rsid w:val="006E6B6F"/>
    <w:rsid w:val="006E6D6D"/>
    <w:rsid w:val="006E6D8F"/>
    <w:rsid w:val="006E6DE6"/>
    <w:rsid w:val="006E7135"/>
    <w:rsid w:val="006E715B"/>
    <w:rsid w:val="006E7172"/>
    <w:rsid w:val="006E7876"/>
    <w:rsid w:val="006E7904"/>
    <w:rsid w:val="006E79A7"/>
    <w:rsid w:val="006E7E89"/>
    <w:rsid w:val="006F0033"/>
    <w:rsid w:val="006F02B4"/>
    <w:rsid w:val="006F0334"/>
    <w:rsid w:val="006F069D"/>
    <w:rsid w:val="006F0853"/>
    <w:rsid w:val="006F0898"/>
    <w:rsid w:val="006F0925"/>
    <w:rsid w:val="006F09E1"/>
    <w:rsid w:val="006F0A5A"/>
    <w:rsid w:val="006F0B15"/>
    <w:rsid w:val="006F0C5B"/>
    <w:rsid w:val="006F0DE0"/>
    <w:rsid w:val="006F10B3"/>
    <w:rsid w:val="006F118B"/>
    <w:rsid w:val="006F1303"/>
    <w:rsid w:val="006F14A2"/>
    <w:rsid w:val="006F14CC"/>
    <w:rsid w:val="006F17BC"/>
    <w:rsid w:val="006F1B76"/>
    <w:rsid w:val="006F1C1C"/>
    <w:rsid w:val="006F1D53"/>
    <w:rsid w:val="006F1E2E"/>
    <w:rsid w:val="006F1FD2"/>
    <w:rsid w:val="006F22C4"/>
    <w:rsid w:val="006F2441"/>
    <w:rsid w:val="006F24B8"/>
    <w:rsid w:val="006F2739"/>
    <w:rsid w:val="006F273C"/>
    <w:rsid w:val="006F2A44"/>
    <w:rsid w:val="006F2C91"/>
    <w:rsid w:val="006F2C98"/>
    <w:rsid w:val="006F2CDF"/>
    <w:rsid w:val="006F340A"/>
    <w:rsid w:val="006F34F6"/>
    <w:rsid w:val="006F353A"/>
    <w:rsid w:val="006F36A4"/>
    <w:rsid w:val="006F376A"/>
    <w:rsid w:val="006F37D3"/>
    <w:rsid w:val="006F3A12"/>
    <w:rsid w:val="006F3DB8"/>
    <w:rsid w:val="006F3E3E"/>
    <w:rsid w:val="006F405A"/>
    <w:rsid w:val="006F4202"/>
    <w:rsid w:val="006F4463"/>
    <w:rsid w:val="006F456A"/>
    <w:rsid w:val="006F4705"/>
    <w:rsid w:val="006F4726"/>
    <w:rsid w:val="006F4748"/>
    <w:rsid w:val="006F488E"/>
    <w:rsid w:val="006F4C98"/>
    <w:rsid w:val="006F54CB"/>
    <w:rsid w:val="006F566B"/>
    <w:rsid w:val="006F5681"/>
    <w:rsid w:val="006F5D97"/>
    <w:rsid w:val="006F5E0E"/>
    <w:rsid w:val="006F5F0D"/>
    <w:rsid w:val="006F5F82"/>
    <w:rsid w:val="006F63FF"/>
    <w:rsid w:val="006F6409"/>
    <w:rsid w:val="006F69B3"/>
    <w:rsid w:val="006F6A01"/>
    <w:rsid w:val="006F6A99"/>
    <w:rsid w:val="006F6C20"/>
    <w:rsid w:val="006F6CA8"/>
    <w:rsid w:val="006F6D59"/>
    <w:rsid w:val="006F71AD"/>
    <w:rsid w:val="006F722E"/>
    <w:rsid w:val="006F7431"/>
    <w:rsid w:val="006F754C"/>
    <w:rsid w:val="006F75AA"/>
    <w:rsid w:val="006F760C"/>
    <w:rsid w:val="006F76C1"/>
    <w:rsid w:val="006F774F"/>
    <w:rsid w:val="006F7785"/>
    <w:rsid w:val="006F783F"/>
    <w:rsid w:val="006F7853"/>
    <w:rsid w:val="006F7903"/>
    <w:rsid w:val="006F791D"/>
    <w:rsid w:val="006F7A8A"/>
    <w:rsid w:val="006F7C1E"/>
    <w:rsid w:val="006F7D74"/>
    <w:rsid w:val="0070003B"/>
    <w:rsid w:val="00700046"/>
    <w:rsid w:val="0070024C"/>
    <w:rsid w:val="0070025A"/>
    <w:rsid w:val="007003E9"/>
    <w:rsid w:val="007004D2"/>
    <w:rsid w:val="00700774"/>
    <w:rsid w:val="00700889"/>
    <w:rsid w:val="007009BC"/>
    <w:rsid w:val="00700A21"/>
    <w:rsid w:val="00700C55"/>
    <w:rsid w:val="00700C5E"/>
    <w:rsid w:val="00700DA1"/>
    <w:rsid w:val="00701252"/>
    <w:rsid w:val="0070143F"/>
    <w:rsid w:val="007016AC"/>
    <w:rsid w:val="00701873"/>
    <w:rsid w:val="007019D2"/>
    <w:rsid w:val="007019EC"/>
    <w:rsid w:val="00701C50"/>
    <w:rsid w:val="00701D9F"/>
    <w:rsid w:val="00701E96"/>
    <w:rsid w:val="00701FF8"/>
    <w:rsid w:val="00702082"/>
    <w:rsid w:val="007020B7"/>
    <w:rsid w:val="007021C7"/>
    <w:rsid w:val="007025B2"/>
    <w:rsid w:val="007026ED"/>
    <w:rsid w:val="00702775"/>
    <w:rsid w:val="007028FB"/>
    <w:rsid w:val="0070295A"/>
    <w:rsid w:val="00702961"/>
    <w:rsid w:val="00702A19"/>
    <w:rsid w:val="00702AC4"/>
    <w:rsid w:val="00702CB0"/>
    <w:rsid w:val="00702F25"/>
    <w:rsid w:val="0070364B"/>
    <w:rsid w:val="00703923"/>
    <w:rsid w:val="00703996"/>
    <w:rsid w:val="00703A30"/>
    <w:rsid w:val="00703AF2"/>
    <w:rsid w:val="00703B91"/>
    <w:rsid w:val="00703C66"/>
    <w:rsid w:val="00703D42"/>
    <w:rsid w:val="00703E70"/>
    <w:rsid w:val="00703F8A"/>
    <w:rsid w:val="00704509"/>
    <w:rsid w:val="00704624"/>
    <w:rsid w:val="007046C5"/>
    <w:rsid w:val="007047E3"/>
    <w:rsid w:val="007048C0"/>
    <w:rsid w:val="00704988"/>
    <w:rsid w:val="00704BCC"/>
    <w:rsid w:val="00704C74"/>
    <w:rsid w:val="00704CB0"/>
    <w:rsid w:val="00704CB2"/>
    <w:rsid w:val="00704D08"/>
    <w:rsid w:val="00704E82"/>
    <w:rsid w:val="00704F53"/>
    <w:rsid w:val="00705111"/>
    <w:rsid w:val="00705335"/>
    <w:rsid w:val="007054DC"/>
    <w:rsid w:val="00705766"/>
    <w:rsid w:val="007057FE"/>
    <w:rsid w:val="00705AAF"/>
    <w:rsid w:val="00705B70"/>
    <w:rsid w:val="00705BEA"/>
    <w:rsid w:val="00705C18"/>
    <w:rsid w:val="00705DD9"/>
    <w:rsid w:val="007062EA"/>
    <w:rsid w:val="00706354"/>
    <w:rsid w:val="00706566"/>
    <w:rsid w:val="00706759"/>
    <w:rsid w:val="00706936"/>
    <w:rsid w:val="00706949"/>
    <w:rsid w:val="00706956"/>
    <w:rsid w:val="00706FA9"/>
    <w:rsid w:val="00707323"/>
    <w:rsid w:val="0070762B"/>
    <w:rsid w:val="00707644"/>
    <w:rsid w:val="0070778D"/>
    <w:rsid w:val="00707DB5"/>
    <w:rsid w:val="00707ED6"/>
    <w:rsid w:val="00710138"/>
    <w:rsid w:val="007101B8"/>
    <w:rsid w:val="007101FF"/>
    <w:rsid w:val="00710412"/>
    <w:rsid w:val="007105B1"/>
    <w:rsid w:val="00710750"/>
    <w:rsid w:val="0071078F"/>
    <w:rsid w:val="0071098B"/>
    <w:rsid w:val="00710A04"/>
    <w:rsid w:val="00710B4F"/>
    <w:rsid w:val="00710CBF"/>
    <w:rsid w:val="00710F79"/>
    <w:rsid w:val="00710F92"/>
    <w:rsid w:val="007110E3"/>
    <w:rsid w:val="0071123A"/>
    <w:rsid w:val="00711254"/>
    <w:rsid w:val="007112A9"/>
    <w:rsid w:val="00711370"/>
    <w:rsid w:val="007115DE"/>
    <w:rsid w:val="00711B1E"/>
    <w:rsid w:val="00711DB4"/>
    <w:rsid w:val="00712026"/>
    <w:rsid w:val="00712254"/>
    <w:rsid w:val="007123AA"/>
    <w:rsid w:val="00712411"/>
    <w:rsid w:val="0071246C"/>
    <w:rsid w:val="007125A3"/>
    <w:rsid w:val="007125D1"/>
    <w:rsid w:val="007127F9"/>
    <w:rsid w:val="00712904"/>
    <w:rsid w:val="00712C09"/>
    <w:rsid w:val="00712C5F"/>
    <w:rsid w:val="00712DC2"/>
    <w:rsid w:val="00712DD9"/>
    <w:rsid w:val="00712E29"/>
    <w:rsid w:val="007130E9"/>
    <w:rsid w:val="00713121"/>
    <w:rsid w:val="00713764"/>
    <w:rsid w:val="007137F9"/>
    <w:rsid w:val="00713999"/>
    <w:rsid w:val="00713AFF"/>
    <w:rsid w:val="00713CA2"/>
    <w:rsid w:val="00713D0E"/>
    <w:rsid w:val="00713D88"/>
    <w:rsid w:val="00713DAC"/>
    <w:rsid w:val="00713E88"/>
    <w:rsid w:val="00713F22"/>
    <w:rsid w:val="0071415E"/>
    <w:rsid w:val="0071437F"/>
    <w:rsid w:val="0071457A"/>
    <w:rsid w:val="00714653"/>
    <w:rsid w:val="00714778"/>
    <w:rsid w:val="007147A3"/>
    <w:rsid w:val="00714979"/>
    <w:rsid w:val="00714ADA"/>
    <w:rsid w:val="00714B26"/>
    <w:rsid w:val="00714C82"/>
    <w:rsid w:val="00714F32"/>
    <w:rsid w:val="00715014"/>
    <w:rsid w:val="007150CE"/>
    <w:rsid w:val="00715145"/>
    <w:rsid w:val="007151DA"/>
    <w:rsid w:val="00715203"/>
    <w:rsid w:val="007152EB"/>
    <w:rsid w:val="00715376"/>
    <w:rsid w:val="00715550"/>
    <w:rsid w:val="007155FD"/>
    <w:rsid w:val="00715791"/>
    <w:rsid w:val="00715A38"/>
    <w:rsid w:val="00715B64"/>
    <w:rsid w:val="00715C6A"/>
    <w:rsid w:val="00715F63"/>
    <w:rsid w:val="007160A1"/>
    <w:rsid w:val="007160CA"/>
    <w:rsid w:val="007162C7"/>
    <w:rsid w:val="0071633F"/>
    <w:rsid w:val="007165AB"/>
    <w:rsid w:val="0071661A"/>
    <w:rsid w:val="007166BD"/>
    <w:rsid w:val="007166D5"/>
    <w:rsid w:val="00716723"/>
    <w:rsid w:val="0071677A"/>
    <w:rsid w:val="00716804"/>
    <w:rsid w:val="007168B1"/>
    <w:rsid w:val="007168B9"/>
    <w:rsid w:val="00716907"/>
    <w:rsid w:val="00716BAA"/>
    <w:rsid w:val="00716E0C"/>
    <w:rsid w:val="007172D9"/>
    <w:rsid w:val="00717380"/>
    <w:rsid w:val="007173FB"/>
    <w:rsid w:val="007175A5"/>
    <w:rsid w:val="00717730"/>
    <w:rsid w:val="0071776D"/>
    <w:rsid w:val="00717979"/>
    <w:rsid w:val="00717C82"/>
    <w:rsid w:val="00717CD5"/>
    <w:rsid w:val="00717F99"/>
    <w:rsid w:val="007200E7"/>
    <w:rsid w:val="007202D0"/>
    <w:rsid w:val="00720387"/>
    <w:rsid w:val="00720659"/>
    <w:rsid w:val="007206AB"/>
    <w:rsid w:val="00720888"/>
    <w:rsid w:val="007208DF"/>
    <w:rsid w:val="0072091D"/>
    <w:rsid w:val="00720B11"/>
    <w:rsid w:val="00720D23"/>
    <w:rsid w:val="00720FA7"/>
    <w:rsid w:val="0072106E"/>
    <w:rsid w:val="007211F2"/>
    <w:rsid w:val="00721225"/>
    <w:rsid w:val="0072138D"/>
    <w:rsid w:val="007214AE"/>
    <w:rsid w:val="0072182A"/>
    <w:rsid w:val="00721919"/>
    <w:rsid w:val="007219AB"/>
    <w:rsid w:val="007219F2"/>
    <w:rsid w:val="00721BE3"/>
    <w:rsid w:val="00721CF0"/>
    <w:rsid w:val="00721E11"/>
    <w:rsid w:val="00721F14"/>
    <w:rsid w:val="0072252F"/>
    <w:rsid w:val="00722705"/>
    <w:rsid w:val="00722798"/>
    <w:rsid w:val="00722AD7"/>
    <w:rsid w:val="00722CA7"/>
    <w:rsid w:val="00722CFF"/>
    <w:rsid w:val="00723055"/>
    <w:rsid w:val="0072305E"/>
    <w:rsid w:val="0072306B"/>
    <w:rsid w:val="007230D0"/>
    <w:rsid w:val="007231A5"/>
    <w:rsid w:val="007231B0"/>
    <w:rsid w:val="007234D9"/>
    <w:rsid w:val="00723536"/>
    <w:rsid w:val="007235AC"/>
    <w:rsid w:val="00723602"/>
    <w:rsid w:val="007236A6"/>
    <w:rsid w:val="007239DC"/>
    <w:rsid w:val="00723A2F"/>
    <w:rsid w:val="00723CD7"/>
    <w:rsid w:val="00723F82"/>
    <w:rsid w:val="007241D8"/>
    <w:rsid w:val="00724496"/>
    <w:rsid w:val="0072451E"/>
    <w:rsid w:val="007245CB"/>
    <w:rsid w:val="00724813"/>
    <w:rsid w:val="00724A92"/>
    <w:rsid w:val="00724AE0"/>
    <w:rsid w:val="00724C80"/>
    <w:rsid w:val="00724CBB"/>
    <w:rsid w:val="00724DE4"/>
    <w:rsid w:val="00724E55"/>
    <w:rsid w:val="0072500A"/>
    <w:rsid w:val="00725043"/>
    <w:rsid w:val="00725057"/>
    <w:rsid w:val="0072506B"/>
    <w:rsid w:val="00725128"/>
    <w:rsid w:val="007254B0"/>
    <w:rsid w:val="007256D2"/>
    <w:rsid w:val="007257FD"/>
    <w:rsid w:val="00725804"/>
    <w:rsid w:val="007259E3"/>
    <w:rsid w:val="00725A1E"/>
    <w:rsid w:val="00725AF7"/>
    <w:rsid w:val="00725E7C"/>
    <w:rsid w:val="007261DC"/>
    <w:rsid w:val="00726240"/>
    <w:rsid w:val="00726276"/>
    <w:rsid w:val="007262C3"/>
    <w:rsid w:val="0072633E"/>
    <w:rsid w:val="00726816"/>
    <w:rsid w:val="00726B23"/>
    <w:rsid w:val="00726B9E"/>
    <w:rsid w:val="00726C30"/>
    <w:rsid w:val="00726D21"/>
    <w:rsid w:val="00726D68"/>
    <w:rsid w:val="00726DA3"/>
    <w:rsid w:val="00726DE0"/>
    <w:rsid w:val="00726E19"/>
    <w:rsid w:val="00726E9B"/>
    <w:rsid w:val="00726FAE"/>
    <w:rsid w:val="00726FCA"/>
    <w:rsid w:val="007271A0"/>
    <w:rsid w:val="00727232"/>
    <w:rsid w:val="0072746D"/>
    <w:rsid w:val="007276A9"/>
    <w:rsid w:val="007277A8"/>
    <w:rsid w:val="0072794E"/>
    <w:rsid w:val="00727ADA"/>
    <w:rsid w:val="00727ED8"/>
    <w:rsid w:val="0073015B"/>
    <w:rsid w:val="007304FD"/>
    <w:rsid w:val="007307B2"/>
    <w:rsid w:val="007307C4"/>
    <w:rsid w:val="00730868"/>
    <w:rsid w:val="00730DF7"/>
    <w:rsid w:val="00730EEF"/>
    <w:rsid w:val="00731058"/>
    <w:rsid w:val="007310C5"/>
    <w:rsid w:val="007312AA"/>
    <w:rsid w:val="0073149E"/>
    <w:rsid w:val="00731587"/>
    <w:rsid w:val="00731815"/>
    <w:rsid w:val="00731952"/>
    <w:rsid w:val="0073195C"/>
    <w:rsid w:val="00731E50"/>
    <w:rsid w:val="0073238D"/>
    <w:rsid w:val="00732393"/>
    <w:rsid w:val="007324C7"/>
    <w:rsid w:val="007326AB"/>
    <w:rsid w:val="007328BF"/>
    <w:rsid w:val="00732921"/>
    <w:rsid w:val="007329F0"/>
    <w:rsid w:val="00732AE1"/>
    <w:rsid w:val="00732D4B"/>
    <w:rsid w:val="00732E22"/>
    <w:rsid w:val="00732ED2"/>
    <w:rsid w:val="00732EE1"/>
    <w:rsid w:val="00733125"/>
    <w:rsid w:val="0073313F"/>
    <w:rsid w:val="0073339D"/>
    <w:rsid w:val="00733419"/>
    <w:rsid w:val="00733648"/>
    <w:rsid w:val="00733C5B"/>
    <w:rsid w:val="00733D4D"/>
    <w:rsid w:val="00733DCA"/>
    <w:rsid w:val="00733E0C"/>
    <w:rsid w:val="00733F35"/>
    <w:rsid w:val="0073411E"/>
    <w:rsid w:val="007341B1"/>
    <w:rsid w:val="00734420"/>
    <w:rsid w:val="007346FD"/>
    <w:rsid w:val="00734770"/>
    <w:rsid w:val="007347D4"/>
    <w:rsid w:val="00734B15"/>
    <w:rsid w:val="00734C1B"/>
    <w:rsid w:val="00734C1E"/>
    <w:rsid w:val="00734DC3"/>
    <w:rsid w:val="00735077"/>
    <w:rsid w:val="007358CC"/>
    <w:rsid w:val="007358DE"/>
    <w:rsid w:val="00735913"/>
    <w:rsid w:val="00735A6D"/>
    <w:rsid w:val="00735AB4"/>
    <w:rsid w:val="00735ACB"/>
    <w:rsid w:val="00735B0A"/>
    <w:rsid w:val="00735BF4"/>
    <w:rsid w:val="00735CFF"/>
    <w:rsid w:val="00735D99"/>
    <w:rsid w:val="00735E77"/>
    <w:rsid w:val="00735EAE"/>
    <w:rsid w:val="0073609F"/>
    <w:rsid w:val="007361F6"/>
    <w:rsid w:val="007366B8"/>
    <w:rsid w:val="007366CC"/>
    <w:rsid w:val="0073680B"/>
    <w:rsid w:val="007369B7"/>
    <w:rsid w:val="00736A9B"/>
    <w:rsid w:val="00736AA4"/>
    <w:rsid w:val="00736C4F"/>
    <w:rsid w:val="00736D85"/>
    <w:rsid w:val="00736F7C"/>
    <w:rsid w:val="00737251"/>
    <w:rsid w:val="0073748B"/>
    <w:rsid w:val="00737630"/>
    <w:rsid w:val="0073780D"/>
    <w:rsid w:val="00737834"/>
    <w:rsid w:val="00737A5E"/>
    <w:rsid w:val="00737D67"/>
    <w:rsid w:val="00740066"/>
    <w:rsid w:val="00740117"/>
    <w:rsid w:val="0074026F"/>
    <w:rsid w:val="00740318"/>
    <w:rsid w:val="00740700"/>
    <w:rsid w:val="007407C7"/>
    <w:rsid w:val="00740A0C"/>
    <w:rsid w:val="00740A89"/>
    <w:rsid w:val="00740D00"/>
    <w:rsid w:val="00741267"/>
    <w:rsid w:val="00741319"/>
    <w:rsid w:val="00741622"/>
    <w:rsid w:val="00741724"/>
    <w:rsid w:val="00741834"/>
    <w:rsid w:val="0074186E"/>
    <w:rsid w:val="007419EE"/>
    <w:rsid w:val="00741A0E"/>
    <w:rsid w:val="00741A96"/>
    <w:rsid w:val="00741CA8"/>
    <w:rsid w:val="00741CC4"/>
    <w:rsid w:val="00741D6A"/>
    <w:rsid w:val="00741ED2"/>
    <w:rsid w:val="00741FDD"/>
    <w:rsid w:val="00742064"/>
    <w:rsid w:val="007420DF"/>
    <w:rsid w:val="007424A6"/>
    <w:rsid w:val="00742525"/>
    <w:rsid w:val="00742A83"/>
    <w:rsid w:val="00742AFB"/>
    <w:rsid w:val="00742B39"/>
    <w:rsid w:val="00742C2A"/>
    <w:rsid w:val="00742C67"/>
    <w:rsid w:val="00742E1B"/>
    <w:rsid w:val="00742E41"/>
    <w:rsid w:val="0074305F"/>
    <w:rsid w:val="0074395D"/>
    <w:rsid w:val="00743B26"/>
    <w:rsid w:val="00743C5C"/>
    <w:rsid w:val="00743DA7"/>
    <w:rsid w:val="00743F68"/>
    <w:rsid w:val="0074403C"/>
    <w:rsid w:val="007441B6"/>
    <w:rsid w:val="007443FF"/>
    <w:rsid w:val="007446AA"/>
    <w:rsid w:val="00744796"/>
    <w:rsid w:val="00744955"/>
    <w:rsid w:val="00744B4B"/>
    <w:rsid w:val="00745461"/>
    <w:rsid w:val="0074548A"/>
    <w:rsid w:val="0074573A"/>
    <w:rsid w:val="007457DE"/>
    <w:rsid w:val="00745852"/>
    <w:rsid w:val="00745854"/>
    <w:rsid w:val="00745868"/>
    <w:rsid w:val="007458CA"/>
    <w:rsid w:val="00745912"/>
    <w:rsid w:val="007459BE"/>
    <w:rsid w:val="00745C00"/>
    <w:rsid w:val="00745CFE"/>
    <w:rsid w:val="00745E58"/>
    <w:rsid w:val="00745E5E"/>
    <w:rsid w:val="00745EAF"/>
    <w:rsid w:val="00745EE9"/>
    <w:rsid w:val="00745FA6"/>
    <w:rsid w:val="007460A4"/>
    <w:rsid w:val="00746128"/>
    <w:rsid w:val="0074617A"/>
    <w:rsid w:val="0074638B"/>
    <w:rsid w:val="007465E5"/>
    <w:rsid w:val="00746611"/>
    <w:rsid w:val="007467AD"/>
    <w:rsid w:val="00747388"/>
    <w:rsid w:val="007473AC"/>
    <w:rsid w:val="007474E7"/>
    <w:rsid w:val="0074772B"/>
    <w:rsid w:val="00747783"/>
    <w:rsid w:val="00747D2B"/>
    <w:rsid w:val="00747DFC"/>
    <w:rsid w:val="00747F09"/>
    <w:rsid w:val="00747F3E"/>
    <w:rsid w:val="0075004F"/>
    <w:rsid w:val="00750355"/>
    <w:rsid w:val="00750435"/>
    <w:rsid w:val="00750565"/>
    <w:rsid w:val="007508D1"/>
    <w:rsid w:val="00750CF8"/>
    <w:rsid w:val="00750D3B"/>
    <w:rsid w:val="00750D75"/>
    <w:rsid w:val="00750D89"/>
    <w:rsid w:val="00750F55"/>
    <w:rsid w:val="00750FBB"/>
    <w:rsid w:val="00751000"/>
    <w:rsid w:val="007512FC"/>
    <w:rsid w:val="00751668"/>
    <w:rsid w:val="007516F0"/>
    <w:rsid w:val="007517B4"/>
    <w:rsid w:val="00751867"/>
    <w:rsid w:val="00751996"/>
    <w:rsid w:val="00751A66"/>
    <w:rsid w:val="00751B9E"/>
    <w:rsid w:val="00751DDE"/>
    <w:rsid w:val="00752067"/>
    <w:rsid w:val="0075223E"/>
    <w:rsid w:val="00752388"/>
    <w:rsid w:val="0075248A"/>
    <w:rsid w:val="0075248B"/>
    <w:rsid w:val="007524FC"/>
    <w:rsid w:val="00752869"/>
    <w:rsid w:val="00752981"/>
    <w:rsid w:val="00752CE1"/>
    <w:rsid w:val="00753058"/>
    <w:rsid w:val="007530C7"/>
    <w:rsid w:val="00753363"/>
    <w:rsid w:val="00753758"/>
    <w:rsid w:val="0075380D"/>
    <w:rsid w:val="00753A99"/>
    <w:rsid w:val="00753C3A"/>
    <w:rsid w:val="00753E97"/>
    <w:rsid w:val="00753ECA"/>
    <w:rsid w:val="00753F8F"/>
    <w:rsid w:val="00754039"/>
    <w:rsid w:val="0075418B"/>
    <w:rsid w:val="007542B4"/>
    <w:rsid w:val="0075435A"/>
    <w:rsid w:val="007543A5"/>
    <w:rsid w:val="00754443"/>
    <w:rsid w:val="00754B58"/>
    <w:rsid w:val="00754BE9"/>
    <w:rsid w:val="00754EA9"/>
    <w:rsid w:val="00754F54"/>
    <w:rsid w:val="00754FEB"/>
    <w:rsid w:val="00754FFB"/>
    <w:rsid w:val="007550AB"/>
    <w:rsid w:val="00755114"/>
    <w:rsid w:val="00755268"/>
    <w:rsid w:val="00755490"/>
    <w:rsid w:val="007554E9"/>
    <w:rsid w:val="0075551D"/>
    <w:rsid w:val="00755683"/>
    <w:rsid w:val="007557A4"/>
    <w:rsid w:val="00755C44"/>
    <w:rsid w:val="00755DEE"/>
    <w:rsid w:val="00755DFB"/>
    <w:rsid w:val="00755DFC"/>
    <w:rsid w:val="00755F13"/>
    <w:rsid w:val="00755FBE"/>
    <w:rsid w:val="0075603E"/>
    <w:rsid w:val="007560DA"/>
    <w:rsid w:val="0075621F"/>
    <w:rsid w:val="0075641B"/>
    <w:rsid w:val="00756625"/>
    <w:rsid w:val="0075677F"/>
    <w:rsid w:val="0075690A"/>
    <w:rsid w:val="0075692C"/>
    <w:rsid w:val="00756CF3"/>
    <w:rsid w:val="00757063"/>
    <w:rsid w:val="00757082"/>
    <w:rsid w:val="007571BD"/>
    <w:rsid w:val="00757327"/>
    <w:rsid w:val="007574C1"/>
    <w:rsid w:val="007575BC"/>
    <w:rsid w:val="007576A4"/>
    <w:rsid w:val="007576FA"/>
    <w:rsid w:val="00757781"/>
    <w:rsid w:val="0075779B"/>
    <w:rsid w:val="00757DCD"/>
    <w:rsid w:val="00757EA2"/>
    <w:rsid w:val="00757EB8"/>
    <w:rsid w:val="0076020C"/>
    <w:rsid w:val="00760230"/>
    <w:rsid w:val="007602E7"/>
    <w:rsid w:val="00760442"/>
    <w:rsid w:val="0076056E"/>
    <w:rsid w:val="007606B3"/>
    <w:rsid w:val="00760890"/>
    <w:rsid w:val="00760A0D"/>
    <w:rsid w:val="00760BDC"/>
    <w:rsid w:val="00760C5F"/>
    <w:rsid w:val="00760C68"/>
    <w:rsid w:val="00760D9F"/>
    <w:rsid w:val="0076142F"/>
    <w:rsid w:val="007615FA"/>
    <w:rsid w:val="007616F2"/>
    <w:rsid w:val="00761733"/>
    <w:rsid w:val="00761928"/>
    <w:rsid w:val="00761C2A"/>
    <w:rsid w:val="00761C55"/>
    <w:rsid w:val="007620AD"/>
    <w:rsid w:val="007620D8"/>
    <w:rsid w:val="00762118"/>
    <w:rsid w:val="00762175"/>
    <w:rsid w:val="00762297"/>
    <w:rsid w:val="007622F8"/>
    <w:rsid w:val="00762386"/>
    <w:rsid w:val="00762964"/>
    <w:rsid w:val="007629C6"/>
    <w:rsid w:val="00762A61"/>
    <w:rsid w:val="00762A66"/>
    <w:rsid w:val="00762AC4"/>
    <w:rsid w:val="00762AD0"/>
    <w:rsid w:val="00762BE0"/>
    <w:rsid w:val="00762E0C"/>
    <w:rsid w:val="007630F3"/>
    <w:rsid w:val="00763374"/>
    <w:rsid w:val="007635F5"/>
    <w:rsid w:val="0076368B"/>
    <w:rsid w:val="007636EE"/>
    <w:rsid w:val="00763702"/>
    <w:rsid w:val="00763800"/>
    <w:rsid w:val="0076386E"/>
    <w:rsid w:val="00763FAA"/>
    <w:rsid w:val="0076416E"/>
    <w:rsid w:val="007642CF"/>
    <w:rsid w:val="00764301"/>
    <w:rsid w:val="00764356"/>
    <w:rsid w:val="0076437E"/>
    <w:rsid w:val="007645F4"/>
    <w:rsid w:val="00764630"/>
    <w:rsid w:val="00764689"/>
    <w:rsid w:val="0076496B"/>
    <w:rsid w:val="00764B9B"/>
    <w:rsid w:val="00764BB0"/>
    <w:rsid w:val="00764C76"/>
    <w:rsid w:val="00764DF0"/>
    <w:rsid w:val="00764E24"/>
    <w:rsid w:val="00764E9F"/>
    <w:rsid w:val="00764EA3"/>
    <w:rsid w:val="00764EA9"/>
    <w:rsid w:val="00764F46"/>
    <w:rsid w:val="00764FD2"/>
    <w:rsid w:val="0076508D"/>
    <w:rsid w:val="00765210"/>
    <w:rsid w:val="007652FB"/>
    <w:rsid w:val="00765303"/>
    <w:rsid w:val="007653DA"/>
    <w:rsid w:val="00765408"/>
    <w:rsid w:val="0076544B"/>
    <w:rsid w:val="007655AB"/>
    <w:rsid w:val="00765701"/>
    <w:rsid w:val="00765A36"/>
    <w:rsid w:val="00765A9D"/>
    <w:rsid w:val="00765B23"/>
    <w:rsid w:val="00765CE3"/>
    <w:rsid w:val="007660B6"/>
    <w:rsid w:val="0076614E"/>
    <w:rsid w:val="007661F7"/>
    <w:rsid w:val="00766287"/>
    <w:rsid w:val="00766572"/>
    <w:rsid w:val="00766778"/>
    <w:rsid w:val="007667DE"/>
    <w:rsid w:val="00766962"/>
    <w:rsid w:val="00766ABD"/>
    <w:rsid w:val="00766ADA"/>
    <w:rsid w:val="00766B5D"/>
    <w:rsid w:val="00766C17"/>
    <w:rsid w:val="00766C40"/>
    <w:rsid w:val="00766DC5"/>
    <w:rsid w:val="00766FA5"/>
    <w:rsid w:val="00766FC2"/>
    <w:rsid w:val="00766FF5"/>
    <w:rsid w:val="00767220"/>
    <w:rsid w:val="00767448"/>
    <w:rsid w:val="0076745A"/>
    <w:rsid w:val="007676BB"/>
    <w:rsid w:val="0076775F"/>
    <w:rsid w:val="0076777A"/>
    <w:rsid w:val="007679D9"/>
    <w:rsid w:val="00767AEC"/>
    <w:rsid w:val="00767AFE"/>
    <w:rsid w:val="00767D38"/>
    <w:rsid w:val="007700E9"/>
    <w:rsid w:val="0077015A"/>
    <w:rsid w:val="00770256"/>
    <w:rsid w:val="00770AC0"/>
    <w:rsid w:val="00770B45"/>
    <w:rsid w:val="00770C61"/>
    <w:rsid w:val="00770CEF"/>
    <w:rsid w:val="00770D67"/>
    <w:rsid w:val="00770E5D"/>
    <w:rsid w:val="00770E7B"/>
    <w:rsid w:val="00770EF1"/>
    <w:rsid w:val="00771461"/>
    <w:rsid w:val="007714EB"/>
    <w:rsid w:val="007715BD"/>
    <w:rsid w:val="00771666"/>
    <w:rsid w:val="007718C8"/>
    <w:rsid w:val="0077192B"/>
    <w:rsid w:val="00771944"/>
    <w:rsid w:val="00771D4F"/>
    <w:rsid w:val="00771E91"/>
    <w:rsid w:val="00771EFA"/>
    <w:rsid w:val="00771FA9"/>
    <w:rsid w:val="007721C7"/>
    <w:rsid w:val="007722C3"/>
    <w:rsid w:val="007724B5"/>
    <w:rsid w:val="00772556"/>
    <w:rsid w:val="00772820"/>
    <w:rsid w:val="00772884"/>
    <w:rsid w:val="007728B8"/>
    <w:rsid w:val="00772945"/>
    <w:rsid w:val="00772AD0"/>
    <w:rsid w:val="00772B42"/>
    <w:rsid w:val="00772DB0"/>
    <w:rsid w:val="00772F84"/>
    <w:rsid w:val="0077342E"/>
    <w:rsid w:val="007734AA"/>
    <w:rsid w:val="007735B3"/>
    <w:rsid w:val="0077367E"/>
    <w:rsid w:val="0077368A"/>
    <w:rsid w:val="00773725"/>
    <w:rsid w:val="0077385F"/>
    <w:rsid w:val="00773946"/>
    <w:rsid w:val="00773BAC"/>
    <w:rsid w:val="00773C88"/>
    <w:rsid w:val="00773D94"/>
    <w:rsid w:val="00773DE2"/>
    <w:rsid w:val="0077412D"/>
    <w:rsid w:val="007741AD"/>
    <w:rsid w:val="007741D1"/>
    <w:rsid w:val="007743AF"/>
    <w:rsid w:val="0077477F"/>
    <w:rsid w:val="00774AAF"/>
    <w:rsid w:val="00774C76"/>
    <w:rsid w:val="00774EDC"/>
    <w:rsid w:val="0077521C"/>
    <w:rsid w:val="007752AC"/>
    <w:rsid w:val="0077539A"/>
    <w:rsid w:val="00775663"/>
    <w:rsid w:val="007757E1"/>
    <w:rsid w:val="007757FC"/>
    <w:rsid w:val="007758BE"/>
    <w:rsid w:val="00775947"/>
    <w:rsid w:val="0077594B"/>
    <w:rsid w:val="00775953"/>
    <w:rsid w:val="00775C39"/>
    <w:rsid w:val="00775C8B"/>
    <w:rsid w:val="00775D5E"/>
    <w:rsid w:val="00775D92"/>
    <w:rsid w:val="00775DFC"/>
    <w:rsid w:val="00775EDF"/>
    <w:rsid w:val="00776415"/>
    <w:rsid w:val="007764A1"/>
    <w:rsid w:val="007764DF"/>
    <w:rsid w:val="00776730"/>
    <w:rsid w:val="00776AB6"/>
    <w:rsid w:val="00776AD6"/>
    <w:rsid w:val="00776AE1"/>
    <w:rsid w:val="00776C7C"/>
    <w:rsid w:val="00776D3E"/>
    <w:rsid w:val="00777221"/>
    <w:rsid w:val="0077722B"/>
    <w:rsid w:val="007773F1"/>
    <w:rsid w:val="00777478"/>
    <w:rsid w:val="007774D1"/>
    <w:rsid w:val="00777597"/>
    <w:rsid w:val="007776FB"/>
    <w:rsid w:val="00777856"/>
    <w:rsid w:val="007779A5"/>
    <w:rsid w:val="00777BB5"/>
    <w:rsid w:val="00777DD7"/>
    <w:rsid w:val="0078013F"/>
    <w:rsid w:val="0078047D"/>
    <w:rsid w:val="00780883"/>
    <w:rsid w:val="007808E0"/>
    <w:rsid w:val="00780CFF"/>
    <w:rsid w:val="00780ED5"/>
    <w:rsid w:val="00780F3B"/>
    <w:rsid w:val="00781090"/>
    <w:rsid w:val="00781106"/>
    <w:rsid w:val="0078117F"/>
    <w:rsid w:val="007811BE"/>
    <w:rsid w:val="007811E6"/>
    <w:rsid w:val="00781515"/>
    <w:rsid w:val="0078193D"/>
    <w:rsid w:val="007819CF"/>
    <w:rsid w:val="00781FFC"/>
    <w:rsid w:val="00782088"/>
    <w:rsid w:val="0078228C"/>
    <w:rsid w:val="00782339"/>
    <w:rsid w:val="007824B4"/>
    <w:rsid w:val="0078281C"/>
    <w:rsid w:val="00782BBB"/>
    <w:rsid w:val="00782BF7"/>
    <w:rsid w:val="00782C50"/>
    <w:rsid w:val="00782D91"/>
    <w:rsid w:val="00782DFC"/>
    <w:rsid w:val="00782F16"/>
    <w:rsid w:val="00783007"/>
    <w:rsid w:val="0078303A"/>
    <w:rsid w:val="00783170"/>
    <w:rsid w:val="00783378"/>
    <w:rsid w:val="0078350B"/>
    <w:rsid w:val="007838F8"/>
    <w:rsid w:val="00783B35"/>
    <w:rsid w:val="00783CE0"/>
    <w:rsid w:val="00783D17"/>
    <w:rsid w:val="00783EB6"/>
    <w:rsid w:val="00783EEB"/>
    <w:rsid w:val="0078431A"/>
    <w:rsid w:val="007843E2"/>
    <w:rsid w:val="007844A4"/>
    <w:rsid w:val="007844F9"/>
    <w:rsid w:val="0078490E"/>
    <w:rsid w:val="00784922"/>
    <w:rsid w:val="00784E1D"/>
    <w:rsid w:val="00784EBF"/>
    <w:rsid w:val="007851BA"/>
    <w:rsid w:val="0078520D"/>
    <w:rsid w:val="00785437"/>
    <w:rsid w:val="00785483"/>
    <w:rsid w:val="007854F9"/>
    <w:rsid w:val="007856FD"/>
    <w:rsid w:val="00785996"/>
    <w:rsid w:val="00785C60"/>
    <w:rsid w:val="00785F04"/>
    <w:rsid w:val="0078612B"/>
    <w:rsid w:val="0078617A"/>
    <w:rsid w:val="0078629C"/>
    <w:rsid w:val="0078645B"/>
    <w:rsid w:val="007865D9"/>
    <w:rsid w:val="007867C9"/>
    <w:rsid w:val="007869A6"/>
    <w:rsid w:val="00786AC7"/>
    <w:rsid w:val="00786CD9"/>
    <w:rsid w:val="00786D4C"/>
    <w:rsid w:val="00786EC2"/>
    <w:rsid w:val="00786F29"/>
    <w:rsid w:val="00787004"/>
    <w:rsid w:val="007874B4"/>
    <w:rsid w:val="00787509"/>
    <w:rsid w:val="0078751B"/>
    <w:rsid w:val="00787659"/>
    <w:rsid w:val="00787854"/>
    <w:rsid w:val="00787949"/>
    <w:rsid w:val="00787A45"/>
    <w:rsid w:val="00787B89"/>
    <w:rsid w:val="00787C2D"/>
    <w:rsid w:val="00787DB7"/>
    <w:rsid w:val="00787F13"/>
    <w:rsid w:val="00790000"/>
    <w:rsid w:val="0079041F"/>
    <w:rsid w:val="00790627"/>
    <w:rsid w:val="00790679"/>
    <w:rsid w:val="00790789"/>
    <w:rsid w:val="00790857"/>
    <w:rsid w:val="00790971"/>
    <w:rsid w:val="00790EEE"/>
    <w:rsid w:val="00790FEF"/>
    <w:rsid w:val="007911E9"/>
    <w:rsid w:val="0079130A"/>
    <w:rsid w:val="0079132D"/>
    <w:rsid w:val="0079133F"/>
    <w:rsid w:val="00791349"/>
    <w:rsid w:val="0079142C"/>
    <w:rsid w:val="0079157E"/>
    <w:rsid w:val="00791897"/>
    <w:rsid w:val="00791914"/>
    <w:rsid w:val="007919F0"/>
    <w:rsid w:val="00791A28"/>
    <w:rsid w:val="00791B66"/>
    <w:rsid w:val="00791C36"/>
    <w:rsid w:val="00791CC5"/>
    <w:rsid w:val="00791E41"/>
    <w:rsid w:val="007922C9"/>
    <w:rsid w:val="007924BF"/>
    <w:rsid w:val="007926BE"/>
    <w:rsid w:val="007927AD"/>
    <w:rsid w:val="007927E2"/>
    <w:rsid w:val="00792C2F"/>
    <w:rsid w:val="00792C57"/>
    <w:rsid w:val="00792CF1"/>
    <w:rsid w:val="00792DA6"/>
    <w:rsid w:val="00792EC0"/>
    <w:rsid w:val="00792F2D"/>
    <w:rsid w:val="00792FC2"/>
    <w:rsid w:val="0079305A"/>
    <w:rsid w:val="00793082"/>
    <w:rsid w:val="007930D7"/>
    <w:rsid w:val="007931ED"/>
    <w:rsid w:val="007933D4"/>
    <w:rsid w:val="00793450"/>
    <w:rsid w:val="00793457"/>
    <w:rsid w:val="007936E7"/>
    <w:rsid w:val="00793A9A"/>
    <w:rsid w:val="00793C62"/>
    <w:rsid w:val="00793D01"/>
    <w:rsid w:val="00793EAF"/>
    <w:rsid w:val="0079407D"/>
    <w:rsid w:val="0079410F"/>
    <w:rsid w:val="00794915"/>
    <w:rsid w:val="0079497B"/>
    <w:rsid w:val="00794A57"/>
    <w:rsid w:val="00794BB2"/>
    <w:rsid w:val="00795024"/>
    <w:rsid w:val="0079540F"/>
    <w:rsid w:val="00795832"/>
    <w:rsid w:val="007959A6"/>
    <w:rsid w:val="007959FF"/>
    <w:rsid w:val="00795B35"/>
    <w:rsid w:val="00795B46"/>
    <w:rsid w:val="00795C66"/>
    <w:rsid w:val="00795DC3"/>
    <w:rsid w:val="00795FB0"/>
    <w:rsid w:val="0079650C"/>
    <w:rsid w:val="0079654B"/>
    <w:rsid w:val="0079674D"/>
    <w:rsid w:val="00796831"/>
    <w:rsid w:val="0079683E"/>
    <w:rsid w:val="00796A2A"/>
    <w:rsid w:val="00796AB3"/>
    <w:rsid w:val="00796E79"/>
    <w:rsid w:val="00796F66"/>
    <w:rsid w:val="0079703A"/>
    <w:rsid w:val="007970B7"/>
    <w:rsid w:val="00797424"/>
    <w:rsid w:val="007974C0"/>
    <w:rsid w:val="00797605"/>
    <w:rsid w:val="0079794D"/>
    <w:rsid w:val="00797A33"/>
    <w:rsid w:val="00797A6D"/>
    <w:rsid w:val="00797D62"/>
    <w:rsid w:val="00797D79"/>
    <w:rsid w:val="007A00CD"/>
    <w:rsid w:val="007A08C0"/>
    <w:rsid w:val="007A0CA6"/>
    <w:rsid w:val="007A0CD4"/>
    <w:rsid w:val="007A0EA8"/>
    <w:rsid w:val="007A0EB9"/>
    <w:rsid w:val="007A11D0"/>
    <w:rsid w:val="007A127E"/>
    <w:rsid w:val="007A13F1"/>
    <w:rsid w:val="007A1421"/>
    <w:rsid w:val="007A192F"/>
    <w:rsid w:val="007A19C7"/>
    <w:rsid w:val="007A1A5E"/>
    <w:rsid w:val="007A1B24"/>
    <w:rsid w:val="007A1DF1"/>
    <w:rsid w:val="007A1E1F"/>
    <w:rsid w:val="007A1E32"/>
    <w:rsid w:val="007A1FAB"/>
    <w:rsid w:val="007A2153"/>
    <w:rsid w:val="007A226A"/>
    <w:rsid w:val="007A23A1"/>
    <w:rsid w:val="007A24B3"/>
    <w:rsid w:val="007A251A"/>
    <w:rsid w:val="007A268D"/>
    <w:rsid w:val="007A26A1"/>
    <w:rsid w:val="007A26F5"/>
    <w:rsid w:val="007A270A"/>
    <w:rsid w:val="007A28DC"/>
    <w:rsid w:val="007A2AF8"/>
    <w:rsid w:val="007A30B1"/>
    <w:rsid w:val="007A3163"/>
    <w:rsid w:val="007A3265"/>
    <w:rsid w:val="007A3295"/>
    <w:rsid w:val="007A3312"/>
    <w:rsid w:val="007A33B3"/>
    <w:rsid w:val="007A33D0"/>
    <w:rsid w:val="007A3462"/>
    <w:rsid w:val="007A3724"/>
    <w:rsid w:val="007A37B5"/>
    <w:rsid w:val="007A3884"/>
    <w:rsid w:val="007A394B"/>
    <w:rsid w:val="007A3994"/>
    <w:rsid w:val="007A3AF7"/>
    <w:rsid w:val="007A3B54"/>
    <w:rsid w:val="007A3D0F"/>
    <w:rsid w:val="007A3D59"/>
    <w:rsid w:val="007A3EE9"/>
    <w:rsid w:val="007A3FBE"/>
    <w:rsid w:val="007A3FF4"/>
    <w:rsid w:val="007A415E"/>
    <w:rsid w:val="007A4288"/>
    <w:rsid w:val="007A42EE"/>
    <w:rsid w:val="007A442E"/>
    <w:rsid w:val="007A448E"/>
    <w:rsid w:val="007A46E7"/>
    <w:rsid w:val="007A470C"/>
    <w:rsid w:val="007A498F"/>
    <w:rsid w:val="007A4C10"/>
    <w:rsid w:val="007A4D13"/>
    <w:rsid w:val="007A4DFE"/>
    <w:rsid w:val="007A5003"/>
    <w:rsid w:val="007A5130"/>
    <w:rsid w:val="007A5513"/>
    <w:rsid w:val="007A56D1"/>
    <w:rsid w:val="007A5710"/>
    <w:rsid w:val="007A5883"/>
    <w:rsid w:val="007A59E1"/>
    <w:rsid w:val="007A5A8D"/>
    <w:rsid w:val="007A5B10"/>
    <w:rsid w:val="007A5BF2"/>
    <w:rsid w:val="007A5C09"/>
    <w:rsid w:val="007A5DA9"/>
    <w:rsid w:val="007A5E6B"/>
    <w:rsid w:val="007A5F9E"/>
    <w:rsid w:val="007A627D"/>
    <w:rsid w:val="007A62EE"/>
    <w:rsid w:val="007A6518"/>
    <w:rsid w:val="007A6523"/>
    <w:rsid w:val="007A65F2"/>
    <w:rsid w:val="007A6ABD"/>
    <w:rsid w:val="007A749B"/>
    <w:rsid w:val="007A759C"/>
    <w:rsid w:val="007A779D"/>
    <w:rsid w:val="007A7BD2"/>
    <w:rsid w:val="007A7C42"/>
    <w:rsid w:val="007A7E4F"/>
    <w:rsid w:val="007A7EA3"/>
    <w:rsid w:val="007B00AC"/>
    <w:rsid w:val="007B00C5"/>
    <w:rsid w:val="007B0154"/>
    <w:rsid w:val="007B0227"/>
    <w:rsid w:val="007B02F4"/>
    <w:rsid w:val="007B0577"/>
    <w:rsid w:val="007B0586"/>
    <w:rsid w:val="007B0599"/>
    <w:rsid w:val="007B0853"/>
    <w:rsid w:val="007B0A3A"/>
    <w:rsid w:val="007B0CC4"/>
    <w:rsid w:val="007B0DA5"/>
    <w:rsid w:val="007B0EC6"/>
    <w:rsid w:val="007B0EE2"/>
    <w:rsid w:val="007B10B3"/>
    <w:rsid w:val="007B1305"/>
    <w:rsid w:val="007B13C4"/>
    <w:rsid w:val="007B13C8"/>
    <w:rsid w:val="007B140B"/>
    <w:rsid w:val="007B148B"/>
    <w:rsid w:val="007B1519"/>
    <w:rsid w:val="007B162E"/>
    <w:rsid w:val="007B1725"/>
    <w:rsid w:val="007B190F"/>
    <w:rsid w:val="007B1935"/>
    <w:rsid w:val="007B1940"/>
    <w:rsid w:val="007B198E"/>
    <w:rsid w:val="007B19BB"/>
    <w:rsid w:val="007B1A2C"/>
    <w:rsid w:val="007B1DD2"/>
    <w:rsid w:val="007B1FA0"/>
    <w:rsid w:val="007B241E"/>
    <w:rsid w:val="007B242E"/>
    <w:rsid w:val="007B266F"/>
    <w:rsid w:val="007B2738"/>
    <w:rsid w:val="007B29C4"/>
    <w:rsid w:val="007B29D2"/>
    <w:rsid w:val="007B2C22"/>
    <w:rsid w:val="007B2FB1"/>
    <w:rsid w:val="007B33BE"/>
    <w:rsid w:val="007B35F0"/>
    <w:rsid w:val="007B3AB1"/>
    <w:rsid w:val="007B3C70"/>
    <w:rsid w:val="007B3DE1"/>
    <w:rsid w:val="007B4261"/>
    <w:rsid w:val="007B43DB"/>
    <w:rsid w:val="007B47C8"/>
    <w:rsid w:val="007B492F"/>
    <w:rsid w:val="007B4B82"/>
    <w:rsid w:val="007B4CDB"/>
    <w:rsid w:val="007B4E45"/>
    <w:rsid w:val="007B5109"/>
    <w:rsid w:val="007B52C5"/>
    <w:rsid w:val="007B52D4"/>
    <w:rsid w:val="007B5791"/>
    <w:rsid w:val="007B57C7"/>
    <w:rsid w:val="007B5851"/>
    <w:rsid w:val="007B5A1C"/>
    <w:rsid w:val="007B5BB3"/>
    <w:rsid w:val="007B5C14"/>
    <w:rsid w:val="007B5CE8"/>
    <w:rsid w:val="007B5F47"/>
    <w:rsid w:val="007B6094"/>
    <w:rsid w:val="007B612F"/>
    <w:rsid w:val="007B65F2"/>
    <w:rsid w:val="007B6668"/>
    <w:rsid w:val="007B6DB9"/>
    <w:rsid w:val="007B6E6C"/>
    <w:rsid w:val="007B7201"/>
    <w:rsid w:val="007B73CD"/>
    <w:rsid w:val="007B75F9"/>
    <w:rsid w:val="007B7672"/>
    <w:rsid w:val="007B76B7"/>
    <w:rsid w:val="007B7761"/>
    <w:rsid w:val="007B7A16"/>
    <w:rsid w:val="007B7AF5"/>
    <w:rsid w:val="007B7DA9"/>
    <w:rsid w:val="007B7DD1"/>
    <w:rsid w:val="007C008A"/>
    <w:rsid w:val="007C009A"/>
    <w:rsid w:val="007C0125"/>
    <w:rsid w:val="007C03ED"/>
    <w:rsid w:val="007C0487"/>
    <w:rsid w:val="007C061D"/>
    <w:rsid w:val="007C0758"/>
    <w:rsid w:val="007C0A92"/>
    <w:rsid w:val="007C0C20"/>
    <w:rsid w:val="007C0CD4"/>
    <w:rsid w:val="007C0D21"/>
    <w:rsid w:val="007C0D83"/>
    <w:rsid w:val="007C0D93"/>
    <w:rsid w:val="007C103B"/>
    <w:rsid w:val="007C11CC"/>
    <w:rsid w:val="007C1403"/>
    <w:rsid w:val="007C157B"/>
    <w:rsid w:val="007C172A"/>
    <w:rsid w:val="007C1760"/>
    <w:rsid w:val="007C1985"/>
    <w:rsid w:val="007C1A23"/>
    <w:rsid w:val="007C1C9E"/>
    <w:rsid w:val="007C1FDE"/>
    <w:rsid w:val="007C2455"/>
    <w:rsid w:val="007C2705"/>
    <w:rsid w:val="007C27AD"/>
    <w:rsid w:val="007C2912"/>
    <w:rsid w:val="007C2A7F"/>
    <w:rsid w:val="007C2DDC"/>
    <w:rsid w:val="007C2EE4"/>
    <w:rsid w:val="007C2F2E"/>
    <w:rsid w:val="007C2F3B"/>
    <w:rsid w:val="007C2FD3"/>
    <w:rsid w:val="007C3523"/>
    <w:rsid w:val="007C372A"/>
    <w:rsid w:val="007C3968"/>
    <w:rsid w:val="007C3B27"/>
    <w:rsid w:val="007C4146"/>
    <w:rsid w:val="007C43BA"/>
    <w:rsid w:val="007C451B"/>
    <w:rsid w:val="007C47CB"/>
    <w:rsid w:val="007C47E8"/>
    <w:rsid w:val="007C48D0"/>
    <w:rsid w:val="007C4D35"/>
    <w:rsid w:val="007C4D40"/>
    <w:rsid w:val="007C4FCC"/>
    <w:rsid w:val="007C5576"/>
    <w:rsid w:val="007C5759"/>
    <w:rsid w:val="007C5D47"/>
    <w:rsid w:val="007C5D77"/>
    <w:rsid w:val="007C5F41"/>
    <w:rsid w:val="007C5FF5"/>
    <w:rsid w:val="007C608C"/>
    <w:rsid w:val="007C6166"/>
    <w:rsid w:val="007C61A6"/>
    <w:rsid w:val="007C6540"/>
    <w:rsid w:val="007C6857"/>
    <w:rsid w:val="007C690C"/>
    <w:rsid w:val="007C6BCE"/>
    <w:rsid w:val="007C6C54"/>
    <w:rsid w:val="007C6F76"/>
    <w:rsid w:val="007C6FD6"/>
    <w:rsid w:val="007C734C"/>
    <w:rsid w:val="007C73F1"/>
    <w:rsid w:val="007C7490"/>
    <w:rsid w:val="007C7556"/>
    <w:rsid w:val="007C76B5"/>
    <w:rsid w:val="007C7944"/>
    <w:rsid w:val="007C7A11"/>
    <w:rsid w:val="007C7C55"/>
    <w:rsid w:val="007C7DA6"/>
    <w:rsid w:val="007C7DCE"/>
    <w:rsid w:val="007D0059"/>
    <w:rsid w:val="007D0065"/>
    <w:rsid w:val="007D0311"/>
    <w:rsid w:val="007D0462"/>
    <w:rsid w:val="007D05A8"/>
    <w:rsid w:val="007D0B9A"/>
    <w:rsid w:val="007D0D7B"/>
    <w:rsid w:val="007D0D99"/>
    <w:rsid w:val="007D0E2E"/>
    <w:rsid w:val="007D0E3F"/>
    <w:rsid w:val="007D0FD3"/>
    <w:rsid w:val="007D0FF1"/>
    <w:rsid w:val="007D10D1"/>
    <w:rsid w:val="007D110D"/>
    <w:rsid w:val="007D11A2"/>
    <w:rsid w:val="007D1242"/>
    <w:rsid w:val="007D1342"/>
    <w:rsid w:val="007D1455"/>
    <w:rsid w:val="007D1803"/>
    <w:rsid w:val="007D1BAC"/>
    <w:rsid w:val="007D1FA7"/>
    <w:rsid w:val="007D218D"/>
    <w:rsid w:val="007D21B9"/>
    <w:rsid w:val="007D21E9"/>
    <w:rsid w:val="007D22BC"/>
    <w:rsid w:val="007D23D4"/>
    <w:rsid w:val="007D2420"/>
    <w:rsid w:val="007D26F1"/>
    <w:rsid w:val="007D2768"/>
    <w:rsid w:val="007D2794"/>
    <w:rsid w:val="007D2834"/>
    <w:rsid w:val="007D2A17"/>
    <w:rsid w:val="007D2EC6"/>
    <w:rsid w:val="007D3176"/>
    <w:rsid w:val="007D3394"/>
    <w:rsid w:val="007D3563"/>
    <w:rsid w:val="007D3617"/>
    <w:rsid w:val="007D3737"/>
    <w:rsid w:val="007D379F"/>
    <w:rsid w:val="007D380B"/>
    <w:rsid w:val="007D3BD0"/>
    <w:rsid w:val="007D3E68"/>
    <w:rsid w:val="007D3E8B"/>
    <w:rsid w:val="007D3F8B"/>
    <w:rsid w:val="007D404F"/>
    <w:rsid w:val="007D439A"/>
    <w:rsid w:val="007D446F"/>
    <w:rsid w:val="007D449B"/>
    <w:rsid w:val="007D45AB"/>
    <w:rsid w:val="007D4617"/>
    <w:rsid w:val="007D49B1"/>
    <w:rsid w:val="007D4ACD"/>
    <w:rsid w:val="007D4CEF"/>
    <w:rsid w:val="007D4EB4"/>
    <w:rsid w:val="007D4F25"/>
    <w:rsid w:val="007D4F71"/>
    <w:rsid w:val="007D4FBD"/>
    <w:rsid w:val="007D50B9"/>
    <w:rsid w:val="007D5335"/>
    <w:rsid w:val="007D534B"/>
    <w:rsid w:val="007D5393"/>
    <w:rsid w:val="007D5821"/>
    <w:rsid w:val="007D5939"/>
    <w:rsid w:val="007D5977"/>
    <w:rsid w:val="007D5ACF"/>
    <w:rsid w:val="007D5B75"/>
    <w:rsid w:val="007D5C68"/>
    <w:rsid w:val="007D5F4C"/>
    <w:rsid w:val="007D60E4"/>
    <w:rsid w:val="007D6105"/>
    <w:rsid w:val="007D6142"/>
    <w:rsid w:val="007D6207"/>
    <w:rsid w:val="007D6463"/>
    <w:rsid w:val="007D658F"/>
    <w:rsid w:val="007D67CA"/>
    <w:rsid w:val="007D689A"/>
    <w:rsid w:val="007D69AE"/>
    <w:rsid w:val="007D6B41"/>
    <w:rsid w:val="007D6C13"/>
    <w:rsid w:val="007D6CAE"/>
    <w:rsid w:val="007D6ED4"/>
    <w:rsid w:val="007D704C"/>
    <w:rsid w:val="007D70A9"/>
    <w:rsid w:val="007D7196"/>
    <w:rsid w:val="007D7232"/>
    <w:rsid w:val="007D7258"/>
    <w:rsid w:val="007D732C"/>
    <w:rsid w:val="007D7543"/>
    <w:rsid w:val="007D7621"/>
    <w:rsid w:val="007D76A7"/>
    <w:rsid w:val="007D7973"/>
    <w:rsid w:val="007D7D26"/>
    <w:rsid w:val="007D7E8E"/>
    <w:rsid w:val="007E01F8"/>
    <w:rsid w:val="007E030A"/>
    <w:rsid w:val="007E03C0"/>
    <w:rsid w:val="007E064C"/>
    <w:rsid w:val="007E08E6"/>
    <w:rsid w:val="007E09BC"/>
    <w:rsid w:val="007E0A8A"/>
    <w:rsid w:val="007E0ADE"/>
    <w:rsid w:val="007E0B98"/>
    <w:rsid w:val="007E0FB8"/>
    <w:rsid w:val="007E10C6"/>
    <w:rsid w:val="007E1164"/>
    <w:rsid w:val="007E123C"/>
    <w:rsid w:val="007E13F7"/>
    <w:rsid w:val="007E1412"/>
    <w:rsid w:val="007E146C"/>
    <w:rsid w:val="007E1726"/>
    <w:rsid w:val="007E1794"/>
    <w:rsid w:val="007E179E"/>
    <w:rsid w:val="007E1A2D"/>
    <w:rsid w:val="007E1CBD"/>
    <w:rsid w:val="007E1E16"/>
    <w:rsid w:val="007E1E1B"/>
    <w:rsid w:val="007E1F6D"/>
    <w:rsid w:val="007E2031"/>
    <w:rsid w:val="007E2034"/>
    <w:rsid w:val="007E2051"/>
    <w:rsid w:val="007E215C"/>
    <w:rsid w:val="007E21C5"/>
    <w:rsid w:val="007E231D"/>
    <w:rsid w:val="007E23E7"/>
    <w:rsid w:val="007E2545"/>
    <w:rsid w:val="007E2823"/>
    <w:rsid w:val="007E2836"/>
    <w:rsid w:val="007E29C2"/>
    <w:rsid w:val="007E2A5B"/>
    <w:rsid w:val="007E2BF3"/>
    <w:rsid w:val="007E2CAA"/>
    <w:rsid w:val="007E2FB5"/>
    <w:rsid w:val="007E3091"/>
    <w:rsid w:val="007E311F"/>
    <w:rsid w:val="007E3417"/>
    <w:rsid w:val="007E38C8"/>
    <w:rsid w:val="007E38DF"/>
    <w:rsid w:val="007E3B1E"/>
    <w:rsid w:val="007E3B61"/>
    <w:rsid w:val="007E3C22"/>
    <w:rsid w:val="007E3CAA"/>
    <w:rsid w:val="007E4027"/>
    <w:rsid w:val="007E409A"/>
    <w:rsid w:val="007E42B4"/>
    <w:rsid w:val="007E4417"/>
    <w:rsid w:val="007E445B"/>
    <w:rsid w:val="007E4885"/>
    <w:rsid w:val="007E4932"/>
    <w:rsid w:val="007E495E"/>
    <w:rsid w:val="007E4CA7"/>
    <w:rsid w:val="007E4D0D"/>
    <w:rsid w:val="007E4DDD"/>
    <w:rsid w:val="007E4F72"/>
    <w:rsid w:val="007E5045"/>
    <w:rsid w:val="007E5186"/>
    <w:rsid w:val="007E51A6"/>
    <w:rsid w:val="007E51DA"/>
    <w:rsid w:val="007E562B"/>
    <w:rsid w:val="007E5642"/>
    <w:rsid w:val="007E568A"/>
    <w:rsid w:val="007E577F"/>
    <w:rsid w:val="007E5A8A"/>
    <w:rsid w:val="007E5AAB"/>
    <w:rsid w:val="007E5CE6"/>
    <w:rsid w:val="007E62CD"/>
    <w:rsid w:val="007E6333"/>
    <w:rsid w:val="007E639E"/>
    <w:rsid w:val="007E64F4"/>
    <w:rsid w:val="007E65DF"/>
    <w:rsid w:val="007E66B3"/>
    <w:rsid w:val="007E687E"/>
    <w:rsid w:val="007E68E5"/>
    <w:rsid w:val="007E6C2F"/>
    <w:rsid w:val="007E6CF8"/>
    <w:rsid w:val="007E6E74"/>
    <w:rsid w:val="007E6EEC"/>
    <w:rsid w:val="007E6F05"/>
    <w:rsid w:val="007E708D"/>
    <w:rsid w:val="007E70C8"/>
    <w:rsid w:val="007E7249"/>
    <w:rsid w:val="007E7461"/>
    <w:rsid w:val="007E75B3"/>
    <w:rsid w:val="007E7628"/>
    <w:rsid w:val="007E76F8"/>
    <w:rsid w:val="007E7D93"/>
    <w:rsid w:val="007E7DDC"/>
    <w:rsid w:val="007E7E14"/>
    <w:rsid w:val="007E7F92"/>
    <w:rsid w:val="007F015F"/>
    <w:rsid w:val="007F01D6"/>
    <w:rsid w:val="007F0275"/>
    <w:rsid w:val="007F03A6"/>
    <w:rsid w:val="007F0499"/>
    <w:rsid w:val="007F05CD"/>
    <w:rsid w:val="007F0906"/>
    <w:rsid w:val="007F0C2F"/>
    <w:rsid w:val="007F0D03"/>
    <w:rsid w:val="007F0D24"/>
    <w:rsid w:val="007F0DF6"/>
    <w:rsid w:val="007F0FF1"/>
    <w:rsid w:val="007F1108"/>
    <w:rsid w:val="007F118D"/>
    <w:rsid w:val="007F11A0"/>
    <w:rsid w:val="007F122A"/>
    <w:rsid w:val="007F135A"/>
    <w:rsid w:val="007F1428"/>
    <w:rsid w:val="007F150B"/>
    <w:rsid w:val="007F1705"/>
    <w:rsid w:val="007F17BB"/>
    <w:rsid w:val="007F18A2"/>
    <w:rsid w:val="007F1990"/>
    <w:rsid w:val="007F1B89"/>
    <w:rsid w:val="007F1C34"/>
    <w:rsid w:val="007F1C4A"/>
    <w:rsid w:val="007F1D89"/>
    <w:rsid w:val="007F1EB1"/>
    <w:rsid w:val="007F2024"/>
    <w:rsid w:val="007F2506"/>
    <w:rsid w:val="007F2540"/>
    <w:rsid w:val="007F25C7"/>
    <w:rsid w:val="007F25D2"/>
    <w:rsid w:val="007F269F"/>
    <w:rsid w:val="007F270B"/>
    <w:rsid w:val="007F276A"/>
    <w:rsid w:val="007F2827"/>
    <w:rsid w:val="007F2954"/>
    <w:rsid w:val="007F296C"/>
    <w:rsid w:val="007F3101"/>
    <w:rsid w:val="007F31D0"/>
    <w:rsid w:val="007F3357"/>
    <w:rsid w:val="007F34D9"/>
    <w:rsid w:val="007F398B"/>
    <w:rsid w:val="007F3A73"/>
    <w:rsid w:val="007F3AAB"/>
    <w:rsid w:val="007F3ACC"/>
    <w:rsid w:val="007F3CD5"/>
    <w:rsid w:val="007F3FD4"/>
    <w:rsid w:val="007F41B8"/>
    <w:rsid w:val="007F423A"/>
    <w:rsid w:val="007F425D"/>
    <w:rsid w:val="007F429E"/>
    <w:rsid w:val="007F4355"/>
    <w:rsid w:val="007F4534"/>
    <w:rsid w:val="007F465B"/>
    <w:rsid w:val="007F476F"/>
    <w:rsid w:val="007F47B8"/>
    <w:rsid w:val="007F4828"/>
    <w:rsid w:val="007F4889"/>
    <w:rsid w:val="007F48BF"/>
    <w:rsid w:val="007F48E3"/>
    <w:rsid w:val="007F4AFD"/>
    <w:rsid w:val="007F4B9E"/>
    <w:rsid w:val="007F4CA3"/>
    <w:rsid w:val="007F4DD3"/>
    <w:rsid w:val="007F4F81"/>
    <w:rsid w:val="007F5504"/>
    <w:rsid w:val="007F55B0"/>
    <w:rsid w:val="007F56FE"/>
    <w:rsid w:val="007F5730"/>
    <w:rsid w:val="007F5738"/>
    <w:rsid w:val="007F58D7"/>
    <w:rsid w:val="007F5A96"/>
    <w:rsid w:val="007F5DAB"/>
    <w:rsid w:val="007F5E24"/>
    <w:rsid w:val="007F5F9F"/>
    <w:rsid w:val="007F600B"/>
    <w:rsid w:val="007F635A"/>
    <w:rsid w:val="007F63FE"/>
    <w:rsid w:val="007F6659"/>
    <w:rsid w:val="007F6F13"/>
    <w:rsid w:val="007F718C"/>
    <w:rsid w:val="007F71BF"/>
    <w:rsid w:val="007F74EF"/>
    <w:rsid w:val="007F78D5"/>
    <w:rsid w:val="007F7A8C"/>
    <w:rsid w:val="007F7B7D"/>
    <w:rsid w:val="007F7BE8"/>
    <w:rsid w:val="007F7CEB"/>
    <w:rsid w:val="007F7D45"/>
    <w:rsid w:val="007F7EFC"/>
    <w:rsid w:val="0080001F"/>
    <w:rsid w:val="008001E6"/>
    <w:rsid w:val="00800307"/>
    <w:rsid w:val="008005C0"/>
    <w:rsid w:val="008005C8"/>
    <w:rsid w:val="008006BE"/>
    <w:rsid w:val="00800873"/>
    <w:rsid w:val="00800BED"/>
    <w:rsid w:val="00800BF6"/>
    <w:rsid w:val="00800C73"/>
    <w:rsid w:val="00800CF1"/>
    <w:rsid w:val="00800FB2"/>
    <w:rsid w:val="00801106"/>
    <w:rsid w:val="008011B1"/>
    <w:rsid w:val="008013EC"/>
    <w:rsid w:val="00801417"/>
    <w:rsid w:val="008015F1"/>
    <w:rsid w:val="00801886"/>
    <w:rsid w:val="008018E1"/>
    <w:rsid w:val="00801B2E"/>
    <w:rsid w:val="00801C52"/>
    <w:rsid w:val="00801D6F"/>
    <w:rsid w:val="00801E43"/>
    <w:rsid w:val="00802001"/>
    <w:rsid w:val="008020A7"/>
    <w:rsid w:val="008020C2"/>
    <w:rsid w:val="00802172"/>
    <w:rsid w:val="0080244E"/>
    <w:rsid w:val="008026E9"/>
    <w:rsid w:val="00802888"/>
    <w:rsid w:val="008028B2"/>
    <w:rsid w:val="00802922"/>
    <w:rsid w:val="00802A13"/>
    <w:rsid w:val="00802F1A"/>
    <w:rsid w:val="00802FA0"/>
    <w:rsid w:val="008032D2"/>
    <w:rsid w:val="00803366"/>
    <w:rsid w:val="00803409"/>
    <w:rsid w:val="008035DD"/>
    <w:rsid w:val="008036E9"/>
    <w:rsid w:val="0080397A"/>
    <w:rsid w:val="00803C05"/>
    <w:rsid w:val="00803DC0"/>
    <w:rsid w:val="00804018"/>
    <w:rsid w:val="00804313"/>
    <w:rsid w:val="008043C9"/>
    <w:rsid w:val="008044FA"/>
    <w:rsid w:val="0080454A"/>
    <w:rsid w:val="008045F8"/>
    <w:rsid w:val="008047D3"/>
    <w:rsid w:val="008048DB"/>
    <w:rsid w:val="00804A3E"/>
    <w:rsid w:val="00804DA4"/>
    <w:rsid w:val="00804E14"/>
    <w:rsid w:val="00804EB8"/>
    <w:rsid w:val="00805189"/>
    <w:rsid w:val="008051A1"/>
    <w:rsid w:val="008053AC"/>
    <w:rsid w:val="00805471"/>
    <w:rsid w:val="0080559F"/>
    <w:rsid w:val="0080569F"/>
    <w:rsid w:val="008058C5"/>
    <w:rsid w:val="008059A1"/>
    <w:rsid w:val="00805A1E"/>
    <w:rsid w:val="00805B9F"/>
    <w:rsid w:val="00805BD3"/>
    <w:rsid w:val="00805BDD"/>
    <w:rsid w:val="00805C3F"/>
    <w:rsid w:val="008064BA"/>
    <w:rsid w:val="0080669A"/>
    <w:rsid w:val="00806906"/>
    <w:rsid w:val="0080699E"/>
    <w:rsid w:val="00806C10"/>
    <w:rsid w:val="00807054"/>
    <w:rsid w:val="0080707F"/>
    <w:rsid w:val="0080710D"/>
    <w:rsid w:val="00807277"/>
    <w:rsid w:val="0080728A"/>
    <w:rsid w:val="008073B7"/>
    <w:rsid w:val="0080771A"/>
    <w:rsid w:val="00807A64"/>
    <w:rsid w:val="00807B17"/>
    <w:rsid w:val="00807F5D"/>
    <w:rsid w:val="008100A0"/>
    <w:rsid w:val="008102E5"/>
    <w:rsid w:val="0081046B"/>
    <w:rsid w:val="0081064F"/>
    <w:rsid w:val="00810727"/>
    <w:rsid w:val="008107BB"/>
    <w:rsid w:val="008108C3"/>
    <w:rsid w:val="00810987"/>
    <w:rsid w:val="00810AD6"/>
    <w:rsid w:val="00810B93"/>
    <w:rsid w:val="00810FB7"/>
    <w:rsid w:val="00811079"/>
    <w:rsid w:val="008114BD"/>
    <w:rsid w:val="008115A5"/>
    <w:rsid w:val="00811A00"/>
    <w:rsid w:val="00811AD0"/>
    <w:rsid w:val="00811BBF"/>
    <w:rsid w:val="00811FA5"/>
    <w:rsid w:val="00812066"/>
    <w:rsid w:val="00812353"/>
    <w:rsid w:val="00812364"/>
    <w:rsid w:val="008126B1"/>
    <w:rsid w:val="00812929"/>
    <w:rsid w:val="00812A50"/>
    <w:rsid w:val="00812A75"/>
    <w:rsid w:val="00812AED"/>
    <w:rsid w:val="00812E48"/>
    <w:rsid w:val="00813484"/>
    <w:rsid w:val="00813621"/>
    <w:rsid w:val="0081370C"/>
    <w:rsid w:val="00813AD9"/>
    <w:rsid w:val="00813C8E"/>
    <w:rsid w:val="00813DBC"/>
    <w:rsid w:val="00813E5C"/>
    <w:rsid w:val="00813F73"/>
    <w:rsid w:val="00813F7A"/>
    <w:rsid w:val="00814028"/>
    <w:rsid w:val="00814073"/>
    <w:rsid w:val="008140E2"/>
    <w:rsid w:val="008141DF"/>
    <w:rsid w:val="00814279"/>
    <w:rsid w:val="00814359"/>
    <w:rsid w:val="008143F1"/>
    <w:rsid w:val="00814543"/>
    <w:rsid w:val="00814798"/>
    <w:rsid w:val="00814928"/>
    <w:rsid w:val="0081498B"/>
    <w:rsid w:val="00814A77"/>
    <w:rsid w:val="00814F81"/>
    <w:rsid w:val="008150F4"/>
    <w:rsid w:val="0081525A"/>
    <w:rsid w:val="00815289"/>
    <w:rsid w:val="008152A0"/>
    <w:rsid w:val="00815389"/>
    <w:rsid w:val="0081549F"/>
    <w:rsid w:val="00815B04"/>
    <w:rsid w:val="00815BED"/>
    <w:rsid w:val="00815CB1"/>
    <w:rsid w:val="00815E3D"/>
    <w:rsid w:val="00815E79"/>
    <w:rsid w:val="00815F83"/>
    <w:rsid w:val="0081621E"/>
    <w:rsid w:val="00816277"/>
    <w:rsid w:val="008162BB"/>
    <w:rsid w:val="008163DC"/>
    <w:rsid w:val="0081661C"/>
    <w:rsid w:val="00816731"/>
    <w:rsid w:val="008167A5"/>
    <w:rsid w:val="008168FE"/>
    <w:rsid w:val="008169F1"/>
    <w:rsid w:val="00816B7B"/>
    <w:rsid w:val="00816C7E"/>
    <w:rsid w:val="00816E41"/>
    <w:rsid w:val="00816FEA"/>
    <w:rsid w:val="008172C2"/>
    <w:rsid w:val="00817594"/>
    <w:rsid w:val="008175C5"/>
    <w:rsid w:val="0081784B"/>
    <w:rsid w:val="008178BB"/>
    <w:rsid w:val="00817B21"/>
    <w:rsid w:val="00817BF4"/>
    <w:rsid w:val="00817D2B"/>
    <w:rsid w:val="00817E3F"/>
    <w:rsid w:val="00817E49"/>
    <w:rsid w:val="00820053"/>
    <w:rsid w:val="008200F2"/>
    <w:rsid w:val="00820160"/>
    <w:rsid w:val="0082019C"/>
    <w:rsid w:val="0082034F"/>
    <w:rsid w:val="00820AC4"/>
    <w:rsid w:val="00820B7A"/>
    <w:rsid w:val="00820F4C"/>
    <w:rsid w:val="00820F75"/>
    <w:rsid w:val="00820FF5"/>
    <w:rsid w:val="008210E5"/>
    <w:rsid w:val="008211DE"/>
    <w:rsid w:val="008214CC"/>
    <w:rsid w:val="0082151D"/>
    <w:rsid w:val="00821538"/>
    <w:rsid w:val="00821560"/>
    <w:rsid w:val="00821918"/>
    <w:rsid w:val="00821B0E"/>
    <w:rsid w:val="00821D7A"/>
    <w:rsid w:val="00821D93"/>
    <w:rsid w:val="00821F08"/>
    <w:rsid w:val="00821F18"/>
    <w:rsid w:val="00821F5E"/>
    <w:rsid w:val="00822155"/>
    <w:rsid w:val="00822309"/>
    <w:rsid w:val="00822384"/>
    <w:rsid w:val="00822592"/>
    <w:rsid w:val="00822608"/>
    <w:rsid w:val="00822995"/>
    <w:rsid w:val="00822A3E"/>
    <w:rsid w:val="00822AD2"/>
    <w:rsid w:val="00822B05"/>
    <w:rsid w:val="00822CB0"/>
    <w:rsid w:val="00822DB3"/>
    <w:rsid w:val="00822EA9"/>
    <w:rsid w:val="00822F11"/>
    <w:rsid w:val="00822FC7"/>
    <w:rsid w:val="008230F8"/>
    <w:rsid w:val="0082315F"/>
    <w:rsid w:val="008231AC"/>
    <w:rsid w:val="008231DF"/>
    <w:rsid w:val="00823586"/>
    <w:rsid w:val="0082379D"/>
    <w:rsid w:val="008237D0"/>
    <w:rsid w:val="008239A9"/>
    <w:rsid w:val="00823A03"/>
    <w:rsid w:val="00823ABD"/>
    <w:rsid w:val="00823F00"/>
    <w:rsid w:val="00823F67"/>
    <w:rsid w:val="0082417C"/>
    <w:rsid w:val="00824252"/>
    <w:rsid w:val="0082479C"/>
    <w:rsid w:val="008248C1"/>
    <w:rsid w:val="00824AE2"/>
    <w:rsid w:val="00824C2D"/>
    <w:rsid w:val="00824D2A"/>
    <w:rsid w:val="00824DF7"/>
    <w:rsid w:val="00824F63"/>
    <w:rsid w:val="00825149"/>
    <w:rsid w:val="008255C5"/>
    <w:rsid w:val="00825622"/>
    <w:rsid w:val="008256AB"/>
    <w:rsid w:val="00825806"/>
    <w:rsid w:val="0082586F"/>
    <w:rsid w:val="008258A7"/>
    <w:rsid w:val="00825CB7"/>
    <w:rsid w:val="00825D12"/>
    <w:rsid w:val="00825E87"/>
    <w:rsid w:val="008262D7"/>
    <w:rsid w:val="00826395"/>
    <w:rsid w:val="0082643E"/>
    <w:rsid w:val="0082652A"/>
    <w:rsid w:val="008265E2"/>
    <w:rsid w:val="008267C8"/>
    <w:rsid w:val="0082690A"/>
    <w:rsid w:val="00826AD2"/>
    <w:rsid w:val="00826EDD"/>
    <w:rsid w:val="00826FCE"/>
    <w:rsid w:val="00826FFE"/>
    <w:rsid w:val="00827086"/>
    <w:rsid w:val="008270E3"/>
    <w:rsid w:val="008272C3"/>
    <w:rsid w:val="00827583"/>
    <w:rsid w:val="0082790A"/>
    <w:rsid w:val="008279C2"/>
    <w:rsid w:val="008279CB"/>
    <w:rsid w:val="00827AA3"/>
    <w:rsid w:val="00827BCF"/>
    <w:rsid w:val="0083005E"/>
    <w:rsid w:val="008300E9"/>
    <w:rsid w:val="0083010E"/>
    <w:rsid w:val="00830183"/>
    <w:rsid w:val="008301A3"/>
    <w:rsid w:val="00830224"/>
    <w:rsid w:val="00830698"/>
    <w:rsid w:val="0083075E"/>
    <w:rsid w:val="0083083B"/>
    <w:rsid w:val="00830C25"/>
    <w:rsid w:val="00831056"/>
    <w:rsid w:val="0083118F"/>
    <w:rsid w:val="008311F1"/>
    <w:rsid w:val="008312A8"/>
    <w:rsid w:val="008312AD"/>
    <w:rsid w:val="0083150E"/>
    <w:rsid w:val="00831724"/>
    <w:rsid w:val="008317E2"/>
    <w:rsid w:val="0083198B"/>
    <w:rsid w:val="00831A08"/>
    <w:rsid w:val="00831D35"/>
    <w:rsid w:val="00831DA6"/>
    <w:rsid w:val="00831E43"/>
    <w:rsid w:val="00831F69"/>
    <w:rsid w:val="008320AC"/>
    <w:rsid w:val="008320C2"/>
    <w:rsid w:val="00832257"/>
    <w:rsid w:val="00832438"/>
    <w:rsid w:val="00832582"/>
    <w:rsid w:val="00832829"/>
    <w:rsid w:val="00832A43"/>
    <w:rsid w:val="00832AAE"/>
    <w:rsid w:val="00832ADE"/>
    <w:rsid w:val="00832D4A"/>
    <w:rsid w:val="00833009"/>
    <w:rsid w:val="00833639"/>
    <w:rsid w:val="008336D3"/>
    <w:rsid w:val="0083382D"/>
    <w:rsid w:val="00833A93"/>
    <w:rsid w:val="00833AA2"/>
    <w:rsid w:val="008340F1"/>
    <w:rsid w:val="0083425D"/>
    <w:rsid w:val="008343B8"/>
    <w:rsid w:val="008344F0"/>
    <w:rsid w:val="00834510"/>
    <w:rsid w:val="0083479C"/>
    <w:rsid w:val="008347D5"/>
    <w:rsid w:val="0083485F"/>
    <w:rsid w:val="00834B06"/>
    <w:rsid w:val="00834CB5"/>
    <w:rsid w:val="00835236"/>
    <w:rsid w:val="00835349"/>
    <w:rsid w:val="0083535E"/>
    <w:rsid w:val="00835497"/>
    <w:rsid w:val="0083561F"/>
    <w:rsid w:val="00835707"/>
    <w:rsid w:val="00835831"/>
    <w:rsid w:val="0083590C"/>
    <w:rsid w:val="00835A69"/>
    <w:rsid w:val="00835B8C"/>
    <w:rsid w:val="00835ECD"/>
    <w:rsid w:val="00836487"/>
    <w:rsid w:val="00836532"/>
    <w:rsid w:val="00836724"/>
    <w:rsid w:val="00836783"/>
    <w:rsid w:val="0083680E"/>
    <w:rsid w:val="0083685E"/>
    <w:rsid w:val="00836964"/>
    <w:rsid w:val="00836BF2"/>
    <w:rsid w:val="00837021"/>
    <w:rsid w:val="00837296"/>
    <w:rsid w:val="00837463"/>
    <w:rsid w:val="00837560"/>
    <w:rsid w:val="00837807"/>
    <w:rsid w:val="00837A31"/>
    <w:rsid w:val="00837A8D"/>
    <w:rsid w:val="00837AE5"/>
    <w:rsid w:val="00837CEA"/>
    <w:rsid w:val="00837DD0"/>
    <w:rsid w:val="00837E86"/>
    <w:rsid w:val="0084016F"/>
    <w:rsid w:val="00840293"/>
    <w:rsid w:val="0084035F"/>
    <w:rsid w:val="00840620"/>
    <w:rsid w:val="00840667"/>
    <w:rsid w:val="00840747"/>
    <w:rsid w:val="00840826"/>
    <w:rsid w:val="00840B3C"/>
    <w:rsid w:val="00840D55"/>
    <w:rsid w:val="00840E3C"/>
    <w:rsid w:val="008416B4"/>
    <w:rsid w:val="00841A18"/>
    <w:rsid w:val="00841A3B"/>
    <w:rsid w:val="00841AAA"/>
    <w:rsid w:val="00841AE3"/>
    <w:rsid w:val="00841B62"/>
    <w:rsid w:val="00841C94"/>
    <w:rsid w:val="00841D20"/>
    <w:rsid w:val="00841EB4"/>
    <w:rsid w:val="00841FB5"/>
    <w:rsid w:val="00842052"/>
    <w:rsid w:val="00842101"/>
    <w:rsid w:val="008421FD"/>
    <w:rsid w:val="00842260"/>
    <w:rsid w:val="00842322"/>
    <w:rsid w:val="008423B7"/>
    <w:rsid w:val="008423BD"/>
    <w:rsid w:val="00842539"/>
    <w:rsid w:val="0084276C"/>
    <w:rsid w:val="00842A0A"/>
    <w:rsid w:val="00842A64"/>
    <w:rsid w:val="00842CE7"/>
    <w:rsid w:val="00842DF1"/>
    <w:rsid w:val="008430E1"/>
    <w:rsid w:val="008431CC"/>
    <w:rsid w:val="00843282"/>
    <w:rsid w:val="008433A8"/>
    <w:rsid w:val="008433CB"/>
    <w:rsid w:val="00843533"/>
    <w:rsid w:val="00843639"/>
    <w:rsid w:val="008437BD"/>
    <w:rsid w:val="0084389C"/>
    <w:rsid w:val="008438A4"/>
    <w:rsid w:val="008438A9"/>
    <w:rsid w:val="008438CB"/>
    <w:rsid w:val="00843904"/>
    <w:rsid w:val="00843953"/>
    <w:rsid w:val="0084398B"/>
    <w:rsid w:val="008439EA"/>
    <w:rsid w:val="00843B68"/>
    <w:rsid w:val="00843C74"/>
    <w:rsid w:val="00843D72"/>
    <w:rsid w:val="00844053"/>
    <w:rsid w:val="0084406F"/>
    <w:rsid w:val="008442BA"/>
    <w:rsid w:val="008446E9"/>
    <w:rsid w:val="00844878"/>
    <w:rsid w:val="00844909"/>
    <w:rsid w:val="0084491D"/>
    <w:rsid w:val="0084494D"/>
    <w:rsid w:val="0084496A"/>
    <w:rsid w:val="00844B2A"/>
    <w:rsid w:val="00844B87"/>
    <w:rsid w:val="00844C27"/>
    <w:rsid w:val="00844F15"/>
    <w:rsid w:val="008450C0"/>
    <w:rsid w:val="0084530C"/>
    <w:rsid w:val="00845401"/>
    <w:rsid w:val="0084540A"/>
    <w:rsid w:val="008456C9"/>
    <w:rsid w:val="008456E3"/>
    <w:rsid w:val="00845709"/>
    <w:rsid w:val="008458E8"/>
    <w:rsid w:val="00845A8F"/>
    <w:rsid w:val="00845C34"/>
    <w:rsid w:val="00845D26"/>
    <w:rsid w:val="00845F67"/>
    <w:rsid w:val="008460CB"/>
    <w:rsid w:val="008460F0"/>
    <w:rsid w:val="008460F2"/>
    <w:rsid w:val="00846265"/>
    <w:rsid w:val="0084637D"/>
    <w:rsid w:val="00846523"/>
    <w:rsid w:val="008465B8"/>
    <w:rsid w:val="008468E3"/>
    <w:rsid w:val="00846960"/>
    <w:rsid w:val="008469C4"/>
    <w:rsid w:val="00846A08"/>
    <w:rsid w:val="00846A79"/>
    <w:rsid w:val="00846BCB"/>
    <w:rsid w:val="00846E17"/>
    <w:rsid w:val="00846EE9"/>
    <w:rsid w:val="00846F21"/>
    <w:rsid w:val="00846FA8"/>
    <w:rsid w:val="00847050"/>
    <w:rsid w:val="0084720D"/>
    <w:rsid w:val="008472B9"/>
    <w:rsid w:val="00847521"/>
    <w:rsid w:val="00847780"/>
    <w:rsid w:val="00847D1A"/>
    <w:rsid w:val="00847F3A"/>
    <w:rsid w:val="00847FE3"/>
    <w:rsid w:val="0085005B"/>
    <w:rsid w:val="008501BF"/>
    <w:rsid w:val="00850666"/>
    <w:rsid w:val="0085085C"/>
    <w:rsid w:val="00850930"/>
    <w:rsid w:val="00850AB9"/>
    <w:rsid w:val="00850BC8"/>
    <w:rsid w:val="00850C02"/>
    <w:rsid w:val="00850C9F"/>
    <w:rsid w:val="00850E1E"/>
    <w:rsid w:val="00850F4F"/>
    <w:rsid w:val="00851018"/>
    <w:rsid w:val="008510C1"/>
    <w:rsid w:val="00851113"/>
    <w:rsid w:val="00851139"/>
    <w:rsid w:val="0085129E"/>
    <w:rsid w:val="00851446"/>
    <w:rsid w:val="00851822"/>
    <w:rsid w:val="008519D9"/>
    <w:rsid w:val="00851D8B"/>
    <w:rsid w:val="00851DEA"/>
    <w:rsid w:val="00851E7A"/>
    <w:rsid w:val="00852105"/>
    <w:rsid w:val="00852168"/>
    <w:rsid w:val="00852393"/>
    <w:rsid w:val="0085239F"/>
    <w:rsid w:val="00852464"/>
    <w:rsid w:val="008525B5"/>
    <w:rsid w:val="008526D1"/>
    <w:rsid w:val="0085277D"/>
    <w:rsid w:val="00852AB8"/>
    <w:rsid w:val="00852BA6"/>
    <w:rsid w:val="00852BB9"/>
    <w:rsid w:val="00852C91"/>
    <w:rsid w:val="00852E8D"/>
    <w:rsid w:val="00852EEA"/>
    <w:rsid w:val="00852F36"/>
    <w:rsid w:val="008531A4"/>
    <w:rsid w:val="008531D9"/>
    <w:rsid w:val="008531E4"/>
    <w:rsid w:val="0085327D"/>
    <w:rsid w:val="0085333B"/>
    <w:rsid w:val="0085344B"/>
    <w:rsid w:val="00853773"/>
    <w:rsid w:val="0085379A"/>
    <w:rsid w:val="00853896"/>
    <w:rsid w:val="00853E19"/>
    <w:rsid w:val="00853E35"/>
    <w:rsid w:val="00853F60"/>
    <w:rsid w:val="00853FD2"/>
    <w:rsid w:val="008541AD"/>
    <w:rsid w:val="00854351"/>
    <w:rsid w:val="0085440B"/>
    <w:rsid w:val="00854462"/>
    <w:rsid w:val="008544F7"/>
    <w:rsid w:val="00854675"/>
    <w:rsid w:val="00854721"/>
    <w:rsid w:val="0085488F"/>
    <w:rsid w:val="0085493F"/>
    <w:rsid w:val="00854945"/>
    <w:rsid w:val="00854968"/>
    <w:rsid w:val="00854A39"/>
    <w:rsid w:val="00854A76"/>
    <w:rsid w:val="00854B01"/>
    <w:rsid w:val="00854B16"/>
    <w:rsid w:val="00854D57"/>
    <w:rsid w:val="008552E6"/>
    <w:rsid w:val="008553D5"/>
    <w:rsid w:val="00855502"/>
    <w:rsid w:val="008555D9"/>
    <w:rsid w:val="008556DE"/>
    <w:rsid w:val="008556EA"/>
    <w:rsid w:val="008557B6"/>
    <w:rsid w:val="00855A9A"/>
    <w:rsid w:val="00855AAF"/>
    <w:rsid w:val="00855B97"/>
    <w:rsid w:val="00855BB1"/>
    <w:rsid w:val="00855C49"/>
    <w:rsid w:val="00855D56"/>
    <w:rsid w:val="00855DBF"/>
    <w:rsid w:val="00855DF8"/>
    <w:rsid w:val="0085648B"/>
    <w:rsid w:val="0085649B"/>
    <w:rsid w:val="008565B2"/>
    <w:rsid w:val="008565E2"/>
    <w:rsid w:val="008566F5"/>
    <w:rsid w:val="00856A0E"/>
    <w:rsid w:val="00856FC1"/>
    <w:rsid w:val="00857076"/>
    <w:rsid w:val="0085709C"/>
    <w:rsid w:val="0085713A"/>
    <w:rsid w:val="0085719C"/>
    <w:rsid w:val="00857251"/>
    <w:rsid w:val="00857393"/>
    <w:rsid w:val="00857440"/>
    <w:rsid w:val="0085770B"/>
    <w:rsid w:val="00857827"/>
    <w:rsid w:val="0085786D"/>
    <w:rsid w:val="00857884"/>
    <w:rsid w:val="008579DC"/>
    <w:rsid w:val="00857C05"/>
    <w:rsid w:val="00857E28"/>
    <w:rsid w:val="00857FC8"/>
    <w:rsid w:val="008601BF"/>
    <w:rsid w:val="008602F2"/>
    <w:rsid w:val="0086061C"/>
    <w:rsid w:val="0086079A"/>
    <w:rsid w:val="00860C99"/>
    <w:rsid w:val="00861048"/>
    <w:rsid w:val="008611AF"/>
    <w:rsid w:val="008613E0"/>
    <w:rsid w:val="0086144B"/>
    <w:rsid w:val="008615AE"/>
    <w:rsid w:val="008615EE"/>
    <w:rsid w:val="0086164B"/>
    <w:rsid w:val="00861805"/>
    <w:rsid w:val="00861B2D"/>
    <w:rsid w:val="00861D9D"/>
    <w:rsid w:val="00861DA2"/>
    <w:rsid w:val="00862284"/>
    <w:rsid w:val="008622CB"/>
    <w:rsid w:val="00862462"/>
    <w:rsid w:val="008626A5"/>
    <w:rsid w:val="008626D4"/>
    <w:rsid w:val="008626E6"/>
    <w:rsid w:val="00862761"/>
    <w:rsid w:val="00862893"/>
    <w:rsid w:val="00862914"/>
    <w:rsid w:val="00862A4C"/>
    <w:rsid w:val="00862D6C"/>
    <w:rsid w:val="00862E39"/>
    <w:rsid w:val="00862ED1"/>
    <w:rsid w:val="008631CE"/>
    <w:rsid w:val="008633BC"/>
    <w:rsid w:val="008633CE"/>
    <w:rsid w:val="00863539"/>
    <w:rsid w:val="008635DE"/>
    <w:rsid w:val="008638D8"/>
    <w:rsid w:val="008638EE"/>
    <w:rsid w:val="00863921"/>
    <w:rsid w:val="00863936"/>
    <w:rsid w:val="00863998"/>
    <w:rsid w:val="008639DD"/>
    <w:rsid w:val="00863B09"/>
    <w:rsid w:val="00863C45"/>
    <w:rsid w:val="00863DED"/>
    <w:rsid w:val="00863EB5"/>
    <w:rsid w:val="00863F77"/>
    <w:rsid w:val="00864114"/>
    <w:rsid w:val="0086411C"/>
    <w:rsid w:val="00864309"/>
    <w:rsid w:val="008643F1"/>
    <w:rsid w:val="0086443E"/>
    <w:rsid w:val="0086452F"/>
    <w:rsid w:val="008646A0"/>
    <w:rsid w:val="008646A5"/>
    <w:rsid w:val="00864756"/>
    <w:rsid w:val="00864874"/>
    <w:rsid w:val="00864B5A"/>
    <w:rsid w:val="00864CC4"/>
    <w:rsid w:val="00864D14"/>
    <w:rsid w:val="00864D1A"/>
    <w:rsid w:val="00864DC9"/>
    <w:rsid w:val="00864DE4"/>
    <w:rsid w:val="00864FDB"/>
    <w:rsid w:val="00865066"/>
    <w:rsid w:val="008652E5"/>
    <w:rsid w:val="0086531F"/>
    <w:rsid w:val="008653DA"/>
    <w:rsid w:val="008654FE"/>
    <w:rsid w:val="00865698"/>
    <w:rsid w:val="00865803"/>
    <w:rsid w:val="008658B4"/>
    <w:rsid w:val="00865985"/>
    <w:rsid w:val="00865B18"/>
    <w:rsid w:val="00865BCE"/>
    <w:rsid w:val="00865E27"/>
    <w:rsid w:val="00865F24"/>
    <w:rsid w:val="008662FA"/>
    <w:rsid w:val="00866304"/>
    <w:rsid w:val="00866351"/>
    <w:rsid w:val="0086648E"/>
    <w:rsid w:val="008667B9"/>
    <w:rsid w:val="00866930"/>
    <w:rsid w:val="00866A30"/>
    <w:rsid w:val="00866D99"/>
    <w:rsid w:val="00866FE6"/>
    <w:rsid w:val="008671D1"/>
    <w:rsid w:val="0086723F"/>
    <w:rsid w:val="00867314"/>
    <w:rsid w:val="00867482"/>
    <w:rsid w:val="008676FA"/>
    <w:rsid w:val="008677FA"/>
    <w:rsid w:val="008678A5"/>
    <w:rsid w:val="00867B0D"/>
    <w:rsid w:val="00867B62"/>
    <w:rsid w:val="00867FFE"/>
    <w:rsid w:val="00870030"/>
    <w:rsid w:val="00870077"/>
    <w:rsid w:val="00870136"/>
    <w:rsid w:val="008706EA"/>
    <w:rsid w:val="00870770"/>
    <w:rsid w:val="00870879"/>
    <w:rsid w:val="00870A3D"/>
    <w:rsid w:val="00870B79"/>
    <w:rsid w:val="00870E9D"/>
    <w:rsid w:val="008714F2"/>
    <w:rsid w:val="00871573"/>
    <w:rsid w:val="008718C7"/>
    <w:rsid w:val="008718CE"/>
    <w:rsid w:val="00871D7F"/>
    <w:rsid w:val="00871E44"/>
    <w:rsid w:val="00871E50"/>
    <w:rsid w:val="00871F89"/>
    <w:rsid w:val="00871FCD"/>
    <w:rsid w:val="008721D9"/>
    <w:rsid w:val="008722F2"/>
    <w:rsid w:val="00872531"/>
    <w:rsid w:val="0087275E"/>
    <w:rsid w:val="00872A45"/>
    <w:rsid w:val="00872D2A"/>
    <w:rsid w:val="00872FD2"/>
    <w:rsid w:val="00873088"/>
    <w:rsid w:val="008730B2"/>
    <w:rsid w:val="008735D5"/>
    <w:rsid w:val="00873723"/>
    <w:rsid w:val="00873895"/>
    <w:rsid w:val="008738DD"/>
    <w:rsid w:val="0087393E"/>
    <w:rsid w:val="00873A4F"/>
    <w:rsid w:val="00873C44"/>
    <w:rsid w:val="00873D35"/>
    <w:rsid w:val="00873D66"/>
    <w:rsid w:val="00873DE5"/>
    <w:rsid w:val="00873EAA"/>
    <w:rsid w:val="00873EFB"/>
    <w:rsid w:val="00873EFD"/>
    <w:rsid w:val="00873FC1"/>
    <w:rsid w:val="008744AE"/>
    <w:rsid w:val="008745EC"/>
    <w:rsid w:val="008747FE"/>
    <w:rsid w:val="0087490B"/>
    <w:rsid w:val="00874B7B"/>
    <w:rsid w:val="00874B86"/>
    <w:rsid w:val="00874C14"/>
    <w:rsid w:val="00874E5C"/>
    <w:rsid w:val="00874FE6"/>
    <w:rsid w:val="00874FE7"/>
    <w:rsid w:val="00875472"/>
    <w:rsid w:val="0087553B"/>
    <w:rsid w:val="0087574E"/>
    <w:rsid w:val="00875ABD"/>
    <w:rsid w:val="00875DFF"/>
    <w:rsid w:val="00876341"/>
    <w:rsid w:val="008766F5"/>
    <w:rsid w:val="008767ED"/>
    <w:rsid w:val="00876869"/>
    <w:rsid w:val="0087697A"/>
    <w:rsid w:val="00876AC6"/>
    <w:rsid w:val="00876B68"/>
    <w:rsid w:val="00876C43"/>
    <w:rsid w:val="00876C82"/>
    <w:rsid w:val="00876D45"/>
    <w:rsid w:val="00876E27"/>
    <w:rsid w:val="00876F9C"/>
    <w:rsid w:val="00877088"/>
    <w:rsid w:val="00877128"/>
    <w:rsid w:val="008771CB"/>
    <w:rsid w:val="008773F3"/>
    <w:rsid w:val="0087749D"/>
    <w:rsid w:val="0087751D"/>
    <w:rsid w:val="008777AE"/>
    <w:rsid w:val="008777D8"/>
    <w:rsid w:val="0087788E"/>
    <w:rsid w:val="00877A24"/>
    <w:rsid w:val="00877DE9"/>
    <w:rsid w:val="00880027"/>
    <w:rsid w:val="00880057"/>
    <w:rsid w:val="00880185"/>
    <w:rsid w:val="00880349"/>
    <w:rsid w:val="008807AE"/>
    <w:rsid w:val="008808B1"/>
    <w:rsid w:val="00880A09"/>
    <w:rsid w:val="00880A21"/>
    <w:rsid w:val="00881223"/>
    <w:rsid w:val="008813FA"/>
    <w:rsid w:val="0088184F"/>
    <w:rsid w:val="0088192C"/>
    <w:rsid w:val="008819D2"/>
    <w:rsid w:val="00881ADC"/>
    <w:rsid w:val="00881CA6"/>
    <w:rsid w:val="00881F7E"/>
    <w:rsid w:val="0088212A"/>
    <w:rsid w:val="00882384"/>
    <w:rsid w:val="008824B0"/>
    <w:rsid w:val="008825A2"/>
    <w:rsid w:val="008825C0"/>
    <w:rsid w:val="008825EB"/>
    <w:rsid w:val="00882650"/>
    <w:rsid w:val="00882731"/>
    <w:rsid w:val="008827B8"/>
    <w:rsid w:val="008827DF"/>
    <w:rsid w:val="00882837"/>
    <w:rsid w:val="008829DE"/>
    <w:rsid w:val="00882B73"/>
    <w:rsid w:val="00882C11"/>
    <w:rsid w:val="00882CED"/>
    <w:rsid w:val="00882E22"/>
    <w:rsid w:val="00882EB0"/>
    <w:rsid w:val="00883138"/>
    <w:rsid w:val="008832DB"/>
    <w:rsid w:val="0088336C"/>
    <w:rsid w:val="0088343B"/>
    <w:rsid w:val="00883754"/>
    <w:rsid w:val="00883766"/>
    <w:rsid w:val="00883C25"/>
    <w:rsid w:val="00883DFC"/>
    <w:rsid w:val="008846A0"/>
    <w:rsid w:val="00884A6E"/>
    <w:rsid w:val="00884A71"/>
    <w:rsid w:val="00884B05"/>
    <w:rsid w:val="00884BB1"/>
    <w:rsid w:val="00884BE5"/>
    <w:rsid w:val="00884D60"/>
    <w:rsid w:val="00884EB5"/>
    <w:rsid w:val="00884EC7"/>
    <w:rsid w:val="00884EF3"/>
    <w:rsid w:val="008850AD"/>
    <w:rsid w:val="00885114"/>
    <w:rsid w:val="00885271"/>
    <w:rsid w:val="008854A3"/>
    <w:rsid w:val="008854AF"/>
    <w:rsid w:val="00885532"/>
    <w:rsid w:val="008859CE"/>
    <w:rsid w:val="00885A48"/>
    <w:rsid w:val="00885B69"/>
    <w:rsid w:val="00885BA1"/>
    <w:rsid w:val="00885FAD"/>
    <w:rsid w:val="00886031"/>
    <w:rsid w:val="00886076"/>
    <w:rsid w:val="00886144"/>
    <w:rsid w:val="00886363"/>
    <w:rsid w:val="0088651E"/>
    <w:rsid w:val="00886553"/>
    <w:rsid w:val="0088665F"/>
    <w:rsid w:val="008866DD"/>
    <w:rsid w:val="00886986"/>
    <w:rsid w:val="008869D1"/>
    <w:rsid w:val="00886A04"/>
    <w:rsid w:val="00886E55"/>
    <w:rsid w:val="008871AE"/>
    <w:rsid w:val="0088727B"/>
    <w:rsid w:val="008872B8"/>
    <w:rsid w:val="008876FD"/>
    <w:rsid w:val="0088770D"/>
    <w:rsid w:val="00887786"/>
    <w:rsid w:val="008879D9"/>
    <w:rsid w:val="00887C33"/>
    <w:rsid w:val="00887D62"/>
    <w:rsid w:val="00887DAA"/>
    <w:rsid w:val="00887E16"/>
    <w:rsid w:val="00887E34"/>
    <w:rsid w:val="00887E5F"/>
    <w:rsid w:val="00887FAA"/>
    <w:rsid w:val="008901BB"/>
    <w:rsid w:val="00890563"/>
    <w:rsid w:val="0089070C"/>
    <w:rsid w:val="00890736"/>
    <w:rsid w:val="00890819"/>
    <w:rsid w:val="008908F0"/>
    <w:rsid w:val="00890C94"/>
    <w:rsid w:val="00890DCA"/>
    <w:rsid w:val="00890EA7"/>
    <w:rsid w:val="00890EC1"/>
    <w:rsid w:val="00890F7F"/>
    <w:rsid w:val="008911BA"/>
    <w:rsid w:val="008912E7"/>
    <w:rsid w:val="00891307"/>
    <w:rsid w:val="00891329"/>
    <w:rsid w:val="00891472"/>
    <w:rsid w:val="0089155C"/>
    <w:rsid w:val="00891684"/>
    <w:rsid w:val="008917EF"/>
    <w:rsid w:val="00891A20"/>
    <w:rsid w:val="00891B0C"/>
    <w:rsid w:val="00891B95"/>
    <w:rsid w:val="00891BDB"/>
    <w:rsid w:val="00891CEE"/>
    <w:rsid w:val="00891F61"/>
    <w:rsid w:val="00891FA0"/>
    <w:rsid w:val="00891FE8"/>
    <w:rsid w:val="0089214E"/>
    <w:rsid w:val="008921F6"/>
    <w:rsid w:val="0089221A"/>
    <w:rsid w:val="008922C5"/>
    <w:rsid w:val="008922CA"/>
    <w:rsid w:val="00892411"/>
    <w:rsid w:val="0089245E"/>
    <w:rsid w:val="008924E9"/>
    <w:rsid w:val="008924EA"/>
    <w:rsid w:val="008924F6"/>
    <w:rsid w:val="00892743"/>
    <w:rsid w:val="00892751"/>
    <w:rsid w:val="0089293A"/>
    <w:rsid w:val="00892C12"/>
    <w:rsid w:val="00892C31"/>
    <w:rsid w:val="00892E65"/>
    <w:rsid w:val="00892F56"/>
    <w:rsid w:val="008930DE"/>
    <w:rsid w:val="00893134"/>
    <w:rsid w:val="0089327F"/>
    <w:rsid w:val="008936C2"/>
    <w:rsid w:val="008936D0"/>
    <w:rsid w:val="008937C8"/>
    <w:rsid w:val="00893896"/>
    <w:rsid w:val="00893926"/>
    <w:rsid w:val="00893946"/>
    <w:rsid w:val="00893A4F"/>
    <w:rsid w:val="00893ABC"/>
    <w:rsid w:val="00893C53"/>
    <w:rsid w:val="00893DC2"/>
    <w:rsid w:val="00893E32"/>
    <w:rsid w:val="00893E99"/>
    <w:rsid w:val="00893EC0"/>
    <w:rsid w:val="0089401E"/>
    <w:rsid w:val="00894190"/>
    <w:rsid w:val="00894330"/>
    <w:rsid w:val="008943D3"/>
    <w:rsid w:val="008945DD"/>
    <w:rsid w:val="0089465D"/>
    <w:rsid w:val="008946A6"/>
    <w:rsid w:val="0089487A"/>
    <w:rsid w:val="00894AA7"/>
    <w:rsid w:val="00894EB7"/>
    <w:rsid w:val="00894F9A"/>
    <w:rsid w:val="008952CB"/>
    <w:rsid w:val="008953DD"/>
    <w:rsid w:val="008954C2"/>
    <w:rsid w:val="008955C7"/>
    <w:rsid w:val="00895665"/>
    <w:rsid w:val="0089575E"/>
    <w:rsid w:val="00895836"/>
    <w:rsid w:val="00895961"/>
    <w:rsid w:val="0089597E"/>
    <w:rsid w:val="00895C0F"/>
    <w:rsid w:val="00895FC2"/>
    <w:rsid w:val="00896028"/>
    <w:rsid w:val="008960E7"/>
    <w:rsid w:val="00896217"/>
    <w:rsid w:val="008962CF"/>
    <w:rsid w:val="008962E1"/>
    <w:rsid w:val="008964A4"/>
    <w:rsid w:val="0089658C"/>
    <w:rsid w:val="00896651"/>
    <w:rsid w:val="00896749"/>
    <w:rsid w:val="008967AB"/>
    <w:rsid w:val="008967CB"/>
    <w:rsid w:val="00896BD0"/>
    <w:rsid w:val="00896D99"/>
    <w:rsid w:val="00896FD5"/>
    <w:rsid w:val="008970F7"/>
    <w:rsid w:val="0089714F"/>
    <w:rsid w:val="00897470"/>
    <w:rsid w:val="00897B58"/>
    <w:rsid w:val="00897DA2"/>
    <w:rsid w:val="00897FB2"/>
    <w:rsid w:val="008A0106"/>
    <w:rsid w:val="008A0295"/>
    <w:rsid w:val="008A02DD"/>
    <w:rsid w:val="008A032D"/>
    <w:rsid w:val="008A037A"/>
    <w:rsid w:val="008A03E1"/>
    <w:rsid w:val="008A054B"/>
    <w:rsid w:val="008A054F"/>
    <w:rsid w:val="008A0751"/>
    <w:rsid w:val="008A076A"/>
    <w:rsid w:val="008A08B8"/>
    <w:rsid w:val="008A0A17"/>
    <w:rsid w:val="008A0C2E"/>
    <w:rsid w:val="008A0EB4"/>
    <w:rsid w:val="008A11A4"/>
    <w:rsid w:val="008A11EC"/>
    <w:rsid w:val="008A140F"/>
    <w:rsid w:val="008A1593"/>
    <w:rsid w:val="008A169F"/>
    <w:rsid w:val="008A179B"/>
    <w:rsid w:val="008A17D8"/>
    <w:rsid w:val="008A1802"/>
    <w:rsid w:val="008A189E"/>
    <w:rsid w:val="008A1907"/>
    <w:rsid w:val="008A198A"/>
    <w:rsid w:val="008A1AF4"/>
    <w:rsid w:val="008A1AF5"/>
    <w:rsid w:val="008A1B6C"/>
    <w:rsid w:val="008A1CAE"/>
    <w:rsid w:val="008A1F40"/>
    <w:rsid w:val="008A219D"/>
    <w:rsid w:val="008A2239"/>
    <w:rsid w:val="008A232D"/>
    <w:rsid w:val="008A2670"/>
    <w:rsid w:val="008A28E4"/>
    <w:rsid w:val="008A2A9F"/>
    <w:rsid w:val="008A2BB0"/>
    <w:rsid w:val="008A2BFD"/>
    <w:rsid w:val="008A2D30"/>
    <w:rsid w:val="008A2DD2"/>
    <w:rsid w:val="008A2E64"/>
    <w:rsid w:val="008A309A"/>
    <w:rsid w:val="008A3114"/>
    <w:rsid w:val="008A321D"/>
    <w:rsid w:val="008A3358"/>
    <w:rsid w:val="008A337A"/>
    <w:rsid w:val="008A33C8"/>
    <w:rsid w:val="008A3405"/>
    <w:rsid w:val="008A349B"/>
    <w:rsid w:val="008A3698"/>
    <w:rsid w:val="008A36A7"/>
    <w:rsid w:val="008A376B"/>
    <w:rsid w:val="008A3889"/>
    <w:rsid w:val="008A3D1C"/>
    <w:rsid w:val="008A4020"/>
    <w:rsid w:val="008A413D"/>
    <w:rsid w:val="008A42C9"/>
    <w:rsid w:val="008A4438"/>
    <w:rsid w:val="008A44E5"/>
    <w:rsid w:val="008A4C65"/>
    <w:rsid w:val="008A4C70"/>
    <w:rsid w:val="008A4DC7"/>
    <w:rsid w:val="008A4E5E"/>
    <w:rsid w:val="008A50A5"/>
    <w:rsid w:val="008A50C6"/>
    <w:rsid w:val="008A5160"/>
    <w:rsid w:val="008A51F8"/>
    <w:rsid w:val="008A5222"/>
    <w:rsid w:val="008A5776"/>
    <w:rsid w:val="008A5845"/>
    <w:rsid w:val="008A5868"/>
    <w:rsid w:val="008A5A33"/>
    <w:rsid w:val="008A5A8C"/>
    <w:rsid w:val="008A5BA1"/>
    <w:rsid w:val="008A5CC6"/>
    <w:rsid w:val="008A5F01"/>
    <w:rsid w:val="008A613F"/>
    <w:rsid w:val="008A6218"/>
    <w:rsid w:val="008A6238"/>
    <w:rsid w:val="008A6334"/>
    <w:rsid w:val="008A64A5"/>
    <w:rsid w:val="008A6583"/>
    <w:rsid w:val="008A686C"/>
    <w:rsid w:val="008A69FF"/>
    <w:rsid w:val="008A6ABE"/>
    <w:rsid w:val="008A6B5E"/>
    <w:rsid w:val="008A6BCC"/>
    <w:rsid w:val="008A6D2D"/>
    <w:rsid w:val="008A72BB"/>
    <w:rsid w:val="008A7352"/>
    <w:rsid w:val="008A74F3"/>
    <w:rsid w:val="008A756A"/>
    <w:rsid w:val="008A78EF"/>
    <w:rsid w:val="008A7DFC"/>
    <w:rsid w:val="008A7EED"/>
    <w:rsid w:val="008A7F99"/>
    <w:rsid w:val="008B01C5"/>
    <w:rsid w:val="008B0206"/>
    <w:rsid w:val="008B05AC"/>
    <w:rsid w:val="008B0654"/>
    <w:rsid w:val="008B0791"/>
    <w:rsid w:val="008B0A7F"/>
    <w:rsid w:val="008B0AA8"/>
    <w:rsid w:val="008B0BC2"/>
    <w:rsid w:val="008B0C25"/>
    <w:rsid w:val="008B0D63"/>
    <w:rsid w:val="008B10BF"/>
    <w:rsid w:val="008B113B"/>
    <w:rsid w:val="008B1237"/>
    <w:rsid w:val="008B1276"/>
    <w:rsid w:val="008B14C5"/>
    <w:rsid w:val="008B1895"/>
    <w:rsid w:val="008B1A5C"/>
    <w:rsid w:val="008B1AFE"/>
    <w:rsid w:val="008B1B45"/>
    <w:rsid w:val="008B1BA3"/>
    <w:rsid w:val="008B1C3A"/>
    <w:rsid w:val="008B1F95"/>
    <w:rsid w:val="008B204A"/>
    <w:rsid w:val="008B20E8"/>
    <w:rsid w:val="008B2211"/>
    <w:rsid w:val="008B22F9"/>
    <w:rsid w:val="008B2516"/>
    <w:rsid w:val="008B26FD"/>
    <w:rsid w:val="008B285D"/>
    <w:rsid w:val="008B2A2C"/>
    <w:rsid w:val="008B2CB8"/>
    <w:rsid w:val="008B2E11"/>
    <w:rsid w:val="008B2E86"/>
    <w:rsid w:val="008B2EAB"/>
    <w:rsid w:val="008B303D"/>
    <w:rsid w:val="008B3062"/>
    <w:rsid w:val="008B30ED"/>
    <w:rsid w:val="008B32BA"/>
    <w:rsid w:val="008B3688"/>
    <w:rsid w:val="008B36AB"/>
    <w:rsid w:val="008B3815"/>
    <w:rsid w:val="008B3A1D"/>
    <w:rsid w:val="008B3A66"/>
    <w:rsid w:val="008B3ABF"/>
    <w:rsid w:val="008B4112"/>
    <w:rsid w:val="008B436F"/>
    <w:rsid w:val="008B438E"/>
    <w:rsid w:val="008B441B"/>
    <w:rsid w:val="008B45BA"/>
    <w:rsid w:val="008B460A"/>
    <w:rsid w:val="008B4704"/>
    <w:rsid w:val="008B4AD4"/>
    <w:rsid w:val="008B4FDF"/>
    <w:rsid w:val="008B521E"/>
    <w:rsid w:val="008B5320"/>
    <w:rsid w:val="008B5412"/>
    <w:rsid w:val="008B5523"/>
    <w:rsid w:val="008B5EAD"/>
    <w:rsid w:val="008B61AB"/>
    <w:rsid w:val="008B621C"/>
    <w:rsid w:val="008B6506"/>
    <w:rsid w:val="008B6563"/>
    <w:rsid w:val="008B673F"/>
    <w:rsid w:val="008B6807"/>
    <w:rsid w:val="008B683B"/>
    <w:rsid w:val="008B6845"/>
    <w:rsid w:val="008B695E"/>
    <w:rsid w:val="008B69BD"/>
    <w:rsid w:val="008B6A80"/>
    <w:rsid w:val="008B6B49"/>
    <w:rsid w:val="008B6B73"/>
    <w:rsid w:val="008B6C82"/>
    <w:rsid w:val="008B6EF1"/>
    <w:rsid w:val="008B6FD1"/>
    <w:rsid w:val="008B70A7"/>
    <w:rsid w:val="008B71E8"/>
    <w:rsid w:val="008B7214"/>
    <w:rsid w:val="008B7250"/>
    <w:rsid w:val="008B727C"/>
    <w:rsid w:val="008B752F"/>
    <w:rsid w:val="008B7DDA"/>
    <w:rsid w:val="008C00F0"/>
    <w:rsid w:val="008C01A5"/>
    <w:rsid w:val="008C0226"/>
    <w:rsid w:val="008C02E1"/>
    <w:rsid w:val="008C0518"/>
    <w:rsid w:val="008C067E"/>
    <w:rsid w:val="008C0AA8"/>
    <w:rsid w:val="008C0B44"/>
    <w:rsid w:val="008C0BB8"/>
    <w:rsid w:val="008C0DAE"/>
    <w:rsid w:val="008C0EAA"/>
    <w:rsid w:val="008C0FB9"/>
    <w:rsid w:val="008C13F5"/>
    <w:rsid w:val="008C16DC"/>
    <w:rsid w:val="008C17A4"/>
    <w:rsid w:val="008C1805"/>
    <w:rsid w:val="008C1955"/>
    <w:rsid w:val="008C1999"/>
    <w:rsid w:val="008C1B52"/>
    <w:rsid w:val="008C1CC0"/>
    <w:rsid w:val="008C1D31"/>
    <w:rsid w:val="008C1D7F"/>
    <w:rsid w:val="008C1E1E"/>
    <w:rsid w:val="008C209A"/>
    <w:rsid w:val="008C212C"/>
    <w:rsid w:val="008C2461"/>
    <w:rsid w:val="008C2502"/>
    <w:rsid w:val="008C2542"/>
    <w:rsid w:val="008C2915"/>
    <w:rsid w:val="008C2928"/>
    <w:rsid w:val="008C2C7D"/>
    <w:rsid w:val="008C309D"/>
    <w:rsid w:val="008C3105"/>
    <w:rsid w:val="008C313A"/>
    <w:rsid w:val="008C315A"/>
    <w:rsid w:val="008C31C9"/>
    <w:rsid w:val="008C3255"/>
    <w:rsid w:val="008C3404"/>
    <w:rsid w:val="008C3501"/>
    <w:rsid w:val="008C35D7"/>
    <w:rsid w:val="008C35F6"/>
    <w:rsid w:val="008C373C"/>
    <w:rsid w:val="008C3762"/>
    <w:rsid w:val="008C3838"/>
    <w:rsid w:val="008C384F"/>
    <w:rsid w:val="008C3871"/>
    <w:rsid w:val="008C3968"/>
    <w:rsid w:val="008C39E9"/>
    <w:rsid w:val="008C3A0D"/>
    <w:rsid w:val="008C3B90"/>
    <w:rsid w:val="008C3E60"/>
    <w:rsid w:val="008C3F58"/>
    <w:rsid w:val="008C42AB"/>
    <w:rsid w:val="008C4326"/>
    <w:rsid w:val="008C448A"/>
    <w:rsid w:val="008C44F6"/>
    <w:rsid w:val="008C4859"/>
    <w:rsid w:val="008C4A03"/>
    <w:rsid w:val="008C4F94"/>
    <w:rsid w:val="008C4FE2"/>
    <w:rsid w:val="008C576D"/>
    <w:rsid w:val="008C5983"/>
    <w:rsid w:val="008C59B6"/>
    <w:rsid w:val="008C5A91"/>
    <w:rsid w:val="008C5E8F"/>
    <w:rsid w:val="008C6149"/>
    <w:rsid w:val="008C6566"/>
    <w:rsid w:val="008C65AB"/>
    <w:rsid w:val="008C6B20"/>
    <w:rsid w:val="008C6CC5"/>
    <w:rsid w:val="008C6D5D"/>
    <w:rsid w:val="008C6E24"/>
    <w:rsid w:val="008C7004"/>
    <w:rsid w:val="008C709F"/>
    <w:rsid w:val="008C71EA"/>
    <w:rsid w:val="008C73EF"/>
    <w:rsid w:val="008C7553"/>
    <w:rsid w:val="008C7706"/>
    <w:rsid w:val="008C771F"/>
    <w:rsid w:val="008C77F5"/>
    <w:rsid w:val="008C77F7"/>
    <w:rsid w:val="008C784E"/>
    <w:rsid w:val="008C79A1"/>
    <w:rsid w:val="008C7B21"/>
    <w:rsid w:val="008C7B9A"/>
    <w:rsid w:val="008C7DB2"/>
    <w:rsid w:val="008C7E37"/>
    <w:rsid w:val="008D0060"/>
    <w:rsid w:val="008D00C2"/>
    <w:rsid w:val="008D0141"/>
    <w:rsid w:val="008D0209"/>
    <w:rsid w:val="008D02A3"/>
    <w:rsid w:val="008D0545"/>
    <w:rsid w:val="008D062A"/>
    <w:rsid w:val="008D0860"/>
    <w:rsid w:val="008D087A"/>
    <w:rsid w:val="008D097A"/>
    <w:rsid w:val="008D0B18"/>
    <w:rsid w:val="008D0C7F"/>
    <w:rsid w:val="008D0DD3"/>
    <w:rsid w:val="008D0FD9"/>
    <w:rsid w:val="008D1461"/>
    <w:rsid w:val="008D180B"/>
    <w:rsid w:val="008D1AA3"/>
    <w:rsid w:val="008D1BB3"/>
    <w:rsid w:val="008D1C5E"/>
    <w:rsid w:val="008D1D1B"/>
    <w:rsid w:val="008D1E11"/>
    <w:rsid w:val="008D20DA"/>
    <w:rsid w:val="008D22DB"/>
    <w:rsid w:val="008D24BE"/>
    <w:rsid w:val="008D2A48"/>
    <w:rsid w:val="008D2C86"/>
    <w:rsid w:val="008D2DB0"/>
    <w:rsid w:val="008D2EF8"/>
    <w:rsid w:val="008D2F92"/>
    <w:rsid w:val="008D3320"/>
    <w:rsid w:val="008D3376"/>
    <w:rsid w:val="008D363A"/>
    <w:rsid w:val="008D384B"/>
    <w:rsid w:val="008D386B"/>
    <w:rsid w:val="008D3B33"/>
    <w:rsid w:val="008D3C36"/>
    <w:rsid w:val="008D3DED"/>
    <w:rsid w:val="008D3EA1"/>
    <w:rsid w:val="008D3F57"/>
    <w:rsid w:val="008D3FF9"/>
    <w:rsid w:val="008D4171"/>
    <w:rsid w:val="008D43BD"/>
    <w:rsid w:val="008D44BC"/>
    <w:rsid w:val="008D4560"/>
    <w:rsid w:val="008D4569"/>
    <w:rsid w:val="008D45DF"/>
    <w:rsid w:val="008D46EB"/>
    <w:rsid w:val="008D49B3"/>
    <w:rsid w:val="008D4AF2"/>
    <w:rsid w:val="008D4B95"/>
    <w:rsid w:val="008D4C52"/>
    <w:rsid w:val="008D4D42"/>
    <w:rsid w:val="008D50C8"/>
    <w:rsid w:val="008D5390"/>
    <w:rsid w:val="008D53AC"/>
    <w:rsid w:val="008D54D6"/>
    <w:rsid w:val="008D5596"/>
    <w:rsid w:val="008D55BD"/>
    <w:rsid w:val="008D58DA"/>
    <w:rsid w:val="008D5932"/>
    <w:rsid w:val="008D5969"/>
    <w:rsid w:val="008D59DE"/>
    <w:rsid w:val="008D5ACC"/>
    <w:rsid w:val="008D607C"/>
    <w:rsid w:val="008D60EC"/>
    <w:rsid w:val="008D6147"/>
    <w:rsid w:val="008D6173"/>
    <w:rsid w:val="008D618C"/>
    <w:rsid w:val="008D62DC"/>
    <w:rsid w:val="008D6458"/>
    <w:rsid w:val="008D647C"/>
    <w:rsid w:val="008D64C6"/>
    <w:rsid w:val="008D6557"/>
    <w:rsid w:val="008D65E1"/>
    <w:rsid w:val="008D69DE"/>
    <w:rsid w:val="008D6B11"/>
    <w:rsid w:val="008D7132"/>
    <w:rsid w:val="008D72D4"/>
    <w:rsid w:val="008D7943"/>
    <w:rsid w:val="008D795F"/>
    <w:rsid w:val="008D79D4"/>
    <w:rsid w:val="008D79EA"/>
    <w:rsid w:val="008D7CA2"/>
    <w:rsid w:val="008D7CF9"/>
    <w:rsid w:val="008D7DFB"/>
    <w:rsid w:val="008D7E33"/>
    <w:rsid w:val="008D7E3E"/>
    <w:rsid w:val="008D7E43"/>
    <w:rsid w:val="008D7FDB"/>
    <w:rsid w:val="008E0359"/>
    <w:rsid w:val="008E0605"/>
    <w:rsid w:val="008E08AE"/>
    <w:rsid w:val="008E0AE1"/>
    <w:rsid w:val="008E0B68"/>
    <w:rsid w:val="008E0BB3"/>
    <w:rsid w:val="008E0C67"/>
    <w:rsid w:val="008E0DCD"/>
    <w:rsid w:val="008E0F07"/>
    <w:rsid w:val="008E0F8D"/>
    <w:rsid w:val="008E1242"/>
    <w:rsid w:val="008E1435"/>
    <w:rsid w:val="008E14AD"/>
    <w:rsid w:val="008E14C9"/>
    <w:rsid w:val="008E1694"/>
    <w:rsid w:val="008E17E5"/>
    <w:rsid w:val="008E1837"/>
    <w:rsid w:val="008E1B1A"/>
    <w:rsid w:val="008E1C79"/>
    <w:rsid w:val="008E1D01"/>
    <w:rsid w:val="008E22E0"/>
    <w:rsid w:val="008E248B"/>
    <w:rsid w:val="008E2496"/>
    <w:rsid w:val="008E2597"/>
    <w:rsid w:val="008E271F"/>
    <w:rsid w:val="008E28AD"/>
    <w:rsid w:val="008E2912"/>
    <w:rsid w:val="008E2A1A"/>
    <w:rsid w:val="008E2A30"/>
    <w:rsid w:val="008E2A5B"/>
    <w:rsid w:val="008E2AE3"/>
    <w:rsid w:val="008E2C68"/>
    <w:rsid w:val="008E2D10"/>
    <w:rsid w:val="008E3006"/>
    <w:rsid w:val="008E3140"/>
    <w:rsid w:val="008E38E9"/>
    <w:rsid w:val="008E38EC"/>
    <w:rsid w:val="008E393E"/>
    <w:rsid w:val="008E3A99"/>
    <w:rsid w:val="008E3CFA"/>
    <w:rsid w:val="008E3E41"/>
    <w:rsid w:val="008E400A"/>
    <w:rsid w:val="008E406C"/>
    <w:rsid w:val="008E4289"/>
    <w:rsid w:val="008E42DD"/>
    <w:rsid w:val="008E43C2"/>
    <w:rsid w:val="008E445C"/>
    <w:rsid w:val="008E447B"/>
    <w:rsid w:val="008E44BD"/>
    <w:rsid w:val="008E46DB"/>
    <w:rsid w:val="008E492B"/>
    <w:rsid w:val="008E499A"/>
    <w:rsid w:val="008E4B15"/>
    <w:rsid w:val="008E4BBC"/>
    <w:rsid w:val="008E4E41"/>
    <w:rsid w:val="008E4E66"/>
    <w:rsid w:val="008E4FBD"/>
    <w:rsid w:val="008E50B5"/>
    <w:rsid w:val="008E50BD"/>
    <w:rsid w:val="008E518E"/>
    <w:rsid w:val="008E51FD"/>
    <w:rsid w:val="008E5215"/>
    <w:rsid w:val="008E52B7"/>
    <w:rsid w:val="008E576B"/>
    <w:rsid w:val="008E5A40"/>
    <w:rsid w:val="008E5AB3"/>
    <w:rsid w:val="008E5BB2"/>
    <w:rsid w:val="008E5BCE"/>
    <w:rsid w:val="008E5F65"/>
    <w:rsid w:val="008E5FD3"/>
    <w:rsid w:val="008E62AE"/>
    <w:rsid w:val="008E6430"/>
    <w:rsid w:val="008E6649"/>
    <w:rsid w:val="008E69DF"/>
    <w:rsid w:val="008E6A19"/>
    <w:rsid w:val="008E6C06"/>
    <w:rsid w:val="008E6E45"/>
    <w:rsid w:val="008E6F33"/>
    <w:rsid w:val="008E70D9"/>
    <w:rsid w:val="008E7426"/>
    <w:rsid w:val="008E774E"/>
    <w:rsid w:val="008E784F"/>
    <w:rsid w:val="008E7939"/>
    <w:rsid w:val="008E7A32"/>
    <w:rsid w:val="008E7B8E"/>
    <w:rsid w:val="008E7DE1"/>
    <w:rsid w:val="008E7DEE"/>
    <w:rsid w:val="008E7ED3"/>
    <w:rsid w:val="008E7F2E"/>
    <w:rsid w:val="008E7FA1"/>
    <w:rsid w:val="008F0312"/>
    <w:rsid w:val="008F04E8"/>
    <w:rsid w:val="008F0746"/>
    <w:rsid w:val="008F07C2"/>
    <w:rsid w:val="008F083F"/>
    <w:rsid w:val="008F0990"/>
    <w:rsid w:val="008F0A14"/>
    <w:rsid w:val="008F0A33"/>
    <w:rsid w:val="008F0ABE"/>
    <w:rsid w:val="008F0ABF"/>
    <w:rsid w:val="008F0B56"/>
    <w:rsid w:val="008F0E59"/>
    <w:rsid w:val="008F0F1A"/>
    <w:rsid w:val="008F0F6F"/>
    <w:rsid w:val="008F0F99"/>
    <w:rsid w:val="008F1068"/>
    <w:rsid w:val="008F1216"/>
    <w:rsid w:val="008F12A1"/>
    <w:rsid w:val="008F1394"/>
    <w:rsid w:val="008F1488"/>
    <w:rsid w:val="008F1511"/>
    <w:rsid w:val="008F15C3"/>
    <w:rsid w:val="008F1834"/>
    <w:rsid w:val="008F1945"/>
    <w:rsid w:val="008F1B9E"/>
    <w:rsid w:val="008F1CA7"/>
    <w:rsid w:val="008F1D1C"/>
    <w:rsid w:val="008F1E44"/>
    <w:rsid w:val="008F1FB6"/>
    <w:rsid w:val="008F1FE3"/>
    <w:rsid w:val="008F204A"/>
    <w:rsid w:val="008F2339"/>
    <w:rsid w:val="008F245E"/>
    <w:rsid w:val="008F2499"/>
    <w:rsid w:val="008F25BB"/>
    <w:rsid w:val="008F2CC7"/>
    <w:rsid w:val="008F2CF4"/>
    <w:rsid w:val="008F2D70"/>
    <w:rsid w:val="008F2D73"/>
    <w:rsid w:val="008F2F60"/>
    <w:rsid w:val="008F31BA"/>
    <w:rsid w:val="008F326B"/>
    <w:rsid w:val="008F3434"/>
    <w:rsid w:val="008F3703"/>
    <w:rsid w:val="008F386F"/>
    <w:rsid w:val="008F3A0B"/>
    <w:rsid w:val="008F3ABA"/>
    <w:rsid w:val="008F3C6B"/>
    <w:rsid w:val="008F41B7"/>
    <w:rsid w:val="008F4374"/>
    <w:rsid w:val="008F43A6"/>
    <w:rsid w:val="008F4625"/>
    <w:rsid w:val="008F47F9"/>
    <w:rsid w:val="008F4986"/>
    <w:rsid w:val="008F4A06"/>
    <w:rsid w:val="008F4BCB"/>
    <w:rsid w:val="008F4F2F"/>
    <w:rsid w:val="008F510D"/>
    <w:rsid w:val="008F513B"/>
    <w:rsid w:val="008F51D5"/>
    <w:rsid w:val="008F5322"/>
    <w:rsid w:val="008F535B"/>
    <w:rsid w:val="008F53C9"/>
    <w:rsid w:val="008F579D"/>
    <w:rsid w:val="008F57C2"/>
    <w:rsid w:val="008F5A35"/>
    <w:rsid w:val="008F5A6D"/>
    <w:rsid w:val="008F6037"/>
    <w:rsid w:val="008F61C0"/>
    <w:rsid w:val="008F61D3"/>
    <w:rsid w:val="008F61EA"/>
    <w:rsid w:val="008F6344"/>
    <w:rsid w:val="008F6370"/>
    <w:rsid w:val="008F63CB"/>
    <w:rsid w:val="008F6497"/>
    <w:rsid w:val="008F6924"/>
    <w:rsid w:val="008F6950"/>
    <w:rsid w:val="008F6C29"/>
    <w:rsid w:val="008F6D57"/>
    <w:rsid w:val="008F6FE1"/>
    <w:rsid w:val="008F703F"/>
    <w:rsid w:val="008F721A"/>
    <w:rsid w:val="008F724D"/>
    <w:rsid w:val="008F72FB"/>
    <w:rsid w:val="008F747E"/>
    <w:rsid w:val="008F74B8"/>
    <w:rsid w:val="008F7725"/>
    <w:rsid w:val="008F7927"/>
    <w:rsid w:val="008F79B4"/>
    <w:rsid w:val="008F7E0B"/>
    <w:rsid w:val="009000E0"/>
    <w:rsid w:val="0090012E"/>
    <w:rsid w:val="00900453"/>
    <w:rsid w:val="009004AE"/>
    <w:rsid w:val="009004EB"/>
    <w:rsid w:val="0090077A"/>
    <w:rsid w:val="0090084A"/>
    <w:rsid w:val="00900B01"/>
    <w:rsid w:val="00900C74"/>
    <w:rsid w:val="00900C94"/>
    <w:rsid w:val="00900D1B"/>
    <w:rsid w:val="00900DA5"/>
    <w:rsid w:val="00900DB0"/>
    <w:rsid w:val="00900DCD"/>
    <w:rsid w:val="00900F02"/>
    <w:rsid w:val="0090109F"/>
    <w:rsid w:val="009010F8"/>
    <w:rsid w:val="009012FA"/>
    <w:rsid w:val="0090150A"/>
    <w:rsid w:val="00901863"/>
    <w:rsid w:val="00901BBA"/>
    <w:rsid w:val="00901CF8"/>
    <w:rsid w:val="00901D00"/>
    <w:rsid w:val="00901E0B"/>
    <w:rsid w:val="00902254"/>
    <w:rsid w:val="00902303"/>
    <w:rsid w:val="0090262F"/>
    <w:rsid w:val="009026F9"/>
    <w:rsid w:val="00902712"/>
    <w:rsid w:val="009028D7"/>
    <w:rsid w:val="009028E2"/>
    <w:rsid w:val="00902A3B"/>
    <w:rsid w:val="00902C0C"/>
    <w:rsid w:val="00902CB5"/>
    <w:rsid w:val="00902CCE"/>
    <w:rsid w:val="00902ECB"/>
    <w:rsid w:val="009031B7"/>
    <w:rsid w:val="0090344D"/>
    <w:rsid w:val="00903468"/>
    <w:rsid w:val="0090373D"/>
    <w:rsid w:val="009037A4"/>
    <w:rsid w:val="0090388A"/>
    <w:rsid w:val="00903B91"/>
    <w:rsid w:val="00903D8A"/>
    <w:rsid w:val="00903E30"/>
    <w:rsid w:val="00903F71"/>
    <w:rsid w:val="00904033"/>
    <w:rsid w:val="00904097"/>
    <w:rsid w:val="009040D5"/>
    <w:rsid w:val="0090445A"/>
    <w:rsid w:val="00904565"/>
    <w:rsid w:val="009047B5"/>
    <w:rsid w:val="00904AA4"/>
    <w:rsid w:val="00904B82"/>
    <w:rsid w:val="00904B88"/>
    <w:rsid w:val="00904BD2"/>
    <w:rsid w:val="00904FE2"/>
    <w:rsid w:val="00905123"/>
    <w:rsid w:val="00905295"/>
    <w:rsid w:val="00905384"/>
    <w:rsid w:val="009053F7"/>
    <w:rsid w:val="00905422"/>
    <w:rsid w:val="009059EE"/>
    <w:rsid w:val="00905E7F"/>
    <w:rsid w:val="00906269"/>
    <w:rsid w:val="009063BF"/>
    <w:rsid w:val="0090666A"/>
    <w:rsid w:val="00906A81"/>
    <w:rsid w:val="00906D6E"/>
    <w:rsid w:val="00906EC2"/>
    <w:rsid w:val="00907077"/>
    <w:rsid w:val="009070DA"/>
    <w:rsid w:val="0090710C"/>
    <w:rsid w:val="00907178"/>
    <w:rsid w:val="009071FF"/>
    <w:rsid w:val="0090734F"/>
    <w:rsid w:val="00907458"/>
    <w:rsid w:val="0090765A"/>
    <w:rsid w:val="0090766B"/>
    <w:rsid w:val="00907AFC"/>
    <w:rsid w:val="00907B32"/>
    <w:rsid w:val="00907C65"/>
    <w:rsid w:val="00907D19"/>
    <w:rsid w:val="00907E68"/>
    <w:rsid w:val="00910209"/>
    <w:rsid w:val="009106FA"/>
    <w:rsid w:val="0091077A"/>
    <w:rsid w:val="009107B0"/>
    <w:rsid w:val="00910896"/>
    <w:rsid w:val="00910903"/>
    <w:rsid w:val="0091095C"/>
    <w:rsid w:val="00910A59"/>
    <w:rsid w:val="00910D71"/>
    <w:rsid w:val="00910E73"/>
    <w:rsid w:val="00910F33"/>
    <w:rsid w:val="00911172"/>
    <w:rsid w:val="0091160F"/>
    <w:rsid w:val="009116E1"/>
    <w:rsid w:val="009117A7"/>
    <w:rsid w:val="00911A1F"/>
    <w:rsid w:val="00911FA4"/>
    <w:rsid w:val="00912058"/>
    <w:rsid w:val="0091210E"/>
    <w:rsid w:val="00912183"/>
    <w:rsid w:val="00912311"/>
    <w:rsid w:val="0091233D"/>
    <w:rsid w:val="00912496"/>
    <w:rsid w:val="009124A9"/>
    <w:rsid w:val="009126CD"/>
    <w:rsid w:val="0091270E"/>
    <w:rsid w:val="00912810"/>
    <w:rsid w:val="00912977"/>
    <w:rsid w:val="00912A36"/>
    <w:rsid w:val="00912A9D"/>
    <w:rsid w:val="00912B6F"/>
    <w:rsid w:val="00912EDB"/>
    <w:rsid w:val="00913014"/>
    <w:rsid w:val="0091351B"/>
    <w:rsid w:val="00913768"/>
    <w:rsid w:val="00913774"/>
    <w:rsid w:val="00913926"/>
    <w:rsid w:val="00913A5F"/>
    <w:rsid w:val="00913B6D"/>
    <w:rsid w:val="00913B95"/>
    <w:rsid w:val="00913CA7"/>
    <w:rsid w:val="00913E78"/>
    <w:rsid w:val="00913E88"/>
    <w:rsid w:val="00914133"/>
    <w:rsid w:val="00914189"/>
    <w:rsid w:val="009141EE"/>
    <w:rsid w:val="0091442C"/>
    <w:rsid w:val="00914503"/>
    <w:rsid w:val="00914657"/>
    <w:rsid w:val="009147E8"/>
    <w:rsid w:val="00914A62"/>
    <w:rsid w:val="00914BFE"/>
    <w:rsid w:val="00914CCE"/>
    <w:rsid w:val="00914D30"/>
    <w:rsid w:val="00914D71"/>
    <w:rsid w:val="00915244"/>
    <w:rsid w:val="00915336"/>
    <w:rsid w:val="0091538F"/>
    <w:rsid w:val="00915496"/>
    <w:rsid w:val="00915737"/>
    <w:rsid w:val="009158F7"/>
    <w:rsid w:val="009159FC"/>
    <w:rsid w:val="00915EA6"/>
    <w:rsid w:val="009160D7"/>
    <w:rsid w:val="00916180"/>
    <w:rsid w:val="009163BE"/>
    <w:rsid w:val="00916464"/>
    <w:rsid w:val="009164E3"/>
    <w:rsid w:val="0091655D"/>
    <w:rsid w:val="00916702"/>
    <w:rsid w:val="00916884"/>
    <w:rsid w:val="0091695C"/>
    <w:rsid w:val="00916C44"/>
    <w:rsid w:val="00916CD3"/>
    <w:rsid w:val="009170DA"/>
    <w:rsid w:val="0091726A"/>
    <w:rsid w:val="009172D1"/>
    <w:rsid w:val="00917326"/>
    <w:rsid w:val="0091745A"/>
    <w:rsid w:val="00917519"/>
    <w:rsid w:val="009176BF"/>
    <w:rsid w:val="0091770E"/>
    <w:rsid w:val="0091780C"/>
    <w:rsid w:val="00917A4B"/>
    <w:rsid w:val="00917AE6"/>
    <w:rsid w:val="00917EEC"/>
    <w:rsid w:val="00917F1B"/>
    <w:rsid w:val="009206A0"/>
    <w:rsid w:val="00920831"/>
    <w:rsid w:val="00920839"/>
    <w:rsid w:val="0092088C"/>
    <w:rsid w:val="0092091C"/>
    <w:rsid w:val="009209FA"/>
    <w:rsid w:val="00920C2B"/>
    <w:rsid w:val="009210DC"/>
    <w:rsid w:val="00921186"/>
    <w:rsid w:val="00921189"/>
    <w:rsid w:val="009217FD"/>
    <w:rsid w:val="00921AC3"/>
    <w:rsid w:val="00921C10"/>
    <w:rsid w:val="00921D4B"/>
    <w:rsid w:val="00921E3A"/>
    <w:rsid w:val="00921F16"/>
    <w:rsid w:val="00922245"/>
    <w:rsid w:val="00922266"/>
    <w:rsid w:val="009227FE"/>
    <w:rsid w:val="00922AC7"/>
    <w:rsid w:val="00922C10"/>
    <w:rsid w:val="009230C4"/>
    <w:rsid w:val="009232DC"/>
    <w:rsid w:val="00923337"/>
    <w:rsid w:val="00923379"/>
    <w:rsid w:val="009235AF"/>
    <w:rsid w:val="009235F5"/>
    <w:rsid w:val="00923638"/>
    <w:rsid w:val="00923B42"/>
    <w:rsid w:val="00923BF6"/>
    <w:rsid w:val="00924170"/>
    <w:rsid w:val="00924208"/>
    <w:rsid w:val="0092456E"/>
    <w:rsid w:val="00924801"/>
    <w:rsid w:val="009249A9"/>
    <w:rsid w:val="00924E9A"/>
    <w:rsid w:val="0092517C"/>
    <w:rsid w:val="009251E4"/>
    <w:rsid w:val="00925436"/>
    <w:rsid w:val="009256A1"/>
    <w:rsid w:val="00925744"/>
    <w:rsid w:val="009257BD"/>
    <w:rsid w:val="00925993"/>
    <w:rsid w:val="00925BBE"/>
    <w:rsid w:val="00925CEA"/>
    <w:rsid w:val="00925D46"/>
    <w:rsid w:val="00925D61"/>
    <w:rsid w:val="00925E94"/>
    <w:rsid w:val="00926006"/>
    <w:rsid w:val="0092636F"/>
    <w:rsid w:val="00926380"/>
    <w:rsid w:val="00926413"/>
    <w:rsid w:val="00926464"/>
    <w:rsid w:val="00926C29"/>
    <w:rsid w:val="00926C98"/>
    <w:rsid w:val="00926CD7"/>
    <w:rsid w:val="00926DA5"/>
    <w:rsid w:val="00926F20"/>
    <w:rsid w:val="009270B7"/>
    <w:rsid w:val="009270C5"/>
    <w:rsid w:val="009271E3"/>
    <w:rsid w:val="00927252"/>
    <w:rsid w:val="00927254"/>
    <w:rsid w:val="009273C8"/>
    <w:rsid w:val="0092751D"/>
    <w:rsid w:val="009276B2"/>
    <w:rsid w:val="009278A3"/>
    <w:rsid w:val="0092793E"/>
    <w:rsid w:val="00927CF1"/>
    <w:rsid w:val="00927D5F"/>
    <w:rsid w:val="00927F41"/>
    <w:rsid w:val="009300FF"/>
    <w:rsid w:val="00930153"/>
    <w:rsid w:val="0093017F"/>
    <w:rsid w:val="00930230"/>
    <w:rsid w:val="00930258"/>
    <w:rsid w:val="00930260"/>
    <w:rsid w:val="009305B6"/>
    <w:rsid w:val="009307A7"/>
    <w:rsid w:val="009308D9"/>
    <w:rsid w:val="00930920"/>
    <w:rsid w:val="009309A6"/>
    <w:rsid w:val="00930A39"/>
    <w:rsid w:val="00930AA0"/>
    <w:rsid w:val="00930D82"/>
    <w:rsid w:val="00930DBD"/>
    <w:rsid w:val="00930EBE"/>
    <w:rsid w:val="00930F47"/>
    <w:rsid w:val="00931438"/>
    <w:rsid w:val="0093143F"/>
    <w:rsid w:val="00931758"/>
    <w:rsid w:val="0093182D"/>
    <w:rsid w:val="00931992"/>
    <w:rsid w:val="00931D39"/>
    <w:rsid w:val="00931E1D"/>
    <w:rsid w:val="00931EBF"/>
    <w:rsid w:val="00931F11"/>
    <w:rsid w:val="00931F4A"/>
    <w:rsid w:val="00931F58"/>
    <w:rsid w:val="00932157"/>
    <w:rsid w:val="00932177"/>
    <w:rsid w:val="009323F2"/>
    <w:rsid w:val="009324D8"/>
    <w:rsid w:val="00932644"/>
    <w:rsid w:val="009328B7"/>
    <w:rsid w:val="00932C04"/>
    <w:rsid w:val="00932CC8"/>
    <w:rsid w:val="00932D2F"/>
    <w:rsid w:val="00932F09"/>
    <w:rsid w:val="00933228"/>
    <w:rsid w:val="00933279"/>
    <w:rsid w:val="009333E7"/>
    <w:rsid w:val="00933497"/>
    <w:rsid w:val="00933570"/>
    <w:rsid w:val="00933617"/>
    <w:rsid w:val="0093380F"/>
    <w:rsid w:val="00933A86"/>
    <w:rsid w:val="00933ACE"/>
    <w:rsid w:val="00933B3E"/>
    <w:rsid w:val="00933C07"/>
    <w:rsid w:val="00933E64"/>
    <w:rsid w:val="009340BC"/>
    <w:rsid w:val="00934196"/>
    <w:rsid w:val="0093426F"/>
    <w:rsid w:val="009342AA"/>
    <w:rsid w:val="009342C5"/>
    <w:rsid w:val="00934636"/>
    <w:rsid w:val="009346D2"/>
    <w:rsid w:val="00934848"/>
    <w:rsid w:val="00934925"/>
    <w:rsid w:val="009349EA"/>
    <w:rsid w:val="00934B57"/>
    <w:rsid w:val="00934CC4"/>
    <w:rsid w:val="00934D84"/>
    <w:rsid w:val="009350CC"/>
    <w:rsid w:val="009350F0"/>
    <w:rsid w:val="0093521A"/>
    <w:rsid w:val="00935291"/>
    <w:rsid w:val="0093539C"/>
    <w:rsid w:val="0093573A"/>
    <w:rsid w:val="0093577E"/>
    <w:rsid w:val="00935B5F"/>
    <w:rsid w:val="00935B98"/>
    <w:rsid w:val="00935CDF"/>
    <w:rsid w:val="00935F4A"/>
    <w:rsid w:val="0093614F"/>
    <w:rsid w:val="00936240"/>
    <w:rsid w:val="009362DB"/>
    <w:rsid w:val="00936451"/>
    <w:rsid w:val="0093654D"/>
    <w:rsid w:val="009367E7"/>
    <w:rsid w:val="0093689E"/>
    <w:rsid w:val="00936BC2"/>
    <w:rsid w:val="00936CF7"/>
    <w:rsid w:val="009370C1"/>
    <w:rsid w:val="00937407"/>
    <w:rsid w:val="00937523"/>
    <w:rsid w:val="00937AB8"/>
    <w:rsid w:val="00937AE3"/>
    <w:rsid w:val="0094001B"/>
    <w:rsid w:val="00940177"/>
    <w:rsid w:val="00940404"/>
    <w:rsid w:val="0094044D"/>
    <w:rsid w:val="009406DA"/>
    <w:rsid w:val="0094087E"/>
    <w:rsid w:val="00940B2E"/>
    <w:rsid w:val="00940B76"/>
    <w:rsid w:val="00940B91"/>
    <w:rsid w:val="00940C65"/>
    <w:rsid w:val="00940ECD"/>
    <w:rsid w:val="00940FED"/>
    <w:rsid w:val="00941010"/>
    <w:rsid w:val="0094107C"/>
    <w:rsid w:val="0094118D"/>
    <w:rsid w:val="00941513"/>
    <w:rsid w:val="009415BB"/>
    <w:rsid w:val="009415D8"/>
    <w:rsid w:val="009417FE"/>
    <w:rsid w:val="00941805"/>
    <w:rsid w:val="00941883"/>
    <w:rsid w:val="009418B5"/>
    <w:rsid w:val="00941991"/>
    <w:rsid w:val="009419A4"/>
    <w:rsid w:val="009419A5"/>
    <w:rsid w:val="00941A60"/>
    <w:rsid w:val="00941BC5"/>
    <w:rsid w:val="00941CFA"/>
    <w:rsid w:val="00941D22"/>
    <w:rsid w:val="00941D3F"/>
    <w:rsid w:val="00941DE2"/>
    <w:rsid w:val="00941F39"/>
    <w:rsid w:val="0094212A"/>
    <w:rsid w:val="0094219A"/>
    <w:rsid w:val="00942605"/>
    <w:rsid w:val="009426A1"/>
    <w:rsid w:val="0094273D"/>
    <w:rsid w:val="0094284E"/>
    <w:rsid w:val="009428BA"/>
    <w:rsid w:val="009428BF"/>
    <w:rsid w:val="009428F9"/>
    <w:rsid w:val="00942AFA"/>
    <w:rsid w:val="00942E0B"/>
    <w:rsid w:val="00942F4B"/>
    <w:rsid w:val="0094310C"/>
    <w:rsid w:val="0094325D"/>
    <w:rsid w:val="00943307"/>
    <w:rsid w:val="009436D9"/>
    <w:rsid w:val="00943833"/>
    <w:rsid w:val="00943E69"/>
    <w:rsid w:val="00943E76"/>
    <w:rsid w:val="00943EFB"/>
    <w:rsid w:val="0094411E"/>
    <w:rsid w:val="00944249"/>
    <w:rsid w:val="009443F5"/>
    <w:rsid w:val="00944413"/>
    <w:rsid w:val="0094441E"/>
    <w:rsid w:val="00944768"/>
    <w:rsid w:val="00944A68"/>
    <w:rsid w:val="00944A79"/>
    <w:rsid w:val="009450DA"/>
    <w:rsid w:val="009451A5"/>
    <w:rsid w:val="009451F3"/>
    <w:rsid w:val="009452C5"/>
    <w:rsid w:val="0094533B"/>
    <w:rsid w:val="009453EA"/>
    <w:rsid w:val="0094543D"/>
    <w:rsid w:val="009458FB"/>
    <w:rsid w:val="00945B27"/>
    <w:rsid w:val="00945D98"/>
    <w:rsid w:val="00945D99"/>
    <w:rsid w:val="009460A3"/>
    <w:rsid w:val="009462D0"/>
    <w:rsid w:val="0094654B"/>
    <w:rsid w:val="009467E1"/>
    <w:rsid w:val="0094684D"/>
    <w:rsid w:val="00946899"/>
    <w:rsid w:val="009468AD"/>
    <w:rsid w:val="009468E5"/>
    <w:rsid w:val="00946A44"/>
    <w:rsid w:val="00946C3B"/>
    <w:rsid w:val="00947037"/>
    <w:rsid w:val="009470F1"/>
    <w:rsid w:val="009478CE"/>
    <w:rsid w:val="00947926"/>
    <w:rsid w:val="00947E07"/>
    <w:rsid w:val="0095009D"/>
    <w:rsid w:val="009502F4"/>
    <w:rsid w:val="009505B9"/>
    <w:rsid w:val="0095097A"/>
    <w:rsid w:val="00950B3E"/>
    <w:rsid w:val="00950CA4"/>
    <w:rsid w:val="00950E74"/>
    <w:rsid w:val="00951227"/>
    <w:rsid w:val="00951295"/>
    <w:rsid w:val="0095133D"/>
    <w:rsid w:val="00951406"/>
    <w:rsid w:val="00951737"/>
    <w:rsid w:val="009519AF"/>
    <w:rsid w:val="00951A2A"/>
    <w:rsid w:val="00952645"/>
    <w:rsid w:val="0095281E"/>
    <w:rsid w:val="00952A09"/>
    <w:rsid w:val="00952AC3"/>
    <w:rsid w:val="00952B13"/>
    <w:rsid w:val="00952BE7"/>
    <w:rsid w:val="00952D74"/>
    <w:rsid w:val="00952DD7"/>
    <w:rsid w:val="00952F78"/>
    <w:rsid w:val="0095338C"/>
    <w:rsid w:val="00953437"/>
    <w:rsid w:val="009534DE"/>
    <w:rsid w:val="0095407A"/>
    <w:rsid w:val="009543E4"/>
    <w:rsid w:val="0095455D"/>
    <w:rsid w:val="009547FC"/>
    <w:rsid w:val="00954836"/>
    <w:rsid w:val="00954A45"/>
    <w:rsid w:val="00954BA4"/>
    <w:rsid w:val="00954C20"/>
    <w:rsid w:val="00954C2E"/>
    <w:rsid w:val="00955147"/>
    <w:rsid w:val="009555A3"/>
    <w:rsid w:val="009555B6"/>
    <w:rsid w:val="009558CA"/>
    <w:rsid w:val="00955907"/>
    <w:rsid w:val="00955985"/>
    <w:rsid w:val="00955AE7"/>
    <w:rsid w:val="00955AED"/>
    <w:rsid w:val="00955AEF"/>
    <w:rsid w:val="00955B4A"/>
    <w:rsid w:val="00955D7F"/>
    <w:rsid w:val="00955DA1"/>
    <w:rsid w:val="00955DBC"/>
    <w:rsid w:val="009562B1"/>
    <w:rsid w:val="009562FA"/>
    <w:rsid w:val="00956BAE"/>
    <w:rsid w:val="009572D1"/>
    <w:rsid w:val="0095736D"/>
    <w:rsid w:val="009573E4"/>
    <w:rsid w:val="00957922"/>
    <w:rsid w:val="00957B6C"/>
    <w:rsid w:val="00957BA0"/>
    <w:rsid w:val="00957F71"/>
    <w:rsid w:val="009600EE"/>
    <w:rsid w:val="00960102"/>
    <w:rsid w:val="009601A2"/>
    <w:rsid w:val="009605AC"/>
    <w:rsid w:val="00960639"/>
    <w:rsid w:val="00960687"/>
    <w:rsid w:val="0096073D"/>
    <w:rsid w:val="0096076A"/>
    <w:rsid w:val="0096091B"/>
    <w:rsid w:val="0096098B"/>
    <w:rsid w:val="00960B2A"/>
    <w:rsid w:val="00960B6F"/>
    <w:rsid w:val="00960F95"/>
    <w:rsid w:val="00960FC7"/>
    <w:rsid w:val="00961173"/>
    <w:rsid w:val="00961593"/>
    <w:rsid w:val="009615CC"/>
    <w:rsid w:val="009615E0"/>
    <w:rsid w:val="0096176F"/>
    <w:rsid w:val="0096189F"/>
    <w:rsid w:val="00961904"/>
    <w:rsid w:val="00961AEB"/>
    <w:rsid w:val="0096215C"/>
    <w:rsid w:val="00962282"/>
    <w:rsid w:val="00962379"/>
    <w:rsid w:val="00962513"/>
    <w:rsid w:val="0096278D"/>
    <w:rsid w:val="009627B8"/>
    <w:rsid w:val="009627F8"/>
    <w:rsid w:val="0096284A"/>
    <w:rsid w:val="00962B03"/>
    <w:rsid w:val="00962CA8"/>
    <w:rsid w:val="00962DF6"/>
    <w:rsid w:val="00962F85"/>
    <w:rsid w:val="009631A8"/>
    <w:rsid w:val="009633B1"/>
    <w:rsid w:val="00963623"/>
    <w:rsid w:val="00963813"/>
    <w:rsid w:val="009639AD"/>
    <w:rsid w:val="009639FB"/>
    <w:rsid w:val="00963A9B"/>
    <w:rsid w:val="00963BD4"/>
    <w:rsid w:val="00963BFD"/>
    <w:rsid w:val="00963CEE"/>
    <w:rsid w:val="00963E16"/>
    <w:rsid w:val="00963E76"/>
    <w:rsid w:val="00964192"/>
    <w:rsid w:val="009642AB"/>
    <w:rsid w:val="00964313"/>
    <w:rsid w:val="00964BE3"/>
    <w:rsid w:val="00964C2F"/>
    <w:rsid w:val="00964D83"/>
    <w:rsid w:val="009650E4"/>
    <w:rsid w:val="009651C8"/>
    <w:rsid w:val="009653A1"/>
    <w:rsid w:val="009655E1"/>
    <w:rsid w:val="0096566C"/>
    <w:rsid w:val="009658C6"/>
    <w:rsid w:val="00965C73"/>
    <w:rsid w:val="00965DA9"/>
    <w:rsid w:val="00966162"/>
    <w:rsid w:val="0096623F"/>
    <w:rsid w:val="009664B8"/>
    <w:rsid w:val="00966769"/>
    <w:rsid w:val="009667C3"/>
    <w:rsid w:val="009667CE"/>
    <w:rsid w:val="009668B3"/>
    <w:rsid w:val="00966B74"/>
    <w:rsid w:val="00966B7E"/>
    <w:rsid w:val="00966CFF"/>
    <w:rsid w:val="00966D24"/>
    <w:rsid w:val="00966E93"/>
    <w:rsid w:val="00966F8F"/>
    <w:rsid w:val="00966FD3"/>
    <w:rsid w:val="009670CD"/>
    <w:rsid w:val="0096713D"/>
    <w:rsid w:val="009672D6"/>
    <w:rsid w:val="009674AF"/>
    <w:rsid w:val="009675A4"/>
    <w:rsid w:val="009675EC"/>
    <w:rsid w:val="009675FE"/>
    <w:rsid w:val="00967615"/>
    <w:rsid w:val="009676ED"/>
    <w:rsid w:val="0096775B"/>
    <w:rsid w:val="00967799"/>
    <w:rsid w:val="009679F7"/>
    <w:rsid w:val="00967D59"/>
    <w:rsid w:val="00967DD2"/>
    <w:rsid w:val="00967E51"/>
    <w:rsid w:val="009703A1"/>
    <w:rsid w:val="009703BA"/>
    <w:rsid w:val="009706D5"/>
    <w:rsid w:val="00970716"/>
    <w:rsid w:val="009707E1"/>
    <w:rsid w:val="00970963"/>
    <w:rsid w:val="00970B26"/>
    <w:rsid w:val="00970B5D"/>
    <w:rsid w:val="00970B72"/>
    <w:rsid w:val="009710C8"/>
    <w:rsid w:val="00971128"/>
    <w:rsid w:val="009712DB"/>
    <w:rsid w:val="00971408"/>
    <w:rsid w:val="0097166A"/>
    <w:rsid w:val="00971769"/>
    <w:rsid w:val="009717ED"/>
    <w:rsid w:val="00971B4E"/>
    <w:rsid w:val="00971E17"/>
    <w:rsid w:val="00972228"/>
    <w:rsid w:val="0097255B"/>
    <w:rsid w:val="0097264D"/>
    <w:rsid w:val="00972748"/>
    <w:rsid w:val="009728FB"/>
    <w:rsid w:val="00972A2B"/>
    <w:rsid w:val="00972D14"/>
    <w:rsid w:val="00972DF0"/>
    <w:rsid w:val="009730CD"/>
    <w:rsid w:val="00973221"/>
    <w:rsid w:val="00973333"/>
    <w:rsid w:val="009733C2"/>
    <w:rsid w:val="00973708"/>
    <w:rsid w:val="00973A23"/>
    <w:rsid w:val="00973BE4"/>
    <w:rsid w:val="00973C43"/>
    <w:rsid w:val="00973E8F"/>
    <w:rsid w:val="00973FD3"/>
    <w:rsid w:val="009740D7"/>
    <w:rsid w:val="0097413A"/>
    <w:rsid w:val="0097413B"/>
    <w:rsid w:val="00974159"/>
    <w:rsid w:val="00974419"/>
    <w:rsid w:val="00974458"/>
    <w:rsid w:val="0097457E"/>
    <w:rsid w:val="009746D5"/>
    <w:rsid w:val="009746EA"/>
    <w:rsid w:val="0097486F"/>
    <w:rsid w:val="00974948"/>
    <w:rsid w:val="00974993"/>
    <w:rsid w:val="009749BB"/>
    <w:rsid w:val="00974AF4"/>
    <w:rsid w:val="00974C07"/>
    <w:rsid w:val="00974F7C"/>
    <w:rsid w:val="009752FD"/>
    <w:rsid w:val="0097531D"/>
    <w:rsid w:val="009753DB"/>
    <w:rsid w:val="00975520"/>
    <w:rsid w:val="009756C4"/>
    <w:rsid w:val="00975740"/>
    <w:rsid w:val="00975766"/>
    <w:rsid w:val="00975774"/>
    <w:rsid w:val="009758E4"/>
    <w:rsid w:val="00975949"/>
    <w:rsid w:val="009759A7"/>
    <w:rsid w:val="00975C06"/>
    <w:rsid w:val="00975F5D"/>
    <w:rsid w:val="00975FDF"/>
    <w:rsid w:val="009762A3"/>
    <w:rsid w:val="00976B0F"/>
    <w:rsid w:val="00976C84"/>
    <w:rsid w:val="00976D94"/>
    <w:rsid w:val="009774DF"/>
    <w:rsid w:val="0097770C"/>
    <w:rsid w:val="009777B6"/>
    <w:rsid w:val="009779B8"/>
    <w:rsid w:val="00977B40"/>
    <w:rsid w:val="00977BEA"/>
    <w:rsid w:val="00977E12"/>
    <w:rsid w:val="00977F84"/>
    <w:rsid w:val="009801B0"/>
    <w:rsid w:val="00980535"/>
    <w:rsid w:val="0098059C"/>
    <w:rsid w:val="00980815"/>
    <w:rsid w:val="009808DE"/>
    <w:rsid w:val="0098097A"/>
    <w:rsid w:val="0098098B"/>
    <w:rsid w:val="009809DB"/>
    <w:rsid w:val="00980A1C"/>
    <w:rsid w:val="00980AC3"/>
    <w:rsid w:val="00980CDC"/>
    <w:rsid w:val="00980D7A"/>
    <w:rsid w:val="00980E06"/>
    <w:rsid w:val="00980F57"/>
    <w:rsid w:val="00981018"/>
    <w:rsid w:val="00981068"/>
    <w:rsid w:val="009810A7"/>
    <w:rsid w:val="0098113D"/>
    <w:rsid w:val="00981415"/>
    <w:rsid w:val="0098146C"/>
    <w:rsid w:val="0098171D"/>
    <w:rsid w:val="00981762"/>
    <w:rsid w:val="009818AF"/>
    <w:rsid w:val="0098194E"/>
    <w:rsid w:val="00981C3B"/>
    <w:rsid w:val="00981C91"/>
    <w:rsid w:val="00982019"/>
    <w:rsid w:val="00982209"/>
    <w:rsid w:val="00982259"/>
    <w:rsid w:val="0098240A"/>
    <w:rsid w:val="009827BB"/>
    <w:rsid w:val="0098283E"/>
    <w:rsid w:val="00982850"/>
    <w:rsid w:val="0098291E"/>
    <w:rsid w:val="009829E8"/>
    <w:rsid w:val="00982A77"/>
    <w:rsid w:val="00982C34"/>
    <w:rsid w:val="00982CD0"/>
    <w:rsid w:val="00982F6C"/>
    <w:rsid w:val="0098301E"/>
    <w:rsid w:val="00983372"/>
    <w:rsid w:val="009833D2"/>
    <w:rsid w:val="009837C5"/>
    <w:rsid w:val="00983929"/>
    <w:rsid w:val="009839D6"/>
    <w:rsid w:val="00983A25"/>
    <w:rsid w:val="00983B0E"/>
    <w:rsid w:val="00983BBB"/>
    <w:rsid w:val="00983CE5"/>
    <w:rsid w:val="00983D75"/>
    <w:rsid w:val="00983E1B"/>
    <w:rsid w:val="00983EDB"/>
    <w:rsid w:val="009840D4"/>
    <w:rsid w:val="009841EB"/>
    <w:rsid w:val="00984204"/>
    <w:rsid w:val="00984615"/>
    <w:rsid w:val="0098466A"/>
    <w:rsid w:val="00984743"/>
    <w:rsid w:val="00984B49"/>
    <w:rsid w:val="00984C59"/>
    <w:rsid w:val="00984D33"/>
    <w:rsid w:val="00984D81"/>
    <w:rsid w:val="00984E29"/>
    <w:rsid w:val="00984F12"/>
    <w:rsid w:val="00985059"/>
    <w:rsid w:val="009850EE"/>
    <w:rsid w:val="00985199"/>
    <w:rsid w:val="0098527D"/>
    <w:rsid w:val="0098557A"/>
    <w:rsid w:val="00985677"/>
    <w:rsid w:val="00985688"/>
    <w:rsid w:val="009856CF"/>
    <w:rsid w:val="0098579E"/>
    <w:rsid w:val="009857C4"/>
    <w:rsid w:val="009857D9"/>
    <w:rsid w:val="009858E0"/>
    <w:rsid w:val="009859F5"/>
    <w:rsid w:val="00985A9D"/>
    <w:rsid w:val="00985C5F"/>
    <w:rsid w:val="00985D51"/>
    <w:rsid w:val="00985D9B"/>
    <w:rsid w:val="00985EA3"/>
    <w:rsid w:val="00985EE8"/>
    <w:rsid w:val="00986064"/>
    <w:rsid w:val="00986191"/>
    <w:rsid w:val="00986566"/>
    <w:rsid w:val="00986850"/>
    <w:rsid w:val="009869DC"/>
    <w:rsid w:val="00986B30"/>
    <w:rsid w:val="00986C8A"/>
    <w:rsid w:val="00986CBD"/>
    <w:rsid w:val="00986F16"/>
    <w:rsid w:val="00986FFB"/>
    <w:rsid w:val="0098710D"/>
    <w:rsid w:val="0098718B"/>
    <w:rsid w:val="0098766F"/>
    <w:rsid w:val="00987676"/>
    <w:rsid w:val="009876D0"/>
    <w:rsid w:val="00987750"/>
    <w:rsid w:val="0098783C"/>
    <w:rsid w:val="00987A39"/>
    <w:rsid w:val="00987BA3"/>
    <w:rsid w:val="00987DEA"/>
    <w:rsid w:val="00987EF5"/>
    <w:rsid w:val="00987F28"/>
    <w:rsid w:val="00987F7C"/>
    <w:rsid w:val="00987FD6"/>
    <w:rsid w:val="00990162"/>
    <w:rsid w:val="00990299"/>
    <w:rsid w:val="009902D6"/>
    <w:rsid w:val="00990448"/>
    <w:rsid w:val="009904F2"/>
    <w:rsid w:val="00990583"/>
    <w:rsid w:val="00990616"/>
    <w:rsid w:val="009907EF"/>
    <w:rsid w:val="00990A46"/>
    <w:rsid w:val="00990B2B"/>
    <w:rsid w:val="00990C11"/>
    <w:rsid w:val="00990C19"/>
    <w:rsid w:val="00990ED5"/>
    <w:rsid w:val="00990EEA"/>
    <w:rsid w:val="00991072"/>
    <w:rsid w:val="00991169"/>
    <w:rsid w:val="00991248"/>
    <w:rsid w:val="00991356"/>
    <w:rsid w:val="00991538"/>
    <w:rsid w:val="009916C2"/>
    <w:rsid w:val="009916C6"/>
    <w:rsid w:val="009917D6"/>
    <w:rsid w:val="009918B5"/>
    <w:rsid w:val="00991AD6"/>
    <w:rsid w:val="00991B08"/>
    <w:rsid w:val="00991CD6"/>
    <w:rsid w:val="00991DED"/>
    <w:rsid w:val="00991EC7"/>
    <w:rsid w:val="0099202F"/>
    <w:rsid w:val="0099242F"/>
    <w:rsid w:val="009924AE"/>
    <w:rsid w:val="009924B6"/>
    <w:rsid w:val="00992517"/>
    <w:rsid w:val="00992655"/>
    <w:rsid w:val="0099292A"/>
    <w:rsid w:val="00992C9A"/>
    <w:rsid w:val="00992FA2"/>
    <w:rsid w:val="00992FEE"/>
    <w:rsid w:val="00993245"/>
    <w:rsid w:val="009933AA"/>
    <w:rsid w:val="009935FF"/>
    <w:rsid w:val="009936AB"/>
    <w:rsid w:val="0099372E"/>
    <w:rsid w:val="009938FF"/>
    <w:rsid w:val="00993A40"/>
    <w:rsid w:val="00993E89"/>
    <w:rsid w:val="0099411A"/>
    <w:rsid w:val="0099418B"/>
    <w:rsid w:val="00994354"/>
    <w:rsid w:val="00994365"/>
    <w:rsid w:val="00994393"/>
    <w:rsid w:val="00994625"/>
    <w:rsid w:val="00994C96"/>
    <w:rsid w:val="00994D11"/>
    <w:rsid w:val="00994D4A"/>
    <w:rsid w:val="00995104"/>
    <w:rsid w:val="009952DF"/>
    <w:rsid w:val="00995337"/>
    <w:rsid w:val="009954C9"/>
    <w:rsid w:val="009954FF"/>
    <w:rsid w:val="0099566A"/>
    <w:rsid w:val="009957FD"/>
    <w:rsid w:val="00995947"/>
    <w:rsid w:val="00995A00"/>
    <w:rsid w:val="00995A79"/>
    <w:rsid w:val="00995A9E"/>
    <w:rsid w:val="00995CAF"/>
    <w:rsid w:val="00995EA7"/>
    <w:rsid w:val="00995F83"/>
    <w:rsid w:val="00995FC8"/>
    <w:rsid w:val="0099609E"/>
    <w:rsid w:val="00996254"/>
    <w:rsid w:val="00996342"/>
    <w:rsid w:val="009964CA"/>
    <w:rsid w:val="00996761"/>
    <w:rsid w:val="009967DE"/>
    <w:rsid w:val="009967E4"/>
    <w:rsid w:val="00996833"/>
    <w:rsid w:val="00996BC8"/>
    <w:rsid w:val="00996D0B"/>
    <w:rsid w:val="00996FB5"/>
    <w:rsid w:val="00996FD2"/>
    <w:rsid w:val="00997248"/>
    <w:rsid w:val="0099742D"/>
    <w:rsid w:val="00997628"/>
    <w:rsid w:val="0099762C"/>
    <w:rsid w:val="00997687"/>
    <w:rsid w:val="00997780"/>
    <w:rsid w:val="009977B7"/>
    <w:rsid w:val="009978AD"/>
    <w:rsid w:val="00997A4E"/>
    <w:rsid w:val="00997A58"/>
    <w:rsid w:val="00997B4C"/>
    <w:rsid w:val="00997D6C"/>
    <w:rsid w:val="009A0022"/>
    <w:rsid w:val="009A0224"/>
    <w:rsid w:val="009A0252"/>
    <w:rsid w:val="009A0464"/>
    <w:rsid w:val="009A06A4"/>
    <w:rsid w:val="009A06B9"/>
    <w:rsid w:val="009A07FC"/>
    <w:rsid w:val="009A0A29"/>
    <w:rsid w:val="009A0A42"/>
    <w:rsid w:val="009A0AAE"/>
    <w:rsid w:val="009A0B0C"/>
    <w:rsid w:val="009A0BC3"/>
    <w:rsid w:val="009A0F5E"/>
    <w:rsid w:val="009A0FF7"/>
    <w:rsid w:val="009A12A2"/>
    <w:rsid w:val="009A1438"/>
    <w:rsid w:val="009A1448"/>
    <w:rsid w:val="009A16AD"/>
    <w:rsid w:val="009A1848"/>
    <w:rsid w:val="009A1888"/>
    <w:rsid w:val="009A1A0C"/>
    <w:rsid w:val="009A1B3E"/>
    <w:rsid w:val="009A1E8A"/>
    <w:rsid w:val="009A1F33"/>
    <w:rsid w:val="009A1F70"/>
    <w:rsid w:val="009A2114"/>
    <w:rsid w:val="009A21A1"/>
    <w:rsid w:val="009A264F"/>
    <w:rsid w:val="009A2964"/>
    <w:rsid w:val="009A2BB0"/>
    <w:rsid w:val="009A2D3C"/>
    <w:rsid w:val="009A2D4B"/>
    <w:rsid w:val="009A3142"/>
    <w:rsid w:val="009A314D"/>
    <w:rsid w:val="009A33CA"/>
    <w:rsid w:val="009A3946"/>
    <w:rsid w:val="009A3A54"/>
    <w:rsid w:val="009A3C53"/>
    <w:rsid w:val="009A3E5E"/>
    <w:rsid w:val="009A402A"/>
    <w:rsid w:val="009A40BC"/>
    <w:rsid w:val="009A41B5"/>
    <w:rsid w:val="009A423A"/>
    <w:rsid w:val="009A43AC"/>
    <w:rsid w:val="009A4442"/>
    <w:rsid w:val="009A44A5"/>
    <w:rsid w:val="009A4595"/>
    <w:rsid w:val="009A4699"/>
    <w:rsid w:val="009A46DF"/>
    <w:rsid w:val="009A48CD"/>
    <w:rsid w:val="009A4A26"/>
    <w:rsid w:val="009A4B56"/>
    <w:rsid w:val="009A4CBA"/>
    <w:rsid w:val="009A4D5B"/>
    <w:rsid w:val="009A550B"/>
    <w:rsid w:val="009A566E"/>
    <w:rsid w:val="009A575F"/>
    <w:rsid w:val="009A5988"/>
    <w:rsid w:val="009A5BD6"/>
    <w:rsid w:val="009A5C96"/>
    <w:rsid w:val="009A5CBC"/>
    <w:rsid w:val="009A5E09"/>
    <w:rsid w:val="009A5F27"/>
    <w:rsid w:val="009A5F69"/>
    <w:rsid w:val="009A628A"/>
    <w:rsid w:val="009A660F"/>
    <w:rsid w:val="009A677D"/>
    <w:rsid w:val="009A697E"/>
    <w:rsid w:val="009A6997"/>
    <w:rsid w:val="009A6C95"/>
    <w:rsid w:val="009A6CD0"/>
    <w:rsid w:val="009A6F09"/>
    <w:rsid w:val="009A702D"/>
    <w:rsid w:val="009A71E4"/>
    <w:rsid w:val="009A73E4"/>
    <w:rsid w:val="009A748D"/>
    <w:rsid w:val="009A7824"/>
    <w:rsid w:val="009A7880"/>
    <w:rsid w:val="009A7893"/>
    <w:rsid w:val="009A7902"/>
    <w:rsid w:val="009A7953"/>
    <w:rsid w:val="009A7BF5"/>
    <w:rsid w:val="009A7E1B"/>
    <w:rsid w:val="009A7F9D"/>
    <w:rsid w:val="009B0174"/>
    <w:rsid w:val="009B048B"/>
    <w:rsid w:val="009B048C"/>
    <w:rsid w:val="009B058D"/>
    <w:rsid w:val="009B08A8"/>
    <w:rsid w:val="009B0AAE"/>
    <w:rsid w:val="009B0DFF"/>
    <w:rsid w:val="009B0E76"/>
    <w:rsid w:val="009B0E8A"/>
    <w:rsid w:val="009B0FF2"/>
    <w:rsid w:val="009B1019"/>
    <w:rsid w:val="009B11FA"/>
    <w:rsid w:val="009B139F"/>
    <w:rsid w:val="009B17CA"/>
    <w:rsid w:val="009B18E5"/>
    <w:rsid w:val="009B19DB"/>
    <w:rsid w:val="009B19FE"/>
    <w:rsid w:val="009B1E26"/>
    <w:rsid w:val="009B20B2"/>
    <w:rsid w:val="009B2107"/>
    <w:rsid w:val="009B2284"/>
    <w:rsid w:val="009B2439"/>
    <w:rsid w:val="009B24EB"/>
    <w:rsid w:val="009B250B"/>
    <w:rsid w:val="009B2745"/>
    <w:rsid w:val="009B2AC6"/>
    <w:rsid w:val="009B2B04"/>
    <w:rsid w:val="009B2BD6"/>
    <w:rsid w:val="009B2C0B"/>
    <w:rsid w:val="009B2D95"/>
    <w:rsid w:val="009B2E12"/>
    <w:rsid w:val="009B2F7B"/>
    <w:rsid w:val="009B2F99"/>
    <w:rsid w:val="009B3015"/>
    <w:rsid w:val="009B3036"/>
    <w:rsid w:val="009B31A2"/>
    <w:rsid w:val="009B3488"/>
    <w:rsid w:val="009B38B1"/>
    <w:rsid w:val="009B3D24"/>
    <w:rsid w:val="009B3EE3"/>
    <w:rsid w:val="009B3F23"/>
    <w:rsid w:val="009B3FF6"/>
    <w:rsid w:val="009B4028"/>
    <w:rsid w:val="009B4048"/>
    <w:rsid w:val="009B4263"/>
    <w:rsid w:val="009B4302"/>
    <w:rsid w:val="009B439A"/>
    <w:rsid w:val="009B45F3"/>
    <w:rsid w:val="009B47DF"/>
    <w:rsid w:val="009B4842"/>
    <w:rsid w:val="009B4ABF"/>
    <w:rsid w:val="009B4B94"/>
    <w:rsid w:val="009B4B9A"/>
    <w:rsid w:val="009B4D14"/>
    <w:rsid w:val="009B4D2C"/>
    <w:rsid w:val="009B4D98"/>
    <w:rsid w:val="009B4FF3"/>
    <w:rsid w:val="009B5198"/>
    <w:rsid w:val="009B51EC"/>
    <w:rsid w:val="009B5223"/>
    <w:rsid w:val="009B562F"/>
    <w:rsid w:val="009B56B5"/>
    <w:rsid w:val="009B5708"/>
    <w:rsid w:val="009B582B"/>
    <w:rsid w:val="009B594A"/>
    <w:rsid w:val="009B5A02"/>
    <w:rsid w:val="009B5C48"/>
    <w:rsid w:val="009B5D97"/>
    <w:rsid w:val="009B5EF0"/>
    <w:rsid w:val="009B5F0C"/>
    <w:rsid w:val="009B60B8"/>
    <w:rsid w:val="009B610F"/>
    <w:rsid w:val="009B61D6"/>
    <w:rsid w:val="009B635A"/>
    <w:rsid w:val="009B6469"/>
    <w:rsid w:val="009B6D53"/>
    <w:rsid w:val="009B6E98"/>
    <w:rsid w:val="009B6E9F"/>
    <w:rsid w:val="009B6F72"/>
    <w:rsid w:val="009B7023"/>
    <w:rsid w:val="009B7086"/>
    <w:rsid w:val="009B71DD"/>
    <w:rsid w:val="009B7322"/>
    <w:rsid w:val="009B759D"/>
    <w:rsid w:val="009B76EC"/>
    <w:rsid w:val="009B7998"/>
    <w:rsid w:val="009B7AAB"/>
    <w:rsid w:val="009B7D2F"/>
    <w:rsid w:val="009B7D74"/>
    <w:rsid w:val="009C00A8"/>
    <w:rsid w:val="009C00E0"/>
    <w:rsid w:val="009C0552"/>
    <w:rsid w:val="009C0901"/>
    <w:rsid w:val="009C09CC"/>
    <w:rsid w:val="009C0A7F"/>
    <w:rsid w:val="009C0AAC"/>
    <w:rsid w:val="009C1120"/>
    <w:rsid w:val="009C1165"/>
    <w:rsid w:val="009C1173"/>
    <w:rsid w:val="009C13C1"/>
    <w:rsid w:val="009C14D3"/>
    <w:rsid w:val="009C15B0"/>
    <w:rsid w:val="009C183A"/>
    <w:rsid w:val="009C1903"/>
    <w:rsid w:val="009C19B4"/>
    <w:rsid w:val="009C1A26"/>
    <w:rsid w:val="009C1C6D"/>
    <w:rsid w:val="009C1E77"/>
    <w:rsid w:val="009C1EEF"/>
    <w:rsid w:val="009C2011"/>
    <w:rsid w:val="009C213C"/>
    <w:rsid w:val="009C226E"/>
    <w:rsid w:val="009C227B"/>
    <w:rsid w:val="009C2571"/>
    <w:rsid w:val="009C2611"/>
    <w:rsid w:val="009C2876"/>
    <w:rsid w:val="009C2AAD"/>
    <w:rsid w:val="009C2ACF"/>
    <w:rsid w:val="009C2C4A"/>
    <w:rsid w:val="009C2D67"/>
    <w:rsid w:val="009C321E"/>
    <w:rsid w:val="009C34AC"/>
    <w:rsid w:val="009C353A"/>
    <w:rsid w:val="009C3630"/>
    <w:rsid w:val="009C3957"/>
    <w:rsid w:val="009C39A9"/>
    <w:rsid w:val="009C3AD4"/>
    <w:rsid w:val="009C3B65"/>
    <w:rsid w:val="009C3BB7"/>
    <w:rsid w:val="009C3C0C"/>
    <w:rsid w:val="009C3E31"/>
    <w:rsid w:val="009C3F59"/>
    <w:rsid w:val="009C3FEE"/>
    <w:rsid w:val="009C403B"/>
    <w:rsid w:val="009C40E3"/>
    <w:rsid w:val="009C40FD"/>
    <w:rsid w:val="009C42B1"/>
    <w:rsid w:val="009C42BD"/>
    <w:rsid w:val="009C42DF"/>
    <w:rsid w:val="009C43BD"/>
    <w:rsid w:val="009C45C5"/>
    <w:rsid w:val="009C4696"/>
    <w:rsid w:val="009C4790"/>
    <w:rsid w:val="009C48ED"/>
    <w:rsid w:val="009C4A9D"/>
    <w:rsid w:val="009C4BE4"/>
    <w:rsid w:val="009C4CB4"/>
    <w:rsid w:val="009C4CC4"/>
    <w:rsid w:val="009C4D58"/>
    <w:rsid w:val="009C4D98"/>
    <w:rsid w:val="009C4DE1"/>
    <w:rsid w:val="009C4EB5"/>
    <w:rsid w:val="009C51A5"/>
    <w:rsid w:val="009C5253"/>
    <w:rsid w:val="009C5301"/>
    <w:rsid w:val="009C5605"/>
    <w:rsid w:val="009C57A2"/>
    <w:rsid w:val="009C5887"/>
    <w:rsid w:val="009C5AAA"/>
    <w:rsid w:val="009C5B74"/>
    <w:rsid w:val="009C5B7B"/>
    <w:rsid w:val="009C5C4A"/>
    <w:rsid w:val="009C5C86"/>
    <w:rsid w:val="009C5D87"/>
    <w:rsid w:val="009C62CB"/>
    <w:rsid w:val="009C644A"/>
    <w:rsid w:val="009C64FF"/>
    <w:rsid w:val="009C658F"/>
    <w:rsid w:val="009C6618"/>
    <w:rsid w:val="009C67C5"/>
    <w:rsid w:val="009C68EC"/>
    <w:rsid w:val="009C6999"/>
    <w:rsid w:val="009C6A04"/>
    <w:rsid w:val="009C6A0C"/>
    <w:rsid w:val="009C6BD9"/>
    <w:rsid w:val="009C6BEA"/>
    <w:rsid w:val="009C6DAE"/>
    <w:rsid w:val="009C6DB9"/>
    <w:rsid w:val="009C6DE9"/>
    <w:rsid w:val="009C6F65"/>
    <w:rsid w:val="009C7079"/>
    <w:rsid w:val="009C7186"/>
    <w:rsid w:val="009C734A"/>
    <w:rsid w:val="009C7389"/>
    <w:rsid w:val="009C73DF"/>
    <w:rsid w:val="009C7744"/>
    <w:rsid w:val="009C7831"/>
    <w:rsid w:val="009C7857"/>
    <w:rsid w:val="009C78BE"/>
    <w:rsid w:val="009C7922"/>
    <w:rsid w:val="009C798C"/>
    <w:rsid w:val="009C7991"/>
    <w:rsid w:val="009C7AEB"/>
    <w:rsid w:val="009C7B12"/>
    <w:rsid w:val="009C7D50"/>
    <w:rsid w:val="009C7F53"/>
    <w:rsid w:val="009C7FC0"/>
    <w:rsid w:val="009D00AF"/>
    <w:rsid w:val="009D0149"/>
    <w:rsid w:val="009D0271"/>
    <w:rsid w:val="009D0275"/>
    <w:rsid w:val="009D032B"/>
    <w:rsid w:val="009D0413"/>
    <w:rsid w:val="009D0517"/>
    <w:rsid w:val="009D06EC"/>
    <w:rsid w:val="009D0893"/>
    <w:rsid w:val="009D0F84"/>
    <w:rsid w:val="009D102D"/>
    <w:rsid w:val="009D13B2"/>
    <w:rsid w:val="009D14E3"/>
    <w:rsid w:val="009D16EB"/>
    <w:rsid w:val="009D1892"/>
    <w:rsid w:val="009D1A95"/>
    <w:rsid w:val="009D1B40"/>
    <w:rsid w:val="009D1DEA"/>
    <w:rsid w:val="009D1E10"/>
    <w:rsid w:val="009D1F3B"/>
    <w:rsid w:val="009D25CA"/>
    <w:rsid w:val="009D2637"/>
    <w:rsid w:val="009D2638"/>
    <w:rsid w:val="009D2698"/>
    <w:rsid w:val="009D269B"/>
    <w:rsid w:val="009D26EE"/>
    <w:rsid w:val="009D27FE"/>
    <w:rsid w:val="009D28B0"/>
    <w:rsid w:val="009D2F4A"/>
    <w:rsid w:val="009D3549"/>
    <w:rsid w:val="009D3564"/>
    <w:rsid w:val="009D3721"/>
    <w:rsid w:val="009D39AF"/>
    <w:rsid w:val="009D3AB3"/>
    <w:rsid w:val="009D404D"/>
    <w:rsid w:val="009D4478"/>
    <w:rsid w:val="009D44CC"/>
    <w:rsid w:val="009D44D3"/>
    <w:rsid w:val="009D457A"/>
    <w:rsid w:val="009D483E"/>
    <w:rsid w:val="009D48AC"/>
    <w:rsid w:val="009D48DD"/>
    <w:rsid w:val="009D4AB4"/>
    <w:rsid w:val="009D4B4B"/>
    <w:rsid w:val="009D4CA1"/>
    <w:rsid w:val="009D4CC7"/>
    <w:rsid w:val="009D4E9C"/>
    <w:rsid w:val="009D4FE8"/>
    <w:rsid w:val="009D5109"/>
    <w:rsid w:val="009D5174"/>
    <w:rsid w:val="009D5307"/>
    <w:rsid w:val="009D5376"/>
    <w:rsid w:val="009D571D"/>
    <w:rsid w:val="009D57E3"/>
    <w:rsid w:val="009D5A4D"/>
    <w:rsid w:val="009D5B6D"/>
    <w:rsid w:val="009D5C69"/>
    <w:rsid w:val="009D5CF5"/>
    <w:rsid w:val="009D5F65"/>
    <w:rsid w:val="009D6012"/>
    <w:rsid w:val="009D6049"/>
    <w:rsid w:val="009D60E7"/>
    <w:rsid w:val="009D60F5"/>
    <w:rsid w:val="009D61D5"/>
    <w:rsid w:val="009D66C8"/>
    <w:rsid w:val="009D6938"/>
    <w:rsid w:val="009D6C88"/>
    <w:rsid w:val="009D6DFB"/>
    <w:rsid w:val="009D6E17"/>
    <w:rsid w:val="009D6E78"/>
    <w:rsid w:val="009D6EF9"/>
    <w:rsid w:val="009D6F0D"/>
    <w:rsid w:val="009D6F4E"/>
    <w:rsid w:val="009D7316"/>
    <w:rsid w:val="009D7363"/>
    <w:rsid w:val="009D7443"/>
    <w:rsid w:val="009D75D7"/>
    <w:rsid w:val="009D7767"/>
    <w:rsid w:val="009D78B2"/>
    <w:rsid w:val="009D7A4D"/>
    <w:rsid w:val="009D7D3A"/>
    <w:rsid w:val="009D7E58"/>
    <w:rsid w:val="009D7F4A"/>
    <w:rsid w:val="009D7F58"/>
    <w:rsid w:val="009D7FD5"/>
    <w:rsid w:val="009E006D"/>
    <w:rsid w:val="009E00F3"/>
    <w:rsid w:val="009E0163"/>
    <w:rsid w:val="009E0245"/>
    <w:rsid w:val="009E0771"/>
    <w:rsid w:val="009E0869"/>
    <w:rsid w:val="009E096C"/>
    <w:rsid w:val="009E0A3D"/>
    <w:rsid w:val="009E0A65"/>
    <w:rsid w:val="009E0AA6"/>
    <w:rsid w:val="009E0AC8"/>
    <w:rsid w:val="009E0B01"/>
    <w:rsid w:val="009E0B4C"/>
    <w:rsid w:val="009E0C09"/>
    <w:rsid w:val="009E1143"/>
    <w:rsid w:val="009E1221"/>
    <w:rsid w:val="009E15EC"/>
    <w:rsid w:val="009E1744"/>
    <w:rsid w:val="009E1821"/>
    <w:rsid w:val="009E1841"/>
    <w:rsid w:val="009E1B50"/>
    <w:rsid w:val="009E1D1B"/>
    <w:rsid w:val="009E1EB5"/>
    <w:rsid w:val="009E1EFA"/>
    <w:rsid w:val="009E2006"/>
    <w:rsid w:val="009E240D"/>
    <w:rsid w:val="009E246E"/>
    <w:rsid w:val="009E24F0"/>
    <w:rsid w:val="009E2708"/>
    <w:rsid w:val="009E273E"/>
    <w:rsid w:val="009E2836"/>
    <w:rsid w:val="009E2921"/>
    <w:rsid w:val="009E2BA1"/>
    <w:rsid w:val="009E2C04"/>
    <w:rsid w:val="009E2DA3"/>
    <w:rsid w:val="009E2F33"/>
    <w:rsid w:val="009E32F9"/>
    <w:rsid w:val="009E3496"/>
    <w:rsid w:val="009E35B6"/>
    <w:rsid w:val="009E3669"/>
    <w:rsid w:val="009E3BD9"/>
    <w:rsid w:val="009E3D93"/>
    <w:rsid w:val="009E3E10"/>
    <w:rsid w:val="009E4089"/>
    <w:rsid w:val="009E4181"/>
    <w:rsid w:val="009E46BE"/>
    <w:rsid w:val="009E4715"/>
    <w:rsid w:val="009E47A0"/>
    <w:rsid w:val="009E47D3"/>
    <w:rsid w:val="009E4C34"/>
    <w:rsid w:val="009E4C36"/>
    <w:rsid w:val="009E4CBE"/>
    <w:rsid w:val="009E4DEF"/>
    <w:rsid w:val="009E4E8E"/>
    <w:rsid w:val="009E4F61"/>
    <w:rsid w:val="009E5041"/>
    <w:rsid w:val="009E506B"/>
    <w:rsid w:val="009E5122"/>
    <w:rsid w:val="009E5208"/>
    <w:rsid w:val="009E5286"/>
    <w:rsid w:val="009E53DE"/>
    <w:rsid w:val="009E5465"/>
    <w:rsid w:val="009E568E"/>
    <w:rsid w:val="009E57B0"/>
    <w:rsid w:val="009E57DF"/>
    <w:rsid w:val="009E5A03"/>
    <w:rsid w:val="009E5B97"/>
    <w:rsid w:val="009E5BAC"/>
    <w:rsid w:val="009E5CCB"/>
    <w:rsid w:val="009E5E55"/>
    <w:rsid w:val="009E61C1"/>
    <w:rsid w:val="009E62E1"/>
    <w:rsid w:val="009E62E5"/>
    <w:rsid w:val="009E6468"/>
    <w:rsid w:val="009E659A"/>
    <w:rsid w:val="009E6756"/>
    <w:rsid w:val="009E6A0B"/>
    <w:rsid w:val="009E6A18"/>
    <w:rsid w:val="009E6A7D"/>
    <w:rsid w:val="009E6C22"/>
    <w:rsid w:val="009E6D6C"/>
    <w:rsid w:val="009E6DE1"/>
    <w:rsid w:val="009E6E0A"/>
    <w:rsid w:val="009E723F"/>
    <w:rsid w:val="009E7710"/>
    <w:rsid w:val="009E798F"/>
    <w:rsid w:val="009E7996"/>
    <w:rsid w:val="009F0100"/>
    <w:rsid w:val="009F01EC"/>
    <w:rsid w:val="009F02A8"/>
    <w:rsid w:val="009F03AD"/>
    <w:rsid w:val="009F03BB"/>
    <w:rsid w:val="009F04EC"/>
    <w:rsid w:val="009F0507"/>
    <w:rsid w:val="009F0598"/>
    <w:rsid w:val="009F0653"/>
    <w:rsid w:val="009F0885"/>
    <w:rsid w:val="009F0AD1"/>
    <w:rsid w:val="009F0B76"/>
    <w:rsid w:val="009F0CAC"/>
    <w:rsid w:val="009F0CEE"/>
    <w:rsid w:val="009F0F6B"/>
    <w:rsid w:val="009F1298"/>
    <w:rsid w:val="009F1437"/>
    <w:rsid w:val="009F1AC1"/>
    <w:rsid w:val="009F1D22"/>
    <w:rsid w:val="009F1D65"/>
    <w:rsid w:val="009F1DDD"/>
    <w:rsid w:val="009F1E88"/>
    <w:rsid w:val="009F1F10"/>
    <w:rsid w:val="009F1F8A"/>
    <w:rsid w:val="009F2105"/>
    <w:rsid w:val="009F221C"/>
    <w:rsid w:val="009F2272"/>
    <w:rsid w:val="009F23FD"/>
    <w:rsid w:val="009F2A63"/>
    <w:rsid w:val="009F2B43"/>
    <w:rsid w:val="009F2C67"/>
    <w:rsid w:val="009F2D51"/>
    <w:rsid w:val="009F2DAB"/>
    <w:rsid w:val="009F2EE8"/>
    <w:rsid w:val="009F31CF"/>
    <w:rsid w:val="009F31FB"/>
    <w:rsid w:val="009F32A0"/>
    <w:rsid w:val="009F35CA"/>
    <w:rsid w:val="009F35D4"/>
    <w:rsid w:val="009F3712"/>
    <w:rsid w:val="009F3844"/>
    <w:rsid w:val="009F394C"/>
    <w:rsid w:val="009F39D7"/>
    <w:rsid w:val="009F3BD1"/>
    <w:rsid w:val="009F403A"/>
    <w:rsid w:val="009F406A"/>
    <w:rsid w:val="009F40C4"/>
    <w:rsid w:val="009F4113"/>
    <w:rsid w:val="009F4193"/>
    <w:rsid w:val="009F4439"/>
    <w:rsid w:val="009F4559"/>
    <w:rsid w:val="009F473C"/>
    <w:rsid w:val="009F480A"/>
    <w:rsid w:val="009F48D5"/>
    <w:rsid w:val="009F4BC2"/>
    <w:rsid w:val="009F4CF1"/>
    <w:rsid w:val="009F4E72"/>
    <w:rsid w:val="009F4F53"/>
    <w:rsid w:val="009F506F"/>
    <w:rsid w:val="009F518A"/>
    <w:rsid w:val="009F51E6"/>
    <w:rsid w:val="009F52D2"/>
    <w:rsid w:val="009F52E8"/>
    <w:rsid w:val="009F54D6"/>
    <w:rsid w:val="009F5560"/>
    <w:rsid w:val="009F559E"/>
    <w:rsid w:val="009F56CC"/>
    <w:rsid w:val="009F585D"/>
    <w:rsid w:val="009F590B"/>
    <w:rsid w:val="009F590C"/>
    <w:rsid w:val="009F5B98"/>
    <w:rsid w:val="009F5C81"/>
    <w:rsid w:val="009F651A"/>
    <w:rsid w:val="009F68AD"/>
    <w:rsid w:val="009F6A45"/>
    <w:rsid w:val="009F6C99"/>
    <w:rsid w:val="009F6DA1"/>
    <w:rsid w:val="009F7037"/>
    <w:rsid w:val="009F7100"/>
    <w:rsid w:val="009F7179"/>
    <w:rsid w:val="009F7268"/>
    <w:rsid w:val="009F73CE"/>
    <w:rsid w:val="009F7431"/>
    <w:rsid w:val="009F745E"/>
    <w:rsid w:val="009F7D0C"/>
    <w:rsid w:val="009F7E52"/>
    <w:rsid w:val="009F7E73"/>
    <w:rsid w:val="009F7F33"/>
    <w:rsid w:val="00A00020"/>
    <w:rsid w:val="00A000C8"/>
    <w:rsid w:val="00A00141"/>
    <w:rsid w:val="00A0018B"/>
    <w:rsid w:val="00A00318"/>
    <w:rsid w:val="00A005D0"/>
    <w:rsid w:val="00A00749"/>
    <w:rsid w:val="00A00A23"/>
    <w:rsid w:val="00A00A86"/>
    <w:rsid w:val="00A00B0F"/>
    <w:rsid w:val="00A00D13"/>
    <w:rsid w:val="00A00D35"/>
    <w:rsid w:val="00A00F15"/>
    <w:rsid w:val="00A018FE"/>
    <w:rsid w:val="00A01A3E"/>
    <w:rsid w:val="00A01DA8"/>
    <w:rsid w:val="00A01E8E"/>
    <w:rsid w:val="00A01ED0"/>
    <w:rsid w:val="00A02001"/>
    <w:rsid w:val="00A020A2"/>
    <w:rsid w:val="00A02191"/>
    <w:rsid w:val="00A02245"/>
    <w:rsid w:val="00A023A0"/>
    <w:rsid w:val="00A02595"/>
    <w:rsid w:val="00A025ED"/>
    <w:rsid w:val="00A026DC"/>
    <w:rsid w:val="00A028F7"/>
    <w:rsid w:val="00A02A05"/>
    <w:rsid w:val="00A02A89"/>
    <w:rsid w:val="00A02BD6"/>
    <w:rsid w:val="00A02DA6"/>
    <w:rsid w:val="00A02FA0"/>
    <w:rsid w:val="00A0315B"/>
    <w:rsid w:val="00A03221"/>
    <w:rsid w:val="00A033BE"/>
    <w:rsid w:val="00A038DB"/>
    <w:rsid w:val="00A03A8B"/>
    <w:rsid w:val="00A03AA3"/>
    <w:rsid w:val="00A03CB3"/>
    <w:rsid w:val="00A03E16"/>
    <w:rsid w:val="00A04314"/>
    <w:rsid w:val="00A04567"/>
    <w:rsid w:val="00A04AE3"/>
    <w:rsid w:val="00A04BD5"/>
    <w:rsid w:val="00A04E31"/>
    <w:rsid w:val="00A04E9E"/>
    <w:rsid w:val="00A0501B"/>
    <w:rsid w:val="00A05262"/>
    <w:rsid w:val="00A052B4"/>
    <w:rsid w:val="00A05548"/>
    <w:rsid w:val="00A05665"/>
    <w:rsid w:val="00A05B85"/>
    <w:rsid w:val="00A05DED"/>
    <w:rsid w:val="00A063EE"/>
    <w:rsid w:val="00A06458"/>
    <w:rsid w:val="00A06606"/>
    <w:rsid w:val="00A06766"/>
    <w:rsid w:val="00A068E4"/>
    <w:rsid w:val="00A06C54"/>
    <w:rsid w:val="00A06E03"/>
    <w:rsid w:val="00A0707C"/>
    <w:rsid w:val="00A070C6"/>
    <w:rsid w:val="00A07134"/>
    <w:rsid w:val="00A071FA"/>
    <w:rsid w:val="00A07387"/>
    <w:rsid w:val="00A07992"/>
    <w:rsid w:val="00A07B8C"/>
    <w:rsid w:val="00A07E57"/>
    <w:rsid w:val="00A100F9"/>
    <w:rsid w:val="00A101F8"/>
    <w:rsid w:val="00A10495"/>
    <w:rsid w:val="00A10521"/>
    <w:rsid w:val="00A1079F"/>
    <w:rsid w:val="00A107B2"/>
    <w:rsid w:val="00A109E4"/>
    <w:rsid w:val="00A11111"/>
    <w:rsid w:val="00A111D1"/>
    <w:rsid w:val="00A11254"/>
    <w:rsid w:val="00A11259"/>
    <w:rsid w:val="00A113EE"/>
    <w:rsid w:val="00A11599"/>
    <w:rsid w:val="00A11607"/>
    <w:rsid w:val="00A117BA"/>
    <w:rsid w:val="00A1182B"/>
    <w:rsid w:val="00A118F6"/>
    <w:rsid w:val="00A119B9"/>
    <w:rsid w:val="00A11A4A"/>
    <w:rsid w:val="00A11B83"/>
    <w:rsid w:val="00A11D9B"/>
    <w:rsid w:val="00A11EF8"/>
    <w:rsid w:val="00A12000"/>
    <w:rsid w:val="00A1200B"/>
    <w:rsid w:val="00A125B6"/>
    <w:rsid w:val="00A126F0"/>
    <w:rsid w:val="00A12700"/>
    <w:rsid w:val="00A128B4"/>
    <w:rsid w:val="00A128ED"/>
    <w:rsid w:val="00A1294C"/>
    <w:rsid w:val="00A12AF3"/>
    <w:rsid w:val="00A1306D"/>
    <w:rsid w:val="00A130F8"/>
    <w:rsid w:val="00A13392"/>
    <w:rsid w:val="00A133F2"/>
    <w:rsid w:val="00A13734"/>
    <w:rsid w:val="00A13807"/>
    <w:rsid w:val="00A139BB"/>
    <w:rsid w:val="00A139F0"/>
    <w:rsid w:val="00A13D83"/>
    <w:rsid w:val="00A13E16"/>
    <w:rsid w:val="00A13FBF"/>
    <w:rsid w:val="00A14080"/>
    <w:rsid w:val="00A14212"/>
    <w:rsid w:val="00A1445B"/>
    <w:rsid w:val="00A14955"/>
    <w:rsid w:val="00A149AC"/>
    <w:rsid w:val="00A14AD8"/>
    <w:rsid w:val="00A14CDF"/>
    <w:rsid w:val="00A14F6F"/>
    <w:rsid w:val="00A15271"/>
    <w:rsid w:val="00A1534E"/>
    <w:rsid w:val="00A1552A"/>
    <w:rsid w:val="00A156C8"/>
    <w:rsid w:val="00A159B1"/>
    <w:rsid w:val="00A15C24"/>
    <w:rsid w:val="00A15CDE"/>
    <w:rsid w:val="00A15E5F"/>
    <w:rsid w:val="00A161A4"/>
    <w:rsid w:val="00A16358"/>
    <w:rsid w:val="00A164F5"/>
    <w:rsid w:val="00A16517"/>
    <w:rsid w:val="00A16710"/>
    <w:rsid w:val="00A1694C"/>
    <w:rsid w:val="00A16990"/>
    <w:rsid w:val="00A169C6"/>
    <w:rsid w:val="00A16BA7"/>
    <w:rsid w:val="00A16CBE"/>
    <w:rsid w:val="00A16E23"/>
    <w:rsid w:val="00A16E51"/>
    <w:rsid w:val="00A16F44"/>
    <w:rsid w:val="00A171C5"/>
    <w:rsid w:val="00A1730D"/>
    <w:rsid w:val="00A17446"/>
    <w:rsid w:val="00A17460"/>
    <w:rsid w:val="00A17682"/>
    <w:rsid w:val="00A1775D"/>
    <w:rsid w:val="00A177B5"/>
    <w:rsid w:val="00A17889"/>
    <w:rsid w:val="00A17957"/>
    <w:rsid w:val="00A17981"/>
    <w:rsid w:val="00A179AE"/>
    <w:rsid w:val="00A17AC6"/>
    <w:rsid w:val="00A17AE0"/>
    <w:rsid w:val="00A17B7E"/>
    <w:rsid w:val="00A17E73"/>
    <w:rsid w:val="00A17E79"/>
    <w:rsid w:val="00A17E85"/>
    <w:rsid w:val="00A17EB2"/>
    <w:rsid w:val="00A2012D"/>
    <w:rsid w:val="00A20430"/>
    <w:rsid w:val="00A2068A"/>
    <w:rsid w:val="00A206AD"/>
    <w:rsid w:val="00A20747"/>
    <w:rsid w:val="00A207E9"/>
    <w:rsid w:val="00A207F6"/>
    <w:rsid w:val="00A2085C"/>
    <w:rsid w:val="00A2088D"/>
    <w:rsid w:val="00A20967"/>
    <w:rsid w:val="00A20A37"/>
    <w:rsid w:val="00A20B1D"/>
    <w:rsid w:val="00A20C0B"/>
    <w:rsid w:val="00A20CD1"/>
    <w:rsid w:val="00A20E97"/>
    <w:rsid w:val="00A20F41"/>
    <w:rsid w:val="00A20F5F"/>
    <w:rsid w:val="00A2114A"/>
    <w:rsid w:val="00A211AF"/>
    <w:rsid w:val="00A211EE"/>
    <w:rsid w:val="00A21258"/>
    <w:rsid w:val="00A21285"/>
    <w:rsid w:val="00A2143F"/>
    <w:rsid w:val="00A21478"/>
    <w:rsid w:val="00A214CF"/>
    <w:rsid w:val="00A21528"/>
    <w:rsid w:val="00A2152B"/>
    <w:rsid w:val="00A2182B"/>
    <w:rsid w:val="00A218C4"/>
    <w:rsid w:val="00A219E5"/>
    <w:rsid w:val="00A21C5B"/>
    <w:rsid w:val="00A21D93"/>
    <w:rsid w:val="00A2213F"/>
    <w:rsid w:val="00A22196"/>
    <w:rsid w:val="00A221E9"/>
    <w:rsid w:val="00A225A9"/>
    <w:rsid w:val="00A226BE"/>
    <w:rsid w:val="00A22729"/>
    <w:rsid w:val="00A22920"/>
    <w:rsid w:val="00A2294A"/>
    <w:rsid w:val="00A22B04"/>
    <w:rsid w:val="00A22B2F"/>
    <w:rsid w:val="00A22C63"/>
    <w:rsid w:val="00A22EA1"/>
    <w:rsid w:val="00A23231"/>
    <w:rsid w:val="00A232D4"/>
    <w:rsid w:val="00A232FE"/>
    <w:rsid w:val="00A23DE6"/>
    <w:rsid w:val="00A23E36"/>
    <w:rsid w:val="00A2402D"/>
    <w:rsid w:val="00A24226"/>
    <w:rsid w:val="00A242DE"/>
    <w:rsid w:val="00A2435D"/>
    <w:rsid w:val="00A24475"/>
    <w:rsid w:val="00A246E4"/>
    <w:rsid w:val="00A2481E"/>
    <w:rsid w:val="00A24B23"/>
    <w:rsid w:val="00A24C02"/>
    <w:rsid w:val="00A24D48"/>
    <w:rsid w:val="00A24E19"/>
    <w:rsid w:val="00A24EB9"/>
    <w:rsid w:val="00A24F11"/>
    <w:rsid w:val="00A24F32"/>
    <w:rsid w:val="00A2501C"/>
    <w:rsid w:val="00A250E2"/>
    <w:rsid w:val="00A2512B"/>
    <w:rsid w:val="00A251FA"/>
    <w:rsid w:val="00A2533A"/>
    <w:rsid w:val="00A2562F"/>
    <w:rsid w:val="00A2598E"/>
    <w:rsid w:val="00A25F6D"/>
    <w:rsid w:val="00A260BD"/>
    <w:rsid w:val="00A26188"/>
    <w:rsid w:val="00A261DA"/>
    <w:rsid w:val="00A2637F"/>
    <w:rsid w:val="00A2675E"/>
    <w:rsid w:val="00A26780"/>
    <w:rsid w:val="00A267FD"/>
    <w:rsid w:val="00A2687F"/>
    <w:rsid w:val="00A269FB"/>
    <w:rsid w:val="00A26CD1"/>
    <w:rsid w:val="00A26DFA"/>
    <w:rsid w:val="00A2708C"/>
    <w:rsid w:val="00A272DE"/>
    <w:rsid w:val="00A273FF"/>
    <w:rsid w:val="00A27603"/>
    <w:rsid w:val="00A27614"/>
    <w:rsid w:val="00A27747"/>
    <w:rsid w:val="00A27860"/>
    <w:rsid w:val="00A27906"/>
    <w:rsid w:val="00A279F1"/>
    <w:rsid w:val="00A27E2F"/>
    <w:rsid w:val="00A27E38"/>
    <w:rsid w:val="00A30091"/>
    <w:rsid w:val="00A300B4"/>
    <w:rsid w:val="00A30252"/>
    <w:rsid w:val="00A303B1"/>
    <w:rsid w:val="00A3046F"/>
    <w:rsid w:val="00A3057C"/>
    <w:rsid w:val="00A30B4B"/>
    <w:rsid w:val="00A30C09"/>
    <w:rsid w:val="00A30D56"/>
    <w:rsid w:val="00A30EAE"/>
    <w:rsid w:val="00A31070"/>
    <w:rsid w:val="00A3112E"/>
    <w:rsid w:val="00A31210"/>
    <w:rsid w:val="00A312DE"/>
    <w:rsid w:val="00A31326"/>
    <w:rsid w:val="00A3137D"/>
    <w:rsid w:val="00A313D9"/>
    <w:rsid w:val="00A314B1"/>
    <w:rsid w:val="00A315C4"/>
    <w:rsid w:val="00A315F5"/>
    <w:rsid w:val="00A3170B"/>
    <w:rsid w:val="00A31815"/>
    <w:rsid w:val="00A31BC9"/>
    <w:rsid w:val="00A31EF9"/>
    <w:rsid w:val="00A31FD6"/>
    <w:rsid w:val="00A32258"/>
    <w:rsid w:val="00A3227E"/>
    <w:rsid w:val="00A32309"/>
    <w:rsid w:val="00A3232A"/>
    <w:rsid w:val="00A32375"/>
    <w:rsid w:val="00A3241A"/>
    <w:rsid w:val="00A324FB"/>
    <w:rsid w:val="00A32578"/>
    <w:rsid w:val="00A325C8"/>
    <w:rsid w:val="00A32724"/>
    <w:rsid w:val="00A3274D"/>
    <w:rsid w:val="00A3281A"/>
    <w:rsid w:val="00A3290D"/>
    <w:rsid w:val="00A329CE"/>
    <w:rsid w:val="00A329F0"/>
    <w:rsid w:val="00A32A66"/>
    <w:rsid w:val="00A32DDD"/>
    <w:rsid w:val="00A32E09"/>
    <w:rsid w:val="00A32E88"/>
    <w:rsid w:val="00A32F9B"/>
    <w:rsid w:val="00A330C6"/>
    <w:rsid w:val="00A33127"/>
    <w:rsid w:val="00A3313B"/>
    <w:rsid w:val="00A33333"/>
    <w:rsid w:val="00A3354E"/>
    <w:rsid w:val="00A33849"/>
    <w:rsid w:val="00A33A15"/>
    <w:rsid w:val="00A33AFD"/>
    <w:rsid w:val="00A33B08"/>
    <w:rsid w:val="00A33C28"/>
    <w:rsid w:val="00A34210"/>
    <w:rsid w:val="00A342D7"/>
    <w:rsid w:val="00A34352"/>
    <w:rsid w:val="00A343AC"/>
    <w:rsid w:val="00A3450F"/>
    <w:rsid w:val="00A3456C"/>
    <w:rsid w:val="00A345A5"/>
    <w:rsid w:val="00A3466D"/>
    <w:rsid w:val="00A34690"/>
    <w:rsid w:val="00A34766"/>
    <w:rsid w:val="00A349B9"/>
    <w:rsid w:val="00A34C50"/>
    <w:rsid w:val="00A34C98"/>
    <w:rsid w:val="00A34D62"/>
    <w:rsid w:val="00A34D8F"/>
    <w:rsid w:val="00A34FC6"/>
    <w:rsid w:val="00A352AB"/>
    <w:rsid w:val="00A3535D"/>
    <w:rsid w:val="00A3561C"/>
    <w:rsid w:val="00A3569F"/>
    <w:rsid w:val="00A356A7"/>
    <w:rsid w:val="00A3580D"/>
    <w:rsid w:val="00A3588B"/>
    <w:rsid w:val="00A358D6"/>
    <w:rsid w:val="00A358FE"/>
    <w:rsid w:val="00A35ABB"/>
    <w:rsid w:val="00A35ACE"/>
    <w:rsid w:val="00A35B8B"/>
    <w:rsid w:val="00A35DA2"/>
    <w:rsid w:val="00A36031"/>
    <w:rsid w:val="00A36194"/>
    <w:rsid w:val="00A361DA"/>
    <w:rsid w:val="00A3639E"/>
    <w:rsid w:val="00A363B8"/>
    <w:rsid w:val="00A3650B"/>
    <w:rsid w:val="00A36784"/>
    <w:rsid w:val="00A36AF2"/>
    <w:rsid w:val="00A36C99"/>
    <w:rsid w:val="00A36CF9"/>
    <w:rsid w:val="00A36D19"/>
    <w:rsid w:val="00A36EF9"/>
    <w:rsid w:val="00A36FC1"/>
    <w:rsid w:val="00A37043"/>
    <w:rsid w:val="00A370D5"/>
    <w:rsid w:val="00A3732D"/>
    <w:rsid w:val="00A37433"/>
    <w:rsid w:val="00A374A0"/>
    <w:rsid w:val="00A37501"/>
    <w:rsid w:val="00A37554"/>
    <w:rsid w:val="00A37993"/>
    <w:rsid w:val="00A37AA2"/>
    <w:rsid w:val="00A37B77"/>
    <w:rsid w:val="00A37D17"/>
    <w:rsid w:val="00A37DA7"/>
    <w:rsid w:val="00A37F81"/>
    <w:rsid w:val="00A37F9D"/>
    <w:rsid w:val="00A40082"/>
    <w:rsid w:val="00A40288"/>
    <w:rsid w:val="00A405F1"/>
    <w:rsid w:val="00A407D9"/>
    <w:rsid w:val="00A40911"/>
    <w:rsid w:val="00A40A1B"/>
    <w:rsid w:val="00A40BE1"/>
    <w:rsid w:val="00A40DBF"/>
    <w:rsid w:val="00A40F25"/>
    <w:rsid w:val="00A40FA3"/>
    <w:rsid w:val="00A4125D"/>
    <w:rsid w:val="00A4145D"/>
    <w:rsid w:val="00A416B1"/>
    <w:rsid w:val="00A4178F"/>
    <w:rsid w:val="00A41A43"/>
    <w:rsid w:val="00A41AB7"/>
    <w:rsid w:val="00A41DC8"/>
    <w:rsid w:val="00A41FEC"/>
    <w:rsid w:val="00A42394"/>
    <w:rsid w:val="00A42578"/>
    <w:rsid w:val="00A4262A"/>
    <w:rsid w:val="00A42721"/>
    <w:rsid w:val="00A42762"/>
    <w:rsid w:val="00A42A2B"/>
    <w:rsid w:val="00A42ADE"/>
    <w:rsid w:val="00A42BA8"/>
    <w:rsid w:val="00A42C6F"/>
    <w:rsid w:val="00A42DDD"/>
    <w:rsid w:val="00A43188"/>
    <w:rsid w:val="00A4324B"/>
    <w:rsid w:val="00A4330E"/>
    <w:rsid w:val="00A43382"/>
    <w:rsid w:val="00A4379B"/>
    <w:rsid w:val="00A43A3B"/>
    <w:rsid w:val="00A43B3E"/>
    <w:rsid w:val="00A43B54"/>
    <w:rsid w:val="00A43C19"/>
    <w:rsid w:val="00A43CE2"/>
    <w:rsid w:val="00A43DF2"/>
    <w:rsid w:val="00A44118"/>
    <w:rsid w:val="00A445B0"/>
    <w:rsid w:val="00A445B5"/>
    <w:rsid w:val="00A44AE8"/>
    <w:rsid w:val="00A44C7B"/>
    <w:rsid w:val="00A44CE1"/>
    <w:rsid w:val="00A44DA2"/>
    <w:rsid w:val="00A44E46"/>
    <w:rsid w:val="00A44F7E"/>
    <w:rsid w:val="00A45059"/>
    <w:rsid w:val="00A45199"/>
    <w:rsid w:val="00A4529D"/>
    <w:rsid w:val="00A45486"/>
    <w:rsid w:val="00A45621"/>
    <w:rsid w:val="00A45651"/>
    <w:rsid w:val="00A456EE"/>
    <w:rsid w:val="00A4570A"/>
    <w:rsid w:val="00A45779"/>
    <w:rsid w:val="00A4577A"/>
    <w:rsid w:val="00A458FA"/>
    <w:rsid w:val="00A45A2A"/>
    <w:rsid w:val="00A45A65"/>
    <w:rsid w:val="00A45ACC"/>
    <w:rsid w:val="00A45B98"/>
    <w:rsid w:val="00A45CB9"/>
    <w:rsid w:val="00A45E43"/>
    <w:rsid w:val="00A4603D"/>
    <w:rsid w:val="00A465A1"/>
    <w:rsid w:val="00A46875"/>
    <w:rsid w:val="00A46A59"/>
    <w:rsid w:val="00A46BCB"/>
    <w:rsid w:val="00A46DA8"/>
    <w:rsid w:val="00A46F0F"/>
    <w:rsid w:val="00A47073"/>
    <w:rsid w:val="00A4715D"/>
    <w:rsid w:val="00A471E1"/>
    <w:rsid w:val="00A47224"/>
    <w:rsid w:val="00A47289"/>
    <w:rsid w:val="00A473AF"/>
    <w:rsid w:val="00A47459"/>
    <w:rsid w:val="00A474A6"/>
    <w:rsid w:val="00A477F0"/>
    <w:rsid w:val="00A4798C"/>
    <w:rsid w:val="00A47BC4"/>
    <w:rsid w:val="00A47DD4"/>
    <w:rsid w:val="00A47E40"/>
    <w:rsid w:val="00A5003D"/>
    <w:rsid w:val="00A5009F"/>
    <w:rsid w:val="00A500BD"/>
    <w:rsid w:val="00A50401"/>
    <w:rsid w:val="00A5046A"/>
    <w:rsid w:val="00A507AE"/>
    <w:rsid w:val="00A50865"/>
    <w:rsid w:val="00A50A1F"/>
    <w:rsid w:val="00A50AAF"/>
    <w:rsid w:val="00A50BD2"/>
    <w:rsid w:val="00A50D0A"/>
    <w:rsid w:val="00A50E4B"/>
    <w:rsid w:val="00A50E95"/>
    <w:rsid w:val="00A50F44"/>
    <w:rsid w:val="00A51115"/>
    <w:rsid w:val="00A515FE"/>
    <w:rsid w:val="00A517A2"/>
    <w:rsid w:val="00A51AC5"/>
    <w:rsid w:val="00A51EE4"/>
    <w:rsid w:val="00A51FB3"/>
    <w:rsid w:val="00A52010"/>
    <w:rsid w:val="00A5205F"/>
    <w:rsid w:val="00A5229F"/>
    <w:rsid w:val="00A5291D"/>
    <w:rsid w:val="00A529CD"/>
    <w:rsid w:val="00A52C67"/>
    <w:rsid w:val="00A52C78"/>
    <w:rsid w:val="00A52EB2"/>
    <w:rsid w:val="00A52F03"/>
    <w:rsid w:val="00A52F6E"/>
    <w:rsid w:val="00A5378F"/>
    <w:rsid w:val="00A53F19"/>
    <w:rsid w:val="00A53FDC"/>
    <w:rsid w:val="00A5414C"/>
    <w:rsid w:val="00A54243"/>
    <w:rsid w:val="00A542B9"/>
    <w:rsid w:val="00A54445"/>
    <w:rsid w:val="00A545C4"/>
    <w:rsid w:val="00A545D1"/>
    <w:rsid w:val="00A5461F"/>
    <w:rsid w:val="00A547A7"/>
    <w:rsid w:val="00A54867"/>
    <w:rsid w:val="00A549ED"/>
    <w:rsid w:val="00A54AEA"/>
    <w:rsid w:val="00A54C6D"/>
    <w:rsid w:val="00A54E53"/>
    <w:rsid w:val="00A54F0B"/>
    <w:rsid w:val="00A550B5"/>
    <w:rsid w:val="00A554C1"/>
    <w:rsid w:val="00A555F7"/>
    <w:rsid w:val="00A556C2"/>
    <w:rsid w:val="00A55716"/>
    <w:rsid w:val="00A557ED"/>
    <w:rsid w:val="00A557EF"/>
    <w:rsid w:val="00A5595B"/>
    <w:rsid w:val="00A55A94"/>
    <w:rsid w:val="00A55B0D"/>
    <w:rsid w:val="00A55CB6"/>
    <w:rsid w:val="00A55DC8"/>
    <w:rsid w:val="00A55E32"/>
    <w:rsid w:val="00A55E54"/>
    <w:rsid w:val="00A5620B"/>
    <w:rsid w:val="00A562C7"/>
    <w:rsid w:val="00A56470"/>
    <w:rsid w:val="00A56597"/>
    <w:rsid w:val="00A566D7"/>
    <w:rsid w:val="00A56B23"/>
    <w:rsid w:val="00A56C91"/>
    <w:rsid w:val="00A56D2E"/>
    <w:rsid w:val="00A56D8D"/>
    <w:rsid w:val="00A56DF1"/>
    <w:rsid w:val="00A56DF8"/>
    <w:rsid w:val="00A56E47"/>
    <w:rsid w:val="00A56F48"/>
    <w:rsid w:val="00A57009"/>
    <w:rsid w:val="00A57065"/>
    <w:rsid w:val="00A57241"/>
    <w:rsid w:val="00A57254"/>
    <w:rsid w:val="00A57354"/>
    <w:rsid w:val="00A5739A"/>
    <w:rsid w:val="00A57491"/>
    <w:rsid w:val="00A57502"/>
    <w:rsid w:val="00A5754D"/>
    <w:rsid w:val="00A57603"/>
    <w:rsid w:val="00A57978"/>
    <w:rsid w:val="00A57B85"/>
    <w:rsid w:val="00A57D1C"/>
    <w:rsid w:val="00A57E4E"/>
    <w:rsid w:val="00A57EE3"/>
    <w:rsid w:val="00A60271"/>
    <w:rsid w:val="00A60295"/>
    <w:rsid w:val="00A602F9"/>
    <w:rsid w:val="00A6055E"/>
    <w:rsid w:val="00A6057C"/>
    <w:rsid w:val="00A606D4"/>
    <w:rsid w:val="00A6091B"/>
    <w:rsid w:val="00A609A3"/>
    <w:rsid w:val="00A60A2F"/>
    <w:rsid w:val="00A60AAC"/>
    <w:rsid w:val="00A60BD8"/>
    <w:rsid w:val="00A60C40"/>
    <w:rsid w:val="00A60FB4"/>
    <w:rsid w:val="00A610BD"/>
    <w:rsid w:val="00A61235"/>
    <w:rsid w:val="00A61338"/>
    <w:rsid w:val="00A6147B"/>
    <w:rsid w:val="00A614A9"/>
    <w:rsid w:val="00A61634"/>
    <w:rsid w:val="00A61C21"/>
    <w:rsid w:val="00A61C27"/>
    <w:rsid w:val="00A61F23"/>
    <w:rsid w:val="00A61FEB"/>
    <w:rsid w:val="00A621FB"/>
    <w:rsid w:val="00A622A4"/>
    <w:rsid w:val="00A625DE"/>
    <w:rsid w:val="00A627A8"/>
    <w:rsid w:val="00A62AC1"/>
    <w:rsid w:val="00A62C41"/>
    <w:rsid w:val="00A6301D"/>
    <w:rsid w:val="00A630EB"/>
    <w:rsid w:val="00A631F5"/>
    <w:rsid w:val="00A6325E"/>
    <w:rsid w:val="00A633A7"/>
    <w:rsid w:val="00A633F7"/>
    <w:rsid w:val="00A6362C"/>
    <w:rsid w:val="00A636BB"/>
    <w:rsid w:val="00A63AD8"/>
    <w:rsid w:val="00A63B4D"/>
    <w:rsid w:val="00A63C69"/>
    <w:rsid w:val="00A63F13"/>
    <w:rsid w:val="00A64716"/>
    <w:rsid w:val="00A647BF"/>
    <w:rsid w:val="00A647ED"/>
    <w:rsid w:val="00A64923"/>
    <w:rsid w:val="00A64CD4"/>
    <w:rsid w:val="00A64D85"/>
    <w:rsid w:val="00A6520F"/>
    <w:rsid w:val="00A65421"/>
    <w:rsid w:val="00A6547F"/>
    <w:rsid w:val="00A65509"/>
    <w:rsid w:val="00A6563E"/>
    <w:rsid w:val="00A659E1"/>
    <w:rsid w:val="00A65A56"/>
    <w:rsid w:val="00A65B46"/>
    <w:rsid w:val="00A65C6E"/>
    <w:rsid w:val="00A65E36"/>
    <w:rsid w:val="00A660DC"/>
    <w:rsid w:val="00A663B5"/>
    <w:rsid w:val="00A66539"/>
    <w:rsid w:val="00A6656B"/>
    <w:rsid w:val="00A66834"/>
    <w:rsid w:val="00A6690F"/>
    <w:rsid w:val="00A66914"/>
    <w:rsid w:val="00A66951"/>
    <w:rsid w:val="00A66983"/>
    <w:rsid w:val="00A66BB9"/>
    <w:rsid w:val="00A66DCC"/>
    <w:rsid w:val="00A66E94"/>
    <w:rsid w:val="00A670D0"/>
    <w:rsid w:val="00A67390"/>
    <w:rsid w:val="00A6755A"/>
    <w:rsid w:val="00A675A6"/>
    <w:rsid w:val="00A675F6"/>
    <w:rsid w:val="00A6781F"/>
    <w:rsid w:val="00A67DEB"/>
    <w:rsid w:val="00A700DE"/>
    <w:rsid w:val="00A70271"/>
    <w:rsid w:val="00A7046D"/>
    <w:rsid w:val="00A70596"/>
    <w:rsid w:val="00A706C8"/>
    <w:rsid w:val="00A707FD"/>
    <w:rsid w:val="00A70C28"/>
    <w:rsid w:val="00A70FC3"/>
    <w:rsid w:val="00A71095"/>
    <w:rsid w:val="00A7134B"/>
    <w:rsid w:val="00A71352"/>
    <w:rsid w:val="00A714E7"/>
    <w:rsid w:val="00A715D2"/>
    <w:rsid w:val="00A718BB"/>
    <w:rsid w:val="00A71B19"/>
    <w:rsid w:val="00A71C87"/>
    <w:rsid w:val="00A71C8D"/>
    <w:rsid w:val="00A71E52"/>
    <w:rsid w:val="00A71ED1"/>
    <w:rsid w:val="00A72170"/>
    <w:rsid w:val="00A721F1"/>
    <w:rsid w:val="00A72387"/>
    <w:rsid w:val="00A723CC"/>
    <w:rsid w:val="00A724A6"/>
    <w:rsid w:val="00A724D4"/>
    <w:rsid w:val="00A726A4"/>
    <w:rsid w:val="00A7281A"/>
    <w:rsid w:val="00A72978"/>
    <w:rsid w:val="00A729E8"/>
    <w:rsid w:val="00A72B27"/>
    <w:rsid w:val="00A72C5A"/>
    <w:rsid w:val="00A72DD4"/>
    <w:rsid w:val="00A72ECF"/>
    <w:rsid w:val="00A730A4"/>
    <w:rsid w:val="00A73175"/>
    <w:rsid w:val="00A732D5"/>
    <w:rsid w:val="00A734AC"/>
    <w:rsid w:val="00A736D6"/>
    <w:rsid w:val="00A73706"/>
    <w:rsid w:val="00A73BF4"/>
    <w:rsid w:val="00A73F57"/>
    <w:rsid w:val="00A73F5F"/>
    <w:rsid w:val="00A741E1"/>
    <w:rsid w:val="00A74745"/>
    <w:rsid w:val="00A74913"/>
    <w:rsid w:val="00A74949"/>
    <w:rsid w:val="00A74994"/>
    <w:rsid w:val="00A74A33"/>
    <w:rsid w:val="00A74B6F"/>
    <w:rsid w:val="00A74CD7"/>
    <w:rsid w:val="00A74D7B"/>
    <w:rsid w:val="00A74E7C"/>
    <w:rsid w:val="00A75174"/>
    <w:rsid w:val="00A7517A"/>
    <w:rsid w:val="00A752F3"/>
    <w:rsid w:val="00A753AE"/>
    <w:rsid w:val="00A753D3"/>
    <w:rsid w:val="00A7546A"/>
    <w:rsid w:val="00A75BB7"/>
    <w:rsid w:val="00A76161"/>
    <w:rsid w:val="00A763E9"/>
    <w:rsid w:val="00A7664F"/>
    <w:rsid w:val="00A76685"/>
    <w:rsid w:val="00A76C99"/>
    <w:rsid w:val="00A76E19"/>
    <w:rsid w:val="00A7710C"/>
    <w:rsid w:val="00A7734A"/>
    <w:rsid w:val="00A77630"/>
    <w:rsid w:val="00A776D0"/>
    <w:rsid w:val="00A776D3"/>
    <w:rsid w:val="00A776D5"/>
    <w:rsid w:val="00A7778A"/>
    <w:rsid w:val="00A77B3B"/>
    <w:rsid w:val="00A77B7B"/>
    <w:rsid w:val="00A77BCB"/>
    <w:rsid w:val="00A77C4A"/>
    <w:rsid w:val="00A77E24"/>
    <w:rsid w:val="00A80665"/>
    <w:rsid w:val="00A8085C"/>
    <w:rsid w:val="00A80978"/>
    <w:rsid w:val="00A80AAB"/>
    <w:rsid w:val="00A80C18"/>
    <w:rsid w:val="00A80C87"/>
    <w:rsid w:val="00A80DC3"/>
    <w:rsid w:val="00A80E26"/>
    <w:rsid w:val="00A80EA2"/>
    <w:rsid w:val="00A81275"/>
    <w:rsid w:val="00A81446"/>
    <w:rsid w:val="00A81684"/>
    <w:rsid w:val="00A816AF"/>
    <w:rsid w:val="00A816D9"/>
    <w:rsid w:val="00A81AA1"/>
    <w:rsid w:val="00A81C16"/>
    <w:rsid w:val="00A81C5F"/>
    <w:rsid w:val="00A81E99"/>
    <w:rsid w:val="00A81ECE"/>
    <w:rsid w:val="00A8222E"/>
    <w:rsid w:val="00A827D8"/>
    <w:rsid w:val="00A82BD4"/>
    <w:rsid w:val="00A82D46"/>
    <w:rsid w:val="00A82D6C"/>
    <w:rsid w:val="00A82E47"/>
    <w:rsid w:val="00A82F78"/>
    <w:rsid w:val="00A8329A"/>
    <w:rsid w:val="00A83393"/>
    <w:rsid w:val="00A835D5"/>
    <w:rsid w:val="00A8366F"/>
    <w:rsid w:val="00A8372D"/>
    <w:rsid w:val="00A838D8"/>
    <w:rsid w:val="00A83BE5"/>
    <w:rsid w:val="00A83D75"/>
    <w:rsid w:val="00A83E66"/>
    <w:rsid w:val="00A8414B"/>
    <w:rsid w:val="00A843BF"/>
    <w:rsid w:val="00A84431"/>
    <w:rsid w:val="00A84499"/>
    <w:rsid w:val="00A84745"/>
    <w:rsid w:val="00A848C0"/>
    <w:rsid w:val="00A849C7"/>
    <w:rsid w:val="00A84ABE"/>
    <w:rsid w:val="00A84B01"/>
    <w:rsid w:val="00A84BF1"/>
    <w:rsid w:val="00A84BF7"/>
    <w:rsid w:val="00A84C46"/>
    <w:rsid w:val="00A84F65"/>
    <w:rsid w:val="00A85021"/>
    <w:rsid w:val="00A8504E"/>
    <w:rsid w:val="00A850B2"/>
    <w:rsid w:val="00A850EC"/>
    <w:rsid w:val="00A8511E"/>
    <w:rsid w:val="00A852D8"/>
    <w:rsid w:val="00A85387"/>
    <w:rsid w:val="00A8539B"/>
    <w:rsid w:val="00A85445"/>
    <w:rsid w:val="00A854EC"/>
    <w:rsid w:val="00A85712"/>
    <w:rsid w:val="00A8593D"/>
    <w:rsid w:val="00A85A4E"/>
    <w:rsid w:val="00A85B75"/>
    <w:rsid w:val="00A85C4D"/>
    <w:rsid w:val="00A85C8C"/>
    <w:rsid w:val="00A85D44"/>
    <w:rsid w:val="00A85FD6"/>
    <w:rsid w:val="00A862A1"/>
    <w:rsid w:val="00A86376"/>
    <w:rsid w:val="00A865B7"/>
    <w:rsid w:val="00A865DD"/>
    <w:rsid w:val="00A866D5"/>
    <w:rsid w:val="00A86767"/>
    <w:rsid w:val="00A86809"/>
    <w:rsid w:val="00A86914"/>
    <w:rsid w:val="00A8694A"/>
    <w:rsid w:val="00A86A1C"/>
    <w:rsid w:val="00A86AC6"/>
    <w:rsid w:val="00A86D02"/>
    <w:rsid w:val="00A86D37"/>
    <w:rsid w:val="00A86E42"/>
    <w:rsid w:val="00A86F3F"/>
    <w:rsid w:val="00A86F9B"/>
    <w:rsid w:val="00A86FA5"/>
    <w:rsid w:val="00A86FF2"/>
    <w:rsid w:val="00A87160"/>
    <w:rsid w:val="00A87693"/>
    <w:rsid w:val="00A87847"/>
    <w:rsid w:val="00A87C5E"/>
    <w:rsid w:val="00A87EB7"/>
    <w:rsid w:val="00A87ED5"/>
    <w:rsid w:val="00A900CC"/>
    <w:rsid w:val="00A903BB"/>
    <w:rsid w:val="00A90651"/>
    <w:rsid w:val="00A906B8"/>
    <w:rsid w:val="00A9082A"/>
    <w:rsid w:val="00A9095F"/>
    <w:rsid w:val="00A90CBA"/>
    <w:rsid w:val="00A90DF7"/>
    <w:rsid w:val="00A91026"/>
    <w:rsid w:val="00A9109D"/>
    <w:rsid w:val="00A914EC"/>
    <w:rsid w:val="00A9151A"/>
    <w:rsid w:val="00A9163C"/>
    <w:rsid w:val="00A916A6"/>
    <w:rsid w:val="00A91755"/>
    <w:rsid w:val="00A91823"/>
    <w:rsid w:val="00A91859"/>
    <w:rsid w:val="00A91AD6"/>
    <w:rsid w:val="00A91B08"/>
    <w:rsid w:val="00A91B6E"/>
    <w:rsid w:val="00A91BFD"/>
    <w:rsid w:val="00A91C5D"/>
    <w:rsid w:val="00A91C92"/>
    <w:rsid w:val="00A91CB8"/>
    <w:rsid w:val="00A91D0D"/>
    <w:rsid w:val="00A9204A"/>
    <w:rsid w:val="00A922B9"/>
    <w:rsid w:val="00A92360"/>
    <w:rsid w:val="00A9242F"/>
    <w:rsid w:val="00A9246B"/>
    <w:rsid w:val="00A9252C"/>
    <w:rsid w:val="00A92BD1"/>
    <w:rsid w:val="00A92F2A"/>
    <w:rsid w:val="00A931FB"/>
    <w:rsid w:val="00A93265"/>
    <w:rsid w:val="00A932A5"/>
    <w:rsid w:val="00A93323"/>
    <w:rsid w:val="00A93AAB"/>
    <w:rsid w:val="00A93D5E"/>
    <w:rsid w:val="00A93ED0"/>
    <w:rsid w:val="00A94100"/>
    <w:rsid w:val="00A94274"/>
    <w:rsid w:val="00A942C5"/>
    <w:rsid w:val="00A94522"/>
    <w:rsid w:val="00A949E0"/>
    <w:rsid w:val="00A94AAD"/>
    <w:rsid w:val="00A95093"/>
    <w:rsid w:val="00A95399"/>
    <w:rsid w:val="00A95553"/>
    <w:rsid w:val="00A956DA"/>
    <w:rsid w:val="00A95744"/>
    <w:rsid w:val="00A95781"/>
    <w:rsid w:val="00A95803"/>
    <w:rsid w:val="00A95907"/>
    <w:rsid w:val="00A959D7"/>
    <w:rsid w:val="00A95A07"/>
    <w:rsid w:val="00A95A1D"/>
    <w:rsid w:val="00A95B28"/>
    <w:rsid w:val="00A95B44"/>
    <w:rsid w:val="00A95B6A"/>
    <w:rsid w:val="00A95FC3"/>
    <w:rsid w:val="00A963DC"/>
    <w:rsid w:val="00A96475"/>
    <w:rsid w:val="00A965B5"/>
    <w:rsid w:val="00A96775"/>
    <w:rsid w:val="00A96807"/>
    <w:rsid w:val="00A96994"/>
    <w:rsid w:val="00A96A78"/>
    <w:rsid w:val="00A96B80"/>
    <w:rsid w:val="00A96C32"/>
    <w:rsid w:val="00A96C46"/>
    <w:rsid w:val="00A96D16"/>
    <w:rsid w:val="00A96E9C"/>
    <w:rsid w:val="00A97019"/>
    <w:rsid w:val="00A971A1"/>
    <w:rsid w:val="00A97350"/>
    <w:rsid w:val="00A97721"/>
    <w:rsid w:val="00A977CA"/>
    <w:rsid w:val="00A978D7"/>
    <w:rsid w:val="00A97965"/>
    <w:rsid w:val="00A97A1A"/>
    <w:rsid w:val="00A97C70"/>
    <w:rsid w:val="00A97E95"/>
    <w:rsid w:val="00A97EDE"/>
    <w:rsid w:val="00A97F46"/>
    <w:rsid w:val="00AA00ED"/>
    <w:rsid w:val="00AA0153"/>
    <w:rsid w:val="00AA01D3"/>
    <w:rsid w:val="00AA02B4"/>
    <w:rsid w:val="00AA04CD"/>
    <w:rsid w:val="00AA07E8"/>
    <w:rsid w:val="00AA0905"/>
    <w:rsid w:val="00AA0C47"/>
    <w:rsid w:val="00AA0CC9"/>
    <w:rsid w:val="00AA0D69"/>
    <w:rsid w:val="00AA1004"/>
    <w:rsid w:val="00AA10A5"/>
    <w:rsid w:val="00AA1107"/>
    <w:rsid w:val="00AA13E2"/>
    <w:rsid w:val="00AA16E8"/>
    <w:rsid w:val="00AA17C4"/>
    <w:rsid w:val="00AA1E8F"/>
    <w:rsid w:val="00AA1FD4"/>
    <w:rsid w:val="00AA2115"/>
    <w:rsid w:val="00AA21DE"/>
    <w:rsid w:val="00AA21F8"/>
    <w:rsid w:val="00AA23E3"/>
    <w:rsid w:val="00AA249A"/>
    <w:rsid w:val="00AA2512"/>
    <w:rsid w:val="00AA2541"/>
    <w:rsid w:val="00AA2579"/>
    <w:rsid w:val="00AA25A2"/>
    <w:rsid w:val="00AA2862"/>
    <w:rsid w:val="00AA2941"/>
    <w:rsid w:val="00AA2988"/>
    <w:rsid w:val="00AA2B64"/>
    <w:rsid w:val="00AA2DC2"/>
    <w:rsid w:val="00AA2E94"/>
    <w:rsid w:val="00AA3134"/>
    <w:rsid w:val="00AA33A4"/>
    <w:rsid w:val="00AA34E3"/>
    <w:rsid w:val="00AA3535"/>
    <w:rsid w:val="00AA3635"/>
    <w:rsid w:val="00AA3CF3"/>
    <w:rsid w:val="00AA3DCD"/>
    <w:rsid w:val="00AA3F50"/>
    <w:rsid w:val="00AA3FA9"/>
    <w:rsid w:val="00AA3FC9"/>
    <w:rsid w:val="00AA419B"/>
    <w:rsid w:val="00AA44FC"/>
    <w:rsid w:val="00AA4900"/>
    <w:rsid w:val="00AA4905"/>
    <w:rsid w:val="00AA4CD7"/>
    <w:rsid w:val="00AA4CDE"/>
    <w:rsid w:val="00AA4DAE"/>
    <w:rsid w:val="00AA4F38"/>
    <w:rsid w:val="00AA5019"/>
    <w:rsid w:val="00AA5292"/>
    <w:rsid w:val="00AA52E6"/>
    <w:rsid w:val="00AA530C"/>
    <w:rsid w:val="00AA5322"/>
    <w:rsid w:val="00AA53A7"/>
    <w:rsid w:val="00AA5418"/>
    <w:rsid w:val="00AA5529"/>
    <w:rsid w:val="00AA58E4"/>
    <w:rsid w:val="00AA58EC"/>
    <w:rsid w:val="00AA5D6C"/>
    <w:rsid w:val="00AA5E18"/>
    <w:rsid w:val="00AA5E9F"/>
    <w:rsid w:val="00AA5FFF"/>
    <w:rsid w:val="00AA62BA"/>
    <w:rsid w:val="00AA6332"/>
    <w:rsid w:val="00AA64B5"/>
    <w:rsid w:val="00AA64C5"/>
    <w:rsid w:val="00AA697F"/>
    <w:rsid w:val="00AA69A7"/>
    <w:rsid w:val="00AA6E90"/>
    <w:rsid w:val="00AA6EB7"/>
    <w:rsid w:val="00AA6EBE"/>
    <w:rsid w:val="00AA6ECB"/>
    <w:rsid w:val="00AA710B"/>
    <w:rsid w:val="00AA715B"/>
    <w:rsid w:val="00AA73FF"/>
    <w:rsid w:val="00AA7492"/>
    <w:rsid w:val="00AA74C2"/>
    <w:rsid w:val="00AA759B"/>
    <w:rsid w:val="00AA7956"/>
    <w:rsid w:val="00AA7A37"/>
    <w:rsid w:val="00AA7C23"/>
    <w:rsid w:val="00AA7D2E"/>
    <w:rsid w:val="00AA7F10"/>
    <w:rsid w:val="00AA7F65"/>
    <w:rsid w:val="00AB017C"/>
    <w:rsid w:val="00AB037A"/>
    <w:rsid w:val="00AB042C"/>
    <w:rsid w:val="00AB0477"/>
    <w:rsid w:val="00AB0508"/>
    <w:rsid w:val="00AB07C1"/>
    <w:rsid w:val="00AB0924"/>
    <w:rsid w:val="00AB0CF9"/>
    <w:rsid w:val="00AB0FB3"/>
    <w:rsid w:val="00AB10BD"/>
    <w:rsid w:val="00AB1253"/>
    <w:rsid w:val="00AB1565"/>
    <w:rsid w:val="00AB160F"/>
    <w:rsid w:val="00AB161D"/>
    <w:rsid w:val="00AB17A4"/>
    <w:rsid w:val="00AB1D76"/>
    <w:rsid w:val="00AB2006"/>
    <w:rsid w:val="00AB2086"/>
    <w:rsid w:val="00AB21D6"/>
    <w:rsid w:val="00AB22C3"/>
    <w:rsid w:val="00AB22E3"/>
    <w:rsid w:val="00AB2594"/>
    <w:rsid w:val="00AB25A5"/>
    <w:rsid w:val="00AB29FF"/>
    <w:rsid w:val="00AB2A51"/>
    <w:rsid w:val="00AB2B77"/>
    <w:rsid w:val="00AB2BC2"/>
    <w:rsid w:val="00AB2C17"/>
    <w:rsid w:val="00AB2EA9"/>
    <w:rsid w:val="00AB2FF3"/>
    <w:rsid w:val="00AB3121"/>
    <w:rsid w:val="00AB32A9"/>
    <w:rsid w:val="00AB32F8"/>
    <w:rsid w:val="00AB3398"/>
    <w:rsid w:val="00AB35A2"/>
    <w:rsid w:val="00AB387D"/>
    <w:rsid w:val="00AB38D6"/>
    <w:rsid w:val="00AB3DAA"/>
    <w:rsid w:val="00AB3DD5"/>
    <w:rsid w:val="00AB3F5A"/>
    <w:rsid w:val="00AB4064"/>
    <w:rsid w:val="00AB44D0"/>
    <w:rsid w:val="00AB46F5"/>
    <w:rsid w:val="00AB4881"/>
    <w:rsid w:val="00AB4C76"/>
    <w:rsid w:val="00AB4C8D"/>
    <w:rsid w:val="00AB4E33"/>
    <w:rsid w:val="00AB5079"/>
    <w:rsid w:val="00AB52B7"/>
    <w:rsid w:val="00AB532D"/>
    <w:rsid w:val="00AB5474"/>
    <w:rsid w:val="00AB5623"/>
    <w:rsid w:val="00AB5655"/>
    <w:rsid w:val="00AB5673"/>
    <w:rsid w:val="00AB572B"/>
    <w:rsid w:val="00AB592B"/>
    <w:rsid w:val="00AB598F"/>
    <w:rsid w:val="00AB5A3D"/>
    <w:rsid w:val="00AB5B94"/>
    <w:rsid w:val="00AB5CCB"/>
    <w:rsid w:val="00AB5CFD"/>
    <w:rsid w:val="00AB5E56"/>
    <w:rsid w:val="00AB609C"/>
    <w:rsid w:val="00AB6569"/>
    <w:rsid w:val="00AB6783"/>
    <w:rsid w:val="00AB6849"/>
    <w:rsid w:val="00AB6A81"/>
    <w:rsid w:val="00AB6B26"/>
    <w:rsid w:val="00AB6B44"/>
    <w:rsid w:val="00AB6C3B"/>
    <w:rsid w:val="00AB6EB0"/>
    <w:rsid w:val="00AB70D8"/>
    <w:rsid w:val="00AB70DD"/>
    <w:rsid w:val="00AB70ED"/>
    <w:rsid w:val="00AB7102"/>
    <w:rsid w:val="00AB765E"/>
    <w:rsid w:val="00AB7917"/>
    <w:rsid w:val="00AB7948"/>
    <w:rsid w:val="00AB7BCD"/>
    <w:rsid w:val="00AB7C08"/>
    <w:rsid w:val="00AB7C98"/>
    <w:rsid w:val="00AB7E05"/>
    <w:rsid w:val="00AB7F03"/>
    <w:rsid w:val="00AB7F92"/>
    <w:rsid w:val="00AB7FCC"/>
    <w:rsid w:val="00AC00CE"/>
    <w:rsid w:val="00AC024B"/>
    <w:rsid w:val="00AC02AA"/>
    <w:rsid w:val="00AC04B1"/>
    <w:rsid w:val="00AC054B"/>
    <w:rsid w:val="00AC0553"/>
    <w:rsid w:val="00AC0563"/>
    <w:rsid w:val="00AC093C"/>
    <w:rsid w:val="00AC0F48"/>
    <w:rsid w:val="00AC1104"/>
    <w:rsid w:val="00AC118F"/>
    <w:rsid w:val="00AC1197"/>
    <w:rsid w:val="00AC12F8"/>
    <w:rsid w:val="00AC1428"/>
    <w:rsid w:val="00AC146B"/>
    <w:rsid w:val="00AC14A7"/>
    <w:rsid w:val="00AC163D"/>
    <w:rsid w:val="00AC1B93"/>
    <w:rsid w:val="00AC1D94"/>
    <w:rsid w:val="00AC2081"/>
    <w:rsid w:val="00AC22DB"/>
    <w:rsid w:val="00AC2445"/>
    <w:rsid w:val="00AC259F"/>
    <w:rsid w:val="00AC2673"/>
    <w:rsid w:val="00AC2782"/>
    <w:rsid w:val="00AC27D0"/>
    <w:rsid w:val="00AC283F"/>
    <w:rsid w:val="00AC2A4F"/>
    <w:rsid w:val="00AC2F18"/>
    <w:rsid w:val="00AC2F88"/>
    <w:rsid w:val="00AC30A6"/>
    <w:rsid w:val="00AC3433"/>
    <w:rsid w:val="00AC34A5"/>
    <w:rsid w:val="00AC3587"/>
    <w:rsid w:val="00AC3755"/>
    <w:rsid w:val="00AC3883"/>
    <w:rsid w:val="00AC3A4F"/>
    <w:rsid w:val="00AC3AB0"/>
    <w:rsid w:val="00AC3B9B"/>
    <w:rsid w:val="00AC426B"/>
    <w:rsid w:val="00AC4282"/>
    <w:rsid w:val="00AC436D"/>
    <w:rsid w:val="00AC488D"/>
    <w:rsid w:val="00AC49C4"/>
    <w:rsid w:val="00AC4C27"/>
    <w:rsid w:val="00AC4F3D"/>
    <w:rsid w:val="00AC4F9D"/>
    <w:rsid w:val="00AC5265"/>
    <w:rsid w:val="00AC534C"/>
    <w:rsid w:val="00AC548C"/>
    <w:rsid w:val="00AC5C1E"/>
    <w:rsid w:val="00AC5F25"/>
    <w:rsid w:val="00AC5FA6"/>
    <w:rsid w:val="00AC6343"/>
    <w:rsid w:val="00AC65AB"/>
    <w:rsid w:val="00AC6719"/>
    <w:rsid w:val="00AC699C"/>
    <w:rsid w:val="00AC6C45"/>
    <w:rsid w:val="00AC6D72"/>
    <w:rsid w:val="00AC71CF"/>
    <w:rsid w:val="00AC7374"/>
    <w:rsid w:val="00AC7508"/>
    <w:rsid w:val="00AC754D"/>
    <w:rsid w:val="00AC7A97"/>
    <w:rsid w:val="00AC7C52"/>
    <w:rsid w:val="00AC7D31"/>
    <w:rsid w:val="00AC7EA6"/>
    <w:rsid w:val="00AC7F6E"/>
    <w:rsid w:val="00AD044C"/>
    <w:rsid w:val="00AD0601"/>
    <w:rsid w:val="00AD08F1"/>
    <w:rsid w:val="00AD0DB3"/>
    <w:rsid w:val="00AD100B"/>
    <w:rsid w:val="00AD1016"/>
    <w:rsid w:val="00AD139B"/>
    <w:rsid w:val="00AD169C"/>
    <w:rsid w:val="00AD17AC"/>
    <w:rsid w:val="00AD1803"/>
    <w:rsid w:val="00AD18BA"/>
    <w:rsid w:val="00AD1A73"/>
    <w:rsid w:val="00AD1BBC"/>
    <w:rsid w:val="00AD1BC2"/>
    <w:rsid w:val="00AD1CB2"/>
    <w:rsid w:val="00AD1E0C"/>
    <w:rsid w:val="00AD1F1F"/>
    <w:rsid w:val="00AD1F2E"/>
    <w:rsid w:val="00AD2144"/>
    <w:rsid w:val="00AD2255"/>
    <w:rsid w:val="00AD261B"/>
    <w:rsid w:val="00AD26D7"/>
    <w:rsid w:val="00AD2908"/>
    <w:rsid w:val="00AD290B"/>
    <w:rsid w:val="00AD2A6D"/>
    <w:rsid w:val="00AD2AF6"/>
    <w:rsid w:val="00AD2B0F"/>
    <w:rsid w:val="00AD2B3E"/>
    <w:rsid w:val="00AD2D7F"/>
    <w:rsid w:val="00AD2F15"/>
    <w:rsid w:val="00AD3476"/>
    <w:rsid w:val="00AD3608"/>
    <w:rsid w:val="00AD368D"/>
    <w:rsid w:val="00AD38A7"/>
    <w:rsid w:val="00AD39B3"/>
    <w:rsid w:val="00AD39F1"/>
    <w:rsid w:val="00AD3A0F"/>
    <w:rsid w:val="00AD3D15"/>
    <w:rsid w:val="00AD3E5D"/>
    <w:rsid w:val="00AD3F0A"/>
    <w:rsid w:val="00AD40CD"/>
    <w:rsid w:val="00AD42CA"/>
    <w:rsid w:val="00AD4770"/>
    <w:rsid w:val="00AD4B67"/>
    <w:rsid w:val="00AD4D71"/>
    <w:rsid w:val="00AD4DEC"/>
    <w:rsid w:val="00AD4F57"/>
    <w:rsid w:val="00AD4F77"/>
    <w:rsid w:val="00AD4F99"/>
    <w:rsid w:val="00AD4FFD"/>
    <w:rsid w:val="00AD519A"/>
    <w:rsid w:val="00AD540A"/>
    <w:rsid w:val="00AD5618"/>
    <w:rsid w:val="00AD5717"/>
    <w:rsid w:val="00AD576C"/>
    <w:rsid w:val="00AD5A4D"/>
    <w:rsid w:val="00AD5E35"/>
    <w:rsid w:val="00AD5E57"/>
    <w:rsid w:val="00AD6022"/>
    <w:rsid w:val="00AD60AA"/>
    <w:rsid w:val="00AD6390"/>
    <w:rsid w:val="00AD64F0"/>
    <w:rsid w:val="00AD6705"/>
    <w:rsid w:val="00AD67D8"/>
    <w:rsid w:val="00AD6975"/>
    <w:rsid w:val="00AD699F"/>
    <w:rsid w:val="00AD6F38"/>
    <w:rsid w:val="00AD7014"/>
    <w:rsid w:val="00AD714C"/>
    <w:rsid w:val="00AD717B"/>
    <w:rsid w:val="00AD76D6"/>
    <w:rsid w:val="00AD76F1"/>
    <w:rsid w:val="00AD77E1"/>
    <w:rsid w:val="00AD786F"/>
    <w:rsid w:val="00AD78FA"/>
    <w:rsid w:val="00AD7BB5"/>
    <w:rsid w:val="00AD7CE2"/>
    <w:rsid w:val="00AD7E2F"/>
    <w:rsid w:val="00AD7F8A"/>
    <w:rsid w:val="00AE0040"/>
    <w:rsid w:val="00AE02EF"/>
    <w:rsid w:val="00AE069A"/>
    <w:rsid w:val="00AE0B05"/>
    <w:rsid w:val="00AE0B0F"/>
    <w:rsid w:val="00AE0B13"/>
    <w:rsid w:val="00AE0D45"/>
    <w:rsid w:val="00AE0D53"/>
    <w:rsid w:val="00AE0E4C"/>
    <w:rsid w:val="00AE0FC7"/>
    <w:rsid w:val="00AE10E6"/>
    <w:rsid w:val="00AE11DF"/>
    <w:rsid w:val="00AE12B9"/>
    <w:rsid w:val="00AE13B6"/>
    <w:rsid w:val="00AE1479"/>
    <w:rsid w:val="00AE1574"/>
    <w:rsid w:val="00AE1649"/>
    <w:rsid w:val="00AE1754"/>
    <w:rsid w:val="00AE1961"/>
    <w:rsid w:val="00AE1B9F"/>
    <w:rsid w:val="00AE1BF3"/>
    <w:rsid w:val="00AE1D44"/>
    <w:rsid w:val="00AE1DFA"/>
    <w:rsid w:val="00AE1E57"/>
    <w:rsid w:val="00AE2005"/>
    <w:rsid w:val="00AE208A"/>
    <w:rsid w:val="00AE25FD"/>
    <w:rsid w:val="00AE2765"/>
    <w:rsid w:val="00AE2778"/>
    <w:rsid w:val="00AE292D"/>
    <w:rsid w:val="00AE2A5C"/>
    <w:rsid w:val="00AE2A9B"/>
    <w:rsid w:val="00AE2AE6"/>
    <w:rsid w:val="00AE2CEE"/>
    <w:rsid w:val="00AE2EFC"/>
    <w:rsid w:val="00AE3183"/>
    <w:rsid w:val="00AE3194"/>
    <w:rsid w:val="00AE31E3"/>
    <w:rsid w:val="00AE3442"/>
    <w:rsid w:val="00AE3598"/>
    <w:rsid w:val="00AE35C9"/>
    <w:rsid w:val="00AE3782"/>
    <w:rsid w:val="00AE39C7"/>
    <w:rsid w:val="00AE3B0B"/>
    <w:rsid w:val="00AE3DC6"/>
    <w:rsid w:val="00AE3DE2"/>
    <w:rsid w:val="00AE3E99"/>
    <w:rsid w:val="00AE410F"/>
    <w:rsid w:val="00AE4176"/>
    <w:rsid w:val="00AE428E"/>
    <w:rsid w:val="00AE4502"/>
    <w:rsid w:val="00AE454B"/>
    <w:rsid w:val="00AE4559"/>
    <w:rsid w:val="00AE4581"/>
    <w:rsid w:val="00AE4595"/>
    <w:rsid w:val="00AE45C7"/>
    <w:rsid w:val="00AE4BCC"/>
    <w:rsid w:val="00AE4C79"/>
    <w:rsid w:val="00AE4D57"/>
    <w:rsid w:val="00AE4D64"/>
    <w:rsid w:val="00AE5238"/>
    <w:rsid w:val="00AE5244"/>
    <w:rsid w:val="00AE5307"/>
    <w:rsid w:val="00AE53B4"/>
    <w:rsid w:val="00AE53C4"/>
    <w:rsid w:val="00AE53D3"/>
    <w:rsid w:val="00AE53DE"/>
    <w:rsid w:val="00AE5463"/>
    <w:rsid w:val="00AE559F"/>
    <w:rsid w:val="00AE55CE"/>
    <w:rsid w:val="00AE580E"/>
    <w:rsid w:val="00AE5920"/>
    <w:rsid w:val="00AE5AEF"/>
    <w:rsid w:val="00AE5CA2"/>
    <w:rsid w:val="00AE6098"/>
    <w:rsid w:val="00AE6135"/>
    <w:rsid w:val="00AE6176"/>
    <w:rsid w:val="00AE62EE"/>
    <w:rsid w:val="00AE64DA"/>
    <w:rsid w:val="00AE64F4"/>
    <w:rsid w:val="00AE69A3"/>
    <w:rsid w:val="00AE6C40"/>
    <w:rsid w:val="00AE6F0B"/>
    <w:rsid w:val="00AE6F90"/>
    <w:rsid w:val="00AE6F95"/>
    <w:rsid w:val="00AE710A"/>
    <w:rsid w:val="00AE7309"/>
    <w:rsid w:val="00AE73C4"/>
    <w:rsid w:val="00AE771B"/>
    <w:rsid w:val="00AE77C0"/>
    <w:rsid w:val="00AE7907"/>
    <w:rsid w:val="00AE7BA8"/>
    <w:rsid w:val="00AE7C4D"/>
    <w:rsid w:val="00AE7CF8"/>
    <w:rsid w:val="00AE7FEB"/>
    <w:rsid w:val="00AF0040"/>
    <w:rsid w:val="00AF0149"/>
    <w:rsid w:val="00AF0294"/>
    <w:rsid w:val="00AF042B"/>
    <w:rsid w:val="00AF047F"/>
    <w:rsid w:val="00AF0631"/>
    <w:rsid w:val="00AF086A"/>
    <w:rsid w:val="00AF08A7"/>
    <w:rsid w:val="00AF09C3"/>
    <w:rsid w:val="00AF0ACA"/>
    <w:rsid w:val="00AF0BF4"/>
    <w:rsid w:val="00AF0EF8"/>
    <w:rsid w:val="00AF1122"/>
    <w:rsid w:val="00AF1375"/>
    <w:rsid w:val="00AF14D9"/>
    <w:rsid w:val="00AF150B"/>
    <w:rsid w:val="00AF1676"/>
    <w:rsid w:val="00AF17F5"/>
    <w:rsid w:val="00AF18B9"/>
    <w:rsid w:val="00AF1C86"/>
    <w:rsid w:val="00AF1DD4"/>
    <w:rsid w:val="00AF1E5B"/>
    <w:rsid w:val="00AF1EEB"/>
    <w:rsid w:val="00AF1FFF"/>
    <w:rsid w:val="00AF223B"/>
    <w:rsid w:val="00AF23AC"/>
    <w:rsid w:val="00AF258A"/>
    <w:rsid w:val="00AF26D9"/>
    <w:rsid w:val="00AF297C"/>
    <w:rsid w:val="00AF299E"/>
    <w:rsid w:val="00AF2AD9"/>
    <w:rsid w:val="00AF2B63"/>
    <w:rsid w:val="00AF2DEF"/>
    <w:rsid w:val="00AF2DF1"/>
    <w:rsid w:val="00AF2F85"/>
    <w:rsid w:val="00AF30A8"/>
    <w:rsid w:val="00AF30C8"/>
    <w:rsid w:val="00AF32BF"/>
    <w:rsid w:val="00AF32F4"/>
    <w:rsid w:val="00AF3363"/>
    <w:rsid w:val="00AF34AB"/>
    <w:rsid w:val="00AF369C"/>
    <w:rsid w:val="00AF37F9"/>
    <w:rsid w:val="00AF38C5"/>
    <w:rsid w:val="00AF38EA"/>
    <w:rsid w:val="00AF3924"/>
    <w:rsid w:val="00AF39EB"/>
    <w:rsid w:val="00AF3AF4"/>
    <w:rsid w:val="00AF3E29"/>
    <w:rsid w:val="00AF3E32"/>
    <w:rsid w:val="00AF4203"/>
    <w:rsid w:val="00AF424F"/>
    <w:rsid w:val="00AF4289"/>
    <w:rsid w:val="00AF4331"/>
    <w:rsid w:val="00AF4349"/>
    <w:rsid w:val="00AF43A3"/>
    <w:rsid w:val="00AF44E6"/>
    <w:rsid w:val="00AF4773"/>
    <w:rsid w:val="00AF4906"/>
    <w:rsid w:val="00AF49CD"/>
    <w:rsid w:val="00AF4B10"/>
    <w:rsid w:val="00AF4CF6"/>
    <w:rsid w:val="00AF4E00"/>
    <w:rsid w:val="00AF4E81"/>
    <w:rsid w:val="00AF4F2E"/>
    <w:rsid w:val="00AF50E0"/>
    <w:rsid w:val="00AF5190"/>
    <w:rsid w:val="00AF52C2"/>
    <w:rsid w:val="00AF539F"/>
    <w:rsid w:val="00AF551D"/>
    <w:rsid w:val="00AF553C"/>
    <w:rsid w:val="00AF5639"/>
    <w:rsid w:val="00AF5655"/>
    <w:rsid w:val="00AF5844"/>
    <w:rsid w:val="00AF58C3"/>
    <w:rsid w:val="00AF598C"/>
    <w:rsid w:val="00AF5B23"/>
    <w:rsid w:val="00AF5BC4"/>
    <w:rsid w:val="00AF5E58"/>
    <w:rsid w:val="00AF5F10"/>
    <w:rsid w:val="00AF5F2A"/>
    <w:rsid w:val="00AF6010"/>
    <w:rsid w:val="00AF60C0"/>
    <w:rsid w:val="00AF62A6"/>
    <w:rsid w:val="00AF62C2"/>
    <w:rsid w:val="00AF63E3"/>
    <w:rsid w:val="00AF64E4"/>
    <w:rsid w:val="00AF67FA"/>
    <w:rsid w:val="00AF688B"/>
    <w:rsid w:val="00AF6A7A"/>
    <w:rsid w:val="00AF6C52"/>
    <w:rsid w:val="00AF74C4"/>
    <w:rsid w:val="00AF78AB"/>
    <w:rsid w:val="00AF7996"/>
    <w:rsid w:val="00AF7A05"/>
    <w:rsid w:val="00AF7B45"/>
    <w:rsid w:val="00AF7DA3"/>
    <w:rsid w:val="00B0007F"/>
    <w:rsid w:val="00B00136"/>
    <w:rsid w:val="00B0017B"/>
    <w:rsid w:val="00B0050D"/>
    <w:rsid w:val="00B009D2"/>
    <w:rsid w:val="00B01006"/>
    <w:rsid w:val="00B0115E"/>
    <w:rsid w:val="00B011E3"/>
    <w:rsid w:val="00B01269"/>
    <w:rsid w:val="00B01305"/>
    <w:rsid w:val="00B013CE"/>
    <w:rsid w:val="00B013FD"/>
    <w:rsid w:val="00B013FF"/>
    <w:rsid w:val="00B01406"/>
    <w:rsid w:val="00B0143D"/>
    <w:rsid w:val="00B0151F"/>
    <w:rsid w:val="00B01C1F"/>
    <w:rsid w:val="00B01DF1"/>
    <w:rsid w:val="00B01DFB"/>
    <w:rsid w:val="00B01FBB"/>
    <w:rsid w:val="00B0202D"/>
    <w:rsid w:val="00B020B3"/>
    <w:rsid w:val="00B020C0"/>
    <w:rsid w:val="00B020E4"/>
    <w:rsid w:val="00B023EF"/>
    <w:rsid w:val="00B0251A"/>
    <w:rsid w:val="00B025B0"/>
    <w:rsid w:val="00B026C1"/>
    <w:rsid w:val="00B0271C"/>
    <w:rsid w:val="00B02C61"/>
    <w:rsid w:val="00B02C77"/>
    <w:rsid w:val="00B02CFB"/>
    <w:rsid w:val="00B02FD9"/>
    <w:rsid w:val="00B0309A"/>
    <w:rsid w:val="00B032E3"/>
    <w:rsid w:val="00B033E8"/>
    <w:rsid w:val="00B03488"/>
    <w:rsid w:val="00B0365F"/>
    <w:rsid w:val="00B036D3"/>
    <w:rsid w:val="00B03CB1"/>
    <w:rsid w:val="00B03EDA"/>
    <w:rsid w:val="00B043F1"/>
    <w:rsid w:val="00B046CF"/>
    <w:rsid w:val="00B047FC"/>
    <w:rsid w:val="00B04808"/>
    <w:rsid w:val="00B04842"/>
    <w:rsid w:val="00B0486F"/>
    <w:rsid w:val="00B04956"/>
    <w:rsid w:val="00B04B03"/>
    <w:rsid w:val="00B04B1D"/>
    <w:rsid w:val="00B04D08"/>
    <w:rsid w:val="00B04F9D"/>
    <w:rsid w:val="00B04FD5"/>
    <w:rsid w:val="00B04FFA"/>
    <w:rsid w:val="00B05009"/>
    <w:rsid w:val="00B0553F"/>
    <w:rsid w:val="00B055B1"/>
    <w:rsid w:val="00B05648"/>
    <w:rsid w:val="00B05687"/>
    <w:rsid w:val="00B05791"/>
    <w:rsid w:val="00B0593C"/>
    <w:rsid w:val="00B06073"/>
    <w:rsid w:val="00B060A2"/>
    <w:rsid w:val="00B065DB"/>
    <w:rsid w:val="00B0660D"/>
    <w:rsid w:val="00B0664D"/>
    <w:rsid w:val="00B06697"/>
    <w:rsid w:val="00B06804"/>
    <w:rsid w:val="00B06852"/>
    <w:rsid w:val="00B06BD7"/>
    <w:rsid w:val="00B06D1F"/>
    <w:rsid w:val="00B06D23"/>
    <w:rsid w:val="00B06E42"/>
    <w:rsid w:val="00B06E9F"/>
    <w:rsid w:val="00B07007"/>
    <w:rsid w:val="00B072DE"/>
    <w:rsid w:val="00B074B8"/>
    <w:rsid w:val="00B0767E"/>
    <w:rsid w:val="00B076CF"/>
    <w:rsid w:val="00B07808"/>
    <w:rsid w:val="00B07A97"/>
    <w:rsid w:val="00B07CFC"/>
    <w:rsid w:val="00B07D1D"/>
    <w:rsid w:val="00B103FA"/>
    <w:rsid w:val="00B104FA"/>
    <w:rsid w:val="00B1071D"/>
    <w:rsid w:val="00B10B12"/>
    <w:rsid w:val="00B10B1E"/>
    <w:rsid w:val="00B10C01"/>
    <w:rsid w:val="00B10CD0"/>
    <w:rsid w:val="00B10CF0"/>
    <w:rsid w:val="00B10F92"/>
    <w:rsid w:val="00B112C7"/>
    <w:rsid w:val="00B11310"/>
    <w:rsid w:val="00B113A7"/>
    <w:rsid w:val="00B11402"/>
    <w:rsid w:val="00B116AA"/>
    <w:rsid w:val="00B116BD"/>
    <w:rsid w:val="00B117D6"/>
    <w:rsid w:val="00B11AA4"/>
    <w:rsid w:val="00B11D87"/>
    <w:rsid w:val="00B11EC1"/>
    <w:rsid w:val="00B11F52"/>
    <w:rsid w:val="00B1218D"/>
    <w:rsid w:val="00B1231E"/>
    <w:rsid w:val="00B123AB"/>
    <w:rsid w:val="00B124DD"/>
    <w:rsid w:val="00B124E6"/>
    <w:rsid w:val="00B125E1"/>
    <w:rsid w:val="00B12977"/>
    <w:rsid w:val="00B12C1A"/>
    <w:rsid w:val="00B12E00"/>
    <w:rsid w:val="00B131CC"/>
    <w:rsid w:val="00B13362"/>
    <w:rsid w:val="00B13367"/>
    <w:rsid w:val="00B13397"/>
    <w:rsid w:val="00B135B9"/>
    <w:rsid w:val="00B13910"/>
    <w:rsid w:val="00B139B7"/>
    <w:rsid w:val="00B139DA"/>
    <w:rsid w:val="00B139F1"/>
    <w:rsid w:val="00B14289"/>
    <w:rsid w:val="00B143AC"/>
    <w:rsid w:val="00B1463D"/>
    <w:rsid w:val="00B1468B"/>
    <w:rsid w:val="00B146E7"/>
    <w:rsid w:val="00B14965"/>
    <w:rsid w:val="00B14968"/>
    <w:rsid w:val="00B14A96"/>
    <w:rsid w:val="00B14CF0"/>
    <w:rsid w:val="00B14E9C"/>
    <w:rsid w:val="00B150F2"/>
    <w:rsid w:val="00B15598"/>
    <w:rsid w:val="00B15782"/>
    <w:rsid w:val="00B15CD3"/>
    <w:rsid w:val="00B15D69"/>
    <w:rsid w:val="00B15D87"/>
    <w:rsid w:val="00B15E63"/>
    <w:rsid w:val="00B160FB"/>
    <w:rsid w:val="00B162F2"/>
    <w:rsid w:val="00B16531"/>
    <w:rsid w:val="00B1653E"/>
    <w:rsid w:val="00B16666"/>
    <w:rsid w:val="00B166A9"/>
    <w:rsid w:val="00B166B0"/>
    <w:rsid w:val="00B168C8"/>
    <w:rsid w:val="00B16927"/>
    <w:rsid w:val="00B16A1A"/>
    <w:rsid w:val="00B16A9A"/>
    <w:rsid w:val="00B16E42"/>
    <w:rsid w:val="00B170C4"/>
    <w:rsid w:val="00B17192"/>
    <w:rsid w:val="00B17502"/>
    <w:rsid w:val="00B176C3"/>
    <w:rsid w:val="00B17891"/>
    <w:rsid w:val="00B17906"/>
    <w:rsid w:val="00B17A98"/>
    <w:rsid w:val="00B200EC"/>
    <w:rsid w:val="00B200FF"/>
    <w:rsid w:val="00B20176"/>
    <w:rsid w:val="00B202FF"/>
    <w:rsid w:val="00B2033D"/>
    <w:rsid w:val="00B205A8"/>
    <w:rsid w:val="00B207B0"/>
    <w:rsid w:val="00B207BC"/>
    <w:rsid w:val="00B209E1"/>
    <w:rsid w:val="00B20AE9"/>
    <w:rsid w:val="00B20BAF"/>
    <w:rsid w:val="00B20BBA"/>
    <w:rsid w:val="00B20E03"/>
    <w:rsid w:val="00B210E0"/>
    <w:rsid w:val="00B21150"/>
    <w:rsid w:val="00B213A1"/>
    <w:rsid w:val="00B214FC"/>
    <w:rsid w:val="00B2155E"/>
    <w:rsid w:val="00B21698"/>
    <w:rsid w:val="00B21BE8"/>
    <w:rsid w:val="00B21C50"/>
    <w:rsid w:val="00B21D52"/>
    <w:rsid w:val="00B21D7E"/>
    <w:rsid w:val="00B21ED6"/>
    <w:rsid w:val="00B21FF4"/>
    <w:rsid w:val="00B22102"/>
    <w:rsid w:val="00B2213F"/>
    <w:rsid w:val="00B2240F"/>
    <w:rsid w:val="00B2255B"/>
    <w:rsid w:val="00B2257A"/>
    <w:rsid w:val="00B2299D"/>
    <w:rsid w:val="00B229D5"/>
    <w:rsid w:val="00B229FE"/>
    <w:rsid w:val="00B22A3D"/>
    <w:rsid w:val="00B22C9C"/>
    <w:rsid w:val="00B22CA8"/>
    <w:rsid w:val="00B23285"/>
    <w:rsid w:val="00B232DE"/>
    <w:rsid w:val="00B233AB"/>
    <w:rsid w:val="00B23409"/>
    <w:rsid w:val="00B23523"/>
    <w:rsid w:val="00B235EF"/>
    <w:rsid w:val="00B23600"/>
    <w:rsid w:val="00B23648"/>
    <w:rsid w:val="00B23796"/>
    <w:rsid w:val="00B237D1"/>
    <w:rsid w:val="00B2380D"/>
    <w:rsid w:val="00B238C9"/>
    <w:rsid w:val="00B23A46"/>
    <w:rsid w:val="00B23BE8"/>
    <w:rsid w:val="00B23D86"/>
    <w:rsid w:val="00B23DD4"/>
    <w:rsid w:val="00B24097"/>
    <w:rsid w:val="00B240D1"/>
    <w:rsid w:val="00B24125"/>
    <w:rsid w:val="00B241CE"/>
    <w:rsid w:val="00B24261"/>
    <w:rsid w:val="00B24596"/>
    <w:rsid w:val="00B246FF"/>
    <w:rsid w:val="00B24719"/>
    <w:rsid w:val="00B2477C"/>
    <w:rsid w:val="00B24966"/>
    <w:rsid w:val="00B24B9E"/>
    <w:rsid w:val="00B24BD8"/>
    <w:rsid w:val="00B24BE0"/>
    <w:rsid w:val="00B24D3C"/>
    <w:rsid w:val="00B24F53"/>
    <w:rsid w:val="00B251DE"/>
    <w:rsid w:val="00B251EA"/>
    <w:rsid w:val="00B2532B"/>
    <w:rsid w:val="00B25387"/>
    <w:rsid w:val="00B253A1"/>
    <w:rsid w:val="00B255B7"/>
    <w:rsid w:val="00B25962"/>
    <w:rsid w:val="00B25D21"/>
    <w:rsid w:val="00B26069"/>
    <w:rsid w:val="00B262AB"/>
    <w:rsid w:val="00B26316"/>
    <w:rsid w:val="00B2649A"/>
    <w:rsid w:val="00B2665D"/>
    <w:rsid w:val="00B26EF1"/>
    <w:rsid w:val="00B270BC"/>
    <w:rsid w:val="00B270E5"/>
    <w:rsid w:val="00B273B9"/>
    <w:rsid w:val="00B274B2"/>
    <w:rsid w:val="00B27754"/>
    <w:rsid w:val="00B27836"/>
    <w:rsid w:val="00B27A67"/>
    <w:rsid w:val="00B27B58"/>
    <w:rsid w:val="00B27B5C"/>
    <w:rsid w:val="00B27C3D"/>
    <w:rsid w:val="00B27CD4"/>
    <w:rsid w:val="00B27E83"/>
    <w:rsid w:val="00B27EA0"/>
    <w:rsid w:val="00B302E1"/>
    <w:rsid w:val="00B3044D"/>
    <w:rsid w:val="00B309E3"/>
    <w:rsid w:val="00B309E9"/>
    <w:rsid w:val="00B30C38"/>
    <w:rsid w:val="00B30ED4"/>
    <w:rsid w:val="00B30EF5"/>
    <w:rsid w:val="00B311A8"/>
    <w:rsid w:val="00B311DF"/>
    <w:rsid w:val="00B312AD"/>
    <w:rsid w:val="00B314EB"/>
    <w:rsid w:val="00B31993"/>
    <w:rsid w:val="00B31A79"/>
    <w:rsid w:val="00B31CD5"/>
    <w:rsid w:val="00B31F95"/>
    <w:rsid w:val="00B31FD5"/>
    <w:rsid w:val="00B32016"/>
    <w:rsid w:val="00B3210C"/>
    <w:rsid w:val="00B321B4"/>
    <w:rsid w:val="00B3229A"/>
    <w:rsid w:val="00B324DC"/>
    <w:rsid w:val="00B32A1C"/>
    <w:rsid w:val="00B32CC6"/>
    <w:rsid w:val="00B32D17"/>
    <w:rsid w:val="00B32E37"/>
    <w:rsid w:val="00B32F62"/>
    <w:rsid w:val="00B3308D"/>
    <w:rsid w:val="00B3334C"/>
    <w:rsid w:val="00B333BB"/>
    <w:rsid w:val="00B333CA"/>
    <w:rsid w:val="00B33430"/>
    <w:rsid w:val="00B335BE"/>
    <w:rsid w:val="00B33646"/>
    <w:rsid w:val="00B3393B"/>
    <w:rsid w:val="00B3394B"/>
    <w:rsid w:val="00B339C3"/>
    <w:rsid w:val="00B339FC"/>
    <w:rsid w:val="00B33B2D"/>
    <w:rsid w:val="00B33BE4"/>
    <w:rsid w:val="00B33CB7"/>
    <w:rsid w:val="00B33D37"/>
    <w:rsid w:val="00B33F2C"/>
    <w:rsid w:val="00B33FCF"/>
    <w:rsid w:val="00B343D3"/>
    <w:rsid w:val="00B34471"/>
    <w:rsid w:val="00B346D9"/>
    <w:rsid w:val="00B346EF"/>
    <w:rsid w:val="00B3475C"/>
    <w:rsid w:val="00B3497F"/>
    <w:rsid w:val="00B34B54"/>
    <w:rsid w:val="00B34B6E"/>
    <w:rsid w:val="00B34CF6"/>
    <w:rsid w:val="00B34F2A"/>
    <w:rsid w:val="00B34FB4"/>
    <w:rsid w:val="00B34FE9"/>
    <w:rsid w:val="00B350B4"/>
    <w:rsid w:val="00B350FC"/>
    <w:rsid w:val="00B352F2"/>
    <w:rsid w:val="00B352FA"/>
    <w:rsid w:val="00B35344"/>
    <w:rsid w:val="00B35422"/>
    <w:rsid w:val="00B35548"/>
    <w:rsid w:val="00B359AC"/>
    <w:rsid w:val="00B35F7B"/>
    <w:rsid w:val="00B360AB"/>
    <w:rsid w:val="00B360D3"/>
    <w:rsid w:val="00B36103"/>
    <w:rsid w:val="00B36310"/>
    <w:rsid w:val="00B36380"/>
    <w:rsid w:val="00B3661E"/>
    <w:rsid w:val="00B36742"/>
    <w:rsid w:val="00B36887"/>
    <w:rsid w:val="00B3693B"/>
    <w:rsid w:val="00B36973"/>
    <w:rsid w:val="00B36A5B"/>
    <w:rsid w:val="00B36B51"/>
    <w:rsid w:val="00B36B5C"/>
    <w:rsid w:val="00B36B91"/>
    <w:rsid w:val="00B36D31"/>
    <w:rsid w:val="00B36E84"/>
    <w:rsid w:val="00B37171"/>
    <w:rsid w:val="00B3720B"/>
    <w:rsid w:val="00B372F8"/>
    <w:rsid w:val="00B374CB"/>
    <w:rsid w:val="00B3751C"/>
    <w:rsid w:val="00B37806"/>
    <w:rsid w:val="00B3787C"/>
    <w:rsid w:val="00B37903"/>
    <w:rsid w:val="00B37A3F"/>
    <w:rsid w:val="00B37CB8"/>
    <w:rsid w:val="00B37DDA"/>
    <w:rsid w:val="00B37ED4"/>
    <w:rsid w:val="00B37FE0"/>
    <w:rsid w:val="00B401CB"/>
    <w:rsid w:val="00B40215"/>
    <w:rsid w:val="00B402C8"/>
    <w:rsid w:val="00B402FF"/>
    <w:rsid w:val="00B40329"/>
    <w:rsid w:val="00B404A6"/>
    <w:rsid w:val="00B406CE"/>
    <w:rsid w:val="00B406E8"/>
    <w:rsid w:val="00B4096C"/>
    <w:rsid w:val="00B40D37"/>
    <w:rsid w:val="00B40DAD"/>
    <w:rsid w:val="00B41318"/>
    <w:rsid w:val="00B413CC"/>
    <w:rsid w:val="00B414D0"/>
    <w:rsid w:val="00B41602"/>
    <w:rsid w:val="00B41867"/>
    <w:rsid w:val="00B419A5"/>
    <w:rsid w:val="00B41A66"/>
    <w:rsid w:val="00B41DA6"/>
    <w:rsid w:val="00B41E48"/>
    <w:rsid w:val="00B42206"/>
    <w:rsid w:val="00B423CE"/>
    <w:rsid w:val="00B4252D"/>
    <w:rsid w:val="00B42655"/>
    <w:rsid w:val="00B4272E"/>
    <w:rsid w:val="00B42766"/>
    <w:rsid w:val="00B42889"/>
    <w:rsid w:val="00B42B8A"/>
    <w:rsid w:val="00B42C1A"/>
    <w:rsid w:val="00B42C49"/>
    <w:rsid w:val="00B42CC0"/>
    <w:rsid w:val="00B43146"/>
    <w:rsid w:val="00B43155"/>
    <w:rsid w:val="00B43383"/>
    <w:rsid w:val="00B43599"/>
    <w:rsid w:val="00B438AD"/>
    <w:rsid w:val="00B43A94"/>
    <w:rsid w:val="00B43ACE"/>
    <w:rsid w:val="00B43BDF"/>
    <w:rsid w:val="00B43DB2"/>
    <w:rsid w:val="00B43EB7"/>
    <w:rsid w:val="00B4426E"/>
    <w:rsid w:val="00B44592"/>
    <w:rsid w:val="00B44873"/>
    <w:rsid w:val="00B44A52"/>
    <w:rsid w:val="00B44A80"/>
    <w:rsid w:val="00B44A92"/>
    <w:rsid w:val="00B44C23"/>
    <w:rsid w:val="00B44DAC"/>
    <w:rsid w:val="00B451AD"/>
    <w:rsid w:val="00B45323"/>
    <w:rsid w:val="00B45374"/>
    <w:rsid w:val="00B45397"/>
    <w:rsid w:val="00B45442"/>
    <w:rsid w:val="00B454FF"/>
    <w:rsid w:val="00B45775"/>
    <w:rsid w:val="00B458B3"/>
    <w:rsid w:val="00B4598F"/>
    <w:rsid w:val="00B459EE"/>
    <w:rsid w:val="00B45B6E"/>
    <w:rsid w:val="00B45C27"/>
    <w:rsid w:val="00B45C49"/>
    <w:rsid w:val="00B45F52"/>
    <w:rsid w:val="00B46089"/>
    <w:rsid w:val="00B461D5"/>
    <w:rsid w:val="00B461E6"/>
    <w:rsid w:val="00B4620B"/>
    <w:rsid w:val="00B464C3"/>
    <w:rsid w:val="00B46744"/>
    <w:rsid w:val="00B4682E"/>
    <w:rsid w:val="00B468E6"/>
    <w:rsid w:val="00B46969"/>
    <w:rsid w:val="00B46CFD"/>
    <w:rsid w:val="00B46DAC"/>
    <w:rsid w:val="00B46DF8"/>
    <w:rsid w:val="00B46EA9"/>
    <w:rsid w:val="00B46F49"/>
    <w:rsid w:val="00B46F59"/>
    <w:rsid w:val="00B47012"/>
    <w:rsid w:val="00B471EA"/>
    <w:rsid w:val="00B473F7"/>
    <w:rsid w:val="00B47516"/>
    <w:rsid w:val="00B477BC"/>
    <w:rsid w:val="00B47A1D"/>
    <w:rsid w:val="00B47A61"/>
    <w:rsid w:val="00B47A86"/>
    <w:rsid w:val="00B47C05"/>
    <w:rsid w:val="00B47C3A"/>
    <w:rsid w:val="00B500BD"/>
    <w:rsid w:val="00B5013D"/>
    <w:rsid w:val="00B5019E"/>
    <w:rsid w:val="00B50484"/>
    <w:rsid w:val="00B50579"/>
    <w:rsid w:val="00B5092A"/>
    <w:rsid w:val="00B50A57"/>
    <w:rsid w:val="00B50B90"/>
    <w:rsid w:val="00B50BC5"/>
    <w:rsid w:val="00B50ED4"/>
    <w:rsid w:val="00B50F7A"/>
    <w:rsid w:val="00B5105F"/>
    <w:rsid w:val="00B511C2"/>
    <w:rsid w:val="00B512E4"/>
    <w:rsid w:val="00B51625"/>
    <w:rsid w:val="00B519DB"/>
    <w:rsid w:val="00B51DCD"/>
    <w:rsid w:val="00B5217C"/>
    <w:rsid w:val="00B52183"/>
    <w:rsid w:val="00B52298"/>
    <w:rsid w:val="00B522E2"/>
    <w:rsid w:val="00B525E0"/>
    <w:rsid w:val="00B526AF"/>
    <w:rsid w:val="00B526F6"/>
    <w:rsid w:val="00B5282D"/>
    <w:rsid w:val="00B52A04"/>
    <w:rsid w:val="00B52A75"/>
    <w:rsid w:val="00B52AD0"/>
    <w:rsid w:val="00B52AF9"/>
    <w:rsid w:val="00B52B01"/>
    <w:rsid w:val="00B52D08"/>
    <w:rsid w:val="00B52E76"/>
    <w:rsid w:val="00B52E87"/>
    <w:rsid w:val="00B52EDE"/>
    <w:rsid w:val="00B52FEC"/>
    <w:rsid w:val="00B531B2"/>
    <w:rsid w:val="00B531FB"/>
    <w:rsid w:val="00B5324D"/>
    <w:rsid w:val="00B532AB"/>
    <w:rsid w:val="00B532C1"/>
    <w:rsid w:val="00B533E1"/>
    <w:rsid w:val="00B53482"/>
    <w:rsid w:val="00B5358E"/>
    <w:rsid w:val="00B53757"/>
    <w:rsid w:val="00B53A23"/>
    <w:rsid w:val="00B53C0C"/>
    <w:rsid w:val="00B53C3D"/>
    <w:rsid w:val="00B53C75"/>
    <w:rsid w:val="00B53E8B"/>
    <w:rsid w:val="00B540FC"/>
    <w:rsid w:val="00B541B7"/>
    <w:rsid w:val="00B543FC"/>
    <w:rsid w:val="00B546A7"/>
    <w:rsid w:val="00B5479F"/>
    <w:rsid w:val="00B5492A"/>
    <w:rsid w:val="00B54BEF"/>
    <w:rsid w:val="00B54C29"/>
    <w:rsid w:val="00B54E84"/>
    <w:rsid w:val="00B54ED6"/>
    <w:rsid w:val="00B54FF0"/>
    <w:rsid w:val="00B5519B"/>
    <w:rsid w:val="00B55232"/>
    <w:rsid w:val="00B5561C"/>
    <w:rsid w:val="00B558D0"/>
    <w:rsid w:val="00B55D79"/>
    <w:rsid w:val="00B55FC8"/>
    <w:rsid w:val="00B56027"/>
    <w:rsid w:val="00B5608F"/>
    <w:rsid w:val="00B5612B"/>
    <w:rsid w:val="00B56149"/>
    <w:rsid w:val="00B561CE"/>
    <w:rsid w:val="00B562F7"/>
    <w:rsid w:val="00B56315"/>
    <w:rsid w:val="00B56319"/>
    <w:rsid w:val="00B56419"/>
    <w:rsid w:val="00B56428"/>
    <w:rsid w:val="00B566EF"/>
    <w:rsid w:val="00B56CFA"/>
    <w:rsid w:val="00B56DC7"/>
    <w:rsid w:val="00B56F9A"/>
    <w:rsid w:val="00B5701D"/>
    <w:rsid w:val="00B57122"/>
    <w:rsid w:val="00B57128"/>
    <w:rsid w:val="00B571F9"/>
    <w:rsid w:val="00B574D5"/>
    <w:rsid w:val="00B57693"/>
    <w:rsid w:val="00B5799F"/>
    <w:rsid w:val="00B579DA"/>
    <w:rsid w:val="00B57CB6"/>
    <w:rsid w:val="00B600D0"/>
    <w:rsid w:val="00B60369"/>
    <w:rsid w:val="00B603EC"/>
    <w:rsid w:val="00B6040C"/>
    <w:rsid w:val="00B604AF"/>
    <w:rsid w:val="00B6056C"/>
    <w:rsid w:val="00B6079F"/>
    <w:rsid w:val="00B6080E"/>
    <w:rsid w:val="00B6081F"/>
    <w:rsid w:val="00B608CC"/>
    <w:rsid w:val="00B60AEA"/>
    <w:rsid w:val="00B60CE6"/>
    <w:rsid w:val="00B6109E"/>
    <w:rsid w:val="00B613C8"/>
    <w:rsid w:val="00B6143A"/>
    <w:rsid w:val="00B615C6"/>
    <w:rsid w:val="00B61750"/>
    <w:rsid w:val="00B617AF"/>
    <w:rsid w:val="00B617CD"/>
    <w:rsid w:val="00B61A03"/>
    <w:rsid w:val="00B61E27"/>
    <w:rsid w:val="00B61E64"/>
    <w:rsid w:val="00B61F22"/>
    <w:rsid w:val="00B61FA2"/>
    <w:rsid w:val="00B62043"/>
    <w:rsid w:val="00B620E3"/>
    <w:rsid w:val="00B6241D"/>
    <w:rsid w:val="00B629AE"/>
    <w:rsid w:val="00B62F1E"/>
    <w:rsid w:val="00B6306C"/>
    <w:rsid w:val="00B63325"/>
    <w:rsid w:val="00B63346"/>
    <w:rsid w:val="00B637AD"/>
    <w:rsid w:val="00B637AE"/>
    <w:rsid w:val="00B6382D"/>
    <w:rsid w:val="00B6389C"/>
    <w:rsid w:val="00B63925"/>
    <w:rsid w:val="00B639F7"/>
    <w:rsid w:val="00B63B1A"/>
    <w:rsid w:val="00B63B30"/>
    <w:rsid w:val="00B63BB3"/>
    <w:rsid w:val="00B63DB6"/>
    <w:rsid w:val="00B63E40"/>
    <w:rsid w:val="00B63EA1"/>
    <w:rsid w:val="00B64294"/>
    <w:rsid w:val="00B64534"/>
    <w:rsid w:val="00B645A5"/>
    <w:rsid w:val="00B64ED6"/>
    <w:rsid w:val="00B6514D"/>
    <w:rsid w:val="00B65209"/>
    <w:rsid w:val="00B6520E"/>
    <w:rsid w:val="00B65310"/>
    <w:rsid w:val="00B653E7"/>
    <w:rsid w:val="00B65506"/>
    <w:rsid w:val="00B656A1"/>
    <w:rsid w:val="00B656BB"/>
    <w:rsid w:val="00B6575F"/>
    <w:rsid w:val="00B657A7"/>
    <w:rsid w:val="00B657C8"/>
    <w:rsid w:val="00B65A1F"/>
    <w:rsid w:val="00B65BB3"/>
    <w:rsid w:val="00B65BF0"/>
    <w:rsid w:val="00B65CCA"/>
    <w:rsid w:val="00B65CED"/>
    <w:rsid w:val="00B660EF"/>
    <w:rsid w:val="00B66191"/>
    <w:rsid w:val="00B6626A"/>
    <w:rsid w:val="00B662D9"/>
    <w:rsid w:val="00B664F8"/>
    <w:rsid w:val="00B66653"/>
    <w:rsid w:val="00B668E1"/>
    <w:rsid w:val="00B66940"/>
    <w:rsid w:val="00B66A05"/>
    <w:rsid w:val="00B66D2F"/>
    <w:rsid w:val="00B66F45"/>
    <w:rsid w:val="00B67032"/>
    <w:rsid w:val="00B67239"/>
    <w:rsid w:val="00B672DB"/>
    <w:rsid w:val="00B67702"/>
    <w:rsid w:val="00B677CA"/>
    <w:rsid w:val="00B677EC"/>
    <w:rsid w:val="00B6796A"/>
    <w:rsid w:val="00B679DA"/>
    <w:rsid w:val="00B679E4"/>
    <w:rsid w:val="00B67A0E"/>
    <w:rsid w:val="00B67BD0"/>
    <w:rsid w:val="00B67EB3"/>
    <w:rsid w:val="00B70266"/>
    <w:rsid w:val="00B7026A"/>
    <w:rsid w:val="00B70285"/>
    <w:rsid w:val="00B702E3"/>
    <w:rsid w:val="00B70319"/>
    <w:rsid w:val="00B703B5"/>
    <w:rsid w:val="00B705BA"/>
    <w:rsid w:val="00B7072E"/>
    <w:rsid w:val="00B7098D"/>
    <w:rsid w:val="00B70D58"/>
    <w:rsid w:val="00B710FB"/>
    <w:rsid w:val="00B711BA"/>
    <w:rsid w:val="00B7128F"/>
    <w:rsid w:val="00B71532"/>
    <w:rsid w:val="00B7167A"/>
    <w:rsid w:val="00B718D3"/>
    <w:rsid w:val="00B719E4"/>
    <w:rsid w:val="00B71A2E"/>
    <w:rsid w:val="00B71C12"/>
    <w:rsid w:val="00B71E6D"/>
    <w:rsid w:val="00B71EA5"/>
    <w:rsid w:val="00B72354"/>
    <w:rsid w:val="00B72428"/>
    <w:rsid w:val="00B72463"/>
    <w:rsid w:val="00B7253C"/>
    <w:rsid w:val="00B725D2"/>
    <w:rsid w:val="00B72860"/>
    <w:rsid w:val="00B72BE8"/>
    <w:rsid w:val="00B72DC3"/>
    <w:rsid w:val="00B72DEA"/>
    <w:rsid w:val="00B72E1C"/>
    <w:rsid w:val="00B73033"/>
    <w:rsid w:val="00B7305C"/>
    <w:rsid w:val="00B73477"/>
    <w:rsid w:val="00B738B8"/>
    <w:rsid w:val="00B73AEC"/>
    <w:rsid w:val="00B73F5C"/>
    <w:rsid w:val="00B74063"/>
    <w:rsid w:val="00B741A8"/>
    <w:rsid w:val="00B741CB"/>
    <w:rsid w:val="00B7427B"/>
    <w:rsid w:val="00B7444C"/>
    <w:rsid w:val="00B74480"/>
    <w:rsid w:val="00B7485A"/>
    <w:rsid w:val="00B748AF"/>
    <w:rsid w:val="00B748C9"/>
    <w:rsid w:val="00B74915"/>
    <w:rsid w:val="00B74AB0"/>
    <w:rsid w:val="00B74B2F"/>
    <w:rsid w:val="00B74D22"/>
    <w:rsid w:val="00B74EA1"/>
    <w:rsid w:val="00B74FA4"/>
    <w:rsid w:val="00B74FBD"/>
    <w:rsid w:val="00B7511E"/>
    <w:rsid w:val="00B7524B"/>
    <w:rsid w:val="00B752E4"/>
    <w:rsid w:val="00B75357"/>
    <w:rsid w:val="00B754F5"/>
    <w:rsid w:val="00B75710"/>
    <w:rsid w:val="00B7576E"/>
    <w:rsid w:val="00B75984"/>
    <w:rsid w:val="00B75B5C"/>
    <w:rsid w:val="00B75DC7"/>
    <w:rsid w:val="00B75DD9"/>
    <w:rsid w:val="00B75E8E"/>
    <w:rsid w:val="00B75EEF"/>
    <w:rsid w:val="00B75F10"/>
    <w:rsid w:val="00B7606E"/>
    <w:rsid w:val="00B76115"/>
    <w:rsid w:val="00B763FD"/>
    <w:rsid w:val="00B76797"/>
    <w:rsid w:val="00B767E4"/>
    <w:rsid w:val="00B768A3"/>
    <w:rsid w:val="00B76938"/>
    <w:rsid w:val="00B76AF5"/>
    <w:rsid w:val="00B76B07"/>
    <w:rsid w:val="00B76B26"/>
    <w:rsid w:val="00B76E4D"/>
    <w:rsid w:val="00B76F16"/>
    <w:rsid w:val="00B770EB"/>
    <w:rsid w:val="00B77374"/>
    <w:rsid w:val="00B77439"/>
    <w:rsid w:val="00B77657"/>
    <w:rsid w:val="00B77885"/>
    <w:rsid w:val="00B779DA"/>
    <w:rsid w:val="00B779DE"/>
    <w:rsid w:val="00B77A55"/>
    <w:rsid w:val="00B77A97"/>
    <w:rsid w:val="00B77AD8"/>
    <w:rsid w:val="00B77C67"/>
    <w:rsid w:val="00B77FA0"/>
    <w:rsid w:val="00B77FCA"/>
    <w:rsid w:val="00B80173"/>
    <w:rsid w:val="00B80313"/>
    <w:rsid w:val="00B80322"/>
    <w:rsid w:val="00B80437"/>
    <w:rsid w:val="00B8052A"/>
    <w:rsid w:val="00B805E0"/>
    <w:rsid w:val="00B80658"/>
    <w:rsid w:val="00B807EC"/>
    <w:rsid w:val="00B80851"/>
    <w:rsid w:val="00B808D3"/>
    <w:rsid w:val="00B80952"/>
    <w:rsid w:val="00B809F2"/>
    <w:rsid w:val="00B80BBB"/>
    <w:rsid w:val="00B80D5A"/>
    <w:rsid w:val="00B80FBE"/>
    <w:rsid w:val="00B810B6"/>
    <w:rsid w:val="00B8118C"/>
    <w:rsid w:val="00B816D4"/>
    <w:rsid w:val="00B8175D"/>
    <w:rsid w:val="00B818E8"/>
    <w:rsid w:val="00B819EB"/>
    <w:rsid w:val="00B81A47"/>
    <w:rsid w:val="00B81BBD"/>
    <w:rsid w:val="00B81E1D"/>
    <w:rsid w:val="00B81EBD"/>
    <w:rsid w:val="00B8231D"/>
    <w:rsid w:val="00B824D7"/>
    <w:rsid w:val="00B82638"/>
    <w:rsid w:val="00B82913"/>
    <w:rsid w:val="00B8296A"/>
    <w:rsid w:val="00B829AC"/>
    <w:rsid w:val="00B82A1A"/>
    <w:rsid w:val="00B82AEE"/>
    <w:rsid w:val="00B82C04"/>
    <w:rsid w:val="00B82D3E"/>
    <w:rsid w:val="00B830DD"/>
    <w:rsid w:val="00B831B4"/>
    <w:rsid w:val="00B832A2"/>
    <w:rsid w:val="00B83357"/>
    <w:rsid w:val="00B8344B"/>
    <w:rsid w:val="00B83657"/>
    <w:rsid w:val="00B83796"/>
    <w:rsid w:val="00B837FF"/>
    <w:rsid w:val="00B8384B"/>
    <w:rsid w:val="00B83B9E"/>
    <w:rsid w:val="00B83C73"/>
    <w:rsid w:val="00B83D5E"/>
    <w:rsid w:val="00B83E05"/>
    <w:rsid w:val="00B83F27"/>
    <w:rsid w:val="00B83F61"/>
    <w:rsid w:val="00B83F85"/>
    <w:rsid w:val="00B842D6"/>
    <w:rsid w:val="00B8459C"/>
    <w:rsid w:val="00B8492B"/>
    <w:rsid w:val="00B8492C"/>
    <w:rsid w:val="00B849C1"/>
    <w:rsid w:val="00B84A1B"/>
    <w:rsid w:val="00B84A56"/>
    <w:rsid w:val="00B84B1C"/>
    <w:rsid w:val="00B84B44"/>
    <w:rsid w:val="00B84C65"/>
    <w:rsid w:val="00B84CAF"/>
    <w:rsid w:val="00B84D40"/>
    <w:rsid w:val="00B84EB5"/>
    <w:rsid w:val="00B85107"/>
    <w:rsid w:val="00B8525D"/>
    <w:rsid w:val="00B855FF"/>
    <w:rsid w:val="00B859FA"/>
    <w:rsid w:val="00B85A3E"/>
    <w:rsid w:val="00B85AA5"/>
    <w:rsid w:val="00B85B9B"/>
    <w:rsid w:val="00B85E33"/>
    <w:rsid w:val="00B85F4C"/>
    <w:rsid w:val="00B85FCA"/>
    <w:rsid w:val="00B86105"/>
    <w:rsid w:val="00B861F1"/>
    <w:rsid w:val="00B8647B"/>
    <w:rsid w:val="00B86974"/>
    <w:rsid w:val="00B869F7"/>
    <w:rsid w:val="00B86DA5"/>
    <w:rsid w:val="00B86E85"/>
    <w:rsid w:val="00B8708D"/>
    <w:rsid w:val="00B8730A"/>
    <w:rsid w:val="00B8741E"/>
    <w:rsid w:val="00B874C5"/>
    <w:rsid w:val="00B874FC"/>
    <w:rsid w:val="00B87501"/>
    <w:rsid w:val="00B8756E"/>
    <w:rsid w:val="00B87587"/>
    <w:rsid w:val="00B877A3"/>
    <w:rsid w:val="00B87823"/>
    <w:rsid w:val="00B87996"/>
    <w:rsid w:val="00B87A95"/>
    <w:rsid w:val="00B87B9E"/>
    <w:rsid w:val="00B87CAD"/>
    <w:rsid w:val="00B87DFA"/>
    <w:rsid w:val="00B87E8E"/>
    <w:rsid w:val="00B87FCF"/>
    <w:rsid w:val="00B9025A"/>
    <w:rsid w:val="00B902C6"/>
    <w:rsid w:val="00B90486"/>
    <w:rsid w:val="00B90533"/>
    <w:rsid w:val="00B905EB"/>
    <w:rsid w:val="00B90761"/>
    <w:rsid w:val="00B90888"/>
    <w:rsid w:val="00B908C7"/>
    <w:rsid w:val="00B908F6"/>
    <w:rsid w:val="00B909A5"/>
    <w:rsid w:val="00B90AD2"/>
    <w:rsid w:val="00B90DAB"/>
    <w:rsid w:val="00B90DFA"/>
    <w:rsid w:val="00B90E48"/>
    <w:rsid w:val="00B90F25"/>
    <w:rsid w:val="00B912CF"/>
    <w:rsid w:val="00B9147C"/>
    <w:rsid w:val="00B91830"/>
    <w:rsid w:val="00B918CD"/>
    <w:rsid w:val="00B91A11"/>
    <w:rsid w:val="00B91B35"/>
    <w:rsid w:val="00B91B82"/>
    <w:rsid w:val="00B91BEA"/>
    <w:rsid w:val="00B91DCA"/>
    <w:rsid w:val="00B92171"/>
    <w:rsid w:val="00B9218F"/>
    <w:rsid w:val="00B9256C"/>
    <w:rsid w:val="00B926DF"/>
    <w:rsid w:val="00B92766"/>
    <w:rsid w:val="00B92B11"/>
    <w:rsid w:val="00B92B26"/>
    <w:rsid w:val="00B92CBC"/>
    <w:rsid w:val="00B92D6A"/>
    <w:rsid w:val="00B92DB9"/>
    <w:rsid w:val="00B92F30"/>
    <w:rsid w:val="00B930F7"/>
    <w:rsid w:val="00B9330F"/>
    <w:rsid w:val="00B9339B"/>
    <w:rsid w:val="00B935A0"/>
    <w:rsid w:val="00B9367A"/>
    <w:rsid w:val="00B93A1B"/>
    <w:rsid w:val="00B93A1C"/>
    <w:rsid w:val="00B93B02"/>
    <w:rsid w:val="00B93CE9"/>
    <w:rsid w:val="00B93E27"/>
    <w:rsid w:val="00B94024"/>
    <w:rsid w:val="00B9421E"/>
    <w:rsid w:val="00B9421F"/>
    <w:rsid w:val="00B942F5"/>
    <w:rsid w:val="00B943C1"/>
    <w:rsid w:val="00B94422"/>
    <w:rsid w:val="00B946DD"/>
    <w:rsid w:val="00B9479B"/>
    <w:rsid w:val="00B94800"/>
    <w:rsid w:val="00B94A62"/>
    <w:rsid w:val="00B94FDC"/>
    <w:rsid w:val="00B95004"/>
    <w:rsid w:val="00B9507D"/>
    <w:rsid w:val="00B950CA"/>
    <w:rsid w:val="00B9519C"/>
    <w:rsid w:val="00B951CE"/>
    <w:rsid w:val="00B9539C"/>
    <w:rsid w:val="00B954E8"/>
    <w:rsid w:val="00B954EC"/>
    <w:rsid w:val="00B955ED"/>
    <w:rsid w:val="00B955FF"/>
    <w:rsid w:val="00B958B1"/>
    <w:rsid w:val="00B95D3E"/>
    <w:rsid w:val="00B95D98"/>
    <w:rsid w:val="00B95E49"/>
    <w:rsid w:val="00B95E50"/>
    <w:rsid w:val="00B95E6C"/>
    <w:rsid w:val="00B95F35"/>
    <w:rsid w:val="00B9603B"/>
    <w:rsid w:val="00B962CB"/>
    <w:rsid w:val="00B963B1"/>
    <w:rsid w:val="00B96805"/>
    <w:rsid w:val="00B96819"/>
    <w:rsid w:val="00B96925"/>
    <w:rsid w:val="00B96ABD"/>
    <w:rsid w:val="00B96E82"/>
    <w:rsid w:val="00B96F43"/>
    <w:rsid w:val="00B96F50"/>
    <w:rsid w:val="00B96F6A"/>
    <w:rsid w:val="00B97149"/>
    <w:rsid w:val="00B9733F"/>
    <w:rsid w:val="00B9758E"/>
    <w:rsid w:val="00B97A35"/>
    <w:rsid w:val="00B97AA8"/>
    <w:rsid w:val="00B97C9B"/>
    <w:rsid w:val="00B97D8E"/>
    <w:rsid w:val="00B97DC8"/>
    <w:rsid w:val="00BA01BB"/>
    <w:rsid w:val="00BA0373"/>
    <w:rsid w:val="00BA0403"/>
    <w:rsid w:val="00BA0725"/>
    <w:rsid w:val="00BA0942"/>
    <w:rsid w:val="00BA0A2D"/>
    <w:rsid w:val="00BA0A7C"/>
    <w:rsid w:val="00BA0BC3"/>
    <w:rsid w:val="00BA0C12"/>
    <w:rsid w:val="00BA0DD6"/>
    <w:rsid w:val="00BA0FE8"/>
    <w:rsid w:val="00BA1131"/>
    <w:rsid w:val="00BA117E"/>
    <w:rsid w:val="00BA1344"/>
    <w:rsid w:val="00BA1679"/>
    <w:rsid w:val="00BA177F"/>
    <w:rsid w:val="00BA195C"/>
    <w:rsid w:val="00BA19DA"/>
    <w:rsid w:val="00BA1DA2"/>
    <w:rsid w:val="00BA2113"/>
    <w:rsid w:val="00BA2167"/>
    <w:rsid w:val="00BA228D"/>
    <w:rsid w:val="00BA22CF"/>
    <w:rsid w:val="00BA2569"/>
    <w:rsid w:val="00BA2611"/>
    <w:rsid w:val="00BA2712"/>
    <w:rsid w:val="00BA275D"/>
    <w:rsid w:val="00BA2B8F"/>
    <w:rsid w:val="00BA2BEE"/>
    <w:rsid w:val="00BA2C1B"/>
    <w:rsid w:val="00BA2CA5"/>
    <w:rsid w:val="00BA2D99"/>
    <w:rsid w:val="00BA2E09"/>
    <w:rsid w:val="00BA2E91"/>
    <w:rsid w:val="00BA3147"/>
    <w:rsid w:val="00BA31B2"/>
    <w:rsid w:val="00BA3269"/>
    <w:rsid w:val="00BA32ED"/>
    <w:rsid w:val="00BA3578"/>
    <w:rsid w:val="00BA35CE"/>
    <w:rsid w:val="00BA36F4"/>
    <w:rsid w:val="00BA3854"/>
    <w:rsid w:val="00BA3BD8"/>
    <w:rsid w:val="00BA3C6A"/>
    <w:rsid w:val="00BA3D48"/>
    <w:rsid w:val="00BA3E70"/>
    <w:rsid w:val="00BA4131"/>
    <w:rsid w:val="00BA422C"/>
    <w:rsid w:val="00BA4408"/>
    <w:rsid w:val="00BA473F"/>
    <w:rsid w:val="00BA47AF"/>
    <w:rsid w:val="00BA4A12"/>
    <w:rsid w:val="00BA4A98"/>
    <w:rsid w:val="00BA4B23"/>
    <w:rsid w:val="00BA4B42"/>
    <w:rsid w:val="00BA4BDE"/>
    <w:rsid w:val="00BA4C3F"/>
    <w:rsid w:val="00BA4C5B"/>
    <w:rsid w:val="00BA4E89"/>
    <w:rsid w:val="00BA4F5B"/>
    <w:rsid w:val="00BA51A0"/>
    <w:rsid w:val="00BA51DE"/>
    <w:rsid w:val="00BA52B9"/>
    <w:rsid w:val="00BA56E9"/>
    <w:rsid w:val="00BA5823"/>
    <w:rsid w:val="00BA5B48"/>
    <w:rsid w:val="00BA5C03"/>
    <w:rsid w:val="00BA5E9F"/>
    <w:rsid w:val="00BA5F98"/>
    <w:rsid w:val="00BA5FBE"/>
    <w:rsid w:val="00BA6088"/>
    <w:rsid w:val="00BA60E7"/>
    <w:rsid w:val="00BA618C"/>
    <w:rsid w:val="00BA631B"/>
    <w:rsid w:val="00BA6405"/>
    <w:rsid w:val="00BA64E9"/>
    <w:rsid w:val="00BA6C0A"/>
    <w:rsid w:val="00BA6E37"/>
    <w:rsid w:val="00BA6F0F"/>
    <w:rsid w:val="00BA7012"/>
    <w:rsid w:val="00BA71A0"/>
    <w:rsid w:val="00BA7320"/>
    <w:rsid w:val="00BA7380"/>
    <w:rsid w:val="00BA73CF"/>
    <w:rsid w:val="00BA7400"/>
    <w:rsid w:val="00BA749B"/>
    <w:rsid w:val="00BA74E2"/>
    <w:rsid w:val="00BA75D4"/>
    <w:rsid w:val="00BA7856"/>
    <w:rsid w:val="00BA78BE"/>
    <w:rsid w:val="00BA7A15"/>
    <w:rsid w:val="00BA7E35"/>
    <w:rsid w:val="00BB0246"/>
    <w:rsid w:val="00BB02A4"/>
    <w:rsid w:val="00BB0305"/>
    <w:rsid w:val="00BB03EE"/>
    <w:rsid w:val="00BB068E"/>
    <w:rsid w:val="00BB07FC"/>
    <w:rsid w:val="00BB095E"/>
    <w:rsid w:val="00BB0987"/>
    <w:rsid w:val="00BB09E8"/>
    <w:rsid w:val="00BB0B64"/>
    <w:rsid w:val="00BB0B92"/>
    <w:rsid w:val="00BB0D54"/>
    <w:rsid w:val="00BB1171"/>
    <w:rsid w:val="00BB1812"/>
    <w:rsid w:val="00BB1A2D"/>
    <w:rsid w:val="00BB1A97"/>
    <w:rsid w:val="00BB1D2A"/>
    <w:rsid w:val="00BB1E0E"/>
    <w:rsid w:val="00BB1E16"/>
    <w:rsid w:val="00BB22C9"/>
    <w:rsid w:val="00BB272D"/>
    <w:rsid w:val="00BB296D"/>
    <w:rsid w:val="00BB29C3"/>
    <w:rsid w:val="00BB2CB9"/>
    <w:rsid w:val="00BB2E12"/>
    <w:rsid w:val="00BB2F77"/>
    <w:rsid w:val="00BB2FB4"/>
    <w:rsid w:val="00BB3062"/>
    <w:rsid w:val="00BB33E5"/>
    <w:rsid w:val="00BB3741"/>
    <w:rsid w:val="00BB3850"/>
    <w:rsid w:val="00BB385C"/>
    <w:rsid w:val="00BB38B4"/>
    <w:rsid w:val="00BB397F"/>
    <w:rsid w:val="00BB3BB7"/>
    <w:rsid w:val="00BB3F0E"/>
    <w:rsid w:val="00BB3F7A"/>
    <w:rsid w:val="00BB406D"/>
    <w:rsid w:val="00BB4156"/>
    <w:rsid w:val="00BB4361"/>
    <w:rsid w:val="00BB4379"/>
    <w:rsid w:val="00BB4579"/>
    <w:rsid w:val="00BB4581"/>
    <w:rsid w:val="00BB49FB"/>
    <w:rsid w:val="00BB4A7A"/>
    <w:rsid w:val="00BB4A96"/>
    <w:rsid w:val="00BB4C52"/>
    <w:rsid w:val="00BB4D38"/>
    <w:rsid w:val="00BB4D75"/>
    <w:rsid w:val="00BB4DE3"/>
    <w:rsid w:val="00BB4ECD"/>
    <w:rsid w:val="00BB4ED6"/>
    <w:rsid w:val="00BB50BC"/>
    <w:rsid w:val="00BB52CA"/>
    <w:rsid w:val="00BB55B3"/>
    <w:rsid w:val="00BB56A1"/>
    <w:rsid w:val="00BB56C0"/>
    <w:rsid w:val="00BB59C2"/>
    <w:rsid w:val="00BB5AC1"/>
    <w:rsid w:val="00BB5B61"/>
    <w:rsid w:val="00BB5B78"/>
    <w:rsid w:val="00BB5B9A"/>
    <w:rsid w:val="00BB5DBC"/>
    <w:rsid w:val="00BB618C"/>
    <w:rsid w:val="00BB61F2"/>
    <w:rsid w:val="00BB6412"/>
    <w:rsid w:val="00BB65A4"/>
    <w:rsid w:val="00BB6921"/>
    <w:rsid w:val="00BB6AA7"/>
    <w:rsid w:val="00BB6CB3"/>
    <w:rsid w:val="00BB6E1B"/>
    <w:rsid w:val="00BB7096"/>
    <w:rsid w:val="00BB7216"/>
    <w:rsid w:val="00BB7440"/>
    <w:rsid w:val="00BB76E1"/>
    <w:rsid w:val="00BB7AB2"/>
    <w:rsid w:val="00BB7B0B"/>
    <w:rsid w:val="00BB7B1B"/>
    <w:rsid w:val="00BC0047"/>
    <w:rsid w:val="00BC02D4"/>
    <w:rsid w:val="00BC02DD"/>
    <w:rsid w:val="00BC0586"/>
    <w:rsid w:val="00BC059D"/>
    <w:rsid w:val="00BC089B"/>
    <w:rsid w:val="00BC0A24"/>
    <w:rsid w:val="00BC0B3D"/>
    <w:rsid w:val="00BC0B61"/>
    <w:rsid w:val="00BC0BF9"/>
    <w:rsid w:val="00BC0C0D"/>
    <w:rsid w:val="00BC1211"/>
    <w:rsid w:val="00BC1243"/>
    <w:rsid w:val="00BC1247"/>
    <w:rsid w:val="00BC13B7"/>
    <w:rsid w:val="00BC1466"/>
    <w:rsid w:val="00BC15FA"/>
    <w:rsid w:val="00BC1650"/>
    <w:rsid w:val="00BC18ED"/>
    <w:rsid w:val="00BC1912"/>
    <w:rsid w:val="00BC199B"/>
    <w:rsid w:val="00BC19AA"/>
    <w:rsid w:val="00BC19BF"/>
    <w:rsid w:val="00BC1A05"/>
    <w:rsid w:val="00BC1BC2"/>
    <w:rsid w:val="00BC1E82"/>
    <w:rsid w:val="00BC21A7"/>
    <w:rsid w:val="00BC21B8"/>
    <w:rsid w:val="00BC223F"/>
    <w:rsid w:val="00BC2483"/>
    <w:rsid w:val="00BC248D"/>
    <w:rsid w:val="00BC266F"/>
    <w:rsid w:val="00BC2679"/>
    <w:rsid w:val="00BC2728"/>
    <w:rsid w:val="00BC283B"/>
    <w:rsid w:val="00BC299C"/>
    <w:rsid w:val="00BC29D0"/>
    <w:rsid w:val="00BC2A7A"/>
    <w:rsid w:val="00BC2B19"/>
    <w:rsid w:val="00BC2C80"/>
    <w:rsid w:val="00BC2CF4"/>
    <w:rsid w:val="00BC2FED"/>
    <w:rsid w:val="00BC302B"/>
    <w:rsid w:val="00BC30DF"/>
    <w:rsid w:val="00BC311D"/>
    <w:rsid w:val="00BC32C7"/>
    <w:rsid w:val="00BC3327"/>
    <w:rsid w:val="00BC36F7"/>
    <w:rsid w:val="00BC390F"/>
    <w:rsid w:val="00BC3910"/>
    <w:rsid w:val="00BC3AA6"/>
    <w:rsid w:val="00BC3B5D"/>
    <w:rsid w:val="00BC3F95"/>
    <w:rsid w:val="00BC409F"/>
    <w:rsid w:val="00BC41B6"/>
    <w:rsid w:val="00BC41D5"/>
    <w:rsid w:val="00BC44E4"/>
    <w:rsid w:val="00BC44EA"/>
    <w:rsid w:val="00BC44F1"/>
    <w:rsid w:val="00BC455C"/>
    <w:rsid w:val="00BC45B1"/>
    <w:rsid w:val="00BC45BE"/>
    <w:rsid w:val="00BC4644"/>
    <w:rsid w:val="00BC4712"/>
    <w:rsid w:val="00BC48F4"/>
    <w:rsid w:val="00BC492E"/>
    <w:rsid w:val="00BC49CC"/>
    <w:rsid w:val="00BC4A23"/>
    <w:rsid w:val="00BC4AF6"/>
    <w:rsid w:val="00BC4C09"/>
    <w:rsid w:val="00BC4F2E"/>
    <w:rsid w:val="00BC516B"/>
    <w:rsid w:val="00BC5192"/>
    <w:rsid w:val="00BC523B"/>
    <w:rsid w:val="00BC5443"/>
    <w:rsid w:val="00BC54D6"/>
    <w:rsid w:val="00BC54DC"/>
    <w:rsid w:val="00BC55B3"/>
    <w:rsid w:val="00BC561C"/>
    <w:rsid w:val="00BC5708"/>
    <w:rsid w:val="00BC5801"/>
    <w:rsid w:val="00BC5845"/>
    <w:rsid w:val="00BC5959"/>
    <w:rsid w:val="00BC5B73"/>
    <w:rsid w:val="00BC5C50"/>
    <w:rsid w:val="00BC5DF4"/>
    <w:rsid w:val="00BC5E9F"/>
    <w:rsid w:val="00BC5F19"/>
    <w:rsid w:val="00BC6066"/>
    <w:rsid w:val="00BC61B2"/>
    <w:rsid w:val="00BC61F5"/>
    <w:rsid w:val="00BC62C7"/>
    <w:rsid w:val="00BC64DB"/>
    <w:rsid w:val="00BC676D"/>
    <w:rsid w:val="00BC6C3C"/>
    <w:rsid w:val="00BC6C41"/>
    <w:rsid w:val="00BC6DC6"/>
    <w:rsid w:val="00BC6FC4"/>
    <w:rsid w:val="00BC7186"/>
    <w:rsid w:val="00BC7498"/>
    <w:rsid w:val="00BC7597"/>
    <w:rsid w:val="00BC7939"/>
    <w:rsid w:val="00BC7A4C"/>
    <w:rsid w:val="00BC7A80"/>
    <w:rsid w:val="00BC7B64"/>
    <w:rsid w:val="00BC7C06"/>
    <w:rsid w:val="00BD001C"/>
    <w:rsid w:val="00BD00ED"/>
    <w:rsid w:val="00BD0133"/>
    <w:rsid w:val="00BD026C"/>
    <w:rsid w:val="00BD02F8"/>
    <w:rsid w:val="00BD030A"/>
    <w:rsid w:val="00BD03DA"/>
    <w:rsid w:val="00BD08AC"/>
    <w:rsid w:val="00BD09C4"/>
    <w:rsid w:val="00BD0B16"/>
    <w:rsid w:val="00BD0B31"/>
    <w:rsid w:val="00BD0BE8"/>
    <w:rsid w:val="00BD0C89"/>
    <w:rsid w:val="00BD0D9D"/>
    <w:rsid w:val="00BD0E9A"/>
    <w:rsid w:val="00BD0FA0"/>
    <w:rsid w:val="00BD107A"/>
    <w:rsid w:val="00BD10D0"/>
    <w:rsid w:val="00BD11B5"/>
    <w:rsid w:val="00BD17E6"/>
    <w:rsid w:val="00BD1845"/>
    <w:rsid w:val="00BD1882"/>
    <w:rsid w:val="00BD1B77"/>
    <w:rsid w:val="00BD1C5D"/>
    <w:rsid w:val="00BD1CA3"/>
    <w:rsid w:val="00BD1D27"/>
    <w:rsid w:val="00BD1D9E"/>
    <w:rsid w:val="00BD1DBA"/>
    <w:rsid w:val="00BD1E08"/>
    <w:rsid w:val="00BD1E15"/>
    <w:rsid w:val="00BD2245"/>
    <w:rsid w:val="00BD278F"/>
    <w:rsid w:val="00BD27FD"/>
    <w:rsid w:val="00BD29AD"/>
    <w:rsid w:val="00BD29E1"/>
    <w:rsid w:val="00BD2A11"/>
    <w:rsid w:val="00BD2B20"/>
    <w:rsid w:val="00BD2B21"/>
    <w:rsid w:val="00BD2B35"/>
    <w:rsid w:val="00BD2C97"/>
    <w:rsid w:val="00BD3033"/>
    <w:rsid w:val="00BD331F"/>
    <w:rsid w:val="00BD3408"/>
    <w:rsid w:val="00BD35B6"/>
    <w:rsid w:val="00BD3782"/>
    <w:rsid w:val="00BD3924"/>
    <w:rsid w:val="00BD3B36"/>
    <w:rsid w:val="00BD3D35"/>
    <w:rsid w:val="00BD3D90"/>
    <w:rsid w:val="00BD3DE9"/>
    <w:rsid w:val="00BD3E2E"/>
    <w:rsid w:val="00BD3EA4"/>
    <w:rsid w:val="00BD3EA7"/>
    <w:rsid w:val="00BD3F02"/>
    <w:rsid w:val="00BD3F96"/>
    <w:rsid w:val="00BD4015"/>
    <w:rsid w:val="00BD40D1"/>
    <w:rsid w:val="00BD430D"/>
    <w:rsid w:val="00BD463D"/>
    <w:rsid w:val="00BD4751"/>
    <w:rsid w:val="00BD48F0"/>
    <w:rsid w:val="00BD49B7"/>
    <w:rsid w:val="00BD4BB8"/>
    <w:rsid w:val="00BD4C2A"/>
    <w:rsid w:val="00BD4C6D"/>
    <w:rsid w:val="00BD4D25"/>
    <w:rsid w:val="00BD4F28"/>
    <w:rsid w:val="00BD503A"/>
    <w:rsid w:val="00BD5432"/>
    <w:rsid w:val="00BD552A"/>
    <w:rsid w:val="00BD5532"/>
    <w:rsid w:val="00BD5567"/>
    <w:rsid w:val="00BD5801"/>
    <w:rsid w:val="00BD5A05"/>
    <w:rsid w:val="00BD5C19"/>
    <w:rsid w:val="00BD5D14"/>
    <w:rsid w:val="00BD5FF5"/>
    <w:rsid w:val="00BD611F"/>
    <w:rsid w:val="00BD617F"/>
    <w:rsid w:val="00BD638C"/>
    <w:rsid w:val="00BD63D0"/>
    <w:rsid w:val="00BD674F"/>
    <w:rsid w:val="00BD67FF"/>
    <w:rsid w:val="00BD68C3"/>
    <w:rsid w:val="00BD69CC"/>
    <w:rsid w:val="00BD6BA2"/>
    <w:rsid w:val="00BD6F11"/>
    <w:rsid w:val="00BD734A"/>
    <w:rsid w:val="00BD75A8"/>
    <w:rsid w:val="00BD7B47"/>
    <w:rsid w:val="00BD7BD7"/>
    <w:rsid w:val="00BD7D39"/>
    <w:rsid w:val="00BD7ED1"/>
    <w:rsid w:val="00BD7F14"/>
    <w:rsid w:val="00BD7F8D"/>
    <w:rsid w:val="00BE00BA"/>
    <w:rsid w:val="00BE021E"/>
    <w:rsid w:val="00BE0228"/>
    <w:rsid w:val="00BE031D"/>
    <w:rsid w:val="00BE0374"/>
    <w:rsid w:val="00BE03B6"/>
    <w:rsid w:val="00BE0668"/>
    <w:rsid w:val="00BE06A0"/>
    <w:rsid w:val="00BE0760"/>
    <w:rsid w:val="00BE07A3"/>
    <w:rsid w:val="00BE07A6"/>
    <w:rsid w:val="00BE081F"/>
    <w:rsid w:val="00BE0893"/>
    <w:rsid w:val="00BE0A1C"/>
    <w:rsid w:val="00BE0C46"/>
    <w:rsid w:val="00BE0DBC"/>
    <w:rsid w:val="00BE0E41"/>
    <w:rsid w:val="00BE1194"/>
    <w:rsid w:val="00BE12EF"/>
    <w:rsid w:val="00BE13CC"/>
    <w:rsid w:val="00BE162B"/>
    <w:rsid w:val="00BE1767"/>
    <w:rsid w:val="00BE1834"/>
    <w:rsid w:val="00BE1A1F"/>
    <w:rsid w:val="00BE1B70"/>
    <w:rsid w:val="00BE1B88"/>
    <w:rsid w:val="00BE1BA5"/>
    <w:rsid w:val="00BE1D85"/>
    <w:rsid w:val="00BE2173"/>
    <w:rsid w:val="00BE217B"/>
    <w:rsid w:val="00BE21FD"/>
    <w:rsid w:val="00BE220C"/>
    <w:rsid w:val="00BE24B1"/>
    <w:rsid w:val="00BE2B75"/>
    <w:rsid w:val="00BE2BFE"/>
    <w:rsid w:val="00BE2C28"/>
    <w:rsid w:val="00BE2ED6"/>
    <w:rsid w:val="00BE2F12"/>
    <w:rsid w:val="00BE3002"/>
    <w:rsid w:val="00BE3094"/>
    <w:rsid w:val="00BE30BF"/>
    <w:rsid w:val="00BE31B5"/>
    <w:rsid w:val="00BE39B9"/>
    <w:rsid w:val="00BE3BA9"/>
    <w:rsid w:val="00BE3CFB"/>
    <w:rsid w:val="00BE3FA0"/>
    <w:rsid w:val="00BE4034"/>
    <w:rsid w:val="00BE433B"/>
    <w:rsid w:val="00BE433E"/>
    <w:rsid w:val="00BE43AE"/>
    <w:rsid w:val="00BE447A"/>
    <w:rsid w:val="00BE4489"/>
    <w:rsid w:val="00BE46F1"/>
    <w:rsid w:val="00BE47EA"/>
    <w:rsid w:val="00BE48D2"/>
    <w:rsid w:val="00BE491E"/>
    <w:rsid w:val="00BE49DC"/>
    <w:rsid w:val="00BE4BF6"/>
    <w:rsid w:val="00BE4DE7"/>
    <w:rsid w:val="00BE4E88"/>
    <w:rsid w:val="00BE4EB5"/>
    <w:rsid w:val="00BE4F0E"/>
    <w:rsid w:val="00BE50CB"/>
    <w:rsid w:val="00BE50DE"/>
    <w:rsid w:val="00BE5167"/>
    <w:rsid w:val="00BE528A"/>
    <w:rsid w:val="00BE5351"/>
    <w:rsid w:val="00BE5575"/>
    <w:rsid w:val="00BE5605"/>
    <w:rsid w:val="00BE5615"/>
    <w:rsid w:val="00BE5657"/>
    <w:rsid w:val="00BE605D"/>
    <w:rsid w:val="00BE620D"/>
    <w:rsid w:val="00BE6692"/>
    <w:rsid w:val="00BE6A9D"/>
    <w:rsid w:val="00BE716F"/>
    <w:rsid w:val="00BE75C7"/>
    <w:rsid w:val="00BE7613"/>
    <w:rsid w:val="00BE762D"/>
    <w:rsid w:val="00BE77B1"/>
    <w:rsid w:val="00BE7952"/>
    <w:rsid w:val="00BE7A47"/>
    <w:rsid w:val="00BE7B78"/>
    <w:rsid w:val="00BE7C9E"/>
    <w:rsid w:val="00BF0108"/>
    <w:rsid w:val="00BF01D5"/>
    <w:rsid w:val="00BF0205"/>
    <w:rsid w:val="00BF0274"/>
    <w:rsid w:val="00BF02A1"/>
    <w:rsid w:val="00BF0372"/>
    <w:rsid w:val="00BF03CC"/>
    <w:rsid w:val="00BF04F0"/>
    <w:rsid w:val="00BF0718"/>
    <w:rsid w:val="00BF0736"/>
    <w:rsid w:val="00BF0A95"/>
    <w:rsid w:val="00BF0C80"/>
    <w:rsid w:val="00BF0CC0"/>
    <w:rsid w:val="00BF0D2E"/>
    <w:rsid w:val="00BF0F1F"/>
    <w:rsid w:val="00BF0F74"/>
    <w:rsid w:val="00BF12AA"/>
    <w:rsid w:val="00BF135F"/>
    <w:rsid w:val="00BF13AF"/>
    <w:rsid w:val="00BF14C5"/>
    <w:rsid w:val="00BF16F9"/>
    <w:rsid w:val="00BF176B"/>
    <w:rsid w:val="00BF19C6"/>
    <w:rsid w:val="00BF19F5"/>
    <w:rsid w:val="00BF1B18"/>
    <w:rsid w:val="00BF1E92"/>
    <w:rsid w:val="00BF1F08"/>
    <w:rsid w:val="00BF212E"/>
    <w:rsid w:val="00BF24C1"/>
    <w:rsid w:val="00BF252E"/>
    <w:rsid w:val="00BF2532"/>
    <w:rsid w:val="00BF2994"/>
    <w:rsid w:val="00BF29A9"/>
    <w:rsid w:val="00BF2DD2"/>
    <w:rsid w:val="00BF2EB3"/>
    <w:rsid w:val="00BF3260"/>
    <w:rsid w:val="00BF33E4"/>
    <w:rsid w:val="00BF3568"/>
    <w:rsid w:val="00BF37C7"/>
    <w:rsid w:val="00BF3B5B"/>
    <w:rsid w:val="00BF3BAD"/>
    <w:rsid w:val="00BF3C97"/>
    <w:rsid w:val="00BF3CDA"/>
    <w:rsid w:val="00BF3CDE"/>
    <w:rsid w:val="00BF3EB8"/>
    <w:rsid w:val="00BF4136"/>
    <w:rsid w:val="00BF4216"/>
    <w:rsid w:val="00BF42EC"/>
    <w:rsid w:val="00BF4523"/>
    <w:rsid w:val="00BF45E2"/>
    <w:rsid w:val="00BF4782"/>
    <w:rsid w:val="00BF49CE"/>
    <w:rsid w:val="00BF508C"/>
    <w:rsid w:val="00BF5100"/>
    <w:rsid w:val="00BF5169"/>
    <w:rsid w:val="00BF5285"/>
    <w:rsid w:val="00BF54F8"/>
    <w:rsid w:val="00BF5604"/>
    <w:rsid w:val="00BF563A"/>
    <w:rsid w:val="00BF58A3"/>
    <w:rsid w:val="00BF58CC"/>
    <w:rsid w:val="00BF59E3"/>
    <w:rsid w:val="00BF5C15"/>
    <w:rsid w:val="00BF5E18"/>
    <w:rsid w:val="00BF5F53"/>
    <w:rsid w:val="00BF5FC5"/>
    <w:rsid w:val="00BF6137"/>
    <w:rsid w:val="00BF6334"/>
    <w:rsid w:val="00BF63E4"/>
    <w:rsid w:val="00BF63ED"/>
    <w:rsid w:val="00BF64C5"/>
    <w:rsid w:val="00BF663E"/>
    <w:rsid w:val="00BF67EE"/>
    <w:rsid w:val="00BF67F0"/>
    <w:rsid w:val="00BF68B8"/>
    <w:rsid w:val="00BF68F8"/>
    <w:rsid w:val="00BF6AE4"/>
    <w:rsid w:val="00BF6B44"/>
    <w:rsid w:val="00BF6C1D"/>
    <w:rsid w:val="00BF6CE1"/>
    <w:rsid w:val="00BF6CEE"/>
    <w:rsid w:val="00BF6D1E"/>
    <w:rsid w:val="00BF6D73"/>
    <w:rsid w:val="00BF6F8B"/>
    <w:rsid w:val="00BF7071"/>
    <w:rsid w:val="00BF707E"/>
    <w:rsid w:val="00BF71C3"/>
    <w:rsid w:val="00BF7239"/>
    <w:rsid w:val="00BF7298"/>
    <w:rsid w:val="00BF73AB"/>
    <w:rsid w:val="00BF745D"/>
    <w:rsid w:val="00BF7637"/>
    <w:rsid w:val="00BF77B2"/>
    <w:rsid w:val="00BF7998"/>
    <w:rsid w:val="00BF7A5D"/>
    <w:rsid w:val="00C0006B"/>
    <w:rsid w:val="00C001F3"/>
    <w:rsid w:val="00C00219"/>
    <w:rsid w:val="00C00526"/>
    <w:rsid w:val="00C00793"/>
    <w:rsid w:val="00C008F8"/>
    <w:rsid w:val="00C008FB"/>
    <w:rsid w:val="00C00977"/>
    <w:rsid w:val="00C00B5A"/>
    <w:rsid w:val="00C00BA6"/>
    <w:rsid w:val="00C00F67"/>
    <w:rsid w:val="00C00FC6"/>
    <w:rsid w:val="00C0106C"/>
    <w:rsid w:val="00C010FE"/>
    <w:rsid w:val="00C011D3"/>
    <w:rsid w:val="00C01247"/>
    <w:rsid w:val="00C013A3"/>
    <w:rsid w:val="00C014E3"/>
    <w:rsid w:val="00C0169C"/>
    <w:rsid w:val="00C01949"/>
    <w:rsid w:val="00C01A86"/>
    <w:rsid w:val="00C01D2D"/>
    <w:rsid w:val="00C02143"/>
    <w:rsid w:val="00C021DA"/>
    <w:rsid w:val="00C021F5"/>
    <w:rsid w:val="00C0231F"/>
    <w:rsid w:val="00C02330"/>
    <w:rsid w:val="00C0240A"/>
    <w:rsid w:val="00C02622"/>
    <w:rsid w:val="00C02721"/>
    <w:rsid w:val="00C027D2"/>
    <w:rsid w:val="00C02810"/>
    <w:rsid w:val="00C0285F"/>
    <w:rsid w:val="00C02977"/>
    <w:rsid w:val="00C02A38"/>
    <w:rsid w:val="00C02A6F"/>
    <w:rsid w:val="00C02C0B"/>
    <w:rsid w:val="00C02CE5"/>
    <w:rsid w:val="00C02E2A"/>
    <w:rsid w:val="00C02EF9"/>
    <w:rsid w:val="00C030AE"/>
    <w:rsid w:val="00C0316E"/>
    <w:rsid w:val="00C033BD"/>
    <w:rsid w:val="00C03481"/>
    <w:rsid w:val="00C035C6"/>
    <w:rsid w:val="00C035FF"/>
    <w:rsid w:val="00C0361C"/>
    <w:rsid w:val="00C03844"/>
    <w:rsid w:val="00C0396C"/>
    <w:rsid w:val="00C039E1"/>
    <w:rsid w:val="00C03BB6"/>
    <w:rsid w:val="00C03D85"/>
    <w:rsid w:val="00C03DD3"/>
    <w:rsid w:val="00C03E71"/>
    <w:rsid w:val="00C03FC7"/>
    <w:rsid w:val="00C040D9"/>
    <w:rsid w:val="00C0411E"/>
    <w:rsid w:val="00C0416A"/>
    <w:rsid w:val="00C041DE"/>
    <w:rsid w:val="00C04220"/>
    <w:rsid w:val="00C04334"/>
    <w:rsid w:val="00C0436F"/>
    <w:rsid w:val="00C043B7"/>
    <w:rsid w:val="00C043CB"/>
    <w:rsid w:val="00C04533"/>
    <w:rsid w:val="00C04535"/>
    <w:rsid w:val="00C045F9"/>
    <w:rsid w:val="00C047F6"/>
    <w:rsid w:val="00C0481D"/>
    <w:rsid w:val="00C04A48"/>
    <w:rsid w:val="00C04C6E"/>
    <w:rsid w:val="00C04CE0"/>
    <w:rsid w:val="00C04DCF"/>
    <w:rsid w:val="00C0505E"/>
    <w:rsid w:val="00C0523A"/>
    <w:rsid w:val="00C05309"/>
    <w:rsid w:val="00C054EE"/>
    <w:rsid w:val="00C05599"/>
    <w:rsid w:val="00C05CDA"/>
    <w:rsid w:val="00C05D99"/>
    <w:rsid w:val="00C06046"/>
    <w:rsid w:val="00C060C7"/>
    <w:rsid w:val="00C060E7"/>
    <w:rsid w:val="00C06177"/>
    <w:rsid w:val="00C06366"/>
    <w:rsid w:val="00C063A3"/>
    <w:rsid w:val="00C06488"/>
    <w:rsid w:val="00C064C1"/>
    <w:rsid w:val="00C0673F"/>
    <w:rsid w:val="00C06B51"/>
    <w:rsid w:val="00C06B95"/>
    <w:rsid w:val="00C06CE2"/>
    <w:rsid w:val="00C06D21"/>
    <w:rsid w:val="00C06D42"/>
    <w:rsid w:val="00C06DE9"/>
    <w:rsid w:val="00C06E57"/>
    <w:rsid w:val="00C07091"/>
    <w:rsid w:val="00C0720C"/>
    <w:rsid w:val="00C0738D"/>
    <w:rsid w:val="00C075EA"/>
    <w:rsid w:val="00C0780C"/>
    <w:rsid w:val="00C07827"/>
    <w:rsid w:val="00C078BC"/>
    <w:rsid w:val="00C0794C"/>
    <w:rsid w:val="00C07A20"/>
    <w:rsid w:val="00C07B63"/>
    <w:rsid w:val="00C07E70"/>
    <w:rsid w:val="00C07EC6"/>
    <w:rsid w:val="00C07ED7"/>
    <w:rsid w:val="00C100FE"/>
    <w:rsid w:val="00C10522"/>
    <w:rsid w:val="00C1065F"/>
    <w:rsid w:val="00C107BC"/>
    <w:rsid w:val="00C108C5"/>
    <w:rsid w:val="00C10A89"/>
    <w:rsid w:val="00C10B6D"/>
    <w:rsid w:val="00C10D8E"/>
    <w:rsid w:val="00C11037"/>
    <w:rsid w:val="00C113F0"/>
    <w:rsid w:val="00C11C12"/>
    <w:rsid w:val="00C11C75"/>
    <w:rsid w:val="00C11C89"/>
    <w:rsid w:val="00C11D08"/>
    <w:rsid w:val="00C11FA1"/>
    <w:rsid w:val="00C12197"/>
    <w:rsid w:val="00C12293"/>
    <w:rsid w:val="00C123A9"/>
    <w:rsid w:val="00C1271B"/>
    <w:rsid w:val="00C12757"/>
    <w:rsid w:val="00C1283B"/>
    <w:rsid w:val="00C12C10"/>
    <w:rsid w:val="00C12EE6"/>
    <w:rsid w:val="00C130C0"/>
    <w:rsid w:val="00C131B1"/>
    <w:rsid w:val="00C13217"/>
    <w:rsid w:val="00C13399"/>
    <w:rsid w:val="00C133FF"/>
    <w:rsid w:val="00C135B0"/>
    <w:rsid w:val="00C135C6"/>
    <w:rsid w:val="00C13786"/>
    <w:rsid w:val="00C138D3"/>
    <w:rsid w:val="00C139C1"/>
    <w:rsid w:val="00C13AC2"/>
    <w:rsid w:val="00C13B63"/>
    <w:rsid w:val="00C13B86"/>
    <w:rsid w:val="00C13BE2"/>
    <w:rsid w:val="00C13C06"/>
    <w:rsid w:val="00C13DC6"/>
    <w:rsid w:val="00C13E44"/>
    <w:rsid w:val="00C141B0"/>
    <w:rsid w:val="00C14282"/>
    <w:rsid w:val="00C14461"/>
    <w:rsid w:val="00C14463"/>
    <w:rsid w:val="00C146F5"/>
    <w:rsid w:val="00C1485A"/>
    <w:rsid w:val="00C14892"/>
    <w:rsid w:val="00C14A9F"/>
    <w:rsid w:val="00C14B4C"/>
    <w:rsid w:val="00C14B7B"/>
    <w:rsid w:val="00C14BE0"/>
    <w:rsid w:val="00C14D3F"/>
    <w:rsid w:val="00C14F1F"/>
    <w:rsid w:val="00C14FF5"/>
    <w:rsid w:val="00C150A0"/>
    <w:rsid w:val="00C15267"/>
    <w:rsid w:val="00C1532A"/>
    <w:rsid w:val="00C156F9"/>
    <w:rsid w:val="00C15776"/>
    <w:rsid w:val="00C158DA"/>
    <w:rsid w:val="00C15A16"/>
    <w:rsid w:val="00C15DCD"/>
    <w:rsid w:val="00C161D9"/>
    <w:rsid w:val="00C16420"/>
    <w:rsid w:val="00C164AD"/>
    <w:rsid w:val="00C164FB"/>
    <w:rsid w:val="00C16510"/>
    <w:rsid w:val="00C16778"/>
    <w:rsid w:val="00C167BE"/>
    <w:rsid w:val="00C1697C"/>
    <w:rsid w:val="00C16A4B"/>
    <w:rsid w:val="00C16AF0"/>
    <w:rsid w:val="00C16B37"/>
    <w:rsid w:val="00C16DA6"/>
    <w:rsid w:val="00C16DD1"/>
    <w:rsid w:val="00C170EC"/>
    <w:rsid w:val="00C17134"/>
    <w:rsid w:val="00C172F3"/>
    <w:rsid w:val="00C17464"/>
    <w:rsid w:val="00C1788E"/>
    <w:rsid w:val="00C17B1F"/>
    <w:rsid w:val="00C17B62"/>
    <w:rsid w:val="00C17C0D"/>
    <w:rsid w:val="00C17D7F"/>
    <w:rsid w:val="00C17DC2"/>
    <w:rsid w:val="00C20068"/>
    <w:rsid w:val="00C2016A"/>
    <w:rsid w:val="00C2017C"/>
    <w:rsid w:val="00C20189"/>
    <w:rsid w:val="00C20220"/>
    <w:rsid w:val="00C20EB7"/>
    <w:rsid w:val="00C20F16"/>
    <w:rsid w:val="00C2111D"/>
    <w:rsid w:val="00C213DD"/>
    <w:rsid w:val="00C2146C"/>
    <w:rsid w:val="00C21606"/>
    <w:rsid w:val="00C219D7"/>
    <w:rsid w:val="00C21B2D"/>
    <w:rsid w:val="00C21CD6"/>
    <w:rsid w:val="00C21E4B"/>
    <w:rsid w:val="00C21EC5"/>
    <w:rsid w:val="00C22279"/>
    <w:rsid w:val="00C22295"/>
    <w:rsid w:val="00C222CD"/>
    <w:rsid w:val="00C222E4"/>
    <w:rsid w:val="00C2242B"/>
    <w:rsid w:val="00C2247E"/>
    <w:rsid w:val="00C22812"/>
    <w:rsid w:val="00C22A52"/>
    <w:rsid w:val="00C22A6A"/>
    <w:rsid w:val="00C22E74"/>
    <w:rsid w:val="00C22F81"/>
    <w:rsid w:val="00C22F85"/>
    <w:rsid w:val="00C22F8B"/>
    <w:rsid w:val="00C23021"/>
    <w:rsid w:val="00C234A9"/>
    <w:rsid w:val="00C23539"/>
    <w:rsid w:val="00C23546"/>
    <w:rsid w:val="00C235FE"/>
    <w:rsid w:val="00C23674"/>
    <w:rsid w:val="00C2380B"/>
    <w:rsid w:val="00C23990"/>
    <w:rsid w:val="00C23A03"/>
    <w:rsid w:val="00C23A77"/>
    <w:rsid w:val="00C23AA5"/>
    <w:rsid w:val="00C23C87"/>
    <w:rsid w:val="00C23C88"/>
    <w:rsid w:val="00C2441D"/>
    <w:rsid w:val="00C246FC"/>
    <w:rsid w:val="00C24852"/>
    <w:rsid w:val="00C24C49"/>
    <w:rsid w:val="00C24D2B"/>
    <w:rsid w:val="00C24DFF"/>
    <w:rsid w:val="00C24FE8"/>
    <w:rsid w:val="00C25086"/>
    <w:rsid w:val="00C25206"/>
    <w:rsid w:val="00C252DC"/>
    <w:rsid w:val="00C25389"/>
    <w:rsid w:val="00C25625"/>
    <w:rsid w:val="00C2562A"/>
    <w:rsid w:val="00C256AA"/>
    <w:rsid w:val="00C25803"/>
    <w:rsid w:val="00C25805"/>
    <w:rsid w:val="00C258F1"/>
    <w:rsid w:val="00C25B97"/>
    <w:rsid w:val="00C25D0C"/>
    <w:rsid w:val="00C25D3F"/>
    <w:rsid w:val="00C25E23"/>
    <w:rsid w:val="00C25E47"/>
    <w:rsid w:val="00C25EC1"/>
    <w:rsid w:val="00C261B3"/>
    <w:rsid w:val="00C261C5"/>
    <w:rsid w:val="00C2622B"/>
    <w:rsid w:val="00C2671E"/>
    <w:rsid w:val="00C267F0"/>
    <w:rsid w:val="00C26815"/>
    <w:rsid w:val="00C26860"/>
    <w:rsid w:val="00C2699E"/>
    <w:rsid w:val="00C26A3E"/>
    <w:rsid w:val="00C27106"/>
    <w:rsid w:val="00C27130"/>
    <w:rsid w:val="00C271E4"/>
    <w:rsid w:val="00C272DC"/>
    <w:rsid w:val="00C275E9"/>
    <w:rsid w:val="00C276D8"/>
    <w:rsid w:val="00C27712"/>
    <w:rsid w:val="00C27713"/>
    <w:rsid w:val="00C277E0"/>
    <w:rsid w:val="00C27820"/>
    <w:rsid w:val="00C2782D"/>
    <w:rsid w:val="00C2792F"/>
    <w:rsid w:val="00C27989"/>
    <w:rsid w:val="00C279E0"/>
    <w:rsid w:val="00C279F6"/>
    <w:rsid w:val="00C27DE6"/>
    <w:rsid w:val="00C27F4A"/>
    <w:rsid w:val="00C27F4B"/>
    <w:rsid w:val="00C27FCB"/>
    <w:rsid w:val="00C3020B"/>
    <w:rsid w:val="00C30802"/>
    <w:rsid w:val="00C308E6"/>
    <w:rsid w:val="00C30B30"/>
    <w:rsid w:val="00C30C06"/>
    <w:rsid w:val="00C310B0"/>
    <w:rsid w:val="00C310EE"/>
    <w:rsid w:val="00C3117F"/>
    <w:rsid w:val="00C3169B"/>
    <w:rsid w:val="00C3178F"/>
    <w:rsid w:val="00C318CA"/>
    <w:rsid w:val="00C31C80"/>
    <w:rsid w:val="00C31FBA"/>
    <w:rsid w:val="00C3206D"/>
    <w:rsid w:val="00C320C7"/>
    <w:rsid w:val="00C3219C"/>
    <w:rsid w:val="00C3229C"/>
    <w:rsid w:val="00C32370"/>
    <w:rsid w:val="00C32542"/>
    <w:rsid w:val="00C3270D"/>
    <w:rsid w:val="00C3284F"/>
    <w:rsid w:val="00C328BA"/>
    <w:rsid w:val="00C328CC"/>
    <w:rsid w:val="00C32A7E"/>
    <w:rsid w:val="00C32AF6"/>
    <w:rsid w:val="00C32BF2"/>
    <w:rsid w:val="00C32EE7"/>
    <w:rsid w:val="00C33227"/>
    <w:rsid w:val="00C3324C"/>
    <w:rsid w:val="00C33908"/>
    <w:rsid w:val="00C33DE2"/>
    <w:rsid w:val="00C33FF0"/>
    <w:rsid w:val="00C341DA"/>
    <w:rsid w:val="00C3429B"/>
    <w:rsid w:val="00C343C0"/>
    <w:rsid w:val="00C34425"/>
    <w:rsid w:val="00C34485"/>
    <w:rsid w:val="00C344E3"/>
    <w:rsid w:val="00C34647"/>
    <w:rsid w:val="00C34843"/>
    <w:rsid w:val="00C34A9C"/>
    <w:rsid w:val="00C34C43"/>
    <w:rsid w:val="00C34DF5"/>
    <w:rsid w:val="00C34EBC"/>
    <w:rsid w:val="00C34F8B"/>
    <w:rsid w:val="00C34FB1"/>
    <w:rsid w:val="00C34FD5"/>
    <w:rsid w:val="00C35065"/>
    <w:rsid w:val="00C3525A"/>
    <w:rsid w:val="00C3525C"/>
    <w:rsid w:val="00C354BC"/>
    <w:rsid w:val="00C35874"/>
    <w:rsid w:val="00C359B7"/>
    <w:rsid w:val="00C35A28"/>
    <w:rsid w:val="00C35A68"/>
    <w:rsid w:val="00C35A8C"/>
    <w:rsid w:val="00C35BA2"/>
    <w:rsid w:val="00C35C4D"/>
    <w:rsid w:val="00C35CCF"/>
    <w:rsid w:val="00C35D81"/>
    <w:rsid w:val="00C35E8C"/>
    <w:rsid w:val="00C360CF"/>
    <w:rsid w:val="00C360E6"/>
    <w:rsid w:val="00C36153"/>
    <w:rsid w:val="00C36683"/>
    <w:rsid w:val="00C36EF9"/>
    <w:rsid w:val="00C37188"/>
    <w:rsid w:val="00C37212"/>
    <w:rsid w:val="00C37424"/>
    <w:rsid w:val="00C374FC"/>
    <w:rsid w:val="00C3759D"/>
    <w:rsid w:val="00C37612"/>
    <w:rsid w:val="00C3774A"/>
    <w:rsid w:val="00C377A5"/>
    <w:rsid w:val="00C379CB"/>
    <w:rsid w:val="00C37A98"/>
    <w:rsid w:val="00C37CB3"/>
    <w:rsid w:val="00C37CD6"/>
    <w:rsid w:val="00C37F7B"/>
    <w:rsid w:val="00C4064F"/>
    <w:rsid w:val="00C40909"/>
    <w:rsid w:val="00C4092B"/>
    <w:rsid w:val="00C40A25"/>
    <w:rsid w:val="00C40CAA"/>
    <w:rsid w:val="00C40DEA"/>
    <w:rsid w:val="00C41229"/>
    <w:rsid w:val="00C414BF"/>
    <w:rsid w:val="00C415DD"/>
    <w:rsid w:val="00C41623"/>
    <w:rsid w:val="00C4178C"/>
    <w:rsid w:val="00C41BEB"/>
    <w:rsid w:val="00C41D13"/>
    <w:rsid w:val="00C41FB6"/>
    <w:rsid w:val="00C420C9"/>
    <w:rsid w:val="00C421D6"/>
    <w:rsid w:val="00C42311"/>
    <w:rsid w:val="00C425D1"/>
    <w:rsid w:val="00C42AB9"/>
    <w:rsid w:val="00C42C8A"/>
    <w:rsid w:val="00C42E20"/>
    <w:rsid w:val="00C4312B"/>
    <w:rsid w:val="00C43192"/>
    <w:rsid w:val="00C43317"/>
    <w:rsid w:val="00C43368"/>
    <w:rsid w:val="00C434F4"/>
    <w:rsid w:val="00C4370D"/>
    <w:rsid w:val="00C439BB"/>
    <w:rsid w:val="00C43A6A"/>
    <w:rsid w:val="00C43A7E"/>
    <w:rsid w:val="00C43CC1"/>
    <w:rsid w:val="00C43D73"/>
    <w:rsid w:val="00C43DFA"/>
    <w:rsid w:val="00C44054"/>
    <w:rsid w:val="00C4427D"/>
    <w:rsid w:val="00C44292"/>
    <w:rsid w:val="00C44347"/>
    <w:rsid w:val="00C44719"/>
    <w:rsid w:val="00C4476D"/>
    <w:rsid w:val="00C44876"/>
    <w:rsid w:val="00C44AFF"/>
    <w:rsid w:val="00C44B4E"/>
    <w:rsid w:val="00C44BE9"/>
    <w:rsid w:val="00C44E4C"/>
    <w:rsid w:val="00C45148"/>
    <w:rsid w:val="00C452AE"/>
    <w:rsid w:val="00C452AF"/>
    <w:rsid w:val="00C45436"/>
    <w:rsid w:val="00C45444"/>
    <w:rsid w:val="00C45498"/>
    <w:rsid w:val="00C454AB"/>
    <w:rsid w:val="00C4573F"/>
    <w:rsid w:val="00C457B5"/>
    <w:rsid w:val="00C4584A"/>
    <w:rsid w:val="00C45A3D"/>
    <w:rsid w:val="00C45A93"/>
    <w:rsid w:val="00C45F17"/>
    <w:rsid w:val="00C45F99"/>
    <w:rsid w:val="00C460B6"/>
    <w:rsid w:val="00C46240"/>
    <w:rsid w:val="00C46248"/>
    <w:rsid w:val="00C46289"/>
    <w:rsid w:val="00C46469"/>
    <w:rsid w:val="00C46586"/>
    <w:rsid w:val="00C46654"/>
    <w:rsid w:val="00C46695"/>
    <w:rsid w:val="00C4678B"/>
    <w:rsid w:val="00C4697F"/>
    <w:rsid w:val="00C469DE"/>
    <w:rsid w:val="00C469FF"/>
    <w:rsid w:val="00C46ABA"/>
    <w:rsid w:val="00C46D96"/>
    <w:rsid w:val="00C471D5"/>
    <w:rsid w:val="00C4750E"/>
    <w:rsid w:val="00C47539"/>
    <w:rsid w:val="00C47550"/>
    <w:rsid w:val="00C47797"/>
    <w:rsid w:val="00C47799"/>
    <w:rsid w:val="00C47807"/>
    <w:rsid w:val="00C4781E"/>
    <w:rsid w:val="00C4785B"/>
    <w:rsid w:val="00C4792A"/>
    <w:rsid w:val="00C47BA9"/>
    <w:rsid w:val="00C47F40"/>
    <w:rsid w:val="00C503D2"/>
    <w:rsid w:val="00C50447"/>
    <w:rsid w:val="00C50453"/>
    <w:rsid w:val="00C504C6"/>
    <w:rsid w:val="00C5079F"/>
    <w:rsid w:val="00C50A26"/>
    <w:rsid w:val="00C50B44"/>
    <w:rsid w:val="00C50D5A"/>
    <w:rsid w:val="00C50E7D"/>
    <w:rsid w:val="00C50F87"/>
    <w:rsid w:val="00C5112E"/>
    <w:rsid w:val="00C51136"/>
    <w:rsid w:val="00C5113B"/>
    <w:rsid w:val="00C511BF"/>
    <w:rsid w:val="00C51313"/>
    <w:rsid w:val="00C5150C"/>
    <w:rsid w:val="00C51533"/>
    <w:rsid w:val="00C5180B"/>
    <w:rsid w:val="00C518BA"/>
    <w:rsid w:val="00C519C6"/>
    <w:rsid w:val="00C519E2"/>
    <w:rsid w:val="00C51A87"/>
    <w:rsid w:val="00C51B81"/>
    <w:rsid w:val="00C51CCC"/>
    <w:rsid w:val="00C51E5C"/>
    <w:rsid w:val="00C51E9F"/>
    <w:rsid w:val="00C51EE1"/>
    <w:rsid w:val="00C51F5E"/>
    <w:rsid w:val="00C51FA8"/>
    <w:rsid w:val="00C51FA9"/>
    <w:rsid w:val="00C52087"/>
    <w:rsid w:val="00C525DD"/>
    <w:rsid w:val="00C52738"/>
    <w:rsid w:val="00C528BF"/>
    <w:rsid w:val="00C52943"/>
    <w:rsid w:val="00C52B23"/>
    <w:rsid w:val="00C52C7C"/>
    <w:rsid w:val="00C52C8B"/>
    <w:rsid w:val="00C52DB0"/>
    <w:rsid w:val="00C52DD9"/>
    <w:rsid w:val="00C52E4E"/>
    <w:rsid w:val="00C53016"/>
    <w:rsid w:val="00C533BC"/>
    <w:rsid w:val="00C534EB"/>
    <w:rsid w:val="00C53544"/>
    <w:rsid w:val="00C5368E"/>
    <w:rsid w:val="00C5382C"/>
    <w:rsid w:val="00C53AC0"/>
    <w:rsid w:val="00C53D7C"/>
    <w:rsid w:val="00C53DCE"/>
    <w:rsid w:val="00C540E5"/>
    <w:rsid w:val="00C5411D"/>
    <w:rsid w:val="00C54135"/>
    <w:rsid w:val="00C54342"/>
    <w:rsid w:val="00C54742"/>
    <w:rsid w:val="00C54B36"/>
    <w:rsid w:val="00C54C62"/>
    <w:rsid w:val="00C54DC6"/>
    <w:rsid w:val="00C550F8"/>
    <w:rsid w:val="00C5557A"/>
    <w:rsid w:val="00C558D7"/>
    <w:rsid w:val="00C55AFA"/>
    <w:rsid w:val="00C55B1A"/>
    <w:rsid w:val="00C55B9B"/>
    <w:rsid w:val="00C55BB5"/>
    <w:rsid w:val="00C55C8A"/>
    <w:rsid w:val="00C55E6B"/>
    <w:rsid w:val="00C560B1"/>
    <w:rsid w:val="00C56130"/>
    <w:rsid w:val="00C561BA"/>
    <w:rsid w:val="00C561F3"/>
    <w:rsid w:val="00C5621A"/>
    <w:rsid w:val="00C5628F"/>
    <w:rsid w:val="00C5642F"/>
    <w:rsid w:val="00C565CA"/>
    <w:rsid w:val="00C565D1"/>
    <w:rsid w:val="00C565F1"/>
    <w:rsid w:val="00C567E2"/>
    <w:rsid w:val="00C56A90"/>
    <w:rsid w:val="00C56C16"/>
    <w:rsid w:val="00C56C94"/>
    <w:rsid w:val="00C56DD1"/>
    <w:rsid w:val="00C56E0A"/>
    <w:rsid w:val="00C56E31"/>
    <w:rsid w:val="00C56EF0"/>
    <w:rsid w:val="00C56F44"/>
    <w:rsid w:val="00C56FE1"/>
    <w:rsid w:val="00C57238"/>
    <w:rsid w:val="00C572FA"/>
    <w:rsid w:val="00C57305"/>
    <w:rsid w:val="00C573CB"/>
    <w:rsid w:val="00C5745F"/>
    <w:rsid w:val="00C576A0"/>
    <w:rsid w:val="00C5779F"/>
    <w:rsid w:val="00C578CF"/>
    <w:rsid w:val="00C578E6"/>
    <w:rsid w:val="00C57AAE"/>
    <w:rsid w:val="00C57AC4"/>
    <w:rsid w:val="00C57B7E"/>
    <w:rsid w:val="00C57CB8"/>
    <w:rsid w:val="00C57D71"/>
    <w:rsid w:val="00C60138"/>
    <w:rsid w:val="00C604E9"/>
    <w:rsid w:val="00C60B5B"/>
    <w:rsid w:val="00C60DEA"/>
    <w:rsid w:val="00C61023"/>
    <w:rsid w:val="00C6123B"/>
    <w:rsid w:val="00C61634"/>
    <w:rsid w:val="00C61A31"/>
    <w:rsid w:val="00C61AC6"/>
    <w:rsid w:val="00C61C92"/>
    <w:rsid w:val="00C61DC5"/>
    <w:rsid w:val="00C61FF1"/>
    <w:rsid w:val="00C62146"/>
    <w:rsid w:val="00C6227F"/>
    <w:rsid w:val="00C62377"/>
    <w:rsid w:val="00C6283A"/>
    <w:rsid w:val="00C628F9"/>
    <w:rsid w:val="00C62998"/>
    <w:rsid w:val="00C62AC6"/>
    <w:rsid w:val="00C62AEB"/>
    <w:rsid w:val="00C62D6C"/>
    <w:rsid w:val="00C62F1C"/>
    <w:rsid w:val="00C62FA9"/>
    <w:rsid w:val="00C630DF"/>
    <w:rsid w:val="00C6324C"/>
    <w:rsid w:val="00C632CE"/>
    <w:rsid w:val="00C63344"/>
    <w:rsid w:val="00C633CB"/>
    <w:rsid w:val="00C636D6"/>
    <w:rsid w:val="00C63925"/>
    <w:rsid w:val="00C63A0B"/>
    <w:rsid w:val="00C63A6D"/>
    <w:rsid w:val="00C63A7F"/>
    <w:rsid w:val="00C63A8F"/>
    <w:rsid w:val="00C63B7B"/>
    <w:rsid w:val="00C6403E"/>
    <w:rsid w:val="00C641F4"/>
    <w:rsid w:val="00C64327"/>
    <w:rsid w:val="00C6443D"/>
    <w:rsid w:val="00C644FC"/>
    <w:rsid w:val="00C6455C"/>
    <w:rsid w:val="00C6465A"/>
    <w:rsid w:val="00C64808"/>
    <w:rsid w:val="00C64CCD"/>
    <w:rsid w:val="00C65069"/>
    <w:rsid w:val="00C650F6"/>
    <w:rsid w:val="00C6575E"/>
    <w:rsid w:val="00C657C3"/>
    <w:rsid w:val="00C65B2E"/>
    <w:rsid w:val="00C65F5D"/>
    <w:rsid w:val="00C65F94"/>
    <w:rsid w:val="00C66078"/>
    <w:rsid w:val="00C6607C"/>
    <w:rsid w:val="00C661DB"/>
    <w:rsid w:val="00C6628E"/>
    <w:rsid w:val="00C66421"/>
    <w:rsid w:val="00C665F0"/>
    <w:rsid w:val="00C66727"/>
    <w:rsid w:val="00C66A9E"/>
    <w:rsid w:val="00C66C89"/>
    <w:rsid w:val="00C66CB9"/>
    <w:rsid w:val="00C66E26"/>
    <w:rsid w:val="00C67362"/>
    <w:rsid w:val="00C673EA"/>
    <w:rsid w:val="00C67652"/>
    <w:rsid w:val="00C6771D"/>
    <w:rsid w:val="00C67786"/>
    <w:rsid w:val="00C67810"/>
    <w:rsid w:val="00C67A76"/>
    <w:rsid w:val="00C67D2D"/>
    <w:rsid w:val="00C67DF5"/>
    <w:rsid w:val="00C67E3C"/>
    <w:rsid w:val="00C67FD3"/>
    <w:rsid w:val="00C702C7"/>
    <w:rsid w:val="00C705B3"/>
    <w:rsid w:val="00C7063C"/>
    <w:rsid w:val="00C70771"/>
    <w:rsid w:val="00C70811"/>
    <w:rsid w:val="00C70876"/>
    <w:rsid w:val="00C708F3"/>
    <w:rsid w:val="00C70C0B"/>
    <w:rsid w:val="00C70D7C"/>
    <w:rsid w:val="00C70DAA"/>
    <w:rsid w:val="00C70FC1"/>
    <w:rsid w:val="00C71349"/>
    <w:rsid w:val="00C7143F"/>
    <w:rsid w:val="00C715BE"/>
    <w:rsid w:val="00C71716"/>
    <w:rsid w:val="00C71878"/>
    <w:rsid w:val="00C72119"/>
    <w:rsid w:val="00C72270"/>
    <w:rsid w:val="00C72389"/>
    <w:rsid w:val="00C7252B"/>
    <w:rsid w:val="00C72B4E"/>
    <w:rsid w:val="00C72B7A"/>
    <w:rsid w:val="00C72DE5"/>
    <w:rsid w:val="00C730E8"/>
    <w:rsid w:val="00C7320C"/>
    <w:rsid w:val="00C73489"/>
    <w:rsid w:val="00C73494"/>
    <w:rsid w:val="00C734EB"/>
    <w:rsid w:val="00C736B8"/>
    <w:rsid w:val="00C7374C"/>
    <w:rsid w:val="00C738F7"/>
    <w:rsid w:val="00C73BA6"/>
    <w:rsid w:val="00C73E03"/>
    <w:rsid w:val="00C73EE9"/>
    <w:rsid w:val="00C74070"/>
    <w:rsid w:val="00C74171"/>
    <w:rsid w:val="00C741AD"/>
    <w:rsid w:val="00C741E2"/>
    <w:rsid w:val="00C7429C"/>
    <w:rsid w:val="00C742C1"/>
    <w:rsid w:val="00C74588"/>
    <w:rsid w:val="00C74A04"/>
    <w:rsid w:val="00C74A5A"/>
    <w:rsid w:val="00C74AD4"/>
    <w:rsid w:val="00C74E46"/>
    <w:rsid w:val="00C74FE2"/>
    <w:rsid w:val="00C74FE7"/>
    <w:rsid w:val="00C7527A"/>
    <w:rsid w:val="00C7554F"/>
    <w:rsid w:val="00C75701"/>
    <w:rsid w:val="00C75708"/>
    <w:rsid w:val="00C757D0"/>
    <w:rsid w:val="00C759B2"/>
    <w:rsid w:val="00C759CD"/>
    <w:rsid w:val="00C75A24"/>
    <w:rsid w:val="00C75E44"/>
    <w:rsid w:val="00C76017"/>
    <w:rsid w:val="00C76111"/>
    <w:rsid w:val="00C7616B"/>
    <w:rsid w:val="00C761C9"/>
    <w:rsid w:val="00C761CD"/>
    <w:rsid w:val="00C761D7"/>
    <w:rsid w:val="00C761E0"/>
    <w:rsid w:val="00C762EB"/>
    <w:rsid w:val="00C7655B"/>
    <w:rsid w:val="00C76565"/>
    <w:rsid w:val="00C76873"/>
    <w:rsid w:val="00C76920"/>
    <w:rsid w:val="00C76B51"/>
    <w:rsid w:val="00C76F89"/>
    <w:rsid w:val="00C76FE9"/>
    <w:rsid w:val="00C770D3"/>
    <w:rsid w:val="00C77147"/>
    <w:rsid w:val="00C771A3"/>
    <w:rsid w:val="00C7735B"/>
    <w:rsid w:val="00C774EB"/>
    <w:rsid w:val="00C7765F"/>
    <w:rsid w:val="00C77B30"/>
    <w:rsid w:val="00C77BA5"/>
    <w:rsid w:val="00C77DCC"/>
    <w:rsid w:val="00C77E49"/>
    <w:rsid w:val="00C77E4C"/>
    <w:rsid w:val="00C8007F"/>
    <w:rsid w:val="00C8008E"/>
    <w:rsid w:val="00C80100"/>
    <w:rsid w:val="00C803A1"/>
    <w:rsid w:val="00C80598"/>
    <w:rsid w:val="00C80928"/>
    <w:rsid w:val="00C80B1D"/>
    <w:rsid w:val="00C80E67"/>
    <w:rsid w:val="00C80EC1"/>
    <w:rsid w:val="00C8118C"/>
    <w:rsid w:val="00C815BA"/>
    <w:rsid w:val="00C815BE"/>
    <w:rsid w:val="00C816C3"/>
    <w:rsid w:val="00C8185C"/>
    <w:rsid w:val="00C81A1D"/>
    <w:rsid w:val="00C81ABF"/>
    <w:rsid w:val="00C81DF2"/>
    <w:rsid w:val="00C81E25"/>
    <w:rsid w:val="00C81F0B"/>
    <w:rsid w:val="00C820CA"/>
    <w:rsid w:val="00C8212D"/>
    <w:rsid w:val="00C8228E"/>
    <w:rsid w:val="00C823EC"/>
    <w:rsid w:val="00C82535"/>
    <w:rsid w:val="00C82833"/>
    <w:rsid w:val="00C828AC"/>
    <w:rsid w:val="00C8291F"/>
    <w:rsid w:val="00C82ED4"/>
    <w:rsid w:val="00C82F99"/>
    <w:rsid w:val="00C83097"/>
    <w:rsid w:val="00C83260"/>
    <w:rsid w:val="00C834D5"/>
    <w:rsid w:val="00C83666"/>
    <w:rsid w:val="00C83682"/>
    <w:rsid w:val="00C8383C"/>
    <w:rsid w:val="00C8393B"/>
    <w:rsid w:val="00C83A0E"/>
    <w:rsid w:val="00C83AF8"/>
    <w:rsid w:val="00C83DD0"/>
    <w:rsid w:val="00C83E22"/>
    <w:rsid w:val="00C8404C"/>
    <w:rsid w:val="00C84133"/>
    <w:rsid w:val="00C84197"/>
    <w:rsid w:val="00C842DD"/>
    <w:rsid w:val="00C8432F"/>
    <w:rsid w:val="00C84430"/>
    <w:rsid w:val="00C844AF"/>
    <w:rsid w:val="00C844CB"/>
    <w:rsid w:val="00C8458D"/>
    <w:rsid w:val="00C845D0"/>
    <w:rsid w:val="00C84638"/>
    <w:rsid w:val="00C848DE"/>
    <w:rsid w:val="00C849E1"/>
    <w:rsid w:val="00C84A73"/>
    <w:rsid w:val="00C84B5E"/>
    <w:rsid w:val="00C84CF2"/>
    <w:rsid w:val="00C84DFB"/>
    <w:rsid w:val="00C852E1"/>
    <w:rsid w:val="00C8540C"/>
    <w:rsid w:val="00C85615"/>
    <w:rsid w:val="00C85A50"/>
    <w:rsid w:val="00C85A51"/>
    <w:rsid w:val="00C85BDA"/>
    <w:rsid w:val="00C85E2F"/>
    <w:rsid w:val="00C85E56"/>
    <w:rsid w:val="00C85E83"/>
    <w:rsid w:val="00C86133"/>
    <w:rsid w:val="00C861B5"/>
    <w:rsid w:val="00C861CD"/>
    <w:rsid w:val="00C86274"/>
    <w:rsid w:val="00C862B1"/>
    <w:rsid w:val="00C862DC"/>
    <w:rsid w:val="00C862F6"/>
    <w:rsid w:val="00C863E2"/>
    <w:rsid w:val="00C864FB"/>
    <w:rsid w:val="00C86828"/>
    <w:rsid w:val="00C86D8C"/>
    <w:rsid w:val="00C86F49"/>
    <w:rsid w:val="00C87018"/>
    <w:rsid w:val="00C8703B"/>
    <w:rsid w:val="00C8732D"/>
    <w:rsid w:val="00C87351"/>
    <w:rsid w:val="00C8747C"/>
    <w:rsid w:val="00C87486"/>
    <w:rsid w:val="00C87636"/>
    <w:rsid w:val="00C8786C"/>
    <w:rsid w:val="00C87AC7"/>
    <w:rsid w:val="00C87BB0"/>
    <w:rsid w:val="00C87BCC"/>
    <w:rsid w:val="00C87C01"/>
    <w:rsid w:val="00C87DD9"/>
    <w:rsid w:val="00C87EC2"/>
    <w:rsid w:val="00C90216"/>
    <w:rsid w:val="00C902D0"/>
    <w:rsid w:val="00C90347"/>
    <w:rsid w:val="00C9045B"/>
    <w:rsid w:val="00C904FF"/>
    <w:rsid w:val="00C906BD"/>
    <w:rsid w:val="00C906C7"/>
    <w:rsid w:val="00C90935"/>
    <w:rsid w:val="00C9101B"/>
    <w:rsid w:val="00C910D2"/>
    <w:rsid w:val="00C911E1"/>
    <w:rsid w:val="00C9163D"/>
    <w:rsid w:val="00C91B47"/>
    <w:rsid w:val="00C91D18"/>
    <w:rsid w:val="00C91DE2"/>
    <w:rsid w:val="00C91DF6"/>
    <w:rsid w:val="00C91E0B"/>
    <w:rsid w:val="00C91F17"/>
    <w:rsid w:val="00C9226C"/>
    <w:rsid w:val="00C92428"/>
    <w:rsid w:val="00C924A0"/>
    <w:rsid w:val="00C926BF"/>
    <w:rsid w:val="00C92778"/>
    <w:rsid w:val="00C92954"/>
    <w:rsid w:val="00C92958"/>
    <w:rsid w:val="00C92A32"/>
    <w:rsid w:val="00C92C17"/>
    <w:rsid w:val="00C92C4F"/>
    <w:rsid w:val="00C92CF3"/>
    <w:rsid w:val="00C92D03"/>
    <w:rsid w:val="00C92F32"/>
    <w:rsid w:val="00C92F47"/>
    <w:rsid w:val="00C92F65"/>
    <w:rsid w:val="00C93258"/>
    <w:rsid w:val="00C93392"/>
    <w:rsid w:val="00C935B5"/>
    <w:rsid w:val="00C93A1B"/>
    <w:rsid w:val="00C93AC4"/>
    <w:rsid w:val="00C93FC9"/>
    <w:rsid w:val="00C93FE2"/>
    <w:rsid w:val="00C941CF"/>
    <w:rsid w:val="00C941EF"/>
    <w:rsid w:val="00C941FA"/>
    <w:rsid w:val="00C94368"/>
    <w:rsid w:val="00C94593"/>
    <w:rsid w:val="00C9460A"/>
    <w:rsid w:val="00C946C9"/>
    <w:rsid w:val="00C946DF"/>
    <w:rsid w:val="00C9483A"/>
    <w:rsid w:val="00C94967"/>
    <w:rsid w:val="00C949AC"/>
    <w:rsid w:val="00C94AA3"/>
    <w:rsid w:val="00C94B10"/>
    <w:rsid w:val="00C94BAF"/>
    <w:rsid w:val="00C94BEB"/>
    <w:rsid w:val="00C94E8C"/>
    <w:rsid w:val="00C94F0F"/>
    <w:rsid w:val="00C94F9B"/>
    <w:rsid w:val="00C95407"/>
    <w:rsid w:val="00C954D0"/>
    <w:rsid w:val="00C9593C"/>
    <w:rsid w:val="00C95965"/>
    <w:rsid w:val="00C95A24"/>
    <w:rsid w:val="00C95DE1"/>
    <w:rsid w:val="00C96381"/>
    <w:rsid w:val="00C96526"/>
    <w:rsid w:val="00C96647"/>
    <w:rsid w:val="00C96736"/>
    <w:rsid w:val="00C969B4"/>
    <w:rsid w:val="00C969BA"/>
    <w:rsid w:val="00C96D02"/>
    <w:rsid w:val="00C97158"/>
    <w:rsid w:val="00C9726F"/>
    <w:rsid w:val="00C97361"/>
    <w:rsid w:val="00C97604"/>
    <w:rsid w:val="00C97620"/>
    <w:rsid w:val="00C977EE"/>
    <w:rsid w:val="00C97885"/>
    <w:rsid w:val="00C97B0A"/>
    <w:rsid w:val="00C97CE0"/>
    <w:rsid w:val="00C97D1C"/>
    <w:rsid w:val="00C97D2A"/>
    <w:rsid w:val="00C97DDF"/>
    <w:rsid w:val="00C97EA0"/>
    <w:rsid w:val="00C97EC6"/>
    <w:rsid w:val="00CA0009"/>
    <w:rsid w:val="00CA00BE"/>
    <w:rsid w:val="00CA0341"/>
    <w:rsid w:val="00CA0584"/>
    <w:rsid w:val="00CA0635"/>
    <w:rsid w:val="00CA0756"/>
    <w:rsid w:val="00CA08DA"/>
    <w:rsid w:val="00CA09C9"/>
    <w:rsid w:val="00CA0B44"/>
    <w:rsid w:val="00CA0B64"/>
    <w:rsid w:val="00CA0C81"/>
    <w:rsid w:val="00CA0FEE"/>
    <w:rsid w:val="00CA1003"/>
    <w:rsid w:val="00CA12DF"/>
    <w:rsid w:val="00CA13A6"/>
    <w:rsid w:val="00CA144F"/>
    <w:rsid w:val="00CA1455"/>
    <w:rsid w:val="00CA155D"/>
    <w:rsid w:val="00CA15C4"/>
    <w:rsid w:val="00CA1611"/>
    <w:rsid w:val="00CA184D"/>
    <w:rsid w:val="00CA1BF9"/>
    <w:rsid w:val="00CA1DA3"/>
    <w:rsid w:val="00CA1EC7"/>
    <w:rsid w:val="00CA1EFF"/>
    <w:rsid w:val="00CA207D"/>
    <w:rsid w:val="00CA273D"/>
    <w:rsid w:val="00CA28C8"/>
    <w:rsid w:val="00CA29B6"/>
    <w:rsid w:val="00CA2E69"/>
    <w:rsid w:val="00CA31DC"/>
    <w:rsid w:val="00CA34C8"/>
    <w:rsid w:val="00CA37FE"/>
    <w:rsid w:val="00CA3961"/>
    <w:rsid w:val="00CA3AB3"/>
    <w:rsid w:val="00CA3D8B"/>
    <w:rsid w:val="00CA3DAB"/>
    <w:rsid w:val="00CA3DCC"/>
    <w:rsid w:val="00CA3EA2"/>
    <w:rsid w:val="00CA40A3"/>
    <w:rsid w:val="00CA41FC"/>
    <w:rsid w:val="00CA42CB"/>
    <w:rsid w:val="00CA43B4"/>
    <w:rsid w:val="00CA4651"/>
    <w:rsid w:val="00CA47E1"/>
    <w:rsid w:val="00CA4838"/>
    <w:rsid w:val="00CA49E1"/>
    <w:rsid w:val="00CA4B28"/>
    <w:rsid w:val="00CA4E63"/>
    <w:rsid w:val="00CA4F6F"/>
    <w:rsid w:val="00CA505D"/>
    <w:rsid w:val="00CA527F"/>
    <w:rsid w:val="00CA529B"/>
    <w:rsid w:val="00CA52ED"/>
    <w:rsid w:val="00CA5689"/>
    <w:rsid w:val="00CA5695"/>
    <w:rsid w:val="00CA57F3"/>
    <w:rsid w:val="00CA5B05"/>
    <w:rsid w:val="00CA5BFD"/>
    <w:rsid w:val="00CA5D77"/>
    <w:rsid w:val="00CA5ED8"/>
    <w:rsid w:val="00CA65E1"/>
    <w:rsid w:val="00CA6781"/>
    <w:rsid w:val="00CA67F0"/>
    <w:rsid w:val="00CA6C3B"/>
    <w:rsid w:val="00CA6D1C"/>
    <w:rsid w:val="00CA6DA6"/>
    <w:rsid w:val="00CA7132"/>
    <w:rsid w:val="00CA75AB"/>
    <w:rsid w:val="00CA7A79"/>
    <w:rsid w:val="00CA7A96"/>
    <w:rsid w:val="00CA7BCF"/>
    <w:rsid w:val="00CA7CD6"/>
    <w:rsid w:val="00CA7EB5"/>
    <w:rsid w:val="00CA7F8D"/>
    <w:rsid w:val="00CB0215"/>
    <w:rsid w:val="00CB046A"/>
    <w:rsid w:val="00CB06BD"/>
    <w:rsid w:val="00CB0A26"/>
    <w:rsid w:val="00CB0BAF"/>
    <w:rsid w:val="00CB0C10"/>
    <w:rsid w:val="00CB0C7F"/>
    <w:rsid w:val="00CB0DDE"/>
    <w:rsid w:val="00CB0E16"/>
    <w:rsid w:val="00CB0F50"/>
    <w:rsid w:val="00CB1136"/>
    <w:rsid w:val="00CB115F"/>
    <w:rsid w:val="00CB1460"/>
    <w:rsid w:val="00CB14CB"/>
    <w:rsid w:val="00CB1641"/>
    <w:rsid w:val="00CB1A58"/>
    <w:rsid w:val="00CB1D5B"/>
    <w:rsid w:val="00CB1DA9"/>
    <w:rsid w:val="00CB21D5"/>
    <w:rsid w:val="00CB2245"/>
    <w:rsid w:val="00CB22A7"/>
    <w:rsid w:val="00CB23B8"/>
    <w:rsid w:val="00CB2442"/>
    <w:rsid w:val="00CB2457"/>
    <w:rsid w:val="00CB265B"/>
    <w:rsid w:val="00CB267A"/>
    <w:rsid w:val="00CB267B"/>
    <w:rsid w:val="00CB274F"/>
    <w:rsid w:val="00CB27D8"/>
    <w:rsid w:val="00CB29C0"/>
    <w:rsid w:val="00CB2AF4"/>
    <w:rsid w:val="00CB2D5A"/>
    <w:rsid w:val="00CB2EAD"/>
    <w:rsid w:val="00CB30D2"/>
    <w:rsid w:val="00CB3248"/>
    <w:rsid w:val="00CB3427"/>
    <w:rsid w:val="00CB35DF"/>
    <w:rsid w:val="00CB36C1"/>
    <w:rsid w:val="00CB3763"/>
    <w:rsid w:val="00CB39A7"/>
    <w:rsid w:val="00CB39E6"/>
    <w:rsid w:val="00CB3A3C"/>
    <w:rsid w:val="00CB3D41"/>
    <w:rsid w:val="00CB3D4A"/>
    <w:rsid w:val="00CB3D4F"/>
    <w:rsid w:val="00CB3D6E"/>
    <w:rsid w:val="00CB3EEB"/>
    <w:rsid w:val="00CB40AA"/>
    <w:rsid w:val="00CB4190"/>
    <w:rsid w:val="00CB41E1"/>
    <w:rsid w:val="00CB442E"/>
    <w:rsid w:val="00CB4B94"/>
    <w:rsid w:val="00CB5000"/>
    <w:rsid w:val="00CB50AA"/>
    <w:rsid w:val="00CB51DD"/>
    <w:rsid w:val="00CB5638"/>
    <w:rsid w:val="00CB564A"/>
    <w:rsid w:val="00CB571E"/>
    <w:rsid w:val="00CB5BF4"/>
    <w:rsid w:val="00CB5F9B"/>
    <w:rsid w:val="00CB605E"/>
    <w:rsid w:val="00CB6196"/>
    <w:rsid w:val="00CB6517"/>
    <w:rsid w:val="00CB65F5"/>
    <w:rsid w:val="00CB67C4"/>
    <w:rsid w:val="00CB6954"/>
    <w:rsid w:val="00CB698E"/>
    <w:rsid w:val="00CB6B8C"/>
    <w:rsid w:val="00CB6BD8"/>
    <w:rsid w:val="00CB6CE4"/>
    <w:rsid w:val="00CB6D53"/>
    <w:rsid w:val="00CB70CD"/>
    <w:rsid w:val="00CB7170"/>
    <w:rsid w:val="00CB7310"/>
    <w:rsid w:val="00CB74BE"/>
    <w:rsid w:val="00CB76D7"/>
    <w:rsid w:val="00CB7813"/>
    <w:rsid w:val="00CB7832"/>
    <w:rsid w:val="00CB786C"/>
    <w:rsid w:val="00CB79E6"/>
    <w:rsid w:val="00CB7C45"/>
    <w:rsid w:val="00CB7FC2"/>
    <w:rsid w:val="00CC0032"/>
    <w:rsid w:val="00CC0168"/>
    <w:rsid w:val="00CC01A9"/>
    <w:rsid w:val="00CC0240"/>
    <w:rsid w:val="00CC024B"/>
    <w:rsid w:val="00CC0316"/>
    <w:rsid w:val="00CC0468"/>
    <w:rsid w:val="00CC04AE"/>
    <w:rsid w:val="00CC0508"/>
    <w:rsid w:val="00CC0797"/>
    <w:rsid w:val="00CC0969"/>
    <w:rsid w:val="00CC0B16"/>
    <w:rsid w:val="00CC0D45"/>
    <w:rsid w:val="00CC0D76"/>
    <w:rsid w:val="00CC0E34"/>
    <w:rsid w:val="00CC0F31"/>
    <w:rsid w:val="00CC0F98"/>
    <w:rsid w:val="00CC0FBC"/>
    <w:rsid w:val="00CC115E"/>
    <w:rsid w:val="00CC129A"/>
    <w:rsid w:val="00CC1608"/>
    <w:rsid w:val="00CC1641"/>
    <w:rsid w:val="00CC1796"/>
    <w:rsid w:val="00CC17C9"/>
    <w:rsid w:val="00CC17F4"/>
    <w:rsid w:val="00CC17FA"/>
    <w:rsid w:val="00CC187D"/>
    <w:rsid w:val="00CC1991"/>
    <w:rsid w:val="00CC199F"/>
    <w:rsid w:val="00CC1BFC"/>
    <w:rsid w:val="00CC1D41"/>
    <w:rsid w:val="00CC1FC8"/>
    <w:rsid w:val="00CC211E"/>
    <w:rsid w:val="00CC2177"/>
    <w:rsid w:val="00CC218A"/>
    <w:rsid w:val="00CC2282"/>
    <w:rsid w:val="00CC22A8"/>
    <w:rsid w:val="00CC2441"/>
    <w:rsid w:val="00CC2715"/>
    <w:rsid w:val="00CC2898"/>
    <w:rsid w:val="00CC28B7"/>
    <w:rsid w:val="00CC2A1A"/>
    <w:rsid w:val="00CC2B5A"/>
    <w:rsid w:val="00CC2C74"/>
    <w:rsid w:val="00CC2DCF"/>
    <w:rsid w:val="00CC2F99"/>
    <w:rsid w:val="00CC2FAB"/>
    <w:rsid w:val="00CC3041"/>
    <w:rsid w:val="00CC3047"/>
    <w:rsid w:val="00CC3155"/>
    <w:rsid w:val="00CC323E"/>
    <w:rsid w:val="00CC32CF"/>
    <w:rsid w:val="00CC3B5F"/>
    <w:rsid w:val="00CC3E00"/>
    <w:rsid w:val="00CC3EB4"/>
    <w:rsid w:val="00CC3ED5"/>
    <w:rsid w:val="00CC40FC"/>
    <w:rsid w:val="00CC414B"/>
    <w:rsid w:val="00CC4179"/>
    <w:rsid w:val="00CC433B"/>
    <w:rsid w:val="00CC4433"/>
    <w:rsid w:val="00CC4571"/>
    <w:rsid w:val="00CC45BE"/>
    <w:rsid w:val="00CC46D9"/>
    <w:rsid w:val="00CC46E6"/>
    <w:rsid w:val="00CC46FA"/>
    <w:rsid w:val="00CC484F"/>
    <w:rsid w:val="00CC4B58"/>
    <w:rsid w:val="00CC4F6B"/>
    <w:rsid w:val="00CC4FD3"/>
    <w:rsid w:val="00CC50C6"/>
    <w:rsid w:val="00CC5250"/>
    <w:rsid w:val="00CC5546"/>
    <w:rsid w:val="00CC557F"/>
    <w:rsid w:val="00CC5669"/>
    <w:rsid w:val="00CC5941"/>
    <w:rsid w:val="00CC5DD1"/>
    <w:rsid w:val="00CC5E8F"/>
    <w:rsid w:val="00CC5FE1"/>
    <w:rsid w:val="00CC5FF2"/>
    <w:rsid w:val="00CC607D"/>
    <w:rsid w:val="00CC6417"/>
    <w:rsid w:val="00CC64A0"/>
    <w:rsid w:val="00CC64FF"/>
    <w:rsid w:val="00CC671D"/>
    <w:rsid w:val="00CC67D6"/>
    <w:rsid w:val="00CC687D"/>
    <w:rsid w:val="00CC68D0"/>
    <w:rsid w:val="00CC6BB8"/>
    <w:rsid w:val="00CC6FE4"/>
    <w:rsid w:val="00CC702D"/>
    <w:rsid w:val="00CC70AA"/>
    <w:rsid w:val="00CC72DE"/>
    <w:rsid w:val="00CC7525"/>
    <w:rsid w:val="00CC752C"/>
    <w:rsid w:val="00CC75C4"/>
    <w:rsid w:val="00CC75FD"/>
    <w:rsid w:val="00CC7B7F"/>
    <w:rsid w:val="00CC7C14"/>
    <w:rsid w:val="00CC7E08"/>
    <w:rsid w:val="00CC7F3D"/>
    <w:rsid w:val="00CC7F4C"/>
    <w:rsid w:val="00CC7F6E"/>
    <w:rsid w:val="00CD0035"/>
    <w:rsid w:val="00CD0127"/>
    <w:rsid w:val="00CD0485"/>
    <w:rsid w:val="00CD04C3"/>
    <w:rsid w:val="00CD06A0"/>
    <w:rsid w:val="00CD06D6"/>
    <w:rsid w:val="00CD06EC"/>
    <w:rsid w:val="00CD081D"/>
    <w:rsid w:val="00CD08E7"/>
    <w:rsid w:val="00CD096D"/>
    <w:rsid w:val="00CD0A67"/>
    <w:rsid w:val="00CD0BCF"/>
    <w:rsid w:val="00CD0D8E"/>
    <w:rsid w:val="00CD10AE"/>
    <w:rsid w:val="00CD12F0"/>
    <w:rsid w:val="00CD14A1"/>
    <w:rsid w:val="00CD1600"/>
    <w:rsid w:val="00CD1B21"/>
    <w:rsid w:val="00CD1BAC"/>
    <w:rsid w:val="00CD1C0A"/>
    <w:rsid w:val="00CD1D5C"/>
    <w:rsid w:val="00CD1DB3"/>
    <w:rsid w:val="00CD1F87"/>
    <w:rsid w:val="00CD1FAA"/>
    <w:rsid w:val="00CD22E6"/>
    <w:rsid w:val="00CD2316"/>
    <w:rsid w:val="00CD23D7"/>
    <w:rsid w:val="00CD2447"/>
    <w:rsid w:val="00CD2464"/>
    <w:rsid w:val="00CD251D"/>
    <w:rsid w:val="00CD255F"/>
    <w:rsid w:val="00CD2603"/>
    <w:rsid w:val="00CD26B2"/>
    <w:rsid w:val="00CD26CB"/>
    <w:rsid w:val="00CD2788"/>
    <w:rsid w:val="00CD32E2"/>
    <w:rsid w:val="00CD3483"/>
    <w:rsid w:val="00CD3825"/>
    <w:rsid w:val="00CD383E"/>
    <w:rsid w:val="00CD3A63"/>
    <w:rsid w:val="00CD3ABD"/>
    <w:rsid w:val="00CD3BDC"/>
    <w:rsid w:val="00CD3BF9"/>
    <w:rsid w:val="00CD3C98"/>
    <w:rsid w:val="00CD3E4C"/>
    <w:rsid w:val="00CD403E"/>
    <w:rsid w:val="00CD41D5"/>
    <w:rsid w:val="00CD437A"/>
    <w:rsid w:val="00CD466B"/>
    <w:rsid w:val="00CD4740"/>
    <w:rsid w:val="00CD476B"/>
    <w:rsid w:val="00CD4776"/>
    <w:rsid w:val="00CD484C"/>
    <w:rsid w:val="00CD4B58"/>
    <w:rsid w:val="00CD4CF9"/>
    <w:rsid w:val="00CD4D0B"/>
    <w:rsid w:val="00CD4D72"/>
    <w:rsid w:val="00CD4DAB"/>
    <w:rsid w:val="00CD5010"/>
    <w:rsid w:val="00CD5088"/>
    <w:rsid w:val="00CD50C8"/>
    <w:rsid w:val="00CD50D9"/>
    <w:rsid w:val="00CD5152"/>
    <w:rsid w:val="00CD51A0"/>
    <w:rsid w:val="00CD572D"/>
    <w:rsid w:val="00CD57D8"/>
    <w:rsid w:val="00CD5969"/>
    <w:rsid w:val="00CD59EC"/>
    <w:rsid w:val="00CD5AF5"/>
    <w:rsid w:val="00CD5B7E"/>
    <w:rsid w:val="00CD5C01"/>
    <w:rsid w:val="00CD5CB4"/>
    <w:rsid w:val="00CD5DAF"/>
    <w:rsid w:val="00CD5E91"/>
    <w:rsid w:val="00CD5FFD"/>
    <w:rsid w:val="00CD6173"/>
    <w:rsid w:val="00CD6223"/>
    <w:rsid w:val="00CD6233"/>
    <w:rsid w:val="00CD644E"/>
    <w:rsid w:val="00CD64B5"/>
    <w:rsid w:val="00CD64E3"/>
    <w:rsid w:val="00CD66B8"/>
    <w:rsid w:val="00CD671B"/>
    <w:rsid w:val="00CD69A6"/>
    <w:rsid w:val="00CD6AF3"/>
    <w:rsid w:val="00CD6C54"/>
    <w:rsid w:val="00CD6D7A"/>
    <w:rsid w:val="00CD6E0F"/>
    <w:rsid w:val="00CD6E2A"/>
    <w:rsid w:val="00CD743A"/>
    <w:rsid w:val="00CD757C"/>
    <w:rsid w:val="00CD7838"/>
    <w:rsid w:val="00CD78A6"/>
    <w:rsid w:val="00CD7922"/>
    <w:rsid w:val="00CD7957"/>
    <w:rsid w:val="00CD7991"/>
    <w:rsid w:val="00CD7A55"/>
    <w:rsid w:val="00CD7B13"/>
    <w:rsid w:val="00CD7B9C"/>
    <w:rsid w:val="00CD7BBD"/>
    <w:rsid w:val="00CD7C69"/>
    <w:rsid w:val="00CD7D75"/>
    <w:rsid w:val="00CD7FCA"/>
    <w:rsid w:val="00CE00EA"/>
    <w:rsid w:val="00CE00EE"/>
    <w:rsid w:val="00CE03E2"/>
    <w:rsid w:val="00CE0533"/>
    <w:rsid w:val="00CE056A"/>
    <w:rsid w:val="00CE06C7"/>
    <w:rsid w:val="00CE08C3"/>
    <w:rsid w:val="00CE091A"/>
    <w:rsid w:val="00CE099F"/>
    <w:rsid w:val="00CE0B67"/>
    <w:rsid w:val="00CE0C4F"/>
    <w:rsid w:val="00CE0FA4"/>
    <w:rsid w:val="00CE1259"/>
    <w:rsid w:val="00CE1322"/>
    <w:rsid w:val="00CE149A"/>
    <w:rsid w:val="00CE14FC"/>
    <w:rsid w:val="00CE150A"/>
    <w:rsid w:val="00CE1643"/>
    <w:rsid w:val="00CE183B"/>
    <w:rsid w:val="00CE1872"/>
    <w:rsid w:val="00CE18AA"/>
    <w:rsid w:val="00CE193E"/>
    <w:rsid w:val="00CE19DF"/>
    <w:rsid w:val="00CE1A19"/>
    <w:rsid w:val="00CE1A44"/>
    <w:rsid w:val="00CE1B20"/>
    <w:rsid w:val="00CE1D9F"/>
    <w:rsid w:val="00CE1ED2"/>
    <w:rsid w:val="00CE2233"/>
    <w:rsid w:val="00CE2558"/>
    <w:rsid w:val="00CE2583"/>
    <w:rsid w:val="00CE25E5"/>
    <w:rsid w:val="00CE2823"/>
    <w:rsid w:val="00CE2829"/>
    <w:rsid w:val="00CE28BF"/>
    <w:rsid w:val="00CE28DE"/>
    <w:rsid w:val="00CE2978"/>
    <w:rsid w:val="00CE29A4"/>
    <w:rsid w:val="00CE2AE3"/>
    <w:rsid w:val="00CE2CD9"/>
    <w:rsid w:val="00CE2D9D"/>
    <w:rsid w:val="00CE2FEB"/>
    <w:rsid w:val="00CE323D"/>
    <w:rsid w:val="00CE3393"/>
    <w:rsid w:val="00CE3712"/>
    <w:rsid w:val="00CE3783"/>
    <w:rsid w:val="00CE3921"/>
    <w:rsid w:val="00CE3994"/>
    <w:rsid w:val="00CE3B23"/>
    <w:rsid w:val="00CE3BC2"/>
    <w:rsid w:val="00CE3D9D"/>
    <w:rsid w:val="00CE3DA8"/>
    <w:rsid w:val="00CE40DE"/>
    <w:rsid w:val="00CE4278"/>
    <w:rsid w:val="00CE43C7"/>
    <w:rsid w:val="00CE43E4"/>
    <w:rsid w:val="00CE446A"/>
    <w:rsid w:val="00CE44D4"/>
    <w:rsid w:val="00CE4506"/>
    <w:rsid w:val="00CE4926"/>
    <w:rsid w:val="00CE4982"/>
    <w:rsid w:val="00CE4C9B"/>
    <w:rsid w:val="00CE53D8"/>
    <w:rsid w:val="00CE553A"/>
    <w:rsid w:val="00CE563F"/>
    <w:rsid w:val="00CE5829"/>
    <w:rsid w:val="00CE5A17"/>
    <w:rsid w:val="00CE5AA2"/>
    <w:rsid w:val="00CE5D1D"/>
    <w:rsid w:val="00CE623A"/>
    <w:rsid w:val="00CE68BF"/>
    <w:rsid w:val="00CE6B51"/>
    <w:rsid w:val="00CE6DDE"/>
    <w:rsid w:val="00CE709D"/>
    <w:rsid w:val="00CE734F"/>
    <w:rsid w:val="00CE74DE"/>
    <w:rsid w:val="00CE7BB2"/>
    <w:rsid w:val="00CE7BC6"/>
    <w:rsid w:val="00CE7F8C"/>
    <w:rsid w:val="00CF03CA"/>
    <w:rsid w:val="00CF0519"/>
    <w:rsid w:val="00CF07AC"/>
    <w:rsid w:val="00CF09D0"/>
    <w:rsid w:val="00CF0AB6"/>
    <w:rsid w:val="00CF0D14"/>
    <w:rsid w:val="00CF0EFA"/>
    <w:rsid w:val="00CF0FB7"/>
    <w:rsid w:val="00CF129F"/>
    <w:rsid w:val="00CF12ED"/>
    <w:rsid w:val="00CF139C"/>
    <w:rsid w:val="00CF13CA"/>
    <w:rsid w:val="00CF14F9"/>
    <w:rsid w:val="00CF1609"/>
    <w:rsid w:val="00CF167C"/>
    <w:rsid w:val="00CF168B"/>
    <w:rsid w:val="00CF18A8"/>
    <w:rsid w:val="00CF1ABE"/>
    <w:rsid w:val="00CF1CBC"/>
    <w:rsid w:val="00CF1DF1"/>
    <w:rsid w:val="00CF1EA1"/>
    <w:rsid w:val="00CF1FCD"/>
    <w:rsid w:val="00CF2032"/>
    <w:rsid w:val="00CF2262"/>
    <w:rsid w:val="00CF2312"/>
    <w:rsid w:val="00CF23CD"/>
    <w:rsid w:val="00CF2666"/>
    <w:rsid w:val="00CF26EB"/>
    <w:rsid w:val="00CF2785"/>
    <w:rsid w:val="00CF27D7"/>
    <w:rsid w:val="00CF293C"/>
    <w:rsid w:val="00CF2ADE"/>
    <w:rsid w:val="00CF2B08"/>
    <w:rsid w:val="00CF2FD7"/>
    <w:rsid w:val="00CF332F"/>
    <w:rsid w:val="00CF3465"/>
    <w:rsid w:val="00CF35AB"/>
    <w:rsid w:val="00CF3798"/>
    <w:rsid w:val="00CF37C5"/>
    <w:rsid w:val="00CF37FD"/>
    <w:rsid w:val="00CF396F"/>
    <w:rsid w:val="00CF3AC2"/>
    <w:rsid w:val="00CF3ACB"/>
    <w:rsid w:val="00CF3CA4"/>
    <w:rsid w:val="00CF4135"/>
    <w:rsid w:val="00CF435D"/>
    <w:rsid w:val="00CF448C"/>
    <w:rsid w:val="00CF44BA"/>
    <w:rsid w:val="00CF44DB"/>
    <w:rsid w:val="00CF4806"/>
    <w:rsid w:val="00CF4864"/>
    <w:rsid w:val="00CF4924"/>
    <w:rsid w:val="00CF4A9E"/>
    <w:rsid w:val="00CF4DB7"/>
    <w:rsid w:val="00CF5220"/>
    <w:rsid w:val="00CF542D"/>
    <w:rsid w:val="00CF546E"/>
    <w:rsid w:val="00CF5470"/>
    <w:rsid w:val="00CF558D"/>
    <w:rsid w:val="00CF55DD"/>
    <w:rsid w:val="00CF5681"/>
    <w:rsid w:val="00CF574A"/>
    <w:rsid w:val="00CF57AB"/>
    <w:rsid w:val="00CF597A"/>
    <w:rsid w:val="00CF5983"/>
    <w:rsid w:val="00CF5A01"/>
    <w:rsid w:val="00CF5A42"/>
    <w:rsid w:val="00CF5B24"/>
    <w:rsid w:val="00CF5C86"/>
    <w:rsid w:val="00CF5FC5"/>
    <w:rsid w:val="00CF615D"/>
    <w:rsid w:val="00CF67EA"/>
    <w:rsid w:val="00CF6A5B"/>
    <w:rsid w:val="00CF6B48"/>
    <w:rsid w:val="00CF6DE1"/>
    <w:rsid w:val="00CF70D6"/>
    <w:rsid w:val="00CF7224"/>
    <w:rsid w:val="00CF73F8"/>
    <w:rsid w:val="00CF74D4"/>
    <w:rsid w:val="00CF7732"/>
    <w:rsid w:val="00CF77ED"/>
    <w:rsid w:val="00CF7948"/>
    <w:rsid w:val="00CF7E48"/>
    <w:rsid w:val="00CF7EA1"/>
    <w:rsid w:val="00CF7F7F"/>
    <w:rsid w:val="00D00013"/>
    <w:rsid w:val="00D00182"/>
    <w:rsid w:val="00D0023B"/>
    <w:rsid w:val="00D002CB"/>
    <w:rsid w:val="00D003A5"/>
    <w:rsid w:val="00D00517"/>
    <w:rsid w:val="00D00526"/>
    <w:rsid w:val="00D005D5"/>
    <w:rsid w:val="00D0087F"/>
    <w:rsid w:val="00D009E5"/>
    <w:rsid w:val="00D00D25"/>
    <w:rsid w:val="00D00ED5"/>
    <w:rsid w:val="00D00FEA"/>
    <w:rsid w:val="00D01239"/>
    <w:rsid w:val="00D01265"/>
    <w:rsid w:val="00D01286"/>
    <w:rsid w:val="00D01357"/>
    <w:rsid w:val="00D014B7"/>
    <w:rsid w:val="00D0157D"/>
    <w:rsid w:val="00D01E5A"/>
    <w:rsid w:val="00D01F87"/>
    <w:rsid w:val="00D020EF"/>
    <w:rsid w:val="00D0220A"/>
    <w:rsid w:val="00D02239"/>
    <w:rsid w:val="00D0241C"/>
    <w:rsid w:val="00D0256B"/>
    <w:rsid w:val="00D026D9"/>
    <w:rsid w:val="00D02851"/>
    <w:rsid w:val="00D0293D"/>
    <w:rsid w:val="00D029C6"/>
    <w:rsid w:val="00D02A00"/>
    <w:rsid w:val="00D02AD4"/>
    <w:rsid w:val="00D02C2B"/>
    <w:rsid w:val="00D02F4D"/>
    <w:rsid w:val="00D02FE3"/>
    <w:rsid w:val="00D03143"/>
    <w:rsid w:val="00D031D6"/>
    <w:rsid w:val="00D03211"/>
    <w:rsid w:val="00D03341"/>
    <w:rsid w:val="00D03546"/>
    <w:rsid w:val="00D035F6"/>
    <w:rsid w:val="00D036B9"/>
    <w:rsid w:val="00D036C4"/>
    <w:rsid w:val="00D03734"/>
    <w:rsid w:val="00D037BB"/>
    <w:rsid w:val="00D03948"/>
    <w:rsid w:val="00D03F0A"/>
    <w:rsid w:val="00D040E2"/>
    <w:rsid w:val="00D04104"/>
    <w:rsid w:val="00D04181"/>
    <w:rsid w:val="00D0445E"/>
    <w:rsid w:val="00D04540"/>
    <w:rsid w:val="00D04629"/>
    <w:rsid w:val="00D046D2"/>
    <w:rsid w:val="00D046FD"/>
    <w:rsid w:val="00D0470E"/>
    <w:rsid w:val="00D048B3"/>
    <w:rsid w:val="00D04947"/>
    <w:rsid w:val="00D04AE1"/>
    <w:rsid w:val="00D05308"/>
    <w:rsid w:val="00D0532D"/>
    <w:rsid w:val="00D05336"/>
    <w:rsid w:val="00D053B7"/>
    <w:rsid w:val="00D059D1"/>
    <w:rsid w:val="00D059D3"/>
    <w:rsid w:val="00D05B98"/>
    <w:rsid w:val="00D05ED6"/>
    <w:rsid w:val="00D063E6"/>
    <w:rsid w:val="00D064F0"/>
    <w:rsid w:val="00D06559"/>
    <w:rsid w:val="00D06680"/>
    <w:rsid w:val="00D06845"/>
    <w:rsid w:val="00D069DA"/>
    <w:rsid w:val="00D06D1D"/>
    <w:rsid w:val="00D06F54"/>
    <w:rsid w:val="00D06FBB"/>
    <w:rsid w:val="00D071FD"/>
    <w:rsid w:val="00D07D1A"/>
    <w:rsid w:val="00D07D7C"/>
    <w:rsid w:val="00D07EA0"/>
    <w:rsid w:val="00D1040C"/>
    <w:rsid w:val="00D10430"/>
    <w:rsid w:val="00D1078F"/>
    <w:rsid w:val="00D108AC"/>
    <w:rsid w:val="00D108CE"/>
    <w:rsid w:val="00D10916"/>
    <w:rsid w:val="00D10917"/>
    <w:rsid w:val="00D10950"/>
    <w:rsid w:val="00D10953"/>
    <w:rsid w:val="00D10A0A"/>
    <w:rsid w:val="00D10B63"/>
    <w:rsid w:val="00D10D5D"/>
    <w:rsid w:val="00D10E5C"/>
    <w:rsid w:val="00D10EAB"/>
    <w:rsid w:val="00D10EB6"/>
    <w:rsid w:val="00D10F05"/>
    <w:rsid w:val="00D11171"/>
    <w:rsid w:val="00D113F3"/>
    <w:rsid w:val="00D115EF"/>
    <w:rsid w:val="00D1172C"/>
    <w:rsid w:val="00D117E2"/>
    <w:rsid w:val="00D11CBD"/>
    <w:rsid w:val="00D1200B"/>
    <w:rsid w:val="00D1213D"/>
    <w:rsid w:val="00D12193"/>
    <w:rsid w:val="00D121ED"/>
    <w:rsid w:val="00D122B9"/>
    <w:rsid w:val="00D1245A"/>
    <w:rsid w:val="00D125FB"/>
    <w:rsid w:val="00D12687"/>
    <w:rsid w:val="00D12C6F"/>
    <w:rsid w:val="00D12CB0"/>
    <w:rsid w:val="00D12F07"/>
    <w:rsid w:val="00D12FA4"/>
    <w:rsid w:val="00D130EF"/>
    <w:rsid w:val="00D131DE"/>
    <w:rsid w:val="00D136B6"/>
    <w:rsid w:val="00D136EA"/>
    <w:rsid w:val="00D13BE3"/>
    <w:rsid w:val="00D13C1D"/>
    <w:rsid w:val="00D13E35"/>
    <w:rsid w:val="00D13F82"/>
    <w:rsid w:val="00D13FE9"/>
    <w:rsid w:val="00D1431B"/>
    <w:rsid w:val="00D146C0"/>
    <w:rsid w:val="00D147CA"/>
    <w:rsid w:val="00D1496B"/>
    <w:rsid w:val="00D149EC"/>
    <w:rsid w:val="00D14A77"/>
    <w:rsid w:val="00D14C39"/>
    <w:rsid w:val="00D14CAF"/>
    <w:rsid w:val="00D14EB2"/>
    <w:rsid w:val="00D14EDB"/>
    <w:rsid w:val="00D14EF3"/>
    <w:rsid w:val="00D14F3C"/>
    <w:rsid w:val="00D14F6A"/>
    <w:rsid w:val="00D1533B"/>
    <w:rsid w:val="00D15390"/>
    <w:rsid w:val="00D15420"/>
    <w:rsid w:val="00D155A6"/>
    <w:rsid w:val="00D15791"/>
    <w:rsid w:val="00D1584E"/>
    <w:rsid w:val="00D15940"/>
    <w:rsid w:val="00D15ABA"/>
    <w:rsid w:val="00D15ADF"/>
    <w:rsid w:val="00D15BD0"/>
    <w:rsid w:val="00D15BE9"/>
    <w:rsid w:val="00D15E21"/>
    <w:rsid w:val="00D15FF2"/>
    <w:rsid w:val="00D161FC"/>
    <w:rsid w:val="00D163B0"/>
    <w:rsid w:val="00D166BD"/>
    <w:rsid w:val="00D16707"/>
    <w:rsid w:val="00D167BB"/>
    <w:rsid w:val="00D167EB"/>
    <w:rsid w:val="00D167FD"/>
    <w:rsid w:val="00D168C3"/>
    <w:rsid w:val="00D16A72"/>
    <w:rsid w:val="00D16ACD"/>
    <w:rsid w:val="00D16AE7"/>
    <w:rsid w:val="00D16BB0"/>
    <w:rsid w:val="00D16CDC"/>
    <w:rsid w:val="00D16D7A"/>
    <w:rsid w:val="00D17416"/>
    <w:rsid w:val="00D17422"/>
    <w:rsid w:val="00D17656"/>
    <w:rsid w:val="00D176D9"/>
    <w:rsid w:val="00D17BF8"/>
    <w:rsid w:val="00D20129"/>
    <w:rsid w:val="00D203F5"/>
    <w:rsid w:val="00D20567"/>
    <w:rsid w:val="00D2056A"/>
    <w:rsid w:val="00D208E8"/>
    <w:rsid w:val="00D20927"/>
    <w:rsid w:val="00D209D6"/>
    <w:rsid w:val="00D20A64"/>
    <w:rsid w:val="00D20BB7"/>
    <w:rsid w:val="00D20BCA"/>
    <w:rsid w:val="00D20BFA"/>
    <w:rsid w:val="00D20C03"/>
    <w:rsid w:val="00D20C3C"/>
    <w:rsid w:val="00D20CDE"/>
    <w:rsid w:val="00D20F7A"/>
    <w:rsid w:val="00D21068"/>
    <w:rsid w:val="00D21079"/>
    <w:rsid w:val="00D210D7"/>
    <w:rsid w:val="00D2113F"/>
    <w:rsid w:val="00D214F9"/>
    <w:rsid w:val="00D216BB"/>
    <w:rsid w:val="00D21744"/>
    <w:rsid w:val="00D21A06"/>
    <w:rsid w:val="00D21AD7"/>
    <w:rsid w:val="00D21BC0"/>
    <w:rsid w:val="00D21BDA"/>
    <w:rsid w:val="00D21BDB"/>
    <w:rsid w:val="00D21DA1"/>
    <w:rsid w:val="00D21EF8"/>
    <w:rsid w:val="00D22101"/>
    <w:rsid w:val="00D22414"/>
    <w:rsid w:val="00D227C2"/>
    <w:rsid w:val="00D2287A"/>
    <w:rsid w:val="00D228A8"/>
    <w:rsid w:val="00D22927"/>
    <w:rsid w:val="00D22993"/>
    <w:rsid w:val="00D229B8"/>
    <w:rsid w:val="00D22A03"/>
    <w:rsid w:val="00D22A45"/>
    <w:rsid w:val="00D22DB7"/>
    <w:rsid w:val="00D22E35"/>
    <w:rsid w:val="00D23061"/>
    <w:rsid w:val="00D230EB"/>
    <w:rsid w:val="00D23111"/>
    <w:rsid w:val="00D23113"/>
    <w:rsid w:val="00D236E8"/>
    <w:rsid w:val="00D238A7"/>
    <w:rsid w:val="00D238E5"/>
    <w:rsid w:val="00D23935"/>
    <w:rsid w:val="00D23968"/>
    <w:rsid w:val="00D23A87"/>
    <w:rsid w:val="00D23AC0"/>
    <w:rsid w:val="00D23C39"/>
    <w:rsid w:val="00D23D2B"/>
    <w:rsid w:val="00D23F38"/>
    <w:rsid w:val="00D24017"/>
    <w:rsid w:val="00D2405D"/>
    <w:rsid w:val="00D24138"/>
    <w:rsid w:val="00D241A0"/>
    <w:rsid w:val="00D2449B"/>
    <w:rsid w:val="00D244BE"/>
    <w:rsid w:val="00D244FA"/>
    <w:rsid w:val="00D24870"/>
    <w:rsid w:val="00D24D94"/>
    <w:rsid w:val="00D250C8"/>
    <w:rsid w:val="00D250FF"/>
    <w:rsid w:val="00D25158"/>
    <w:rsid w:val="00D2521D"/>
    <w:rsid w:val="00D258DF"/>
    <w:rsid w:val="00D2599E"/>
    <w:rsid w:val="00D25A22"/>
    <w:rsid w:val="00D25AE7"/>
    <w:rsid w:val="00D25B83"/>
    <w:rsid w:val="00D26025"/>
    <w:rsid w:val="00D26211"/>
    <w:rsid w:val="00D26256"/>
    <w:rsid w:val="00D26286"/>
    <w:rsid w:val="00D262F7"/>
    <w:rsid w:val="00D26422"/>
    <w:rsid w:val="00D264F2"/>
    <w:rsid w:val="00D265D8"/>
    <w:rsid w:val="00D266AC"/>
    <w:rsid w:val="00D2675A"/>
    <w:rsid w:val="00D26DCA"/>
    <w:rsid w:val="00D26EC9"/>
    <w:rsid w:val="00D272A7"/>
    <w:rsid w:val="00D27332"/>
    <w:rsid w:val="00D2779E"/>
    <w:rsid w:val="00D27B73"/>
    <w:rsid w:val="00D27CB8"/>
    <w:rsid w:val="00D27E2E"/>
    <w:rsid w:val="00D27F5C"/>
    <w:rsid w:val="00D30004"/>
    <w:rsid w:val="00D3003C"/>
    <w:rsid w:val="00D30117"/>
    <w:rsid w:val="00D30340"/>
    <w:rsid w:val="00D3036F"/>
    <w:rsid w:val="00D303DF"/>
    <w:rsid w:val="00D30588"/>
    <w:rsid w:val="00D3088D"/>
    <w:rsid w:val="00D308D2"/>
    <w:rsid w:val="00D30976"/>
    <w:rsid w:val="00D309DC"/>
    <w:rsid w:val="00D30AB5"/>
    <w:rsid w:val="00D30C25"/>
    <w:rsid w:val="00D30C98"/>
    <w:rsid w:val="00D30D26"/>
    <w:rsid w:val="00D30D68"/>
    <w:rsid w:val="00D30D74"/>
    <w:rsid w:val="00D30D86"/>
    <w:rsid w:val="00D30E2C"/>
    <w:rsid w:val="00D30F3A"/>
    <w:rsid w:val="00D31356"/>
    <w:rsid w:val="00D313C8"/>
    <w:rsid w:val="00D31401"/>
    <w:rsid w:val="00D315A6"/>
    <w:rsid w:val="00D31629"/>
    <w:rsid w:val="00D3165F"/>
    <w:rsid w:val="00D31A7A"/>
    <w:rsid w:val="00D31B9C"/>
    <w:rsid w:val="00D31E17"/>
    <w:rsid w:val="00D323D3"/>
    <w:rsid w:val="00D329DF"/>
    <w:rsid w:val="00D32C0B"/>
    <w:rsid w:val="00D32DB4"/>
    <w:rsid w:val="00D33092"/>
    <w:rsid w:val="00D3325D"/>
    <w:rsid w:val="00D335BF"/>
    <w:rsid w:val="00D336C0"/>
    <w:rsid w:val="00D336D0"/>
    <w:rsid w:val="00D3373A"/>
    <w:rsid w:val="00D337A9"/>
    <w:rsid w:val="00D337D9"/>
    <w:rsid w:val="00D3384F"/>
    <w:rsid w:val="00D33A2B"/>
    <w:rsid w:val="00D33AB2"/>
    <w:rsid w:val="00D33AF2"/>
    <w:rsid w:val="00D33FCD"/>
    <w:rsid w:val="00D34087"/>
    <w:rsid w:val="00D3439F"/>
    <w:rsid w:val="00D343C1"/>
    <w:rsid w:val="00D34540"/>
    <w:rsid w:val="00D34608"/>
    <w:rsid w:val="00D34C96"/>
    <w:rsid w:val="00D34C9C"/>
    <w:rsid w:val="00D34E22"/>
    <w:rsid w:val="00D34EB1"/>
    <w:rsid w:val="00D350C3"/>
    <w:rsid w:val="00D35172"/>
    <w:rsid w:val="00D352A3"/>
    <w:rsid w:val="00D35557"/>
    <w:rsid w:val="00D357AF"/>
    <w:rsid w:val="00D35995"/>
    <w:rsid w:val="00D359DA"/>
    <w:rsid w:val="00D35B01"/>
    <w:rsid w:val="00D35CAB"/>
    <w:rsid w:val="00D35F2C"/>
    <w:rsid w:val="00D35F6D"/>
    <w:rsid w:val="00D3624A"/>
    <w:rsid w:val="00D362BC"/>
    <w:rsid w:val="00D36354"/>
    <w:rsid w:val="00D364A8"/>
    <w:rsid w:val="00D36717"/>
    <w:rsid w:val="00D36B36"/>
    <w:rsid w:val="00D36C86"/>
    <w:rsid w:val="00D36E73"/>
    <w:rsid w:val="00D36E7F"/>
    <w:rsid w:val="00D3700A"/>
    <w:rsid w:val="00D37287"/>
    <w:rsid w:val="00D373BC"/>
    <w:rsid w:val="00D37765"/>
    <w:rsid w:val="00D37BA6"/>
    <w:rsid w:val="00D37DC5"/>
    <w:rsid w:val="00D37EAA"/>
    <w:rsid w:val="00D37F5C"/>
    <w:rsid w:val="00D37FC4"/>
    <w:rsid w:val="00D37FCC"/>
    <w:rsid w:val="00D40155"/>
    <w:rsid w:val="00D401A0"/>
    <w:rsid w:val="00D401C8"/>
    <w:rsid w:val="00D4030D"/>
    <w:rsid w:val="00D4052C"/>
    <w:rsid w:val="00D40A20"/>
    <w:rsid w:val="00D40B35"/>
    <w:rsid w:val="00D40BFC"/>
    <w:rsid w:val="00D40D25"/>
    <w:rsid w:val="00D40D51"/>
    <w:rsid w:val="00D413F5"/>
    <w:rsid w:val="00D414CE"/>
    <w:rsid w:val="00D41707"/>
    <w:rsid w:val="00D41738"/>
    <w:rsid w:val="00D4177F"/>
    <w:rsid w:val="00D41956"/>
    <w:rsid w:val="00D4196F"/>
    <w:rsid w:val="00D41A3C"/>
    <w:rsid w:val="00D41ABC"/>
    <w:rsid w:val="00D41C8B"/>
    <w:rsid w:val="00D420FA"/>
    <w:rsid w:val="00D4233F"/>
    <w:rsid w:val="00D42529"/>
    <w:rsid w:val="00D4280C"/>
    <w:rsid w:val="00D42828"/>
    <w:rsid w:val="00D428A9"/>
    <w:rsid w:val="00D42A2A"/>
    <w:rsid w:val="00D42B12"/>
    <w:rsid w:val="00D42C4A"/>
    <w:rsid w:val="00D42E4E"/>
    <w:rsid w:val="00D42FFB"/>
    <w:rsid w:val="00D430E4"/>
    <w:rsid w:val="00D431DC"/>
    <w:rsid w:val="00D432C9"/>
    <w:rsid w:val="00D4341A"/>
    <w:rsid w:val="00D4375A"/>
    <w:rsid w:val="00D438AA"/>
    <w:rsid w:val="00D4393D"/>
    <w:rsid w:val="00D43B52"/>
    <w:rsid w:val="00D43DF4"/>
    <w:rsid w:val="00D43E06"/>
    <w:rsid w:val="00D43FFF"/>
    <w:rsid w:val="00D442DA"/>
    <w:rsid w:val="00D4445B"/>
    <w:rsid w:val="00D4459F"/>
    <w:rsid w:val="00D44AA6"/>
    <w:rsid w:val="00D44CA8"/>
    <w:rsid w:val="00D45501"/>
    <w:rsid w:val="00D45569"/>
    <w:rsid w:val="00D45746"/>
    <w:rsid w:val="00D4579A"/>
    <w:rsid w:val="00D459CD"/>
    <w:rsid w:val="00D45A3B"/>
    <w:rsid w:val="00D45B67"/>
    <w:rsid w:val="00D45C80"/>
    <w:rsid w:val="00D45C8C"/>
    <w:rsid w:val="00D46643"/>
    <w:rsid w:val="00D46816"/>
    <w:rsid w:val="00D4694C"/>
    <w:rsid w:val="00D469D3"/>
    <w:rsid w:val="00D46A1B"/>
    <w:rsid w:val="00D46A68"/>
    <w:rsid w:val="00D46CFC"/>
    <w:rsid w:val="00D46E82"/>
    <w:rsid w:val="00D473C4"/>
    <w:rsid w:val="00D47549"/>
    <w:rsid w:val="00D47786"/>
    <w:rsid w:val="00D4779D"/>
    <w:rsid w:val="00D47892"/>
    <w:rsid w:val="00D47D14"/>
    <w:rsid w:val="00D50268"/>
    <w:rsid w:val="00D50581"/>
    <w:rsid w:val="00D507E3"/>
    <w:rsid w:val="00D5080D"/>
    <w:rsid w:val="00D50853"/>
    <w:rsid w:val="00D5085C"/>
    <w:rsid w:val="00D508AC"/>
    <w:rsid w:val="00D50923"/>
    <w:rsid w:val="00D50A2D"/>
    <w:rsid w:val="00D50B1F"/>
    <w:rsid w:val="00D50C64"/>
    <w:rsid w:val="00D50E2A"/>
    <w:rsid w:val="00D511E9"/>
    <w:rsid w:val="00D51437"/>
    <w:rsid w:val="00D51489"/>
    <w:rsid w:val="00D517DF"/>
    <w:rsid w:val="00D51893"/>
    <w:rsid w:val="00D51993"/>
    <w:rsid w:val="00D51B8F"/>
    <w:rsid w:val="00D51F32"/>
    <w:rsid w:val="00D51F33"/>
    <w:rsid w:val="00D51F4B"/>
    <w:rsid w:val="00D51FE7"/>
    <w:rsid w:val="00D52098"/>
    <w:rsid w:val="00D52278"/>
    <w:rsid w:val="00D5228C"/>
    <w:rsid w:val="00D5252A"/>
    <w:rsid w:val="00D525D3"/>
    <w:rsid w:val="00D52637"/>
    <w:rsid w:val="00D52673"/>
    <w:rsid w:val="00D528F4"/>
    <w:rsid w:val="00D5296D"/>
    <w:rsid w:val="00D5297D"/>
    <w:rsid w:val="00D52A6A"/>
    <w:rsid w:val="00D52BBA"/>
    <w:rsid w:val="00D52CDE"/>
    <w:rsid w:val="00D52F0E"/>
    <w:rsid w:val="00D52FC2"/>
    <w:rsid w:val="00D53076"/>
    <w:rsid w:val="00D530AD"/>
    <w:rsid w:val="00D531D6"/>
    <w:rsid w:val="00D533A1"/>
    <w:rsid w:val="00D5370B"/>
    <w:rsid w:val="00D53814"/>
    <w:rsid w:val="00D5384D"/>
    <w:rsid w:val="00D53AEA"/>
    <w:rsid w:val="00D53B18"/>
    <w:rsid w:val="00D53C51"/>
    <w:rsid w:val="00D53CD9"/>
    <w:rsid w:val="00D53E18"/>
    <w:rsid w:val="00D54074"/>
    <w:rsid w:val="00D540CD"/>
    <w:rsid w:val="00D54420"/>
    <w:rsid w:val="00D5492B"/>
    <w:rsid w:val="00D54A88"/>
    <w:rsid w:val="00D54C85"/>
    <w:rsid w:val="00D54DC6"/>
    <w:rsid w:val="00D54FAA"/>
    <w:rsid w:val="00D5501B"/>
    <w:rsid w:val="00D550B6"/>
    <w:rsid w:val="00D5522C"/>
    <w:rsid w:val="00D5565B"/>
    <w:rsid w:val="00D556B9"/>
    <w:rsid w:val="00D55702"/>
    <w:rsid w:val="00D557FA"/>
    <w:rsid w:val="00D5582F"/>
    <w:rsid w:val="00D55857"/>
    <w:rsid w:val="00D558B2"/>
    <w:rsid w:val="00D558C1"/>
    <w:rsid w:val="00D55911"/>
    <w:rsid w:val="00D559A1"/>
    <w:rsid w:val="00D55A18"/>
    <w:rsid w:val="00D55B39"/>
    <w:rsid w:val="00D55EB1"/>
    <w:rsid w:val="00D55F8C"/>
    <w:rsid w:val="00D5609D"/>
    <w:rsid w:val="00D5612E"/>
    <w:rsid w:val="00D56243"/>
    <w:rsid w:val="00D56453"/>
    <w:rsid w:val="00D566FB"/>
    <w:rsid w:val="00D56805"/>
    <w:rsid w:val="00D56816"/>
    <w:rsid w:val="00D56841"/>
    <w:rsid w:val="00D568DE"/>
    <w:rsid w:val="00D56A19"/>
    <w:rsid w:val="00D56AA6"/>
    <w:rsid w:val="00D56B9F"/>
    <w:rsid w:val="00D56BA5"/>
    <w:rsid w:val="00D56C1C"/>
    <w:rsid w:val="00D56FD5"/>
    <w:rsid w:val="00D57016"/>
    <w:rsid w:val="00D570B6"/>
    <w:rsid w:val="00D570C6"/>
    <w:rsid w:val="00D57226"/>
    <w:rsid w:val="00D57355"/>
    <w:rsid w:val="00D5739B"/>
    <w:rsid w:val="00D57441"/>
    <w:rsid w:val="00D57638"/>
    <w:rsid w:val="00D577BA"/>
    <w:rsid w:val="00D577D5"/>
    <w:rsid w:val="00D578A6"/>
    <w:rsid w:val="00D578B5"/>
    <w:rsid w:val="00D5794E"/>
    <w:rsid w:val="00D5797C"/>
    <w:rsid w:val="00D57999"/>
    <w:rsid w:val="00D57AA4"/>
    <w:rsid w:val="00D57AB0"/>
    <w:rsid w:val="00D57ACD"/>
    <w:rsid w:val="00D57D59"/>
    <w:rsid w:val="00D57E10"/>
    <w:rsid w:val="00D6001D"/>
    <w:rsid w:val="00D6008F"/>
    <w:rsid w:val="00D60239"/>
    <w:rsid w:val="00D60421"/>
    <w:rsid w:val="00D60479"/>
    <w:rsid w:val="00D6069D"/>
    <w:rsid w:val="00D60792"/>
    <w:rsid w:val="00D60A13"/>
    <w:rsid w:val="00D60D7D"/>
    <w:rsid w:val="00D60E59"/>
    <w:rsid w:val="00D60F1C"/>
    <w:rsid w:val="00D60F47"/>
    <w:rsid w:val="00D6108B"/>
    <w:rsid w:val="00D61217"/>
    <w:rsid w:val="00D61316"/>
    <w:rsid w:val="00D6154F"/>
    <w:rsid w:val="00D616C6"/>
    <w:rsid w:val="00D6170A"/>
    <w:rsid w:val="00D617FD"/>
    <w:rsid w:val="00D618CE"/>
    <w:rsid w:val="00D61B85"/>
    <w:rsid w:val="00D61C66"/>
    <w:rsid w:val="00D61CB5"/>
    <w:rsid w:val="00D61DFC"/>
    <w:rsid w:val="00D6214B"/>
    <w:rsid w:val="00D622FF"/>
    <w:rsid w:val="00D624CC"/>
    <w:rsid w:val="00D628B1"/>
    <w:rsid w:val="00D628F9"/>
    <w:rsid w:val="00D62BE3"/>
    <w:rsid w:val="00D62C37"/>
    <w:rsid w:val="00D62CA4"/>
    <w:rsid w:val="00D62CF8"/>
    <w:rsid w:val="00D62E3F"/>
    <w:rsid w:val="00D62F1D"/>
    <w:rsid w:val="00D6301E"/>
    <w:rsid w:val="00D6305A"/>
    <w:rsid w:val="00D63115"/>
    <w:rsid w:val="00D63126"/>
    <w:rsid w:val="00D63280"/>
    <w:rsid w:val="00D633D0"/>
    <w:rsid w:val="00D63413"/>
    <w:rsid w:val="00D63423"/>
    <w:rsid w:val="00D63459"/>
    <w:rsid w:val="00D63636"/>
    <w:rsid w:val="00D6369C"/>
    <w:rsid w:val="00D636DB"/>
    <w:rsid w:val="00D6379E"/>
    <w:rsid w:val="00D6393A"/>
    <w:rsid w:val="00D63957"/>
    <w:rsid w:val="00D63BFD"/>
    <w:rsid w:val="00D63D7A"/>
    <w:rsid w:val="00D63DA0"/>
    <w:rsid w:val="00D63EDB"/>
    <w:rsid w:val="00D642B9"/>
    <w:rsid w:val="00D643E8"/>
    <w:rsid w:val="00D644CB"/>
    <w:rsid w:val="00D6459B"/>
    <w:rsid w:val="00D646D8"/>
    <w:rsid w:val="00D64750"/>
    <w:rsid w:val="00D64769"/>
    <w:rsid w:val="00D64938"/>
    <w:rsid w:val="00D64969"/>
    <w:rsid w:val="00D64A98"/>
    <w:rsid w:val="00D65015"/>
    <w:rsid w:val="00D650FA"/>
    <w:rsid w:val="00D65321"/>
    <w:rsid w:val="00D6546C"/>
    <w:rsid w:val="00D65585"/>
    <w:rsid w:val="00D655CE"/>
    <w:rsid w:val="00D65630"/>
    <w:rsid w:val="00D65C14"/>
    <w:rsid w:val="00D65DCD"/>
    <w:rsid w:val="00D65F73"/>
    <w:rsid w:val="00D65FB1"/>
    <w:rsid w:val="00D660AF"/>
    <w:rsid w:val="00D660F7"/>
    <w:rsid w:val="00D66151"/>
    <w:rsid w:val="00D66353"/>
    <w:rsid w:val="00D6641E"/>
    <w:rsid w:val="00D664DA"/>
    <w:rsid w:val="00D667B6"/>
    <w:rsid w:val="00D667E7"/>
    <w:rsid w:val="00D6705B"/>
    <w:rsid w:val="00D67340"/>
    <w:rsid w:val="00D67757"/>
    <w:rsid w:val="00D67839"/>
    <w:rsid w:val="00D678B0"/>
    <w:rsid w:val="00D67A6E"/>
    <w:rsid w:val="00D67E25"/>
    <w:rsid w:val="00D67E2A"/>
    <w:rsid w:val="00D67E71"/>
    <w:rsid w:val="00D67F47"/>
    <w:rsid w:val="00D703E3"/>
    <w:rsid w:val="00D705D6"/>
    <w:rsid w:val="00D70874"/>
    <w:rsid w:val="00D70BF4"/>
    <w:rsid w:val="00D70BFB"/>
    <w:rsid w:val="00D70C30"/>
    <w:rsid w:val="00D70CF0"/>
    <w:rsid w:val="00D70D6C"/>
    <w:rsid w:val="00D70F4F"/>
    <w:rsid w:val="00D70FE1"/>
    <w:rsid w:val="00D7162A"/>
    <w:rsid w:val="00D716D9"/>
    <w:rsid w:val="00D7171A"/>
    <w:rsid w:val="00D717D1"/>
    <w:rsid w:val="00D7186B"/>
    <w:rsid w:val="00D7197E"/>
    <w:rsid w:val="00D71C5C"/>
    <w:rsid w:val="00D71CDC"/>
    <w:rsid w:val="00D71EA9"/>
    <w:rsid w:val="00D72083"/>
    <w:rsid w:val="00D7208F"/>
    <w:rsid w:val="00D720E1"/>
    <w:rsid w:val="00D720F4"/>
    <w:rsid w:val="00D72220"/>
    <w:rsid w:val="00D7230F"/>
    <w:rsid w:val="00D72451"/>
    <w:rsid w:val="00D72718"/>
    <w:rsid w:val="00D7287D"/>
    <w:rsid w:val="00D72B63"/>
    <w:rsid w:val="00D72BD2"/>
    <w:rsid w:val="00D72CFA"/>
    <w:rsid w:val="00D72E7E"/>
    <w:rsid w:val="00D72EEB"/>
    <w:rsid w:val="00D73060"/>
    <w:rsid w:val="00D735C7"/>
    <w:rsid w:val="00D735EB"/>
    <w:rsid w:val="00D737AE"/>
    <w:rsid w:val="00D737C2"/>
    <w:rsid w:val="00D73A5C"/>
    <w:rsid w:val="00D73D75"/>
    <w:rsid w:val="00D7433B"/>
    <w:rsid w:val="00D74388"/>
    <w:rsid w:val="00D74422"/>
    <w:rsid w:val="00D744ED"/>
    <w:rsid w:val="00D74A74"/>
    <w:rsid w:val="00D74B29"/>
    <w:rsid w:val="00D74DD4"/>
    <w:rsid w:val="00D74FC7"/>
    <w:rsid w:val="00D75049"/>
    <w:rsid w:val="00D75099"/>
    <w:rsid w:val="00D752E0"/>
    <w:rsid w:val="00D752E9"/>
    <w:rsid w:val="00D7535F"/>
    <w:rsid w:val="00D753AE"/>
    <w:rsid w:val="00D7542A"/>
    <w:rsid w:val="00D75550"/>
    <w:rsid w:val="00D75778"/>
    <w:rsid w:val="00D75864"/>
    <w:rsid w:val="00D75898"/>
    <w:rsid w:val="00D75939"/>
    <w:rsid w:val="00D75975"/>
    <w:rsid w:val="00D75AD2"/>
    <w:rsid w:val="00D76144"/>
    <w:rsid w:val="00D7637A"/>
    <w:rsid w:val="00D76441"/>
    <w:rsid w:val="00D76598"/>
    <w:rsid w:val="00D76604"/>
    <w:rsid w:val="00D767AC"/>
    <w:rsid w:val="00D768FD"/>
    <w:rsid w:val="00D76A2F"/>
    <w:rsid w:val="00D76A5E"/>
    <w:rsid w:val="00D76AE4"/>
    <w:rsid w:val="00D76BEB"/>
    <w:rsid w:val="00D76C37"/>
    <w:rsid w:val="00D76C8A"/>
    <w:rsid w:val="00D76D56"/>
    <w:rsid w:val="00D76F53"/>
    <w:rsid w:val="00D771C3"/>
    <w:rsid w:val="00D77213"/>
    <w:rsid w:val="00D7732D"/>
    <w:rsid w:val="00D773DD"/>
    <w:rsid w:val="00D77634"/>
    <w:rsid w:val="00D77803"/>
    <w:rsid w:val="00D7785C"/>
    <w:rsid w:val="00D77932"/>
    <w:rsid w:val="00D77992"/>
    <w:rsid w:val="00D77BCD"/>
    <w:rsid w:val="00D77D29"/>
    <w:rsid w:val="00D77D49"/>
    <w:rsid w:val="00D77D69"/>
    <w:rsid w:val="00D77F9A"/>
    <w:rsid w:val="00D77FB5"/>
    <w:rsid w:val="00D80098"/>
    <w:rsid w:val="00D8051A"/>
    <w:rsid w:val="00D80B29"/>
    <w:rsid w:val="00D80E2A"/>
    <w:rsid w:val="00D80ED4"/>
    <w:rsid w:val="00D80F01"/>
    <w:rsid w:val="00D80F96"/>
    <w:rsid w:val="00D81299"/>
    <w:rsid w:val="00D812EE"/>
    <w:rsid w:val="00D8135D"/>
    <w:rsid w:val="00D81412"/>
    <w:rsid w:val="00D815D0"/>
    <w:rsid w:val="00D816B3"/>
    <w:rsid w:val="00D816E8"/>
    <w:rsid w:val="00D81837"/>
    <w:rsid w:val="00D8184F"/>
    <w:rsid w:val="00D8186D"/>
    <w:rsid w:val="00D818EA"/>
    <w:rsid w:val="00D81BB6"/>
    <w:rsid w:val="00D81F03"/>
    <w:rsid w:val="00D822B2"/>
    <w:rsid w:val="00D82397"/>
    <w:rsid w:val="00D82425"/>
    <w:rsid w:val="00D82500"/>
    <w:rsid w:val="00D8254D"/>
    <w:rsid w:val="00D82658"/>
    <w:rsid w:val="00D82778"/>
    <w:rsid w:val="00D82A27"/>
    <w:rsid w:val="00D82BAA"/>
    <w:rsid w:val="00D82C97"/>
    <w:rsid w:val="00D8300A"/>
    <w:rsid w:val="00D830B0"/>
    <w:rsid w:val="00D8327D"/>
    <w:rsid w:val="00D833CC"/>
    <w:rsid w:val="00D8341D"/>
    <w:rsid w:val="00D83484"/>
    <w:rsid w:val="00D8361E"/>
    <w:rsid w:val="00D838A1"/>
    <w:rsid w:val="00D83AF5"/>
    <w:rsid w:val="00D83DA4"/>
    <w:rsid w:val="00D83DB8"/>
    <w:rsid w:val="00D83E0F"/>
    <w:rsid w:val="00D83E39"/>
    <w:rsid w:val="00D8400C"/>
    <w:rsid w:val="00D84396"/>
    <w:rsid w:val="00D8467B"/>
    <w:rsid w:val="00D846CA"/>
    <w:rsid w:val="00D84794"/>
    <w:rsid w:val="00D84AB1"/>
    <w:rsid w:val="00D84BBD"/>
    <w:rsid w:val="00D84C4B"/>
    <w:rsid w:val="00D84F36"/>
    <w:rsid w:val="00D84F53"/>
    <w:rsid w:val="00D84F85"/>
    <w:rsid w:val="00D850FE"/>
    <w:rsid w:val="00D858AB"/>
    <w:rsid w:val="00D85998"/>
    <w:rsid w:val="00D85A39"/>
    <w:rsid w:val="00D85A56"/>
    <w:rsid w:val="00D86149"/>
    <w:rsid w:val="00D8641C"/>
    <w:rsid w:val="00D86578"/>
    <w:rsid w:val="00D8661C"/>
    <w:rsid w:val="00D86907"/>
    <w:rsid w:val="00D86A75"/>
    <w:rsid w:val="00D86A9F"/>
    <w:rsid w:val="00D86BA2"/>
    <w:rsid w:val="00D86D4A"/>
    <w:rsid w:val="00D86E1E"/>
    <w:rsid w:val="00D86F50"/>
    <w:rsid w:val="00D87097"/>
    <w:rsid w:val="00D8710F"/>
    <w:rsid w:val="00D8718D"/>
    <w:rsid w:val="00D87194"/>
    <w:rsid w:val="00D872B6"/>
    <w:rsid w:val="00D874A3"/>
    <w:rsid w:val="00D875AC"/>
    <w:rsid w:val="00D87A55"/>
    <w:rsid w:val="00D87B41"/>
    <w:rsid w:val="00D87B45"/>
    <w:rsid w:val="00D87BA4"/>
    <w:rsid w:val="00D87C82"/>
    <w:rsid w:val="00D87D67"/>
    <w:rsid w:val="00D90132"/>
    <w:rsid w:val="00D901CF"/>
    <w:rsid w:val="00D9023D"/>
    <w:rsid w:val="00D903F2"/>
    <w:rsid w:val="00D90545"/>
    <w:rsid w:val="00D905D9"/>
    <w:rsid w:val="00D90879"/>
    <w:rsid w:val="00D90940"/>
    <w:rsid w:val="00D90BB8"/>
    <w:rsid w:val="00D90C97"/>
    <w:rsid w:val="00D90D14"/>
    <w:rsid w:val="00D90D17"/>
    <w:rsid w:val="00D90E54"/>
    <w:rsid w:val="00D90EDD"/>
    <w:rsid w:val="00D912C6"/>
    <w:rsid w:val="00D917D7"/>
    <w:rsid w:val="00D91860"/>
    <w:rsid w:val="00D918B3"/>
    <w:rsid w:val="00D91C9B"/>
    <w:rsid w:val="00D91CC1"/>
    <w:rsid w:val="00D91E94"/>
    <w:rsid w:val="00D91F4F"/>
    <w:rsid w:val="00D91F73"/>
    <w:rsid w:val="00D9216E"/>
    <w:rsid w:val="00D921DC"/>
    <w:rsid w:val="00D922B5"/>
    <w:rsid w:val="00D92432"/>
    <w:rsid w:val="00D9263D"/>
    <w:rsid w:val="00D9266B"/>
    <w:rsid w:val="00D927A6"/>
    <w:rsid w:val="00D92824"/>
    <w:rsid w:val="00D92A41"/>
    <w:rsid w:val="00D92A92"/>
    <w:rsid w:val="00D92AB9"/>
    <w:rsid w:val="00D92B52"/>
    <w:rsid w:val="00D92EF7"/>
    <w:rsid w:val="00D933B4"/>
    <w:rsid w:val="00D934FF"/>
    <w:rsid w:val="00D93859"/>
    <w:rsid w:val="00D93AC4"/>
    <w:rsid w:val="00D93AF3"/>
    <w:rsid w:val="00D93BCC"/>
    <w:rsid w:val="00D93C4E"/>
    <w:rsid w:val="00D93C62"/>
    <w:rsid w:val="00D93CC4"/>
    <w:rsid w:val="00D93ED0"/>
    <w:rsid w:val="00D93FF0"/>
    <w:rsid w:val="00D9419D"/>
    <w:rsid w:val="00D9468F"/>
    <w:rsid w:val="00D948CF"/>
    <w:rsid w:val="00D94932"/>
    <w:rsid w:val="00D94939"/>
    <w:rsid w:val="00D94A6C"/>
    <w:rsid w:val="00D94B90"/>
    <w:rsid w:val="00D94EB2"/>
    <w:rsid w:val="00D951BF"/>
    <w:rsid w:val="00D9538B"/>
    <w:rsid w:val="00D953AA"/>
    <w:rsid w:val="00D9546B"/>
    <w:rsid w:val="00D954F0"/>
    <w:rsid w:val="00D958D2"/>
    <w:rsid w:val="00D95A94"/>
    <w:rsid w:val="00D95B9D"/>
    <w:rsid w:val="00D95BCE"/>
    <w:rsid w:val="00D95C09"/>
    <w:rsid w:val="00D95C99"/>
    <w:rsid w:val="00D961D9"/>
    <w:rsid w:val="00D96296"/>
    <w:rsid w:val="00D96466"/>
    <w:rsid w:val="00D96493"/>
    <w:rsid w:val="00D964DC"/>
    <w:rsid w:val="00D96806"/>
    <w:rsid w:val="00D96FB5"/>
    <w:rsid w:val="00D97075"/>
    <w:rsid w:val="00D97211"/>
    <w:rsid w:val="00D97556"/>
    <w:rsid w:val="00D9766E"/>
    <w:rsid w:val="00D97696"/>
    <w:rsid w:val="00D9784E"/>
    <w:rsid w:val="00D97B21"/>
    <w:rsid w:val="00D97B64"/>
    <w:rsid w:val="00D97E11"/>
    <w:rsid w:val="00DA0024"/>
    <w:rsid w:val="00DA041A"/>
    <w:rsid w:val="00DA06B3"/>
    <w:rsid w:val="00DA073E"/>
    <w:rsid w:val="00DA07AE"/>
    <w:rsid w:val="00DA07FA"/>
    <w:rsid w:val="00DA0975"/>
    <w:rsid w:val="00DA0B26"/>
    <w:rsid w:val="00DA0D12"/>
    <w:rsid w:val="00DA0DD0"/>
    <w:rsid w:val="00DA0DD6"/>
    <w:rsid w:val="00DA13F3"/>
    <w:rsid w:val="00DA14ED"/>
    <w:rsid w:val="00DA16BC"/>
    <w:rsid w:val="00DA16D1"/>
    <w:rsid w:val="00DA1962"/>
    <w:rsid w:val="00DA1989"/>
    <w:rsid w:val="00DA199C"/>
    <w:rsid w:val="00DA1D21"/>
    <w:rsid w:val="00DA1E5F"/>
    <w:rsid w:val="00DA1F4F"/>
    <w:rsid w:val="00DA2125"/>
    <w:rsid w:val="00DA230A"/>
    <w:rsid w:val="00DA254D"/>
    <w:rsid w:val="00DA2642"/>
    <w:rsid w:val="00DA2730"/>
    <w:rsid w:val="00DA27FA"/>
    <w:rsid w:val="00DA2944"/>
    <w:rsid w:val="00DA2990"/>
    <w:rsid w:val="00DA29D1"/>
    <w:rsid w:val="00DA2BA9"/>
    <w:rsid w:val="00DA30BF"/>
    <w:rsid w:val="00DA3264"/>
    <w:rsid w:val="00DA32EC"/>
    <w:rsid w:val="00DA342A"/>
    <w:rsid w:val="00DA3632"/>
    <w:rsid w:val="00DA3A73"/>
    <w:rsid w:val="00DA3C10"/>
    <w:rsid w:val="00DA3C4C"/>
    <w:rsid w:val="00DA3C55"/>
    <w:rsid w:val="00DA3C70"/>
    <w:rsid w:val="00DA3C8B"/>
    <w:rsid w:val="00DA3DD9"/>
    <w:rsid w:val="00DA3F4A"/>
    <w:rsid w:val="00DA418B"/>
    <w:rsid w:val="00DA42D8"/>
    <w:rsid w:val="00DA45E2"/>
    <w:rsid w:val="00DA4632"/>
    <w:rsid w:val="00DA48A3"/>
    <w:rsid w:val="00DA4910"/>
    <w:rsid w:val="00DA4B39"/>
    <w:rsid w:val="00DA4B89"/>
    <w:rsid w:val="00DA504A"/>
    <w:rsid w:val="00DA5064"/>
    <w:rsid w:val="00DA5082"/>
    <w:rsid w:val="00DA5144"/>
    <w:rsid w:val="00DA5253"/>
    <w:rsid w:val="00DA52A9"/>
    <w:rsid w:val="00DA55E7"/>
    <w:rsid w:val="00DA57DD"/>
    <w:rsid w:val="00DA596D"/>
    <w:rsid w:val="00DA59B9"/>
    <w:rsid w:val="00DA59D9"/>
    <w:rsid w:val="00DA5A11"/>
    <w:rsid w:val="00DA5A2B"/>
    <w:rsid w:val="00DA5A69"/>
    <w:rsid w:val="00DA5C94"/>
    <w:rsid w:val="00DA5CEA"/>
    <w:rsid w:val="00DA6091"/>
    <w:rsid w:val="00DA645E"/>
    <w:rsid w:val="00DA6683"/>
    <w:rsid w:val="00DA684B"/>
    <w:rsid w:val="00DA6950"/>
    <w:rsid w:val="00DA6B26"/>
    <w:rsid w:val="00DA6B5A"/>
    <w:rsid w:val="00DA6D16"/>
    <w:rsid w:val="00DA7071"/>
    <w:rsid w:val="00DA72E9"/>
    <w:rsid w:val="00DA7342"/>
    <w:rsid w:val="00DA7441"/>
    <w:rsid w:val="00DA7742"/>
    <w:rsid w:val="00DA7803"/>
    <w:rsid w:val="00DA784A"/>
    <w:rsid w:val="00DA7995"/>
    <w:rsid w:val="00DA79A2"/>
    <w:rsid w:val="00DA79B1"/>
    <w:rsid w:val="00DA7B74"/>
    <w:rsid w:val="00DA7E08"/>
    <w:rsid w:val="00DA7FF1"/>
    <w:rsid w:val="00DB00C9"/>
    <w:rsid w:val="00DB03DD"/>
    <w:rsid w:val="00DB049C"/>
    <w:rsid w:val="00DB04D4"/>
    <w:rsid w:val="00DB05FF"/>
    <w:rsid w:val="00DB06C2"/>
    <w:rsid w:val="00DB0721"/>
    <w:rsid w:val="00DB0750"/>
    <w:rsid w:val="00DB089A"/>
    <w:rsid w:val="00DB0B3A"/>
    <w:rsid w:val="00DB0C4C"/>
    <w:rsid w:val="00DB0CB1"/>
    <w:rsid w:val="00DB1087"/>
    <w:rsid w:val="00DB1117"/>
    <w:rsid w:val="00DB1119"/>
    <w:rsid w:val="00DB117A"/>
    <w:rsid w:val="00DB11E5"/>
    <w:rsid w:val="00DB1811"/>
    <w:rsid w:val="00DB1AAB"/>
    <w:rsid w:val="00DB1AB7"/>
    <w:rsid w:val="00DB1C8E"/>
    <w:rsid w:val="00DB1DD3"/>
    <w:rsid w:val="00DB204E"/>
    <w:rsid w:val="00DB2369"/>
    <w:rsid w:val="00DB271A"/>
    <w:rsid w:val="00DB28E2"/>
    <w:rsid w:val="00DB2A8F"/>
    <w:rsid w:val="00DB2B17"/>
    <w:rsid w:val="00DB2B19"/>
    <w:rsid w:val="00DB2D33"/>
    <w:rsid w:val="00DB2F57"/>
    <w:rsid w:val="00DB3381"/>
    <w:rsid w:val="00DB3421"/>
    <w:rsid w:val="00DB344A"/>
    <w:rsid w:val="00DB37CD"/>
    <w:rsid w:val="00DB3842"/>
    <w:rsid w:val="00DB3923"/>
    <w:rsid w:val="00DB3B3E"/>
    <w:rsid w:val="00DB3BD0"/>
    <w:rsid w:val="00DB3FCD"/>
    <w:rsid w:val="00DB3FDF"/>
    <w:rsid w:val="00DB4023"/>
    <w:rsid w:val="00DB404D"/>
    <w:rsid w:val="00DB40F2"/>
    <w:rsid w:val="00DB4137"/>
    <w:rsid w:val="00DB41C0"/>
    <w:rsid w:val="00DB4266"/>
    <w:rsid w:val="00DB4410"/>
    <w:rsid w:val="00DB466F"/>
    <w:rsid w:val="00DB4763"/>
    <w:rsid w:val="00DB493C"/>
    <w:rsid w:val="00DB4BC6"/>
    <w:rsid w:val="00DB4C85"/>
    <w:rsid w:val="00DB4CB9"/>
    <w:rsid w:val="00DB4E43"/>
    <w:rsid w:val="00DB4E90"/>
    <w:rsid w:val="00DB4FD5"/>
    <w:rsid w:val="00DB519C"/>
    <w:rsid w:val="00DB5238"/>
    <w:rsid w:val="00DB524C"/>
    <w:rsid w:val="00DB535D"/>
    <w:rsid w:val="00DB5572"/>
    <w:rsid w:val="00DB5596"/>
    <w:rsid w:val="00DB572F"/>
    <w:rsid w:val="00DB598D"/>
    <w:rsid w:val="00DB5B6C"/>
    <w:rsid w:val="00DB5B9F"/>
    <w:rsid w:val="00DB5C5C"/>
    <w:rsid w:val="00DB5D79"/>
    <w:rsid w:val="00DB5DB3"/>
    <w:rsid w:val="00DB5ED6"/>
    <w:rsid w:val="00DB61F9"/>
    <w:rsid w:val="00DB638B"/>
    <w:rsid w:val="00DB6541"/>
    <w:rsid w:val="00DB658E"/>
    <w:rsid w:val="00DB6666"/>
    <w:rsid w:val="00DB6754"/>
    <w:rsid w:val="00DB67FA"/>
    <w:rsid w:val="00DB71BD"/>
    <w:rsid w:val="00DB71CE"/>
    <w:rsid w:val="00DB71E5"/>
    <w:rsid w:val="00DB7214"/>
    <w:rsid w:val="00DB7512"/>
    <w:rsid w:val="00DB75E2"/>
    <w:rsid w:val="00DB7607"/>
    <w:rsid w:val="00DB7789"/>
    <w:rsid w:val="00DB7802"/>
    <w:rsid w:val="00DB7865"/>
    <w:rsid w:val="00DB78A9"/>
    <w:rsid w:val="00DB7A84"/>
    <w:rsid w:val="00DB7B3D"/>
    <w:rsid w:val="00DB7DD1"/>
    <w:rsid w:val="00DB7E6B"/>
    <w:rsid w:val="00DC00AC"/>
    <w:rsid w:val="00DC00B8"/>
    <w:rsid w:val="00DC0167"/>
    <w:rsid w:val="00DC01DF"/>
    <w:rsid w:val="00DC0232"/>
    <w:rsid w:val="00DC0362"/>
    <w:rsid w:val="00DC03A0"/>
    <w:rsid w:val="00DC04CC"/>
    <w:rsid w:val="00DC0588"/>
    <w:rsid w:val="00DC074B"/>
    <w:rsid w:val="00DC085E"/>
    <w:rsid w:val="00DC093F"/>
    <w:rsid w:val="00DC1100"/>
    <w:rsid w:val="00DC116D"/>
    <w:rsid w:val="00DC1468"/>
    <w:rsid w:val="00DC1644"/>
    <w:rsid w:val="00DC16D1"/>
    <w:rsid w:val="00DC18B4"/>
    <w:rsid w:val="00DC1B90"/>
    <w:rsid w:val="00DC1C3D"/>
    <w:rsid w:val="00DC1CCB"/>
    <w:rsid w:val="00DC1DDB"/>
    <w:rsid w:val="00DC1FF7"/>
    <w:rsid w:val="00DC21B9"/>
    <w:rsid w:val="00DC2378"/>
    <w:rsid w:val="00DC25D6"/>
    <w:rsid w:val="00DC2688"/>
    <w:rsid w:val="00DC28DA"/>
    <w:rsid w:val="00DC2A25"/>
    <w:rsid w:val="00DC2B9E"/>
    <w:rsid w:val="00DC2E3E"/>
    <w:rsid w:val="00DC2E9C"/>
    <w:rsid w:val="00DC31CD"/>
    <w:rsid w:val="00DC3263"/>
    <w:rsid w:val="00DC34B0"/>
    <w:rsid w:val="00DC352E"/>
    <w:rsid w:val="00DC3563"/>
    <w:rsid w:val="00DC37B2"/>
    <w:rsid w:val="00DC3900"/>
    <w:rsid w:val="00DC3B50"/>
    <w:rsid w:val="00DC3C4C"/>
    <w:rsid w:val="00DC3D0E"/>
    <w:rsid w:val="00DC3DC3"/>
    <w:rsid w:val="00DC3DDE"/>
    <w:rsid w:val="00DC3E1E"/>
    <w:rsid w:val="00DC3E66"/>
    <w:rsid w:val="00DC3EDC"/>
    <w:rsid w:val="00DC3F57"/>
    <w:rsid w:val="00DC4254"/>
    <w:rsid w:val="00DC4545"/>
    <w:rsid w:val="00DC46D9"/>
    <w:rsid w:val="00DC4CA0"/>
    <w:rsid w:val="00DC4D2D"/>
    <w:rsid w:val="00DC4D91"/>
    <w:rsid w:val="00DC4FBA"/>
    <w:rsid w:val="00DC5094"/>
    <w:rsid w:val="00DC50B8"/>
    <w:rsid w:val="00DC5298"/>
    <w:rsid w:val="00DC54A4"/>
    <w:rsid w:val="00DC570A"/>
    <w:rsid w:val="00DC5716"/>
    <w:rsid w:val="00DC57CA"/>
    <w:rsid w:val="00DC5A10"/>
    <w:rsid w:val="00DC5B64"/>
    <w:rsid w:val="00DC5CA3"/>
    <w:rsid w:val="00DC6090"/>
    <w:rsid w:val="00DC609D"/>
    <w:rsid w:val="00DC638F"/>
    <w:rsid w:val="00DC6396"/>
    <w:rsid w:val="00DC63D5"/>
    <w:rsid w:val="00DC6530"/>
    <w:rsid w:val="00DC65D0"/>
    <w:rsid w:val="00DC6641"/>
    <w:rsid w:val="00DC66A5"/>
    <w:rsid w:val="00DC66C3"/>
    <w:rsid w:val="00DC670A"/>
    <w:rsid w:val="00DC67C5"/>
    <w:rsid w:val="00DC67D4"/>
    <w:rsid w:val="00DC68E6"/>
    <w:rsid w:val="00DC6A20"/>
    <w:rsid w:val="00DC6CD8"/>
    <w:rsid w:val="00DC6F22"/>
    <w:rsid w:val="00DC70C7"/>
    <w:rsid w:val="00DC7157"/>
    <w:rsid w:val="00DC7297"/>
    <w:rsid w:val="00DC73B7"/>
    <w:rsid w:val="00DC7416"/>
    <w:rsid w:val="00DC76D1"/>
    <w:rsid w:val="00DC7B42"/>
    <w:rsid w:val="00DC7D3C"/>
    <w:rsid w:val="00DC7E54"/>
    <w:rsid w:val="00DC7FA9"/>
    <w:rsid w:val="00DD0061"/>
    <w:rsid w:val="00DD011D"/>
    <w:rsid w:val="00DD0198"/>
    <w:rsid w:val="00DD0463"/>
    <w:rsid w:val="00DD04C4"/>
    <w:rsid w:val="00DD054D"/>
    <w:rsid w:val="00DD0582"/>
    <w:rsid w:val="00DD0616"/>
    <w:rsid w:val="00DD06AC"/>
    <w:rsid w:val="00DD0BA6"/>
    <w:rsid w:val="00DD0CEC"/>
    <w:rsid w:val="00DD0D3C"/>
    <w:rsid w:val="00DD0FAE"/>
    <w:rsid w:val="00DD0FBC"/>
    <w:rsid w:val="00DD10DC"/>
    <w:rsid w:val="00DD13BD"/>
    <w:rsid w:val="00DD154C"/>
    <w:rsid w:val="00DD157E"/>
    <w:rsid w:val="00DD1631"/>
    <w:rsid w:val="00DD17A4"/>
    <w:rsid w:val="00DD181E"/>
    <w:rsid w:val="00DD1836"/>
    <w:rsid w:val="00DD1C6A"/>
    <w:rsid w:val="00DD1DF0"/>
    <w:rsid w:val="00DD1FC9"/>
    <w:rsid w:val="00DD1FDE"/>
    <w:rsid w:val="00DD22FF"/>
    <w:rsid w:val="00DD26D8"/>
    <w:rsid w:val="00DD2972"/>
    <w:rsid w:val="00DD29AE"/>
    <w:rsid w:val="00DD29B5"/>
    <w:rsid w:val="00DD2BDF"/>
    <w:rsid w:val="00DD2E5E"/>
    <w:rsid w:val="00DD2EEF"/>
    <w:rsid w:val="00DD2F10"/>
    <w:rsid w:val="00DD2F61"/>
    <w:rsid w:val="00DD3260"/>
    <w:rsid w:val="00DD33A6"/>
    <w:rsid w:val="00DD395D"/>
    <w:rsid w:val="00DD3E01"/>
    <w:rsid w:val="00DD3ED7"/>
    <w:rsid w:val="00DD3FCE"/>
    <w:rsid w:val="00DD40D2"/>
    <w:rsid w:val="00DD40F1"/>
    <w:rsid w:val="00DD4142"/>
    <w:rsid w:val="00DD4784"/>
    <w:rsid w:val="00DD4798"/>
    <w:rsid w:val="00DD47B0"/>
    <w:rsid w:val="00DD488C"/>
    <w:rsid w:val="00DD48A8"/>
    <w:rsid w:val="00DD4982"/>
    <w:rsid w:val="00DD49A0"/>
    <w:rsid w:val="00DD4AB6"/>
    <w:rsid w:val="00DD4B4F"/>
    <w:rsid w:val="00DD4C0F"/>
    <w:rsid w:val="00DD4C7E"/>
    <w:rsid w:val="00DD5014"/>
    <w:rsid w:val="00DD525D"/>
    <w:rsid w:val="00DD52C7"/>
    <w:rsid w:val="00DD5515"/>
    <w:rsid w:val="00DD5669"/>
    <w:rsid w:val="00DD56E7"/>
    <w:rsid w:val="00DD5A1B"/>
    <w:rsid w:val="00DD5C79"/>
    <w:rsid w:val="00DD5D32"/>
    <w:rsid w:val="00DD5D3F"/>
    <w:rsid w:val="00DD5D4E"/>
    <w:rsid w:val="00DD5E10"/>
    <w:rsid w:val="00DD5E73"/>
    <w:rsid w:val="00DD6024"/>
    <w:rsid w:val="00DD65CF"/>
    <w:rsid w:val="00DD6637"/>
    <w:rsid w:val="00DD66B5"/>
    <w:rsid w:val="00DD66CC"/>
    <w:rsid w:val="00DD671E"/>
    <w:rsid w:val="00DD67E6"/>
    <w:rsid w:val="00DD69C3"/>
    <w:rsid w:val="00DD6D0C"/>
    <w:rsid w:val="00DD6DD7"/>
    <w:rsid w:val="00DD6EDF"/>
    <w:rsid w:val="00DD715C"/>
    <w:rsid w:val="00DD71CD"/>
    <w:rsid w:val="00DD735B"/>
    <w:rsid w:val="00DD73D7"/>
    <w:rsid w:val="00DD7601"/>
    <w:rsid w:val="00DD7643"/>
    <w:rsid w:val="00DD78C9"/>
    <w:rsid w:val="00DD79F1"/>
    <w:rsid w:val="00DD7A6C"/>
    <w:rsid w:val="00DD7C20"/>
    <w:rsid w:val="00DD7D2B"/>
    <w:rsid w:val="00DD7DB4"/>
    <w:rsid w:val="00DD7E49"/>
    <w:rsid w:val="00DE0090"/>
    <w:rsid w:val="00DE016D"/>
    <w:rsid w:val="00DE01B0"/>
    <w:rsid w:val="00DE04BA"/>
    <w:rsid w:val="00DE04CC"/>
    <w:rsid w:val="00DE0635"/>
    <w:rsid w:val="00DE0835"/>
    <w:rsid w:val="00DE083B"/>
    <w:rsid w:val="00DE0957"/>
    <w:rsid w:val="00DE0F13"/>
    <w:rsid w:val="00DE0F50"/>
    <w:rsid w:val="00DE0F5D"/>
    <w:rsid w:val="00DE121C"/>
    <w:rsid w:val="00DE1253"/>
    <w:rsid w:val="00DE140A"/>
    <w:rsid w:val="00DE154F"/>
    <w:rsid w:val="00DE18BC"/>
    <w:rsid w:val="00DE19AA"/>
    <w:rsid w:val="00DE1AAB"/>
    <w:rsid w:val="00DE1B4C"/>
    <w:rsid w:val="00DE1C5C"/>
    <w:rsid w:val="00DE1D28"/>
    <w:rsid w:val="00DE1D59"/>
    <w:rsid w:val="00DE1FC6"/>
    <w:rsid w:val="00DE2050"/>
    <w:rsid w:val="00DE24CC"/>
    <w:rsid w:val="00DE2616"/>
    <w:rsid w:val="00DE2802"/>
    <w:rsid w:val="00DE2915"/>
    <w:rsid w:val="00DE2942"/>
    <w:rsid w:val="00DE2997"/>
    <w:rsid w:val="00DE29BD"/>
    <w:rsid w:val="00DE2C9C"/>
    <w:rsid w:val="00DE2F08"/>
    <w:rsid w:val="00DE301E"/>
    <w:rsid w:val="00DE3210"/>
    <w:rsid w:val="00DE363D"/>
    <w:rsid w:val="00DE3682"/>
    <w:rsid w:val="00DE3949"/>
    <w:rsid w:val="00DE3A8B"/>
    <w:rsid w:val="00DE3ABC"/>
    <w:rsid w:val="00DE3BB2"/>
    <w:rsid w:val="00DE3DF7"/>
    <w:rsid w:val="00DE426D"/>
    <w:rsid w:val="00DE459D"/>
    <w:rsid w:val="00DE45D5"/>
    <w:rsid w:val="00DE487F"/>
    <w:rsid w:val="00DE4F47"/>
    <w:rsid w:val="00DE5116"/>
    <w:rsid w:val="00DE512E"/>
    <w:rsid w:val="00DE5132"/>
    <w:rsid w:val="00DE5255"/>
    <w:rsid w:val="00DE527B"/>
    <w:rsid w:val="00DE53B2"/>
    <w:rsid w:val="00DE541F"/>
    <w:rsid w:val="00DE5647"/>
    <w:rsid w:val="00DE5674"/>
    <w:rsid w:val="00DE5821"/>
    <w:rsid w:val="00DE58E1"/>
    <w:rsid w:val="00DE5957"/>
    <w:rsid w:val="00DE5972"/>
    <w:rsid w:val="00DE5A04"/>
    <w:rsid w:val="00DE5B22"/>
    <w:rsid w:val="00DE5C47"/>
    <w:rsid w:val="00DE5DFD"/>
    <w:rsid w:val="00DE5E92"/>
    <w:rsid w:val="00DE61D6"/>
    <w:rsid w:val="00DE6357"/>
    <w:rsid w:val="00DE68DF"/>
    <w:rsid w:val="00DE6E1C"/>
    <w:rsid w:val="00DE6F98"/>
    <w:rsid w:val="00DE7014"/>
    <w:rsid w:val="00DE711E"/>
    <w:rsid w:val="00DE7134"/>
    <w:rsid w:val="00DE718D"/>
    <w:rsid w:val="00DE7216"/>
    <w:rsid w:val="00DE7272"/>
    <w:rsid w:val="00DE7368"/>
    <w:rsid w:val="00DE73B6"/>
    <w:rsid w:val="00DE76EC"/>
    <w:rsid w:val="00DE775D"/>
    <w:rsid w:val="00DE7D1C"/>
    <w:rsid w:val="00DE7F08"/>
    <w:rsid w:val="00DF01B0"/>
    <w:rsid w:val="00DF06E9"/>
    <w:rsid w:val="00DF079F"/>
    <w:rsid w:val="00DF08BC"/>
    <w:rsid w:val="00DF08EC"/>
    <w:rsid w:val="00DF0964"/>
    <w:rsid w:val="00DF0B00"/>
    <w:rsid w:val="00DF0BD2"/>
    <w:rsid w:val="00DF0E25"/>
    <w:rsid w:val="00DF1066"/>
    <w:rsid w:val="00DF117F"/>
    <w:rsid w:val="00DF134B"/>
    <w:rsid w:val="00DF14C7"/>
    <w:rsid w:val="00DF1589"/>
    <w:rsid w:val="00DF16FE"/>
    <w:rsid w:val="00DF1738"/>
    <w:rsid w:val="00DF1752"/>
    <w:rsid w:val="00DF1934"/>
    <w:rsid w:val="00DF1B02"/>
    <w:rsid w:val="00DF1DAC"/>
    <w:rsid w:val="00DF1E47"/>
    <w:rsid w:val="00DF1F27"/>
    <w:rsid w:val="00DF207B"/>
    <w:rsid w:val="00DF23C2"/>
    <w:rsid w:val="00DF24D0"/>
    <w:rsid w:val="00DF25BB"/>
    <w:rsid w:val="00DF2817"/>
    <w:rsid w:val="00DF286A"/>
    <w:rsid w:val="00DF28F0"/>
    <w:rsid w:val="00DF2957"/>
    <w:rsid w:val="00DF2A2B"/>
    <w:rsid w:val="00DF2BE2"/>
    <w:rsid w:val="00DF2E25"/>
    <w:rsid w:val="00DF2FB7"/>
    <w:rsid w:val="00DF3023"/>
    <w:rsid w:val="00DF315E"/>
    <w:rsid w:val="00DF3335"/>
    <w:rsid w:val="00DF340D"/>
    <w:rsid w:val="00DF360B"/>
    <w:rsid w:val="00DF37E6"/>
    <w:rsid w:val="00DF3D43"/>
    <w:rsid w:val="00DF3E4E"/>
    <w:rsid w:val="00DF4005"/>
    <w:rsid w:val="00DF402F"/>
    <w:rsid w:val="00DF4075"/>
    <w:rsid w:val="00DF4610"/>
    <w:rsid w:val="00DF46FC"/>
    <w:rsid w:val="00DF4709"/>
    <w:rsid w:val="00DF48A7"/>
    <w:rsid w:val="00DF4994"/>
    <w:rsid w:val="00DF4A4E"/>
    <w:rsid w:val="00DF4B62"/>
    <w:rsid w:val="00DF4D23"/>
    <w:rsid w:val="00DF4FF0"/>
    <w:rsid w:val="00DF5066"/>
    <w:rsid w:val="00DF529A"/>
    <w:rsid w:val="00DF547E"/>
    <w:rsid w:val="00DF55A4"/>
    <w:rsid w:val="00DF55E7"/>
    <w:rsid w:val="00DF576E"/>
    <w:rsid w:val="00DF577B"/>
    <w:rsid w:val="00DF5846"/>
    <w:rsid w:val="00DF585A"/>
    <w:rsid w:val="00DF5AB1"/>
    <w:rsid w:val="00DF5B0A"/>
    <w:rsid w:val="00DF5B89"/>
    <w:rsid w:val="00DF5C63"/>
    <w:rsid w:val="00DF5F20"/>
    <w:rsid w:val="00DF5FAA"/>
    <w:rsid w:val="00DF60DB"/>
    <w:rsid w:val="00DF61B9"/>
    <w:rsid w:val="00DF62B3"/>
    <w:rsid w:val="00DF632C"/>
    <w:rsid w:val="00DF6332"/>
    <w:rsid w:val="00DF6345"/>
    <w:rsid w:val="00DF634B"/>
    <w:rsid w:val="00DF6588"/>
    <w:rsid w:val="00DF6ABD"/>
    <w:rsid w:val="00DF6B26"/>
    <w:rsid w:val="00DF6CEC"/>
    <w:rsid w:val="00DF6DFF"/>
    <w:rsid w:val="00DF6E65"/>
    <w:rsid w:val="00DF7018"/>
    <w:rsid w:val="00DF709E"/>
    <w:rsid w:val="00DF710A"/>
    <w:rsid w:val="00DF7232"/>
    <w:rsid w:val="00DF7303"/>
    <w:rsid w:val="00DF7332"/>
    <w:rsid w:val="00DF749A"/>
    <w:rsid w:val="00DF74C2"/>
    <w:rsid w:val="00DF7819"/>
    <w:rsid w:val="00DF7880"/>
    <w:rsid w:val="00DF79F1"/>
    <w:rsid w:val="00DF7A69"/>
    <w:rsid w:val="00DF7C50"/>
    <w:rsid w:val="00DF7C79"/>
    <w:rsid w:val="00DF7ED4"/>
    <w:rsid w:val="00E000B4"/>
    <w:rsid w:val="00E00521"/>
    <w:rsid w:val="00E008B9"/>
    <w:rsid w:val="00E00CEE"/>
    <w:rsid w:val="00E00D79"/>
    <w:rsid w:val="00E00DE1"/>
    <w:rsid w:val="00E01024"/>
    <w:rsid w:val="00E0105E"/>
    <w:rsid w:val="00E0124F"/>
    <w:rsid w:val="00E0131E"/>
    <w:rsid w:val="00E0144B"/>
    <w:rsid w:val="00E01502"/>
    <w:rsid w:val="00E01775"/>
    <w:rsid w:val="00E01926"/>
    <w:rsid w:val="00E01C4E"/>
    <w:rsid w:val="00E01F5E"/>
    <w:rsid w:val="00E02080"/>
    <w:rsid w:val="00E023AD"/>
    <w:rsid w:val="00E02464"/>
    <w:rsid w:val="00E024B5"/>
    <w:rsid w:val="00E0267B"/>
    <w:rsid w:val="00E02725"/>
    <w:rsid w:val="00E02A14"/>
    <w:rsid w:val="00E02B39"/>
    <w:rsid w:val="00E02BA5"/>
    <w:rsid w:val="00E03212"/>
    <w:rsid w:val="00E0333D"/>
    <w:rsid w:val="00E03975"/>
    <w:rsid w:val="00E03995"/>
    <w:rsid w:val="00E03C41"/>
    <w:rsid w:val="00E03F14"/>
    <w:rsid w:val="00E0400A"/>
    <w:rsid w:val="00E041E2"/>
    <w:rsid w:val="00E0426B"/>
    <w:rsid w:val="00E043F6"/>
    <w:rsid w:val="00E0479E"/>
    <w:rsid w:val="00E047C4"/>
    <w:rsid w:val="00E04926"/>
    <w:rsid w:val="00E0494E"/>
    <w:rsid w:val="00E04F62"/>
    <w:rsid w:val="00E0517E"/>
    <w:rsid w:val="00E052A6"/>
    <w:rsid w:val="00E052B2"/>
    <w:rsid w:val="00E05312"/>
    <w:rsid w:val="00E05400"/>
    <w:rsid w:val="00E05776"/>
    <w:rsid w:val="00E0583E"/>
    <w:rsid w:val="00E05A3F"/>
    <w:rsid w:val="00E05E0E"/>
    <w:rsid w:val="00E05F84"/>
    <w:rsid w:val="00E060B6"/>
    <w:rsid w:val="00E06178"/>
    <w:rsid w:val="00E0617D"/>
    <w:rsid w:val="00E061AE"/>
    <w:rsid w:val="00E06425"/>
    <w:rsid w:val="00E06545"/>
    <w:rsid w:val="00E065AE"/>
    <w:rsid w:val="00E0660B"/>
    <w:rsid w:val="00E066F0"/>
    <w:rsid w:val="00E0690E"/>
    <w:rsid w:val="00E06997"/>
    <w:rsid w:val="00E06ABB"/>
    <w:rsid w:val="00E06CC0"/>
    <w:rsid w:val="00E06F2E"/>
    <w:rsid w:val="00E0706C"/>
    <w:rsid w:val="00E0708F"/>
    <w:rsid w:val="00E07443"/>
    <w:rsid w:val="00E07576"/>
    <w:rsid w:val="00E075DF"/>
    <w:rsid w:val="00E0783B"/>
    <w:rsid w:val="00E078BD"/>
    <w:rsid w:val="00E07924"/>
    <w:rsid w:val="00E07973"/>
    <w:rsid w:val="00E07C28"/>
    <w:rsid w:val="00E07F63"/>
    <w:rsid w:val="00E07F67"/>
    <w:rsid w:val="00E103E8"/>
    <w:rsid w:val="00E10413"/>
    <w:rsid w:val="00E1042D"/>
    <w:rsid w:val="00E1044A"/>
    <w:rsid w:val="00E104CB"/>
    <w:rsid w:val="00E1062E"/>
    <w:rsid w:val="00E109D3"/>
    <w:rsid w:val="00E10C6E"/>
    <w:rsid w:val="00E10DB6"/>
    <w:rsid w:val="00E10DD7"/>
    <w:rsid w:val="00E10F01"/>
    <w:rsid w:val="00E110BD"/>
    <w:rsid w:val="00E11125"/>
    <w:rsid w:val="00E1115C"/>
    <w:rsid w:val="00E11310"/>
    <w:rsid w:val="00E1143B"/>
    <w:rsid w:val="00E11477"/>
    <w:rsid w:val="00E11620"/>
    <w:rsid w:val="00E118B0"/>
    <w:rsid w:val="00E119BD"/>
    <w:rsid w:val="00E11A8A"/>
    <w:rsid w:val="00E11C03"/>
    <w:rsid w:val="00E11D07"/>
    <w:rsid w:val="00E1217F"/>
    <w:rsid w:val="00E121DB"/>
    <w:rsid w:val="00E1223E"/>
    <w:rsid w:val="00E12475"/>
    <w:rsid w:val="00E12496"/>
    <w:rsid w:val="00E124E5"/>
    <w:rsid w:val="00E126D5"/>
    <w:rsid w:val="00E128E9"/>
    <w:rsid w:val="00E1294D"/>
    <w:rsid w:val="00E12984"/>
    <w:rsid w:val="00E12B23"/>
    <w:rsid w:val="00E12B9D"/>
    <w:rsid w:val="00E12EC9"/>
    <w:rsid w:val="00E12EF1"/>
    <w:rsid w:val="00E12F52"/>
    <w:rsid w:val="00E1317E"/>
    <w:rsid w:val="00E13200"/>
    <w:rsid w:val="00E13250"/>
    <w:rsid w:val="00E13326"/>
    <w:rsid w:val="00E133ED"/>
    <w:rsid w:val="00E13472"/>
    <w:rsid w:val="00E135D7"/>
    <w:rsid w:val="00E1377B"/>
    <w:rsid w:val="00E138B4"/>
    <w:rsid w:val="00E138D4"/>
    <w:rsid w:val="00E13C6A"/>
    <w:rsid w:val="00E13C82"/>
    <w:rsid w:val="00E13F59"/>
    <w:rsid w:val="00E13FEB"/>
    <w:rsid w:val="00E14146"/>
    <w:rsid w:val="00E14509"/>
    <w:rsid w:val="00E14746"/>
    <w:rsid w:val="00E14958"/>
    <w:rsid w:val="00E14E84"/>
    <w:rsid w:val="00E14EE5"/>
    <w:rsid w:val="00E15043"/>
    <w:rsid w:val="00E15064"/>
    <w:rsid w:val="00E15517"/>
    <w:rsid w:val="00E159AA"/>
    <w:rsid w:val="00E15DEF"/>
    <w:rsid w:val="00E15E84"/>
    <w:rsid w:val="00E15E9E"/>
    <w:rsid w:val="00E160E2"/>
    <w:rsid w:val="00E1685E"/>
    <w:rsid w:val="00E168A4"/>
    <w:rsid w:val="00E16C3A"/>
    <w:rsid w:val="00E1701B"/>
    <w:rsid w:val="00E17065"/>
    <w:rsid w:val="00E17107"/>
    <w:rsid w:val="00E174F0"/>
    <w:rsid w:val="00E1751F"/>
    <w:rsid w:val="00E177FD"/>
    <w:rsid w:val="00E1785C"/>
    <w:rsid w:val="00E17963"/>
    <w:rsid w:val="00E17C27"/>
    <w:rsid w:val="00E17D0E"/>
    <w:rsid w:val="00E17D19"/>
    <w:rsid w:val="00E17D61"/>
    <w:rsid w:val="00E17E15"/>
    <w:rsid w:val="00E17E64"/>
    <w:rsid w:val="00E200AF"/>
    <w:rsid w:val="00E2029C"/>
    <w:rsid w:val="00E2053D"/>
    <w:rsid w:val="00E20709"/>
    <w:rsid w:val="00E20919"/>
    <w:rsid w:val="00E20A71"/>
    <w:rsid w:val="00E20B2D"/>
    <w:rsid w:val="00E20C93"/>
    <w:rsid w:val="00E20EC9"/>
    <w:rsid w:val="00E20EED"/>
    <w:rsid w:val="00E21125"/>
    <w:rsid w:val="00E2116A"/>
    <w:rsid w:val="00E212F5"/>
    <w:rsid w:val="00E21642"/>
    <w:rsid w:val="00E216FF"/>
    <w:rsid w:val="00E21815"/>
    <w:rsid w:val="00E21821"/>
    <w:rsid w:val="00E218F8"/>
    <w:rsid w:val="00E21C12"/>
    <w:rsid w:val="00E21C2E"/>
    <w:rsid w:val="00E21F3F"/>
    <w:rsid w:val="00E22262"/>
    <w:rsid w:val="00E224C7"/>
    <w:rsid w:val="00E225AE"/>
    <w:rsid w:val="00E22B55"/>
    <w:rsid w:val="00E22BD7"/>
    <w:rsid w:val="00E22F21"/>
    <w:rsid w:val="00E22FC3"/>
    <w:rsid w:val="00E231E0"/>
    <w:rsid w:val="00E23372"/>
    <w:rsid w:val="00E236CB"/>
    <w:rsid w:val="00E237A8"/>
    <w:rsid w:val="00E23C95"/>
    <w:rsid w:val="00E2487F"/>
    <w:rsid w:val="00E2489B"/>
    <w:rsid w:val="00E2498C"/>
    <w:rsid w:val="00E24A4A"/>
    <w:rsid w:val="00E24D4D"/>
    <w:rsid w:val="00E24E9B"/>
    <w:rsid w:val="00E25017"/>
    <w:rsid w:val="00E259DB"/>
    <w:rsid w:val="00E25BB0"/>
    <w:rsid w:val="00E25CDC"/>
    <w:rsid w:val="00E25F2F"/>
    <w:rsid w:val="00E2606E"/>
    <w:rsid w:val="00E2609B"/>
    <w:rsid w:val="00E26113"/>
    <w:rsid w:val="00E26244"/>
    <w:rsid w:val="00E2627F"/>
    <w:rsid w:val="00E26565"/>
    <w:rsid w:val="00E265BF"/>
    <w:rsid w:val="00E26679"/>
    <w:rsid w:val="00E266A4"/>
    <w:rsid w:val="00E266A9"/>
    <w:rsid w:val="00E26736"/>
    <w:rsid w:val="00E26765"/>
    <w:rsid w:val="00E26775"/>
    <w:rsid w:val="00E267F4"/>
    <w:rsid w:val="00E27064"/>
    <w:rsid w:val="00E271EF"/>
    <w:rsid w:val="00E27221"/>
    <w:rsid w:val="00E27252"/>
    <w:rsid w:val="00E27320"/>
    <w:rsid w:val="00E2751C"/>
    <w:rsid w:val="00E27556"/>
    <w:rsid w:val="00E279F3"/>
    <w:rsid w:val="00E279F6"/>
    <w:rsid w:val="00E27D68"/>
    <w:rsid w:val="00E27E08"/>
    <w:rsid w:val="00E30024"/>
    <w:rsid w:val="00E300C0"/>
    <w:rsid w:val="00E3017F"/>
    <w:rsid w:val="00E301F9"/>
    <w:rsid w:val="00E30538"/>
    <w:rsid w:val="00E30996"/>
    <w:rsid w:val="00E30A89"/>
    <w:rsid w:val="00E30E5E"/>
    <w:rsid w:val="00E30F6C"/>
    <w:rsid w:val="00E31002"/>
    <w:rsid w:val="00E310A5"/>
    <w:rsid w:val="00E31307"/>
    <w:rsid w:val="00E31682"/>
    <w:rsid w:val="00E31ACE"/>
    <w:rsid w:val="00E31CE2"/>
    <w:rsid w:val="00E31D63"/>
    <w:rsid w:val="00E31EF4"/>
    <w:rsid w:val="00E320F7"/>
    <w:rsid w:val="00E321D3"/>
    <w:rsid w:val="00E3220C"/>
    <w:rsid w:val="00E32231"/>
    <w:rsid w:val="00E3226C"/>
    <w:rsid w:val="00E32340"/>
    <w:rsid w:val="00E3260A"/>
    <w:rsid w:val="00E326B9"/>
    <w:rsid w:val="00E328F1"/>
    <w:rsid w:val="00E32901"/>
    <w:rsid w:val="00E3299A"/>
    <w:rsid w:val="00E32BCA"/>
    <w:rsid w:val="00E32C8E"/>
    <w:rsid w:val="00E32CE6"/>
    <w:rsid w:val="00E32E17"/>
    <w:rsid w:val="00E3307B"/>
    <w:rsid w:val="00E330A1"/>
    <w:rsid w:val="00E33580"/>
    <w:rsid w:val="00E3371B"/>
    <w:rsid w:val="00E339D7"/>
    <w:rsid w:val="00E339E1"/>
    <w:rsid w:val="00E33A6C"/>
    <w:rsid w:val="00E33B5F"/>
    <w:rsid w:val="00E33C8E"/>
    <w:rsid w:val="00E33CF3"/>
    <w:rsid w:val="00E33DE8"/>
    <w:rsid w:val="00E33F12"/>
    <w:rsid w:val="00E3422B"/>
    <w:rsid w:val="00E3434F"/>
    <w:rsid w:val="00E345D1"/>
    <w:rsid w:val="00E34AAA"/>
    <w:rsid w:val="00E34C05"/>
    <w:rsid w:val="00E34D48"/>
    <w:rsid w:val="00E34FF2"/>
    <w:rsid w:val="00E352F7"/>
    <w:rsid w:val="00E35306"/>
    <w:rsid w:val="00E3538E"/>
    <w:rsid w:val="00E353A7"/>
    <w:rsid w:val="00E353D1"/>
    <w:rsid w:val="00E3549F"/>
    <w:rsid w:val="00E355E3"/>
    <w:rsid w:val="00E357C2"/>
    <w:rsid w:val="00E35847"/>
    <w:rsid w:val="00E35902"/>
    <w:rsid w:val="00E359A3"/>
    <w:rsid w:val="00E359F4"/>
    <w:rsid w:val="00E35C74"/>
    <w:rsid w:val="00E35D47"/>
    <w:rsid w:val="00E35E99"/>
    <w:rsid w:val="00E36075"/>
    <w:rsid w:val="00E363DD"/>
    <w:rsid w:val="00E364A6"/>
    <w:rsid w:val="00E3651F"/>
    <w:rsid w:val="00E365D3"/>
    <w:rsid w:val="00E3660D"/>
    <w:rsid w:val="00E36678"/>
    <w:rsid w:val="00E368DD"/>
    <w:rsid w:val="00E368F9"/>
    <w:rsid w:val="00E36994"/>
    <w:rsid w:val="00E36C7A"/>
    <w:rsid w:val="00E36F14"/>
    <w:rsid w:val="00E3714A"/>
    <w:rsid w:val="00E371CD"/>
    <w:rsid w:val="00E37448"/>
    <w:rsid w:val="00E37585"/>
    <w:rsid w:val="00E37790"/>
    <w:rsid w:val="00E3782F"/>
    <w:rsid w:val="00E37CBB"/>
    <w:rsid w:val="00E37CFE"/>
    <w:rsid w:val="00E37D35"/>
    <w:rsid w:val="00E37D80"/>
    <w:rsid w:val="00E37E06"/>
    <w:rsid w:val="00E403B6"/>
    <w:rsid w:val="00E4082D"/>
    <w:rsid w:val="00E40926"/>
    <w:rsid w:val="00E40943"/>
    <w:rsid w:val="00E409E7"/>
    <w:rsid w:val="00E40B55"/>
    <w:rsid w:val="00E40D68"/>
    <w:rsid w:val="00E40F63"/>
    <w:rsid w:val="00E418EC"/>
    <w:rsid w:val="00E4199C"/>
    <w:rsid w:val="00E41BDF"/>
    <w:rsid w:val="00E41D0D"/>
    <w:rsid w:val="00E41F1B"/>
    <w:rsid w:val="00E42038"/>
    <w:rsid w:val="00E4213D"/>
    <w:rsid w:val="00E427A4"/>
    <w:rsid w:val="00E42AC0"/>
    <w:rsid w:val="00E42D42"/>
    <w:rsid w:val="00E42F62"/>
    <w:rsid w:val="00E430B5"/>
    <w:rsid w:val="00E43167"/>
    <w:rsid w:val="00E431DA"/>
    <w:rsid w:val="00E4321D"/>
    <w:rsid w:val="00E4362E"/>
    <w:rsid w:val="00E43699"/>
    <w:rsid w:val="00E436D2"/>
    <w:rsid w:val="00E4371A"/>
    <w:rsid w:val="00E4375B"/>
    <w:rsid w:val="00E43867"/>
    <w:rsid w:val="00E43980"/>
    <w:rsid w:val="00E43A64"/>
    <w:rsid w:val="00E43AB6"/>
    <w:rsid w:val="00E43B0F"/>
    <w:rsid w:val="00E43E0E"/>
    <w:rsid w:val="00E43EC6"/>
    <w:rsid w:val="00E44149"/>
    <w:rsid w:val="00E44168"/>
    <w:rsid w:val="00E443B5"/>
    <w:rsid w:val="00E44467"/>
    <w:rsid w:val="00E444F6"/>
    <w:rsid w:val="00E445FE"/>
    <w:rsid w:val="00E446CB"/>
    <w:rsid w:val="00E4472E"/>
    <w:rsid w:val="00E4483F"/>
    <w:rsid w:val="00E44C4C"/>
    <w:rsid w:val="00E44E35"/>
    <w:rsid w:val="00E44EB8"/>
    <w:rsid w:val="00E4517B"/>
    <w:rsid w:val="00E4548E"/>
    <w:rsid w:val="00E454E4"/>
    <w:rsid w:val="00E45776"/>
    <w:rsid w:val="00E457C4"/>
    <w:rsid w:val="00E458D3"/>
    <w:rsid w:val="00E45BFF"/>
    <w:rsid w:val="00E45D1B"/>
    <w:rsid w:val="00E45E75"/>
    <w:rsid w:val="00E46059"/>
    <w:rsid w:val="00E460FF"/>
    <w:rsid w:val="00E461D9"/>
    <w:rsid w:val="00E46212"/>
    <w:rsid w:val="00E46446"/>
    <w:rsid w:val="00E46546"/>
    <w:rsid w:val="00E465A6"/>
    <w:rsid w:val="00E465E4"/>
    <w:rsid w:val="00E466A6"/>
    <w:rsid w:val="00E4684C"/>
    <w:rsid w:val="00E46949"/>
    <w:rsid w:val="00E46D03"/>
    <w:rsid w:val="00E46D47"/>
    <w:rsid w:val="00E47049"/>
    <w:rsid w:val="00E47298"/>
    <w:rsid w:val="00E472E5"/>
    <w:rsid w:val="00E474BF"/>
    <w:rsid w:val="00E47613"/>
    <w:rsid w:val="00E47787"/>
    <w:rsid w:val="00E477A6"/>
    <w:rsid w:val="00E47850"/>
    <w:rsid w:val="00E47B91"/>
    <w:rsid w:val="00E47C25"/>
    <w:rsid w:val="00E47D5D"/>
    <w:rsid w:val="00E47E95"/>
    <w:rsid w:val="00E5008B"/>
    <w:rsid w:val="00E50390"/>
    <w:rsid w:val="00E50507"/>
    <w:rsid w:val="00E506BE"/>
    <w:rsid w:val="00E50766"/>
    <w:rsid w:val="00E507BB"/>
    <w:rsid w:val="00E507F2"/>
    <w:rsid w:val="00E50820"/>
    <w:rsid w:val="00E508F6"/>
    <w:rsid w:val="00E509EB"/>
    <w:rsid w:val="00E50BE0"/>
    <w:rsid w:val="00E50D32"/>
    <w:rsid w:val="00E510B3"/>
    <w:rsid w:val="00E510B8"/>
    <w:rsid w:val="00E510DB"/>
    <w:rsid w:val="00E51141"/>
    <w:rsid w:val="00E5118F"/>
    <w:rsid w:val="00E511D0"/>
    <w:rsid w:val="00E5124C"/>
    <w:rsid w:val="00E5128F"/>
    <w:rsid w:val="00E512B1"/>
    <w:rsid w:val="00E513DF"/>
    <w:rsid w:val="00E51605"/>
    <w:rsid w:val="00E519FE"/>
    <w:rsid w:val="00E51A81"/>
    <w:rsid w:val="00E51C17"/>
    <w:rsid w:val="00E51C37"/>
    <w:rsid w:val="00E51E6D"/>
    <w:rsid w:val="00E51EA5"/>
    <w:rsid w:val="00E51ED3"/>
    <w:rsid w:val="00E52536"/>
    <w:rsid w:val="00E525B4"/>
    <w:rsid w:val="00E52617"/>
    <w:rsid w:val="00E52754"/>
    <w:rsid w:val="00E52BAD"/>
    <w:rsid w:val="00E52BD2"/>
    <w:rsid w:val="00E52CF5"/>
    <w:rsid w:val="00E52CF8"/>
    <w:rsid w:val="00E52D64"/>
    <w:rsid w:val="00E52F8A"/>
    <w:rsid w:val="00E5300E"/>
    <w:rsid w:val="00E53080"/>
    <w:rsid w:val="00E530FA"/>
    <w:rsid w:val="00E5317D"/>
    <w:rsid w:val="00E53219"/>
    <w:rsid w:val="00E534F4"/>
    <w:rsid w:val="00E5356A"/>
    <w:rsid w:val="00E53803"/>
    <w:rsid w:val="00E539C9"/>
    <w:rsid w:val="00E53BFB"/>
    <w:rsid w:val="00E53CF8"/>
    <w:rsid w:val="00E53DA0"/>
    <w:rsid w:val="00E53EE4"/>
    <w:rsid w:val="00E540E8"/>
    <w:rsid w:val="00E54446"/>
    <w:rsid w:val="00E544CF"/>
    <w:rsid w:val="00E5452F"/>
    <w:rsid w:val="00E54799"/>
    <w:rsid w:val="00E547CE"/>
    <w:rsid w:val="00E54A9D"/>
    <w:rsid w:val="00E54BEF"/>
    <w:rsid w:val="00E54D23"/>
    <w:rsid w:val="00E54E7B"/>
    <w:rsid w:val="00E54F50"/>
    <w:rsid w:val="00E54FEF"/>
    <w:rsid w:val="00E55354"/>
    <w:rsid w:val="00E5541D"/>
    <w:rsid w:val="00E55521"/>
    <w:rsid w:val="00E55531"/>
    <w:rsid w:val="00E55977"/>
    <w:rsid w:val="00E559E7"/>
    <w:rsid w:val="00E55CDB"/>
    <w:rsid w:val="00E55D8A"/>
    <w:rsid w:val="00E55FDA"/>
    <w:rsid w:val="00E562E2"/>
    <w:rsid w:val="00E563DA"/>
    <w:rsid w:val="00E567FE"/>
    <w:rsid w:val="00E56993"/>
    <w:rsid w:val="00E56A64"/>
    <w:rsid w:val="00E56B31"/>
    <w:rsid w:val="00E56C4A"/>
    <w:rsid w:val="00E56C9C"/>
    <w:rsid w:val="00E56D2C"/>
    <w:rsid w:val="00E56EA1"/>
    <w:rsid w:val="00E56F24"/>
    <w:rsid w:val="00E56F4A"/>
    <w:rsid w:val="00E56F4E"/>
    <w:rsid w:val="00E57016"/>
    <w:rsid w:val="00E5727F"/>
    <w:rsid w:val="00E573F1"/>
    <w:rsid w:val="00E5742A"/>
    <w:rsid w:val="00E57719"/>
    <w:rsid w:val="00E57AAC"/>
    <w:rsid w:val="00E57B23"/>
    <w:rsid w:val="00E57F8E"/>
    <w:rsid w:val="00E60281"/>
    <w:rsid w:val="00E60370"/>
    <w:rsid w:val="00E603AB"/>
    <w:rsid w:val="00E60401"/>
    <w:rsid w:val="00E606F0"/>
    <w:rsid w:val="00E6076E"/>
    <w:rsid w:val="00E607F3"/>
    <w:rsid w:val="00E60824"/>
    <w:rsid w:val="00E6087A"/>
    <w:rsid w:val="00E60932"/>
    <w:rsid w:val="00E60964"/>
    <w:rsid w:val="00E609B8"/>
    <w:rsid w:val="00E609FD"/>
    <w:rsid w:val="00E60A24"/>
    <w:rsid w:val="00E60A28"/>
    <w:rsid w:val="00E60BEF"/>
    <w:rsid w:val="00E60C9A"/>
    <w:rsid w:val="00E60CAB"/>
    <w:rsid w:val="00E60DDE"/>
    <w:rsid w:val="00E60FAB"/>
    <w:rsid w:val="00E60FD2"/>
    <w:rsid w:val="00E60FE6"/>
    <w:rsid w:val="00E61076"/>
    <w:rsid w:val="00E610A6"/>
    <w:rsid w:val="00E61210"/>
    <w:rsid w:val="00E615E9"/>
    <w:rsid w:val="00E61616"/>
    <w:rsid w:val="00E616F8"/>
    <w:rsid w:val="00E6177C"/>
    <w:rsid w:val="00E61A62"/>
    <w:rsid w:val="00E61E8E"/>
    <w:rsid w:val="00E621EB"/>
    <w:rsid w:val="00E6258E"/>
    <w:rsid w:val="00E62625"/>
    <w:rsid w:val="00E626F3"/>
    <w:rsid w:val="00E62731"/>
    <w:rsid w:val="00E62775"/>
    <w:rsid w:val="00E627FB"/>
    <w:rsid w:val="00E628DA"/>
    <w:rsid w:val="00E62DA2"/>
    <w:rsid w:val="00E62FE0"/>
    <w:rsid w:val="00E633CD"/>
    <w:rsid w:val="00E634A7"/>
    <w:rsid w:val="00E636A1"/>
    <w:rsid w:val="00E63904"/>
    <w:rsid w:val="00E639C7"/>
    <w:rsid w:val="00E63A33"/>
    <w:rsid w:val="00E63B32"/>
    <w:rsid w:val="00E63C9E"/>
    <w:rsid w:val="00E63D60"/>
    <w:rsid w:val="00E63F62"/>
    <w:rsid w:val="00E64198"/>
    <w:rsid w:val="00E64462"/>
    <w:rsid w:val="00E645C0"/>
    <w:rsid w:val="00E646FD"/>
    <w:rsid w:val="00E64862"/>
    <w:rsid w:val="00E64B66"/>
    <w:rsid w:val="00E64C6A"/>
    <w:rsid w:val="00E64D0F"/>
    <w:rsid w:val="00E64E4C"/>
    <w:rsid w:val="00E64ECA"/>
    <w:rsid w:val="00E65127"/>
    <w:rsid w:val="00E6512E"/>
    <w:rsid w:val="00E65180"/>
    <w:rsid w:val="00E65191"/>
    <w:rsid w:val="00E652EB"/>
    <w:rsid w:val="00E65302"/>
    <w:rsid w:val="00E654C8"/>
    <w:rsid w:val="00E65650"/>
    <w:rsid w:val="00E6573F"/>
    <w:rsid w:val="00E65873"/>
    <w:rsid w:val="00E65B04"/>
    <w:rsid w:val="00E65EE3"/>
    <w:rsid w:val="00E66060"/>
    <w:rsid w:val="00E6630C"/>
    <w:rsid w:val="00E66319"/>
    <w:rsid w:val="00E6634B"/>
    <w:rsid w:val="00E663F1"/>
    <w:rsid w:val="00E66631"/>
    <w:rsid w:val="00E6674D"/>
    <w:rsid w:val="00E669E4"/>
    <w:rsid w:val="00E66BE6"/>
    <w:rsid w:val="00E66EC7"/>
    <w:rsid w:val="00E671D9"/>
    <w:rsid w:val="00E673FF"/>
    <w:rsid w:val="00E6745D"/>
    <w:rsid w:val="00E674CF"/>
    <w:rsid w:val="00E67848"/>
    <w:rsid w:val="00E67A4F"/>
    <w:rsid w:val="00E67B1F"/>
    <w:rsid w:val="00E67B5C"/>
    <w:rsid w:val="00E67BE0"/>
    <w:rsid w:val="00E67F1E"/>
    <w:rsid w:val="00E700A2"/>
    <w:rsid w:val="00E700B8"/>
    <w:rsid w:val="00E7046D"/>
    <w:rsid w:val="00E704A5"/>
    <w:rsid w:val="00E70A57"/>
    <w:rsid w:val="00E70DE0"/>
    <w:rsid w:val="00E70E1B"/>
    <w:rsid w:val="00E710C8"/>
    <w:rsid w:val="00E712DE"/>
    <w:rsid w:val="00E714F5"/>
    <w:rsid w:val="00E717A7"/>
    <w:rsid w:val="00E719B8"/>
    <w:rsid w:val="00E71AE9"/>
    <w:rsid w:val="00E71BD0"/>
    <w:rsid w:val="00E71D4D"/>
    <w:rsid w:val="00E71DCA"/>
    <w:rsid w:val="00E71E1A"/>
    <w:rsid w:val="00E72001"/>
    <w:rsid w:val="00E72107"/>
    <w:rsid w:val="00E721BD"/>
    <w:rsid w:val="00E721EC"/>
    <w:rsid w:val="00E72299"/>
    <w:rsid w:val="00E723CE"/>
    <w:rsid w:val="00E7252C"/>
    <w:rsid w:val="00E72710"/>
    <w:rsid w:val="00E72818"/>
    <w:rsid w:val="00E729B5"/>
    <w:rsid w:val="00E72AB0"/>
    <w:rsid w:val="00E72BA5"/>
    <w:rsid w:val="00E72EB6"/>
    <w:rsid w:val="00E72F78"/>
    <w:rsid w:val="00E73012"/>
    <w:rsid w:val="00E731F4"/>
    <w:rsid w:val="00E732CB"/>
    <w:rsid w:val="00E73563"/>
    <w:rsid w:val="00E73819"/>
    <w:rsid w:val="00E73A9A"/>
    <w:rsid w:val="00E73ABE"/>
    <w:rsid w:val="00E73ADB"/>
    <w:rsid w:val="00E73B71"/>
    <w:rsid w:val="00E73D83"/>
    <w:rsid w:val="00E73E00"/>
    <w:rsid w:val="00E73F84"/>
    <w:rsid w:val="00E744AE"/>
    <w:rsid w:val="00E744B1"/>
    <w:rsid w:val="00E745D2"/>
    <w:rsid w:val="00E7472E"/>
    <w:rsid w:val="00E74961"/>
    <w:rsid w:val="00E749DD"/>
    <w:rsid w:val="00E74AE1"/>
    <w:rsid w:val="00E74BBE"/>
    <w:rsid w:val="00E74C80"/>
    <w:rsid w:val="00E74CAB"/>
    <w:rsid w:val="00E74F84"/>
    <w:rsid w:val="00E7523D"/>
    <w:rsid w:val="00E75C0E"/>
    <w:rsid w:val="00E75E7E"/>
    <w:rsid w:val="00E75EDD"/>
    <w:rsid w:val="00E75F12"/>
    <w:rsid w:val="00E76177"/>
    <w:rsid w:val="00E76191"/>
    <w:rsid w:val="00E762B3"/>
    <w:rsid w:val="00E764E9"/>
    <w:rsid w:val="00E76501"/>
    <w:rsid w:val="00E76720"/>
    <w:rsid w:val="00E76756"/>
    <w:rsid w:val="00E76761"/>
    <w:rsid w:val="00E768C6"/>
    <w:rsid w:val="00E76A14"/>
    <w:rsid w:val="00E76B2F"/>
    <w:rsid w:val="00E76DA3"/>
    <w:rsid w:val="00E76E53"/>
    <w:rsid w:val="00E76F50"/>
    <w:rsid w:val="00E77079"/>
    <w:rsid w:val="00E77210"/>
    <w:rsid w:val="00E77333"/>
    <w:rsid w:val="00E77384"/>
    <w:rsid w:val="00E774D3"/>
    <w:rsid w:val="00E77684"/>
    <w:rsid w:val="00E7769B"/>
    <w:rsid w:val="00E7771F"/>
    <w:rsid w:val="00E777F4"/>
    <w:rsid w:val="00E779BF"/>
    <w:rsid w:val="00E77B54"/>
    <w:rsid w:val="00E77CFB"/>
    <w:rsid w:val="00E77DE8"/>
    <w:rsid w:val="00E80215"/>
    <w:rsid w:val="00E803BC"/>
    <w:rsid w:val="00E8047E"/>
    <w:rsid w:val="00E804EA"/>
    <w:rsid w:val="00E80599"/>
    <w:rsid w:val="00E80725"/>
    <w:rsid w:val="00E80A37"/>
    <w:rsid w:val="00E80BB6"/>
    <w:rsid w:val="00E80BB9"/>
    <w:rsid w:val="00E80D48"/>
    <w:rsid w:val="00E80D51"/>
    <w:rsid w:val="00E80D66"/>
    <w:rsid w:val="00E80D82"/>
    <w:rsid w:val="00E80F7D"/>
    <w:rsid w:val="00E812DD"/>
    <w:rsid w:val="00E8135B"/>
    <w:rsid w:val="00E81428"/>
    <w:rsid w:val="00E81B38"/>
    <w:rsid w:val="00E81B7A"/>
    <w:rsid w:val="00E81C58"/>
    <w:rsid w:val="00E81CF5"/>
    <w:rsid w:val="00E81D08"/>
    <w:rsid w:val="00E820BC"/>
    <w:rsid w:val="00E822AE"/>
    <w:rsid w:val="00E822FE"/>
    <w:rsid w:val="00E82807"/>
    <w:rsid w:val="00E82876"/>
    <w:rsid w:val="00E829BD"/>
    <w:rsid w:val="00E82CB1"/>
    <w:rsid w:val="00E82E64"/>
    <w:rsid w:val="00E82EEC"/>
    <w:rsid w:val="00E830AD"/>
    <w:rsid w:val="00E836AF"/>
    <w:rsid w:val="00E836E8"/>
    <w:rsid w:val="00E83999"/>
    <w:rsid w:val="00E83B5A"/>
    <w:rsid w:val="00E840F9"/>
    <w:rsid w:val="00E842D9"/>
    <w:rsid w:val="00E84317"/>
    <w:rsid w:val="00E84708"/>
    <w:rsid w:val="00E8474D"/>
    <w:rsid w:val="00E8481A"/>
    <w:rsid w:val="00E84884"/>
    <w:rsid w:val="00E84B15"/>
    <w:rsid w:val="00E84EAE"/>
    <w:rsid w:val="00E84FE1"/>
    <w:rsid w:val="00E85033"/>
    <w:rsid w:val="00E85094"/>
    <w:rsid w:val="00E85459"/>
    <w:rsid w:val="00E855C0"/>
    <w:rsid w:val="00E85634"/>
    <w:rsid w:val="00E856A9"/>
    <w:rsid w:val="00E858A0"/>
    <w:rsid w:val="00E85989"/>
    <w:rsid w:val="00E85A48"/>
    <w:rsid w:val="00E85B76"/>
    <w:rsid w:val="00E85C61"/>
    <w:rsid w:val="00E85C6C"/>
    <w:rsid w:val="00E85D32"/>
    <w:rsid w:val="00E85D3A"/>
    <w:rsid w:val="00E85E53"/>
    <w:rsid w:val="00E85F33"/>
    <w:rsid w:val="00E8600A"/>
    <w:rsid w:val="00E86279"/>
    <w:rsid w:val="00E86366"/>
    <w:rsid w:val="00E86420"/>
    <w:rsid w:val="00E8649C"/>
    <w:rsid w:val="00E86589"/>
    <w:rsid w:val="00E8690E"/>
    <w:rsid w:val="00E8691C"/>
    <w:rsid w:val="00E86960"/>
    <w:rsid w:val="00E86AF3"/>
    <w:rsid w:val="00E86C52"/>
    <w:rsid w:val="00E86C91"/>
    <w:rsid w:val="00E86E6F"/>
    <w:rsid w:val="00E872B8"/>
    <w:rsid w:val="00E87429"/>
    <w:rsid w:val="00E87432"/>
    <w:rsid w:val="00E8766C"/>
    <w:rsid w:val="00E87682"/>
    <w:rsid w:val="00E87726"/>
    <w:rsid w:val="00E878E3"/>
    <w:rsid w:val="00E87A3F"/>
    <w:rsid w:val="00E87B27"/>
    <w:rsid w:val="00E87D48"/>
    <w:rsid w:val="00E87F21"/>
    <w:rsid w:val="00E87F3D"/>
    <w:rsid w:val="00E90189"/>
    <w:rsid w:val="00E90564"/>
    <w:rsid w:val="00E905C9"/>
    <w:rsid w:val="00E908E2"/>
    <w:rsid w:val="00E9099D"/>
    <w:rsid w:val="00E90A08"/>
    <w:rsid w:val="00E90B84"/>
    <w:rsid w:val="00E90C1E"/>
    <w:rsid w:val="00E90C78"/>
    <w:rsid w:val="00E90C9A"/>
    <w:rsid w:val="00E90E42"/>
    <w:rsid w:val="00E90E86"/>
    <w:rsid w:val="00E90E99"/>
    <w:rsid w:val="00E9102A"/>
    <w:rsid w:val="00E910F6"/>
    <w:rsid w:val="00E913F9"/>
    <w:rsid w:val="00E91421"/>
    <w:rsid w:val="00E91518"/>
    <w:rsid w:val="00E915FC"/>
    <w:rsid w:val="00E917D0"/>
    <w:rsid w:val="00E919EB"/>
    <w:rsid w:val="00E91AEB"/>
    <w:rsid w:val="00E91CE7"/>
    <w:rsid w:val="00E91D25"/>
    <w:rsid w:val="00E91F33"/>
    <w:rsid w:val="00E920A4"/>
    <w:rsid w:val="00E921B3"/>
    <w:rsid w:val="00E923EC"/>
    <w:rsid w:val="00E92440"/>
    <w:rsid w:val="00E9247E"/>
    <w:rsid w:val="00E9249E"/>
    <w:rsid w:val="00E9255F"/>
    <w:rsid w:val="00E925E8"/>
    <w:rsid w:val="00E925F6"/>
    <w:rsid w:val="00E926B1"/>
    <w:rsid w:val="00E92769"/>
    <w:rsid w:val="00E928E0"/>
    <w:rsid w:val="00E929C6"/>
    <w:rsid w:val="00E929E1"/>
    <w:rsid w:val="00E92A2B"/>
    <w:rsid w:val="00E92D00"/>
    <w:rsid w:val="00E92FEA"/>
    <w:rsid w:val="00E93208"/>
    <w:rsid w:val="00E93256"/>
    <w:rsid w:val="00E93551"/>
    <w:rsid w:val="00E9370D"/>
    <w:rsid w:val="00E937C4"/>
    <w:rsid w:val="00E9394A"/>
    <w:rsid w:val="00E9399B"/>
    <w:rsid w:val="00E93A86"/>
    <w:rsid w:val="00E93D7D"/>
    <w:rsid w:val="00E93E08"/>
    <w:rsid w:val="00E941A0"/>
    <w:rsid w:val="00E943B8"/>
    <w:rsid w:val="00E9441C"/>
    <w:rsid w:val="00E94477"/>
    <w:rsid w:val="00E9465B"/>
    <w:rsid w:val="00E94688"/>
    <w:rsid w:val="00E9490A"/>
    <w:rsid w:val="00E949AC"/>
    <w:rsid w:val="00E94A21"/>
    <w:rsid w:val="00E94B40"/>
    <w:rsid w:val="00E94BC0"/>
    <w:rsid w:val="00E94C20"/>
    <w:rsid w:val="00E94CDD"/>
    <w:rsid w:val="00E94F20"/>
    <w:rsid w:val="00E94F77"/>
    <w:rsid w:val="00E951FA"/>
    <w:rsid w:val="00E9574D"/>
    <w:rsid w:val="00E95845"/>
    <w:rsid w:val="00E95ACA"/>
    <w:rsid w:val="00E95BDE"/>
    <w:rsid w:val="00E95D3E"/>
    <w:rsid w:val="00E95F89"/>
    <w:rsid w:val="00E96039"/>
    <w:rsid w:val="00E96045"/>
    <w:rsid w:val="00E960F4"/>
    <w:rsid w:val="00E96113"/>
    <w:rsid w:val="00E962B4"/>
    <w:rsid w:val="00E96426"/>
    <w:rsid w:val="00E9652D"/>
    <w:rsid w:val="00E965ED"/>
    <w:rsid w:val="00E9677E"/>
    <w:rsid w:val="00E9680A"/>
    <w:rsid w:val="00E969C7"/>
    <w:rsid w:val="00E969CA"/>
    <w:rsid w:val="00E96A93"/>
    <w:rsid w:val="00E96B02"/>
    <w:rsid w:val="00E96BF7"/>
    <w:rsid w:val="00E96D97"/>
    <w:rsid w:val="00E96DB4"/>
    <w:rsid w:val="00E96EFB"/>
    <w:rsid w:val="00E96FBD"/>
    <w:rsid w:val="00E97054"/>
    <w:rsid w:val="00E97183"/>
    <w:rsid w:val="00E97197"/>
    <w:rsid w:val="00E97279"/>
    <w:rsid w:val="00E972B2"/>
    <w:rsid w:val="00E972F2"/>
    <w:rsid w:val="00E97429"/>
    <w:rsid w:val="00E975BA"/>
    <w:rsid w:val="00E97709"/>
    <w:rsid w:val="00E97C1F"/>
    <w:rsid w:val="00E97C31"/>
    <w:rsid w:val="00E97D0C"/>
    <w:rsid w:val="00E97E5C"/>
    <w:rsid w:val="00E97ECC"/>
    <w:rsid w:val="00E97F47"/>
    <w:rsid w:val="00E97FA3"/>
    <w:rsid w:val="00EA0268"/>
    <w:rsid w:val="00EA0455"/>
    <w:rsid w:val="00EA05DF"/>
    <w:rsid w:val="00EA0741"/>
    <w:rsid w:val="00EA0A44"/>
    <w:rsid w:val="00EA0AB7"/>
    <w:rsid w:val="00EA11CD"/>
    <w:rsid w:val="00EA128E"/>
    <w:rsid w:val="00EA12A6"/>
    <w:rsid w:val="00EA141E"/>
    <w:rsid w:val="00EA147C"/>
    <w:rsid w:val="00EA1528"/>
    <w:rsid w:val="00EA15A6"/>
    <w:rsid w:val="00EA162D"/>
    <w:rsid w:val="00EA165D"/>
    <w:rsid w:val="00EA1660"/>
    <w:rsid w:val="00EA1709"/>
    <w:rsid w:val="00EA178E"/>
    <w:rsid w:val="00EA180F"/>
    <w:rsid w:val="00EA1C79"/>
    <w:rsid w:val="00EA206C"/>
    <w:rsid w:val="00EA218B"/>
    <w:rsid w:val="00EA21BE"/>
    <w:rsid w:val="00EA2203"/>
    <w:rsid w:val="00EA2324"/>
    <w:rsid w:val="00EA253E"/>
    <w:rsid w:val="00EA2568"/>
    <w:rsid w:val="00EA25BB"/>
    <w:rsid w:val="00EA25E0"/>
    <w:rsid w:val="00EA292C"/>
    <w:rsid w:val="00EA2E20"/>
    <w:rsid w:val="00EA2FF7"/>
    <w:rsid w:val="00EA30F0"/>
    <w:rsid w:val="00EA31C4"/>
    <w:rsid w:val="00EA3413"/>
    <w:rsid w:val="00EA348D"/>
    <w:rsid w:val="00EA360F"/>
    <w:rsid w:val="00EA3818"/>
    <w:rsid w:val="00EA396F"/>
    <w:rsid w:val="00EA397D"/>
    <w:rsid w:val="00EA3CBB"/>
    <w:rsid w:val="00EA3CCE"/>
    <w:rsid w:val="00EA3E69"/>
    <w:rsid w:val="00EA3F79"/>
    <w:rsid w:val="00EA4431"/>
    <w:rsid w:val="00EA465F"/>
    <w:rsid w:val="00EA46A4"/>
    <w:rsid w:val="00EA498A"/>
    <w:rsid w:val="00EA4A0C"/>
    <w:rsid w:val="00EA4A58"/>
    <w:rsid w:val="00EA4B90"/>
    <w:rsid w:val="00EA4B9C"/>
    <w:rsid w:val="00EA4CA0"/>
    <w:rsid w:val="00EA4F93"/>
    <w:rsid w:val="00EA4FBC"/>
    <w:rsid w:val="00EA5035"/>
    <w:rsid w:val="00EA5047"/>
    <w:rsid w:val="00EA554D"/>
    <w:rsid w:val="00EA5660"/>
    <w:rsid w:val="00EA5814"/>
    <w:rsid w:val="00EA589B"/>
    <w:rsid w:val="00EA5AF0"/>
    <w:rsid w:val="00EA5B5D"/>
    <w:rsid w:val="00EA5DD0"/>
    <w:rsid w:val="00EA5DFA"/>
    <w:rsid w:val="00EA5F49"/>
    <w:rsid w:val="00EA6017"/>
    <w:rsid w:val="00EA6020"/>
    <w:rsid w:val="00EA62D6"/>
    <w:rsid w:val="00EA6328"/>
    <w:rsid w:val="00EA66D2"/>
    <w:rsid w:val="00EA67EA"/>
    <w:rsid w:val="00EA6929"/>
    <w:rsid w:val="00EA6A25"/>
    <w:rsid w:val="00EA6B1E"/>
    <w:rsid w:val="00EA6BE1"/>
    <w:rsid w:val="00EA6BF5"/>
    <w:rsid w:val="00EA6C30"/>
    <w:rsid w:val="00EA6CA8"/>
    <w:rsid w:val="00EA6D71"/>
    <w:rsid w:val="00EA6FDB"/>
    <w:rsid w:val="00EA72BD"/>
    <w:rsid w:val="00EA73A5"/>
    <w:rsid w:val="00EA7525"/>
    <w:rsid w:val="00EA75A7"/>
    <w:rsid w:val="00EA76F9"/>
    <w:rsid w:val="00EA78D6"/>
    <w:rsid w:val="00EA7913"/>
    <w:rsid w:val="00EA7934"/>
    <w:rsid w:val="00EA7C08"/>
    <w:rsid w:val="00EA7D73"/>
    <w:rsid w:val="00EA7DF4"/>
    <w:rsid w:val="00EA7E14"/>
    <w:rsid w:val="00EA7EA0"/>
    <w:rsid w:val="00EA7F83"/>
    <w:rsid w:val="00EA7FA3"/>
    <w:rsid w:val="00EB01FE"/>
    <w:rsid w:val="00EB0206"/>
    <w:rsid w:val="00EB0283"/>
    <w:rsid w:val="00EB047D"/>
    <w:rsid w:val="00EB060A"/>
    <w:rsid w:val="00EB06D7"/>
    <w:rsid w:val="00EB0727"/>
    <w:rsid w:val="00EB09BE"/>
    <w:rsid w:val="00EB0A6D"/>
    <w:rsid w:val="00EB0F13"/>
    <w:rsid w:val="00EB12A0"/>
    <w:rsid w:val="00EB161D"/>
    <w:rsid w:val="00EB1F17"/>
    <w:rsid w:val="00EB209E"/>
    <w:rsid w:val="00EB2708"/>
    <w:rsid w:val="00EB272E"/>
    <w:rsid w:val="00EB2738"/>
    <w:rsid w:val="00EB27A3"/>
    <w:rsid w:val="00EB27C3"/>
    <w:rsid w:val="00EB2873"/>
    <w:rsid w:val="00EB28E5"/>
    <w:rsid w:val="00EB2BB2"/>
    <w:rsid w:val="00EB2E29"/>
    <w:rsid w:val="00EB340A"/>
    <w:rsid w:val="00EB340F"/>
    <w:rsid w:val="00EB361F"/>
    <w:rsid w:val="00EB36B9"/>
    <w:rsid w:val="00EB3BC1"/>
    <w:rsid w:val="00EB3BD0"/>
    <w:rsid w:val="00EB3C10"/>
    <w:rsid w:val="00EB3D2B"/>
    <w:rsid w:val="00EB3E35"/>
    <w:rsid w:val="00EB3ED0"/>
    <w:rsid w:val="00EB3F31"/>
    <w:rsid w:val="00EB4132"/>
    <w:rsid w:val="00EB414C"/>
    <w:rsid w:val="00EB42A7"/>
    <w:rsid w:val="00EB43A4"/>
    <w:rsid w:val="00EB441B"/>
    <w:rsid w:val="00EB458E"/>
    <w:rsid w:val="00EB462F"/>
    <w:rsid w:val="00EB477F"/>
    <w:rsid w:val="00EB48EB"/>
    <w:rsid w:val="00EB4BF8"/>
    <w:rsid w:val="00EB4C04"/>
    <w:rsid w:val="00EB4D5D"/>
    <w:rsid w:val="00EB4DFB"/>
    <w:rsid w:val="00EB4FF2"/>
    <w:rsid w:val="00EB50CD"/>
    <w:rsid w:val="00EB51AA"/>
    <w:rsid w:val="00EB528E"/>
    <w:rsid w:val="00EB537B"/>
    <w:rsid w:val="00EB53D2"/>
    <w:rsid w:val="00EB5613"/>
    <w:rsid w:val="00EB56D6"/>
    <w:rsid w:val="00EB56D7"/>
    <w:rsid w:val="00EB5709"/>
    <w:rsid w:val="00EB58AF"/>
    <w:rsid w:val="00EB59EC"/>
    <w:rsid w:val="00EB5AB0"/>
    <w:rsid w:val="00EB5CD1"/>
    <w:rsid w:val="00EB5D23"/>
    <w:rsid w:val="00EB5DF4"/>
    <w:rsid w:val="00EB5F4F"/>
    <w:rsid w:val="00EB5FC3"/>
    <w:rsid w:val="00EB6049"/>
    <w:rsid w:val="00EB6169"/>
    <w:rsid w:val="00EB6293"/>
    <w:rsid w:val="00EB6313"/>
    <w:rsid w:val="00EB6BD4"/>
    <w:rsid w:val="00EB6CF0"/>
    <w:rsid w:val="00EB6D11"/>
    <w:rsid w:val="00EB6EFD"/>
    <w:rsid w:val="00EB6F8A"/>
    <w:rsid w:val="00EB71BA"/>
    <w:rsid w:val="00EB740C"/>
    <w:rsid w:val="00EB7413"/>
    <w:rsid w:val="00EB75C8"/>
    <w:rsid w:val="00EB7630"/>
    <w:rsid w:val="00EB7A18"/>
    <w:rsid w:val="00EC004F"/>
    <w:rsid w:val="00EC0100"/>
    <w:rsid w:val="00EC0227"/>
    <w:rsid w:val="00EC02E1"/>
    <w:rsid w:val="00EC066E"/>
    <w:rsid w:val="00EC0917"/>
    <w:rsid w:val="00EC09E0"/>
    <w:rsid w:val="00EC0B89"/>
    <w:rsid w:val="00EC0C48"/>
    <w:rsid w:val="00EC1043"/>
    <w:rsid w:val="00EC1144"/>
    <w:rsid w:val="00EC1212"/>
    <w:rsid w:val="00EC1447"/>
    <w:rsid w:val="00EC14C6"/>
    <w:rsid w:val="00EC1629"/>
    <w:rsid w:val="00EC1D52"/>
    <w:rsid w:val="00EC1F36"/>
    <w:rsid w:val="00EC207A"/>
    <w:rsid w:val="00EC2101"/>
    <w:rsid w:val="00EC2261"/>
    <w:rsid w:val="00EC2367"/>
    <w:rsid w:val="00EC2372"/>
    <w:rsid w:val="00EC23A8"/>
    <w:rsid w:val="00EC2459"/>
    <w:rsid w:val="00EC25CC"/>
    <w:rsid w:val="00EC275C"/>
    <w:rsid w:val="00EC2A39"/>
    <w:rsid w:val="00EC2AEF"/>
    <w:rsid w:val="00EC2B56"/>
    <w:rsid w:val="00EC2C62"/>
    <w:rsid w:val="00EC2CF8"/>
    <w:rsid w:val="00EC2FAB"/>
    <w:rsid w:val="00EC3103"/>
    <w:rsid w:val="00EC317A"/>
    <w:rsid w:val="00EC34D9"/>
    <w:rsid w:val="00EC34F8"/>
    <w:rsid w:val="00EC3575"/>
    <w:rsid w:val="00EC35AC"/>
    <w:rsid w:val="00EC3A69"/>
    <w:rsid w:val="00EC3A72"/>
    <w:rsid w:val="00EC3A98"/>
    <w:rsid w:val="00EC3BDF"/>
    <w:rsid w:val="00EC3C11"/>
    <w:rsid w:val="00EC3C29"/>
    <w:rsid w:val="00EC402E"/>
    <w:rsid w:val="00EC430D"/>
    <w:rsid w:val="00EC4448"/>
    <w:rsid w:val="00EC45AC"/>
    <w:rsid w:val="00EC497C"/>
    <w:rsid w:val="00EC49B5"/>
    <w:rsid w:val="00EC4AD9"/>
    <w:rsid w:val="00EC4DF3"/>
    <w:rsid w:val="00EC4E56"/>
    <w:rsid w:val="00EC4EC1"/>
    <w:rsid w:val="00EC4F86"/>
    <w:rsid w:val="00EC54DD"/>
    <w:rsid w:val="00EC55AF"/>
    <w:rsid w:val="00EC584B"/>
    <w:rsid w:val="00EC58BC"/>
    <w:rsid w:val="00EC5903"/>
    <w:rsid w:val="00EC5AC4"/>
    <w:rsid w:val="00EC60BB"/>
    <w:rsid w:val="00EC60E5"/>
    <w:rsid w:val="00EC60F8"/>
    <w:rsid w:val="00EC6302"/>
    <w:rsid w:val="00EC6489"/>
    <w:rsid w:val="00EC64F3"/>
    <w:rsid w:val="00EC6771"/>
    <w:rsid w:val="00EC67B9"/>
    <w:rsid w:val="00EC6855"/>
    <w:rsid w:val="00EC6921"/>
    <w:rsid w:val="00EC6A44"/>
    <w:rsid w:val="00EC6B83"/>
    <w:rsid w:val="00EC6CC9"/>
    <w:rsid w:val="00EC6D8D"/>
    <w:rsid w:val="00EC6F5A"/>
    <w:rsid w:val="00EC701E"/>
    <w:rsid w:val="00EC707D"/>
    <w:rsid w:val="00EC71D4"/>
    <w:rsid w:val="00EC7871"/>
    <w:rsid w:val="00EC7937"/>
    <w:rsid w:val="00EC7B8A"/>
    <w:rsid w:val="00EC7BE3"/>
    <w:rsid w:val="00EC7D7C"/>
    <w:rsid w:val="00EC7D86"/>
    <w:rsid w:val="00EC7E0D"/>
    <w:rsid w:val="00EC7E14"/>
    <w:rsid w:val="00ED0004"/>
    <w:rsid w:val="00ED045A"/>
    <w:rsid w:val="00ED061D"/>
    <w:rsid w:val="00ED08F0"/>
    <w:rsid w:val="00ED0FB5"/>
    <w:rsid w:val="00ED10AB"/>
    <w:rsid w:val="00ED1131"/>
    <w:rsid w:val="00ED1224"/>
    <w:rsid w:val="00ED1409"/>
    <w:rsid w:val="00ED144F"/>
    <w:rsid w:val="00ED1642"/>
    <w:rsid w:val="00ED1806"/>
    <w:rsid w:val="00ED195E"/>
    <w:rsid w:val="00ED1986"/>
    <w:rsid w:val="00ED1A0E"/>
    <w:rsid w:val="00ED1A9F"/>
    <w:rsid w:val="00ED1BF6"/>
    <w:rsid w:val="00ED2144"/>
    <w:rsid w:val="00ED22C1"/>
    <w:rsid w:val="00ED24FA"/>
    <w:rsid w:val="00ED2554"/>
    <w:rsid w:val="00ED25AF"/>
    <w:rsid w:val="00ED28A9"/>
    <w:rsid w:val="00ED29F8"/>
    <w:rsid w:val="00ED2FB1"/>
    <w:rsid w:val="00ED30F8"/>
    <w:rsid w:val="00ED3124"/>
    <w:rsid w:val="00ED3349"/>
    <w:rsid w:val="00ED34A6"/>
    <w:rsid w:val="00ED358C"/>
    <w:rsid w:val="00ED3631"/>
    <w:rsid w:val="00ED3872"/>
    <w:rsid w:val="00ED4141"/>
    <w:rsid w:val="00ED4172"/>
    <w:rsid w:val="00ED417E"/>
    <w:rsid w:val="00ED439C"/>
    <w:rsid w:val="00ED44DF"/>
    <w:rsid w:val="00ED461C"/>
    <w:rsid w:val="00ED4725"/>
    <w:rsid w:val="00ED482C"/>
    <w:rsid w:val="00ED4868"/>
    <w:rsid w:val="00ED493D"/>
    <w:rsid w:val="00ED4972"/>
    <w:rsid w:val="00ED4CF2"/>
    <w:rsid w:val="00ED4D26"/>
    <w:rsid w:val="00ED4F6D"/>
    <w:rsid w:val="00ED505F"/>
    <w:rsid w:val="00ED508C"/>
    <w:rsid w:val="00ED518B"/>
    <w:rsid w:val="00ED53EC"/>
    <w:rsid w:val="00ED5418"/>
    <w:rsid w:val="00ED54B2"/>
    <w:rsid w:val="00ED563E"/>
    <w:rsid w:val="00ED5645"/>
    <w:rsid w:val="00ED59F2"/>
    <w:rsid w:val="00ED5D7D"/>
    <w:rsid w:val="00ED5F5F"/>
    <w:rsid w:val="00ED60B2"/>
    <w:rsid w:val="00ED6270"/>
    <w:rsid w:val="00ED6384"/>
    <w:rsid w:val="00ED653C"/>
    <w:rsid w:val="00ED656C"/>
    <w:rsid w:val="00ED6573"/>
    <w:rsid w:val="00ED66EF"/>
    <w:rsid w:val="00ED68DA"/>
    <w:rsid w:val="00ED68FE"/>
    <w:rsid w:val="00ED6A12"/>
    <w:rsid w:val="00ED6B12"/>
    <w:rsid w:val="00ED6B4B"/>
    <w:rsid w:val="00ED6D59"/>
    <w:rsid w:val="00ED6F0F"/>
    <w:rsid w:val="00ED6FBD"/>
    <w:rsid w:val="00ED763B"/>
    <w:rsid w:val="00ED76C0"/>
    <w:rsid w:val="00ED7AFF"/>
    <w:rsid w:val="00ED7B3D"/>
    <w:rsid w:val="00EE00DF"/>
    <w:rsid w:val="00EE0125"/>
    <w:rsid w:val="00EE0127"/>
    <w:rsid w:val="00EE0498"/>
    <w:rsid w:val="00EE06BA"/>
    <w:rsid w:val="00EE071B"/>
    <w:rsid w:val="00EE07F9"/>
    <w:rsid w:val="00EE0807"/>
    <w:rsid w:val="00EE0A39"/>
    <w:rsid w:val="00EE0AE1"/>
    <w:rsid w:val="00EE0D1F"/>
    <w:rsid w:val="00EE0DCE"/>
    <w:rsid w:val="00EE16D4"/>
    <w:rsid w:val="00EE17CE"/>
    <w:rsid w:val="00EE1A06"/>
    <w:rsid w:val="00EE1C2D"/>
    <w:rsid w:val="00EE1CE7"/>
    <w:rsid w:val="00EE1DE8"/>
    <w:rsid w:val="00EE2037"/>
    <w:rsid w:val="00EE206D"/>
    <w:rsid w:val="00EE2148"/>
    <w:rsid w:val="00EE2156"/>
    <w:rsid w:val="00EE232E"/>
    <w:rsid w:val="00EE25EA"/>
    <w:rsid w:val="00EE28B7"/>
    <w:rsid w:val="00EE2AB4"/>
    <w:rsid w:val="00EE2C87"/>
    <w:rsid w:val="00EE2D0B"/>
    <w:rsid w:val="00EE2E7E"/>
    <w:rsid w:val="00EE2F26"/>
    <w:rsid w:val="00EE2F90"/>
    <w:rsid w:val="00EE32FE"/>
    <w:rsid w:val="00EE3345"/>
    <w:rsid w:val="00EE33E4"/>
    <w:rsid w:val="00EE361D"/>
    <w:rsid w:val="00EE3731"/>
    <w:rsid w:val="00EE3A1A"/>
    <w:rsid w:val="00EE3CC1"/>
    <w:rsid w:val="00EE3D73"/>
    <w:rsid w:val="00EE3F1C"/>
    <w:rsid w:val="00EE3F43"/>
    <w:rsid w:val="00EE3F80"/>
    <w:rsid w:val="00EE4065"/>
    <w:rsid w:val="00EE4178"/>
    <w:rsid w:val="00EE4205"/>
    <w:rsid w:val="00EE4239"/>
    <w:rsid w:val="00EE44A9"/>
    <w:rsid w:val="00EE4513"/>
    <w:rsid w:val="00EE463E"/>
    <w:rsid w:val="00EE49F5"/>
    <w:rsid w:val="00EE4BF0"/>
    <w:rsid w:val="00EE4C1A"/>
    <w:rsid w:val="00EE5187"/>
    <w:rsid w:val="00EE527A"/>
    <w:rsid w:val="00EE52BD"/>
    <w:rsid w:val="00EE53C9"/>
    <w:rsid w:val="00EE53E0"/>
    <w:rsid w:val="00EE54AD"/>
    <w:rsid w:val="00EE5771"/>
    <w:rsid w:val="00EE59B5"/>
    <w:rsid w:val="00EE5B89"/>
    <w:rsid w:val="00EE5F0F"/>
    <w:rsid w:val="00EE6047"/>
    <w:rsid w:val="00EE61A2"/>
    <w:rsid w:val="00EE62C5"/>
    <w:rsid w:val="00EE655D"/>
    <w:rsid w:val="00EE67CA"/>
    <w:rsid w:val="00EE695C"/>
    <w:rsid w:val="00EE6A6C"/>
    <w:rsid w:val="00EE6DE6"/>
    <w:rsid w:val="00EE6F4F"/>
    <w:rsid w:val="00EE7031"/>
    <w:rsid w:val="00EE70C3"/>
    <w:rsid w:val="00EE70EF"/>
    <w:rsid w:val="00EE7101"/>
    <w:rsid w:val="00EE7191"/>
    <w:rsid w:val="00EE7314"/>
    <w:rsid w:val="00EE7346"/>
    <w:rsid w:val="00EE76BE"/>
    <w:rsid w:val="00EE77D1"/>
    <w:rsid w:val="00EE7955"/>
    <w:rsid w:val="00EE79E4"/>
    <w:rsid w:val="00EE7A2B"/>
    <w:rsid w:val="00EE7A6E"/>
    <w:rsid w:val="00EE7F4B"/>
    <w:rsid w:val="00EF003D"/>
    <w:rsid w:val="00EF0497"/>
    <w:rsid w:val="00EF0925"/>
    <w:rsid w:val="00EF0B54"/>
    <w:rsid w:val="00EF0E00"/>
    <w:rsid w:val="00EF0EA1"/>
    <w:rsid w:val="00EF0EC7"/>
    <w:rsid w:val="00EF103C"/>
    <w:rsid w:val="00EF1058"/>
    <w:rsid w:val="00EF1210"/>
    <w:rsid w:val="00EF126C"/>
    <w:rsid w:val="00EF133C"/>
    <w:rsid w:val="00EF15B4"/>
    <w:rsid w:val="00EF16D5"/>
    <w:rsid w:val="00EF181D"/>
    <w:rsid w:val="00EF18D3"/>
    <w:rsid w:val="00EF1B79"/>
    <w:rsid w:val="00EF1B98"/>
    <w:rsid w:val="00EF1D86"/>
    <w:rsid w:val="00EF1D88"/>
    <w:rsid w:val="00EF1F50"/>
    <w:rsid w:val="00EF21A5"/>
    <w:rsid w:val="00EF2274"/>
    <w:rsid w:val="00EF2361"/>
    <w:rsid w:val="00EF2431"/>
    <w:rsid w:val="00EF25B8"/>
    <w:rsid w:val="00EF27E9"/>
    <w:rsid w:val="00EF282E"/>
    <w:rsid w:val="00EF2888"/>
    <w:rsid w:val="00EF2C78"/>
    <w:rsid w:val="00EF2D41"/>
    <w:rsid w:val="00EF2D71"/>
    <w:rsid w:val="00EF3250"/>
    <w:rsid w:val="00EF3769"/>
    <w:rsid w:val="00EF3B36"/>
    <w:rsid w:val="00EF3C3B"/>
    <w:rsid w:val="00EF3CF9"/>
    <w:rsid w:val="00EF3DEE"/>
    <w:rsid w:val="00EF3F84"/>
    <w:rsid w:val="00EF4086"/>
    <w:rsid w:val="00EF4130"/>
    <w:rsid w:val="00EF42B6"/>
    <w:rsid w:val="00EF4333"/>
    <w:rsid w:val="00EF442B"/>
    <w:rsid w:val="00EF45C3"/>
    <w:rsid w:val="00EF48BA"/>
    <w:rsid w:val="00EF48BD"/>
    <w:rsid w:val="00EF48D4"/>
    <w:rsid w:val="00EF4949"/>
    <w:rsid w:val="00EF497C"/>
    <w:rsid w:val="00EF4A23"/>
    <w:rsid w:val="00EF4B09"/>
    <w:rsid w:val="00EF4BB9"/>
    <w:rsid w:val="00EF4E7F"/>
    <w:rsid w:val="00EF5120"/>
    <w:rsid w:val="00EF529F"/>
    <w:rsid w:val="00EF532D"/>
    <w:rsid w:val="00EF548E"/>
    <w:rsid w:val="00EF5521"/>
    <w:rsid w:val="00EF55BA"/>
    <w:rsid w:val="00EF572C"/>
    <w:rsid w:val="00EF5D30"/>
    <w:rsid w:val="00EF5D4D"/>
    <w:rsid w:val="00EF5D8B"/>
    <w:rsid w:val="00EF5F26"/>
    <w:rsid w:val="00EF5FE5"/>
    <w:rsid w:val="00EF6244"/>
    <w:rsid w:val="00EF6411"/>
    <w:rsid w:val="00EF649D"/>
    <w:rsid w:val="00EF6582"/>
    <w:rsid w:val="00EF69EB"/>
    <w:rsid w:val="00EF6A0A"/>
    <w:rsid w:val="00EF6BD5"/>
    <w:rsid w:val="00EF6C2B"/>
    <w:rsid w:val="00EF6DA3"/>
    <w:rsid w:val="00EF6E07"/>
    <w:rsid w:val="00EF6F45"/>
    <w:rsid w:val="00EF7074"/>
    <w:rsid w:val="00EF708B"/>
    <w:rsid w:val="00EF746E"/>
    <w:rsid w:val="00EF7645"/>
    <w:rsid w:val="00EF7731"/>
    <w:rsid w:val="00EF7A1F"/>
    <w:rsid w:val="00EF7A5D"/>
    <w:rsid w:val="00EF7CFE"/>
    <w:rsid w:val="00EF7F0A"/>
    <w:rsid w:val="00F0005D"/>
    <w:rsid w:val="00F001BA"/>
    <w:rsid w:val="00F001EB"/>
    <w:rsid w:val="00F00577"/>
    <w:rsid w:val="00F005FA"/>
    <w:rsid w:val="00F0064D"/>
    <w:rsid w:val="00F00732"/>
    <w:rsid w:val="00F00A2A"/>
    <w:rsid w:val="00F00C6A"/>
    <w:rsid w:val="00F01099"/>
    <w:rsid w:val="00F01113"/>
    <w:rsid w:val="00F0148A"/>
    <w:rsid w:val="00F01647"/>
    <w:rsid w:val="00F01774"/>
    <w:rsid w:val="00F01E46"/>
    <w:rsid w:val="00F01F9A"/>
    <w:rsid w:val="00F0218C"/>
    <w:rsid w:val="00F022A0"/>
    <w:rsid w:val="00F0232D"/>
    <w:rsid w:val="00F026D9"/>
    <w:rsid w:val="00F02A1A"/>
    <w:rsid w:val="00F02B7D"/>
    <w:rsid w:val="00F02C15"/>
    <w:rsid w:val="00F02E81"/>
    <w:rsid w:val="00F03151"/>
    <w:rsid w:val="00F03291"/>
    <w:rsid w:val="00F03400"/>
    <w:rsid w:val="00F035BA"/>
    <w:rsid w:val="00F035C7"/>
    <w:rsid w:val="00F03634"/>
    <w:rsid w:val="00F03636"/>
    <w:rsid w:val="00F0368B"/>
    <w:rsid w:val="00F036D7"/>
    <w:rsid w:val="00F036FD"/>
    <w:rsid w:val="00F0370A"/>
    <w:rsid w:val="00F0396C"/>
    <w:rsid w:val="00F03A55"/>
    <w:rsid w:val="00F03B1B"/>
    <w:rsid w:val="00F03B36"/>
    <w:rsid w:val="00F03DDB"/>
    <w:rsid w:val="00F03F0D"/>
    <w:rsid w:val="00F04379"/>
    <w:rsid w:val="00F044B2"/>
    <w:rsid w:val="00F044E9"/>
    <w:rsid w:val="00F045B9"/>
    <w:rsid w:val="00F0485C"/>
    <w:rsid w:val="00F0487D"/>
    <w:rsid w:val="00F04CA4"/>
    <w:rsid w:val="00F04E1D"/>
    <w:rsid w:val="00F04E53"/>
    <w:rsid w:val="00F05044"/>
    <w:rsid w:val="00F051AB"/>
    <w:rsid w:val="00F05212"/>
    <w:rsid w:val="00F055D5"/>
    <w:rsid w:val="00F05A2A"/>
    <w:rsid w:val="00F05A30"/>
    <w:rsid w:val="00F05A97"/>
    <w:rsid w:val="00F05C00"/>
    <w:rsid w:val="00F05C5A"/>
    <w:rsid w:val="00F05D4D"/>
    <w:rsid w:val="00F05EDF"/>
    <w:rsid w:val="00F05F1B"/>
    <w:rsid w:val="00F06396"/>
    <w:rsid w:val="00F063C3"/>
    <w:rsid w:val="00F0653E"/>
    <w:rsid w:val="00F066C2"/>
    <w:rsid w:val="00F068E3"/>
    <w:rsid w:val="00F06C19"/>
    <w:rsid w:val="00F06D6D"/>
    <w:rsid w:val="00F06E56"/>
    <w:rsid w:val="00F06FB1"/>
    <w:rsid w:val="00F070AE"/>
    <w:rsid w:val="00F07282"/>
    <w:rsid w:val="00F0730B"/>
    <w:rsid w:val="00F07503"/>
    <w:rsid w:val="00F075D5"/>
    <w:rsid w:val="00F07739"/>
    <w:rsid w:val="00F07881"/>
    <w:rsid w:val="00F07976"/>
    <w:rsid w:val="00F07A17"/>
    <w:rsid w:val="00F07C67"/>
    <w:rsid w:val="00F07F8F"/>
    <w:rsid w:val="00F1001C"/>
    <w:rsid w:val="00F100F6"/>
    <w:rsid w:val="00F10517"/>
    <w:rsid w:val="00F1054F"/>
    <w:rsid w:val="00F10644"/>
    <w:rsid w:val="00F10835"/>
    <w:rsid w:val="00F10ABF"/>
    <w:rsid w:val="00F10AFC"/>
    <w:rsid w:val="00F10B40"/>
    <w:rsid w:val="00F10C1D"/>
    <w:rsid w:val="00F10C2E"/>
    <w:rsid w:val="00F10D06"/>
    <w:rsid w:val="00F11025"/>
    <w:rsid w:val="00F110EE"/>
    <w:rsid w:val="00F1180B"/>
    <w:rsid w:val="00F119A7"/>
    <w:rsid w:val="00F119AF"/>
    <w:rsid w:val="00F11AFB"/>
    <w:rsid w:val="00F11E9A"/>
    <w:rsid w:val="00F120E0"/>
    <w:rsid w:val="00F12112"/>
    <w:rsid w:val="00F1229B"/>
    <w:rsid w:val="00F122E7"/>
    <w:rsid w:val="00F12358"/>
    <w:rsid w:val="00F12A77"/>
    <w:rsid w:val="00F12B05"/>
    <w:rsid w:val="00F12B7D"/>
    <w:rsid w:val="00F12BE1"/>
    <w:rsid w:val="00F12EFB"/>
    <w:rsid w:val="00F1302D"/>
    <w:rsid w:val="00F13327"/>
    <w:rsid w:val="00F1351F"/>
    <w:rsid w:val="00F136FC"/>
    <w:rsid w:val="00F137D1"/>
    <w:rsid w:val="00F13CEC"/>
    <w:rsid w:val="00F1429E"/>
    <w:rsid w:val="00F14349"/>
    <w:rsid w:val="00F146BD"/>
    <w:rsid w:val="00F14792"/>
    <w:rsid w:val="00F14ABB"/>
    <w:rsid w:val="00F14B12"/>
    <w:rsid w:val="00F14E59"/>
    <w:rsid w:val="00F14EA0"/>
    <w:rsid w:val="00F14FBD"/>
    <w:rsid w:val="00F14FFB"/>
    <w:rsid w:val="00F150CB"/>
    <w:rsid w:val="00F15131"/>
    <w:rsid w:val="00F1518C"/>
    <w:rsid w:val="00F153EC"/>
    <w:rsid w:val="00F15502"/>
    <w:rsid w:val="00F1555C"/>
    <w:rsid w:val="00F15767"/>
    <w:rsid w:val="00F15865"/>
    <w:rsid w:val="00F15AA9"/>
    <w:rsid w:val="00F15CC6"/>
    <w:rsid w:val="00F15EAA"/>
    <w:rsid w:val="00F15F5C"/>
    <w:rsid w:val="00F15F9A"/>
    <w:rsid w:val="00F15FC4"/>
    <w:rsid w:val="00F16445"/>
    <w:rsid w:val="00F16454"/>
    <w:rsid w:val="00F165F4"/>
    <w:rsid w:val="00F168A2"/>
    <w:rsid w:val="00F169A4"/>
    <w:rsid w:val="00F16E2A"/>
    <w:rsid w:val="00F16F1F"/>
    <w:rsid w:val="00F16F64"/>
    <w:rsid w:val="00F16F7D"/>
    <w:rsid w:val="00F1730C"/>
    <w:rsid w:val="00F17319"/>
    <w:rsid w:val="00F1758B"/>
    <w:rsid w:val="00F176C6"/>
    <w:rsid w:val="00F177FB"/>
    <w:rsid w:val="00F178C1"/>
    <w:rsid w:val="00F178E7"/>
    <w:rsid w:val="00F17A6D"/>
    <w:rsid w:val="00F17C01"/>
    <w:rsid w:val="00F17DBB"/>
    <w:rsid w:val="00F20154"/>
    <w:rsid w:val="00F202D7"/>
    <w:rsid w:val="00F203CE"/>
    <w:rsid w:val="00F20464"/>
    <w:rsid w:val="00F20516"/>
    <w:rsid w:val="00F2052B"/>
    <w:rsid w:val="00F2083A"/>
    <w:rsid w:val="00F2087E"/>
    <w:rsid w:val="00F20962"/>
    <w:rsid w:val="00F20990"/>
    <w:rsid w:val="00F209FC"/>
    <w:rsid w:val="00F20C70"/>
    <w:rsid w:val="00F20D5D"/>
    <w:rsid w:val="00F20DD9"/>
    <w:rsid w:val="00F20FD0"/>
    <w:rsid w:val="00F2121D"/>
    <w:rsid w:val="00F21268"/>
    <w:rsid w:val="00F212CF"/>
    <w:rsid w:val="00F21334"/>
    <w:rsid w:val="00F215DE"/>
    <w:rsid w:val="00F2169D"/>
    <w:rsid w:val="00F216C3"/>
    <w:rsid w:val="00F2178D"/>
    <w:rsid w:val="00F21EDA"/>
    <w:rsid w:val="00F21F60"/>
    <w:rsid w:val="00F220D5"/>
    <w:rsid w:val="00F22127"/>
    <w:rsid w:val="00F222A4"/>
    <w:rsid w:val="00F2242A"/>
    <w:rsid w:val="00F224DF"/>
    <w:rsid w:val="00F22512"/>
    <w:rsid w:val="00F2266B"/>
    <w:rsid w:val="00F22780"/>
    <w:rsid w:val="00F229FB"/>
    <w:rsid w:val="00F22A34"/>
    <w:rsid w:val="00F23056"/>
    <w:rsid w:val="00F231CE"/>
    <w:rsid w:val="00F2322B"/>
    <w:rsid w:val="00F23266"/>
    <w:rsid w:val="00F23289"/>
    <w:rsid w:val="00F23337"/>
    <w:rsid w:val="00F23706"/>
    <w:rsid w:val="00F23788"/>
    <w:rsid w:val="00F238C2"/>
    <w:rsid w:val="00F239A7"/>
    <w:rsid w:val="00F23A63"/>
    <w:rsid w:val="00F23E70"/>
    <w:rsid w:val="00F23F8C"/>
    <w:rsid w:val="00F2409E"/>
    <w:rsid w:val="00F245FB"/>
    <w:rsid w:val="00F24800"/>
    <w:rsid w:val="00F2495B"/>
    <w:rsid w:val="00F24B65"/>
    <w:rsid w:val="00F24B79"/>
    <w:rsid w:val="00F24B83"/>
    <w:rsid w:val="00F24D28"/>
    <w:rsid w:val="00F24DA1"/>
    <w:rsid w:val="00F24F26"/>
    <w:rsid w:val="00F250A4"/>
    <w:rsid w:val="00F25209"/>
    <w:rsid w:val="00F2521E"/>
    <w:rsid w:val="00F252D7"/>
    <w:rsid w:val="00F25579"/>
    <w:rsid w:val="00F255FB"/>
    <w:rsid w:val="00F25683"/>
    <w:rsid w:val="00F25936"/>
    <w:rsid w:val="00F259A3"/>
    <w:rsid w:val="00F25AFB"/>
    <w:rsid w:val="00F25D9A"/>
    <w:rsid w:val="00F25E7D"/>
    <w:rsid w:val="00F260A4"/>
    <w:rsid w:val="00F260A8"/>
    <w:rsid w:val="00F26490"/>
    <w:rsid w:val="00F26981"/>
    <w:rsid w:val="00F26FBF"/>
    <w:rsid w:val="00F2715F"/>
    <w:rsid w:val="00F27395"/>
    <w:rsid w:val="00F274A1"/>
    <w:rsid w:val="00F2751B"/>
    <w:rsid w:val="00F2756B"/>
    <w:rsid w:val="00F27704"/>
    <w:rsid w:val="00F278CA"/>
    <w:rsid w:val="00F278D4"/>
    <w:rsid w:val="00F27BDF"/>
    <w:rsid w:val="00F27C34"/>
    <w:rsid w:val="00F27DF7"/>
    <w:rsid w:val="00F27DFB"/>
    <w:rsid w:val="00F27F31"/>
    <w:rsid w:val="00F30285"/>
    <w:rsid w:val="00F30336"/>
    <w:rsid w:val="00F303EF"/>
    <w:rsid w:val="00F30688"/>
    <w:rsid w:val="00F307F5"/>
    <w:rsid w:val="00F30815"/>
    <w:rsid w:val="00F3081C"/>
    <w:rsid w:val="00F30AB3"/>
    <w:rsid w:val="00F30B40"/>
    <w:rsid w:val="00F30CDD"/>
    <w:rsid w:val="00F30CE3"/>
    <w:rsid w:val="00F30EE7"/>
    <w:rsid w:val="00F3150F"/>
    <w:rsid w:val="00F31750"/>
    <w:rsid w:val="00F317C9"/>
    <w:rsid w:val="00F31842"/>
    <w:rsid w:val="00F3187A"/>
    <w:rsid w:val="00F31886"/>
    <w:rsid w:val="00F31953"/>
    <w:rsid w:val="00F31FC2"/>
    <w:rsid w:val="00F31FF5"/>
    <w:rsid w:val="00F32173"/>
    <w:rsid w:val="00F3248D"/>
    <w:rsid w:val="00F32516"/>
    <w:rsid w:val="00F326C5"/>
    <w:rsid w:val="00F32AA9"/>
    <w:rsid w:val="00F32AFD"/>
    <w:rsid w:val="00F32C7D"/>
    <w:rsid w:val="00F32E87"/>
    <w:rsid w:val="00F32EAD"/>
    <w:rsid w:val="00F32F31"/>
    <w:rsid w:val="00F334B8"/>
    <w:rsid w:val="00F335DD"/>
    <w:rsid w:val="00F338AE"/>
    <w:rsid w:val="00F339B0"/>
    <w:rsid w:val="00F33B03"/>
    <w:rsid w:val="00F33B16"/>
    <w:rsid w:val="00F33BE1"/>
    <w:rsid w:val="00F34007"/>
    <w:rsid w:val="00F340A3"/>
    <w:rsid w:val="00F34138"/>
    <w:rsid w:val="00F343D8"/>
    <w:rsid w:val="00F344DD"/>
    <w:rsid w:val="00F345AE"/>
    <w:rsid w:val="00F34626"/>
    <w:rsid w:val="00F34629"/>
    <w:rsid w:val="00F346BF"/>
    <w:rsid w:val="00F34A26"/>
    <w:rsid w:val="00F34A35"/>
    <w:rsid w:val="00F34AEA"/>
    <w:rsid w:val="00F34B40"/>
    <w:rsid w:val="00F34C6D"/>
    <w:rsid w:val="00F34D73"/>
    <w:rsid w:val="00F34DCB"/>
    <w:rsid w:val="00F34EE1"/>
    <w:rsid w:val="00F35071"/>
    <w:rsid w:val="00F351E7"/>
    <w:rsid w:val="00F352C9"/>
    <w:rsid w:val="00F35317"/>
    <w:rsid w:val="00F35405"/>
    <w:rsid w:val="00F356A7"/>
    <w:rsid w:val="00F358DA"/>
    <w:rsid w:val="00F35921"/>
    <w:rsid w:val="00F35B59"/>
    <w:rsid w:val="00F35D3A"/>
    <w:rsid w:val="00F35D43"/>
    <w:rsid w:val="00F35ED6"/>
    <w:rsid w:val="00F35F87"/>
    <w:rsid w:val="00F3607F"/>
    <w:rsid w:val="00F3677C"/>
    <w:rsid w:val="00F368FE"/>
    <w:rsid w:val="00F36A3D"/>
    <w:rsid w:val="00F36B1C"/>
    <w:rsid w:val="00F36BE3"/>
    <w:rsid w:val="00F36D87"/>
    <w:rsid w:val="00F36EAB"/>
    <w:rsid w:val="00F36F6B"/>
    <w:rsid w:val="00F36F84"/>
    <w:rsid w:val="00F370A2"/>
    <w:rsid w:val="00F372C2"/>
    <w:rsid w:val="00F373D0"/>
    <w:rsid w:val="00F37A78"/>
    <w:rsid w:val="00F37C90"/>
    <w:rsid w:val="00F37D6E"/>
    <w:rsid w:val="00F37DD0"/>
    <w:rsid w:val="00F37E26"/>
    <w:rsid w:val="00F37F0A"/>
    <w:rsid w:val="00F37F12"/>
    <w:rsid w:val="00F37F54"/>
    <w:rsid w:val="00F40054"/>
    <w:rsid w:val="00F40094"/>
    <w:rsid w:val="00F4021B"/>
    <w:rsid w:val="00F404BD"/>
    <w:rsid w:val="00F405C1"/>
    <w:rsid w:val="00F40CB3"/>
    <w:rsid w:val="00F40F11"/>
    <w:rsid w:val="00F4105D"/>
    <w:rsid w:val="00F41088"/>
    <w:rsid w:val="00F411E5"/>
    <w:rsid w:val="00F412B9"/>
    <w:rsid w:val="00F414B7"/>
    <w:rsid w:val="00F414DE"/>
    <w:rsid w:val="00F41563"/>
    <w:rsid w:val="00F41786"/>
    <w:rsid w:val="00F4181B"/>
    <w:rsid w:val="00F41C33"/>
    <w:rsid w:val="00F41E8F"/>
    <w:rsid w:val="00F42175"/>
    <w:rsid w:val="00F426A3"/>
    <w:rsid w:val="00F42893"/>
    <w:rsid w:val="00F42908"/>
    <w:rsid w:val="00F42CA7"/>
    <w:rsid w:val="00F42CE1"/>
    <w:rsid w:val="00F42D95"/>
    <w:rsid w:val="00F42EB4"/>
    <w:rsid w:val="00F43085"/>
    <w:rsid w:val="00F43108"/>
    <w:rsid w:val="00F432A1"/>
    <w:rsid w:val="00F432EA"/>
    <w:rsid w:val="00F435CC"/>
    <w:rsid w:val="00F43781"/>
    <w:rsid w:val="00F43815"/>
    <w:rsid w:val="00F438C3"/>
    <w:rsid w:val="00F438EE"/>
    <w:rsid w:val="00F43B3E"/>
    <w:rsid w:val="00F43EC6"/>
    <w:rsid w:val="00F43F4B"/>
    <w:rsid w:val="00F43FD8"/>
    <w:rsid w:val="00F440D8"/>
    <w:rsid w:val="00F441C1"/>
    <w:rsid w:val="00F44272"/>
    <w:rsid w:val="00F44506"/>
    <w:rsid w:val="00F44517"/>
    <w:rsid w:val="00F445E4"/>
    <w:rsid w:val="00F446F6"/>
    <w:rsid w:val="00F447B6"/>
    <w:rsid w:val="00F448EC"/>
    <w:rsid w:val="00F44C7A"/>
    <w:rsid w:val="00F44D4B"/>
    <w:rsid w:val="00F44FB4"/>
    <w:rsid w:val="00F45299"/>
    <w:rsid w:val="00F453B1"/>
    <w:rsid w:val="00F454A7"/>
    <w:rsid w:val="00F4553A"/>
    <w:rsid w:val="00F457A1"/>
    <w:rsid w:val="00F45906"/>
    <w:rsid w:val="00F45919"/>
    <w:rsid w:val="00F45B4E"/>
    <w:rsid w:val="00F45BB7"/>
    <w:rsid w:val="00F45C13"/>
    <w:rsid w:val="00F45DF6"/>
    <w:rsid w:val="00F45F03"/>
    <w:rsid w:val="00F45FEB"/>
    <w:rsid w:val="00F46363"/>
    <w:rsid w:val="00F463E0"/>
    <w:rsid w:val="00F46400"/>
    <w:rsid w:val="00F46458"/>
    <w:rsid w:val="00F46523"/>
    <w:rsid w:val="00F465C7"/>
    <w:rsid w:val="00F467AE"/>
    <w:rsid w:val="00F46BED"/>
    <w:rsid w:val="00F46C32"/>
    <w:rsid w:val="00F46D51"/>
    <w:rsid w:val="00F47084"/>
    <w:rsid w:val="00F47093"/>
    <w:rsid w:val="00F47106"/>
    <w:rsid w:val="00F47258"/>
    <w:rsid w:val="00F4725E"/>
    <w:rsid w:val="00F47398"/>
    <w:rsid w:val="00F473EB"/>
    <w:rsid w:val="00F473F1"/>
    <w:rsid w:val="00F47579"/>
    <w:rsid w:val="00F47651"/>
    <w:rsid w:val="00F47798"/>
    <w:rsid w:val="00F4787E"/>
    <w:rsid w:val="00F47A5B"/>
    <w:rsid w:val="00F47AD4"/>
    <w:rsid w:val="00F47B39"/>
    <w:rsid w:val="00F47D72"/>
    <w:rsid w:val="00F47DEB"/>
    <w:rsid w:val="00F47E41"/>
    <w:rsid w:val="00F501AF"/>
    <w:rsid w:val="00F504EC"/>
    <w:rsid w:val="00F506EF"/>
    <w:rsid w:val="00F507B5"/>
    <w:rsid w:val="00F507C3"/>
    <w:rsid w:val="00F50B0D"/>
    <w:rsid w:val="00F50B44"/>
    <w:rsid w:val="00F50C54"/>
    <w:rsid w:val="00F50E44"/>
    <w:rsid w:val="00F50F48"/>
    <w:rsid w:val="00F50F8C"/>
    <w:rsid w:val="00F5115A"/>
    <w:rsid w:val="00F51202"/>
    <w:rsid w:val="00F5135B"/>
    <w:rsid w:val="00F5140D"/>
    <w:rsid w:val="00F51731"/>
    <w:rsid w:val="00F51B59"/>
    <w:rsid w:val="00F51F53"/>
    <w:rsid w:val="00F522E1"/>
    <w:rsid w:val="00F52679"/>
    <w:rsid w:val="00F527B4"/>
    <w:rsid w:val="00F527D7"/>
    <w:rsid w:val="00F52A2C"/>
    <w:rsid w:val="00F52AAF"/>
    <w:rsid w:val="00F52C1F"/>
    <w:rsid w:val="00F52CBD"/>
    <w:rsid w:val="00F52EF4"/>
    <w:rsid w:val="00F52F0C"/>
    <w:rsid w:val="00F53071"/>
    <w:rsid w:val="00F533A7"/>
    <w:rsid w:val="00F534B6"/>
    <w:rsid w:val="00F535F2"/>
    <w:rsid w:val="00F53C99"/>
    <w:rsid w:val="00F53E0A"/>
    <w:rsid w:val="00F54123"/>
    <w:rsid w:val="00F5424E"/>
    <w:rsid w:val="00F54706"/>
    <w:rsid w:val="00F5487E"/>
    <w:rsid w:val="00F54A03"/>
    <w:rsid w:val="00F54A50"/>
    <w:rsid w:val="00F54A54"/>
    <w:rsid w:val="00F54A59"/>
    <w:rsid w:val="00F54A70"/>
    <w:rsid w:val="00F54B5E"/>
    <w:rsid w:val="00F54E27"/>
    <w:rsid w:val="00F54F1F"/>
    <w:rsid w:val="00F54F72"/>
    <w:rsid w:val="00F550F7"/>
    <w:rsid w:val="00F5559F"/>
    <w:rsid w:val="00F55AD3"/>
    <w:rsid w:val="00F55C29"/>
    <w:rsid w:val="00F55CA5"/>
    <w:rsid w:val="00F55E3A"/>
    <w:rsid w:val="00F55EBE"/>
    <w:rsid w:val="00F56506"/>
    <w:rsid w:val="00F565A3"/>
    <w:rsid w:val="00F5669A"/>
    <w:rsid w:val="00F566C8"/>
    <w:rsid w:val="00F56771"/>
    <w:rsid w:val="00F56789"/>
    <w:rsid w:val="00F56953"/>
    <w:rsid w:val="00F56A48"/>
    <w:rsid w:val="00F56A87"/>
    <w:rsid w:val="00F56D81"/>
    <w:rsid w:val="00F56EFC"/>
    <w:rsid w:val="00F57083"/>
    <w:rsid w:val="00F570AC"/>
    <w:rsid w:val="00F57110"/>
    <w:rsid w:val="00F571A9"/>
    <w:rsid w:val="00F572D7"/>
    <w:rsid w:val="00F573EB"/>
    <w:rsid w:val="00F573F1"/>
    <w:rsid w:val="00F5746C"/>
    <w:rsid w:val="00F575D1"/>
    <w:rsid w:val="00F57678"/>
    <w:rsid w:val="00F57B47"/>
    <w:rsid w:val="00F57B87"/>
    <w:rsid w:val="00F57BBE"/>
    <w:rsid w:val="00F57DDC"/>
    <w:rsid w:val="00F60002"/>
    <w:rsid w:val="00F60059"/>
    <w:rsid w:val="00F600F6"/>
    <w:rsid w:val="00F6015E"/>
    <w:rsid w:val="00F603D1"/>
    <w:rsid w:val="00F6046F"/>
    <w:rsid w:val="00F6070B"/>
    <w:rsid w:val="00F60A59"/>
    <w:rsid w:val="00F60C2D"/>
    <w:rsid w:val="00F61614"/>
    <w:rsid w:val="00F6169D"/>
    <w:rsid w:val="00F618BD"/>
    <w:rsid w:val="00F618D1"/>
    <w:rsid w:val="00F619E8"/>
    <w:rsid w:val="00F61ABF"/>
    <w:rsid w:val="00F61ACD"/>
    <w:rsid w:val="00F61AD6"/>
    <w:rsid w:val="00F61BE5"/>
    <w:rsid w:val="00F61BFC"/>
    <w:rsid w:val="00F61D38"/>
    <w:rsid w:val="00F61DEC"/>
    <w:rsid w:val="00F61F68"/>
    <w:rsid w:val="00F6210C"/>
    <w:rsid w:val="00F621A2"/>
    <w:rsid w:val="00F6268F"/>
    <w:rsid w:val="00F628D1"/>
    <w:rsid w:val="00F628DC"/>
    <w:rsid w:val="00F629B4"/>
    <w:rsid w:val="00F62BEE"/>
    <w:rsid w:val="00F62D25"/>
    <w:rsid w:val="00F62DCB"/>
    <w:rsid w:val="00F62DDA"/>
    <w:rsid w:val="00F62E28"/>
    <w:rsid w:val="00F62E90"/>
    <w:rsid w:val="00F62F0E"/>
    <w:rsid w:val="00F62FD2"/>
    <w:rsid w:val="00F63103"/>
    <w:rsid w:val="00F63312"/>
    <w:rsid w:val="00F6339F"/>
    <w:rsid w:val="00F63602"/>
    <w:rsid w:val="00F6374B"/>
    <w:rsid w:val="00F63967"/>
    <w:rsid w:val="00F6397B"/>
    <w:rsid w:val="00F63B4A"/>
    <w:rsid w:val="00F63B5B"/>
    <w:rsid w:val="00F63C49"/>
    <w:rsid w:val="00F641D2"/>
    <w:rsid w:val="00F64334"/>
    <w:rsid w:val="00F6489B"/>
    <w:rsid w:val="00F64A02"/>
    <w:rsid w:val="00F64B39"/>
    <w:rsid w:val="00F64B91"/>
    <w:rsid w:val="00F64BE6"/>
    <w:rsid w:val="00F64CA0"/>
    <w:rsid w:val="00F64CCB"/>
    <w:rsid w:val="00F64E32"/>
    <w:rsid w:val="00F654E8"/>
    <w:rsid w:val="00F65581"/>
    <w:rsid w:val="00F655AE"/>
    <w:rsid w:val="00F659C5"/>
    <w:rsid w:val="00F65A3E"/>
    <w:rsid w:val="00F65E98"/>
    <w:rsid w:val="00F65F23"/>
    <w:rsid w:val="00F65F9E"/>
    <w:rsid w:val="00F66376"/>
    <w:rsid w:val="00F6640E"/>
    <w:rsid w:val="00F6656D"/>
    <w:rsid w:val="00F6666A"/>
    <w:rsid w:val="00F6681E"/>
    <w:rsid w:val="00F6695B"/>
    <w:rsid w:val="00F669B4"/>
    <w:rsid w:val="00F66B0B"/>
    <w:rsid w:val="00F66CA0"/>
    <w:rsid w:val="00F66D0A"/>
    <w:rsid w:val="00F670A7"/>
    <w:rsid w:val="00F67351"/>
    <w:rsid w:val="00F673C8"/>
    <w:rsid w:val="00F67446"/>
    <w:rsid w:val="00F675B1"/>
    <w:rsid w:val="00F67707"/>
    <w:rsid w:val="00F6771E"/>
    <w:rsid w:val="00F67FA2"/>
    <w:rsid w:val="00F67FC5"/>
    <w:rsid w:val="00F703B4"/>
    <w:rsid w:val="00F7042D"/>
    <w:rsid w:val="00F705DA"/>
    <w:rsid w:val="00F708E5"/>
    <w:rsid w:val="00F709B6"/>
    <w:rsid w:val="00F70AEB"/>
    <w:rsid w:val="00F70B0B"/>
    <w:rsid w:val="00F70C16"/>
    <w:rsid w:val="00F70D5B"/>
    <w:rsid w:val="00F7111F"/>
    <w:rsid w:val="00F71144"/>
    <w:rsid w:val="00F712C6"/>
    <w:rsid w:val="00F71638"/>
    <w:rsid w:val="00F71986"/>
    <w:rsid w:val="00F71990"/>
    <w:rsid w:val="00F7199F"/>
    <w:rsid w:val="00F719B0"/>
    <w:rsid w:val="00F71C27"/>
    <w:rsid w:val="00F71E00"/>
    <w:rsid w:val="00F721B8"/>
    <w:rsid w:val="00F726DC"/>
    <w:rsid w:val="00F726EF"/>
    <w:rsid w:val="00F72973"/>
    <w:rsid w:val="00F72A86"/>
    <w:rsid w:val="00F72AA0"/>
    <w:rsid w:val="00F72B3E"/>
    <w:rsid w:val="00F72B66"/>
    <w:rsid w:val="00F72DE1"/>
    <w:rsid w:val="00F72F40"/>
    <w:rsid w:val="00F72FB8"/>
    <w:rsid w:val="00F7317A"/>
    <w:rsid w:val="00F732A6"/>
    <w:rsid w:val="00F73323"/>
    <w:rsid w:val="00F733EE"/>
    <w:rsid w:val="00F73422"/>
    <w:rsid w:val="00F73691"/>
    <w:rsid w:val="00F737CC"/>
    <w:rsid w:val="00F73A31"/>
    <w:rsid w:val="00F73A38"/>
    <w:rsid w:val="00F73B46"/>
    <w:rsid w:val="00F73BEC"/>
    <w:rsid w:val="00F73C43"/>
    <w:rsid w:val="00F73D4D"/>
    <w:rsid w:val="00F73DF7"/>
    <w:rsid w:val="00F73E44"/>
    <w:rsid w:val="00F73FD2"/>
    <w:rsid w:val="00F74108"/>
    <w:rsid w:val="00F7435C"/>
    <w:rsid w:val="00F74426"/>
    <w:rsid w:val="00F745F4"/>
    <w:rsid w:val="00F7463C"/>
    <w:rsid w:val="00F74702"/>
    <w:rsid w:val="00F749D5"/>
    <w:rsid w:val="00F74B5C"/>
    <w:rsid w:val="00F74BF8"/>
    <w:rsid w:val="00F75183"/>
    <w:rsid w:val="00F7528E"/>
    <w:rsid w:val="00F75655"/>
    <w:rsid w:val="00F75969"/>
    <w:rsid w:val="00F75978"/>
    <w:rsid w:val="00F75C81"/>
    <w:rsid w:val="00F76196"/>
    <w:rsid w:val="00F762E0"/>
    <w:rsid w:val="00F763B8"/>
    <w:rsid w:val="00F764B6"/>
    <w:rsid w:val="00F7659F"/>
    <w:rsid w:val="00F765EE"/>
    <w:rsid w:val="00F76933"/>
    <w:rsid w:val="00F76A6F"/>
    <w:rsid w:val="00F76AE0"/>
    <w:rsid w:val="00F76CBF"/>
    <w:rsid w:val="00F76DC4"/>
    <w:rsid w:val="00F76E1D"/>
    <w:rsid w:val="00F76F6B"/>
    <w:rsid w:val="00F76F98"/>
    <w:rsid w:val="00F77438"/>
    <w:rsid w:val="00F775A4"/>
    <w:rsid w:val="00F7779C"/>
    <w:rsid w:val="00F77843"/>
    <w:rsid w:val="00F7799D"/>
    <w:rsid w:val="00F77A27"/>
    <w:rsid w:val="00F77AE6"/>
    <w:rsid w:val="00F77AEC"/>
    <w:rsid w:val="00F77C0D"/>
    <w:rsid w:val="00F77D30"/>
    <w:rsid w:val="00F77D82"/>
    <w:rsid w:val="00F77E1C"/>
    <w:rsid w:val="00F77EA7"/>
    <w:rsid w:val="00F77EED"/>
    <w:rsid w:val="00F80339"/>
    <w:rsid w:val="00F807FC"/>
    <w:rsid w:val="00F80932"/>
    <w:rsid w:val="00F80A66"/>
    <w:rsid w:val="00F80B81"/>
    <w:rsid w:val="00F80BBE"/>
    <w:rsid w:val="00F80BC0"/>
    <w:rsid w:val="00F80E60"/>
    <w:rsid w:val="00F80E97"/>
    <w:rsid w:val="00F81043"/>
    <w:rsid w:val="00F812D3"/>
    <w:rsid w:val="00F81530"/>
    <w:rsid w:val="00F8166A"/>
    <w:rsid w:val="00F81693"/>
    <w:rsid w:val="00F81B62"/>
    <w:rsid w:val="00F81CDF"/>
    <w:rsid w:val="00F81E1F"/>
    <w:rsid w:val="00F82252"/>
    <w:rsid w:val="00F82536"/>
    <w:rsid w:val="00F827AC"/>
    <w:rsid w:val="00F827B8"/>
    <w:rsid w:val="00F82A6A"/>
    <w:rsid w:val="00F82B6A"/>
    <w:rsid w:val="00F82BD8"/>
    <w:rsid w:val="00F82C71"/>
    <w:rsid w:val="00F82C9B"/>
    <w:rsid w:val="00F82D2B"/>
    <w:rsid w:val="00F82FE6"/>
    <w:rsid w:val="00F8310A"/>
    <w:rsid w:val="00F837FA"/>
    <w:rsid w:val="00F83881"/>
    <w:rsid w:val="00F838B7"/>
    <w:rsid w:val="00F83978"/>
    <w:rsid w:val="00F83D05"/>
    <w:rsid w:val="00F83E8F"/>
    <w:rsid w:val="00F84006"/>
    <w:rsid w:val="00F8473B"/>
    <w:rsid w:val="00F84828"/>
    <w:rsid w:val="00F84DE2"/>
    <w:rsid w:val="00F84FB2"/>
    <w:rsid w:val="00F851D2"/>
    <w:rsid w:val="00F85382"/>
    <w:rsid w:val="00F853AF"/>
    <w:rsid w:val="00F85459"/>
    <w:rsid w:val="00F854D4"/>
    <w:rsid w:val="00F8581B"/>
    <w:rsid w:val="00F85897"/>
    <w:rsid w:val="00F85B12"/>
    <w:rsid w:val="00F85C48"/>
    <w:rsid w:val="00F85C5B"/>
    <w:rsid w:val="00F85E35"/>
    <w:rsid w:val="00F8611B"/>
    <w:rsid w:val="00F86437"/>
    <w:rsid w:val="00F86440"/>
    <w:rsid w:val="00F8644E"/>
    <w:rsid w:val="00F866D7"/>
    <w:rsid w:val="00F867BF"/>
    <w:rsid w:val="00F8692A"/>
    <w:rsid w:val="00F86C0B"/>
    <w:rsid w:val="00F86C9A"/>
    <w:rsid w:val="00F86E9C"/>
    <w:rsid w:val="00F87043"/>
    <w:rsid w:val="00F871E3"/>
    <w:rsid w:val="00F87635"/>
    <w:rsid w:val="00F877D9"/>
    <w:rsid w:val="00F87993"/>
    <w:rsid w:val="00F879B5"/>
    <w:rsid w:val="00F879C3"/>
    <w:rsid w:val="00F87B35"/>
    <w:rsid w:val="00F87C0C"/>
    <w:rsid w:val="00F87F33"/>
    <w:rsid w:val="00F901A4"/>
    <w:rsid w:val="00F90458"/>
    <w:rsid w:val="00F90499"/>
    <w:rsid w:val="00F905AC"/>
    <w:rsid w:val="00F907E1"/>
    <w:rsid w:val="00F90868"/>
    <w:rsid w:val="00F908FB"/>
    <w:rsid w:val="00F90902"/>
    <w:rsid w:val="00F90D22"/>
    <w:rsid w:val="00F910C6"/>
    <w:rsid w:val="00F9113D"/>
    <w:rsid w:val="00F9119D"/>
    <w:rsid w:val="00F91243"/>
    <w:rsid w:val="00F9181B"/>
    <w:rsid w:val="00F91939"/>
    <w:rsid w:val="00F91C25"/>
    <w:rsid w:val="00F91F41"/>
    <w:rsid w:val="00F91F48"/>
    <w:rsid w:val="00F91FCF"/>
    <w:rsid w:val="00F92084"/>
    <w:rsid w:val="00F92773"/>
    <w:rsid w:val="00F92805"/>
    <w:rsid w:val="00F92824"/>
    <w:rsid w:val="00F92AA5"/>
    <w:rsid w:val="00F931B3"/>
    <w:rsid w:val="00F93280"/>
    <w:rsid w:val="00F9335A"/>
    <w:rsid w:val="00F9338B"/>
    <w:rsid w:val="00F9355C"/>
    <w:rsid w:val="00F935DD"/>
    <w:rsid w:val="00F93652"/>
    <w:rsid w:val="00F937AD"/>
    <w:rsid w:val="00F937BF"/>
    <w:rsid w:val="00F93865"/>
    <w:rsid w:val="00F939D1"/>
    <w:rsid w:val="00F939E1"/>
    <w:rsid w:val="00F93B47"/>
    <w:rsid w:val="00F93CC9"/>
    <w:rsid w:val="00F9414B"/>
    <w:rsid w:val="00F944B5"/>
    <w:rsid w:val="00F947FB"/>
    <w:rsid w:val="00F94907"/>
    <w:rsid w:val="00F9498C"/>
    <w:rsid w:val="00F94BD5"/>
    <w:rsid w:val="00F94C39"/>
    <w:rsid w:val="00F94C6C"/>
    <w:rsid w:val="00F94D92"/>
    <w:rsid w:val="00F94DD7"/>
    <w:rsid w:val="00F95081"/>
    <w:rsid w:val="00F95228"/>
    <w:rsid w:val="00F953DC"/>
    <w:rsid w:val="00F955C4"/>
    <w:rsid w:val="00F9591B"/>
    <w:rsid w:val="00F95951"/>
    <w:rsid w:val="00F95B22"/>
    <w:rsid w:val="00F96063"/>
    <w:rsid w:val="00F962BC"/>
    <w:rsid w:val="00F96320"/>
    <w:rsid w:val="00F965F1"/>
    <w:rsid w:val="00F96743"/>
    <w:rsid w:val="00F9694B"/>
    <w:rsid w:val="00F96AFF"/>
    <w:rsid w:val="00F96C25"/>
    <w:rsid w:val="00F96DC3"/>
    <w:rsid w:val="00F96E88"/>
    <w:rsid w:val="00F970F0"/>
    <w:rsid w:val="00F97276"/>
    <w:rsid w:val="00F973D7"/>
    <w:rsid w:val="00F9744A"/>
    <w:rsid w:val="00F977BE"/>
    <w:rsid w:val="00F978C8"/>
    <w:rsid w:val="00F97909"/>
    <w:rsid w:val="00F97AA6"/>
    <w:rsid w:val="00F97C7F"/>
    <w:rsid w:val="00F97CD5"/>
    <w:rsid w:val="00F97D74"/>
    <w:rsid w:val="00F97D8F"/>
    <w:rsid w:val="00F97E55"/>
    <w:rsid w:val="00F97EBD"/>
    <w:rsid w:val="00FA013E"/>
    <w:rsid w:val="00FA0202"/>
    <w:rsid w:val="00FA037C"/>
    <w:rsid w:val="00FA052A"/>
    <w:rsid w:val="00FA06E5"/>
    <w:rsid w:val="00FA07A7"/>
    <w:rsid w:val="00FA0910"/>
    <w:rsid w:val="00FA0A6E"/>
    <w:rsid w:val="00FA0CC0"/>
    <w:rsid w:val="00FA0DB8"/>
    <w:rsid w:val="00FA10D0"/>
    <w:rsid w:val="00FA15E8"/>
    <w:rsid w:val="00FA15FC"/>
    <w:rsid w:val="00FA17A0"/>
    <w:rsid w:val="00FA180C"/>
    <w:rsid w:val="00FA197A"/>
    <w:rsid w:val="00FA1B15"/>
    <w:rsid w:val="00FA1B8C"/>
    <w:rsid w:val="00FA1C7A"/>
    <w:rsid w:val="00FA20F6"/>
    <w:rsid w:val="00FA2365"/>
    <w:rsid w:val="00FA23B4"/>
    <w:rsid w:val="00FA249F"/>
    <w:rsid w:val="00FA24A9"/>
    <w:rsid w:val="00FA2A1F"/>
    <w:rsid w:val="00FA2A6A"/>
    <w:rsid w:val="00FA2DD4"/>
    <w:rsid w:val="00FA362D"/>
    <w:rsid w:val="00FA379B"/>
    <w:rsid w:val="00FA3877"/>
    <w:rsid w:val="00FA3B5F"/>
    <w:rsid w:val="00FA3D04"/>
    <w:rsid w:val="00FA3D2C"/>
    <w:rsid w:val="00FA3F7F"/>
    <w:rsid w:val="00FA3FBC"/>
    <w:rsid w:val="00FA3FF5"/>
    <w:rsid w:val="00FA400B"/>
    <w:rsid w:val="00FA405F"/>
    <w:rsid w:val="00FA4107"/>
    <w:rsid w:val="00FA4369"/>
    <w:rsid w:val="00FA43A4"/>
    <w:rsid w:val="00FA4468"/>
    <w:rsid w:val="00FA448E"/>
    <w:rsid w:val="00FA48E3"/>
    <w:rsid w:val="00FA49AB"/>
    <w:rsid w:val="00FA4ADE"/>
    <w:rsid w:val="00FA4BE9"/>
    <w:rsid w:val="00FA4CC6"/>
    <w:rsid w:val="00FA4DE8"/>
    <w:rsid w:val="00FA4EA2"/>
    <w:rsid w:val="00FA4EF2"/>
    <w:rsid w:val="00FA4F5D"/>
    <w:rsid w:val="00FA4F6C"/>
    <w:rsid w:val="00FA535A"/>
    <w:rsid w:val="00FA5548"/>
    <w:rsid w:val="00FA561B"/>
    <w:rsid w:val="00FA56FD"/>
    <w:rsid w:val="00FA5783"/>
    <w:rsid w:val="00FA57A9"/>
    <w:rsid w:val="00FA597A"/>
    <w:rsid w:val="00FA59F6"/>
    <w:rsid w:val="00FA5BB0"/>
    <w:rsid w:val="00FA5C01"/>
    <w:rsid w:val="00FA6171"/>
    <w:rsid w:val="00FA61A8"/>
    <w:rsid w:val="00FA61D5"/>
    <w:rsid w:val="00FA624D"/>
    <w:rsid w:val="00FA62D0"/>
    <w:rsid w:val="00FA66E6"/>
    <w:rsid w:val="00FA6AE3"/>
    <w:rsid w:val="00FA6BAE"/>
    <w:rsid w:val="00FA6C24"/>
    <w:rsid w:val="00FA6C26"/>
    <w:rsid w:val="00FA6EC4"/>
    <w:rsid w:val="00FA7050"/>
    <w:rsid w:val="00FA72CB"/>
    <w:rsid w:val="00FA7376"/>
    <w:rsid w:val="00FA74CA"/>
    <w:rsid w:val="00FA7645"/>
    <w:rsid w:val="00FA76FD"/>
    <w:rsid w:val="00FA7ADE"/>
    <w:rsid w:val="00FA7B11"/>
    <w:rsid w:val="00FA7CD8"/>
    <w:rsid w:val="00FA7D40"/>
    <w:rsid w:val="00FA7D81"/>
    <w:rsid w:val="00FA7D86"/>
    <w:rsid w:val="00FA7E93"/>
    <w:rsid w:val="00FB0042"/>
    <w:rsid w:val="00FB0199"/>
    <w:rsid w:val="00FB025A"/>
    <w:rsid w:val="00FB05A4"/>
    <w:rsid w:val="00FB0685"/>
    <w:rsid w:val="00FB06A6"/>
    <w:rsid w:val="00FB07F2"/>
    <w:rsid w:val="00FB09C7"/>
    <w:rsid w:val="00FB0B3F"/>
    <w:rsid w:val="00FB0CE7"/>
    <w:rsid w:val="00FB0D6C"/>
    <w:rsid w:val="00FB1018"/>
    <w:rsid w:val="00FB10EC"/>
    <w:rsid w:val="00FB1181"/>
    <w:rsid w:val="00FB1195"/>
    <w:rsid w:val="00FB137A"/>
    <w:rsid w:val="00FB163F"/>
    <w:rsid w:val="00FB19B0"/>
    <w:rsid w:val="00FB1CBA"/>
    <w:rsid w:val="00FB1DDF"/>
    <w:rsid w:val="00FB1DE4"/>
    <w:rsid w:val="00FB1E40"/>
    <w:rsid w:val="00FB21CB"/>
    <w:rsid w:val="00FB2327"/>
    <w:rsid w:val="00FB23E8"/>
    <w:rsid w:val="00FB247F"/>
    <w:rsid w:val="00FB25C1"/>
    <w:rsid w:val="00FB2774"/>
    <w:rsid w:val="00FB2A7F"/>
    <w:rsid w:val="00FB2C1D"/>
    <w:rsid w:val="00FB2C3E"/>
    <w:rsid w:val="00FB2EB4"/>
    <w:rsid w:val="00FB309B"/>
    <w:rsid w:val="00FB30B1"/>
    <w:rsid w:val="00FB30D0"/>
    <w:rsid w:val="00FB311D"/>
    <w:rsid w:val="00FB32DE"/>
    <w:rsid w:val="00FB3588"/>
    <w:rsid w:val="00FB38E2"/>
    <w:rsid w:val="00FB3984"/>
    <w:rsid w:val="00FB3BF4"/>
    <w:rsid w:val="00FB3FEA"/>
    <w:rsid w:val="00FB4936"/>
    <w:rsid w:val="00FB4B33"/>
    <w:rsid w:val="00FB4E46"/>
    <w:rsid w:val="00FB4EB4"/>
    <w:rsid w:val="00FB516F"/>
    <w:rsid w:val="00FB53C4"/>
    <w:rsid w:val="00FB55A6"/>
    <w:rsid w:val="00FB58AC"/>
    <w:rsid w:val="00FB5C04"/>
    <w:rsid w:val="00FB5C21"/>
    <w:rsid w:val="00FB5D0B"/>
    <w:rsid w:val="00FB5DBB"/>
    <w:rsid w:val="00FB5EBA"/>
    <w:rsid w:val="00FB610D"/>
    <w:rsid w:val="00FB61F5"/>
    <w:rsid w:val="00FB66BE"/>
    <w:rsid w:val="00FB6780"/>
    <w:rsid w:val="00FB67AA"/>
    <w:rsid w:val="00FB685B"/>
    <w:rsid w:val="00FB69D7"/>
    <w:rsid w:val="00FB6A42"/>
    <w:rsid w:val="00FB6A69"/>
    <w:rsid w:val="00FB6C07"/>
    <w:rsid w:val="00FB6C38"/>
    <w:rsid w:val="00FB6F4C"/>
    <w:rsid w:val="00FB6F71"/>
    <w:rsid w:val="00FB7370"/>
    <w:rsid w:val="00FB758A"/>
    <w:rsid w:val="00FB75A5"/>
    <w:rsid w:val="00FB77B7"/>
    <w:rsid w:val="00FB7835"/>
    <w:rsid w:val="00FB7B10"/>
    <w:rsid w:val="00FB7EAB"/>
    <w:rsid w:val="00FC00E7"/>
    <w:rsid w:val="00FC015A"/>
    <w:rsid w:val="00FC034E"/>
    <w:rsid w:val="00FC04EB"/>
    <w:rsid w:val="00FC074C"/>
    <w:rsid w:val="00FC07F5"/>
    <w:rsid w:val="00FC0946"/>
    <w:rsid w:val="00FC0B8D"/>
    <w:rsid w:val="00FC0CD4"/>
    <w:rsid w:val="00FC0F66"/>
    <w:rsid w:val="00FC120C"/>
    <w:rsid w:val="00FC12A2"/>
    <w:rsid w:val="00FC1347"/>
    <w:rsid w:val="00FC181A"/>
    <w:rsid w:val="00FC1894"/>
    <w:rsid w:val="00FC1A53"/>
    <w:rsid w:val="00FC1A9F"/>
    <w:rsid w:val="00FC1EED"/>
    <w:rsid w:val="00FC2006"/>
    <w:rsid w:val="00FC2019"/>
    <w:rsid w:val="00FC2036"/>
    <w:rsid w:val="00FC2104"/>
    <w:rsid w:val="00FC2206"/>
    <w:rsid w:val="00FC2288"/>
    <w:rsid w:val="00FC2552"/>
    <w:rsid w:val="00FC2684"/>
    <w:rsid w:val="00FC26B8"/>
    <w:rsid w:val="00FC2821"/>
    <w:rsid w:val="00FC2B0D"/>
    <w:rsid w:val="00FC2B58"/>
    <w:rsid w:val="00FC2D62"/>
    <w:rsid w:val="00FC2EEA"/>
    <w:rsid w:val="00FC3179"/>
    <w:rsid w:val="00FC317E"/>
    <w:rsid w:val="00FC3193"/>
    <w:rsid w:val="00FC3541"/>
    <w:rsid w:val="00FC383F"/>
    <w:rsid w:val="00FC38B4"/>
    <w:rsid w:val="00FC3918"/>
    <w:rsid w:val="00FC39D6"/>
    <w:rsid w:val="00FC3A87"/>
    <w:rsid w:val="00FC3A8E"/>
    <w:rsid w:val="00FC3B50"/>
    <w:rsid w:val="00FC3BBC"/>
    <w:rsid w:val="00FC3CA1"/>
    <w:rsid w:val="00FC3F31"/>
    <w:rsid w:val="00FC4489"/>
    <w:rsid w:val="00FC4611"/>
    <w:rsid w:val="00FC462B"/>
    <w:rsid w:val="00FC4849"/>
    <w:rsid w:val="00FC4A60"/>
    <w:rsid w:val="00FC4AAE"/>
    <w:rsid w:val="00FC4C64"/>
    <w:rsid w:val="00FC4D22"/>
    <w:rsid w:val="00FC4D84"/>
    <w:rsid w:val="00FC4E3C"/>
    <w:rsid w:val="00FC5054"/>
    <w:rsid w:val="00FC5057"/>
    <w:rsid w:val="00FC50DF"/>
    <w:rsid w:val="00FC512C"/>
    <w:rsid w:val="00FC51F9"/>
    <w:rsid w:val="00FC5462"/>
    <w:rsid w:val="00FC597A"/>
    <w:rsid w:val="00FC5A48"/>
    <w:rsid w:val="00FC5C06"/>
    <w:rsid w:val="00FC5F47"/>
    <w:rsid w:val="00FC60A5"/>
    <w:rsid w:val="00FC6122"/>
    <w:rsid w:val="00FC61AF"/>
    <w:rsid w:val="00FC61FE"/>
    <w:rsid w:val="00FC6415"/>
    <w:rsid w:val="00FC6636"/>
    <w:rsid w:val="00FC66CB"/>
    <w:rsid w:val="00FC6826"/>
    <w:rsid w:val="00FC6B7B"/>
    <w:rsid w:val="00FC6C30"/>
    <w:rsid w:val="00FC6CEF"/>
    <w:rsid w:val="00FC6E63"/>
    <w:rsid w:val="00FC6E77"/>
    <w:rsid w:val="00FC6FEF"/>
    <w:rsid w:val="00FC73AD"/>
    <w:rsid w:val="00FC7441"/>
    <w:rsid w:val="00FC74DA"/>
    <w:rsid w:val="00FC7509"/>
    <w:rsid w:val="00FC7723"/>
    <w:rsid w:val="00FC77C7"/>
    <w:rsid w:val="00FC7973"/>
    <w:rsid w:val="00FC7B35"/>
    <w:rsid w:val="00FC7E0C"/>
    <w:rsid w:val="00FD0043"/>
    <w:rsid w:val="00FD00CE"/>
    <w:rsid w:val="00FD050C"/>
    <w:rsid w:val="00FD0775"/>
    <w:rsid w:val="00FD078F"/>
    <w:rsid w:val="00FD0800"/>
    <w:rsid w:val="00FD08E3"/>
    <w:rsid w:val="00FD0BDC"/>
    <w:rsid w:val="00FD0DE0"/>
    <w:rsid w:val="00FD0E5F"/>
    <w:rsid w:val="00FD0FEB"/>
    <w:rsid w:val="00FD1029"/>
    <w:rsid w:val="00FD10B7"/>
    <w:rsid w:val="00FD112B"/>
    <w:rsid w:val="00FD112D"/>
    <w:rsid w:val="00FD12EC"/>
    <w:rsid w:val="00FD140F"/>
    <w:rsid w:val="00FD14FC"/>
    <w:rsid w:val="00FD16D9"/>
    <w:rsid w:val="00FD1732"/>
    <w:rsid w:val="00FD1788"/>
    <w:rsid w:val="00FD1B2A"/>
    <w:rsid w:val="00FD1E30"/>
    <w:rsid w:val="00FD2043"/>
    <w:rsid w:val="00FD2440"/>
    <w:rsid w:val="00FD268B"/>
    <w:rsid w:val="00FD26B3"/>
    <w:rsid w:val="00FD275B"/>
    <w:rsid w:val="00FD2766"/>
    <w:rsid w:val="00FD2CF8"/>
    <w:rsid w:val="00FD3010"/>
    <w:rsid w:val="00FD3105"/>
    <w:rsid w:val="00FD3478"/>
    <w:rsid w:val="00FD35F9"/>
    <w:rsid w:val="00FD36A4"/>
    <w:rsid w:val="00FD3970"/>
    <w:rsid w:val="00FD3A77"/>
    <w:rsid w:val="00FD3BA3"/>
    <w:rsid w:val="00FD3E48"/>
    <w:rsid w:val="00FD3FE7"/>
    <w:rsid w:val="00FD4049"/>
    <w:rsid w:val="00FD41BC"/>
    <w:rsid w:val="00FD43A8"/>
    <w:rsid w:val="00FD44D9"/>
    <w:rsid w:val="00FD4678"/>
    <w:rsid w:val="00FD4828"/>
    <w:rsid w:val="00FD4988"/>
    <w:rsid w:val="00FD49C8"/>
    <w:rsid w:val="00FD4C16"/>
    <w:rsid w:val="00FD4CD3"/>
    <w:rsid w:val="00FD4CDE"/>
    <w:rsid w:val="00FD4D4D"/>
    <w:rsid w:val="00FD4F2C"/>
    <w:rsid w:val="00FD4F6C"/>
    <w:rsid w:val="00FD505C"/>
    <w:rsid w:val="00FD5231"/>
    <w:rsid w:val="00FD5235"/>
    <w:rsid w:val="00FD5301"/>
    <w:rsid w:val="00FD5421"/>
    <w:rsid w:val="00FD5677"/>
    <w:rsid w:val="00FD5A46"/>
    <w:rsid w:val="00FD5A61"/>
    <w:rsid w:val="00FD5AD3"/>
    <w:rsid w:val="00FD5BCB"/>
    <w:rsid w:val="00FD5C48"/>
    <w:rsid w:val="00FD5D0F"/>
    <w:rsid w:val="00FD5EF7"/>
    <w:rsid w:val="00FD5FC8"/>
    <w:rsid w:val="00FD60DC"/>
    <w:rsid w:val="00FD655D"/>
    <w:rsid w:val="00FD6A1A"/>
    <w:rsid w:val="00FD6B90"/>
    <w:rsid w:val="00FD6C54"/>
    <w:rsid w:val="00FD6D7A"/>
    <w:rsid w:val="00FD6EF1"/>
    <w:rsid w:val="00FD6FEB"/>
    <w:rsid w:val="00FD70DE"/>
    <w:rsid w:val="00FD7146"/>
    <w:rsid w:val="00FD7248"/>
    <w:rsid w:val="00FD744F"/>
    <w:rsid w:val="00FD74F8"/>
    <w:rsid w:val="00FD75D2"/>
    <w:rsid w:val="00FD7617"/>
    <w:rsid w:val="00FD764D"/>
    <w:rsid w:val="00FD7877"/>
    <w:rsid w:val="00FD78AA"/>
    <w:rsid w:val="00FD7959"/>
    <w:rsid w:val="00FD7BED"/>
    <w:rsid w:val="00FD7CEE"/>
    <w:rsid w:val="00FD7D5A"/>
    <w:rsid w:val="00FD7D79"/>
    <w:rsid w:val="00FD7E7A"/>
    <w:rsid w:val="00FE00D4"/>
    <w:rsid w:val="00FE0225"/>
    <w:rsid w:val="00FE0332"/>
    <w:rsid w:val="00FE036B"/>
    <w:rsid w:val="00FE0575"/>
    <w:rsid w:val="00FE058A"/>
    <w:rsid w:val="00FE070C"/>
    <w:rsid w:val="00FE076B"/>
    <w:rsid w:val="00FE0816"/>
    <w:rsid w:val="00FE0A37"/>
    <w:rsid w:val="00FE0A77"/>
    <w:rsid w:val="00FE0BE5"/>
    <w:rsid w:val="00FE0C1E"/>
    <w:rsid w:val="00FE0D95"/>
    <w:rsid w:val="00FE0DAE"/>
    <w:rsid w:val="00FE0DEA"/>
    <w:rsid w:val="00FE1182"/>
    <w:rsid w:val="00FE121C"/>
    <w:rsid w:val="00FE1293"/>
    <w:rsid w:val="00FE16A0"/>
    <w:rsid w:val="00FE1782"/>
    <w:rsid w:val="00FE1988"/>
    <w:rsid w:val="00FE1A7E"/>
    <w:rsid w:val="00FE1C2A"/>
    <w:rsid w:val="00FE1C55"/>
    <w:rsid w:val="00FE1EA4"/>
    <w:rsid w:val="00FE1F7A"/>
    <w:rsid w:val="00FE2671"/>
    <w:rsid w:val="00FE2806"/>
    <w:rsid w:val="00FE2965"/>
    <w:rsid w:val="00FE2DFC"/>
    <w:rsid w:val="00FE2F2A"/>
    <w:rsid w:val="00FE2F70"/>
    <w:rsid w:val="00FE3001"/>
    <w:rsid w:val="00FE3339"/>
    <w:rsid w:val="00FE352E"/>
    <w:rsid w:val="00FE382E"/>
    <w:rsid w:val="00FE3897"/>
    <w:rsid w:val="00FE394B"/>
    <w:rsid w:val="00FE3C46"/>
    <w:rsid w:val="00FE3D15"/>
    <w:rsid w:val="00FE3D78"/>
    <w:rsid w:val="00FE4210"/>
    <w:rsid w:val="00FE426E"/>
    <w:rsid w:val="00FE43C7"/>
    <w:rsid w:val="00FE45CB"/>
    <w:rsid w:val="00FE45E6"/>
    <w:rsid w:val="00FE4854"/>
    <w:rsid w:val="00FE4873"/>
    <w:rsid w:val="00FE4F86"/>
    <w:rsid w:val="00FE4FC5"/>
    <w:rsid w:val="00FE51D3"/>
    <w:rsid w:val="00FE52B7"/>
    <w:rsid w:val="00FE5385"/>
    <w:rsid w:val="00FE55E9"/>
    <w:rsid w:val="00FE5911"/>
    <w:rsid w:val="00FE5B7D"/>
    <w:rsid w:val="00FE600B"/>
    <w:rsid w:val="00FE614D"/>
    <w:rsid w:val="00FE63DB"/>
    <w:rsid w:val="00FE6624"/>
    <w:rsid w:val="00FE6756"/>
    <w:rsid w:val="00FE6B05"/>
    <w:rsid w:val="00FE70DC"/>
    <w:rsid w:val="00FE731F"/>
    <w:rsid w:val="00FE74D0"/>
    <w:rsid w:val="00FE7530"/>
    <w:rsid w:val="00FE763A"/>
    <w:rsid w:val="00FE78F6"/>
    <w:rsid w:val="00FE7AD3"/>
    <w:rsid w:val="00FE7B39"/>
    <w:rsid w:val="00FE7B51"/>
    <w:rsid w:val="00FE7C0F"/>
    <w:rsid w:val="00FE7CB0"/>
    <w:rsid w:val="00FE7DA4"/>
    <w:rsid w:val="00FE7E6F"/>
    <w:rsid w:val="00FF017A"/>
    <w:rsid w:val="00FF023A"/>
    <w:rsid w:val="00FF0475"/>
    <w:rsid w:val="00FF05EE"/>
    <w:rsid w:val="00FF064E"/>
    <w:rsid w:val="00FF0853"/>
    <w:rsid w:val="00FF0E05"/>
    <w:rsid w:val="00FF0E63"/>
    <w:rsid w:val="00FF0F52"/>
    <w:rsid w:val="00FF0FC0"/>
    <w:rsid w:val="00FF0FFB"/>
    <w:rsid w:val="00FF102D"/>
    <w:rsid w:val="00FF1436"/>
    <w:rsid w:val="00FF159D"/>
    <w:rsid w:val="00FF15B0"/>
    <w:rsid w:val="00FF1637"/>
    <w:rsid w:val="00FF17B4"/>
    <w:rsid w:val="00FF1A0B"/>
    <w:rsid w:val="00FF1A79"/>
    <w:rsid w:val="00FF1ADF"/>
    <w:rsid w:val="00FF1AE3"/>
    <w:rsid w:val="00FF1C15"/>
    <w:rsid w:val="00FF1C9A"/>
    <w:rsid w:val="00FF1E8D"/>
    <w:rsid w:val="00FF1F1A"/>
    <w:rsid w:val="00FF20F8"/>
    <w:rsid w:val="00FF2418"/>
    <w:rsid w:val="00FF2608"/>
    <w:rsid w:val="00FF2617"/>
    <w:rsid w:val="00FF27D4"/>
    <w:rsid w:val="00FF2865"/>
    <w:rsid w:val="00FF28F7"/>
    <w:rsid w:val="00FF2C85"/>
    <w:rsid w:val="00FF2CDB"/>
    <w:rsid w:val="00FF2D0A"/>
    <w:rsid w:val="00FF2F55"/>
    <w:rsid w:val="00FF314F"/>
    <w:rsid w:val="00FF320D"/>
    <w:rsid w:val="00FF3686"/>
    <w:rsid w:val="00FF368A"/>
    <w:rsid w:val="00FF376A"/>
    <w:rsid w:val="00FF3A06"/>
    <w:rsid w:val="00FF3A2E"/>
    <w:rsid w:val="00FF3ACE"/>
    <w:rsid w:val="00FF3B0F"/>
    <w:rsid w:val="00FF3FAA"/>
    <w:rsid w:val="00FF41E5"/>
    <w:rsid w:val="00FF42E7"/>
    <w:rsid w:val="00FF4462"/>
    <w:rsid w:val="00FF51B4"/>
    <w:rsid w:val="00FF55D8"/>
    <w:rsid w:val="00FF5648"/>
    <w:rsid w:val="00FF56D6"/>
    <w:rsid w:val="00FF580D"/>
    <w:rsid w:val="00FF592A"/>
    <w:rsid w:val="00FF5C3F"/>
    <w:rsid w:val="00FF5CB0"/>
    <w:rsid w:val="00FF5D3D"/>
    <w:rsid w:val="00FF5EDD"/>
    <w:rsid w:val="00FF5F05"/>
    <w:rsid w:val="00FF5FB5"/>
    <w:rsid w:val="00FF6170"/>
    <w:rsid w:val="00FF634D"/>
    <w:rsid w:val="00FF636D"/>
    <w:rsid w:val="00FF6392"/>
    <w:rsid w:val="00FF6417"/>
    <w:rsid w:val="00FF6450"/>
    <w:rsid w:val="00FF665A"/>
    <w:rsid w:val="00FF67F1"/>
    <w:rsid w:val="00FF6C8B"/>
    <w:rsid w:val="00FF6CAC"/>
    <w:rsid w:val="00FF6DEF"/>
    <w:rsid w:val="00FF6E1A"/>
    <w:rsid w:val="00FF6E2E"/>
    <w:rsid w:val="00FF70E3"/>
    <w:rsid w:val="00FF7299"/>
    <w:rsid w:val="00FF72ED"/>
    <w:rsid w:val="00FF745C"/>
    <w:rsid w:val="00FF7485"/>
    <w:rsid w:val="00FF7523"/>
    <w:rsid w:val="00FF7C1E"/>
    <w:rsid w:val="00FF7C5A"/>
    <w:rsid w:val="00FF7F2D"/>
    <w:rsid w:val="0E7EE7E1"/>
    <w:rsid w:val="16D650B1"/>
    <w:rsid w:val="1C92FCA2"/>
    <w:rsid w:val="1D90C7D8"/>
    <w:rsid w:val="272B8041"/>
    <w:rsid w:val="276BA85E"/>
    <w:rsid w:val="28E85C15"/>
    <w:rsid w:val="2A2C0826"/>
    <w:rsid w:val="38D647BA"/>
    <w:rsid w:val="39FC79F9"/>
    <w:rsid w:val="458EAE0B"/>
    <w:rsid w:val="517EA8C0"/>
    <w:rsid w:val="52A40E41"/>
    <w:rsid w:val="5A2268AA"/>
    <w:rsid w:val="5FA65733"/>
    <w:rsid w:val="63527F86"/>
    <w:rsid w:val="6496544F"/>
    <w:rsid w:val="6D13F21D"/>
    <w:rsid w:val="6DD955CD"/>
    <w:rsid w:val="72CE78F3"/>
    <w:rsid w:val="74700628"/>
    <w:rsid w:val="7FECFFB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74D90"/>
  <w15:docId w15:val="{DD4D6E41-C7B4-42E5-9583-F5C90A6D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0" w:qFormat="1"/>
    <w:lsdException w:name="heading 4" w:uiPriority="0" w:qFormat="1"/>
    <w:lsdException w:name="heading 5" w:semiHidden="1" w:uiPriority="0"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4C9"/>
    <w:pPr>
      <w:spacing w:after="170"/>
    </w:pPr>
    <w:rPr>
      <w:sz w:val="22"/>
      <w:lang w:val="en-AU"/>
    </w:rPr>
  </w:style>
  <w:style w:type="paragraph" w:styleId="Heading1">
    <w:name w:val="heading 1"/>
    <w:basedOn w:val="Normal"/>
    <w:next w:val="Normal"/>
    <w:link w:val="Heading1Char"/>
    <w:uiPriority w:val="9"/>
    <w:qFormat/>
    <w:rsid w:val="009E2F33"/>
    <w:pPr>
      <w:keepNext/>
      <w:keepLines/>
      <w:pageBreakBefore/>
      <w:numPr>
        <w:numId w:val="1"/>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D65F73"/>
    <w:pPr>
      <w:keepNext/>
      <w:keepLines/>
      <w:numPr>
        <w:ilvl w:val="1"/>
        <w:numId w:val="1"/>
      </w:numPr>
      <w:spacing w:before="240" w:after="0" w:line="280" w:lineRule="atLeast"/>
      <w:outlineLvl w:val="1"/>
    </w:pPr>
    <w:rPr>
      <w:rFonts w:eastAsiaTheme="majorEastAsia" w:cstheme="majorBidi"/>
      <w:b/>
      <w:bCs/>
      <w:szCs w:val="26"/>
    </w:rPr>
  </w:style>
  <w:style w:type="paragraph" w:styleId="Heading3">
    <w:name w:val="heading 3"/>
    <w:basedOn w:val="Normal"/>
    <w:next w:val="Normal"/>
    <w:link w:val="Heading3Char"/>
    <w:uiPriority w:val="1"/>
    <w:qFormat/>
    <w:rsid w:val="006A1D91"/>
    <w:pPr>
      <w:keepNext/>
      <w:keepLines/>
      <w:numPr>
        <w:ilvl w:val="2"/>
        <w:numId w:val="1"/>
      </w:numPr>
      <w:spacing w:after="0"/>
      <w:outlineLvl w:val="2"/>
    </w:pPr>
    <w:rPr>
      <w:rFonts w:eastAsiaTheme="majorEastAsia" w:cstheme="majorBidi"/>
      <w:b/>
      <w:bCs/>
    </w:rPr>
  </w:style>
  <w:style w:type="paragraph" w:styleId="Heading4">
    <w:name w:val="heading 4"/>
    <w:aliases w:val="Char1"/>
    <w:basedOn w:val="Normal"/>
    <w:next w:val="Normal"/>
    <w:link w:val="Heading4Char"/>
    <w:uiPriority w:val="1"/>
    <w:qFormat/>
    <w:rsid w:val="003A5E6A"/>
    <w:pPr>
      <w:keepNext/>
      <w:keepLines/>
      <w:numPr>
        <w:ilvl w:val="3"/>
        <w:numId w:val="1"/>
      </w:numPr>
      <w:tabs>
        <w:tab w:val="left" w:pos="340"/>
      </w:tabs>
      <w:spacing w:after="0"/>
      <w:outlineLvl w:val="3"/>
    </w:pPr>
    <w:rPr>
      <w:rFonts w:eastAsiaTheme="majorEastAsia" w:cstheme="majorBidi"/>
      <w:b/>
      <w:bCs/>
      <w:iCs/>
      <w:color w:val="595959" w:themeColor="text1" w:themeTint="A6"/>
    </w:rPr>
  </w:style>
  <w:style w:type="paragraph" w:styleId="Heading5">
    <w:name w:val="heading 5"/>
    <w:basedOn w:val="Normal"/>
    <w:next w:val="Normal"/>
    <w:link w:val="Heading5Char"/>
    <w:uiPriority w:val="1"/>
    <w:qFormat/>
    <w:rsid w:val="00F9113D"/>
    <w:pPr>
      <w:keepNext/>
      <w:keepLines/>
      <w:numPr>
        <w:ilvl w:val="4"/>
        <w:numId w:val="1"/>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1"/>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D65F73"/>
    <w:rPr>
      <w:rFonts w:eastAsiaTheme="majorEastAsia" w:cstheme="majorBidi"/>
      <w:b/>
      <w:bCs/>
      <w:sz w:val="22"/>
      <w:szCs w:val="26"/>
      <w:lang w:val="en-AU"/>
    </w:rPr>
  </w:style>
  <w:style w:type="table" w:styleId="TableGrid">
    <w:name w:val="Table Grid"/>
    <w:basedOn w:val="TableNormal"/>
    <w:uiPriority w:val="3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3"/>
      </w:numPr>
      <w:spacing w:after="0"/>
      <w:contextualSpacing/>
    </w:pPr>
    <w:rPr>
      <w:szCs w:val="17"/>
    </w:rPr>
  </w:style>
  <w:style w:type="paragraph" w:styleId="ListBullet2">
    <w:name w:val="List Bullet 2"/>
    <w:basedOn w:val="Normal"/>
    <w:uiPriority w:val="3"/>
    <w:rsid w:val="00DF7819"/>
    <w:pPr>
      <w:numPr>
        <w:numId w:val="15"/>
      </w:numPr>
      <w:spacing w:after="0"/>
      <w:contextualSpacing/>
    </w:pPr>
    <w:rPr>
      <w:szCs w:val="17"/>
    </w:rPr>
  </w:style>
  <w:style w:type="paragraph" w:styleId="ListNumber">
    <w:name w:val="List Number"/>
    <w:basedOn w:val="Normal"/>
    <w:uiPriority w:val="3"/>
    <w:qFormat/>
    <w:rsid w:val="007F7A8C"/>
    <w:pPr>
      <w:numPr>
        <w:numId w:val="29"/>
      </w:numPr>
      <w:spacing w:after="0"/>
      <w:contextualSpacing/>
    </w:pPr>
    <w:rPr>
      <w:szCs w:val="17"/>
    </w:rPr>
  </w:style>
  <w:style w:type="paragraph" w:styleId="ListNumber2">
    <w:name w:val="List Number 2"/>
    <w:basedOn w:val="Normal"/>
    <w:uiPriority w:val="3"/>
    <w:qFormat/>
    <w:rsid w:val="007F7A8C"/>
    <w:pPr>
      <w:numPr>
        <w:ilvl w:val="1"/>
        <w:numId w:val="14"/>
      </w:numPr>
      <w:spacing w:after="0"/>
      <w:contextualSpacing/>
    </w:pPr>
  </w:style>
  <w:style w:type="character" w:customStyle="1" w:styleId="Heading3Char">
    <w:name w:val="Heading 3 Char"/>
    <w:basedOn w:val="DefaultParagraphFont"/>
    <w:link w:val="Heading3"/>
    <w:uiPriority w:val="1"/>
    <w:rsid w:val="000E4575"/>
    <w:rPr>
      <w:rFonts w:eastAsiaTheme="majorEastAsia" w:cstheme="majorBidi"/>
      <w:b/>
      <w:bCs/>
      <w:lang w:val="en-AU"/>
    </w:rPr>
  </w:style>
  <w:style w:type="character" w:customStyle="1" w:styleId="Heading4Char">
    <w:name w:val="Heading 4 Char"/>
    <w:aliases w:val="Char1 Char"/>
    <w:basedOn w:val="DefaultParagraphFont"/>
    <w:link w:val="Heading4"/>
    <w:uiPriority w:val="1"/>
    <w:rsid w:val="003A5E6A"/>
    <w:rPr>
      <w:rFonts w:eastAsiaTheme="majorEastAsia" w:cstheme="majorBidi"/>
      <w:b/>
      <w:bCs/>
      <w:iCs/>
      <w:color w:val="595959" w:themeColor="text1" w:themeTint="A6"/>
      <w:sz w:val="22"/>
      <w:lang w:val="en-AU"/>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
    <w:basedOn w:val="Normal"/>
    <w:link w:val="FootnoteTextChar"/>
    <w:uiPriority w:val="10"/>
    <w:rsid w:val="0064059D"/>
    <w:pPr>
      <w:spacing w:after="0" w:line="240" w:lineRule="auto"/>
    </w:pPr>
    <w:rPr>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ootnote Text Char1 Char1"/>
    <w:basedOn w:val="DefaultParagraphFont"/>
    <w:link w:val="FootnoteText"/>
    <w:uiPriority w:val="10"/>
    <w:rsid w:val="0064059D"/>
    <w:rPr>
      <w:sz w:val="22"/>
      <w:szCs w:val="20"/>
      <w:lang w:val="en-AU"/>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853FD2"/>
    <w:pPr>
      <w:keepNext/>
      <w:keepLines/>
      <w:spacing w:before="240" w:after="240"/>
    </w:pPr>
    <w:rPr>
      <w:iCs/>
      <w:color w:val="595959" w:themeColor="text1" w:themeTint="A6"/>
    </w:rPr>
  </w:style>
  <w:style w:type="character" w:styleId="Hyperlink">
    <w:name w:val="Hyperlink"/>
    <w:basedOn w:val="DefaultParagraphFont"/>
    <w:uiPriority w:val="99"/>
    <w:rsid w:val="008E14C9"/>
    <w:rPr>
      <w:color w:val="auto"/>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qFormat/>
    <w:rsid w:val="00B526AF"/>
    <w:pPr>
      <w:keepNext w:val="0"/>
      <w:keepLines w:val="0"/>
      <w:spacing w:before="120"/>
    </w:p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List Paragraph1,Recommendation"/>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693362"/>
    <w:pPr>
      <w:numPr>
        <w:ilvl w:val="0"/>
        <w:numId w:val="0"/>
      </w:numPr>
      <w:spacing w:after="120"/>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qFormat/>
    <w:rsid w:val="00860C99"/>
    <w:pPr>
      <w:keepNext/>
      <w:keepLines/>
      <w:numPr>
        <w:ilvl w:val="6"/>
        <w:numId w:val="1"/>
      </w:numPr>
      <w:spacing w:before="240" w:after="240"/>
    </w:pPr>
    <w:rPr>
      <w:rFonts w:eastAsia="Times New Roman" w:cs="Times New Roman"/>
      <w:color w:val="595959" w:themeColor="text1" w:themeTint="A6"/>
      <w:szCs w:val="20"/>
    </w:rPr>
  </w:style>
  <w:style w:type="paragraph" w:customStyle="1" w:styleId="CaptionFigure">
    <w:name w:val="Caption_Figure"/>
    <w:basedOn w:val="Normal"/>
    <w:next w:val="Normal"/>
    <w:uiPriority w:val="4"/>
    <w:qFormat/>
    <w:rsid w:val="00AA3FA9"/>
    <w:pPr>
      <w:keepNext/>
      <w:keepLines/>
      <w:numPr>
        <w:ilvl w:val="8"/>
        <w:numId w:val="1"/>
      </w:numPr>
    </w:pPr>
    <w:rPr>
      <w:bCs/>
      <w:color w:val="595959" w:themeColor="text1" w:themeTint="A6"/>
      <w:szCs w:val="22"/>
    </w:rPr>
  </w:style>
  <w:style w:type="paragraph" w:customStyle="1" w:styleId="CaptionChart">
    <w:name w:val="Caption_Chart"/>
    <w:basedOn w:val="Normal"/>
    <w:next w:val="Normal"/>
    <w:uiPriority w:val="4"/>
    <w:qFormat/>
    <w:rsid w:val="005274DB"/>
    <w:pPr>
      <w:keepNext/>
      <w:keepLines/>
      <w:numPr>
        <w:ilvl w:val="7"/>
        <w:numId w:val="1"/>
      </w:numPr>
    </w:pPr>
    <w:rPr>
      <w:color w:val="595959" w:themeColor="text1" w:themeTint="A6"/>
      <w:lang w:val="en-US"/>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qFormat/>
    <w:rsid w:val="00753363"/>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qFormat/>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qFormat/>
    <w:rsid w:val="00822B05"/>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qFormat/>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qFormat/>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qFormat/>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qFormat/>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qFormat/>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qFormat/>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character" w:customStyle="1" w:styleId="ListParagraphChar">
    <w:name w:val="List Paragraph Char"/>
    <w:aliases w:val="List Paragraph1 Char,Recommendation Char"/>
    <w:link w:val="ListParagraph"/>
    <w:uiPriority w:val="34"/>
    <w:locked/>
    <w:rsid w:val="00865E27"/>
    <w:rPr>
      <w:lang w:val="en-AU"/>
    </w:rPr>
  </w:style>
  <w:style w:type="character" w:styleId="UnresolvedMention">
    <w:name w:val="Unresolved Mention"/>
    <w:basedOn w:val="DefaultParagraphFont"/>
    <w:uiPriority w:val="99"/>
    <w:unhideWhenUsed/>
    <w:rsid w:val="00BF0108"/>
    <w:rPr>
      <w:color w:val="605E5C"/>
      <w:shd w:val="clear" w:color="auto" w:fill="E1DFDD"/>
    </w:rPr>
  </w:style>
  <w:style w:type="character" w:customStyle="1" w:styleId="CaptionChar">
    <w:name w:val="Caption Char"/>
    <w:basedOn w:val="DefaultParagraphFont"/>
    <w:link w:val="Caption"/>
    <w:uiPriority w:val="3"/>
    <w:rsid w:val="00853FD2"/>
    <w:rPr>
      <w:iCs/>
      <w:color w:val="595959" w:themeColor="text1" w:themeTint="A6"/>
      <w:sz w:val="22"/>
      <w:lang w:val="en-AU"/>
    </w:rPr>
  </w:style>
  <w:style w:type="character" w:styleId="Mention">
    <w:name w:val="Mention"/>
    <w:basedOn w:val="DefaultParagraphFont"/>
    <w:uiPriority w:val="99"/>
    <w:unhideWhenUsed/>
    <w:rsid w:val="00E25BB0"/>
    <w:rPr>
      <w:color w:val="2B579A"/>
      <w:shd w:val="clear" w:color="auto" w:fill="E1DFDD"/>
    </w:rPr>
  </w:style>
  <w:style w:type="paragraph" w:styleId="Revision">
    <w:name w:val="Revision"/>
    <w:hidden/>
    <w:uiPriority w:val="99"/>
    <w:semiHidden/>
    <w:rsid w:val="00984B49"/>
    <w:pPr>
      <w:spacing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863">
      <w:bodyDiv w:val="1"/>
      <w:marLeft w:val="0"/>
      <w:marRight w:val="0"/>
      <w:marTop w:val="0"/>
      <w:marBottom w:val="0"/>
      <w:divBdr>
        <w:top w:val="none" w:sz="0" w:space="0" w:color="auto"/>
        <w:left w:val="none" w:sz="0" w:space="0" w:color="auto"/>
        <w:bottom w:val="none" w:sz="0" w:space="0" w:color="auto"/>
        <w:right w:val="none" w:sz="0" w:space="0" w:color="auto"/>
      </w:divBdr>
    </w:div>
    <w:div w:id="110705837">
      <w:bodyDiv w:val="1"/>
      <w:marLeft w:val="0"/>
      <w:marRight w:val="0"/>
      <w:marTop w:val="0"/>
      <w:marBottom w:val="0"/>
      <w:divBdr>
        <w:top w:val="none" w:sz="0" w:space="0" w:color="auto"/>
        <w:left w:val="none" w:sz="0" w:space="0" w:color="auto"/>
        <w:bottom w:val="none" w:sz="0" w:space="0" w:color="auto"/>
        <w:right w:val="none" w:sz="0" w:space="0" w:color="auto"/>
      </w:divBdr>
    </w:div>
    <w:div w:id="161703668">
      <w:bodyDiv w:val="1"/>
      <w:marLeft w:val="0"/>
      <w:marRight w:val="0"/>
      <w:marTop w:val="0"/>
      <w:marBottom w:val="0"/>
      <w:divBdr>
        <w:top w:val="none" w:sz="0" w:space="0" w:color="auto"/>
        <w:left w:val="none" w:sz="0" w:space="0" w:color="auto"/>
        <w:bottom w:val="none" w:sz="0" w:space="0" w:color="auto"/>
        <w:right w:val="none" w:sz="0" w:space="0" w:color="auto"/>
      </w:divBdr>
    </w:div>
    <w:div w:id="163132485">
      <w:bodyDiv w:val="1"/>
      <w:marLeft w:val="0"/>
      <w:marRight w:val="0"/>
      <w:marTop w:val="0"/>
      <w:marBottom w:val="0"/>
      <w:divBdr>
        <w:top w:val="none" w:sz="0" w:space="0" w:color="auto"/>
        <w:left w:val="none" w:sz="0" w:space="0" w:color="auto"/>
        <w:bottom w:val="none" w:sz="0" w:space="0" w:color="auto"/>
        <w:right w:val="none" w:sz="0" w:space="0" w:color="auto"/>
      </w:divBdr>
    </w:div>
    <w:div w:id="167136875">
      <w:bodyDiv w:val="1"/>
      <w:marLeft w:val="0"/>
      <w:marRight w:val="0"/>
      <w:marTop w:val="0"/>
      <w:marBottom w:val="0"/>
      <w:divBdr>
        <w:top w:val="none" w:sz="0" w:space="0" w:color="auto"/>
        <w:left w:val="none" w:sz="0" w:space="0" w:color="auto"/>
        <w:bottom w:val="none" w:sz="0" w:space="0" w:color="auto"/>
        <w:right w:val="none" w:sz="0" w:space="0" w:color="auto"/>
      </w:divBdr>
      <w:divsChild>
        <w:div w:id="774790341">
          <w:marLeft w:val="475"/>
          <w:marRight w:val="0"/>
          <w:marTop w:val="0"/>
          <w:marBottom w:val="0"/>
          <w:divBdr>
            <w:top w:val="none" w:sz="0" w:space="0" w:color="auto"/>
            <w:left w:val="none" w:sz="0" w:space="0" w:color="auto"/>
            <w:bottom w:val="none" w:sz="0" w:space="0" w:color="auto"/>
            <w:right w:val="none" w:sz="0" w:space="0" w:color="auto"/>
          </w:divBdr>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68100350">
      <w:bodyDiv w:val="1"/>
      <w:marLeft w:val="0"/>
      <w:marRight w:val="0"/>
      <w:marTop w:val="0"/>
      <w:marBottom w:val="0"/>
      <w:divBdr>
        <w:top w:val="none" w:sz="0" w:space="0" w:color="auto"/>
        <w:left w:val="none" w:sz="0" w:space="0" w:color="auto"/>
        <w:bottom w:val="none" w:sz="0" w:space="0" w:color="auto"/>
        <w:right w:val="none" w:sz="0" w:space="0" w:color="auto"/>
      </w:divBdr>
      <w:divsChild>
        <w:div w:id="163860242">
          <w:marLeft w:val="274"/>
          <w:marRight w:val="0"/>
          <w:marTop w:val="0"/>
          <w:marBottom w:val="120"/>
          <w:divBdr>
            <w:top w:val="none" w:sz="0" w:space="0" w:color="auto"/>
            <w:left w:val="none" w:sz="0" w:space="0" w:color="auto"/>
            <w:bottom w:val="none" w:sz="0" w:space="0" w:color="auto"/>
            <w:right w:val="none" w:sz="0" w:space="0" w:color="auto"/>
          </w:divBdr>
        </w:div>
      </w:divsChild>
    </w:div>
    <w:div w:id="268465085">
      <w:bodyDiv w:val="1"/>
      <w:marLeft w:val="0"/>
      <w:marRight w:val="0"/>
      <w:marTop w:val="0"/>
      <w:marBottom w:val="0"/>
      <w:divBdr>
        <w:top w:val="none" w:sz="0" w:space="0" w:color="auto"/>
        <w:left w:val="none" w:sz="0" w:space="0" w:color="auto"/>
        <w:bottom w:val="none" w:sz="0" w:space="0" w:color="auto"/>
        <w:right w:val="none" w:sz="0" w:space="0" w:color="auto"/>
      </w:divBdr>
      <w:divsChild>
        <w:div w:id="1006715">
          <w:marLeft w:val="274"/>
          <w:marRight w:val="0"/>
          <w:marTop w:val="0"/>
          <w:marBottom w:val="0"/>
          <w:divBdr>
            <w:top w:val="none" w:sz="0" w:space="0" w:color="auto"/>
            <w:left w:val="none" w:sz="0" w:space="0" w:color="auto"/>
            <w:bottom w:val="none" w:sz="0" w:space="0" w:color="auto"/>
            <w:right w:val="none" w:sz="0" w:space="0" w:color="auto"/>
          </w:divBdr>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7616983">
      <w:bodyDiv w:val="1"/>
      <w:marLeft w:val="0"/>
      <w:marRight w:val="0"/>
      <w:marTop w:val="0"/>
      <w:marBottom w:val="0"/>
      <w:divBdr>
        <w:top w:val="none" w:sz="0" w:space="0" w:color="auto"/>
        <w:left w:val="none" w:sz="0" w:space="0" w:color="auto"/>
        <w:bottom w:val="none" w:sz="0" w:space="0" w:color="auto"/>
        <w:right w:val="none" w:sz="0" w:space="0" w:color="auto"/>
      </w:divBdr>
    </w:div>
    <w:div w:id="322317670">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61056186">
      <w:bodyDiv w:val="1"/>
      <w:marLeft w:val="0"/>
      <w:marRight w:val="0"/>
      <w:marTop w:val="0"/>
      <w:marBottom w:val="0"/>
      <w:divBdr>
        <w:top w:val="none" w:sz="0" w:space="0" w:color="auto"/>
        <w:left w:val="none" w:sz="0" w:space="0" w:color="auto"/>
        <w:bottom w:val="none" w:sz="0" w:space="0" w:color="auto"/>
        <w:right w:val="none" w:sz="0" w:space="0" w:color="auto"/>
      </w:divBdr>
    </w:div>
    <w:div w:id="437605521">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89562195">
      <w:bodyDiv w:val="1"/>
      <w:marLeft w:val="0"/>
      <w:marRight w:val="0"/>
      <w:marTop w:val="0"/>
      <w:marBottom w:val="0"/>
      <w:divBdr>
        <w:top w:val="none" w:sz="0" w:space="0" w:color="auto"/>
        <w:left w:val="none" w:sz="0" w:space="0" w:color="auto"/>
        <w:bottom w:val="none" w:sz="0" w:space="0" w:color="auto"/>
        <w:right w:val="none" w:sz="0" w:space="0" w:color="auto"/>
      </w:divBdr>
      <w:divsChild>
        <w:div w:id="1936791544">
          <w:marLeft w:val="475"/>
          <w:marRight w:val="0"/>
          <w:marTop w:val="0"/>
          <w:marBottom w:val="0"/>
          <w:divBdr>
            <w:top w:val="none" w:sz="0" w:space="0" w:color="auto"/>
            <w:left w:val="none" w:sz="0" w:space="0" w:color="auto"/>
            <w:bottom w:val="none" w:sz="0" w:space="0" w:color="auto"/>
            <w:right w:val="none" w:sz="0" w:space="0" w:color="auto"/>
          </w:divBdr>
        </w:div>
      </w:divsChild>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57519653">
      <w:bodyDiv w:val="1"/>
      <w:marLeft w:val="0"/>
      <w:marRight w:val="0"/>
      <w:marTop w:val="0"/>
      <w:marBottom w:val="0"/>
      <w:divBdr>
        <w:top w:val="none" w:sz="0" w:space="0" w:color="auto"/>
        <w:left w:val="none" w:sz="0" w:space="0" w:color="auto"/>
        <w:bottom w:val="none" w:sz="0" w:space="0" w:color="auto"/>
        <w:right w:val="none" w:sz="0" w:space="0" w:color="auto"/>
      </w:divBdr>
      <w:divsChild>
        <w:div w:id="1496870894">
          <w:marLeft w:val="274"/>
          <w:marRight w:val="0"/>
          <w:marTop w:val="0"/>
          <w:marBottom w:val="120"/>
          <w:divBdr>
            <w:top w:val="none" w:sz="0" w:space="0" w:color="auto"/>
            <w:left w:val="none" w:sz="0" w:space="0" w:color="auto"/>
            <w:bottom w:val="none" w:sz="0" w:space="0" w:color="auto"/>
            <w:right w:val="none" w:sz="0" w:space="0" w:color="auto"/>
          </w:divBdr>
        </w:div>
      </w:divsChild>
    </w:div>
    <w:div w:id="562526843">
      <w:bodyDiv w:val="1"/>
      <w:marLeft w:val="0"/>
      <w:marRight w:val="0"/>
      <w:marTop w:val="0"/>
      <w:marBottom w:val="0"/>
      <w:divBdr>
        <w:top w:val="none" w:sz="0" w:space="0" w:color="auto"/>
        <w:left w:val="none" w:sz="0" w:space="0" w:color="auto"/>
        <w:bottom w:val="none" w:sz="0" w:space="0" w:color="auto"/>
        <w:right w:val="none" w:sz="0" w:space="0" w:color="auto"/>
      </w:divBdr>
      <w:divsChild>
        <w:div w:id="1341545072">
          <w:marLeft w:val="274"/>
          <w:marRight w:val="0"/>
          <w:marTop w:val="0"/>
          <w:marBottom w:val="120"/>
          <w:divBdr>
            <w:top w:val="none" w:sz="0" w:space="0" w:color="auto"/>
            <w:left w:val="none" w:sz="0" w:space="0" w:color="auto"/>
            <w:bottom w:val="none" w:sz="0" w:space="0" w:color="auto"/>
            <w:right w:val="none" w:sz="0" w:space="0" w:color="auto"/>
          </w:divBdr>
        </w:div>
      </w:divsChild>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11284731">
      <w:bodyDiv w:val="1"/>
      <w:marLeft w:val="0"/>
      <w:marRight w:val="0"/>
      <w:marTop w:val="0"/>
      <w:marBottom w:val="0"/>
      <w:divBdr>
        <w:top w:val="none" w:sz="0" w:space="0" w:color="auto"/>
        <w:left w:val="none" w:sz="0" w:space="0" w:color="auto"/>
        <w:bottom w:val="none" w:sz="0" w:space="0" w:color="auto"/>
        <w:right w:val="none" w:sz="0" w:space="0" w:color="auto"/>
      </w:divBdr>
      <w:divsChild>
        <w:div w:id="848788960">
          <w:marLeft w:val="274"/>
          <w:marRight w:val="0"/>
          <w:marTop w:val="0"/>
          <w:marBottom w:val="120"/>
          <w:divBdr>
            <w:top w:val="none" w:sz="0" w:space="0" w:color="auto"/>
            <w:left w:val="none" w:sz="0" w:space="0" w:color="auto"/>
            <w:bottom w:val="none" w:sz="0" w:space="0" w:color="auto"/>
            <w:right w:val="none" w:sz="0" w:space="0" w:color="auto"/>
          </w:divBdr>
        </w:div>
        <w:div w:id="1539662634">
          <w:marLeft w:val="274"/>
          <w:marRight w:val="0"/>
          <w:marTop w:val="0"/>
          <w:marBottom w:val="120"/>
          <w:divBdr>
            <w:top w:val="none" w:sz="0" w:space="0" w:color="auto"/>
            <w:left w:val="none" w:sz="0" w:space="0" w:color="auto"/>
            <w:bottom w:val="none" w:sz="0" w:space="0" w:color="auto"/>
            <w:right w:val="none" w:sz="0" w:space="0" w:color="auto"/>
          </w:divBdr>
        </w:div>
      </w:divsChild>
    </w:div>
    <w:div w:id="631137881">
      <w:bodyDiv w:val="1"/>
      <w:marLeft w:val="0"/>
      <w:marRight w:val="0"/>
      <w:marTop w:val="0"/>
      <w:marBottom w:val="0"/>
      <w:divBdr>
        <w:top w:val="none" w:sz="0" w:space="0" w:color="auto"/>
        <w:left w:val="none" w:sz="0" w:space="0" w:color="auto"/>
        <w:bottom w:val="none" w:sz="0" w:space="0" w:color="auto"/>
        <w:right w:val="none" w:sz="0" w:space="0" w:color="auto"/>
      </w:divBdr>
      <w:divsChild>
        <w:div w:id="114834947">
          <w:marLeft w:val="274"/>
          <w:marRight w:val="0"/>
          <w:marTop w:val="0"/>
          <w:marBottom w:val="0"/>
          <w:divBdr>
            <w:top w:val="none" w:sz="0" w:space="0" w:color="auto"/>
            <w:left w:val="none" w:sz="0" w:space="0" w:color="auto"/>
            <w:bottom w:val="none" w:sz="0" w:space="0" w:color="auto"/>
            <w:right w:val="none" w:sz="0" w:space="0" w:color="auto"/>
          </w:divBdr>
        </w:div>
      </w:divsChild>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758260640">
      <w:bodyDiv w:val="1"/>
      <w:marLeft w:val="0"/>
      <w:marRight w:val="0"/>
      <w:marTop w:val="0"/>
      <w:marBottom w:val="0"/>
      <w:divBdr>
        <w:top w:val="none" w:sz="0" w:space="0" w:color="auto"/>
        <w:left w:val="none" w:sz="0" w:space="0" w:color="auto"/>
        <w:bottom w:val="none" w:sz="0" w:space="0" w:color="auto"/>
        <w:right w:val="none" w:sz="0" w:space="0" w:color="auto"/>
      </w:divBdr>
    </w:div>
    <w:div w:id="807626570">
      <w:bodyDiv w:val="1"/>
      <w:marLeft w:val="0"/>
      <w:marRight w:val="0"/>
      <w:marTop w:val="0"/>
      <w:marBottom w:val="0"/>
      <w:divBdr>
        <w:top w:val="none" w:sz="0" w:space="0" w:color="auto"/>
        <w:left w:val="none" w:sz="0" w:space="0" w:color="auto"/>
        <w:bottom w:val="none" w:sz="0" w:space="0" w:color="auto"/>
        <w:right w:val="none" w:sz="0" w:space="0" w:color="auto"/>
      </w:divBdr>
      <w:divsChild>
        <w:div w:id="1518499032">
          <w:marLeft w:val="274"/>
          <w:marRight w:val="0"/>
          <w:marTop w:val="0"/>
          <w:marBottom w:val="120"/>
          <w:divBdr>
            <w:top w:val="none" w:sz="0" w:space="0" w:color="auto"/>
            <w:left w:val="none" w:sz="0" w:space="0" w:color="auto"/>
            <w:bottom w:val="none" w:sz="0" w:space="0" w:color="auto"/>
            <w:right w:val="none" w:sz="0" w:space="0" w:color="auto"/>
          </w:divBdr>
        </w:div>
        <w:div w:id="1699970560">
          <w:marLeft w:val="274"/>
          <w:marRight w:val="0"/>
          <w:marTop w:val="0"/>
          <w:marBottom w:val="120"/>
          <w:divBdr>
            <w:top w:val="none" w:sz="0" w:space="0" w:color="auto"/>
            <w:left w:val="none" w:sz="0" w:space="0" w:color="auto"/>
            <w:bottom w:val="none" w:sz="0" w:space="0" w:color="auto"/>
            <w:right w:val="none" w:sz="0" w:space="0" w:color="auto"/>
          </w:divBdr>
        </w:div>
      </w:divsChild>
    </w:div>
    <w:div w:id="840319903">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80478535">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060396680">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23421372">
      <w:bodyDiv w:val="1"/>
      <w:marLeft w:val="0"/>
      <w:marRight w:val="0"/>
      <w:marTop w:val="0"/>
      <w:marBottom w:val="0"/>
      <w:divBdr>
        <w:top w:val="none" w:sz="0" w:space="0" w:color="auto"/>
        <w:left w:val="none" w:sz="0" w:space="0" w:color="auto"/>
        <w:bottom w:val="none" w:sz="0" w:space="0" w:color="auto"/>
        <w:right w:val="none" w:sz="0" w:space="0" w:color="auto"/>
      </w:divBdr>
      <w:divsChild>
        <w:div w:id="774012124">
          <w:marLeft w:val="274"/>
          <w:marRight w:val="0"/>
          <w:marTop w:val="0"/>
          <w:marBottom w:val="120"/>
          <w:divBdr>
            <w:top w:val="none" w:sz="0" w:space="0" w:color="auto"/>
            <w:left w:val="none" w:sz="0" w:space="0" w:color="auto"/>
            <w:bottom w:val="none" w:sz="0" w:space="0" w:color="auto"/>
            <w:right w:val="none" w:sz="0" w:space="0" w:color="auto"/>
          </w:divBdr>
        </w:div>
      </w:divsChild>
    </w:div>
    <w:div w:id="1182015654">
      <w:bodyDiv w:val="1"/>
      <w:marLeft w:val="0"/>
      <w:marRight w:val="0"/>
      <w:marTop w:val="0"/>
      <w:marBottom w:val="0"/>
      <w:divBdr>
        <w:top w:val="none" w:sz="0" w:space="0" w:color="auto"/>
        <w:left w:val="none" w:sz="0" w:space="0" w:color="auto"/>
        <w:bottom w:val="none" w:sz="0" w:space="0" w:color="auto"/>
        <w:right w:val="none" w:sz="0" w:space="0" w:color="auto"/>
      </w:divBdr>
      <w:divsChild>
        <w:div w:id="54743651">
          <w:marLeft w:val="475"/>
          <w:marRight w:val="0"/>
          <w:marTop w:val="0"/>
          <w:marBottom w:val="0"/>
          <w:divBdr>
            <w:top w:val="none" w:sz="0" w:space="0" w:color="auto"/>
            <w:left w:val="none" w:sz="0" w:space="0" w:color="auto"/>
            <w:bottom w:val="none" w:sz="0" w:space="0" w:color="auto"/>
            <w:right w:val="none" w:sz="0" w:space="0" w:color="auto"/>
          </w:divBdr>
        </w:div>
      </w:divsChild>
    </w:div>
    <w:div w:id="1194655779">
      <w:bodyDiv w:val="1"/>
      <w:marLeft w:val="0"/>
      <w:marRight w:val="0"/>
      <w:marTop w:val="0"/>
      <w:marBottom w:val="0"/>
      <w:divBdr>
        <w:top w:val="none" w:sz="0" w:space="0" w:color="auto"/>
        <w:left w:val="none" w:sz="0" w:space="0" w:color="auto"/>
        <w:bottom w:val="none" w:sz="0" w:space="0" w:color="auto"/>
        <w:right w:val="none" w:sz="0" w:space="0" w:color="auto"/>
      </w:divBdr>
      <w:divsChild>
        <w:div w:id="493499554">
          <w:marLeft w:val="230"/>
          <w:marRight w:val="0"/>
          <w:marTop w:val="0"/>
          <w:marBottom w:val="0"/>
          <w:divBdr>
            <w:top w:val="none" w:sz="0" w:space="0" w:color="auto"/>
            <w:left w:val="none" w:sz="0" w:space="0" w:color="auto"/>
            <w:bottom w:val="none" w:sz="0" w:space="0" w:color="auto"/>
            <w:right w:val="none" w:sz="0" w:space="0" w:color="auto"/>
          </w:divBdr>
        </w:div>
      </w:divsChild>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35120549">
      <w:bodyDiv w:val="1"/>
      <w:marLeft w:val="0"/>
      <w:marRight w:val="0"/>
      <w:marTop w:val="0"/>
      <w:marBottom w:val="0"/>
      <w:divBdr>
        <w:top w:val="none" w:sz="0" w:space="0" w:color="auto"/>
        <w:left w:val="none" w:sz="0" w:space="0" w:color="auto"/>
        <w:bottom w:val="none" w:sz="0" w:space="0" w:color="auto"/>
        <w:right w:val="none" w:sz="0" w:space="0" w:color="auto"/>
      </w:divBdr>
      <w:divsChild>
        <w:div w:id="163857154">
          <w:marLeft w:val="230"/>
          <w:marRight w:val="0"/>
          <w:marTop w:val="0"/>
          <w:marBottom w:val="0"/>
          <w:divBdr>
            <w:top w:val="none" w:sz="0" w:space="0" w:color="auto"/>
            <w:left w:val="none" w:sz="0" w:space="0" w:color="auto"/>
            <w:bottom w:val="none" w:sz="0" w:space="0" w:color="auto"/>
            <w:right w:val="none" w:sz="0" w:space="0" w:color="auto"/>
          </w:divBdr>
        </w:div>
      </w:divsChild>
    </w:div>
    <w:div w:id="1285698887">
      <w:bodyDiv w:val="1"/>
      <w:marLeft w:val="0"/>
      <w:marRight w:val="0"/>
      <w:marTop w:val="0"/>
      <w:marBottom w:val="0"/>
      <w:divBdr>
        <w:top w:val="none" w:sz="0" w:space="0" w:color="auto"/>
        <w:left w:val="none" w:sz="0" w:space="0" w:color="auto"/>
        <w:bottom w:val="none" w:sz="0" w:space="0" w:color="auto"/>
        <w:right w:val="none" w:sz="0" w:space="0" w:color="auto"/>
      </w:divBdr>
      <w:divsChild>
        <w:div w:id="1177815002">
          <w:marLeft w:val="274"/>
          <w:marRight w:val="0"/>
          <w:marTop w:val="0"/>
          <w:marBottom w:val="120"/>
          <w:divBdr>
            <w:top w:val="none" w:sz="0" w:space="0" w:color="auto"/>
            <w:left w:val="none" w:sz="0" w:space="0" w:color="auto"/>
            <w:bottom w:val="none" w:sz="0" w:space="0" w:color="auto"/>
            <w:right w:val="none" w:sz="0" w:space="0" w:color="auto"/>
          </w:divBdr>
        </w:div>
      </w:divsChild>
    </w:div>
    <w:div w:id="1382553855">
      <w:bodyDiv w:val="1"/>
      <w:marLeft w:val="0"/>
      <w:marRight w:val="0"/>
      <w:marTop w:val="0"/>
      <w:marBottom w:val="0"/>
      <w:divBdr>
        <w:top w:val="none" w:sz="0" w:space="0" w:color="auto"/>
        <w:left w:val="none" w:sz="0" w:space="0" w:color="auto"/>
        <w:bottom w:val="none" w:sz="0" w:space="0" w:color="auto"/>
        <w:right w:val="none" w:sz="0" w:space="0" w:color="auto"/>
      </w:divBdr>
      <w:divsChild>
        <w:div w:id="1217085296">
          <w:marLeft w:val="274"/>
          <w:marRight w:val="0"/>
          <w:marTop w:val="0"/>
          <w:marBottom w:val="0"/>
          <w:divBdr>
            <w:top w:val="none" w:sz="0" w:space="0" w:color="auto"/>
            <w:left w:val="none" w:sz="0" w:space="0" w:color="auto"/>
            <w:bottom w:val="none" w:sz="0" w:space="0" w:color="auto"/>
            <w:right w:val="none" w:sz="0" w:space="0" w:color="auto"/>
          </w:divBdr>
        </w:div>
      </w:divsChild>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73256144">
      <w:bodyDiv w:val="1"/>
      <w:marLeft w:val="0"/>
      <w:marRight w:val="0"/>
      <w:marTop w:val="0"/>
      <w:marBottom w:val="0"/>
      <w:divBdr>
        <w:top w:val="none" w:sz="0" w:space="0" w:color="auto"/>
        <w:left w:val="none" w:sz="0" w:space="0" w:color="auto"/>
        <w:bottom w:val="none" w:sz="0" w:space="0" w:color="auto"/>
        <w:right w:val="none" w:sz="0" w:space="0" w:color="auto"/>
      </w:divBdr>
      <w:divsChild>
        <w:div w:id="467206270">
          <w:marLeft w:val="274"/>
          <w:marRight w:val="0"/>
          <w:marTop w:val="0"/>
          <w:marBottom w:val="0"/>
          <w:divBdr>
            <w:top w:val="none" w:sz="0" w:space="0" w:color="auto"/>
            <w:left w:val="none" w:sz="0" w:space="0" w:color="auto"/>
            <w:bottom w:val="none" w:sz="0" w:space="0" w:color="auto"/>
            <w:right w:val="none" w:sz="0" w:space="0" w:color="auto"/>
          </w:divBdr>
        </w:div>
      </w:divsChild>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71693717">
      <w:bodyDiv w:val="1"/>
      <w:marLeft w:val="0"/>
      <w:marRight w:val="0"/>
      <w:marTop w:val="0"/>
      <w:marBottom w:val="0"/>
      <w:divBdr>
        <w:top w:val="none" w:sz="0" w:space="0" w:color="auto"/>
        <w:left w:val="none" w:sz="0" w:space="0" w:color="auto"/>
        <w:bottom w:val="none" w:sz="0" w:space="0" w:color="auto"/>
        <w:right w:val="none" w:sz="0" w:space="0" w:color="auto"/>
      </w:divBdr>
      <w:divsChild>
        <w:div w:id="1927767783">
          <w:marLeft w:val="274"/>
          <w:marRight w:val="0"/>
          <w:marTop w:val="0"/>
          <w:marBottom w:val="120"/>
          <w:divBdr>
            <w:top w:val="none" w:sz="0" w:space="0" w:color="auto"/>
            <w:left w:val="none" w:sz="0" w:space="0" w:color="auto"/>
            <w:bottom w:val="none" w:sz="0" w:space="0" w:color="auto"/>
            <w:right w:val="none" w:sz="0" w:space="0" w:color="auto"/>
          </w:divBdr>
        </w:div>
      </w:divsChild>
    </w:div>
    <w:div w:id="1630893272">
      <w:bodyDiv w:val="1"/>
      <w:marLeft w:val="0"/>
      <w:marRight w:val="0"/>
      <w:marTop w:val="0"/>
      <w:marBottom w:val="0"/>
      <w:divBdr>
        <w:top w:val="none" w:sz="0" w:space="0" w:color="auto"/>
        <w:left w:val="none" w:sz="0" w:space="0" w:color="auto"/>
        <w:bottom w:val="none" w:sz="0" w:space="0" w:color="auto"/>
        <w:right w:val="none" w:sz="0" w:space="0" w:color="auto"/>
      </w:divBdr>
    </w:div>
    <w:div w:id="1655063342">
      <w:bodyDiv w:val="1"/>
      <w:marLeft w:val="0"/>
      <w:marRight w:val="0"/>
      <w:marTop w:val="0"/>
      <w:marBottom w:val="0"/>
      <w:divBdr>
        <w:top w:val="none" w:sz="0" w:space="0" w:color="auto"/>
        <w:left w:val="none" w:sz="0" w:space="0" w:color="auto"/>
        <w:bottom w:val="none" w:sz="0" w:space="0" w:color="auto"/>
        <w:right w:val="none" w:sz="0" w:space="0" w:color="auto"/>
      </w:divBdr>
    </w:div>
    <w:div w:id="1739130705">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33332501">
      <w:bodyDiv w:val="1"/>
      <w:marLeft w:val="0"/>
      <w:marRight w:val="0"/>
      <w:marTop w:val="0"/>
      <w:marBottom w:val="0"/>
      <w:divBdr>
        <w:top w:val="none" w:sz="0" w:space="0" w:color="auto"/>
        <w:left w:val="none" w:sz="0" w:space="0" w:color="auto"/>
        <w:bottom w:val="none" w:sz="0" w:space="0" w:color="auto"/>
        <w:right w:val="none" w:sz="0" w:space="0" w:color="auto"/>
      </w:divBdr>
      <w:divsChild>
        <w:div w:id="777869583">
          <w:marLeft w:val="1166"/>
          <w:marRight w:val="0"/>
          <w:marTop w:val="0"/>
          <w:marBottom w:val="0"/>
          <w:divBdr>
            <w:top w:val="none" w:sz="0" w:space="0" w:color="auto"/>
            <w:left w:val="none" w:sz="0" w:space="0" w:color="auto"/>
            <w:bottom w:val="none" w:sz="0" w:space="0" w:color="auto"/>
            <w:right w:val="none" w:sz="0" w:space="0" w:color="auto"/>
          </w:divBdr>
        </w:div>
        <w:div w:id="1157305217">
          <w:marLeft w:val="1166"/>
          <w:marRight w:val="0"/>
          <w:marTop w:val="0"/>
          <w:marBottom w:val="0"/>
          <w:divBdr>
            <w:top w:val="none" w:sz="0" w:space="0" w:color="auto"/>
            <w:left w:val="none" w:sz="0" w:space="0" w:color="auto"/>
            <w:bottom w:val="none" w:sz="0" w:space="0" w:color="auto"/>
            <w:right w:val="none" w:sz="0" w:space="0" w:color="auto"/>
          </w:divBdr>
        </w:div>
        <w:div w:id="1308973408">
          <w:marLeft w:val="1166"/>
          <w:marRight w:val="0"/>
          <w:marTop w:val="0"/>
          <w:marBottom w:val="0"/>
          <w:divBdr>
            <w:top w:val="none" w:sz="0" w:space="0" w:color="auto"/>
            <w:left w:val="none" w:sz="0" w:space="0" w:color="auto"/>
            <w:bottom w:val="none" w:sz="0" w:space="0" w:color="auto"/>
            <w:right w:val="none" w:sz="0" w:space="0" w:color="auto"/>
          </w:divBdr>
        </w:div>
        <w:div w:id="1570261938">
          <w:marLeft w:val="547"/>
          <w:marRight w:val="0"/>
          <w:marTop w:val="0"/>
          <w:marBottom w:val="0"/>
          <w:divBdr>
            <w:top w:val="none" w:sz="0" w:space="0" w:color="auto"/>
            <w:left w:val="none" w:sz="0" w:space="0" w:color="auto"/>
            <w:bottom w:val="none" w:sz="0" w:space="0" w:color="auto"/>
            <w:right w:val="none" w:sz="0" w:space="0" w:color="auto"/>
          </w:divBdr>
        </w:div>
      </w:divsChild>
    </w:div>
    <w:div w:id="1842545734">
      <w:bodyDiv w:val="1"/>
      <w:marLeft w:val="0"/>
      <w:marRight w:val="0"/>
      <w:marTop w:val="0"/>
      <w:marBottom w:val="0"/>
      <w:divBdr>
        <w:top w:val="none" w:sz="0" w:space="0" w:color="auto"/>
        <w:left w:val="none" w:sz="0" w:space="0" w:color="auto"/>
        <w:bottom w:val="none" w:sz="0" w:space="0" w:color="auto"/>
        <w:right w:val="none" w:sz="0" w:space="0" w:color="auto"/>
      </w:divBdr>
      <w:divsChild>
        <w:div w:id="824474876">
          <w:marLeft w:val="274"/>
          <w:marRight w:val="0"/>
          <w:marTop w:val="0"/>
          <w:marBottom w:val="120"/>
          <w:divBdr>
            <w:top w:val="none" w:sz="0" w:space="0" w:color="auto"/>
            <w:left w:val="none" w:sz="0" w:space="0" w:color="auto"/>
            <w:bottom w:val="none" w:sz="0" w:space="0" w:color="auto"/>
            <w:right w:val="none" w:sz="0" w:space="0" w:color="auto"/>
          </w:divBdr>
        </w:div>
        <w:div w:id="1459496248">
          <w:marLeft w:val="274"/>
          <w:marRight w:val="0"/>
          <w:marTop w:val="0"/>
          <w:marBottom w:val="120"/>
          <w:divBdr>
            <w:top w:val="none" w:sz="0" w:space="0" w:color="auto"/>
            <w:left w:val="none" w:sz="0" w:space="0" w:color="auto"/>
            <w:bottom w:val="none" w:sz="0" w:space="0" w:color="auto"/>
            <w:right w:val="none" w:sz="0" w:space="0" w:color="auto"/>
          </w:divBdr>
        </w:div>
      </w:divsChild>
    </w:div>
    <w:div w:id="1844055130">
      <w:bodyDiv w:val="1"/>
      <w:marLeft w:val="0"/>
      <w:marRight w:val="0"/>
      <w:marTop w:val="0"/>
      <w:marBottom w:val="0"/>
      <w:divBdr>
        <w:top w:val="none" w:sz="0" w:space="0" w:color="auto"/>
        <w:left w:val="none" w:sz="0" w:space="0" w:color="auto"/>
        <w:bottom w:val="none" w:sz="0" w:space="0" w:color="auto"/>
        <w:right w:val="none" w:sz="0" w:space="0" w:color="auto"/>
      </w:divBdr>
      <w:divsChild>
        <w:div w:id="287709342">
          <w:marLeft w:val="274"/>
          <w:marRight w:val="0"/>
          <w:marTop w:val="0"/>
          <w:marBottom w:val="0"/>
          <w:divBdr>
            <w:top w:val="none" w:sz="0" w:space="0" w:color="auto"/>
            <w:left w:val="none" w:sz="0" w:space="0" w:color="auto"/>
            <w:bottom w:val="none" w:sz="0" w:space="0" w:color="auto"/>
            <w:right w:val="none" w:sz="0" w:space="0" w:color="auto"/>
          </w:divBdr>
        </w:div>
      </w:divsChild>
    </w:div>
    <w:div w:id="209442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chart" Target="charts/chart6.xml"/><Relationship Id="rId21" Type="http://schemas.openxmlformats.org/officeDocument/2006/relationships/footer" Target="footer4.xml"/><Relationship Id="rId34" Type="http://schemas.openxmlformats.org/officeDocument/2006/relationships/image" Target="media/image12.emf"/><Relationship Id="rId42" Type="http://schemas.openxmlformats.org/officeDocument/2006/relationships/chart" Target="charts/chart9.xml"/><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hyperlink" Target="http://www.deloitte.com/au/deloitte-access-economic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7.emf"/><Relationship Id="rId41" Type="http://schemas.openxmlformats.org/officeDocument/2006/relationships/chart" Target="charts/chart8.xml"/><Relationship Id="rId54" Type="http://schemas.openxmlformats.org/officeDocument/2006/relationships/image" Target="media/image23.emf"/><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image" Target="media/image10.emf"/><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image" Target="media/image18.emf"/><Relationship Id="rId57" Type="http://schemas.openxmlformats.org/officeDocument/2006/relationships/image" Target="media/image26.emf"/><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emf"/><Relationship Id="rId44" Type="http://schemas.openxmlformats.org/officeDocument/2006/relationships/chart" Target="charts/chart11.xml"/><Relationship Id="rId52" Type="http://schemas.openxmlformats.org/officeDocument/2006/relationships/image" Target="media/image21.emf"/><Relationship Id="rId60" Type="http://schemas.openxmlformats.org/officeDocument/2006/relationships/footer" Target="footer6.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footer" Target="footer5.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chart" Target="charts/chart10.xml"/><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image" Target="media/image11.emf"/><Relationship Id="rId38" Type="http://schemas.openxmlformats.org/officeDocument/2006/relationships/chart" Target="charts/chart5.xml"/><Relationship Id="rId46" Type="http://schemas.openxmlformats.org/officeDocument/2006/relationships/image" Target="media/image15.emf"/><Relationship Id="rId59" Type="http://schemas.openxmlformats.org/officeDocument/2006/relationships/image" Target="media/image28.emf"/></Relationships>
</file>

<file path=word/_rels/endnotes.xml.rels><?xml version="1.0" encoding="UTF-8" standalone="yes"?>
<Relationships xmlns="http://schemas.openxmlformats.org/package/2006/relationships"><Relationship Id="rId1" Type="http://schemas.openxmlformats.org/officeDocument/2006/relationships/hyperlink" Target="https://behaviouraleconomics.pmc.gov.au/projects/nudge-vs-superbugs-behavioural-economics-trial-reduce-overprescribing-antibiotic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Data/Received%20from%20OPAN%20and%20SDOs/SDO%20NACAP%20EA%20reporting%2019jul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Data/Received%20from%20OPAN%20and%20SDOs/SDO%20NACAP%20EA%20reporting%2019jul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PROJECTNACAPdemandstudy/Shared%20Documents/General/06%20Modelling%20and%20analysis/Model/NACAP%20users%20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r>
              <a:rPr lang="en-AU" b="1"/>
              <a:t>Community care</a:t>
            </a:r>
          </a:p>
        </c:rich>
      </c:tx>
      <c:overlay val="0"/>
      <c:spPr>
        <a:noFill/>
        <a:ln>
          <a:noFill/>
        </a:ln>
        <a:effectLst/>
      </c:spPr>
      <c:txPr>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06355641597722"/>
          <c:y val="0.15718002081165452"/>
          <c:w val="0.84085285921398745"/>
          <c:h val="0.5237343057092585"/>
        </c:manualLayout>
      </c:layout>
      <c:barChart>
        <c:barDir val="col"/>
        <c:grouping val="clustered"/>
        <c:varyColors val="0"/>
        <c:ser>
          <c:idx val="0"/>
          <c:order val="0"/>
          <c:tx>
            <c:strRef>
              <c:f>Charts!$B$28</c:f>
              <c:strCache>
                <c:ptCount val="1"/>
                <c:pt idx="0">
                  <c:v>Male</c:v>
                </c:pt>
              </c:strCache>
            </c:strRef>
          </c:tx>
          <c:spPr>
            <a:solidFill>
              <a:schemeClr val="accent1"/>
            </a:solidFill>
            <a:ln>
              <a:noFill/>
            </a:ln>
            <a:effectLst/>
          </c:spPr>
          <c:invertIfNegative val="0"/>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Charts!$B$29:$B$39</c:f>
              <c:numCache>
                <c:formatCode>0%</c:formatCode>
                <c:ptCount val="11"/>
                <c:pt idx="0">
                  <c:v>0</c:v>
                </c:pt>
                <c:pt idx="1">
                  <c:v>5.6228023656216472E-2</c:v>
                </c:pt>
                <c:pt idx="2">
                  <c:v>5.1559149529445798E-2</c:v>
                </c:pt>
                <c:pt idx="3">
                  <c:v>3.9748033828029328E-2</c:v>
                </c:pt>
                <c:pt idx="4">
                  <c:v>4.7104542907632233E-2</c:v>
                </c:pt>
                <c:pt idx="5">
                  <c:v>2.4592588683953753E-2</c:v>
                </c:pt>
                <c:pt idx="6">
                  <c:v>2.1791619408305846E-2</c:v>
                </c:pt>
                <c:pt idx="7">
                  <c:v>1.558532404648936E-2</c:v>
                </c:pt>
                <c:pt idx="8">
                  <c:v>7.3664309797120027E-3</c:v>
                </c:pt>
                <c:pt idx="9">
                  <c:v>2.3646579811586927E-2</c:v>
                </c:pt>
                <c:pt idx="10">
                  <c:v>0</c:v>
                </c:pt>
              </c:numCache>
            </c:numRef>
          </c:val>
          <c:extLst>
            <c:ext xmlns:c16="http://schemas.microsoft.com/office/drawing/2014/chart" uri="{C3380CC4-5D6E-409C-BE32-E72D297353CC}">
              <c16:uniqueId val="{00000000-ABB5-4D59-B8E5-AE84F2D6F931}"/>
            </c:ext>
          </c:extLst>
        </c:ser>
        <c:ser>
          <c:idx val="1"/>
          <c:order val="1"/>
          <c:tx>
            <c:strRef>
              <c:f>Charts!$C$28</c:f>
              <c:strCache>
                <c:ptCount val="1"/>
                <c:pt idx="0">
                  <c:v>Female</c:v>
                </c:pt>
              </c:strCache>
            </c:strRef>
          </c:tx>
          <c:spPr>
            <a:solidFill>
              <a:schemeClr val="accent4"/>
            </a:solidFill>
            <a:ln>
              <a:noFill/>
            </a:ln>
            <a:effectLst/>
          </c:spPr>
          <c:invertIfNegative val="0"/>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Charts!$C$29:$C$39</c:f>
              <c:numCache>
                <c:formatCode>0%</c:formatCode>
                <c:ptCount val="11"/>
                <c:pt idx="0">
                  <c:v>7.3769244711360926E-2</c:v>
                </c:pt>
                <c:pt idx="1">
                  <c:v>3.1731623644225097E-2</c:v>
                </c:pt>
                <c:pt idx="2">
                  <c:v>3.6112977536523969E-2</c:v>
                </c:pt>
                <c:pt idx="3">
                  <c:v>4.2406830503688209E-2</c:v>
                </c:pt>
                <c:pt idx="4">
                  <c:v>4.9461327399594426E-2</c:v>
                </c:pt>
                <c:pt idx="5">
                  <c:v>2.5648799423123852E-2</c:v>
                </c:pt>
                <c:pt idx="6">
                  <c:v>2.3681135369451819E-2</c:v>
                </c:pt>
                <c:pt idx="7">
                  <c:v>1.5357885734525345E-2</c:v>
                </c:pt>
                <c:pt idx="8">
                  <c:v>1.2321201472133085E-2</c:v>
                </c:pt>
                <c:pt idx="9">
                  <c:v>1.2597703530347346E-2</c:v>
                </c:pt>
                <c:pt idx="10">
                  <c:v>2.4381360540195556E-2</c:v>
                </c:pt>
              </c:numCache>
            </c:numRef>
          </c:val>
          <c:extLst>
            <c:ext xmlns:c16="http://schemas.microsoft.com/office/drawing/2014/chart" uri="{C3380CC4-5D6E-409C-BE32-E72D297353CC}">
              <c16:uniqueId val="{00000001-ABB5-4D59-B8E5-AE84F2D6F931}"/>
            </c:ext>
          </c:extLst>
        </c:ser>
        <c:dLbls>
          <c:showLegendKey val="0"/>
          <c:showVal val="0"/>
          <c:showCatName val="0"/>
          <c:showSerName val="0"/>
          <c:showPercent val="0"/>
          <c:showBubbleSize val="0"/>
        </c:dLbls>
        <c:gapWidth val="219"/>
        <c:axId val="1955878688"/>
        <c:axId val="1955869952"/>
      </c:barChart>
      <c:lineChart>
        <c:grouping val="standard"/>
        <c:varyColors val="0"/>
        <c:ser>
          <c:idx val="2"/>
          <c:order val="2"/>
          <c:tx>
            <c:strRef>
              <c:f>Charts!$D$28</c:f>
              <c:strCache>
                <c:ptCount val="1"/>
                <c:pt idx="0">
                  <c:v>Average male</c:v>
                </c:pt>
              </c:strCache>
            </c:strRef>
          </c:tx>
          <c:spPr>
            <a:ln w="15875" cap="rnd">
              <a:solidFill>
                <a:schemeClr val="accent1"/>
              </a:solidFill>
              <a:prstDash val="sysDash"/>
              <a:round/>
            </a:ln>
            <a:effectLst/>
          </c:spPr>
          <c:marker>
            <c:symbol val="none"/>
          </c:marker>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Charts!$D$29:$D$39</c:f>
              <c:numCache>
                <c:formatCode>0.0%</c:formatCode>
                <c:ptCount val="11"/>
                <c:pt idx="0">
                  <c:v>2.6147481168306518E-2</c:v>
                </c:pt>
                <c:pt idx="1">
                  <c:v>2.6147481168306518E-2</c:v>
                </c:pt>
                <c:pt idx="2">
                  <c:v>2.6147481168306518E-2</c:v>
                </c:pt>
                <c:pt idx="3">
                  <c:v>2.6147481168306518E-2</c:v>
                </c:pt>
                <c:pt idx="4">
                  <c:v>2.6147481168306518E-2</c:v>
                </c:pt>
                <c:pt idx="5">
                  <c:v>2.6147481168306518E-2</c:v>
                </c:pt>
                <c:pt idx="6">
                  <c:v>2.6147481168306518E-2</c:v>
                </c:pt>
                <c:pt idx="7">
                  <c:v>2.6147481168306518E-2</c:v>
                </c:pt>
                <c:pt idx="8">
                  <c:v>2.6147481168306518E-2</c:v>
                </c:pt>
                <c:pt idx="9">
                  <c:v>2.6147481168306518E-2</c:v>
                </c:pt>
                <c:pt idx="10">
                  <c:v>2.6147481168306518E-2</c:v>
                </c:pt>
              </c:numCache>
            </c:numRef>
          </c:val>
          <c:smooth val="0"/>
          <c:extLst>
            <c:ext xmlns:c16="http://schemas.microsoft.com/office/drawing/2014/chart" uri="{C3380CC4-5D6E-409C-BE32-E72D297353CC}">
              <c16:uniqueId val="{00000002-ABB5-4D59-B8E5-AE84F2D6F931}"/>
            </c:ext>
          </c:extLst>
        </c:ser>
        <c:ser>
          <c:idx val="3"/>
          <c:order val="3"/>
          <c:tx>
            <c:strRef>
              <c:f>Charts!$E$28</c:f>
              <c:strCache>
                <c:ptCount val="1"/>
                <c:pt idx="0">
                  <c:v>Average female</c:v>
                </c:pt>
              </c:strCache>
            </c:strRef>
          </c:tx>
          <c:spPr>
            <a:ln w="15875" cap="rnd">
              <a:solidFill>
                <a:schemeClr val="accent4"/>
              </a:solidFill>
              <a:prstDash val="sysDash"/>
              <a:round/>
            </a:ln>
            <a:effectLst/>
          </c:spPr>
          <c:marker>
            <c:symbol val="none"/>
          </c:marker>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Charts!$E$29:$E$39</c:f>
              <c:numCache>
                <c:formatCode>0.0%</c:formatCode>
                <c:ptCount val="11"/>
                <c:pt idx="0">
                  <c:v>3.1588189987742696E-2</c:v>
                </c:pt>
                <c:pt idx="1">
                  <c:v>3.1588189987742696E-2</c:v>
                </c:pt>
                <c:pt idx="2">
                  <c:v>3.1588189987742696E-2</c:v>
                </c:pt>
                <c:pt idx="3">
                  <c:v>3.1588189987742696E-2</c:v>
                </c:pt>
                <c:pt idx="4">
                  <c:v>3.1588189987742696E-2</c:v>
                </c:pt>
                <c:pt idx="5">
                  <c:v>3.1588189987742696E-2</c:v>
                </c:pt>
                <c:pt idx="6">
                  <c:v>3.1588189987742696E-2</c:v>
                </c:pt>
                <c:pt idx="7">
                  <c:v>3.1588189987742696E-2</c:v>
                </c:pt>
                <c:pt idx="8">
                  <c:v>3.1588189987742696E-2</c:v>
                </c:pt>
                <c:pt idx="9">
                  <c:v>3.1588189987742696E-2</c:v>
                </c:pt>
                <c:pt idx="10">
                  <c:v>3.1588189987742696E-2</c:v>
                </c:pt>
              </c:numCache>
            </c:numRef>
          </c:val>
          <c:smooth val="0"/>
          <c:extLst>
            <c:ext xmlns:c16="http://schemas.microsoft.com/office/drawing/2014/chart" uri="{C3380CC4-5D6E-409C-BE32-E72D297353CC}">
              <c16:uniqueId val="{00000003-ABB5-4D59-B8E5-AE84F2D6F931}"/>
            </c:ext>
          </c:extLst>
        </c:ser>
        <c:dLbls>
          <c:showLegendKey val="0"/>
          <c:showVal val="0"/>
          <c:showCatName val="0"/>
          <c:showSerName val="0"/>
          <c:showPercent val="0"/>
          <c:showBubbleSize val="0"/>
        </c:dLbls>
        <c:marker val="1"/>
        <c:smooth val="0"/>
        <c:axId val="1955878688"/>
        <c:axId val="1955869952"/>
      </c:lineChart>
      <c:catAx>
        <c:axId val="195587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955869952"/>
        <c:crosses val="autoZero"/>
        <c:auto val="1"/>
        <c:lblAlgn val="ctr"/>
        <c:lblOffset val="100"/>
        <c:noMultiLvlLbl val="0"/>
      </c:catAx>
      <c:valAx>
        <c:axId val="195586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955878688"/>
        <c:crosses val="autoZero"/>
        <c:crossBetween val="between"/>
      </c:valAx>
      <c:spPr>
        <a:noFill/>
        <a:ln>
          <a:noFill/>
        </a:ln>
        <a:effectLst/>
      </c:spPr>
    </c:plotArea>
    <c:legend>
      <c:legendPos val="b"/>
      <c:layout>
        <c:manualLayout>
          <c:xMode val="edge"/>
          <c:yMode val="edge"/>
          <c:x val="0"/>
          <c:y val="0.83866319724028049"/>
          <c:w val="0.99657293665193725"/>
          <c:h val="9.269125737442576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61052337782931"/>
          <c:y val="5.5096418732782371E-2"/>
          <c:w val="0.80339629325475415"/>
          <c:h val="0.72982167612219007"/>
        </c:manualLayout>
      </c:layout>
      <c:barChart>
        <c:barDir val="col"/>
        <c:grouping val="clustered"/>
        <c:varyColors val="0"/>
        <c:ser>
          <c:idx val="0"/>
          <c:order val="0"/>
          <c:tx>
            <c:strRef>
              <c:f>Sheet1!$B$2</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Referrals to OPAN</c:v>
                </c:pt>
                <c:pt idx="1">
                  <c:v>Complaints</c:v>
                </c:pt>
                <c:pt idx="2">
                  <c:v>Complaint Issues</c:v>
                </c:pt>
                <c:pt idx="3">
                  <c:v>Complaints Finalised</c:v>
                </c:pt>
              </c:strCache>
            </c:strRef>
          </c:cat>
          <c:val>
            <c:numRef>
              <c:f>Sheet1!$B$3:$B$6</c:f>
              <c:numCache>
                <c:formatCode>General</c:formatCode>
                <c:ptCount val="4"/>
                <c:pt idx="0">
                  <c:v>541</c:v>
                </c:pt>
                <c:pt idx="1">
                  <c:v>8539</c:v>
                </c:pt>
                <c:pt idx="2">
                  <c:v>18678</c:v>
                </c:pt>
                <c:pt idx="3">
                  <c:v>8081</c:v>
                </c:pt>
              </c:numCache>
            </c:numRef>
          </c:val>
          <c:extLst>
            <c:ext xmlns:c16="http://schemas.microsoft.com/office/drawing/2014/chart" uri="{C3380CC4-5D6E-409C-BE32-E72D297353CC}">
              <c16:uniqueId val="{00000000-AD0B-47C2-85FB-9ABF7C56CC0E}"/>
            </c:ext>
          </c:extLst>
        </c:ser>
        <c:ser>
          <c:idx val="1"/>
          <c:order val="1"/>
          <c:tx>
            <c:strRef>
              <c:f>Sheet1!$C$2</c:f>
              <c:strCache>
                <c:ptCount val="1"/>
                <c:pt idx="0">
                  <c:v>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Referrals to OPAN</c:v>
                </c:pt>
                <c:pt idx="1">
                  <c:v>Complaints</c:v>
                </c:pt>
                <c:pt idx="2">
                  <c:v>Complaint Issues</c:v>
                </c:pt>
                <c:pt idx="3">
                  <c:v>Complaints Finalised</c:v>
                </c:pt>
              </c:strCache>
            </c:strRef>
          </c:cat>
          <c:val>
            <c:numRef>
              <c:f>Sheet1!$C$3:$C$6</c:f>
              <c:numCache>
                <c:formatCode>General</c:formatCode>
                <c:ptCount val="4"/>
                <c:pt idx="0">
                  <c:v>1598</c:v>
                </c:pt>
                <c:pt idx="1">
                  <c:v>9220</c:v>
                </c:pt>
                <c:pt idx="2">
                  <c:v>22084</c:v>
                </c:pt>
                <c:pt idx="3">
                  <c:v>9198</c:v>
                </c:pt>
              </c:numCache>
            </c:numRef>
          </c:val>
          <c:extLst>
            <c:ext xmlns:c16="http://schemas.microsoft.com/office/drawing/2014/chart" uri="{C3380CC4-5D6E-409C-BE32-E72D297353CC}">
              <c16:uniqueId val="{00000001-AD0B-47C2-85FB-9ABF7C56CC0E}"/>
            </c:ext>
          </c:extLst>
        </c:ser>
        <c:dLbls>
          <c:dLblPos val="outEnd"/>
          <c:showLegendKey val="0"/>
          <c:showVal val="1"/>
          <c:showCatName val="0"/>
          <c:showSerName val="0"/>
          <c:showPercent val="0"/>
          <c:showBubbleSize val="0"/>
        </c:dLbls>
        <c:gapWidth val="219"/>
        <c:overlap val="-27"/>
        <c:axId val="2086235199"/>
        <c:axId val="2086236447"/>
      </c:barChart>
      <c:catAx>
        <c:axId val="208623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086236447"/>
        <c:crosses val="autoZero"/>
        <c:auto val="1"/>
        <c:lblAlgn val="ctr"/>
        <c:lblOffset val="100"/>
        <c:noMultiLvlLbl val="0"/>
      </c:catAx>
      <c:valAx>
        <c:axId val="2086236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a:t>ACQSC Reported Cases</a:t>
                </a:r>
              </a:p>
            </c:rich>
          </c:tx>
          <c:layout>
            <c:manualLayout>
              <c:xMode val="edge"/>
              <c:yMode val="edge"/>
              <c:x val="1.6359918200408999E-2"/>
              <c:y val="0.120992519106917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086235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40" b="1">
                <a:solidFill>
                  <a:sysClr val="windowText" lastClr="000000"/>
                </a:solidFill>
              </a:rPr>
              <a:t>Information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95216971118047"/>
          <c:y val="0.13715949070196012"/>
          <c:w val="0.85478223672745135"/>
          <c:h val="0.52728932819567775"/>
        </c:manualLayout>
      </c:layout>
      <c:barChart>
        <c:barDir val="col"/>
        <c:grouping val="clustered"/>
        <c:varyColors val="0"/>
        <c:ser>
          <c:idx val="0"/>
          <c:order val="0"/>
          <c:tx>
            <c:strRef>
              <c:f>Charts!$B$165</c:f>
              <c:strCache>
                <c:ptCount val="1"/>
                <c:pt idx="0">
                  <c:v>Residential aged care</c:v>
                </c:pt>
              </c:strCache>
            </c:strRef>
          </c:tx>
          <c:spPr>
            <a:solidFill>
              <a:schemeClr val="accent1"/>
            </a:solidFill>
            <a:ln>
              <a:noFill/>
            </a:ln>
            <a:effectLst/>
          </c:spPr>
          <c:invertIfNegative val="0"/>
          <c:cat>
            <c:strRef>
              <c:f>Charts!$A$166:$A$169</c:f>
              <c:strCache>
                <c:ptCount val="4"/>
                <c:pt idx="0">
                  <c:v>ATSI</c:v>
                </c:pt>
                <c:pt idx="1">
                  <c:v>Dementia</c:v>
                </c:pt>
                <c:pt idx="2">
                  <c:v>Elder abuse</c:v>
                </c:pt>
                <c:pt idx="3">
                  <c:v>CALD</c:v>
                </c:pt>
              </c:strCache>
            </c:strRef>
          </c:cat>
          <c:val>
            <c:numRef>
              <c:f>Charts!$B$166:$B$169</c:f>
              <c:numCache>
                <c:formatCode>0%</c:formatCode>
                <c:ptCount val="4"/>
                <c:pt idx="0">
                  <c:v>3.2542632002324837E-2</c:v>
                </c:pt>
                <c:pt idx="1">
                  <c:v>5.3982143464511778E-3</c:v>
                </c:pt>
                <c:pt idx="2">
                  <c:v>1.6159557382206258E-3</c:v>
                </c:pt>
                <c:pt idx="3">
                  <c:v>2.1088695457792409E-2</c:v>
                </c:pt>
              </c:numCache>
            </c:numRef>
          </c:val>
          <c:extLst>
            <c:ext xmlns:c16="http://schemas.microsoft.com/office/drawing/2014/chart" uri="{C3380CC4-5D6E-409C-BE32-E72D297353CC}">
              <c16:uniqueId val="{00000000-FDD8-4CAE-87F4-B9D4C932B82F}"/>
            </c:ext>
          </c:extLst>
        </c:ser>
        <c:ser>
          <c:idx val="1"/>
          <c:order val="1"/>
          <c:tx>
            <c:strRef>
              <c:f>Charts!$C$165</c:f>
              <c:strCache>
                <c:ptCount val="1"/>
                <c:pt idx="0">
                  <c:v>Community care</c:v>
                </c:pt>
              </c:strCache>
            </c:strRef>
          </c:tx>
          <c:spPr>
            <a:solidFill>
              <a:schemeClr val="accent4"/>
            </a:solidFill>
            <a:ln>
              <a:noFill/>
            </a:ln>
            <a:effectLst/>
          </c:spPr>
          <c:invertIfNegative val="0"/>
          <c:cat>
            <c:strRef>
              <c:f>Charts!$A$166:$A$169</c:f>
              <c:strCache>
                <c:ptCount val="4"/>
                <c:pt idx="0">
                  <c:v>ATSI</c:v>
                </c:pt>
                <c:pt idx="1">
                  <c:v>Dementia</c:v>
                </c:pt>
                <c:pt idx="2">
                  <c:v>Elder abuse</c:v>
                </c:pt>
                <c:pt idx="3">
                  <c:v>CALD</c:v>
                </c:pt>
              </c:strCache>
            </c:strRef>
          </c:cat>
          <c:val>
            <c:numRef>
              <c:f>Charts!$C$166:$C$169</c:f>
              <c:numCache>
                <c:formatCode>0%</c:formatCode>
                <c:ptCount val="4"/>
                <c:pt idx="0">
                  <c:v>2.6600663030890381E-2</c:v>
                </c:pt>
                <c:pt idx="1">
                  <c:v>8.0284183971153431E-3</c:v>
                </c:pt>
                <c:pt idx="2">
                  <c:v>2.0670074983523547E-3</c:v>
                </c:pt>
                <c:pt idx="3">
                  <c:v>2.1024639578961422E-2</c:v>
                </c:pt>
              </c:numCache>
            </c:numRef>
          </c:val>
          <c:extLst>
            <c:ext xmlns:c16="http://schemas.microsoft.com/office/drawing/2014/chart" uri="{C3380CC4-5D6E-409C-BE32-E72D297353CC}">
              <c16:uniqueId val="{00000001-FDD8-4CAE-87F4-B9D4C932B82F}"/>
            </c:ext>
          </c:extLst>
        </c:ser>
        <c:dLbls>
          <c:showLegendKey val="0"/>
          <c:showVal val="0"/>
          <c:showCatName val="0"/>
          <c:showSerName val="0"/>
          <c:showPercent val="0"/>
          <c:showBubbleSize val="0"/>
        </c:dLbls>
        <c:gapWidth val="300"/>
        <c:overlap val="-40"/>
        <c:axId val="1592106703"/>
        <c:axId val="1592106287"/>
      </c:barChart>
      <c:lineChart>
        <c:grouping val="standard"/>
        <c:varyColors val="0"/>
        <c:ser>
          <c:idx val="2"/>
          <c:order val="2"/>
          <c:tx>
            <c:strRef>
              <c:f>Charts!$D$165</c:f>
              <c:strCache>
                <c:ptCount val="1"/>
                <c:pt idx="0">
                  <c:v>Average residential aged care</c:v>
                </c:pt>
              </c:strCache>
            </c:strRef>
          </c:tx>
          <c:spPr>
            <a:ln w="12700" cap="rnd">
              <a:solidFill>
                <a:schemeClr val="accent1"/>
              </a:solidFill>
              <a:prstDash val="sysDash"/>
              <a:round/>
            </a:ln>
            <a:effectLst/>
          </c:spPr>
          <c:marker>
            <c:symbol val="none"/>
          </c:marker>
          <c:val>
            <c:numRef>
              <c:f>Charts!$D$166:$D$169</c:f>
              <c:numCache>
                <c:formatCode>0%</c:formatCode>
                <c:ptCount val="4"/>
                <c:pt idx="0">
                  <c:v>1.6665830866433418E-2</c:v>
                </c:pt>
                <c:pt idx="1">
                  <c:v>1.6665830866433418E-2</c:v>
                </c:pt>
                <c:pt idx="2">
                  <c:v>1.6665830866433418E-2</c:v>
                </c:pt>
                <c:pt idx="3">
                  <c:v>1.6665830866433418E-2</c:v>
                </c:pt>
              </c:numCache>
            </c:numRef>
          </c:val>
          <c:smooth val="0"/>
          <c:extLst>
            <c:ext xmlns:c16="http://schemas.microsoft.com/office/drawing/2014/chart" uri="{C3380CC4-5D6E-409C-BE32-E72D297353CC}">
              <c16:uniqueId val="{00000002-FDD8-4CAE-87F4-B9D4C932B82F}"/>
            </c:ext>
          </c:extLst>
        </c:ser>
        <c:ser>
          <c:idx val="3"/>
          <c:order val="3"/>
          <c:tx>
            <c:strRef>
              <c:f>Charts!$E$165</c:f>
              <c:strCache>
                <c:ptCount val="1"/>
                <c:pt idx="0">
                  <c:v>Average community care</c:v>
                </c:pt>
              </c:strCache>
            </c:strRef>
          </c:tx>
          <c:spPr>
            <a:ln w="12700" cap="rnd">
              <a:solidFill>
                <a:schemeClr val="accent4"/>
              </a:solidFill>
              <a:prstDash val="sysDash"/>
              <a:round/>
            </a:ln>
            <a:effectLst/>
          </c:spPr>
          <c:marker>
            <c:symbol val="none"/>
          </c:marker>
          <c:val>
            <c:numRef>
              <c:f>Charts!$E$166:$E$169</c:f>
              <c:numCache>
                <c:formatCode>0%</c:formatCode>
                <c:ptCount val="4"/>
                <c:pt idx="0">
                  <c:v>1.7911962509508099E-2</c:v>
                </c:pt>
                <c:pt idx="1">
                  <c:v>1.7911962509508099E-2</c:v>
                </c:pt>
                <c:pt idx="2">
                  <c:v>1.7911962509508099E-2</c:v>
                </c:pt>
                <c:pt idx="3">
                  <c:v>1.7911962509508099E-2</c:v>
                </c:pt>
              </c:numCache>
            </c:numRef>
          </c:val>
          <c:smooth val="0"/>
          <c:extLst>
            <c:ext xmlns:c16="http://schemas.microsoft.com/office/drawing/2014/chart" uri="{C3380CC4-5D6E-409C-BE32-E72D297353CC}">
              <c16:uniqueId val="{00000003-FDD8-4CAE-87F4-B9D4C932B82F}"/>
            </c:ext>
          </c:extLst>
        </c:ser>
        <c:dLbls>
          <c:showLegendKey val="0"/>
          <c:showVal val="0"/>
          <c:showCatName val="0"/>
          <c:showSerName val="0"/>
          <c:showPercent val="0"/>
          <c:showBubbleSize val="0"/>
        </c:dLbls>
        <c:marker val="1"/>
        <c:smooth val="0"/>
        <c:axId val="1592106703"/>
        <c:axId val="1592106287"/>
      </c:lineChart>
      <c:catAx>
        <c:axId val="15921067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92106287"/>
        <c:crosses val="autoZero"/>
        <c:auto val="1"/>
        <c:lblAlgn val="ctr"/>
        <c:lblOffset val="100"/>
        <c:noMultiLvlLbl val="0"/>
      </c:catAx>
      <c:valAx>
        <c:axId val="1592106287"/>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92106703"/>
        <c:crosses val="autoZero"/>
        <c:crossBetween val="between"/>
      </c:valAx>
      <c:spPr>
        <a:noFill/>
        <a:ln>
          <a:noFill/>
        </a:ln>
        <a:effectLst/>
      </c:spPr>
    </c:plotArea>
    <c:legend>
      <c:legendPos val="b"/>
      <c:layout>
        <c:manualLayout>
          <c:xMode val="edge"/>
          <c:yMode val="edge"/>
          <c:x val="0"/>
          <c:y val="0.75474912045568787"/>
          <c:w val="1"/>
          <c:h val="0.1853892361392970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40" b="1">
                <a:solidFill>
                  <a:sysClr val="windowText" lastClr="000000"/>
                </a:solidFill>
              </a:rPr>
              <a:t>Advocacy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156577759795833E-2"/>
          <c:y val="0.15612403100775193"/>
          <c:w val="0.8573651613706389"/>
          <c:h val="0.51275834706708168"/>
        </c:manualLayout>
      </c:layout>
      <c:barChart>
        <c:barDir val="col"/>
        <c:grouping val="clustered"/>
        <c:varyColors val="0"/>
        <c:ser>
          <c:idx val="0"/>
          <c:order val="0"/>
          <c:tx>
            <c:strRef>
              <c:f>Charts!$B$70</c:f>
              <c:strCache>
                <c:ptCount val="1"/>
                <c:pt idx="0">
                  <c:v>Residential aged care</c:v>
                </c:pt>
              </c:strCache>
            </c:strRef>
          </c:tx>
          <c:spPr>
            <a:solidFill>
              <a:schemeClr val="accent1"/>
            </a:solidFill>
            <a:ln>
              <a:noFill/>
            </a:ln>
            <a:effectLst/>
          </c:spPr>
          <c:invertIfNegative val="0"/>
          <c:cat>
            <c:strRef>
              <c:f>Charts!$A$77:$A$80</c:f>
              <c:strCache>
                <c:ptCount val="4"/>
                <c:pt idx="0">
                  <c:v>ATSI</c:v>
                </c:pt>
                <c:pt idx="1">
                  <c:v>Dementia</c:v>
                </c:pt>
                <c:pt idx="2">
                  <c:v>Elder abuse</c:v>
                </c:pt>
                <c:pt idx="3">
                  <c:v>CALD</c:v>
                </c:pt>
              </c:strCache>
            </c:strRef>
          </c:cat>
          <c:val>
            <c:numRef>
              <c:f>Charts!$B$77:$B$80</c:f>
              <c:numCache>
                <c:formatCode>0%</c:formatCode>
                <c:ptCount val="4"/>
                <c:pt idx="0">
                  <c:v>1.9372309949492527E-2</c:v>
                </c:pt>
                <c:pt idx="1">
                  <c:v>3.087243128321553E-3</c:v>
                </c:pt>
                <c:pt idx="2">
                  <c:v>2.9112123262437983E-3</c:v>
                </c:pt>
                <c:pt idx="3">
                  <c:v>1.7113788466516525E-2</c:v>
                </c:pt>
              </c:numCache>
            </c:numRef>
          </c:val>
          <c:extLst>
            <c:ext xmlns:c16="http://schemas.microsoft.com/office/drawing/2014/chart" uri="{C3380CC4-5D6E-409C-BE32-E72D297353CC}">
              <c16:uniqueId val="{00000000-E925-47AD-B7A7-873372DFABF1}"/>
            </c:ext>
          </c:extLst>
        </c:ser>
        <c:ser>
          <c:idx val="1"/>
          <c:order val="1"/>
          <c:tx>
            <c:strRef>
              <c:f>Charts!$C$70</c:f>
              <c:strCache>
                <c:ptCount val="1"/>
                <c:pt idx="0">
                  <c:v>Community care</c:v>
                </c:pt>
              </c:strCache>
            </c:strRef>
          </c:tx>
          <c:spPr>
            <a:solidFill>
              <a:schemeClr val="accent4"/>
            </a:solidFill>
            <a:ln>
              <a:noFill/>
            </a:ln>
            <a:effectLst/>
          </c:spPr>
          <c:invertIfNegative val="0"/>
          <c:cat>
            <c:strRef>
              <c:f>Charts!$A$77:$A$80</c:f>
              <c:strCache>
                <c:ptCount val="4"/>
                <c:pt idx="0">
                  <c:v>ATSI</c:v>
                </c:pt>
                <c:pt idx="1">
                  <c:v>Dementia</c:v>
                </c:pt>
                <c:pt idx="2">
                  <c:v>Elder abuse</c:v>
                </c:pt>
                <c:pt idx="3">
                  <c:v>CALD</c:v>
                </c:pt>
              </c:strCache>
            </c:strRef>
          </c:cat>
          <c:val>
            <c:numRef>
              <c:f>Charts!$C$77:$C$80</c:f>
              <c:numCache>
                <c:formatCode>0.0%</c:formatCode>
                <c:ptCount val="4"/>
                <c:pt idx="0">
                  <c:v>4.9240149517880791E-2</c:v>
                </c:pt>
                <c:pt idx="1">
                  <c:v>7.8770669839629028E-3</c:v>
                </c:pt>
                <c:pt idx="2">
                  <c:v>3.8086328713053548E-11</c:v>
                </c:pt>
                <c:pt idx="3">
                  <c:v>6.2518446459814442E-2</c:v>
                </c:pt>
              </c:numCache>
            </c:numRef>
          </c:val>
          <c:extLst>
            <c:ext xmlns:c16="http://schemas.microsoft.com/office/drawing/2014/chart" uri="{C3380CC4-5D6E-409C-BE32-E72D297353CC}">
              <c16:uniqueId val="{00000001-E925-47AD-B7A7-873372DFABF1}"/>
            </c:ext>
          </c:extLst>
        </c:ser>
        <c:dLbls>
          <c:showLegendKey val="0"/>
          <c:showVal val="0"/>
          <c:showCatName val="0"/>
          <c:showSerName val="0"/>
          <c:showPercent val="0"/>
          <c:showBubbleSize val="0"/>
        </c:dLbls>
        <c:gapWidth val="300"/>
        <c:overlap val="-30"/>
        <c:axId val="2036805007"/>
        <c:axId val="2036799599"/>
      </c:barChart>
      <c:lineChart>
        <c:grouping val="standard"/>
        <c:varyColors val="0"/>
        <c:ser>
          <c:idx val="2"/>
          <c:order val="2"/>
          <c:tx>
            <c:strRef>
              <c:f>Charts!$E$76</c:f>
              <c:strCache>
                <c:ptCount val="1"/>
                <c:pt idx="0">
                  <c:v>Average residential aged care</c:v>
                </c:pt>
              </c:strCache>
            </c:strRef>
          </c:tx>
          <c:spPr>
            <a:ln w="12700" cap="rnd">
              <a:solidFill>
                <a:schemeClr val="accent1"/>
              </a:solidFill>
              <a:prstDash val="sysDash"/>
              <a:round/>
            </a:ln>
            <a:effectLst/>
          </c:spPr>
          <c:marker>
            <c:symbol val="none"/>
          </c:marker>
          <c:val>
            <c:numRef>
              <c:f>Charts!$E$77:$E$80</c:f>
              <c:numCache>
                <c:formatCode>0.0%</c:formatCode>
                <c:ptCount val="4"/>
                <c:pt idx="0">
                  <c:v>1.1079599449408679E-2</c:v>
                </c:pt>
                <c:pt idx="1">
                  <c:v>1.1079599449408679E-2</c:v>
                </c:pt>
                <c:pt idx="2">
                  <c:v>1.1079599449408679E-2</c:v>
                </c:pt>
                <c:pt idx="3">
                  <c:v>1.1079599449408679E-2</c:v>
                </c:pt>
              </c:numCache>
            </c:numRef>
          </c:val>
          <c:smooth val="0"/>
          <c:extLst>
            <c:ext xmlns:c16="http://schemas.microsoft.com/office/drawing/2014/chart" uri="{C3380CC4-5D6E-409C-BE32-E72D297353CC}">
              <c16:uniqueId val="{00000002-E925-47AD-B7A7-873372DFABF1}"/>
            </c:ext>
          </c:extLst>
        </c:ser>
        <c:ser>
          <c:idx val="3"/>
          <c:order val="3"/>
          <c:tx>
            <c:strRef>
              <c:f>Charts!$F$76</c:f>
              <c:strCache>
                <c:ptCount val="1"/>
                <c:pt idx="0">
                  <c:v>Average community care</c:v>
                </c:pt>
              </c:strCache>
            </c:strRef>
          </c:tx>
          <c:spPr>
            <a:ln w="12700" cap="rnd">
              <a:solidFill>
                <a:schemeClr val="accent4"/>
              </a:solidFill>
              <a:prstDash val="sysDash"/>
              <a:round/>
            </a:ln>
            <a:effectLst/>
          </c:spPr>
          <c:marker>
            <c:symbol val="none"/>
          </c:marker>
          <c:val>
            <c:numRef>
              <c:f>Charts!$F$77:$F$80</c:f>
              <c:numCache>
                <c:formatCode>0.0%</c:formatCode>
                <c:ptCount val="4"/>
                <c:pt idx="0">
                  <c:v>2.8867835578024609E-2</c:v>
                </c:pt>
                <c:pt idx="1">
                  <c:v>2.8867835578024609E-2</c:v>
                </c:pt>
                <c:pt idx="2">
                  <c:v>2.8867835578024609E-2</c:v>
                </c:pt>
                <c:pt idx="3">
                  <c:v>2.8867835578024609E-2</c:v>
                </c:pt>
              </c:numCache>
            </c:numRef>
          </c:val>
          <c:smooth val="0"/>
          <c:extLst>
            <c:ext xmlns:c16="http://schemas.microsoft.com/office/drawing/2014/chart" uri="{C3380CC4-5D6E-409C-BE32-E72D297353CC}">
              <c16:uniqueId val="{00000003-E925-47AD-B7A7-873372DFABF1}"/>
            </c:ext>
          </c:extLst>
        </c:ser>
        <c:dLbls>
          <c:showLegendKey val="0"/>
          <c:showVal val="0"/>
          <c:showCatName val="0"/>
          <c:showSerName val="0"/>
          <c:showPercent val="0"/>
          <c:showBubbleSize val="0"/>
        </c:dLbls>
        <c:marker val="1"/>
        <c:smooth val="0"/>
        <c:axId val="2036805007"/>
        <c:axId val="2036799599"/>
      </c:lineChart>
      <c:catAx>
        <c:axId val="203680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6799599"/>
        <c:crosses val="autoZero"/>
        <c:auto val="1"/>
        <c:lblAlgn val="ctr"/>
        <c:lblOffset val="100"/>
        <c:noMultiLvlLbl val="0"/>
      </c:catAx>
      <c:valAx>
        <c:axId val="203679959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6805007"/>
        <c:crosses val="autoZero"/>
        <c:crossBetween val="between"/>
      </c:valAx>
      <c:spPr>
        <a:noFill/>
        <a:ln>
          <a:noFill/>
        </a:ln>
        <a:effectLst/>
      </c:spPr>
    </c:plotArea>
    <c:legend>
      <c:legendPos val="b"/>
      <c:layout>
        <c:manualLayout>
          <c:xMode val="edge"/>
          <c:yMode val="edge"/>
          <c:x val="2.9582023590924646E-3"/>
          <c:y val="0.76553988890923519"/>
          <c:w val="0.96972300893218388"/>
          <c:h val="0.162108689902134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r>
              <a:rPr lang="en-AU" b="1"/>
              <a:t>Residential aged care</a:t>
            </a:r>
          </a:p>
        </c:rich>
      </c:tx>
      <c:overlay val="0"/>
      <c:spPr>
        <a:noFill/>
        <a:ln>
          <a:noFill/>
        </a:ln>
        <a:effectLst/>
      </c:spPr>
      <c:txPr>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018615883877136"/>
          <c:y val="0.15123398305814673"/>
          <c:w val="0.85189051847752262"/>
          <c:h val="0.54869090231693562"/>
        </c:manualLayout>
      </c:layout>
      <c:barChart>
        <c:barDir val="col"/>
        <c:grouping val="clustered"/>
        <c:varyColors val="0"/>
        <c:ser>
          <c:idx val="0"/>
          <c:order val="0"/>
          <c:tx>
            <c:strRef>
              <c:f>Charts!$B$8</c:f>
              <c:strCache>
                <c:ptCount val="1"/>
                <c:pt idx="0">
                  <c:v>Male</c:v>
                </c:pt>
              </c:strCache>
            </c:strRef>
          </c:tx>
          <c:spPr>
            <a:solidFill>
              <a:schemeClr val="accent1"/>
            </a:solidFill>
            <a:ln>
              <a:noFill/>
            </a:ln>
            <a:effectLst/>
          </c:spPr>
          <c:invertIfNegative val="0"/>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Charts!$B$9:$B$19</c:f>
              <c:numCache>
                <c:formatCode>0%</c:formatCode>
                <c:ptCount val="11"/>
                <c:pt idx="0">
                  <c:v>0</c:v>
                </c:pt>
                <c:pt idx="1">
                  <c:v>0</c:v>
                </c:pt>
                <c:pt idx="2">
                  <c:v>0</c:v>
                </c:pt>
                <c:pt idx="3">
                  <c:v>7.5004419023101294E-3</c:v>
                </c:pt>
                <c:pt idx="4">
                  <c:v>2.0907134988174893E-2</c:v>
                </c:pt>
                <c:pt idx="5">
                  <c:v>2.6194168054703253E-2</c:v>
                </c:pt>
                <c:pt idx="6">
                  <c:v>1.8354779546328744E-2</c:v>
                </c:pt>
                <c:pt idx="7">
                  <c:v>1.1602722229947567E-2</c:v>
                </c:pt>
                <c:pt idx="8">
                  <c:v>5.4177704132314895E-3</c:v>
                </c:pt>
                <c:pt idx="9">
                  <c:v>1.1632406466278937E-2</c:v>
                </c:pt>
                <c:pt idx="10">
                  <c:v>2.1428987646647499E-2</c:v>
                </c:pt>
              </c:numCache>
            </c:numRef>
          </c:val>
          <c:extLst>
            <c:ext xmlns:c16="http://schemas.microsoft.com/office/drawing/2014/chart" uri="{C3380CC4-5D6E-409C-BE32-E72D297353CC}">
              <c16:uniqueId val="{00000000-C064-4EC9-9757-500370D6A678}"/>
            </c:ext>
          </c:extLst>
        </c:ser>
        <c:ser>
          <c:idx val="1"/>
          <c:order val="1"/>
          <c:tx>
            <c:strRef>
              <c:f>Charts!$C$8</c:f>
              <c:strCache>
                <c:ptCount val="1"/>
                <c:pt idx="0">
                  <c:v>Female</c:v>
                </c:pt>
              </c:strCache>
            </c:strRef>
          </c:tx>
          <c:spPr>
            <a:solidFill>
              <a:schemeClr val="accent4"/>
            </a:solidFill>
            <a:ln>
              <a:noFill/>
            </a:ln>
            <a:effectLst/>
          </c:spPr>
          <c:invertIfNegative val="0"/>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Charts!$C$9:$C$19</c:f>
              <c:numCache>
                <c:formatCode>0%</c:formatCode>
                <c:ptCount val="11"/>
                <c:pt idx="0">
                  <c:v>0</c:v>
                </c:pt>
                <c:pt idx="1">
                  <c:v>1.4468852459016392E-2</c:v>
                </c:pt>
                <c:pt idx="2">
                  <c:v>1.4331272245459976E-2</c:v>
                </c:pt>
                <c:pt idx="3">
                  <c:v>1.9573664040877153E-2</c:v>
                </c:pt>
                <c:pt idx="4">
                  <c:v>1.9991966367469225E-2</c:v>
                </c:pt>
                <c:pt idx="5">
                  <c:v>8.4809754161256461E-3</c:v>
                </c:pt>
                <c:pt idx="6">
                  <c:v>1.3235789253703617E-2</c:v>
                </c:pt>
                <c:pt idx="7">
                  <c:v>6.6321148591677774E-3</c:v>
                </c:pt>
                <c:pt idx="8">
                  <c:v>4.7615547722557518E-3</c:v>
                </c:pt>
                <c:pt idx="9">
                  <c:v>3.7054016746098121E-3</c:v>
                </c:pt>
                <c:pt idx="10">
                  <c:v>1.5531185550683118E-2</c:v>
                </c:pt>
              </c:numCache>
            </c:numRef>
          </c:val>
          <c:extLst>
            <c:ext xmlns:c16="http://schemas.microsoft.com/office/drawing/2014/chart" uri="{C3380CC4-5D6E-409C-BE32-E72D297353CC}">
              <c16:uniqueId val="{00000001-C064-4EC9-9757-500370D6A678}"/>
            </c:ext>
          </c:extLst>
        </c:ser>
        <c:dLbls>
          <c:showLegendKey val="0"/>
          <c:showVal val="0"/>
          <c:showCatName val="0"/>
          <c:showSerName val="0"/>
          <c:showPercent val="0"/>
          <c:showBubbleSize val="0"/>
        </c:dLbls>
        <c:gapWidth val="219"/>
        <c:axId val="496632032"/>
        <c:axId val="496636192"/>
      </c:barChart>
      <c:lineChart>
        <c:grouping val="standard"/>
        <c:varyColors val="0"/>
        <c:ser>
          <c:idx val="2"/>
          <c:order val="2"/>
          <c:tx>
            <c:strRef>
              <c:f>Charts!$D$8</c:f>
              <c:strCache>
                <c:ptCount val="1"/>
                <c:pt idx="0">
                  <c:v>Average male</c:v>
                </c:pt>
              </c:strCache>
            </c:strRef>
          </c:tx>
          <c:spPr>
            <a:ln w="15875" cap="rnd">
              <a:solidFill>
                <a:schemeClr val="accent1"/>
              </a:solidFill>
              <a:prstDash val="sysDash"/>
              <a:round/>
            </a:ln>
            <a:effectLst/>
          </c:spPr>
          <c:marker>
            <c:symbol val="none"/>
          </c:marker>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Charts!$D$9:$D$19</c:f>
              <c:numCache>
                <c:formatCode>0.0%</c:formatCode>
                <c:ptCount val="11"/>
                <c:pt idx="0">
                  <c:v>1.1185310113420228E-2</c:v>
                </c:pt>
                <c:pt idx="1">
                  <c:v>1.1185310113420228E-2</c:v>
                </c:pt>
                <c:pt idx="2">
                  <c:v>1.1185310113420228E-2</c:v>
                </c:pt>
                <c:pt idx="3">
                  <c:v>1.1185310113420228E-2</c:v>
                </c:pt>
                <c:pt idx="4">
                  <c:v>1.1185310113420228E-2</c:v>
                </c:pt>
                <c:pt idx="5">
                  <c:v>1.1185310113420228E-2</c:v>
                </c:pt>
                <c:pt idx="6">
                  <c:v>1.1185310113420228E-2</c:v>
                </c:pt>
                <c:pt idx="7">
                  <c:v>1.1185310113420228E-2</c:v>
                </c:pt>
                <c:pt idx="8">
                  <c:v>1.1185310113420228E-2</c:v>
                </c:pt>
                <c:pt idx="9">
                  <c:v>1.1185310113420228E-2</c:v>
                </c:pt>
                <c:pt idx="10">
                  <c:v>1.1185310113420228E-2</c:v>
                </c:pt>
              </c:numCache>
            </c:numRef>
          </c:val>
          <c:smooth val="0"/>
          <c:extLst>
            <c:ext xmlns:c16="http://schemas.microsoft.com/office/drawing/2014/chart" uri="{C3380CC4-5D6E-409C-BE32-E72D297353CC}">
              <c16:uniqueId val="{00000002-C064-4EC9-9757-500370D6A678}"/>
            </c:ext>
          </c:extLst>
        </c:ser>
        <c:ser>
          <c:idx val="3"/>
          <c:order val="3"/>
          <c:tx>
            <c:strRef>
              <c:f>Charts!$E$8</c:f>
              <c:strCache>
                <c:ptCount val="1"/>
                <c:pt idx="0">
                  <c:v>Average female</c:v>
                </c:pt>
              </c:strCache>
            </c:strRef>
          </c:tx>
          <c:spPr>
            <a:ln w="15875" cap="rnd">
              <a:solidFill>
                <a:schemeClr val="accent4"/>
              </a:solidFill>
              <a:prstDash val="sysDash"/>
              <a:round/>
            </a:ln>
            <a:effectLst/>
          </c:spPr>
          <c:marker>
            <c:symbol val="none"/>
          </c:marker>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Charts!$E$9:$E$19</c:f>
              <c:numCache>
                <c:formatCode>0.0%</c:formatCode>
                <c:ptCount val="11"/>
                <c:pt idx="0">
                  <c:v>1.0973888785397132E-2</c:v>
                </c:pt>
                <c:pt idx="1">
                  <c:v>1.0973888785397132E-2</c:v>
                </c:pt>
                <c:pt idx="2">
                  <c:v>1.0973888785397132E-2</c:v>
                </c:pt>
                <c:pt idx="3">
                  <c:v>1.0973888785397132E-2</c:v>
                </c:pt>
                <c:pt idx="4">
                  <c:v>1.0973888785397132E-2</c:v>
                </c:pt>
                <c:pt idx="5">
                  <c:v>1.0973888785397132E-2</c:v>
                </c:pt>
                <c:pt idx="6">
                  <c:v>1.0973888785397132E-2</c:v>
                </c:pt>
                <c:pt idx="7">
                  <c:v>1.0973888785397132E-2</c:v>
                </c:pt>
                <c:pt idx="8">
                  <c:v>1.0973888785397132E-2</c:v>
                </c:pt>
                <c:pt idx="9">
                  <c:v>1.0973888785397132E-2</c:v>
                </c:pt>
                <c:pt idx="10">
                  <c:v>1.0973888785397132E-2</c:v>
                </c:pt>
              </c:numCache>
            </c:numRef>
          </c:val>
          <c:smooth val="0"/>
          <c:extLst>
            <c:ext xmlns:c16="http://schemas.microsoft.com/office/drawing/2014/chart" uri="{C3380CC4-5D6E-409C-BE32-E72D297353CC}">
              <c16:uniqueId val="{00000003-C064-4EC9-9757-500370D6A678}"/>
            </c:ext>
          </c:extLst>
        </c:ser>
        <c:dLbls>
          <c:showLegendKey val="0"/>
          <c:showVal val="0"/>
          <c:showCatName val="0"/>
          <c:showSerName val="0"/>
          <c:showPercent val="0"/>
          <c:showBubbleSize val="0"/>
        </c:dLbls>
        <c:marker val="1"/>
        <c:smooth val="0"/>
        <c:axId val="496632032"/>
        <c:axId val="496636192"/>
      </c:lineChart>
      <c:catAx>
        <c:axId val="4966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496636192"/>
        <c:crosses val="autoZero"/>
        <c:auto val="1"/>
        <c:lblAlgn val="ctr"/>
        <c:lblOffset val="100"/>
        <c:noMultiLvlLbl val="0"/>
      </c:catAx>
      <c:valAx>
        <c:axId val="496636192"/>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496632032"/>
        <c:crosses val="autoZero"/>
        <c:crossBetween val="between"/>
      </c:valAx>
      <c:spPr>
        <a:noFill/>
        <a:ln>
          <a:noFill/>
        </a:ln>
        <a:effectLst/>
      </c:spPr>
    </c:plotArea>
    <c:legend>
      <c:legendPos val="b"/>
      <c:layout>
        <c:manualLayout>
          <c:xMode val="edge"/>
          <c:yMode val="edge"/>
          <c:x val="0"/>
          <c:y val="0.85577591404483244"/>
          <c:w val="0.99605031730460369"/>
          <c:h val="0.1160406780747420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Charts!$B$70</c:f>
              <c:strCache>
                <c:ptCount val="1"/>
                <c:pt idx="0">
                  <c:v>Residential aged care</c:v>
                </c:pt>
              </c:strCache>
            </c:strRef>
          </c:tx>
          <c:spPr>
            <a:solidFill>
              <a:schemeClr val="accent1"/>
            </a:solidFill>
            <a:ln>
              <a:noFill/>
            </a:ln>
            <a:effectLst/>
          </c:spPr>
          <c:invertIfNegative val="0"/>
          <c:cat>
            <c:strRef>
              <c:f>Charts!$A$77:$A$80</c:f>
              <c:strCache>
                <c:ptCount val="4"/>
                <c:pt idx="0">
                  <c:v>ATSI</c:v>
                </c:pt>
                <c:pt idx="1">
                  <c:v>Dementia</c:v>
                </c:pt>
                <c:pt idx="2">
                  <c:v>Elder abuse</c:v>
                </c:pt>
                <c:pt idx="3">
                  <c:v>CALD</c:v>
                </c:pt>
              </c:strCache>
            </c:strRef>
          </c:cat>
          <c:val>
            <c:numRef>
              <c:f>Charts!$B$77:$B$80</c:f>
              <c:numCache>
                <c:formatCode>0%</c:formatCode>
                <c:ptCount val="4"/>
                <c:pt idx="0">
                  <c:v>1.9372309949492527E-2</c:v>
                </c:pt>
                <c:pt idx="1">
                  <c:v>3.087243128321553E-3</c:v>
                </c:pt>
                <c:pt idx="2">
                  <c:v>2.9112123262437983E-3</c:v>
                </c:pt>
                <c:pt idx="3">
                  <c:v>1.7113788466516525E-2</c:v>
                </c:pt>
              </c:numCache>
            </c:numRef>
          </c:val>
          <c:extLst>
            <c:ext xmlns:c16="http://schemas.microsoft.com/office/drawing/2014/chart" uri="{C3380CC4-5D6E-409C-BE32-E72D297353CC}">
              <c16:uniqueId val="{00000000-4A2B-4B10-A118-724416F71D18}"/>
            </c:ext>
          </c:extLst>
        </c:ser>
        <c:ser>
          <c:idx val="1"/>
          <c:order val="1"/>
          <c:tx>
            <c:strRef>
              <c:f>Charts!$C$70</c:f>
              <c:strCache>
                <c:ptCount val="1"/>
                <c:pt idx="0">
                  <c:v>Community care</c:v>
                </c:pt>
              </c:strCache>
            </c:strRef>
          </c:tx>
          <c:spPr>
            <a:solidFill>
              <a:schemeClr val="accent4"/>
            </a:solidFill>
            <a:ln>
              <a:noFill/>
            </a:ln>
            <a:effectLst/>
          </c:spPr>
          <c:invertIfNegative val="0"/>
          <c:cat>
            <c:strRef>
              <c:f>Charts!$A$77:$A$80</c:f>
              <c:strCache>
                <c:ptCount val="4"/>
                <c:pt idx="0">
                  <c:v>ATSI</c:v>
                </c:pt>
                <c:pt idx="1">
                  <c:v>Dementia</c:v>
                </c:pt>
                <c:pt idx="2">
                  <c:v>Elder abuse</c:v>
                </c:pt>
                <c:pt idx="3">
                  <c:v>CALD</c:v>
                </c:pt>
              </c:strCache>
            </c:strRef>
          </c:cat>
          <c:val>
            <c:numRef>
              <c:f>Charts!$C$77:$C$80</c:f>
              <c:numCache>
                <c:formatCode>0.0%</c:formatCode>
                <c:ptCount val="4"/>
                <c:pt idx="0">
                  <c:v>4.9240149517880791E-2</c:v>
                </c:pt>
                <c:pt idx="1">
                  <c:v>7.8770669839629028E-3</c:v>
                </c:pt>
                <c:pt idx="2">
                  <c:v>3.8086328713053548E-11</c:v>
                </c:pt>
                <c:pt idx="3">
                  <c:v>6.2518446459814442E-2</c:v>
                </c:pt>
              </c:numCache>
            </c:numRef>
          </c:val>
          <c:extLst>
            <c:ext xmlns:c16="http://schemas.microsoft.com/office/drawing/2014/chart" uri="{C3380CC4-5D6E-409C-BE32-E72D297353CC}">
              <c16:uniqueId val="{00000001-4A2B-4B10-A118-724416F71D18}"/>
            </c:ext>
          </c:extLst>
        </c:ser>
        <c:dLbls>
          <c:showLegendKey val="0"/>
          <c:showVal val="0"/>
          <c:showCatName val="0"/>
          <c:showSerName val="0"/>
          <c:showPercent val="0"/>
          <c:showBubbleSize val="0"/>
        </c:dLbls>
        <c:gapWidth val="219"/>
        <c:overlap val="-27"/>
        <c:axId val="2036805007"/>
        <c:axId val="2036799599"/>
      </c:barChart>
      <c:catAx>
        <c:axId val="203680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36799599"/>
        <c:crosses val="autoZero"/>
        <c:auto val="1"/>
        <c:lblAlgn val="ctr"/>
        <c:lblOffset val="100"/>
        <c:noMultiLvlLbl val="0"/>
      </c:catAx>
      <c:valAx>
        <c:axId val="203679959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36805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186113099499"/>
          <c:y val="5.0679566920064499E-2"/>
          <c:w val="0.76192635011532661"/>
          <c:h val="0.84985788317579858"/>
        </c:manualLayout>
      </c:layout>
      <c:barChart>
        <c:barDir val="col"/>
        <c:grouping val="clustered"/>
        <c:varyColors val="0"/>
        <c:ser>
          <c:idx val="0"/>
          <c:order val="0"/>
          <c:tx>
            <c:strRef>
              <c:f>'Trend over time'!$C$2</c:f>
              <c:strCache>
                <c:ptCount val="1"/>
                <c:pt idx="0">
                  <c:v>2018/19</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 over time'!$B$3:$B$5</c:f>
              <c:strCache>
                <c:ptCount val="3"/>
                <c:pt idx="0">
                  <c:v>Information</c:v>
                </c:pt>
                <c:pt idx="1">
                  <c:v>Advocacy</c:v>
                </c:pt>
                <c:pt idx="2">
                  <c:v>Education</c:v>
                </c:pt>
              </c:strCache>
            </c:strRef>
          </c:cat>
          <c:val>
            <c:numRef>
              <c:f>'Trend over time'!$C$3:$C$5</c:f>
              <c:numCache>
                <c:formatCode>#,##0</c:formatCode>
                <c:ptCount val="3"/>
                <c:pt idx="0">
                  <c:v>7230</c:v>
                </c:pt>
                <c:pt idx="1">
                  <c:v>6564</c:v>
                </c:pt>
                <c:pt idx="2">
                  <c:v>2110</c:v>
                </c:pt>
              </c:numCache>
            </c:numRef>
          </c:val>
          <c:extLst>
            <c:ext xmlns:c16="http://schemas.microsoft.com/office/drawing/2014/chart" uri="{C3380CC4-5D6E-409C-BE32-E72D297353CC}">
              <c16:uniqueId val="{00000000-E20B-46A5-9114-B298B3638E3F}"/>
            </c:ext>
          </c:extLst>
        </c:ser>
        <c:ser>
          <c:idx val="1"/>
          <c:order val="1"/>
          <c:tx>
            <c:strRef>
              <c:f>'Trend over time'!$D$2</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 over time'!$B$3:$B$5</c:f>
              <c:strCache>
                <c:ptCount val="3"/>
                <c:pt idx="0">
                  <c:v>Information</c:v>
                </c:pt>
                <c:pt idx="1">
                  <c:v>Advocacy</c:v>
                </c:pt>
                <c:pt idx="2">
                  <c:v>Education</c:v>
                </c:pt>
              </c:strCache>
            </c:strRef>
          </c:cat>
          <c:val>
            <c:numRef>
              <c:f>'Trend over time'!$D$3:$D$5</c:f>
              <c:numCache>
                <c:formatCode>#,##0</c:formatCode>
                <c:ptCount val="3"/>
                <c:pt idx="0">
                  <c:v>10519</c:v>
                </c:pt>
                <c:pt idx="1">
                  <c:v>7032</c:v>
                </c:pt>
                <c:pt idx="2">
                  <c:v>1558</c:v>
                </c:pt>
              </c:numCache>
            </c:numRef>
          </c:val>
          <c:extLst>
            <c:ext xmlns:c16="http://schemas.microsoft.com/office/drawing/2014/chart" uri="{C3380CC4-5D6E-409C-BE32-E72D297353CC}">
              <c16:uniqueId val="{00000001-E20B-46A5-9114-B298B3638E3F}"/>
            </c:ext>
          </c:extLst>
        </c:ser>
        <c:ser>
          <c:idx val="2"/>
          <c:order val="2"/>
          <c:tx>
            <c:strRef>
              <c:f>'Trend over time'!$E$2</c:f>
              <c:strCache>
                <c:ptCount val="1"/>
                <c:pt idx="0">
                  <c:v>2020/21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 over time'!$B$3:$B$5</c:f>
              <c:strCache>
                <c:ptCount val="3"/>
                <c:pt idx="0">
                  <c:v>Information</c:v>
                </c:pt>
                <c:pt idx="1">
                  <c:v>Advocacy</c:v>
                </c:pt>
                <c:pt idx="2">
                  <c:v>Education</c:v>
                </c:pt>
              </c:strCache>
            </c:strRef>
          </c:cat>
          <c:val>
            <c:numRef>
              <c:f>'Trend over time'!$E$3:$E$5</c:f>
              <c:numCache>
                <c:formatCode>#,##0</c:formatCode>
                <c:ptCount val="3"/>
                <c:pt idx="0">
                  <c:v>11849</c:v>
                </c:pt>
                <c:pt idx="1">
                  <c:v>8826</c:v>
                </c:pt>
                <c:pt idx="2">
                  <c:v>1310</c:v>
                </c:pt>
              </c:numCache>
            </c:numRef>
          </c:val>
          <c:extLst>
            <c:ext xmlns:c16="http://schemas.microsoft.com/office/drawing/2014/chart" uri="{C3380CC4-5D6E-409C-BE32-E72D297353CC}">
              <c16:uniqueId val="{00000002-E20B-46A5-9114-B298B3638E3F}"/>
            </c:ext>
          </c:extLst>
        </c:ser>
        <c:dLbls>
          <c:dLblPos val="outEnd"/>
          <c:showLegendKey val="0"/>
          <c:showVal val="1"/>
          <c:showCatName val="0"/>
          <c:showSerName val="0"/>
          <c:showPercent val="0"/>
          <c:showBubbleSize val="0"/>
        </c:dLbls>
        <c:gapWidth val="189"/>
        <c:overlap val="-27"/>
        <c:axId val="592708607"/>
        <c:axId val="592709023"/>
      </c:barChart>
      <c:catAx>
        <c:axId val="59270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92709023"/>
        <c:crosses val="autoZero"/>
        <c:auto val="1"/>
        <c:lblAlgn val="ctr"/>
        <c:lblOffset val="100"/>
        <c:noMultiLvlLbl val="0"/>
      </c:catAx>
      <c:valAx>
        <c:axId val="592709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92708607"/>
        <c:crosses val="autoZero"/>
        <c:crossBetween val="between"/>
      </c:valAx>
      <c:spPr>
        <a:noFill/>
        <a:ln>
          <a:noFill/>
        </a:ln>
        <a:effectLst/>
      </c:spPr>
    </c:plotArea>
    <c:legend>
      <c:legendPos val="r"/>
      <c:layout>
        <c:manualLayout>
          <c:xMode val="edge"/>
          <c:yMode val="edge"/>
          <c:x val="0.86227531217688702"/>
          <c:y val="0.298953214814976"/>
          <c:w val="0.12762367772210292"/>
          <c:h val="0.4205225037955259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data!$S$2</c:f>
              <c:strCache>
                <c:ptCount val="1"/>
                <c:pt idx="0">
                  <c:v>Information</c:v>
                </c:pt>
              </c:strCache>
            </c:strRef>
          </c:tx>
          <c:spPr>
            <a:solidFill>
              <a:schemeClr val="accent1"/>
            </a:solidFill>
            <a:ln>
              <a:noFill/>
            </a:ln>
            <a:effectLst/>
          </c:spPr>
          <c:invertIfNegative val="0"/>
          <c:cat>
            <c:strRef>
              <c:f>data!$R$3:$R$11</c:f>
              <c:strCache>
                <c:ptCount val="9"/>
                <c:pt idx="0">
                  <c:v>NSW (SRS)</c:v>
                </c:pt>
                <c:pt idx="1">
                  <c:v>VIC (ERA)</c:v>
                </c:pt>
                <c:pt idx="2">
                  <c:v>QLD (ADA)</c:v>
                </c:pt>
                <c:pt idx="3">
                  <c:v>SA (ARAS)</c:v>
                </c:pt>
                <c:pt idx="4">
                  <c:v>ACT (ADACAS)</c:v>
                </c:pt>
                <c:pt idx="5">
                  <c:v>TAS (AdvoTas)</c:v>
                </c:pt>
                <c:pt idx="6">
                  <c:v>WA (Advocare)</c:v>
                </c:pt>
                <c:pt idx="7">
                  <c:v>NT (CC)</c:v>
                </c:pt>
                <c:pt idx="8">
                  <c:v>NT (DCLS)</c:v>
                </c:pt>
              </c:strCache>
            </c:strRef>
          </c:cat>
          <c:val>
            <c:numRef>
              <c:f>data!$S$3:$S$11</c:f>
              <c:numCache>
                <c:formatCode>#,##0</c:formatCode>
                <c:ptCount val="9"/>
                <c:pt idx="0">
                  <c:v>2250</c:v>
                </c:pt>
                <c:pt idx="1">
                  <c:v>2372</c:v>
                </c:pt>
                <c:pt idx="2">
                  <c:v>2577</c:v>
                </c:pt>
                <c:pt idx="3">
                  <c:v>1922</c:v>
                </c:pt>
                <c:pt idx="4">
                  <c:v>43</c:v>
                </c:pt>
                <c:pt idx="5">
                  <c:v>282</c:v>
                </c:pt>
                <c:pt idx="6">
                  <c:v>1977</c:v>
                </c:pt>
                <c:pt idx="7">
                  <c:v>85</c:v>
                </c:pt>
                <c:pt idx="8">
                  <c:v>341</c:v>
                </c:pt>
              </c:numCache>
            </c:numRef>
          </c:val>
          <c:extLst>
            <c:ext xmlns:c16="http://schemas.microsoft.com/office/drawing/2014/chart" uri="{C3380CC4-5D6E-409C-BE32-E72D297353CC}">
              <c16:uniqueId val="{00000000-BDD2-40F8-BDF3-AEDA4654550F}"/>
            </c:ext>
          </c:extLst>
        </c:ser>
        <c:ser>
          <c:idx val="1"/>
          <c:order val="1"/>
          <c:tx>
            <c:strRef>
              <c:f>data!$T$2</c:f>
              <c:strCache>
                <c:ptCount val="1"/>
                <c:pt idx="0">
                  <c:v>Advocacy</c:v>
                </c:pt>
              </c:strCache>
            </c:strRef>
          </c:tx>
          <c:spPr>
            <a:solidFill>
              <a:schemeClr val="accent4"/>
            </a:solidFill>
            <a:ln>
              <a:noFill/>
            </a:ln>
            <a:effectLst/>
          </c:spPr>
          <c:invertIfNegative val="0"/>
          <c:cat>
            <c:strRef>
              <c:f>data!$R$3:$R$11</c:f>
              <c:strCache>
                <c:ptCount val="9"/>
                <c:pt idx="0">
                  <c:v>NSW (SRS)</c:v>
                </c:pt>
                <c:pt idx="1">
                  <c:v>VIC (ERA)</c:v>
                </c:pt>
                <c:pt idx="2">
                  <c:v>QLD (ADA)</c:v>
                </c:pt>
                <c:pt idx="3">
                  <c:v>SA (ARAS)</c:v>
                </c:pt>
                <c:pt idx="4">
                  <c:v>ACT (ADACAS)</c:v>
                </c:pt>
                <c:pt idx="5">
                  <c:v>TAS (AdvoTas)</c:v>
                </c:pt>
                <c:pt idx="6">
                  <c:v>WA (Advocare)</c:v>
                </c:pt>
                <c:pt idx="7">
                  <c:v>NT (CC)</c:v>
                </c:pt>
                <c:pt idx="8">
                  <c:v>NT (DCLS)</c:v>
                </c:pt>
              </c:strCache>
            </c:strRef>
          </c:cat>
          <c:val>
            <c:numRef>
              <c:f>data!$T$3:$T$11</c:f>
              <c:numCache>
                <c:formatCode>#,##0</c:formatCode>
                <c:ptCount val="9"/>
                <c:pt idx="0">
                  <c:v>2576</c:v>
                </c:pt>
                <c:pt idx="1">
                  <c:v>1122</c:v>
                </c:pt>
                <c:pt idx="2">
                  <c:v>1177</c:v>
                </c:pt>
                <c:pt idx="3">
                  <c:v>1344</c:v>
                </c:pt>
                <c:pt idx="4">
                  <c:v>805</c:v>
                </c:pt>
                <c:pt idx="5">
                  <c:v>673</c:v>
                </c:pt>
                <c:pt idx="6">
                  <c:v>914</c:v>
                </c:pt>
                <c:pt idx="7">
                  <c:v>94</c:v>
                </c:pt>
                <c:pt idx="8">
                  <c:v>121</c:v>
                </c:pt>
              </c:numCache>
            </c:numRef>
          </c:val>
          <c:extLst>
            <c:ext xmlns:c16="http://schemas.microsoft.com/office/drawing/2014/chart" uri="{C3380CC4-5D6E-409C-BE32-E72D297353CC}">
              <c16:uniqueId val="{00000001-BDD2-40F8-BDF3-AEDA4654550F}"/>
            </c:ext>
          </c:extLst>
        </c:ser>
        <c:ser>
          <c:idx val="2"/>
          <c:order val="2"/>
          <c:tx>
            <c:strRef>
              <c:f>data!$U$2</c:f>
              <c:strCache>
                <c:ptCount val="1"/>
                <c:pt idx="0">
                  <c:v>Education</c:v>
                </c:pt>
              </c:strCache>
            </c:strRef>
          </c:tx>
          <c:spPr>
            <a:solidFill>
              <a:schemeClr val="accent6">
                <a:lumMod val="40000"/>
                <a:lumOff val="60000"/>
              </a:schemeClr>
            </a:solidFill>
            <a:ln>
              <a:noFill/>
            </a:ln>
            <a:effectLst/>
          </c:spPr>
          <c:invertIfNegative val="0"/>
          <c:cat>
            <c:strRef>
              <c:f>data!$R$3:$R$11</c:f>
              <c:strCache>
                <c:ptCount val="9"/>
                <c:pt idx="0">
                  <c:v>NSW (SRS)</c:v>
                </c:pt>
                <c:pt idx="1">
                  <c:v>VIC (ERA)</c:v>
                </c:pt>
                <c:pt idx="2">
                  <c:v>QLD (ADA)</c:v>
                </c:pt>
                <c:pt idx="3">
                  <c:v>SA (ARAS)</c:v>
                </c:pt>
                <c:pt idx="4">
                  <c:v>ACT (ADACAS)</c:v>
                </c:pt>
                <c:pt idx="5">
                  <c:v>TAS (AdvoTas)</c:v>
                </c:pt>
                <c:pt idx="6">
                  <c:v>WA (Advocare)</c:v>
                </c:pt>
                <c:pt idx="7">
                  <c:v>NT (CC)</c:v>
                </c:pt>
                <c:pt idx="8">
                  <c:v>NT (DCLS)</c:v>
                </c:pt>
              </c:strCache>
            </c:strRef>
          </c:cat>
          <c:val>
            <c:numRef>
              <c:f>data!$U$3:$U$11</c:f>
              <c:numCache>
                <c:formatCode>#,##0</c:formatCode>
                <c:ptCount val="9"/>
                <c:pt idx="0">
                  <c:v>251</c:v>
                </c:pt>
                <c:pt idx="1">
                  <c:v>124</c:v>
                </c:pt>
                <c:pt idx="2">
                  <c:v>303</c:v>
                </c:pt>
                <c:pt idx="3">
                  <c:v>344</c:v>
                </c:pt>
                <c:pt idx="4">
                  <c:v>25</c:v>
                </c:pt>
                <c:pt idx="5">
                  <c:v>98</c:v>
                </c:pt>
                <c:pt idx="6">
                  <c:v>98</c:v>
                </c:pt>
                <c:pt idx="7">
                  <c:v>43</c:v>
                </c:pt>
                <c:pt idx="8">
                  <c:v>24</c:v>
                </c:pt>
              </c:numCache>
            </c:numRef>
          </c:val>
          <c:extLst>
            <c:ext xmlns:c16="http://schemas.microsoft.com/office/drawing/2014/chart" uri="{C3380CC4-5D6E-409C-BE32-E72D297353CC}">
              <c16:uniqueId val="{00000002-BDD2-40F8-BDF3-AEDA4654550F}"/>
            </c:ext>
          </c:extLst>
        </c:ser>
        <c:dLbls>
          <c:showLegendKey val="0"/>
          <c:showVal val="0"/>
          <c:showCatName val="0"/>
          <c:showSerName val="0"/>
          <c:showPercent val="0"/>
          <c:showBubbleSize val="0"/>
        </c:dLbls>
        <c:gapWidth val="219"/>
        <c:overlap val="-27"/>
        <c:axId val="1075322528"/>
        <c:axId val="1075322944"/>
      </c:barChart>
      <c:catAx>
        <c:axId val="107532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75322944"/>
        <c:crosses val="autoZero"/>
        <c:auto val="1"/>
        <c:lblAlgn val="ctr"/>
        <c:lblOffset val="100"/>
        <c:noMultiLvlLbl val="0"/>
      </c:catAx>
      <c:valAx>
        <c:axId val="107532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753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r>
              <a:rPr lang="en-AU" b="1"/>
              <a:t>Community care</a:t>
            </a:r>
          </a:p>
        </c:rich>
      </c:tx>
      <c:overlay val="0"/>
      <c:spPr>
        <a:noFill/>
        <a:ln>
          <a:noFill/>
        </a:ln>
        <a:effectLst/>
      </c:spPr>
      <c:txPr>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Charts!$B$28</c:f>
              <c:strCache>
                <c:ptCount val="1"/>
                <c:pt idx="0">
                  <c:v>Male</c:v>
                </c:pt>
              </c:strCache>
            </c:strRef>
          </c:tx>
          <c:spPr>
            <a:solidFill>
              <a:schemeClr val="accent1"/>
            </a:solidFill>
            <a:ln>
              <a:noFill/>
            </a:ln>
            <a:effectLst/>
          </c:spPr>
          <c:invertIfNegative val="0"/>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Charts!$B$29:$B$39</c:f>
              <c:numCache>
                <c:formatCode>0%</c:formatCode>
                <c:ptCount val="11"/>
                <c:pt idx="0">
                  <c:v>0</c:v>
                </c:pt>
                <c:pt idx="1">
                  <c:v>5.6228023656216472E-2</c:v>
                </c:pt>
                <c:pt idx="2">
                  <c:v>5.1559149529445798E-2</c:v>
                </c:pt>
                <c:pt idx="3">
                  <c:v>3.9748033828029328E-2</c:v>
                </c:pt>
                <c:pt idx="4">
                  <c:v>4.7104542907632233E-2</c:v>
                </c:pt>
                <c:pt idx="5">
                  <c:v>2.4592588683953753E-2</c:v>
                </c:pt>
                <c:pt idx="6">
                  <c:v>2.1791619408305846E-2</c:v>
                </c:pt>
                <c:pt idx="7">
                  <c:v>1.558532404648936E-2</c:v>
                </c:pt>
                <c:pt idx="8">
                  <c:v>7.3664309797120027E-3</c:v>
                </c:pt>
                <c:pt idx="9">
                  <c:v>2.3646579811586927E-2</c:v>
                </c:pt>
                <c:pt idx="10">
                  <c:v>0</c:v>
                </c:pt>
              </c:numCache>
            </c:numRef>
          </c:val>
          <c:extLst>
            <c:ext xmlns:c16="http://schemas.microsoft.com/office/drawing/2014/chart" uri="{C3380CC4-5D6E-409C-BE32-E72D297353CC}">
              <c16:uniqueId val="{00000000-A04F-452A-BDEB-8D41AC9AF66D}"/>
            </c:ext>
          </c:extLst>
        </c:ser>
        <c:ser>
          <c:idx val="1"/>
          <c:order val="1"/>
          <c:tx>
            <c:strRef>
              <c:f>Charts!$C$28</c:f>
              <c:strCache>
                <c:ptCount val="1"/>
                <c:pt idx="0">
                  <c:v>Female</c:v>
                </c:pt>
              </c:strCache>
            </c:strRef>
          </c:tx>
          <c:spPr>
            <a:solidFill>
              <a:schemeClr val="accent4"/>
            </a:solidFill>
            <a:ln>
              <a:noFill/>
            </a:ln>
            <a:effectLst/>
          </c:spPr>
          <c:invertIfNegative val="0"/>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Charts!$C$29:$C$39</c:f>
              <c:numCache>
                <c:formatCode>0%</c:formatCode>
                <c:ptCount val="11"/>
                <c:pt idx="0">
                  <c:v>7.3769244711360926E-2</c:v>
                </c:pt>
                <c:pt idx="1">
                  <c:v>3.1731623644225097E-2</c:v>
                </c:pt>
                <c:pt idx="2">
                  <c:v>3.6112977536523969E-2</c:v>
                </c:pt>
                <c:pt idx="3">
                  <c:v>4.2406830503688209E-2</c:v>
                </c:pt>
                <c:pt idx="4">
                  <c:v>4.9461327399594426E-2</c:v>
                </c:pt>
                <c:pt idx="5">
                  <c:v>2.5648799423123852E-2</c:v>
                </c:pt>
                <c:pt idx="6">
                  <c:v>2.3681135369451819E-2</c:v>
                </c:pt>
                <c:pt idx="7">
                  <c:v>1.5357885734525345E-2</c:v>
                </c:pt>
                <c:pt idx="8">
                  <c:v>1.2321201472133085E-2</c:v>
                </c:pt>
                <c:pt idx="9">
                  <c:v>1.2597703530347346E-2</c:v>
                </c:pt>
                <c:pt idx="10">
                  <c:v>2.4381360540195556E-2</c:v>
                </c:pt>
              </c:numCache>
            </c:numRef>
          </c:val>
          <c:extLst>
            <c:ext xmlns:c16="http://schemas.microsoft.com/office/drawing/2014/chart" uri="{C3380CC4-5D6E-409C-BE32-E72D297353CC}">
              <c16:uniqueId val="{00000001-A04F-452A-BDEB-8D41AC9AF66D}"/>
            </c:ext>
          </c:extLst>
        </c:ser>
        <c:dLbls>
          <c:showLegendKey val="0"/>
          <c:showVal val="0"/>
          <c:showCatName val="0"/>
          <c:showSerName val="0"/>
          <c:showPercent val="0"/>
          <c:showBubbleSize val="0"/>
        </c:dLbls>
        <c:gapWidth val="219"/>
        <c:axId val="1955878688"/>
        <c:axId val="1955869952"/>
      </c:barChart>
      <c:lineChart>
        <c:grouping val="standard"/>
        <c:varyColors val="0"/>
        <c:ser>
          <c:idx val="2"/>
          <c:order val="2"/>
          <c:tx>
            <c:strRef>
              <c:f>Charts!$D$28</c:f>
              <c:strCache>
                <c:ptCount val="1"/>
                <c:pt idx="0">
                  <c:v>Average male</c:v>
                </c:pt>
              </c:strCache>
            </c:strRef>
          </c:tx>
          <c:spPr>
            <a:ln w="15875" cap="rnd">
              <a:solidFill>
                <a:schemeClr val="accent1"/>
              </a:solidFill>
              <a:prstDash val="sysDash"/>
              <a:round/>
            </a:ln>
            <a:effectLst/>
          </c:spPr>
          <c:marker>
            <c:symbol val="none"/>
          </c:marker>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Charts!$D$29:$D$39</c:f>
              <c:numCache>
                <c:formatCode>0.0%</c:formatCode>
                <c:ptCount val="11"/>
                <c:pt idx="0">
                  <c:v>2.6147481168306518E-2</c:v>
                </c:pt>
                <c:pt idx="1">
                  <c:v>2.6147481168306518E-2</c:v>
                </c:pt>
                <c:pt idx="2">
                  <c:v>2.6147481168306518E-2</c:v>
                </c:pt>
                <c:pt idx="3">
                  <c:v>2.6147481168306518E-2</c:v>
                </c:pt>
                <c:pt idx="4">
                  <c:v>2.6147481168306518E-2</c:v>
                </c:pt>
                <c:pt idx="5">
                  <c:v>2.6147481168306518E-2</c:v>
                </c:pt>
                <c:pt idx="6">
                  <c:v>2.6147481168306518E-2</c:v>
                </c:pt>
                <c:pt idx="7">
                  <c:v>2.6147481168306518E-2</c:v>
                </c:pt>
                <c:pt idx="8">
                  <c:v>2.6147481168306518E-2</c:v>
                </c:pt>
                <c:pt idx="9">
                  <c:v>2.6147481168306518E-2</c:v>
                </c:pt>
                <c:pt idx="10">
                  <c:v>2.6147481168306518E-2</c:v>
                </c:pt>
              </c:numCache>
            </c:numRef>
          </c:val>
          <c:smooth val="0"/>
          <c:extLst>
            <c:ext xmlns:c16="http://schemas.microsoft.com/office/drawing/2014/chart" uri="{C3380CC4-5D6E-409C-BE32-E72D297353CC}">
              <c16:uniqueId val="{00000002-A04F-452A-BDEB-8D41AC9AF66D}"/>
            </c:ext>
          </c:extLst>
        </c:ser>
        <c:ser>
          <c:idx val="3"/>
          <c:order val="3"/>
          <c:tx>
            <c:strRef>
              <c:f>Charts!$E$28</c:f>
              <c:strCache>
                <c:ptCount val="1"/>
                <c:pt idx="0">
                  <c:v>Average female</c:v>
                </c:pt>
              </c:strCache>
            </c:strRef>
          </c:tx>
          <c:spPr>
            <a:ln w="15875" cap="rnd">
              <a:solidFill>
                <a:schemeClr val="accent4"/>
              </a:solidFill>
              <a:prstDash val="sysDash"/>
              <a:round/>
            </a:ln>
            <a:effectLst/>
          </c:spPr>
          <c:marker>
            <c:symbol val="none"/>
          </c:marker>
          <c:cat>
            <c:strRef>
              <c:f>Charts!$A$29:$A$39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Charts!$E$29:$E$39</c:f>
              <c:numCache>
                <c:formatCode>0.0%</c:formatCode>
                <c:ptCount val="11"/>
                <c:pt idx="0">
                  <c:v>3.1588189987742696E-2</c:v>
                </c:pt>
                <c:pt idx="1">
                  <c:v>3.1588189987742696E-2</c:v>
                </c:pt>
                <c:pt idx="2">
                  <c:v>3.1588189987742696E-2</c:v>
                </c:pt>
                <c:pt idx="3">
                  <c:v>3.1588189987742696E-2</c:v>
                </c:pt>
                <c:pt idx="4">
                  <c:v>3.1588189987742696E-2</c:v>
                </c:pt>
                <c:pt idx="5">
                  <c:v>3.1588189987742696E-2</c:v>
                </c:pt>
                <c:pt idx="6">
                  <c:v>3.1588189987742696E-2</c:v>
                </c:pt>
                <c:pt idx="7">
                  <c:v>3.1588189987742696E-2</c:v>
                </c:pt>
                <c:pt idx="8">
                  <c:v>3.1588189987742696E-2</c:v>
                </c:pt>
                <c:pt idx="9">
                  <c:v>3.1588189987742696E-2</c:v>
                </c:pt>
                <c:pt idx="10">
                  <c:v>3.1588189987742696E-2</c:v>
                </c:pt>
              </c:numCache>
            </c:numRef>
          </c:val>
          <c:smooth val="0"/>
          <c:extLst>
            <c:ext xmlns:c16="http://schemas.microsoft.com/office/drawing/2014/chart" uri="{C3380CC4-5D6E-409C-BE32-E72D297353CC}">
              <c16:uniqueId val="{00000003-A04F-452A-BDEB-8D41AC9AF66D}"/>
            </c:ext>
          </c:extLst>
        </c:ser>
        <c:dLbls>
          <c:showLegendKey val="0"/>
          <c:showVal val="0"/>
          <c:showCatName val="0"/>
          <c:showSerName val="0"/>
          <c:showPercent val="0"/>
          <c:showBubbleSize val="0"/>
        </c:dLbls>
        <c:marker val="1"/>
        <c:smooth val="0"/>
        <c:axId val="1955878688"/>
        <c:axId val="1955869952"/>
      </c:lineChart>
      <c:catAx>
        <c:axId val="195587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955869952"/>
        <c:crosses val="autoZero"/>
        <c:auto val="1"/>
        <c:lblAlgn val="ctr"/>
        <c:lblOffset val="100"/>
        <c:noMultiLvlLbl val="0"/>
      </c:catAx>
      <c:valAx>
        <c:axId val="195586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955878688"/>
        <c:crosses val="autoZero"/>
        <c:crossBetween val="between"/>
      </c:valAx>
      <c:spPr>
        <a:noFill/>
        <a:ln>
          <a:noFill/>
        </a:ln>
        <a:effectLst/>
      </c:spPr>
    </c:plotArea>
    <c:legend>
      <c:legendPos val="b"/>
      <c:layout>
        <c:manualLayout>
          <c:xMode val="edge"/>
          <c:yMode val="edge"/>
          <c:x val="0"/>
          <c:y val="0.83866319724028049"/>
          <c:w val="1"/>
          <c:h val="9.269125737442576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r>
              <a:rPr lang="en-AU" b="1"/>
              <a:t>Residential aged care</a:t>
            </a:r>
          </a:p>
        </c:rich>
      </c:tx>
      <c:overlay val="0"/>
      <c:spPr>
        <a:noFill/>
        <a:ln>
          <a:noFill/>
        </a:ln>
        <a:effectLst/>
      </c:spPr>
      <c:txPr>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018615883877136"/>
          <c:y val="0.15123398305814673"/>
          <c:w val="0.85189051847752262"/>
          <c:h val="0.54869090231693562"/>
        </c:manualLayout>
      </c:layout>
      <c:barChart>
        <c:barDir val="col"/>
        <c:grouping val="clustered"/>
        <c:varyColors val="0"/>
        <c:ser>
          <c:idx val="0"/>
          <c:order val="0"/>
          <c:tx>
            <c:strRef>
              <c:f>Charts!$B$8</c:f>
              <c:strCache>
                <c:ptCount val="1"/>
                <c:pt idx="0">
                  <c:v>Male</c:v>
                </c:pt>
              </c:strCache>
            </c:strRef>
          </c:tx>
          <c:spPr>
            <a:solidFill>
              <a:schemeClr val="accent1"/>
            </a:solidFill>
            <a:ln>
              <a:noFill/>
            </a:ln>
            <a:effectLst/>
          </c:spPr>
          <c:invertIfNegative val="0"/>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Charts!$B$9:$B$19</c:f>
              <c:numCache>
                <c:formatCode>0%</c:formatCode>
                <c:ptCount val="11"/>
                <c:pt idx="0">
                  <c:v>0</c:v>
                </c:pt>
                <c:pt idx="1">
                  <c:v>0</c:v>
                </c:pt>
                <c:pt idx="2">
                  <c:v>0</c:v>
                </c:pt>
                <c:pt idx="3">
                  <c:v>7.5004419023101294E-3</c:v>
                </c:pt>
                <c:pt idx="4">
                  <c:v>2.0907134988174893E-2</c:v>
                </c:pt>
                <c:pt idx="5">
                  <c:v>2.6194168054703253E-2</c:v>
                </c:pt>
                <c:pt idx="6">
                  <c:v>1.8354779546328744E-2</c:v>
                </c:pt>
                <c:pt idx="7">
                  <c:v>1.1602722229947567E-2</c:v>
                </c:pt>
                <c:pt idx="8">
                  <c:v>5.4177704132314895E-3</c:v>
                </c:pt>
                <c:pt idx="9">
                  <c:v>1.1632406466278937E-2</c:v>
                </c:pt>
                <c:pt idx="10">
                  <c:v>2.1428987646647499E-2</c:v>
                </c:pt>
              </c:numCache>
            </c:numRef>
          </c:val>
          <c:extLst>
            <c:ext xmlns:c16="http://schemas.microsoft.com/office/drawing/2014/chart" uri="{C3380CC4-5D6E-409C-BE32-E72D297353CC}">
              <c16:uniqueId val="{00000000-9E7C-4FD6-83EC-BA5DA1B73DF9}"/>
            </c:ext>
          </c:extLst>
        </c:ser>
        <c:ser>
          <c:idx val="1"/>
          <c:order val="1"/>
          <c:tx>
            <c:strRef>
              <c:f>Charts!$C$8</c:f>
              <c:strCache>
                <c:ptCount val="1"/>
                <c:pt idx="0">
                  <c:v>Female</c:v>
                </c:pt>
              </c:strCache>
            </c:strRef>
          </c:tx>
          <c:spPr>
            <a:solidFill>
              <a:schemeClr val="accent4"/>
            </a:solidFill>
            <a:ln>
              <a:noFill/>
            </a:ln>
            <a:effectLst/>
          </c:spPr>
          <c:invertIfNegative val="0"/>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Charts!$C$9:$C$19</c:f>
              <c:numCache>
                <c:formatCode>0%</c:formatCode>
                <c:ptCount val="11"/>
                <c:pt idx="0">
                  <c:v>0</c:v>
                </c:pt>
                <c:pt idx="1">
                  <c:v>1.4468852459016392E-2</c:v>
                </c:pt>
                <c:pt idx="2">
                  <c:v>1.4331272245459976E-2</c:v>
                </c:pt>
                <c:pt idx="3">
                  <c:v>1.9573664040877153E-2</c:v>
                </c:pt>
                <c:pt idx="4">
                  <c:v>1.9991966367469225E-2</c:v>
                </c:pt>
                <c:pt idx="5">
                  <c:v>8.4809754161256461E-3</c:v>
                </c:pt>
                <c:pt idx="6">
                  <c:v>1.3235789253703617E-2</c:v>
                </c:pt>
                <c:pt idx="7">
                  <c:v>6.6321148591677774E-3</c:v>
                </c:pt>
                <c:pt idx="8">
                  <c:v>4.7615547722557518E-3</c:v>
                </c:pt>
                <c:pt idx="9">
                  <c:v>3.7054016746098121E-3</c:v>
                </c:pt>
                <c:pt idx="10">
                  <c:v>1.5531185550683118E-2</c:v>
                </c:pt>
              </c:numCache>
            </c:numRef>
          </c:val>
          <c:extLst>
            <c:ext xmlns:c16="http://schemas.microsoft.com/office/drawing/2014/chart" uri="{C3380CC4-5D6E-409C-BE32-E72D297353CC}">
              <c16:uniqueId val="{00000001-9E7C-4FD6-83EC-BA5DA1B73DF9}"/>
            </c:ext>
          </c:extLst>
        </c:ser>
        <c:dLbls>
          <c:showLegendKey val="0"/>
          <c:showVal val="0"/>
          <c:showCatName val="0"/>
          <c:showSerName val="0"/>
          <c:showPercent val="0"/>
          <c:showBubbleSize val="0"/>
        </c:dLbls>
        <c:gapWidth val="219"/>
        <c:axId val="496632032"/>
        <c:axId val="496636192"/>
      </c:barChart>
      <c:lineChart>
        <c:grouping val="standard"/>
        <c:varyColors val="0"/>
        <c:ser>
          <c:idx val="2"/>
          <c:order val="2"/>
          <c:tx>
            <c:strRef>
              <c:f>Charts!$D$8</c:f>
              <c:strCache>
                <c:ptCount val="1"/>
                <c:pt idx="0">
                  <c:v>Average male</c:v>
                </c:pt>
              </c:strCache>
            </c:strRef>
          </c:tx>
          <c:spPr>
            <a:ln w="15875" cap="rnd">
              <a:solidFill>
                <a:schemeClr val="accent1"/>
              </a:solidFill>
              <a:prstDash val="sysDash"/>
              <a:round/>
            </a:ln>
            <a:effectLst/>
          </c:spPr>
          <c:marker>
            <c:symbol val="none"/>
          </c:marker>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Charts!$D$9:$D$19</c:f>
              <c:numCache>
                <c:formatCode>0.0%</c:formatCode>
                <c:ptCount val="11"/>
                <c:pt idx="0">
                  <c:v>1.1185310113420228E-2</c:v>
                </c:pt>
                <c:pt idx="1">
                  <c:v>1.1185310113420228E-2</c:v>
                </c:pt>
                <c:pt idx="2">
                  <c:v>1.1185310113420228E-2</c:v>
                </c:pt>
                <c:pt idx="3">
                  <c:v>1.1185310113420228E-2</c:v>
                </c:pt>
                <c:pt idx="4">
                  <c:v>1.1185310113420228E-2</c:v>
                </c:pt>
                <c:pt idx="5">
                  <c:v>1.1185310113420228E-2</c:v>
                </c:pt>
                <c:pt idx="6">
                  <c:v>1.1185310113420228E-2</c:v>
                </c:pt>
                <c:pt idx="7">
                  <c:v>1.1185310113420228E-2</c:v>
                </c:pt>
                <c:pt idx="8">
                  <c:v>1.1185310113420228E-2</c:v>
                </c:pt>
                <c:pt idx="9">
                  <c:v>1.1185310113420228E-2</c:v>
                </c:pt>
                <c:pt idx="10">
                  <c:v>1.1185310113420228E-2</c:v>
                </c:pt>
              </c:numCache>
            </c:numRef>
          </c:val>
          <c:smooth val="0"/>
          <c:extLst>
            <c:ext xmlns:c16="http://schemas.microsoft.com/office/drawing/2014/chart" uri="{C3380CC4-5D6E-409C-BE32-E72D297353CC}">
              <c16:uniqueId val="{00000002-9E7C-4FD6-83EC-BA5DA1B73DF9}"/>
            </c:ext>
          </c:extLst>
        </c:ser>
        <c:ser>
          <c:idx val="3"/>
          <c:order val="3"/>
          <c:tx>
            <c:strRef>
              <c:f>Charts!$E$8</c:f>
              <c:strCache>
                <c:ptCount val="1"/>
                <c:pt idx="0">
                  <c:v>Average female</c:v>
                </c:pt>
              </c:strCache>
            </c:strRef>
          </c:tx>
          <c:spPr>
            <a:ln w="15875" cap="rnd">
              <a:solidFill>
                <a:schemeClr val="accent4"/>
              </a:solidFill>
              <a:prstDash val="sysDash"/>
              <a:round/>
            </a:ln>
            <a:effectLst/>
          </c:spPr>
          <c:marker>
            <c:symbol val="none"/>
          </c:marker>
          <c:cat>
            <c:strRef>
              <c:f>Charts!$A$9:$A$19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Charts!$E$9:$E$19</c:f>
              <c:numCache>
                <c:formatCode>0.0%</c:formatCode>
                <c:ptCount val="11"/>
                <c:pt idx="0">
                  <c:v>1.0973888785397132E-2</c:v>
                </c:pt>
                <c:pt idx="1">
                  <c:v>1.0973888785397132E-2</c:v>
                </c:pt>
                <c:pt idx="2">
                  <c:v>1.0973888785397132E-2</c:v>
                </c:pt>
                <c:pt idx="3">
                  <c:v>1.0973888785397132E-2</c:v>
                </c:pt>
                <c:pt idx="4">
                  <c:v>1.0973888785397132E-2</c:v>
                </c:pt>
                <c:pt idx="5">
                  <c:v>1.0973888785397132E-2</c:v>
                </c:pt>
                <c:pt idx="6">
                  <c:v>1.0973888785397132E-2</c:v>
                </c:pt>
                <c:pt idx="7">
                  <c:v>1.0973888785397132E-2</c:v>
                </c:pt>
                <c:pt idx="8">
                  <c:v>1.0973888785397132E-2</c:v>
                </c:pt>
                <c:pt idx="9">
                  <c:v>1.0973888785397132E-2</c:v>
                </c:pt>
                <c:pt idx="10">
                  <c:v>1.0973888785397132E-2</c:v>
                </c:pt>
              </c:numCache>
            </c:numRef>
          </c:val>
          <c:smooth val="0"/>
          <c:extLst>
            <c:ext xmlns:c16="http://schemas.microsoft.com/office/drawing/2014/chart" uri="{C3380CC4-5D6E-409C-BE32-E72D297353CC}">
              <c16:uniqueId val="{00000003-9E7C-4FD6-83EC-BA5DA1B73DF9}"/>
            </c:ext>
          </c:extLst>
        </c:ser>
        <c:dLbls>
          <c:showLegendKey val="0"/>
          <c:showVal val="0"/>
          <c:showCatName val="0"/>
          <c:showSerName val="0"/>
          <c:showPercent val="0"/>
          <c:showBubbleSize val="0"/>
        </c:dLbls>
        <c:marker val="1"/>
        <c:smooth val="0"/>
        <c:axId val="496632032"/>
        <c:axId val="496636192"/>
      </c:lineChart>
      <c:catAx>
        <c:axId val="4966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496636192"/>
        <c:crosses val="autoZero"/>
        <c:auto val="1"/>
        <c:lblAlgn val="ctr"/>
        <c:lblOffset val="100"/>
        <c:noMultiLvlLbl val="0"/>
      </c:catAx>
      <c:valAx>
        <c:axId val="496636192"/>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496632032"/>
        <c:crosses val="autoZero"/>
        <c:crossBetween val="between"/>
      </c:valAx>
      <c:spPr>
        <a:noFill/>
        <a:ln>
          <a:noFill/>
        </a:ln>
        <a:effectLst/>
      </c:spPr>
    </c:plotArea>
    <c:legend>
      <c:legendPos val="b"/>
      <c:layout>
        <c:manualLayout>
          <c:xMode val="edge"/>
          <c:yMode val="edge"/>
          <c:x val="0"/>
          <c:y val="0.85577591404483244"/>
          <c:w val="0.99656251899052861"/>
          <c:h val="0.1160406780747420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r>
              <a:rPr lang="en-AU" b="1"/>
              <a:t>Community care</a:t>
            </a:r>
          </a:p>
        </c:rich>
      </c:tx>
      <c:overlay val="0"/>
      <c:spPr>
        <a:noFill/>
        <a:ln>
          <a:noFill/>
        </a:ln>
        <a:effectLst/>
      </c:spPr>
      <c:txPr>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8304939437207089E-2"/>
          <c:y val="0.13856622114216283"/>
          <c:w val="0.86837944725308625"/>
          <c:h val="0.55996593985897569"/>
        </c:manualLayout>
      </c:layout>
      <c:barChart>
        <c:barDir val="col"/>
        <c:grouping val="clustered"/>
        <c:varyColors val="0"/>
        <c:ser>
          <c:idx val="0"/>
          <c:order val="0"/>
          <c:tx>
            <c:strRef>
              <c:f>Charts!$B$116</c:f>
              <c:strCache>
                <c:ptCount val="1"/>
                <c:pt idx="0">
                  <c:v>Male</c:v>
                </c:pt>
              </c:strCache>
            </c:strRef>
          </c:tx>
          <c:spPr>
            <a:solidFill>
              <a:schemeClr val="accent1"/>
            </a:solidFill>
            <a:ln>
              <a:noFill/>
            </a:ln>
            <a:effectLst/>
          </c:spPr>
          <c:invertIfNegative val="0"/>
          <c:cat>
            <c:strRef>
              <c:f>Charts!$A$117:$A$127</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Charts!$B$117:$B$127</c:f>
              <c:numCache>
                <c:formatCode>0%</c:formatCode>
                <c:ptCount val="11"/>
                <c:pt idx="0">
                  <c:v>2.2998400493412126E-2</c:v>
                </c:pt>
                <c:pt idx="1">
                  <c:v>1.0077825411883455E-2</c:v>
                </c:pt>
                <c:pt idx="2">
                  <c:v>1.5858312468427345E-2</c:v>
                </c:pt>
                <c:pt idx="3">
                  <c:v>1.8795903950348618E-2</c:v>
                </c:pt>
                <c:pt idx="4">
                  <c:v>3.8689957404176509E-2</c:v>
                </c:pt>
                <c:pt idx="5">
                  <c:v>5.3452927005081113E-2</c:v>
                </c:pt>
                <c:pt idx="6">
                  <c:v>1.4087740594387022E-2</c:v>
                </c:pt>
                <c:pt idx="7">
                  <c:v>1.2389669187441107E-2</c:v>
                </c:pt>
                <c:pt idx="8">
                  <c:v>1.344607398785431E-2</c:v>
                </c:pt>
                <c:pt idx="9">
                  <c:v>1.9249777343295409E-2</c:v>
                </c:pt>
                <c:pt idx="10">
                  <c:v>0</c:v>
                </c:pt>
              </c:numCache>
            </c:numRef>
          </c:val>
          <c:extLst>
            <c:ext xmlns:c16="http://schemas.microsoft.com/office/drawing/2014/chart" uri="{C3380CC4-5D6E-409C-BE32-E72D297353CC}">
              <c16:uniqueId val="{00000000-3942-4782-8F33-4D8CE2232346}"/>
            </c:ext>
          </c:extLst>
        </c:ser>
        <c:ser>
          <c:idx val="1"/>
          <c:order val="1"/>
          <c:tx>
            <c:strRef>
              <c:f>Charts!$C$116</c:f>
              <c:strCache>
                <c:ptCount val="1"/>
                <c:pt idx="0">
                  <c:v>Female</c:v>
                </c:pt>
              </c:strCache>
            </c:strRef>
          </c:tx>
          <c:spPr>
            <a:solidFill>
              <a:schemeClr val="accent4"/>
            </a:solidFill>
            <a:ln>
              <a:noFill/>
            </a:ln>
            <a:effectLst/>
          </c:spPr>
          <c:invertIfNegative val="0"/>
          <c:cat>
            <c:strRef>
              <c:f>Charts!$A$117:$A$127</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Charts!$C$117:$C$127</c:f>
              <c:numCache>
                <c:formatCode>0%</c:formatCode>
                <c:ptCount val="11"/>
                <c:pt idx="0">
                  <c:v>7.3972452472170899E-4</c:v>
                </c:pt>
                <c:pt idx="1">
                  <c:v>1.0897318924116026E-2</c:v>
                </c:pt>
                <c:pt idx="2">
                  <c:v>4.8658496344269227E-3</c:v>
                </c:pt>
                <c:pt idx="3">
                  <c:v>1.4323592262755872E-2</c:v>
                </c:pt>
                <c:pt idx="4">
                  <c:v>3.1686498028931073E-2</c:v>
                </c:pt>
                <c:pt idx="5">
                  <c:v>4.0126568792330654E-2</c:v>
                </c:pt>
                <c:pt idx="6">
                  <c:v>1.7192111086190977E-2</c:v>
                </c:pt>
                <c:pt idx="7">
                  <c:v>1.1683493326511991E-2</c:v>
                </c:pt>
                <c:pt idx="8">
                  <c:v>1.0727515358880207E-2</c:v>
                </c:pt>
                <c:pt idx="9">
                  <c:v>2.0030929694955762E-2</c:v>
                </c:pt>
                <c:pt idx="10">
                  <c:v>1.2742985729049914E-2</c:v>
                </c:pt>
              </c:numCache>
            </c:numRef>
          </c:val>
          <c:extLst>
            <c:ext xmlns:c16="http://schemas.microsoft.com/office/drawing/2014/chart" uri="{C3380CC4-5D6E-409C-BE32-E72D297353CC}">
              <c16:uniqueId val="{00000001-3942-4782-8F33-4D8CE2232346}"/>
            </c:ext>
          </c:extLst>
        </c:ser>
        <c:dLbls>
          <c:showLegendKey val="0"/>
          <c:showVal val="0"/>
          <c:showCatName val="0"/>
          <c:showSerName val="0"/>
          <c:showPercent val="0"/>
          <c:showBubbleSize val="0"/>
        </c:dLbls>
        <c:gapWidth val="219"/>
        <c:axId val="310843520"/>
        <c:axId val="310843936"/>
      </c:barChart>
      <c:lineChart>
        <c:grouping val="standard"/>
        <c:varyColors val="0"/>
        <c:ser>
          <c:idx val="2"/>
          <c:order val="2"/>
          <c:tx>
            <c:strRef>
              <c:f>Charts!$D$116</c:f>
              <c:strCache>
                <c:ptCount val="1"/>
                <c:pt idx="0">
                  <c:v>Average male</c:v>
                </c:pt>
              </c:strCache>
            </c:strRef>
          </c:tx>
          <c:spPr>
            <a:ln w="15875" cap="rnd">
              <a:solidFill>
                <a:schemeClr val="accent1"/>
              </a:solidFill>
              <a:prstDash val="sysDash"/>
              <a:round/>
            </a:ln>
            <a:effectLst/>
          </c:spPr>
          <c:marker>
            <c:symbol val="none"/>
          </c:marker>
          <c:cat>
            <c:strRef>
              <c:f>Charts!$A$117:$A$127</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Charts!$D$117:$D$127</c:f>
              <c:numCache>
                <c:formatCode>0.0%</c:formatCode>
                <c:ptCount val="11"/>
                <c:pt idx="0">
                  <c:v>1.9913326167846093E-2</c:v>
                </c:pt>
                <c:pt idx="1">
                  <c:v>1.9913326167846093E-2</c:v>
                </c:pt>
                <c:pt idx="2">
                  <c:v>1.9913326167846093E-2</c:v>
                </c:pt>
                <c:pt idx="3">
                  <c:v>1.9913326167846093E-2</c:v>
                </c:pt>
                <c:pt idx="4">
                  <c:v>1.9913326167846093E-2</c:v>
                </c:pt>
                <c:pt idx="5">
                  <c:v>1.9913326167846093E-2</c:v>
                </c:pt>
                <c:pt idx="6">
                  <c:v>1.9913326167846093E-2</c:v>
                </c:pt>
                <c:pt idx="7">
                  <c:v>1.9913326167846093E-2</c:v>
                </c:pt>
                <c:pt idx="8">
                  <c:v>1.9913326167846093E-2</c:v>
                </c:pt>
                <c:pt idx="9">
                  <c:v>1.9913326167846093E-2</c:v>
                </c:pt>
                <c:pt idx="10">
                  <c:v>1.9913326167846093E-2</c:v>
                </c:pt>
              </c:numCache>
            </c:numRef>
          </c:val>
          <c:smooth val="0"/>
          <c:extLst>
            <c:ext xmlns:c16="http://schemas.microsoft.com/office/drawing/2014/chart" uri="{C3380CC4-5D6E-409C-BE32-E72D297353CC}">
              <c16:uniqueId val="{00000002-3942-4782-8F33-4D8CE2232346}"/>
            </c:ext>
          </c:extLst>
        </c:ser>
        <c:ser>
          <c:idx val="3"/>
          <c:order val="3"/>
          <c:tx>
            <c:strRef>
              <c:f>Charts!$E$116</c:f>
              <c:strCache>
                <c:ptCount val="1"/>
                <c:pt idx="0">
                  <c:v>Average female</c:v>
                </c:pt>
              </c:strCache>
            </c:strRef>
          </c:tx>
          <c:spPr>
            <a:ln w="15875" cap="rnd">
              <a:solidFill>
                <a:schemeClr val="accent4"/>
              </a:solidFill>
              <a:prstDash val="sysDash"/>
              <a:round/>
            </a:ln>
            <a:effectLst/>
          </c:spPr>
          <c:marker>
            <c:symbol val="none"/>
          </c:marker>
          <c:cat>
            <c:strRef>
              <c:f>Charts!$A$117:$A$127</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Charts!$E$117:$E$127</c:f>
              <c:numCache>
                <c:formatCode>0.0%</c:formatCode>
                <c:ptCount val="11"/>
                <c:pt idx="0">
                  <c:v>1.5910598851170101E-2</c:v>
                </c:pt>
                <c:pt idx="1">
                  <c:v>1.5910598851170101E-2</c:v>
                </c:pt>
                <c:pt idx="2">
                  <c:v>1.5910598851170101E-2</c:v>
                </c:pt>
                <c:pt idx="3">
                  <c:v>1.5910598851170101E-2</c:v>
                </c:pt>
                <c:pt idx="4">
                  <c:v>1.5910598851170101E-2</c:v>
                </c:pt>
                <c:pt idx="5">
                  <c:v>1.5910598851170101E-2</c:v>
                </c:pt>
                <c:pt idx="6">
                  <c:v>1.5910598851170101E-2</c:v>
                </c:pt>
                <c:pt idx="7">
                  <c:v>1.5910598851170101E-2</c:v>
                </c:pt>
                <c:pt idx="8">
                  <c:v>1.5910598851170101E-2</c:v>
                </c:pt>
                <c:pt idx="9">
                  <c:v>1.5910598851170101E-2</c:v>
                </c:pt>
                <c:pt idx="10">
                  <c:v>1.5910598851170101E-2</c:v>
                </c:pt>
              </c:numCache>
            </c:numRef>
          </c:val>
          <c:smooth val="0"/>
          <c:extLst>
            <c:ext xmlns:c16="http://schemas.microsoft.com/office/drawing/2014/chart" uri="{C3380CC4-5D6E-409C-BE32-E72D297353CC}">
              <c16:uniqueId val="{00000003-3942-4782-8F33-4D8CE2232346}"/>
            </c:ext>
          </c:extLst>
        </c:ser>
        <c:dLbls>
          <c:showLegendKey val="0"/>
          <c:showVal val="0"/>
          <c:showCatName val="0"/>
          <c:showSerName val="0"/>
          <c:showPercent val="0"/>
          <c:showBubbleSize val="0"/>
        </c:dLbls>
        <c:marker val="1"/>
        <c:smooth val="0"/>
        <c:axId val="310843520"/>
        <c:axId val="310843936"/>
      </c:lineChart>
      <c:catAx>
        <c:axId val="31084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10843936"/>
        <c:crosses val="autoZero"/>
        <c:auto val="1"/>
        <c:lblAlgn val="ctr"/>
        <c:lblOffset val="100"/>
        <c:noMultiLvlLbl val="0"/>
      </c:catAx>
      <c:valAx>
        <c:axId val="31084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10843520"/>
        <c:crosses val="autoZero"/>
        <c:crossBetween val="between"/>
      </c:valAx>
      <c:spPr>
        <a:noFill/>
        <a:ln>
          <a:noFill/>
        </a:ln>
        <a:effectLst/>
      </c:spPr>
    </c:plotArea>
    <c:legend>
      <c:legendPos val="b"/>
      <c:layout>
        <c:manualLayout>
          <c:xMode val="edge"/>
          <c:yMode val="edge"/>
          <c:x val="1.5397303561972067E-3"/>
          <c:y val="0.86007481750078929"/>
          <c:w val="0.99347715493666933"/>
          <c:h val="9.270634609312961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r>
              <a:rPr lang="en-AU" b="1"/>
              <a:t>Residential aged care </a:t>
            </a:r>
          </a:p>
        </c:rich>
      </c:tx>
      <c:overlay val="0"/>
      <c:spPr>
        <a:noFill/>
        <a:ln>
          <a:noFill/>
        </a:ln>
        <a:effectLst/>
      </c:spPr>
      <c:txPr>
        <a:bodyPr rot="0" spcFirstLastPara="1" vertOverflow="ellipsis" vert="horz" wrap="square" anchor="ctr" anchorCtr="1"/>
        <a:lstStyle/>
        <a:p>
          <a:pPr>
            <a:defRPr sz="84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327959725495409"/>
          <c:y val="0.14792256466821965"/>
          <c:w val="0.85143427676727734"/>
          <c:h val="0.57641008359896795"/>
        </c:manualLayout>
      </c:layout>
      <c:barChart>
        <c:barDir val="col"/>
        <c:grouping val="clustered"/>
        <c:varyColors val="0"/>
        <c:ser>
          <c:idx val="0"/>
          <c:order val="0"/>
          <c:tx>
            <c:strRef>
              <c:f>Charts!$B$98</c:f>
              <c:strCache>
                <c:ptCount val="1"/>
                <c:pt idx="0">
                  <c:v>Male</c:v>
                </c:pt>
              </c:strCache>
            </c:strRef>
          </c:tx>
          <c:spPr>
            <a:solidFill>
              <a:schemeClr val="accent1"/>
            </a:solidFill>
            <a:ln>
              <a:noFill/>
            </a:ln>
            <a:effectLst/>
          </c:spPr>
          <c:invertIfNegative val="0"/>
          <c:cat>
            <c:strRef>
              <c:f>Charts!$A$99:$A$109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Charts!$B$99:$B$109</c:f>
              <c:numCache>
                <c:formatCode>0%</c:formatCode>
                <c:ptCount val="11"/>
                <c:pt idx="0">
                  <c:v>0</c:v>
                </c:pt>
                <c:pt idx="1">
                  <c:v>7.1073175559561051E-3</c:v>
                </c:pt>
                <c:pt idx="2">
                  <c:v>3.0871104994845263E-3</c:v>
                </c:pt>
                <c:pt idx="3">
                  <c:v>1.4373798153668484E-2</c:v>
                </c:pt>
                <c:pt idx="4">
                  <c:v>2.1167795523950941E-2</c:v>
                </c:pt>
                <c:pt idx="5">
                  <c:v>4.633692328147853E-2</c:v>
                </c:pt>
                <c:pt idx="6">
                  <c:v>1.9953807021593092E-2</c:v>
                </c:pt>
                <c:pt idx="7">
                  <c:v>1.8192584890896268E-2</c:v>
                </c:pt>
                <c:pt idx="8">
                  <c:v>8.4831967239418771E-3</c:v>
                </c:pt>
                <c:pt idx="9">
                  <c:v>8.5115933169476916E-3</c:v>
                </c:pt>
                <c:pt idx="10">
                  <c:v>1.1199919845286279E-2</c:v>
                </c:pt>
              </c:numCache>
            </c:numRef>
          </c:val>
          <c:extLst>
            <c:ext xmlns:c16="http://schemas.microsoft.com/office/drawing/2014/chart" uri="{C3380CC4-5D6E-409C-BE32-E72D297353CC}">
              <c16:uniqueId val="{00000000-3306-400B-8823-5F60A76C9172}"/>
            </c:ext>
          </c:extLst>
        </c:ser>
        <c:ser>
          <c:idx val="1"/>
          <c:order val="1"/>
          <c:tx>
            <c:strRef>
              <c:f>Charts!$C$98</c:f>
              <c:strCache>
                <c:ptCount val="1"/>
                <c:pt idx="0">
                  <c:v>Female</c:v>
                </c:pt>
              </c:strCache>
            </c:strRef>
          </c:tx>
          <c:spPr>
            <a:solidFill>
              <a:schemeClr val="accent4"/>
            </a:solidFill>
            <a:ln>
              <a:noFill/>
            </a:ln>
            <a:effectLst/>
          </c:spPr>
          <c:invertIfNegative val="0"/>
          <c:cat>
            <c:strRef>
              <c:f>Charts!$A$99:$A$109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Charts!$C$99:$C$109</c:f>
              <c:numCache>
                <c:formatCode>0%</c:formatCode>
                <c:ptCount val="11"/>
                <c:pt idx="0">
                  <c:v>1.8981390259882772E-2</c:v>
                </c:pt>
                <c:pt idx="1">
                  <c:v>2.1763063422417233E-4</c:v>
                </c:pt>
                <c:pt idx="2">
                  <c:v>1.8617917374931809E-2</c:v>
                </c:pt>
                <c:pt idx="3">
                  <c:v>3.9585635175127455E-2</c:v>
                </c:pt>
                <c:pt idx="4">
                  <c:v>3.8888782742146605E-2</c:v>
                </c:pt>
                <c:pt idx="5">
                  <c:v>3.6608826175956191E-2</c:v>
                </c:pt>
                <c:pt idx="6">
                  <c:v>1.898559387821748E-2</c:v>
                </c:pt>
                <c:pt idx="7">
                  <c:v>9.1660953997026815E-3</c:v>
                </c:pt>
                <c:pt idx="8">
                  <c:v>7.1383722183226746E-3</c:v>
                </c:pt>
                <c:pt idx="9">
                  <c:v>8.1598744712646568E-3</c:v>
                </c:pt>
                <c:pt idx="10">
                  <c:v>1.1884113918554881E-2</c:v>
                </c:pt>
              </c:numCache>
            </c:numRef>
          </c:val>
          <c:extLst>
            <c:ext xmlns:c16="http://schemas.microsoft.com/office/drawing/2014/chart" uri="{C3380CC4-5D6E-409C-BE32-E72D297353CC}">
              <c16:uniqueId val="{00000001-3306-400B-8823-5F60A76C9172}"/>
            </c:ext>
          </c:extLst>
        </c:ser>
        <c:dLbls>
          <c:showLegendKey val="0"/>
          <c:showVal val="0"/>
          <c:showCatName val="0"/>
          <c:showSerName val="0"/>
          <c:showPercent val="0"/>
          <c:showBubbleSize val="0"/>
        </c:dLbls>
        <c:gapWidth val="219"/>
        <c:axId val="1332574848"/>
        <c:axId val="1332587328"/>
      </c:barChart>
      <c:lineChart>
        <c:grouping val="standard"/>
        <c:varyColors val="0"/>
        <c:ser>
          <c:idx val="2"/>
          <c:order val="2"/>
          <c:tx>
            <c:strRef>
              <c:f>Charts!$D$98</c:f>
              <c:strCache>
                <c:ptCount val="1"/>
                <c:pt idx="0">
                  <c:v>Average male</c:v>
                </c:pt>
              </c:strCache>
            </c:strRef>
          </c:tx>
          <c:spPr>
            <a:ln w="15875" cap="rnd">
              <a:solidFill>
                <a:schemeClr val="accent1"/>
              </a:solidFill>
              <a:prstDash val="sysDash"/>
              <a:round/>
            </a:ln>
            <a:effectLst/>
          </c:spPr>
          <c:marker>
            <c:symbol val="none"/>
          </c:marker>
          <c:cat>
            <c:strRef>
              <c:f>Charts!$A$99:$A$109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Charts!$D$99:$D$109</c:f>
              <c:numCache>
                <c:formatCode>0.0%</c:formatCode>
                <c:ptCount val="11"/>
                <c:pt idx="0">
                  <c:v>1.4401276983018529E-2</c:v>
                </c:pt>
                <c:pt idx="1">
                  <c:v>1.4401276983018529E-2</c:v>
                </c:pt>
                <c:pt idx="2">
                  <c:v>1.4401276983018529E-2</c:v>
                </c:pt>
                <c:pt idx="3">
                  <c:v>1.4401276983018529E-2</c:v>
                </c:pt>
                <c:pt idx="4">
                  <c:v>1.4401276983018529E-2</c:v>
                </c:pt>
                <c:pt idx="5">
                  <c:v>1.4401276983018529E-2</c:v>
                </c:pt>
                <c:pt idx="6">
                  <c:v>1.4401276983018529E-2</c:v>
                </c:pt>
                <c:pt idx="7">
                  <c:v>1.4401276983018529E-2</c:v>
                </c:pt>
                <c:pt idx="8">
                  <c:v>1.4401276983018529E-2</c:v>
                </c:pt>
                <c:pt idx="9">
                  <c:v>1.4401276983018529E-2</c:v>
                </c:pt>
                <c:pt idx="10">
                  <c:v>1.4401276983018529E-2</c:v>
                </c:pt>
              </c:numCache>
            </c:numRef>
          </c:val>
          <c:smooth val="0"/>
          <c:extLst>
            <c:ext xmlns:c16="http://schemas.microsoft.com/office/drawing/2014/chart" uri="{C3380CC4-5D6E-409C-BE32-E72D297353CC}">
              <c16:uniqueId val="{00000002-3306-400B-8823-5F60A76C9172}"/>
            </c:ext>
          </c:extLst>
        </c:ser>
        <c:ser>
          <c:idx val="3"/>
          <c:order val="3"/>
          <c:tx>
            <c:strRef>
              <c:f>Charts!$E$98</c:f>
              <c:strCache>
                <c:ptCount val="1"/>
                <c:pt idx="0">
                  <c:v>Average female</c:v>
                </c:pt>
              </c:strCache>
            </c:strRef>
          </c:tx>
          <c:spPr>
            <a:ln w="15875" cap="rnd">
              <a:solidFill>
                <a:schemeClr val="accent4"/>
              </a:solidFill>
              <a:prstDash val="sysDash"/>
              <a:round/>
            </a:ln>
            <a:effectLst/>
          </c:spPr>
          <c:marker>
            <c:symbol val="none"/>
          </c:marker>
          <c:cat>
            <c:strRef>
              <c:f>Charts!$A$99:$A$109</c:f>
              <c:strCache>
                <c:ptCount val="11"/>
                <c:pt idx="0">
                  <c:v>50-54</c:v>
                </c:pt>
                <c:pt idx="1">
                  <c:v>55-59</c:v>
                </c:pt>
                <c:pt idx="2">
                  <c:v>60-64</c:v>
                </c:pt>
                <c:pt idx="3">
                  <c:v>65-69</c:v>
                </c:pt>
                <c:pt idx="4">
                  <c:v>70-74</c:v>
                </c:pt>
                <c:pt idx="5">
                  <c:v>75-79</c:v>
                </c:pt>
                <c:pt idx="6">
                  <c:v>80-84</c:v>
                </c:pt>
                <c:pt idx="7">
                  <c:v>85-89</c:v>
                </c:pt>
                <c:pt idx="8">
                  <c:v>90-94</c:v>
                </c:pt>
                <c:pt idx="9">
                  <c:v>95-99</c:v>
                </c:pt>
                <c:pt idx="10">
                  <c:v>100+</c:v>
                </c:pt>
              </c:strCache>
            </c:strRef>
          </c:cat>
          <c:val>
            <c:numRef>
              <c:f>Charts!$E$99:$E$109</c:f>
              <c:numCache>
                <c:formatCode>0.0%</c:formatCode>
                <c:ptCount val="11"/>
                <c:pt idx="0">
                  <c:v>1.8930384749848303E-2</c:v>
                </c:pt>
                <c:pt idx="1">
                  <c:v>1.8930384749848303E-2</c:v>
                </c:pt>
                <c:pt idx="2">
                  <c:v>1.8930384749848303E-2</c:v>
                </c:pt>
                <c:pt idx="3">
                  <c:v>1.8930384749848303E-2</c:v>
                </c:pt>
                <c:pt idx="4">
                  <c:v>1.8930384749848303E-2</c:v>
                </c:pt>
                <c:pt idx="5">
                  <c:v>1.8930384749848303E-2</c:v>
                </c:pt>
                <c:pt idx="6">
                  <c:v>1.8930384749848303E-2</c:v>
                </c:pt>
                <c:pt idx="7">
                  <c:v>1.8930384749848303E-2</c:v>
                </c:pt>
                <c:pt idx="8">
                  <c:v>1.8930384749848303E-2</c:v>
                </c:pt>
                <c:pt idx="9">
                  <c:v>1.8930384749848303E-2</c:v>
                </c:pt>
                <c:pt idx="10">
                  <c:v>1.8930384749848303E-2</c:v>
                </c:pt>
              </c:numCache>
            </c:numRef>
          </c:val>
          <c:smooth val="0"/>
          <c:extLst>
            <c:ext xmlns:c16="http://schemas.microsoft.com/office/drawing/2014/chart" uri="{C3380CC4-5D6E-409C-BE32-E72D297353CC}">
              <c16:uniqueId val="{00000003-3306-400B-8823-5F60A76C9172}"/>
            </c:ext>
          </c:extLst>
        </c:ser>
        <c:dLbls>
          <c:showLegendKey val="0"/>
          <c:showVal val="0"/>
          <c:showCatName val="0"/>
          <c:showSerName val="0"/>
          <c:showPercent val="0"/>
          <c:showBubbleSize val="0"/>
        </c:dLbls>
        <c:marker val="1"/>
        <c:smooth val="0"/>
        <c:axId val="1332574848"/>
        <c:axId val="1332587328"/>
      </c:lineChart>
      <c:catAx>
        <c:axId val="13325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332587328"/>
        <c:crosses val="autoZero"/>
        <c:auto val="1"/>
        <c:lblAlgn val="ctr"/>
        <c:lblOffset val="100"/>
        <c:noMultiLvlLbl val="0"/>
      </c:catAx>
      <c:valAx>
        <c:axId val="1332587328"/>
        <c:scaling>
          <c:orientation val="minMax"/>
          <c:max val="6.0000000000000012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332574848"/>
        <c:crosses val="autoZero"/>
        <c:crossBetween val="between"/>
        <c:majorUnit val="1.0000000000000002E-2"/>
      </c:valAx>
      <c:spPr>
        <a:noFill/>
        <a:ln>
          <a:noFill/>
        </a:ln>
        <a:effectLst/>
      </c:spPr>
    </c:plotArea>
    <c:legend>
      <c:legendPos val="b"/>
      <c:layout>
        <c:manualLayout>
          <c:xMode val="edge"/>
          <c:yMode val="edge"/>
          <c:x val="0"/>
          <c:y val="0.87487583584273909"/>
          <c:w val="0.99504015140334579"/>
          <c:h val="9.28581364502863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6"/>
    <w:rsid w:val="00000730"/>
    <w:rsid w:val="00003840"/>
    <w:rsid w:val="0002423C"/>
    <w:rsid w:val="00025F6C"/>
    <w:rsid w:val="0003242D"/>
    <w:rsid w:val="00042400"/>
    <w:rsid w:val="00045635"/>
    <w:rsid w:val="00052F1D"/>
    <w:rsid w:val="00055161"/>
    <w:rsid w:val="00070A0B"/>
    <w:rsid w:val="000825F1"/>
    <w:rsid w:val="00087772"/>
    <w:rsid w:val="00095316"/>
    <w:rsid w:val="000A0C69"/>
    <w:rsid w:val="000B1545"/>
    <w:rsid w:val="000C06D1"/>
    <w:rsid w:val="000C1FD2"/>
    <w:rsid w:val="000C3638"/>
    <w:rsid w:val="000D6AD7"/>
    <w:rsid w:val="000D6ADB"/>
    <w:rsid w:val="001023D9"/>
    <w:rsid w:val="00121DD3"/>
    <w:rsid w:val="00122175"/>
    <w:rsid w:val="001239DD"/>
    <w:rsid w:val="00125B6D"/>
    <w:rsid w:val="00132E75"/>
    <w:rsid w:val="00133465"/>
    <w:rsid w:val="001478DE"/>
    <w:rsid w:val="00161694"/>
    <w:rsid w:val="00181B33"/>
    <w:rsid w:val="00183C82"/>
    <w:rsid w:val="0019500D"/>
    <w:rsid w:val="001A34FC"/>
    <w:rsid w:val="001A430E"/>
    <w:rsid w:val="001B537B"/>
    <w:rsid w:val="001F3A58"/>
    <w:rsid w:val="00201BEA"/>
    <w:rsid w:val="002375D7"/>
    <w:rsid w:val="002559F9"/>
    <w:rsid w:val="002704E9"/>
    <w:rsid w:val="002761AC"/>
    <w:rsid w:val="00287A03"/>
    <w:rsid w:val="00292BFA"/>
    <w:rsid w:val="00294F3A"/>
    <w:rsid w:val="002B3451"/>
    <w:rsid w:val="002C67BF"/>
    <w:rsid w:val="002D6C63"/>
    <w:rsid w:val="002E35F7"/>
    <w:rsid w:val="002E7188"/>
    <w:rsid w:val="0031761E"/>
    <w:rsid w:val="003430E2"/>
    <w:rsid w:val="00343876"/>
    <w:rsid w:val="003527EA"/>
    <w:rsid w:val="00361108"/>
    <w:rsid w:val="00380817"/>
    <w:rsid w:val="003A7A5D"/>
    <w:rsid w:val="003C2D32"/>
    <w:rsid w:val="003C67CE"/>
    <w:rsid w:val="003F09DF"/>
    <w:rsid w:val="00441B51"/>
    <w:rsid w:val="004558B0"/>
    <w:rsid w:val="00455A0D"/>
    <w:rsid w:val="004679F0"/>
    <w:rsid w:val="00476961"/>
    <w:rsid w:val="004813A0"/>
    <w:rsid w:val="00482D02"/>
    <w:rsid w:val="00491EFA"/>
    <w:rsid w:val="00491F04"/>
    <w:rsid w:val="004A04C2"/>
    <w:rsid w:val="004B4CCA"/>
    <w:rsid w:val="00500ACA"/>
    <w:rsid w:val="00506C69"/>
    <w:rsid w:val="00513F44"/>
    <w:rsid w:val="00520AF7"/>
    <w:rsid w:val="0053112B"/>
    <w:rsid w:val="00540F95"/>
    <w:rsid w:val="00551B65"/>
    <w:rsid w:val="0055778D"/>
    <w:rsid w:val="00573F6E"/>
    <w:rsid w:val="0059331B"/>
    <w:rsid w:val="005A7C0B"/>
    <w:rsid w:val="005F6CD4"/>
    <w:rsid w:val="005F6DDB"/>
    <w:rsid w:val="00600299"/>
    <w:rsid w:val="00610498"/>
    <w:rsid w:val="00632417"/>
    <w:rsid w:val="00640ADC"/>
    <w:rsid w:val="006470E2"/>
    <w:rsid w:val="0069622D"/>
    <w:rsid w:val="006A25BF"/>
    <w:rsid w:val="006A6B81"/>
    <w:rsid w:val="006C0B1D"/>
    <w:rsid w:val="006E7B05"/>
    <w:rsid w:val="00771945"/>
    <w:rsid w:val="0077707A"/>
    <w:rsid w:val="00784389"/>
    <w:rsid w:val="007849C3"/>
    <w:rsid w:val="007879F9"/>
    <w:rsid w:val="00796DBB"/>
    <w:rsid w:val="007B55A1"/>
    <w:rsid w:val="007F072E"/>
    <w:rsid w:val="007F1E2D"/>
    <w:rsid w:val="008219EA"/>
    <w:rsid w:val="0083097A"/>
    <w:rsid w:val="00832EEC"/>
    <w:rsid w:val="00843B3E"/>
    <w:rsid w:val="00845B0C"/>
    <w:rsid w:val="00846FD8"/>
    <w:rsid w:val="00871A4B"/>
    <w:rsid w:val="008A7681"/>
    <w:rsid w:val="008C19BB"/>
    <w:rsid w:val="008D2EB2"/>
    <w:rsid w:val="008D6FFA"/>
    <w:rsid w:val="008F6D3F"/>
    <w:rsid w:val="00910264"/>
    <w:rsid w:val="00956439"/>
    <w:rsid w:val="0097450F"/>
    <w:rsid w:val="009A66B0"/>
    <w:rsid w:val="009B5FB9"/>
    <w:rsid w:val="009D12B1"/>
    <w:rsid w:val="009E397B"/>
    <w:rsid w:val="009E672E"/>
    <w:rsid w:val="00A10BB3"/>
    <w:rsid w:val="00A5146E"/>
    <w:rsid w:val="00A71D73"/>
    <w:rsid w:val="00A761A5"/>
    <w:rsid w:val="00A90694"/>
    <w:rsid w:val="00AA352D"/>
    <w:rsid w:val="00AA6666"/>
    <w:rsid w:val="00AC637B"/>
    <w:rsid w:val="00B16FE0"/>
    <w:rsid w:val="00B349F4"/>
    <w:rsid w:val="00B50D1D"/>
    <w:rsid w:val="00B531D2"/>
    <w:rsid w:val="00B531D8"/>
    <w:rsid w:val="00B7718F"/>
    <w:rsid w:val="00B807DF"/>
    <w:rsid w:val="00B82FC3"/>
    <w:rsid w:val="00B853BA"/>
    <w:rsid w:val="00B90015"/>
    <w:rsid w:val="00B90355"/>
    <w:rsid w:val="00B969B7"/>
    <w:rsid w:val="00BA0462"/>
    <w:rsid w:val="00BB3144"/>
    <w:rsid w:val="00BD0EE3"/>
    <w:rsid w:val="00BD5A1E"/>
    <w:rsid w:val="00BE12DE"/>
    <w:rsid w:val="00C104F5"/>
    <w:rsid w:val="00C17F85"/>
    <w:rsid w:val="00C20A55"/>
    <w:rsid w:val="00C22174"/>
    <w:rsid w:val="00C34B4F"/>
    <w:rsid w:val="00C40A76"/>
    <w:rsid w:val="00C42621"/>
    <w:rsid w:val="00C730A6"/>
    <w:rsid w:val="00C73357"/>
    <w:rsid w:val="00C7388E"/>
    <w:rsid w:val="00C76D2D"/>
    <w:rsid w:val="00C8048A"/>
    <w:rsid w:val="00C9219D"/>
    <w:rsid w:val="00CA4A21"/>
    <w:rsid w:val="00CB3908"/>
    <w:rsid w:val="00CB5D53"/>
    <w:rsid w:val="00CC7D95"/>
    <w:rsid w:val="00CE0403"/>
    <w:rsid w:val="00D0254E"/>
    <w:rsid w:val="00D2798C"/>
    <w:rsid w:val="00D32642"/>
    <w:rsid w:val="00D35545"/>
    <w:rsid w:val="00D3663D"/>
    <w:rsid w:val="00D46D0D"/>
    <w:rsid w:val="00D46F9D"/>
    <w:rsid w:val="00D60330"/>
    <w:rsid w:val="00D656D3"/>
    <w:rsid w:val="00D93E4A"/>
    <w:rsid w:val="00DA05E2"/>
    <w:rsid w:val="00DC27AE"/>
    <w:rsid w:val="00DE3608"/>
    <w:rsid w:val="00DF1791"/>
    <w:rsid w:val="00E568B5"/>
    <w:rsid w:val="00E63E23"/>
    <w:rsid w:val="00E64936"/>
    <w:rsid w:val="00E71EC9"/>
    <w:rsid w:val="00EB6439"/>
    <w:rsid w:val="00EC51D0"/>
    <w:rsid w:val="00ED721F"/>
    <w:rsid w:val="00EE1B8B"/>
    <w:rsid w:val="00EE78CE"/>
    <w:rsid w:val="00EF7BF1"/>
    <w:rsid w:val="00F31E63"/>
    <w:rsid w:val="00F532CA"/>
    <w:rsid w:val="00F6277A"/>
    <w:rsid w:val="00F67C4E"/>
    <w:rsid w:val="00F81F38"/>
    <w:rsid w:val="00F85549"/>
    <w:rsid w:val="00F91DF0"/>
    <w:rsid w:val="00FA2842"/>
    <w:rsid w:val="00FA2AD8"/>
    <w:rsid w:val="00FC4A34"/>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uiPriority w:val="99"/>
    <w:semiHidden/>
    <w:rsid w:val="00482D02"/>
    <w:rPr>
      <w:color w:val="808080"/>
      <w:lang w:val="en-GB"/>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320FB5E9C79748E18DABFD65734C759E">
    <w:name w:val="320FB5E9C79748E18DABFD65734C759E"/>
    <w:rsid w:val="00317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0BE7D74C23B64F9D402B11D0D2E7D1" ma:contentTypeVersion="6" ma:contentTypeDescription="Create a new document." ma:contentTypeScope="" ma:versionID="996e47aa77b944173a3e825c80989c0c">
  <xsd:schema xmlns:xsd="http://www.w3.org/2001/XMLSchema" xmlns:xs="http://www.w3.org/2001/XMLSchema" xmlns:p="http://schemas.microsoft.com/office/2006/metadata/properties" xmlns:ns2="44fa7c27-6188-448b-9490-a3e0053ab37f" xmlns:ns3="f836a53b-3e86-4ee8-8923-03b5654500a4" targetNamespace="http://schemas.microsoft.com/office/2006/metadata/properties" ma:root="true" ma:fieldsID="830cf9c502a90c2ae0661382712473f3" ns2:_="" ns3:_="">
    <xsd:import namespace="44fa7c27-6188-448b-9490-a3e0053ab37f"/>
    <xsd:import namespace="f836a53b-3e86-4ee8-8923-03b5654500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a7c27-6188-448b-9490-a3e0053ab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36a53b-3e86-4ee8-8923-03b5654500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836a53b-3e86-4ee8-8923-03b5654500a4">
      <UserInfo>
        <DisplayName>Holt, Victoria</DisplayName>
        <AccountId>28</AccountId>
        <AccountType/>
      </UserInfo>
      <UserInfo>
        <DisplayName>Chan, Abigail</DisplayName>
        <AccountId>30</AccountId>
        <AccountType/>
      </UserInfo>
      <UserInfo>
        <DisplayName>Tan, Owen</DisplayName>
        <AccountId>31</AccountId>
        <AccountType/>
      </UserInfo>
      <UserInfo>
        <DisplayName>Ross, Doug</DisplayName>
        <AccountId>27</AccountId>
        <AccountType/>
      </UserInfo>
      <UserInfo>
        <DisplayName>Hsieh, Wing</DisplayName>
        <AccountId>13</AccountId>
        <AccountType/>
      </UserInfo>
      <UserInfo>
        <DisplayName>Thompson, Shannon</DisplayName>
        <AccountId>17</AccountId>
        <AccountType/>
      </UserInfo>
      <UserInfo>
        <DisplayName>Ghose, Anita</DisplayName>
        <AccountId>15</AccountId>
        <AccountType/>
      </UserInfo>
      <UserInfo>
        <DisplayName>Condon, Luke</DisplayName>
        <AccountId>16</AccountId>
        <AccountType/>
      </UserInfo>
      <UserInfo>
        <DisplayName>Berry, Callum</DisplayName>
        <AccountId>14</AccountId>
        <AccountType/>
      </UserInfo>
      <UserInfo>
        <DisplayName>Banerjee, Rhea</DisplayName>
        <AccountId>12</AccountId>
        <AccountType/>
      </UserInfo>
      <UserInfo>
        <DisplayName>Lutvey, Jack</DisplayName>
        <AccountId>29</AccountId>
        <AccountType/>
      </UserInfo>
      <UserInfo>
        <DisplayName>Smith, Stephen</DisplayName>
        <AccountId>26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957D1-DDB7-42CA-B113-5CE57A07E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a7c27-6188-448b-9490-a3e0053ab37f"/>
    <ds:schemaRef ds:uri="f836a53b-3e86-4ee8-8923-03b565450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customXml/itemProps3.xml><?xml version="1.0" encoding="utf-8"?>
<ds:datastoreItem xmlns:ds="http://schemas.openxmlformats.org/officeDocument/2006/customXml" ds:itemID="{BB7E9F45-D67A-4D40-B811-C3128A523320}">
  <ds:schemaRefs>
    <ds:schemaRef ds:uri="http://purl.org/dc/elements/1.1/"/>
    <ds:schemaRef ds:uri="http://schemas.microsoft.com/office/2006/metadata/properties"/>
    <ds:schemaRef ds:uri="44fa7c27-6188-448b-9490-a3e0053ab37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836a53b-3e86-4ee8-8923-03b5654500a4"/>
    <ds:schemaRef ds:uri="http://www.w3.org/XML/1998/namespace"/>
    <ds:schemaRef ds:uri="http://purl.org/dc/dcmitype/"/>
  </ds:schemaRefs>
</ds:datastoreItem>
</file>

<file path=customXml/itemProps4.xml><?xml version="1.0" encoding="utf-8"?>
<ds:datastoreItem xmlns:ds="http://schemas.openxmlformats.org/officeDocument/2006/customXml" ds:itemID="{14DEB928-067D-4BF4-9165-99A0F043D1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28245</Words>
  <Characters>160997</Characters>
  <Application>Microsoft Office Word</Application>
  <DocSecurity>4</DocSecurity>
  <Lines>1341</Lines>
  <Paragraphs>377</Paragraphs>
  <ScaleCrop>false</ScaleCrop>
  <HeadingPairs>
    <vt:vector size="2" baseType="variant">
      <vt:variant>
        <vt:lpstr>Title</vt:lpstr>
      </vt:variant>
      <vt:variant>
        <vt:i4>1</vt:i4>
      </vt:variant>
    </vt:vector>
  </HeadingPairs>
  <TitlesOfParts>
    <vt:vector size="1" baseType="lpstr">
      <vt:lpstr>Demand Study of the National Aged Care Advocacy Program (NACAP)</vt:lpstr>
    </vt:vector>
  </TitlesOfParts>
  <Company/>
  <LinksUpToDate>false</LinksUpToDate>
  <CharactersWithSpaces>188865</CharactersWithSpaces>
  <SharedDoc>false</SharedDoc>
  <HLinks>
    <vt:vector size="744" baseType="variant">
      <vt:variant>
        <vt:i4>1507407</vt:i4>
      </vt:variant>
      <vt:variant>
        <vt:i4>897</vt:i4>
      </vt:variant>
      <vt:variant>
        <vt:i4>0</vt:i4>
      </vt:variant>
      <vt:variant>
        <vt:i4>5</vt:i4>
      </vt:variant>
      <vt:variant>
        <vt:lpwstr>http://www.deloitte.com/au/deloitte-access-economics</vt:lpwstr>
      </vt:variant>
      <vt:variant>
        <vt:lpwstr/>
      </vt:variant>
      <vt:variant>
        <vt:i4>1507389</vt:i4>
      </vt:variant>
      <vt:variant>
        <vt:i4>725</vt:i4>
      </vt:variant>
      <vt:variant>
        <vt:i4>0</vt:i4>
      </vt:variant>
      <vt:variant>
        <vt:i4>5</vt:i4>
      </vt:variant>
      <vt:variant>
        <vt:lpwstr/>
      </vt:variant>
      <vt:variant>
        <vt:lpwstr>_Toc99117028</vt:lpwstr>
      </vt:variant>
      <vt:variant>
        <vt:i4>1572925</vt:i4>
      </vt:variant>
      <vt:variant>
        <vt:i4>719</vt:i4>
      </vt:variant>
      <vt:variant>
        <vt:i4>0</vt:i4>
      </vt:variant>
      <vt:variant>
        <vt:i4>5</vt:i4>
      </vt:variant>
      <vt:variant>
        <vt:lpwstr/>
      </vt:variant>
      <vt:variant>
        <vt:lpwstr>_Toc99117027</vt:lpwstr>
      </vt:variant>
      <vt:variant>
        <vt:i4>1638461</vt:i4>
      </vt:variant>
      <vt:variant>
        <vt:i4>713</vt:i4>
      </vt:variant>
      <vt:variant>
        <vt:i4>0</vt:i4>
      </vt:variant>
      <vt:variant>
        <vt:i4>5</vt:i4>
      </vt:variant>
      <vt:variant>
        <vt:lpwstr/>
      </vt:variant>
      <vt:variant>
        <vt:lpwstr>_Toc99117026</vt:lpwstr>
      </vt:variant>
      <vt:variant>
        <vt:i4>1703997</vt:i4>
      </vt:variant>
      <vt:variant>
        <vt:i4>707</vt:i4>
      </vt:variant>
      <vt:variant>
        <vt:i4>0</vt:i4>
      </vt:variant>
      <vt:variant>
        <vt:i4>5</vt:i4>
      </vt:variant>
      <vt:variant>
        <vt:lpwstr/>
      </vt:variant>
      <vt:variant>
        <vt:lpwstr>_Toc99117025</vt:lpwstr>
      </vt:variant>
      <vt:variant>
        <vt:i4>1769533</vt:i4>
      </vt:variant>
      <vt:variant>
        <vt:i4>701</vt:i4>
      </vt:variant>
      <vt:variant>
        <vt:i4>0</vt:i4>
      </vt:variant>
      <vt:variant>
        <vt:i4>5</vt:i4>
      </vt:variant>
      <vt:variant>
        <vt:lpwstr/>
      </vt:variant>
      <vt:variant>
        <vt:lpwstr>_Toc99117024</vt:lpwstr>
      </vt:variant>
      <vt:variant>
        <vt:i4>1835069</vt:i4>
      </vt:variant>
      <vt:variant>
        <vt:i4>695</vt:i4>
      </vt:variant>
      <vt:variant>
        <vt:i4>0</vt:i4>
      </vt:variant>
      <vt:variant>
        <vt:i4>5</vt:i4>
      </vt:variant>
      <vt:variant>
        <vt:lpwstr/>
      </vt:variant>
      <vt:variant>
        <vt:lpwstr>_Toc99117023</vt:lpwstr>
      </vt:variant>
      <vt:variant>
        <vt:i4>1900605</vt:i4>
      </vt:variant>
      <vt:variant>
        <vt:i4>686</vt:i4>
      </vt:variant>
      <vt:variant>
        <vt:i4>0</vt:i4>
      </vt:variant>
      <vt:variant>
        <vt:i4>5</vt:i4>
      </vt:variant>
      <vt:variant>
        <vt:lpwstr/>
      </vt:variant>
      <vt:variant>
        <vt:lpwstr>_Toc99117022</vt:lpwstr>
      </vt:variant>
      <vt:variant>
        <vt:i4>1966141</vt:i4>
      </vt:variant>
      <vt:variant>
        <vt:i4>680</vt:i4>
      </vt:variant>
      <vt:variant>
        <vt:i4>0</vt:i4>
      </vt:variant>
      <vt:variant>
        <vt:i4>5</vt:i4>
      </vt:variant>
      <vt:variant>
        <vt:lpwstr/>
      </vt:variant>
      <vt:variant>
        <vt:lpwstr>_Toc99117021</vt:lpwstr>
      </vt:variant>
      <vt:variant>
        <vt:i4>2031677</vt:i4>
      </vt:variant>
      <vt:variant>
        <vt:i4>674</vt:i4>
      </vt:variant>
      <vt:variant>
        <vt:i4>0</vt:i4>
      </vt:variant>
      <vt:variant>
        <vt:i4>5</vt:i4>
      </vt:variant>
      <vt:variant>
        <vt:lpwstr/>
      </vt:variant>
      <vt:variant>
        <vt:lpwstr>_Toc99117020</vt:lpwstr>
      </vt:variant>
      <vt:variant>
        <vt:i4>1441854</vt:i4>
      </vt:variant>
      <vt:variant>
        <vt:i4>668</vt:i4>
      </vt:variant>
      <vt:variant>
        <vt:i4>0</vt:i4>
      </vt:variant>
      <vt:variant>
        <vt:i4>5</vt:i4>
      </vt:variant>
      <vt:variant>
        <vt:lpwstr/>
      </vt:variant>
      <vt:variant>
        <vt:lpwstr>_Toc99117019</vt:lpwstr>
      </vt:variant>
      <vt:variant>
        <vt:i4>1507390</vt:i4>
      </vt:variant>
      <vt:variant>
        <vt:i4>662</vt:i4>
      </vt:variant>
      <vt:variant>
        <vt:i4>0</vt:i4>
      </vt:variant>
      <vt:variant>
        <vt:i4>5</vt:i4>
      </vt:variant>
      <vt:variant>
        <vt:lpwstr/>
      </vt:variant>
      <vt:variant>
        <vt:lpwstr>_Toc99117018</vt:lpwstr>
      </vt:variant>
      <vt:variant>
        <vt:i4>1572926</vt:i4>
      </vt:variant>
      <vt:variant>
        <vt:i4>656</vt:i4>
      </vt:variant>
      <vt:variant>
        <vt:i4>0</vt:i4>
      </vt:variant>
      <vt:variant>
        <vt:i4>5</vt:i4>
      </vt:variant>
      <vt:variant>
        <vt:lpwstr/>
      </vt:variant>
      <vt:variant>
        <vt:lpwstr>_Toc99117017</vt:lpwstr>
      </vt:variant>
      <vt:variant>
        <vt:i4>1638462</vt:i4>
      </vt:variant>
      <vt:variant>
        <vt:i4>650</vt:i4>
      </vt:variant>
      <vt:variant>
        <vt:i4>0</vt:i4>
      </vt:variant>
      <vt:variant>
        <vt:i4>5</vt:i4>
      </vt:variant>
      <vt:variant>
        <vt:lpwstr/>
      </vt:variant>
      <vt:variant>
        <vt:lpwstr>_Toc99117016</vt:lpwstr>
      </vt:variant>
      <vt:variant>
        <vt:i4>1703998</vt:i4>
      </vt:variant>
      <vt:variant>
        <vt:i4>644</vt:i4>
      </vt:variant>
      <vt:variant>
        <vt:i4>0</vt:i4>
      </vt:variant>
      <vt:variant>
        <vt:i4>5</vt:i4>
      </vt:variant>
      <vt:variant>
        <vt:lpwstr/>
      </vt:variant>
      <vt:variant>
        <vt:lpwstr>_Toc99117015</vt:lpwstr>
      </vt:variant>
      <vt:variant>
        <vt:i4>1769534</vt:i4>
      </vt:variant>
      <vt:variant>
        <vt:i4>638</vt:i4>
      </vt:variant>
      <vt:variant>
        <vt:i4>0</vt:i4>
      </vt:variant>
      <vt:variant>
        <vt:i4>5</vt:i4>
      </vt:variant>
      <vt:variant>
        <vt:lpwstr/>
      </vt:variant>
      <vt:variant>
        <vt:lpwstr>_Toc99117014</vt:lpwstr>
      </vt:variant>
      <vt:variant>
        <vt:i4>1835070</vt:i4>
      </vt:variant>
      <vt:variant>
        <vt:i4>632</vt:i4>
      </vt:variant>
      <vt:variant>
        <vt:i4>0</vt:i4>
      </vt:variant>
      <vt:variant>
        <vt:i4>5</vt:i4>
      </vt:variant>
      <vt:variant>
        <vt:lpwstr/>
      </vt:variant>
      <vt:variant>
        <vt:lpwstr>_Toc99117013</vt:lpwstr>
      </vt:variant>
      <vt:variant>
        <vt:i4>1900606</vt:i4>
      </vt:variant>
      <vt:variant>
        <vt:i4>626</vt:i4>
      </vt:variant>
      <vt:variant>
        <vt:i4>0</vt:i4>
      </vt:variant>
      <vt:variant>
        <vt:i4>5</vt:i4>
      </vt:variant>
      <vt:variant>
        <vt:lpwstr/>
      </vt:variant>
      <vt:variant>
        <vt:lpwstr>_Toc99117012</vt:lpwstr>
      </vt:variant>
      <vt:variant>
        <vt:i4>1638458</vt:i4>
      </vt:variant>
      <vt:variant>
        <vt:i4>617</vt:i4>
      </vt:variant>
      <vt:variant>
        <vt:i4>0</vt:i4>
      </vt:variant>
      <vt:variant>
        <vt:i4>5</vt:i4>
      </vt:variant>
      <vt:variant>
        <vt:lpwstr/>
      </vt:variant>
      <vt:variant>
        <vt:lpwstr>_Toc99117056</vt:lpwstr>
      </vt:variant>
      <vt:variant>
        <vt:i4>1703994</vt:i4>
      </vt:variant>
      <vt:variant>
        <vt:i4>611</vt:i4>
      </vt:variant>
      <vt:variant>
        <vt:i4>0</vt:i4>
      </vt:variant>
      <vt:variant>
        <vt:i4>5</vt:i4>
      </vt:variant>
      <vt:variant>
        <vt:lpwstr/>
      </vt:variant>
      <vt:variant>
        <vt:lpwstr>_Toc99117055</vt:lpwstr>
      </vt:variant>
      <vt:variant>
        <vt:i4>1769530</vt:i4>
      </vt:variant>
      <vt:variant>
        <vt:i4>605</vt:i4>
      </vt:variant>
      <vt:variant>
        <vt:i4>0</vt:i4>
      </vt:variant>
      <vt:variant>
        <vt:i4>5</vt:i4>
      </vt:variant>
      <vt:variant>
        <vt:lpwstr/>
      </vt:variant>
      <vt:variant>
        <vt:lpwstr>_Toc99117054</vt:lpwstr>
      </vt:variant>
      <vt:variant>
        <vt:i4>1835066</vt:i4>
      </vt:variant>
      <vt:variant>
        <vt:i4>599</vt:i4>
      </vt:variant>
      <vt:variant>
        <vt:i4>0</vt:i4>
      </vt:variant>
      <vt:variant>
        <vt:i4>5</vt:i4>
      </vt:variant>
      <vt:variant>
        <vt:lpwstr/>
      </vt:variant>
      <vt:variant>
        <vt:lpwstr>_Toc99117053</vt:lpwstr>
      </vt:variant>
      <vt:variant>
        <vt:i4>1900602</vt:i4>
      </vt:variant>
      <vt:variant>
        <vt:i4>593</vt:i4>
      </vt:variant>
      <vt:variant>
        <vt:i4>0</vt:i4>
      </vt:variant>
      <vt:variant>
        <vt:i4>5</vt:i4>
      </vt:variant>
      <vt:variant>
        <vt:lpwstr/>
      </vt:variant>
      <vt:variant>
        <vt:lpwstr>_Toc99117052</vt:lpwstr>
      </vt:variant>
      <vt:variant>
        <vt:i4>1966138</vt:i4>
      </vt:variant>
      <vt:variant>
        <vt:i4>587</vt:i4>
      </vt:variant>
      <vt:variant>
        <vt:i4>0</vt:i4>
      </vt:variant>
      <vt:variant>
        <vt:i4>5</vt:i4>
      </vt:variant>
      <vt:variant>
        <vt:lpwstr/>
      </vt:variant>
      <vt:variant>
        <vt:lpwstr>_Toc99117051</vt:lpwstr>
      </vt:variant>
      <vt:variant>
        <vt:i4>2031674</vt:i4>
      </vt:variant>
      <vt:variant>
        <vt:i4>581</vt:i4>
      </vt:variant>
      <vt:variant>
        <vt:i4>0</vt:i4>
      </vt:variant>
      <vt:variant>
        <vt:i4>5</vt:i4>
      </vt:variant>
      <vt:variant>
        <vt:lpwstr/>
      </vt:variant>
      <vt:variant>
        <vt:lpwstr>_Toc99117050</vt:lpwstr>
      </vt:variant>
      <vt:variant>
        <vt:i4>1441851</vt:i4>
      </vt:variant>
      <vt:variant>
        <vt:i4>575</vt:i4>
      </vt:variant>
      <vt:variant>
        <vt:i4>0</vt:i4>
      </vt:variant>
      <vt:variant>
        <vt:i4>5</vt:i4>
      </vt:variant>
      <vt:variant>
        <vt:lpwstr/>
      </vt:variant>
      <vt:variant>
        <vt:lpwstr>_Toc99117049</vt:lpwstr>
      </vt:variant>
      <vt:variant>
        <vt:i4>1507387</vt:i4>
      </vt:variant>
      <vt:variant>
        <vt:i4>569</vt:i4>
      </vt:variant>
      <vt:variant>
        <vt:i4>0</vt:i4>
      </vt:variant>
      <vt:variant>
        <vt:i4>5</vt:i4>
      </vt:variant>
      <vt:variant>
        <vt:lpwstr/>
      </vt:variant>
      <vt:variant>
        <vt:lpwstr>_Toc99117048</vt:lpwstr>
      </vt:variant>
      <vt:variant>
        <vt:i4>1572923</vt:i4>
      </vt:variant>
      <vt:variant>
        <vt:i4>563</vt:i4>
      </vt:variant>
      <vt:variant>
        <vt:i4>0</vt:i4>
      </vt:variant>
      <vt:variant>
        <vt:i4>5</vt:i4>
      </vt:variant>
      <vt:variant>
        <vt:lpwstr/>
      </vt:variant>
      <vt:variant>
        <vt:lpwstr>_Toc99117047</vt:lpwstr>
      </vt:variant>
      <vt:variant>
        <vt:i4>1638459</vt:i4>
      </vt:variant>
      <vt:variant>
        <vt:i4>557</vt:i4>
      </vt:variant>
      <vt:variant>
        <vt:i4>0</vt:i4>
      </vt:variant>
      <vt:variant>
        <vt:i4>5</vt:i4>
      </vt:variant>
      <vt:variant>
        <vt:lpwstr/>
      </vt:variant>
      <vt:variant>
        <vt:lpwstr>_Toc99117046</vt:lpwstr>
      </vt:variant>
      <vt:variant>
        <vt:i4>1703995</vt:i4>
      </vt:variant>
      <vt:variant>
        <vt:i4>551</vt:i4>
      </vt:variant>
      <vt:variant>
        <vt:i4>0</vt:i4>
      </vt:variant>
      <vt:variant>
        <vt:i4>5</vt:i4>
      </vt:variant>
      <vt:variant>
        <vt:lpwstr/>
      </vt:variant>
      <vt:variant>
        <vt:lpwstr>_Toc99117045</vt:lpwstr>
      </vt:variant>
      <vt:variant>
        <vt:i4>1769531</vt:i4>
      </vt:variant>
      <vt:variant>
        <vt:i4>545</vt:i4>
      </vt:variant>
      <vt:variant>
        <vt:i4>0</vt:i4>
      </vt:variant>
      <vt:variant>
        <vt:i4>5</vt:i4>
      </vt:variant>
      <vt:variant>
        <vt:lpwstr/>
      </vt:variant>
      <vt:variant>
        <vt:lpwstr>_Toc99117044</vt:lpwstr>
      </vt:variant>
      <vt:variant>
        <vt:i4>1835067</vt:i4>
      </vt:variant>
      <vt:variant>
        <vt:i4>539</vt:i4>
      </vt:variant>
      <vt:variant>
        <vt:i4>0</vt:i4>
      </vt:variant>
      <vt:variant>
        <vt:i4>5</vt:i4>
      </vt:variant>
      <vt:variant>
        <vt:lpwstr/>
      </vt:variant>
      <vt:variant>
        <vt:lpwstr>_Toc99117043</vt:lpwstr>
      </vt:variant>
      <vt:variant>
        <vt:i4>1900603</vt:i4>
      </vt:variant>
      <vt:variant>
        <vt:i4>533</vt:i4>
      </vt:variant>
      <vt:variant>
        <vt:i4>0</vt:i4>
      </vt:variant>
      <vt:variant>
        <vt:i4>5</vt:i4>
      </vt:variant>
      <vt:variant>
        <vt:lpwstr/>
      </vt:variant>
      <vt:variant>
        <vt:lpwstr>_Toc99117042</vt:lpwstr>
      </vt:variant>
      <vt:variant>
        <vt:i4>1966139</vt:i4>
      </vt:variant>
      <vt:variant>
        <vt:i4>527</vt:i4>
      </vt:variant>
      <vt:variant>
        <vt:i4>0</vt:i4>
      </vt:variant>
      <vt:variant>
        <vt:i4>5</vt:i4>
      </vt:variant>
      <vt:variant>
        <vt:lpwstr/>
      </vt:variant>
      <vt:variant>
        <vt:lpwstr>_Toc99117041</vt:lpwstr>
      </vt:variant>
      <vt:variant>
        <vt:i4>2031675</vt:i4>
      </vt:variant>
      <vt:variant>
        <vt:i4>521</vt:i4>
      </vt:variant>
      <vt:variant>
        <vt:i4>0</vt:i4>
      </vt:variant>
      <vt:variant>
        <vt:i4>5</vt:i4>
      </vt:variant>
      <vt:variant>
        <vt:lpwstr/>
      </vt:variant>
      <vt:variant>
        <vt:lpwstr>_Toc99117040</vt:lpwstr>
      </vt:variant>
      <vt:variant>
        <vt:i4>1441852</vt:i4>
      </vt:variant>
      <vt:variant>
        <vt:i4>515</vt:i4>
      </vt:variant>
      <vt:variant>
        <vt:i4>0</vt:i4>
      </vt:variant>
      <vt:variant>
        <vt:i4>5</vt:i4>
      </vt:variant>
      <vt:variant>
        <vt:lpwstr/>
      </vt:variant>
      <vt:variant>
        <vt:lpwstr>_Toc99117039</vt:lpwstr>
      </vt:variant>
      <vt:variant>
        <vt:i4>1507388</vt:i4>
      </vt:variant>
      <vt:variant>
        <vt:i4>509</vt:i4>
      </vt:variant>
      <vt:variant>
        <vt:i4>0</vt:i4>
      </vt:variant>
      <vt:variant>
        <vt:i4>5</vt:i4>
      </vt:variant>
      <vt:variant>
        <vt:lpwstr/>
      </vt:variant>
      <vt:variant>
        <vt:lpwstr>_Toc99117038</vt:lpwstr>
      </vt:variant>
      <vt:variant>
        <vt:i4>1572924</vt:i4>
      </vt:variant>
      <vt:variant>
        <vt:i4>503</vt:i4>
      </vt:variant>
      <vt:variant>
        <vt:i4>0</vt:i4>
      </vt:variant>
      <vt:variant>
        <vt:i4>5</vt:i4>
      </vt:variant>
      <vt:variant>
        <vt:lpwstr/>
      </vt:variant>
      <vt:variant>
        <vt:lpwstr>_Toc99117037</vt:lpwstr>
      </vt:variant>
      <vt:variant>
        <vt:i4>1638460</vt:i4>
      </vt:variant>
      <vt:variant>
        <vt:i4>497</vt:i4>
      </vt:variant>
      <vt:variant>
        <vt:i4>0</vt:i4>
      </vt:variant>
      <vt:variant>
        <vt:i4>5</vt:i4>
      </vt:variant>
      <vt:variant>
        <vt:lpwstr/>
      </vt:variant>
      <vt:variant>
        <vt:lpwstr>_Toc99117036</vt:lpwstr>
      </vt:variant>
      <vt:variant>
        <vt:i4>1703996</vt:i4>
      </vt:variant>
      <vt:variant>
        <vt:i4>491</vt:i4>
      </vt:variant>
      <vt:variant>
        <vt:i4>0</vt:i4>
      </vt:variant>
      <vt:variant>
        <vt:i4>5</vt:i4>
      </vt:variant>
      <vt:variant>
        <vt:lpwstr/>
      </vt:variant>
      <vt:variant>
        <vt:lpwstr>_Toc99117035</vt:lpwstr>
      </vt:variant>
      <vt:variant>
        <vt:i4>1769532</vt:i4>
      </vt:variant>
      <vt:variant>
        <vt:i4>485</vt:i4>
      </vt:variant>
      <vt:variant>
        <vt:i4>0</vt:i4>
      </vt:variant>
      <vt:variant>
        <vt:i4>5</vt:i4>
      </vt:variant>
      <vt:variant>
        <vt:lpwstr/>
      </vt:variant>
      <vt:variant>
        <vt:lpwstr>_Toc99117034</vt:lpwstr>
      </vt:variant>
      <vt:variant>
        <vt:i4>1835068</vt:i4>
      </vt:variant>
      <vt:variant>
        <vt:i4>479</vt:i4>
      </vt:variant>
      <vt:variant>
        <vt:i4>0</vt:i4>
      </vt:variant>
      <vt:variant>
        <vt:i4>5</vt:i4>
      </vt:variant>
      <vt:variant>
        <vt:lpwstr/>
      </vt:variant>
      <vt:variant>
        <vt:lpwstr>_Toc99117033</vt:lpwstr>
      </vt:variant>
      <vt:variant>
        <vt:i4>1900604</vt:i4>
      </vt:variant>
      <vt:variant>
        <vt:i4>473</vt:i4>
      </vt:variant>
      <vt:variant>
        <vt:i4>0</vt:i4>
      </vt:variant>
      <vt:variant>
        <vt:i4>5</vt:i4>
      </vt:variant>
      <vt:variant>
        <vt:lpwstr/>
      </vt:variant>
      <vt:variant>
        <vt:lpwstr>_Toc99117032</vt:lpwstr>
      </vt:variant>
      <vt:variant>
        <vt:i4>1966140</vt:i4>
      </vt:variant>
      <vt:variant>
        <vt:i4>467</vt:i4>
      </vt:variant>
      <vt:variant>
        <vt:i4>0</vt:i4>
      </vt:variant>
      <vt:variant>
        <vt:i4>5</vt:i4>
      </vt:variant>
      <vt:variant>
        <vt:lpwstr/>
      </vt:variant>
      <vt:variant>
        <vt:lpwstr>_Toc99117031</vt:lpwstr>
      </vt:variant>
      <vt:variant>
        <vt:i4>2031676</vt:i4>
      </vt:variant>
      <vt:variant>
        <vt:i4>461</vt:i4>
      </vt:variant>
      <vt:variant>
        <vt:i4>0</vt:i4>
      </vt:variant>
      <vt:variant>
        <vt:i4>5</vt:i4>
      </vt:variant>
      <vt:variant>
        <vt:lpwstr/>
      </vt:variant>
      <vt:variant>
        <vt:lpwstr>_Toc99117030</vt:lpwstr>
      </vt:variant>
      <vt:variant>
        <vt:i4>1441853</vt:i4>
      </vt:variant>
      <vt:variant>
        <vt:i4>455</vt:i4>
      </vt:variant>
      <vt:variant>
        <vt:i4>0</vt:i4>
      </vt:variant>
      <vt:variant>
        <vt:i4>5</vt:i4>
      </vt:variant>
      <vt:variant>
        <vt:lpwstr/>
      </vt:variant>
      <vt:variant>
        <vt:lpwstr>_Toc99117029</vt:lpwstr>
      </vt:variant>
      <vt:variant>
        <vt:i4>1900604</vt:i4>
      </vt:variant>
      <vt:variant>
        <vt:i4>446</vt:i4>
      </vt:variant>
      <vt:variant>
        <vt:i4>0</vt:i4>
      </vt:variant>
      <vt:variant>
        <vt:i4>5</vt:i4>
      </vt:variant>
      <vt:variant>
        <vt:lpwstr/>
      </vt:variant>
      <vt:variant>
        <vt:lpwstr>_Toc99117133</vt:lpwstr>
      </vt:variant>
      <vt:variant>
        <vt:i4>1835068</vt:i4>
      </vt:variant>
      <vt:variant>
        <vt:i4>440</vt:i4>
      </vt:variant>
      <vt:variant>
        <vt:i4>0</vt:i4>
      </vt:variant>
      <vt:variant>
        <vt:i4>5</vt:i4>
      </vt:variant>
      <vt:variant>
        <vt:lpwstr/>
      </vt:variant>
      <vt:variant>
        <vt:lpwstr>_Toc99117132</vt:lpwstr>
      </vt:variant>
      <vt:variant>
        <vt:i4>2031676</vt:i4>
      </vt:variant>
      <vt:variant>
        <vt:i4>434</vt:i4>
      </vt:variant>
      <vt:variant>
        <vt:i4>0</vt:i4>
      </vt:variant>
      <vt:variant>
        <vt:i4>5</vt:i4>
      </vt:variant>
      <vt:variant>
        <vt:lpwstr/>
      </vt:variant>
      <vt:variant>
        <vt:lpwstr>_Toc99117131</vt:lpwstr>
      </vt:variant>
      <vt:variant>
        <vt:i4>1966140</vt:i4>
      </vt:variant>
      <vt:variant>
        <vt:i4>428</vt:i4>
      </vt:variant>
      <vt:variant>
        <vt:i4>0</vt:i4>
      </vt:variant>
      <vt:variant>
        <vt:i4>5</vt:i4>
      </vt:variant>
      <vt:variant>
        <vt:lpwstr/>
      </vt:variant>
      <vt:variant>
        <vt:lpwstr>_Toc99117130</vt:lpwstr>
      </vt:variant>
      <vt:variant>
        <vt:i4>1507389</vt:i4>
      </vt:variant>
      <vt:variant>
        <vt:i4>422</vt:i4>
      </vt:variant>
      <vt:variant>
        <vt:i4>0</vt:i4>
      </vt:variant>
      <vt:variant>
        <vt:i4>5</vt:i4>
      </vt:variant>
      <vt:variant>
        <vt:lpwstr/>
      </vt:variant>
      <vt:variant>
        <vt:lpwstr>_Toc99117129</vt:lpwstr>
      </vt:variant>
      <vt:variant>
        <vt:i4>1441853</vt:i4>
      </vt:variant>
      <vt:variant>
        <vt:i4>416</vt:i4>
      </vt:variant>
      <vt:variant>
        <vt:i4>0</vt:i4>
      </vt:variant>
      <vt:variant>
        <vt:i4>5</vt:i4>
      </vt:variant>
      <vt:variant>
        <vt:lpwstr/>
      </vt:variant>
      <vt:variant>
        <vt:lpwstr>_Toc99117128</vt:lpwstr>
      </vt:variant>
      <vt:variant>
        <vt:i4>1638461</vt:i4>
      </vt:variant>
      <vt:variant>
        <vt:i4>410</vt:i4>
      </vt:variant>
      <vt:variant>
        <vt:i4>0</vt:i4>
      </vt:variant>
      <vt:variant>
        <vt:i4>5</vt:i4>
      </vt:variant>
      <vt:variant>
        <vt:lpwstr/>
      </vt:variant>
      <vt:variant>
        <vt:lpwstr>_Toc99117127</vt:lpwstr>
      </vt:variant>
      <vt:variant>
        <vt:i4>1572925</vt:i4>
      </vt:variant>
      <vt:variant>
        <vt:i4>404</vt:i4>
      </vt:variant>
      <vt:variant>
        <vt:i4>0</vt:i4>
      </vt:variant>
      <vt:variant>
        <vt:i4>5</vt:i4>
      </vt:variant>
      <vt:variant>
        <vt:lpwstr/>
      </vt:variant>
      <vt:variant>
        <vt:lpwstr>_Toc99117126</vt:lpwstr>
      </vt:variant>
      <vt:variant>
        <vt:i4>1769533</vt:i4>
      </vt:variant>
      <vt:variant>
        <vt:i4>398</vt:i4>
      </vt:variant>
      <vt:variant>
        <vt:i4>0</vt:i4>
      </vt:variant>
      <vt:variant>
        <vt:i4>5</vt:i4>
      </vt:variant>
      <vt:variant>
        <vt:lpwstr/>
      </vt:variant>
      <vt:variant>
        <vt:lpwstr>_Toc99117125</vt:lpwstr>
      </vt:variant>
      <vt:variant>
        <vt:i4>1703997</vt:i4>
      </vt:variant>
      <vt:variant>
        <vt:i4>392</vt:i4>
      </vt:variant>
      <vt:variant>
        <vt:i4>0</vt:i4>
      </vt:variant>
      <vt:variant>
        <vt:i4>5</vt:i4>
      </vt:variant>
      <vt:variant>
        <vt:lpwstr/>
      </vt:variant>
      <vt:variant>
        <vt:lpwstr>_Toc99117124</vt:lpwstr>
      </vt:variant>
      <vt:variant>
        <vt:i4>1900605</vt:i4>
      </vt:variant>
      <vt:variant>
        <vt:i4>386</vt:i4>
      </vt:variant>
      <vt:variant>
        <vt:i4>0</vt:i4>
      </vt:variant>
      <vt:variant>
        <vt:i4>5</vt:i4>
      </vt:variant>
      <vt:variant>
        <vt:lpwstr/>
      </vt:variant>
      <vt:variant>
        <vt:lpwstr>_Toc99117123</vt:lpwstr>
      </vt:variant>
      <vt:variant>
        <vt:i4>1835069</vt:i4>
      </vt:variant>
      <vt:variant>
        <vt:i4>380</vt:i4>
      </vt:variant>
      <vt:variant>
        <vt:i4>0</vt:i4>
      </vt:variant>
      <vt:variant>
        <vt:i4>5</vt:i4>
      </vt:variant>
      <vt:variant>
        <vt:lpwstr/>
      </vt:variant>
      <vt:variant>
        <vt:lpwstr>_Toc99117122</vt:lpwstr>
      </vt:variant>
      <vt:variant>
        <vt:i4>2031677</vt:i4>
      </vt:variant>
      <vt:variant>
        <vt:i4>374</vt:i4>
      </vt:variant>
      <vt:variant>
        <vt:i4>0</vt:i4>
      </vt:variant>
      <vt:variant>
        <vt:i4>5</vt:i4>
      </vt:variant>
      <vt:variant>
        <vt:lpwstr/>
      </vt:variant>
      <vt:variant>
        <vt:lpwstr>_Toc99117121</vt:lpwstr>
      </vt:variant>
      <vt:variant>
        <vt:i4>1966141</vt:i4>
      </vt:variant>
      <vt:variant>
        <vt:i4>368</vt:i4>
      </vt:variant>
      <vt:variant>
        <vt:i4>0</vt:i4>
      </vt:variant>
      <vt:variant>
        <vt:i4>5</vt:i4>
      </vt:variant>
      <vt:variant>
        <vt:lpwstr/>
      </vt:variant>
      <vt:variant>
        <vt:lpwstr>_Toc99117120</vt:lpwstr>
      </vt:variant>
      <vt:variant>
        <vt:i4>1507390</vt:i4>
      </vt:variant>
      <vt:variant>
        <vt:i4>362</vt:i4>
      </vt:variant>
      <vt:variant>
        <vt:i4>0</vt:i4>
      </vt:variant>
      <vt:variant>
        <vt:i4>5</vt:i4>
      </vt:variant>
      <vt:variant>
        <vt:lpwstr/>
      </vt:variant>
      <vt:variant>
        <vt:lpwstr>_Toc99117119</vt:lpwstr>
      </vt:variant>
      <vt:variant>
        <vt:i4>1441854</vt:i4>
      </vt:variant>
      <vt:variant>
        <vt:i4>356</vt:i4>
      </vt:variant>
      <vt:variant>
        <vt:i4>0</vt:i4>
      </vt:variant>
      <vt:variant>
        <vt:i4>5</vt:i4>
      </vt:variant>
      <vt:variant>
        <vt:lpwstr/>
      </vt:variant>
      <vt:variant>
        <vt:lpwstr>_Toc99117118</vt:lpwstr>
      </vt:variant>
      <vt:variant>
        <vt:i4>1638462</vt:i4>
      </vt:variant>
      <vt:variant>
        <vt:i4>350</vt:i4>
      </vt:variant>
      <vt:variant>
        <vt:i4>0</vt:i4>
      </vt:variant>
      <vt:variant>
        <vt:i4>5</vt:i4>
      </vt:variant>
      <vt:variant>
        <vt:lpwstr/>
      </vt:variant>
      <vt:variant>
        <vt:lpwstr>_Toc99117117</vt:lpwstr>
      </vt:variant>
      <vt:variant>
        <vt:i4>1572926</vt:i4>
      </vt:variant>
      <vt:variant>
        <vt:i4>344</vt:i4>
      </vt:variant>
      <vt:variant>
        <vt:i4>0</vt:i4>
      </vt:variant>
      <vt:variant>
        <vt:i4>5</vt:i4>
      </vt:variant>
      <vt:variant>
        <vt:lpwstr/>
      </vt:variant>
      <vt:variant>
        <vt:lpwstr>_Toc99117116</vt:lpwstr>
      </vt:variant>
      <vt:variant>
        <vt:i4>1769534</vt:i4>
      </vt:variant>
      <vt:variant>
        <vt:i4>338</vt:i4>
      </vt:variant>
      <vt:variant>
        <vt:i4>0</vt:i4>
      </vt:variant>
      <vt:variant>
        <vt:i4>5</vt:i4>
      </vt:variant>
      <vt:variant>
        <vt:lpwstr/>
      </vt:variant>
      <vt:variant>
        <vt:lpwstr>_Toc99117115</vt:lpwstr>
      </vt:variant>
      <vt:variant>
        <vt:i4>1703998</vt:i4>
      </vt:variant>
      <vt:variant>
        <vt:i4>332</vt:i4>
      </vt:variant>
      <vt:variant>
        <vt:i4>0</vt:i4>
      </vt:variant>
      <vt:variant>
        <vt:i4>5</vt:i4>
      </vt:variant>
      <vt:variant>
        <vt:lpwstr/>
      </vt:variant>
      <vt:variant>
        <vt:lpwstr>_Toc99117114</vt:lpwstr>
      </vt:variant>
      <vt:variant>
        <vt:i4>1900606</vt:i4>
      </vt:variant>
      <vt:variant>
        <vt:i4>326</vt:i4>
      </vt:variant>
      <vt:variant>
        <vt:i4>0</vt:i4>
      </vt:variant>
      <vt:variant>
        <vt:i4>5</vt:i4>
      </vt:variant>
      <vt:variant>
        <vt:lpwstr/>
      </vt:variant>
      <vt:variant>
        <vt:lpwstr>_Toc99117113</vt:lpwstr>
      </vt:variant>
      <vt:variant>
        <vt:i4>1835070</vt:i4>
      </vt:variant>
      <vt:variant>
        <vt:i4>320</vt:i4>
      </vt:variant>
      <vt:variant>
        <vt:i4>0</vt:i4>
      </vt:variant>
      <vt:variant>
        <vt:i4>5</vt:i4>
      </vt:variant>
      <vt:variant>
        <vt:lpwstr/>
      </vt:variant>
      <vt:variant>
        <vt:lpwstr>_Toc99117112</vt:lpwstr>
      </vt:variant>
      <vt:variant>
        <vt:i4>2031678</vt:i4>
      </vt:variant>
      <vt:variant>
        <vt:i4>314</vt:i4>
      </vt:variant>
      <vt:variant>
        <vt:i4>0</vt:i4>
      </vt:variant>
      <vt:variant>
        <vt:i4>5</vt:i4>
      </vt:variant>
      <vt:variant>
        <vt:lpwstr/>
      </vt:variant>
      <vt:variant>
        <vt:lpwstr>_Toc99117111</vt:lpwstr>
      </vt:variant>
      <vt:variant>
        <vt:i4>1966142</vt:i4>
      </vt:variant>
      <vt:variant>
        <vt:i4>308</vt:i4>
      </vt:variant>
      <vt:variant>
        <vt:i4>0</vt:i4>
      </vt:variant>
      <vt:variant>
        <vt:i4>5</vt:i4>
      </vt:variant>
      <vt:variant>
        <vt:lpwstr/>
      </vt:variant>
      <vt:variant>
        <vt:lpwstr>_Toc99117110</vt:lpwstr>
      </vt:variant>
      <vt:variant>
        <vt:i4>1507391</vt:i4>
      </vt:variant>
      <vt:variant>
        <vt:i4>302</vt:i4>
      </vt:variant>
      <vt:variant>
        <vt:i4>0</vt:i4>
      </vt:variant>
      <vt:variant>
        <vt:i4>5</vt:i4>
      </vt:variant>
      <vt:variant>
        <vt:lpwstr/>
      </vt:variant>
      <vt:variant>
        <vt:lpwstr>_Toc99117109</vt:lpwstr>
      </vt:variant>
      <vt:variant>
        <vt:i4>1441855</vt:i4>
      </vt:variant>
      <vt:variant>
        <vt:i4>296</vt:i4>
      </vt:variant>
      <vt:variant>
        <vt:i4>0</vt:i4>
      </vt:variant>
      <vt:variant>
        <vt:i4>5</vt:i4>
      </vt:variant>
      <vt:variant>
        <vt:lpwstr/>
      </vt:variant>
      <vt:variant>
        <vt:lpwstr>_Toc99117108</vt:lpwstr>
      </vt:variant>
      <vt:variant>
        <vt:i4>1638463</vt:i4>
      </vt:variant>
      <vt:variant>
        <vt:i4>290</vt:i4>
      </vt:variant>
      <vt:variant>
        <vt:i4>0</vt:i4>
      </vt:variant>
      <vt:variant>
        <vt:i4>5</vt:i4>
      </vt:variant>
      <vt:variant>
        <vt:lpwstr/>
      </vt:variant>
      <vt:variant>
        <vt:lpwstr>_Toc99117107</vt:lpwstr>
      </vt:variant>
      <vt:variant>
        <vt:i4>1572927</vt:i4>
      </vt:variant>
      <vt:variant>
        <vt:i4>284</vt:i4>
      </vt:variant>
      <vt:variant>
        <vt:i4>0</vt:i4>
      </vt:variant>
      <vt:variant>
        <vt:i4>5</vt:i4>
      </vt:variant>
      <vt:variant>
        <vt:lpwstr/>
      </vt:variant>
      <vt:variant>
        <vt:lpwstr>_Toc99117106</vt:lpwstr>
      </vt:variant>
      <vt:variant>
        <vt:i4>1769535</vt:i4>
      </vt:variant>
      <vt:variant>
        <vt:i4>278</vt:i4>
      </vt:variant>
      <vt:variant>
        <vt:i4>0</vt:i4>
      </vt:variant>
      <vt:variant>
        <vt:i4>5</vt:i4>
      </vt:variant>
      <vt:variant>
        <vt:lpwstr/>
      </vt:variant>
      <vt:variant>
        <vt:lpwstr>_Toc99117105</vt:lpwstr>
      </vt:variant>
      <vt:variant>
        <vt:i4>1703999</vt:i4>
      </vt:variant>
      <vt:variant>
        <vt:i4>272</vt:i4>
      </vt:variant>
      <vt:variant>
        <vt:i4>0</vt:i4>
      </vt:variant>
      <vt:variant>
        <vt:i4>5</vt:i4>
      </vt:variant>
      <vt:variant>
        <vt:lpwstr/>
      </vt:variant>
      <vt:variant>
        <vt:lpwstr>_Toc99117104</vt:lpwstr>
      </vt:variant>
      <vt:variant>
        <vt:i4>1900607</vt:i4>
      </vt:variant>
      <vt:variant>
        <vt:i4>266</vt:i4>
      </vt:variant>
      <vt:variant>
        <vt:i4>0</vt:i4>
      </vt:variant>
      <vt:variant>
        <vt:i4>5</vt:i4>
      </vt:variant>
      <vt:variant>
        <vt:lpwstr/>
      </vt:variant>
      <vt:variant>
        <vt:lpwstr>_Toc99117103</vt:lpwstr>
      </vt:variant>
      <vt:variant>
        <vt:i4>1835071</vt:i4>
      </vt:variant>
      <vt:variant>
        <vt:i4>260</vt:i4>
      </vt:variant>
      <vt:variant>
        <vt:i4>0</vt:i4>
      </vt:variant>
      <vt:variant>
        <vt:i4>5</vt:i4>
      </vt:variant>
      <vt:variant>
        <vt:lpwstr/>
      </vt:variant>
      <vt:variant>
        <vt:lpwstr>_Toc99117102</vt:lpwstr>
      </vt:variant>
      <vt:variant>
        <vt:i4>2031679</vt:i4>
      </vt:variant>
      <vt:variant>
        <vt:i4>254</vt:i4>
      </vt:variant>
      <vt:variant>
        <vt:i4>0</vt:i4>
      </vt:variant>
      <vt:variant>
        <vt:i4>5</vt:i4>
      </vt:variant>
      <vt:variant>
        <vt:lpwstr/>
      </vt:variant>
      <vt:variant>
        <vt:lpwstr>_Toc99117101</vt:lpwstr>
      </vt:variant>
      <vt:variant>
        <vt:i4>1966143</vt:i4>
      </vt:variant>
      <vt:variant>
        <vt:i4>248</vt:i4>
      </vt:variant>
      <vt:variant>
        <vt:i4>0</vt:i4>
      </vt:variant>
      <vt:variant>
        <vt:i4>5</vt:i4>
      </vt:variant>
      <vt:variant>
        <vt:lpwstr/>
      </vt:variant>
      <vt:variant>
        <vt:lpwstr>_Toc99117100</vt:lpwstr>
      </vt:variant>
      <vt:variant>
        <vt:i4>1507382</vt:i4>
      </vt:variant>
      <vt:variant>
        <vt:i4>242</vt:i4>
      </vt:variant>
      <vt:variant>
        <vt:i4>0</vt:i4>
      </vt:variant>
      <vt:variant>
        <vt:i4>5</vt:i4>
      </vt:variant>
      <vt:variant>
        <vt:lpwstr/>
      </vt:variant>
      <vt:variant>
        <vt:lpwstr>_Toc99117098</vt:lpwstr>
      </vt:variant>
      <vt:variant>
        <vt:i4>1572918</vt:i4>
      </vt:variant>
      <vt:variant>
        <vt:i4>236</vt:i4>
      </vt:variant>
      <vt:variant>
        <vt:i4>0</vt:i4>
      </vt:variant>
      <vt:variant>
        <vt:i4>5</vt:i4>
      </vt:variant>
      <vt:variant>
        <vt:lpwstr/>
      </vt:variant>
      <vt:variant>
        <vt:lpwstr>_Toc99117097</vt:lpwstr>
      </vt:variant>
      <vt:variant>
        <vt:i4>1638454</vt:i4>
      </vt:variant>
      <vt:variant>
        <vt:i4>230</vt:i4>
      </vt:variant>
      <vt:variant>
        <vt:i4>0</vt:i4>
      </vt:variant>
      <vt:variant>
        <vt:i4>5</vt:i4>
      </vt:variant>
      <vt:variant>
        <vt:lpwstr/>
      </vt:variant>
      <vt:variant>
        <vt:lpwstr>_Toc99117096</vt:lpwstr>
      </vt:variant>
      <vt:variant>
        <vt:i4>1703990</vt:i4>
      </vt:variant>
      <vt:variant>
        <vt:i4>224</vt:i4>
      </vt:variant>
      <vt:variant>
        <vt:i4>0</vt:i4>
      </vt:variant>
      <vt:variant>
        <vt:i4>5</vt:i4>
      </vt:variant>
      <vt:variant>
        <vt:lpwstr/>
      </vt:variant>
      <vt:variant>
        <vt:lpwstr>_Toc99117095</vt:lpwstr>
      </vt:variant>
      <vt:variant>
        <vt:i4>1769526</vt:i4>
      </vt:variant>
      <vt:variant>
        <vt:i4>218</vt:i4>
      </vt:variant>
      <vt:variant>
        <vt:i4>0</vt:i4>
      </vt:variant>
      <vt:variant>
        <vt:i4>5</vt:i4>
      </vt:variant>
      <vt:variant>
        <vt:lpwstr/>
      </vt:variant>
      <vt:variant>
        <vt:lpwstr>_Toc99117094</vt:lpwstr>
      </vt:variant>
      <vt:variant>
        <vt:i4>1835062</vt:i4>
      </vt:variant>
      <vt:variant>
        <vt:i4>212</vt:i4>
      </vt:variant>
      <vt:variant>
        <vt:i4>0</vt:i4>
      </vt:variant>
      <vt:variant>
        <vt:i4>5</vt:i4>
      </vt:variant>
      <vt:variant>
        <vt:lpwstr/>
      </vt:variant>
      <vt:variant>
        <vt:lpwstr>_Toc99117093</vt:lpwstr>
      </vt:variant>
      <vt:variant>
        <vt:i4>1900598</vt:i4>
      </vt:variant>
      <vt:variant>
        <vt:i4>206</vt:i4>
      </vt:variant>
      <vt:variant>
        <vt:i4>0</vt:i4>
      </vt:variant>
      <vt:variant>
        <vt:i4>5</vt:i4>
      </vt:variant>
      <vt:variant>
        <vt:lpwstr/>
      </vt:variant>
      <vt:variant>
        <vt:lpwstr>_Toc99117092</vt:lpwstr>
      </vt:variant>
      <vt:variant>
        <vt:i4>1966134</vt:i4>
      </vt:variant>
      <vt:variant>
        <vt:i4>200</vt:i4>
      </vt:variant>
      <vt:variant>
        <vt:i4>0</vt:i4>
      </vt:variant>
      <vt:variant>
        <vt:i4>5</vt:i4>
      </vt:variant>
      <vt:variant>
        <vt:lpwstr/>
      </vt:variant>
      <vt:variant>
        <vt:lpwstr>_Toc99117091</vt:lpwstr>
      </vt:variant>
      <vt:variant>
        <vt:i4>2031670</vt:i4>
      </vt:variant>
      <vt:variant>
        <vt:i4>194</vt:i4>
      </vt:variant>
      <vt:variant>
        <vt:i4>0</vt:i4>
      </vt:variant>
      <vt:variant>
        <vt:i4>5</vt:i4>
      </vt:variant>
      <vt:variant>
        <vt:lpwstr/>
      </vt:variant>
      <vt:variant>
        <vt:lpwstr>_Toc99117090</vt:lpwstr>
      </vt:variant>
      <vt:variant>
        <vt:i4>1441847</vt:i4>
      </vt:variant>
      <vt:variant>
        <vt:i4>188</vt:i4>
      </vt:variant>
      <vt:variant>
        <vt:i4>0</vt:i4>
      </vt:variant>
      <vt:variant>
        <vt:i4>5</vt:i4>
      </vt:variant>
      <vt:variant>
        <vt:lpwstr/>
      </vt:variant>
      <vt:variant>
        <vt:lpwstr>_Toc99117089</vt:lpwstr>
      </vt:variant>
      <vt:variant>
        <vt:i4>1507383</vt:i4>
      </vt:variant>
      <vt:variant>
        <vt:i4>182</vt:i4>
      </vt:variant>
      <vt:variant>
        <vt:i4>0</vt:i4>
      </vt:variant>
      <vt:variant>
        <vt:i4>5</vt:i4>
      </vt:variant>
      <vt:variant>
        <vt:lpwstr/>
      </vt:variant>
      <vt:variant>
        <vt:lpwstr>_Toc99117088</vt:lpwstr>
      </vt:variant>
      <vt:variant>
        <vt:i4>1572919</vt:i4>
      </vt:variant>
      <vt:variant>
        <vt:i4>176</vt:i4>
      </vt:variant>
      <vt:variant>
        <vt:i4>0</vt:i4>
      </vt:variant>
      <vt:variant>
        <vt:i4>5</vt:i4>
      </vt:variant>
      <vt:variant>
        <vt:lpwstr/>
      </vt:variant>
      <vt:variant>
        <vt:lpwstr>_Toc99117087</vt:lpwstr>
      </vt:variant>
      <vt:variant>
        <vt:i4>1638455</vt:i4>
      </vt:variant>
      <vt:variant>
        <vt:i4>170</vt:i4>
      </vt:variant>
      <vt:variant>
        <vt:i4>0</vt:i4>
      </vt:variant>
      <vt:variant>
        <vt:i4>5</vt:i4>
      </vt:variant>
      <vt:variant>
        <vt:lpwstr/>
      </vt:variant>
      <vt:variant>
        <vt:lpwstr>_Toc99117086</vt:lpwstr>
      </vt:variant>
      <vt:variant>
        <vt:i4>1703991</vt:i4>
      </vt:variant>
      <vt:variant>
        <vt:i4>164</vt:i4>
      </vt:variant>
      <vt:variant>
        <vt:i4>0</vt:i4>
      </vt:variant>
      <vt:variant>
        <vt:i4>5</vt:i4>
      </vt:variant>
      <vt:variant>
        <vt:lpwstr/>
      </vt:variant>
      <vt:variant>
        <vt:lpwstr>_Toc99117085</vt:lpwstr>
      </vt:variant>
      <vt:variant>
        <vt:i4>1769527</vt:i4>
      </vt:variant>
      <vt:variant>
        <vt:i4>158</vt:i4>
      </vt:variant>
      <vt:variant>
        <vt:i4>0</vt:i4>
      </vt:variant>
      <vt:variant>
        <vt:i4>5</vt:i4>
      </vt:variant>
      <vt:variant>
        <vt:lpwstr/>
      </vt:variant>
      <vt:variant>
        <vt:lpwstr>_Toc99117084</vt:lpwstr>
      </vt:variant>
      <vt:variant>
        <vt:i4>1835063</vt:i4>
      </vt:variant>
      <vt:variant>
        <vt:i4>152</vt:i4>
      </vt:variant>
      <vt:variant>
        <vt:i4>0</vt:i4>
      </vt:variant>
      <vt:variant>
        <vt:i4>5</vt:i4>
      </vt:variant>
      <vt:variant>
        <vt:lpwstr/>
      </vt:variant>
      <vt:variant>
        <vt:lpwstr>_Toc99117083</vt:lpwstr>
      </vt:variant>
      <vt:variant>
        <vt:i4>1900599</vt:i4>
      </vt:variant>
      <vt:variant>
        <vt:i4>146</vt:i4>
      </vt:variant>
      <vt:variant>
        <vt:i4>0</vt:i4>
      </vt:variant>
      <vt:variant>
        <vt:i4>5</vt:i4>
      </vt:variant>
      <vt:variant>
        <vt:lpwstr/>
      </vt:variant>
      <vt:variant>
        <vt:lpwstr>_Toc99117082</vt:lpwstr>
      </vt:variant>
      <vt:variant>
        <vt:i4>1966135</vt:i4>
      </vt:variant>
      <vt:variant>
        <vt:i4>140</vt:i4>
      </vt:variant>
      <vt:variant>
        <vt:i4>0</vt:i4>
      </vt:variant>
      <vt:variant>
        <vt:i4>5</vt:i4>
      </vt:variant>
      <vt:variant>
        <vt:lpwstr/>
      </vt:variant>
      <vt:variant>
        <vt:lpwstr>_Toc99117081</vt:lpwstr>
      </vt:variant>
      <vt:variant>
        <vt:i4>2031671</vt:i4>
      </vt:variant>
      <vt:variant>
        <vt:i4>134</vt:i4>
      </vt:variant>
      <vt:variant>
        <vt:i4>0</vt:i4>
      </vt:variant>
      <vt:variant>
        <vt:i4>5</vt:i4>
      </vt:variant>
      <vt:variant>
        <vt:lpwstr/>
      </vt:variant>
      <vt:variant>
        <vt:lpwstr>_Toc99117080</vt:lpwstr>
      </vt:variant>
      <vt:variant>
        <vt:i4>1441848</vt:i4>
      </vt:variant>
      <vt:variant>
        <vt:i4>128</vt:i4>
      </vt:variant>
      <vt:variant>
        <vt:i4>0</vt:i4>
      </vt:variant>
      <vt:variant>
        <vt:i4>5</vt:i4>
      </vt:variant>
      <vt:variant>
        <vt:lpwstr/>
      </vt:variant>
      <vt:variant>
        <vt:lpwstr>_Toc99117079</vt:lpwstr>
      </vt:variant>
      <vt:variant>
        <vt:i4>1507384</vt:i4>
      </vt:variant>
      <vt:variant>
        <vt:i4>122</vt:i4>
      </vt:variant>
      <vt:variant>
        <vt:i4>0</vt:i4>
      </vt:variant>
      <vt:variant>
        <vt:i4>5</vt:i4>
      </vt:variant>
      <vt:variant>
        <vt:lpwstr/>
      </vt:variant>
      <vt:variant>
        <vt:lpwstr>_Toc99117078</vt:lpwstr>
      </vt:variant>
      <vt:variant>
        <vt:i4>1638456</vt:i4>
      </vt:variant>
      <vt:variant>
        <vt:i4>116</vt:i4>
      </vt:variant>
      <vt:variant>
        <vt:i4>0</vt:i4>
      </vt:variant>
      <vt:variant>
        <vt:i4>5</vt:i4>
      </vt:variant>
      <vt:variant>
        <vt:lpwstr/>
      </vt:variant>
      <vt:variant>
        <vt:lpwstr>_Toc99117076</vt:lpwstr>
      </vt:variant>
      <vt:variant>
        <vt:i4>1703992</vt:i4>
      </vt:variant>
      <vt:variant>
        <vt:i4>110</vt:i4>
      </vt:variant>
      <vt:variant>
        <vt:i4>0</vt:i4>
      </vt:variant>
      <vt:variant>
        <vt:i4>5</vt:i4>
      </vt:variant>
      <vt:variant>
        <vt:lpwstr/>
      </vt:variant>
      <vt:variant>
        <vt:lpwstr>_Toc99117075</vt:lpwstr>
      </vt:variant>
      <vt:variant>
        <vt:i4>1769528</vt:i4>
      </vt:variant>
      <vt:variant>
        <vt:i4>104</vt:i4>
      </vt:variant>
      <vt:variant>
        <vt:i4>0</vt:i4>
      </vt:variant>
      <vt:variant>
        <vt:i4>5</vt:i4>
      </vt:variant>
      <vt:variant>
        <vt:lpwstr/>
      </vt:variant>
      <vt:variant>
        <vt:lpwstr>_Toc99117074</vt:lpwstr>
      </vt:variant>
      <vt:variant>
        <vt:i4>1835064</vt:i4>
      </vt:variant>
      <vt:variant>
        <vt:i4>98</vt:i4>
      </vt:variant>
      <vt:variant>
        <vt:i4>0</vt:i4>
      </vt:variant>
      <vt:variant>
        <vt:i4>5</vt:i4>
      </vt:variant>
      <vt:variant>
        <vt:lpwstr/>
      </vt:variant>
      <vt:variant>
        <vt:lpwstr>_Toc99117073</vt:lpwstr>
      </vt:variant>
      <vt:variant>
        <vt:i4>1900600</vt:i4>
      </vt:variant>
      <vt:variant>
        <vt:i4>92</vt:i4>
      </vt:variant>
      <vt:variant>
        <vt:i4>0</vt:i4>
      </vt:variant>
      <vt:variant>
        <vt:i4>5</vt:i4>
      </vt:variant>
      <vt:variant>
        <vt:lpwstr/>
      </vt:variant>
      <vt:variant>
        <vt:lpwstr>_Toc99117072</vt:lpwstr>
      </vt:variant>
      <vt:variant>
        <vt:i4>1966136</vt:i4>
      </vt:variant>
      <vt:variant>
        <vt:i4>86</vt:i4>
      </vt:variant>
      <vt:variant>
        <vt:i4>0</vt:i4>
      </vt:variant>
      <vt:variant>
        <vt:i4>5</vt:i4>
      </vt:variant>
      <vt:variant>
        <vt:lpwstr/>
      </vt:variant>
      <vt:variant>
        <vt:lpwstr>_Toc99117071</vt:lpwstr>
      </vt:variant>
      <vt:variant>
        <vt:i4>2031672</vt:i4>
      </vt:variant>
      <vt:variant>
        <vt:i4>80</vt:i4>
      </vt:variant>
      <vt:variant>
        <vt:i4>0</vt:i4>
      </vt:variant>
      <vt:variant>
        <vt:i4>5</vt:i4>
      </vt:variant>
      <vt:variant>
        <vt:lpwstr/>
      </vt:variant>
      <vt:variant>
        <vt:lpwstr>_Toc99117070</vt:lpwstr>
      </vt:variant>
      <vt:variant>
        <vt:i4>1441849</vt:i4>
      </vt:variant>
      <vt:variant>
        <vt:i4>74</vt:i4>
      </vt:variant>
      <vt:variant>
        <vt:i4>0</vt:i4>
      </vt:variant>
      <vt:variant>
        <vt:i4>5</vt:i4>
      </vt:variant>
      <vt:variant>
        <vt:lpwstr/>
      </vt:variant>
      <vt:variant>
        <vt:lpwstr>_Toc99117069</vt:lpwstr>
      </vt:variant>
      <vt:variant>
        <vt:i4>1507385</vt:i4>
      </vt:variant>
      <vt:variant>
        <vt:i4>68</vt:i4>
      </vt:variant>
      <vt:variant>
        <vt:i4>0</vt:i4>
      </vt:variant>
      <vt:variant>
        <vt:i4>5</vt:i4>
      </vt:variant>
      <vt:variant>
        <vt:lpwstr/>
      </vt:variant>
      <vt:variant>
        <vt:lpwstr>_Toc99117068</vt:lpwstr>
      </vt:variant>
      <vt:variant>
        <vt:i4>1572921</vt:i4>
      </vt:variant>
      <vt:variant>
        <vt:i4>62</vt:i4>
      </vt:variant>
      <vt:variant>
        <vt:i4>0</vt:i4>
      </vt:variant>
      <vt:variant>
        <vt:i4>5</vt:i4>
      </vt:variant>
      <vt:variant>
        <vt:lpwstr/>
      </vt:variant>
      <vt:variant>
        <vt:lpwstr>_Toc99117067</vt:lpwstr>
      </vt:variant>
      <vt:variant>
        <vt:i4>1638457</vt:i4>
      </vt:variant>
      <vt:variant>
        <vt:i4>56</vt:i4>
      </vt:variant>
      <vt:variant>
        <vt:i4>0</vt:i4>
      </vt:variant>
      <vt:variant>
        <vt:i4>5</vt:i4>
      </vt:variant>
      <vt:variant>
        <vt:lpwstr/>
      </vt:variant>
      <vt:variant>
        <vt:lpwstr>_Toc99117066</vt:lpwstr>
      </vt:variant>
      <vt:variant>
        <vt:i4>1703993</vt:i4>
      </vt:variant>
      <vt:variant>
        <vt:i4>50</vt:i4>
      </vt:variant>
      <vt:variant>
        <vt:i4>0</vt:i4>
      </vt:variant>
      <vt:variant>
        <vt:i4>5</vt:i4>
      </vt:variant>
      <vt:variant>
        <vt:lpwstr/>
      </vt:variant>
      <vt:variant>
        <vt:lpwstr>_Toc99117065</vt:lpwstr>
      </vt:variant>
      <vt:variant>
        <vt:i4>1769529</vt:i4>
      </vt:variant>
      <vt:variant>
        <vt:i4>44</vt:i4>
      </vt:variant>
      <vt:variant>
        <vt:i4>0</vt:i4>
      </vt:variant>
      <vt:variant>
        <vt:i4>5</vt:i4>
      </vt:variant>
      <vt:variant>
        <vt:lpwstr/>
      </vt:variant>
      <vt:variant>
        <vt:lpwstr>_Toc99117064</vt:lpwstr>
      </vt:variant>
      <vt:variant>
        <vt:i4>1835065</vt:i4>
      </vt:variant>
      <vt:variant>
        <vt:i4>38</vt:i4>
      </vt:variant>
      <vt:variant>
        <vt:i4>0</vt:i4>
      </vt:variant>
      <vt:variant>
        <vt:i4>5</vt:i4>
      </vt:variant>
      <vt:variant>
        <vt:lpwstr/>
      </vt:variant>
      <vt:variant>
        <vt:lpwstr>_Toc99117063</vt:lpwstr>
      </vt:variant>
      <vt:variant>
        <vt:i4>1900601</vt:i4>
      </vt:variant>
      <vt:variant>
        <vt:i4>32</vt:i4>
      </vt:variant>
      <vt:variant>
        <vt:i4>0</vt:i4>
      </vt:variant>
      <vt:variant>
        <vt:i4>5</vt:i4>
      </vt:variant>
      <vt:variant>
        <vt:lpwstr/>
      </vt:variant>
      <vt:variant>
        <vt:lpwstr>_Toc99117062</vt:lpwstr>
      </vt:variant>
      <vt:variant>
        <vt:i4>1966137</vt:i4>
      </vt:variant>
      <vt:variant>
        <vt:i4>26</vt:i4>
      </vt:variant>
      <vt:variant>
        <vt:i4>0</vt:i4>
      </vt:variant>
      <vt:variant>
        <vt:i4>5</vt:i4>
      </vt:variant>
      <vt:variant>
        <vt:lpwstr/>
      </vt:variant>
      <vt:variant>
        <vt:lpwstr>_Toc99117061</vt:lpwstr>
      </vt:variant>
      <vt:variant>
        <vt:i4>2031673</vt:i4>
      </vt:variant>
      <vt:variant>
        <vt:i4>20</vt:i4>
      </vt:variant>
      <vt:variant>
        <vt:i4>0</vt:i4>
      </vt:variant>
      <vt:variant>
        <vt:i4>5</vt:i4>
      </vt:variant>
      <vt:variant>
        <vt:lpwstr/>
      </vt:variant>
      <vt:variant>
        <vt:lpwstr>_Toc99117060</vt:lpwstr>
      </vt:variant>
      <vt:variant>
        <vt:i4>1441850</vt:i4>
      </vt:variant>
      <vt:variant>
        <vt:i4>14</vt:i4>
      </vt:variant>
      <vt:variant>
        <vt:i4>0</vt:i4>
      </vt:variant>
      <vt:variant>
        <vt:i4>5</vt:i4>
      </vt:variant>
      <vt:variant>
        <vt:lpwstr/>
      </vt:variant>
      <vt:variant>
        <vt:lpwstr>_Toc99117059</vt:lpwstr>
      </vt:variant>
      <vt:variant>
        <vt:i4>1507386</vt:i4>
      </vt:variant>
      <vt:variant>
        <vt:i4>8</vt:i4>
      </vt:variant>
      <vt:variant>
        <vt:i4>0</vt:i4>
      </vt:variant>
      <vt:variant>
        <vt:i4>5</vt:i4>
      </vt:variant>
      <vt:variant>
        <vt:lpwstr/>
      </vt:variant>
      <vt:variant>
        <vt:lpwstr>_Toc99117058</vt:lpwstr>
      </vt:variant>
      <vt:variant>
        <vt:i4>1572922</vt:i4>
      </vt:variant>
      <vt:variant>
        <vt:i4>2</vt:i4>
      </vt:variant>
      <vt:variant>
        <vt:i4>0</vt:i4>
      </vt:variant>
      <vt:variant>
        <vt:i4>5</vt:i4>
      </vt:variant>
      <vt:variant>
        <vt:lpwstr/>
      </vt:variant>
      <vt:variant>
        <vt:lpwstr>_Toc99117057</vt:lpwstr>
      </vt:variant>
      <vt:variant>
        <vt:i4>4128851</vt:i4>
      </vt:variant>
      <vt:variant>
        <vt:i4>3</vt:i4>
      </vt:variant>
      <vt:variant>
        <vt:i4>0</vt:i4>
      </vt:variant>
      <vt:variant>
        <vt:i4>5</vt:i4>
      </vt:variant>
      <vt:variant>
        <vt:lpwstr>mailto:rhbanerjee@deloitte.com.au</vt:lpwstr>
      </vt:variant>
      <vt:variant>
        <vt:lpwstr/>
      </vt:variant>
      <vt:variant>
        <vt:i4>4128851</vt:i4>
      </vt:variant>
      <vt:variant>
        <vt:i4>0</vt:i4>
      </vt:variant>
      <vt:variant>
        <vt:i4>0</vt:i4>
      </vt:variant>
      <vt:variant>
        <vt:i4>5</vt:i4>
      </vt:variant>
      <vt:variant>
        <vt:lpwstr>mailto:rhbanerjee@deloitte.com.au</vt:lpwstr>
      </vt:variant>
      <vt:variant>
        <vt:lpwstr/>
      </vt:variant>
      <vt:variant>
        <vt:i4>7798905</vt:i4>
      </vt:variant>
      <vt:variant>
        <vt:i4>0</vt:i4>
      </vt:variant>
      <vt:variant>
        <vt:i4>0</vt:i4>
      </vt:variant>
      <vt:variant>
        <vt:i4>5</vt:i4>
      </vt:variant>
      <vt:variant>
        <vt:lpwstr>https://behaviouraleconomics.pmc.gov.au/projects/nudge-vs-superbugs-behavioural-economics-trial-reduce-overprescribing-antibiotics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 Study of the National Aged Care Advocacy Program (NACAP)</dc:title>
  <dc:subject>Aged care</dc:subject>
  <dc:creator>Deloitte</dc:creator>
  <cp:keywords/>
  <cp:lastModifiedBy>BYRNE, Lee</cp:lastModifiedBy>
  <cp:revision>2</cp:revision>
  <cp:lastPrinted>2022-03-30T03:07:00Z</cp:lastPrinted>
  <dcterms:created xsi:type="dcterms:W3CDTF">2023-08-03T01:57:00Z</dcterms:created>
  <dcterms:modified xsi:type="dcterms:W3CDTF">2023-08-03T01:57:00Z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637637120400603133</vt:lpwstr>
  </property>
  <property fmtid="{D5CDD505-2E9C-101B-9397-08002B2CF9AE}" pid="8" name="MSIP_Label_ea60d57e-af5b-4752-ac57-3e4f28ca11dc_Enabled">
    <vt:lpwstr>true</vt:lpwstr>
  </property>
  <property fmtid="{D5CDD505-2E9C-101B-9397-08002B2CF9AE}" pid="9" name="MSIP_Label_ea60d57e-af5b-4752-ac57-3e4f28ca11dc_SetDate">
    <vt:lpwstr>2021-12-02T22:05:08Z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52b90971-a032-425c-8456-42beb8b00f70</vt:lpwstr>
  </property>
  <property fmtid="{D5CDD505-2E9C-101B-9397-08002B2CF9AE}" pid="14" name="MSIP_Label_ea60d57e-af5b-4752-ac57-3e4f28ca11dc_ContentBits">
    <vt:lpwstr>0</vt:lpwstr>
  </property>
  <property fmtid="{D5CDD505-2E9C-101B-9397-08002B2CF9AE}" pid="15" name="ContentTypeId">
    <vt:lpwstr>0x010100640BE7D74C23B64F9D402B11D0D2E7D1</vt:lpwstr>
  </property>
</Properties>
</file>