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0587" w14:textId="77777777" w:rsidR="00213065" w:rsidRPr="00B13ACB" w:rsidRDefault="00F9495E">
      <w:pPr>
        <w:pStyle w:val="BodyText"/>
        <w:ind w:left="3926"/>
        <w:rPr>
          <w:rFonts w:ascii="Times New Roman" w:hAnsi="Times New Roman" w:cs="Times New Roman"/>
          <w:sz w:val="22"/>
          <w:szCs w:val="22"/>
        </w:rPr>
      </w:pPr>
      <w:r w:rsidRPr="00B13ACB">
        <w:rPr>
          <w:rFonts w:ascii="Times New Roman" w:hAnsi="Times New Roman" w:cs="Times New Roman"/>
          <w:noProof/>
          <w:sz w:val="22"/>
          <w:szCs w:val="22"/>
        </w:rPr>
        <w:drawing>
          <wp:inline distT="0" distB="0" distL="0" distR="0" wp14:anchorId="0F4505EE" wp14:editId="0F4505EF">
            <wp:extent cx="881956" cy="65836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881956" cy="658368"/>
                    </a:xfrm>
                    <a:prstGeom prst="rect">
                      <a:avLst/>
                    </a:prstGeom>
                  </pic:spPr>
                </pic:pic>
              </a:graphicData>
            </a:graphic>
          </wp:inline>
        </w:drawing>
      </w:r>
    </w:p>
    <w:p w14:paraId="0F450588" w14:textId="77777777" w:rsidR="00213065" w:rsidRPr="00B13ACB" w:rsidRDefault="00F9495E">
      <w:pPr>
        <w:pStyle w:val="Title"/>
        <w:rPr>
          <w:sz w:val="22"/>
          <w:szCs w:val="22"/>
        </w:rPr>
      </w:pPr>
      <w:r w:rsidRPr="00B13ACB">
        <w:rPr>
          <w:color w:val="232323"/>
          <w:sz w:val="22"/>
          <w:szCs w:val="22"/>
        </w:rPr>
        <w:t>The</w:t>
      </w:r>
      <w:r w:rsidRPr="00B13ACB">
        <w:rPr>
          <w:color w:val="232323"/>
          <w:spacing w:val="12"/>
          <w:sz w:val="22"/>
          <w:szCs w:val="22"/>
        </w:rPr>
        <w:t xml:space="preserve"> </w:t>
      </w:r>
      <w:r w:rsidRPr="00B13ACB">
        <w:rPr>
          <w:color w:val="232323"/>
          <w:sz w:val="22"/>
          <w:szCs w:val="22"/>
        </w:rPr>
        <w:t>Hon</w:t>
      </w:r>
      <w:r w:rsidRPr="00B13ACB">
        <w:rPr>
          <w:color w:val="232323"/>
          <w:spacing w:val="18"/>
          <w:sz w:val="22"/>
          <w:szCs w:val="22"/>
        </w:rPr>
        <w:t xml:space="preserve"> </w:t>
      </w:r>
      <w:r w:rsidRPr="00B13ACB">
        <w:rPr>
          <w:color w:val="232323"/>
          <w:sz w:val="22"/>
          <w:szCs w:val="22"/>
        </w:rPr>
        <w:t>Mark</w:t>
      </w:r>
      <w:r w:rsidRPr="00B13ACB">
        <w:rPr>
          <w:color w:val="232323"/>
          <w:spacing w:val="22"/>
          <w:sz w:val="22"/>
          <w:szCs w:val="22"/>
        </w:rPr>
        <w:t xml:space="preserve"> </w:t>
      </w:r>
      <w:r w:rsidRPr="00B13ACB">
        <w:rPr>
          <w:color w:val="232323"/>
          <w:sz w:val="22"/>
          <w:szCs w:val="22"/>
        </w:rPr>
        <w:t>Butler</w:t>
      </w:r>
      <w:r w:rsidRPr="00B13ACB">
        <w:rPr>
          <w:color w:val="232323"/>
          <w:spacing w:val="12"/>
          <w:sz w:val="22"/>
          <w:szCs w:val="22"/>
        </w:rPr>
        <w:t xml:space="preserve"> </w:t>
      </w:r>
      <w:r w:rsidRPr="00B13ACB">
        <w:rPr>
          <w:color w:val="232323"/>
          <w:spacing w:val="-5"/>
          <w:sz w:val="22"/>
          <w:szCs w:val="22"/>
        </w:rPr>
        <w:t>MP</w:t>
      </w:r>
    </w:p>
    <w:p w14:paraId="0F450589" w14:textId="77777777" w:rsidR="00213065" w:rsidRPr="00B13ACB" w:rsidRDefault="00F9495E">
      <w:pPr>
        <w:spacing w:before="7"/>
        <w:ind w:left="2190" w:right="2371"/>
        <w:jc w:val="center"/>
        <w:rPr>
          <w:rFonts w:ascii="Times New Roman" w:hAnsi="Times New Roman" w:cs="Times New Roman"/>
          <w:b/>
        </w:rPr>
      </w:pPr>
      <w:r w:rsidRPr="00B13ACB">
        <w:rPr>
          <w:rFonts w:ascii="Times New Roman" w:hAnsi="Times New Roman" w:cs="Times New Roman"/>
          <w:color w:val="A5A5A5"/>
        </w:rPr>
        <w:t>.</w:t>
      </w:r>
      <w:r w:rsidRPr="00B13ACB">
        <w:rPr>
          <w:rFonts w:ascii="Times New Roman" w:hAnsi="Times New Roman" w:cs="Times New Roman"/>
          <w:color w:val="A5A5A5"/>
          <w:spacing w:val="-19"/>
        </w:rPr>
        <w:t xml:space="preserve"> </w:t>
      </w:r>
      <w:r w:rsidRPr="00B13ACB">
        <w:rPr>
          <w:rFonts w:ascii="Times New Roman" w:hAnsi="Times New Roman" w:cs="Times New Roman"/>
          <w:b/>
          <w:color w:val="232323"/>
        </w:rPr>
        <w:t>Minister</w:t>
      </w:r>
      <w:r w:rsidRPr="00B13ACB">
        <w:rPr>
          <w:rFonts w:ascii="Times New Roman" w:hAnsi="Times New Roman" w:cs="Times New Roman"/>
          <w:b/>
          <w:color w:val="232323"/>
          <w:spacing w:val="32"/>
        </w:rPr>
        <w:t xml:space="preserve"> </w:t>
      </w:r>
      <w:r w:rsidRPr="00B13ACB">
        <w:rPr>
          <w:rFonts w:ascii="Times New Roman" w:hAnsi="Times New Roman" w:cs="Times New Roman"/>
          <w:b/>
          <w:color w:val="232323"/>
        </w:rPr>
        <w:t>for</w:t>
      </w:r>
      <w:r w:rsidRPr="00B13ACB">
        <w:rPr>
          <w:rFonts w:ascii="Times New Roman" w:hAnsi="Times New Roman" w:cs="Times New Roman"/>
          <w:b/>
          <w:color w:val="232323"/>
          <w:spacing w:val="8"/>
        </w:rPr>
        <w:t xml:space="preserve"> </w:t>
      </w:r>
      <w:r w:rsidRPr="00B13ACB">
        <w:rPr>
          <w:rFonts w:ascii="Times New Roman" w:hAnsi="Times New Roman" w:cs="Times New Roman"/>
          <w:b/>
          <w:color w:val="232323"/>
        </w:rPr>
        <w:t>Health</w:t>
      </w:r>
      <w:r w:rsidRPr="00B13ACB">
        <w:rPr>
          <w:rFonts w:ascii="Times New Roman" w:hAnsi="Times New Roman" w:cs="Times New Roman"/>
          <w:b/>
          <w:color w:val="232323"/>
          <w:spacing w:val="9"/>
        </w:rPr>
        <w:t xml:space="preserve"> </w:t>
      </w:r>
      <w:r w:rsidRPr="00B13ACB">
        <w:rPr>
          <w:rFonts w:ascii="Times New Roman" w:hAnsi="Times New Roman" w:cs="Times New Roman"/>
          <w:b/>
          <w:color w:val="232323"/>
        </w:rPr>
        <w:t>and</w:t>
      </w:r>
      <w:r w:rsidRPr="00B13ACB">
        <w:rPr>
          <w:rFonts w:ascii="Times New Roman" w:hAnsi="Times New Roman" w:cs="Times New Roman"/>
          <w:b/>
          <w:color w:val="232323"/>
          <w:spacing w:val="8"/>
        </w:rPr>
        <w:t xml:space="preserve"> </w:t>
      </w:r>
      <w:r w:rsidRPr="00B13ACB">
        <w:rPr>
          <w:rFonts w:ascii="Times New Roman" w:hAnsi="Times New Roman" w:cs="Times New Roman"/>
          <w:b/>
          <w:color w:val="232323"/>
        </w:rPr>
        <w:t>Aged</w:t>
      </w:r>
      <w:r w:rsidRPr="00B13ACB">
        <w:rPr>
          <w:rFonts w:ascii="Times New Roman" w:hAnsi="Times New Roman" w:cs="Times New Roman"/>
          <w:b/>
          <w:color w:val="232323"/>
          <w:spacing w:val="10"/>
        </w:rPr>
        <w:t xml:space="preserve"> </w:t>
      </w:r>
      <w:r w:rsidRPr="00B13ACB">
        <w:rPr>
          <w:rFonts w:ascii="Times New Roman" w:hAnsi="Times New Roman" w:cs="Times New Roman"/>
          <w:b/>
          <w:color w:val="232323"/>
          <w:spacing w:val="-4"/>
        </w:rPr>
        <w:t>Care</w:t>
      </w:r>
    </w:p>
    <w:p w14:paraId="0F45058A" w14:textId="77777777" w:rsidR="00213065" w:rsidRPr="00B13ACB" w:rsidRDefault="00213065">
      <w:pPr>
        <w:pStyle w:val="BodyText"/>
        <w:rPr>
          <w:rFonts w:ascii="Times New Roman" w:hAnsi="Times New Roman" w:cs="Times New Roman"/>
          <w:b/>
          <w:sz w:val="22"/>
          <w:szCs w:val="22"/>
        </w:rPr>
      </w:pPr>
    </w:p>
    <w:p w14:paraId="09748D4F" w14:textId="77777777" w:rsidR="00271440" w:rsidRDefault="00271440">
      <w:pPr>
        <w:pStyle w:val="BodyText"/>
        <w:spacing w:before="94"/>
        <w:ind w:right="197"/>
        <w:jc w:val="right"/>
        <w:rPr>
          <w:rFonts w:ascii="Times New Roman" w:hAnsi="Times New Roman" w:cs="Times New Roman"/>
          <w:color w:val="232323"/>
          <w:sz w:val="22"/>
          <w:szCs w:val="22"/>
        </w:rPr>
      </w:pPr>
    </w:p>
    <w:p w14:paraId="0F45058D" w14:textId="2F4F1F67" w:rsidR="00213065" w:rsidRPr="00B13ACB" w:rsidRDefault="00F9495E">
      <w:pPr>
        <w:pStyle w:val="BodyText"/>
        <w:spacing w:before="94"/>
        <w:ind w:right="197"/>
        <w:jc w:val="right"/>
        <w:rPr>
          <w:rFonts w:ascii="Times New Roman" w:hAnsi="Times New Roman" w:cs="Times New Roman"/>
          <w:sz w:val="22"/>
          <w:szCs w:val="22"/>
        </w:rPr>
      </w:pPr>
      <w:r w:rsidRPr="00B13ACB">
        <w:rPr>
          <w:rFonts w:ascii="Times New Roman" w:hAnsi="Times New Roman" w:cs="Times New Roman"/>
          <w:color w:val="232323"/>
          <w:sz w:val="22"/>
          <w:szCs w:val="22"/>
        </w:rPr>
        <w:t>Ref</w:t>
      </w:r>
      <w:r w:rsidRPr="00B13ACB">
        <w:rPr>
          <w:rFonts w:ascii="Times New Roman" w:hAnsi="Times New Roman" w:cs="Times New Roman"/>
          <w:color w:val="232323"/>
          <w:spacing w:val="17"/>
          <w:sz w:val="22"/>
          <w:szCs w:val="22"/>
        </w:rPr>
        <w:t xml:space="preserve"> </w:t>
      </w:r>
      <w:r w:rsidRPr="00B13ACB">
        <w:rPr>
          <w:rFonts w:ascii="Times New Roman" w:hAnsi="Times New Roman" w:cs="Times New Roman"/>
          <w:color w:val="232323"/>
          <w:sz w:val="22"/>
          <w:szCs w:val="22"/>
        </w:rPr>
        <w:t>No:</w:t>
      </w:r>
      <w:r w:rsidRPr="00B13ACB">
        <w:rPr>
          <w:rFonts w:ascii="Times New Roman" w:hAnsi="Times New Roman" w:cs="Times New Roman"/>
          <w:color w:val="232323"/>
          <w:spacing w:val="2"/>
          <w:sz w:val="22"/>
          <w:szCs w:val="22"/>
        </w:rPr>
        <w:t xml:space="preserve"> </w:t>
      </w:r>
      <w:r w:rsidRPr="00B13ACB">
        <w:rPr>
          <w:rFonts w:ascii="Times New Roman" w:hAnsi="Times New Roman" w:cs="Times New Roman"/>
          <w:color w:val="232323"/>
          <w:sz w:val="22"/>
          <w:szCs w:val="22"/>
        </w:rPr>
        <w:t>MS23-</w:t>
      </w:r>
      <w:r w:rsidRPr="00B13ACB">
        <w:rPr>
          <w:rFonts w:ascii="Times New Roman" w:hAnsi="Times New Roman" w:cs="Times New Roman"/>
          <w:color w:val="232323"/>
          <w:spacing w:val="-2"/>
          <w:sz w:val="22"/>
          <w:szCs w:val="22"/>
        </w:rPr>
        <w:t>000606</w:t>
      </w:r>
    </w:p>
    <w:p w14:paraId="0F45058E" w14:textId="77777777" w:rsidR="00213065" w:rsidRPr="00B13ACB" w:rsidRDefault="00213065">
      <w:pPr>
        <w:pStyle w:val="BodyText"/>
        <w:rPr>
          <w:rFonts w:ascii="Times New Roman" w:hAnsi="Times New Roman" w:cs="Times New Roman"/>
          <w:sz w:val="22"/>
          <w:szCs w:val="22"/>
        </w:rPr>
      </w:pPr>
    </w:p>
    <w:p w14:paraId="5230A5A2" w14:textId="77777777" w:rsidR="00271440" w:rsidRDefault="00271440" w:rsidP="00D27AF3">
      <w:pPr>
        <w:pStyle w:val="BodyText"/>
        <w:spacing w:line="290" w:lineRule="auto"/>
        <w:ind w:left="137" w:right="288" w:hanging="5"/>
        <w:rPr>
          <w:rFonts w:ascii="Times New Roman" w:hAnsi="Times New Roman" w:cs="Times New Roman"/>
          <w:color w:val="232323"/>
          <w:w w:val="105"/>
          <w:sz w:val="22"/>
          <w:szCs w:val="22"/>
        </w:rPr>
      </w:pPr>
    </w:p>
    <w:p w14:paraId="6D2B6FEF" w14:textId="367218DD" w:rsidR="00271440"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 xml:space="preserve">Dr Brendan Murphy </w:t>
      </w:r>
    </w:p>
    <w:p w14:paraId="0F450591" w14:textId="07449597"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Secretary</w:t>
      </w:r>
    </w:p>
    <w:p w14:paraId="0F450594" w14:textId="640691A3"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Department</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of</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Health</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and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Aged</w:t>
      </w:r>
      <w:r w:rsidRPr="00D27AF3">
        <w:rPr>
          <w:rFonts w:ascii="Times New Roman" w:hAnsi="Times New Roman" w:cs="Times New Roman"/>
          <w:color w:val="232323"/>
          <w:w w:val="105"/>
          <w:sz w:val="22"/>
          <w:szCs w:val="22"/>
        </w:rPr>
        <w:t xml:space="preserve"> Care</w:t>
      </w:r>
    </w:p>
    <w:p w14:paraId="6B0E08E2" w14:textId="41B5EEDF" w:rsidR="00465560" w:rsidRDefault="00465560" w:rsidP="00D27AF3">
      <w:pPr>
        <w:pStyle w:val="BodyText"/>
        <w:spacing w:line="290" w:lineRule="auto"/>
        <w:ind w:left="137" w:right="288" w:hanging="5"/>
        <w:rPr>
          <w:rFonts w:ascii="Times New Roman" w:hAnsi="Times New Roman" w:cs="Times New Roman"/>
          <w:color w:val="232323"/>
          <w:w w:val="105"/>
          <w:sz w:val="22"/>
          <w:szCs w:val="22"/>
        </w:rPr>
      </w:pPr>
    </w:p>
    <w:p w14:paraId="4DE07F78" w14:textId="53ECCB81" w:rsidR="00465560" w:rsidRDefault="00465560" w:rsidP="00D27AF3">
      <w:pPr>
        <w:pStyle w:val="BodyText"/>
        <w:spacing w:line="290" w:lineRule="auto"/>
        <w:ind w:left="137" w:right="288" w:hanging="5"/>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Dear Dr Murphy,</w:t>
      </w:r>
    </w:p>
    <w:p w14:paraId="3E47F532" w14:textId="77777777" w:rsidR="00271440" w:rsidRPr="00D27AF3" w:rsidRDefault="00271440" w:rsidP="00D27AF3">
      <w:pPr>
        <w:pStyle w:val="BodyText"/>
        <w:spacing w:line="290" w:lineRule="auto"/>
        <w:ind w:left="137" w:right="288" w:hanging="5"/>
        <w:rPr>
          <w:rFonts w:ascii="Times New Roman" w:hAnsi="Times New Roman" w:cs="Times New Roman"/>
          <w:color w:val="232323"/>
          <w:w w:val="105"/>
          <w:sz w:val="22"/>
          <w:szCs w:val="22"/>
        </w:rPr>
      </w:pPr>
    </w:p>
    <w:p w14:paraId="0F450595" w14:textId="77777777"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 xml:space="preserve">I </w:t>
      </w:r>
      <w:r w:rsidRPr="00B13ACB">
        <w:rPr>
          <w:rFonts w:ascii="Times New Roman" w:hAnsi="Times New Roman" w:cs="Times New Roman"/>
          <w:color w:val="232323"/>
          <w:w w:val="105"/>
          <w:sz w:val="22"/>
          <w:szCs w:val="22"/>
        </w:rPr>
        <w:t>am writing</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to outline my</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expectations of how the Department of Health</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and Aged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Care will achieve its regulatory objectives, carry out</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its regulatory functions, and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exercise its powers.</w:t>
      </w:r>
    </w:p>
    <w:p w14:paraId="0F450596" w14:textId="77777777" w:rsidR="00213065" w:rsidRPr="00D27AF3" w:rsidRDefault="00213065" w:rsidP="00D27AF3">
      <w:pPr>
        <w:pStyle w:val="BodyText"/>
        <w:spacing w:line="290" w:lineRule="auto"/>
        <w:ind w:left="137" w:right="288" w:hanging="5"/>
        <w:rPr>
          <w:rFonts w:ascii="Times New Roman" w:hAnsi="Times New Roman" w:cs="Times New Roman"/>
          <w:color w:val="232323"/>
          <w:w w:val="105"/>
          <w:sz w:val="22"/>
          <w:szCs w:val="22"/>
        </w:rPr>
      </w:pPr>
    </w:p>
    <w:p w14:paraId="0F450597" w14:textId="77777777" w:rsidR="00213065" w:rsidRPr="00D27AF3" w:rsidRDefault="00F9495E">
      <w:pPr>
        <w:pStyle w:val="BodyText"/>
        <w:spacing w:line="290" w:lineRule="auto"/>
        <w:ind w:left="137" w:right="288" w:hanging="5"/>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This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Statement of Expectations (SOE) will</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assist with</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Australian</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 xml:space="preserve">Government's commitment to effective governance and performance of regulatory functions, guided by the </w:t>
      </w:r>
      <w:r w:rsidRPr="00D27AF3">
        <w:rPr>
          <w:rFonts w:ascii="Times New Roman" w:hAnsi="Times New Roman" w:cs="Times New Roman"/>
          <w:color w:val="232323"/>
          <w:w w:val="105"/>
          <w:sz w:val="22"/>
          <w:szCs w:val="22"/>
        </w:rPr>
        <w:t xml:space="preserve">Public Governance, Performance and Accountability Act 2013 </w:t>
      </w:r>
      <w:r w:rsidRPr="00B13ACB">
        <w:rPr>
          <w:rFonts w:ascii="Times New Roman" w:hAnsi="Times New Roman" w:cs="Times New Roman"/>
          <w:color w:val="232323"/>
          <w:w w:val="105"/>
          <w:sz w:val="22"/>
          <w:szCs w:val="22"/>
        </w:rPr>
        <w:t>(PGPA Act).</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It forms part of the Government's commitment to good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corporate governance of regulatory bodies and reducing unnecessary burden on business and the community.</w:t>
      </w:r>
    </w:p>
    <w:p w14:paraId="0F450598" w14:textId="77777777" w:rsidR="00213065" w:rsidRPr="00D27AF3" w:rsidRDefault="00213065" w:rsidP="00D27AF3">
      <w:pPr>
        <w:pStyle w:val="BodyText"/>
        <w:spacing w:line="290" w:lineRule="auto"/>
        <w:ind w:left="137" w:right="288" w:hanging="5"/>
        <w:rPr>
          <w:rFonts w:ascii="Times New Roman" w:hAnsi="Times New Roman" w:cs="Times New Roman"/>
          <w:color w:val="232323"/>
          <w:w w:val="105"/>
          <w:sz w:val="22"/>
          <w:szCs w:val="22"/>
        </w:rPr>
      </w:pPr>
    </w:p>
    <w:p w14:paraId="0F450599" w14:textId="77777777"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This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SOE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is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to</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be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read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in conjunction with</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SOEs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provided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by</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Assistant Minister for</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Health and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Aged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Care,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Hon</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Ged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Kearney</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MP,</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to the Gene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Technology Regulator</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and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 xml:space="preserve">the Executive Director of the Australian Industrial Chemicals Introduction Scheme. Whilst the Government </w:t>
      </w:r>
      <w:proofErr w:type="spellStart"/>
      <w:r w:rsidRPr="00B13ACB">
        <w:rPr>
          <w:rFonts w:ascii="Times New Roman" w:hAnsi="Times New Roman" w:cs="Times New Roman"/>
          <w:color w:val="232323"/>
          <w:w w:val="105"/>
          <w:sz w:val="22"/>
          <w:szCs w:val="22"/>
        </w:rPr>
        <w:t>recognises</w:t>
      </w:r>
      <w:proofErr w:type="spellEnd"/>
      <w:r w:rsidRPr="00B13ACB">
        <w:rPr>
          <w:rFonts w:ascii="Times New Roman" w:hAnsi="Times New Roman" w:cs="Times New Roman"/>
          <w:color w:val="232323"/>
          <w:w w:val="105"/>
          <w:sz w:val="22"/>
          <w:szCs w:val="22"/>
        </w:rPr>
        <w:t xml:space="preserve"> 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statutory independence of these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entities,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 Secretary of the department is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 Accountable Authority under the PGPA Act for these regulatory functions.</w:t>
      </w:r>
    </w:p>
    <w:p w14:paraId="0F45059A" w14:textId="77777777" w:rsidR="00213065" w:rsidRPr="00D27AF3" w:rsidRDefault="00213065" w:rsidP="00D27AF3">
      <w:pPr>
        <w:pStyle w:val="BodyText"/>
        <w:spacing w:line="290" w:lineRule="auto"/>
        <w:ind w:left="137" w:right="288" w:hanging="5"/>
        <w:rPr>
          <w:rFonts w:ascii="Times New Roman" w:hAnsi="Times New Roman" w:cs="Times New Roman"/>
          <w:color w:val="232323"/>
          <w:w w:val="105"/>
          <w:sz w:val="22"/>
          <w:szCs w:val="22"/>
        </w:rPr>
      </w:pPr>
    </w:p>
    <w:p w14:paraId="0F45059B" w14:textId="77777777"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Separately, within</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Health</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and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Aged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Care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portfolio,</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I am</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providing</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an</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SOE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to</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Director of 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Professional Services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Review.</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SOEs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are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also</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being</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provided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by</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 Minister for</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Aged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Care and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Minister for Sport, 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Hon</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Anika Wells MP</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to</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Chief</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Executive Officer of Sport</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Integrity Australia and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 Commissioner</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of 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Aged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Care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Quality and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Safety</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Commission.</w:t>
      </w:r>
    </w:p>
    <w:p w14:paraId="0F45059C" w14:textId="77777777" w:rsidR="00213065" w:rsidRPr="00D27AF3" w:rsidRDefault="00213065" w:rsidP="00D27AF3">
      <w:pPr>
        <w:pStyle w:val="BodyText"/>
        <w:spacing w:line="290" w:lineRule="auto"/>
        <w:ind w:left="137" w:right="288" w:hanging="5"/>
        <w:rPr>
          <w:rFonts w:ascii="Times New Roman" w:hAnsi="Times New Roman" w:cs="Times New Roman"/>
          <w:color w:val="232323"/>
          <w:w w:val="105"/>
          <w:sz w:val="22"/>
          <w:szCs w:val="22"/>
        </w:rPr>
      </w:pPr>
    </w:p>
    <w:p w14:paraId="0F45059D" w14:textId="77777777" w:rsidR="00213065" w:rsidRPr="00271440" w:rsidRDefault="00F9495E" w:rsidP="00D27AF3">
      <w:pPr>
        <w:pStyle w:val="BodyText"/>
        <w:spacing w:line="290" w:lineRule="auto"/>
        <w:ind w:left="137" w:right="288" w:hanging="5"/>
        <w:rPr>
          <w:rFonts w:ascii="Times New Roman" w:hAnsi="Times New Roman" w:cs="Times New Roman"/>
          <w:b/>
          <w:bCs/>
          <w:color w:val="232323"/>
          <w:w w:val="105"/>
          <w:sz w:val="22"/>
          <w:szCs w:val="22"/>
        </w:rPr>
      </w:pPr>
      <w:r w:rsidRPr="00271440">
        <w:rPr>
          <w:rFonts w:ascii="Times New Roman" w:hAnsi="Times New Roman" w:cs="Times New Roman"/>
          <w:b/>
          <w:bCs/>
          <w:color w:val="232323"/>
          <w:w w:val="105"/>
          <w:sz w:val="22"/>
          <w:szCs w:val="22"/>
        </w:rPr>
        <w:t>Overview</w:t>
      </w:r>
    </w:p>
    <w:p w14:paraId="0F45059E" w14:textId="77777777"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As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responsible Commonwealth Minister</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this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SOE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sets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out</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my expectations of 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following internal regulatory</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functions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undertaken</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within the department:</w:t>
      </w:r>
    </w:p>
    <w:p w14:paraId="0F4505A0" w14:textId="77777777" w:rsidR="00213065" w:rsidRPr="00D27AF3" w:rsidRDefault="00F9495E" w:rsidP="00271440">
      <w:pPr>
        <w:pStyle w:val="BodyText"/>
        <w:numPr>
          <w:ilvl w:val="0"/>
          <w:numId w:val="3"/>
        </w:numPr>
        <w:spacing w:line="290" w:lineRule="auto"/>
        <w:ind w:left="497" w:right="288"/>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Regulatory</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oversight</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of</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therapeutic</w:t>
      </w:r>
      <w:r w:rsidRPr="00D27AF3">
        <w:rPr>
          <w:rFonts w:ascii="Times New Roman" w:hAnsi="Times New Roman" w:cs="Times New Roman"/>
          <w:color w:val="232323"/>
          <w:w w:val="105"/>
          <w:sz w:val="22"/>
          <w:szCs w:val="22"/>
        </w:rPr>
        <w:t xml:space="preserve"> goods:</w:t>
      </w:r>
    </w:p>
    <w:p w14:paraId="0F4505A1" w14:textId="77777777" w:rsidR="00213065" w:rsidRPr="00D27AF3" w:rsidRDefault="00F9495E" w:rsidP="00271440">
      <w:pPr>
        <w:pStyle w:val="BodyText"/>
        <w:numPr>
          <w:ilvl w:val="0"/>
          <w:numId w:val="4"/>
        </w:numPr>
        <w:spacing w:line="290" w:lineRule="auto"/>
        <w:ind w:left="857" w:right="288"/>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department is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responsible for regulating the manufacture, import, export, and supply of therapeutic goods including</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medicines, vaccines, sunscreens, vitamins and minerals, medical devices, blood and blood products, and the scheduling of medicines and poisons</w:t>
      </w:r>
    </w:p>
    <w:p w14:paraId="0F4505A2" w14:textId="61DE3329" w:rsidR="00213065" w:rsidRPr="00D27AF3" w:rsidRDefault="00F9495E" w:rsidP="00271440">
      <w:pPr>
        <w:pStyle w:val="BodyText"/>
        <w:numPr>
          <w:ilvl w:val="0"/>
          <w:numId w:val="4"/>
        </w:numPr>
        <w:spacing w:line="290" w:lineRule="auto"/>
        <w:ind w:left="857" w:right="288"/>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 xml:space="preserve">this is achieved through administering the </w:t>
      </w:r>
      <w:r w:rsidRPr="00D27AF3">
        <w:rPr>
          <w:rFonts w:ascii="Times New Roman" w:hAnsi="Times New Roman" w:cs="Times New Roman"/>
          <w:color w:val="232323"/>
          <w:w w:val="105"/>
          <w:sz w:val="22"/>
          <w:szCs w:val="22"/>
        </w:rPr>
        <w:t xml:space="preserve">Therapeutics Goods Act 1989, Therapeutic Goods Regulations 1990, Therapeutic Goods (Medical Devices) </w:t>
      </w:r>
      <w:r w:rsidRPr="00B13ACB">
        <w:rPr>
          <w:rFonts w:ascii="Times New Roman" w:hAnsi="Times New Roman" w:cs="Times New Roman"/>
          <w:color w:val="232323"/>
          <w:w w:val="105"/>
          <w:sz w:val="22"/>
          <w:szCs w:val="22"/>
        </w:rPr>
        <w:t>Regulations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2002,</w:t>
      </w:r>
      <w:r w:rsidRPr="00D27AF3">
        <w:rPr>
          <w:rFonts w:ascii="Times New Roman" w:hAnsi="Times New Roman" w:cs="Times New Roman"/>
          <w:color w:val="232323"/>
          <w:w w:val="105"/>
          <w:sz w:val="22"/>
          <w:szCs w:val="22"/>
        </w:rPr>
        <w:t xml:space="preserve"> Therapeutic Goods (Charges) Act 1989, </w:t>
      </w:r>
      <w:r w:rsidRPr="00B13ACB">
        <w:rPr>
          <w:rFonts w:ascii="Times New Roman" w:hAnsi="Times New Roman" w:cs="Times New Roman"/>
          <w:color w:val="232323"/>
          <w:w w:val="105"/>
          <w:sz w:val="22"/>
          <w:szCs w:val="22"/>
        </w:rPr>
        <w:t>and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Therapeutic Goods (Charges) Regulations 2018</w:t>
      </w:r>
    </w:p>
    <w:p w14:paraId="0F4505A3" w14:textId="54D0A309" w:rsidR="00213065" w:rsidRPr="00D27AF3" w:rsidRDefault="00213065" w:rsidP="00D27AF3">
      <w:pPr>
        <w:pStyle w:val="BodyText"/>
        <w:spacing w:line="290" w:lineRule="auto"/>
        <w:ind w:left="137" w:right="288" w:hanging="5"/>
        <w:rPr>
          <w:rFonts w:ascii="Times New Roman" w:hAnsi="Times New Roman" w:cs="Times New Roman"/>
          <w:color w:val="232323"/>
          <w:w w:val="105"/>
          <w:sz w:val="22"/>
          <w:szCs w:val="22"/>
        </w:rPr>
      </w:pPr>
    </w:p>
    <w:p w14:paraId="0F4505A5" w14:textId="77777777" w:rsidR="00213065" w:rsidRPr="00B13ACB" w:rsidRDefault="00213065" w:rsidP="00B13ACB">
      <w:pPr>
        <w:pStyle w:val="BodyText"/>
        <w:spacing w:before="7"/>
        <w:rPr>
          <w:rFonts w:ascii="Times New Roman" w:hAnsi="Times New Roman" w:cs="Times New Roman"/>
          <w:sz w:val="22"/>
          <w:szCs w:val="22"/>
        </w:rPr>
      </w:pPr>
    </w:p>
    <w:p w14:paraId="0F4505A6" w14:textId="5484F6E1" w:rsidR="00213065" w:rsidRPr="00465560" w:rsidRDefault="00F9495E" w:rsidP="00B13ACB">
      <w:pPr>
        <w:ind w:left="2091" w:right="2357"/>
        <w:jc w:val="center"/>
        <w:rPr>
          <w:rFonts w:ascii="Times New Roman" w:hAnsi="Times New Roman" w:cs="Times New Roman"/>
          <w:sz w:val="18"/>
          <w:szCs w:val="18"/>
        </w:rPr>
      </w:pPr>
      <w:r w:rsidRPr="00465560">
        <w:rPr>
          <w:rFonts w:ascii="Times New Roman" w:hAnsi="Times New Roman" w:cs="Times New Roman"/>
          <w:color w:val="3B3B3B"/>
          <w:w w:val="105"/>
          <w:sz w:val="18"/>
          <w:szCs w:val="18"/>
        </w:rPr>
        <w:t>Parliament</w:t>
      </w:r>
      <w:r w:rsidRPr="00465560">
        <w:rPr>
          <w:rFonts w:ascii="Times New Roman" w:hAnsi="Times New Roman" w:cs="Times New Roman"/>
          <w:color w:val="3B3B3B"/>
          <w:spacing w:val="10"/>
          <w:w w:val="105"/>
          <w:sz w:val="18"/>
          <w:szCs w:val="18"/>
        </w:rPr>
        <w:t xml:space="preserve"> </w:t>
      </w:r>
      <w:r w:rsidRPr="00465560">
        <w:rPr>
          <w:rFonts w:ascii="Times New Roman" w:hAnsi="Times New Roman" w:cs="Times New Roman"/>
          <w:color w:val="3B3B3B"/>
          <w:w w:val="105"/>
          <w:sz w:val="18"/>
          <w:szCs w:val="18"/>
        </w:rPr>
        <w:t>House</w:t>
      </w:r>
      <w:r w:rsidRPr="00465560">
        <w:rPr>
          <w:rFonts w:ascii="Times New Roman" w:hAnsi="Times New Roman" w:cs="Times New Roman"/>
          <w:color w:val="3B3B3B"/>
          <w:spacing w:val="-7"/>
          <w:w w:val="105"/>
          <w:sz w:val="18"/>
          <w:szCs w:val="18"/>
        </w:rPr>
        <w:t xml:space="preserve"> </w:t>
      </w:r>
      <w:r w:rsidRPr="00465560">
        <w:rPr>
          <w:rFonts w:ascii="Times New Roman" w:hAnsi="Times New Roman" w:cs="Times New Roman"/>
          <w:color w:val="3B3B3B"/>
          <w:w w:val="105"/>
          <w:sz w:val="18"/>
          <w:szCs w:val="18"/>
        </w:rPr>
        <w:t>Canberra</w:t>
      </w:r>
      <w:r w:rsidRPr="00465560">
        <w:rPr>
          <w:rFonts w:ascii="Times New Roman" w:hAnsi="Times New Roman" w:cs="Times New Roman"/>
          <w:color w:val="3B3B3B"/>
          <w:spacing w:val="5"/>
          <w:w w:val="105"/>
          <w:sz w:val="18"/>
          <w:szCs w:val="18"/>
        </w:rPr>
        <w:t xml:space="preserve"> </w:t>
      </w:r>
      <w:r w:rsidRPr="00465560">
        <w:rPr>
          <w:rFonts w:ascii="Times New Roman" w:hAnsi="Times New Roman" w:cs="Times New Roman"/>
          <w:color w:val="3B3B3B"/>
          <w:w w:val="105"/>
          <w:sz w:val="18"/>
          <w:szCs w:val="18"/>
        </w:rPr>
        <w:t>ACT</w:t>
      </w:r>
      <w:r w:rsidRPr="00465560">
        <w:rPr>
          <w:rFonts w:ascii="Times New Roman" w:hAnsi="Times New Roman" w:cs="Times New Roman"/>
          <w:color w:val="3B3B3B"/>
          <w:spacing w:val="-6"/>
          <w:w w:val="105"/>
          <w:sz w:val="18"/>
          <w:szCs w:val="18"/>
        </w:rPr>
        <w:t xml:space="preserve"> </w:t>
      </w:r>
      <w:r w:rsidRPr="00465560">
        <w:rPr>
          <w:rFonts w:ascii="Times New Roman" w:hAnsi="Times New Roman" w:cs="Times New Roman"/>
          <w:color w:val="3B3B3B"/>
          <w:w w:val="105"/>
          <w:sz w:val="18"/>
          <w:szCs w:val="18"/>
        </w:rPr>
        <w:t>2600</w:t>
      </w:r>
      <w:r w:rsidRPr="00465560">
        <w:rPr>
          <w:rFonts w:ascii="Times New Roman" w:hAnsi="Times New Roman" w:cs="Times New Roman"/>
          <w:color w:val="3B3B3B"/>
          <w:spacing w:val="-7"/>
          <w:w w:val="105"/>
          <w:sz w:val="18"/>
          <w:szCs w:val="18"/>
        </w:rPr>
        <w:t xml:space="preserve"> </w:t>
      </w:r>
      <w:r w:rsidRPr="00465560">
        <w:rPr>
          <w:rFonts w:ascii="Times New Roman" w:hAnsi="Times New Roman" w:cs="Times New Roman"/>
          <w:color w:val="3B3B3B"/>
          <w:w w:val="105"/>
          <w:sz w:val="18"/>
          <w:szCs w:val="18"/>
        </w:rPr>
        <w:t>I</w:t>
      </w:r>
      <w:r w:rsidRPr="00465560">
        <w:rPr>
          <w:rFonts w:ascii="Times New Roman" w:hAnsi="Times New Roman" w:cs="Times New Roman"/>
          <w:color w:val="3B3B3B"/>
          <w:spacing w:val="-35"/>
          <w:w w:val="105"/>
          <w:sz w:val="18"/>
          <w:szCs w:val="18"/>
        </w:rPr>
        <w:t xml:space="preserve"> </w:t>
      </w:r>
      <w:hyperlink r:id="rId8" w:history="1">
        <w:r w:rsidR="00465560" w:rsidRPr="001407CC">
          <w:rPr>
            <w:rStyle w:val="Hyperlink"/>
            <w:rFonts w:ascii="Times New Roman" w:hAnsi="Times New Roman" w:cs="Times New Roman"/>
            <w:spacing w:val="-2"/>
            <w:w w:val="105"/>
            <w:sz w:val="18"/>
            <w:szCs w:val="18"/>
          </w:rPr>
          <w:t>Minister.Butler@health.gov.au</w:t>
        </w:r>
      </w:hyperlink>
    </w:p>
    <w:p w14:paraId="0F4505A7" w14:textId="77777777" w:rsidR="00213065" w:rsidRPr="00B13ACB" w:rsidRDefault="00213065" w:rsidP="00B13ACB">
      <w:pPr>
        <w:jc w:val="center"/>
        <w:rPr>
          <w:rFonts w:ascii="Times New Roman" w:hAnsi="Times New Roman" w:cs="Times New Roman"/>
        </w:rPr>
        <w:sectPr w:rsidR="00213065" w:rsidRPr="00B13ACB">
          <w:type w:val="continuous"/>
          <w:pgSz w:w="11900" w:h="16820"/>
          <w:pgMar w:top="360" w:right="1140" w:bottom="280" w:left="1420" w:header="720" w:footer="720" w:gutter="0"/>
          <w:cols w:space="720"/>
        </w:sectPr>
      </w:pPr>
    </w:p>
    <w:p w14:paraId="0F4505A8" w14:textId="77777777" w:rsidR="00213065" w:rsidRPr="00B13ACB" w:rsidRDefault="00213065" w:rsidP="00B13ACB">
      <w:pPr>
        <w:pStyle w:val="BodyText"/>
        <w:spacing w:before="2"/>
        <w:rPr>
          <w:rFonts w:ascii="Times New Roman" w:hAnsi="Times New Roman" w:cs="Times New Roman"/>
          <w:sz w:val="22"/>
          <w:szCs w:val="22"/>
        </w:rPr>
      </w:pPr>
    </w:p>
    <w:p w14:paraId="0F4505A9" w14:textId="77777777" w:rsidR="00213065" w:rsidRPr="00D27AF3" w:rsidRDefault="00F9495E" w:rsidP="00271440">
      <w:pPr>
        <w:pStyle w:val="BodyText"/>
        <w:numPr>
          <w:ilvl w:val="0"/>
          <w:numId w:val="3"/>
        </w:numPr>
        <w:spacing w:line="290" w:lineRule="auto"/>
        <w:ind w:left="360" w:right="288"/>
        <w:rPr>
          <w:rFonts w:ascii="Times New Roman" w:hAnsi="Times New Roman" w:cs="Times New Roman"/>
          <w:color w:val="232323"/>
          <w:w w:val="105"/>
          <w:sz w:val="22"/>
          <w:szCs w:val="22"/>
        </w:rPr>
      </w:pPr>
      <w:r w:rsidRPr="008A1E74">
        <w:rPr>
          <w:rFonts w:ascii="Times New Roman" w:hAnsi="Times New Roman" w:cs="Times New Roman"/>
          <w:color w:val="232323"/>
          <w:w w:val="105"/>
          <w:sz w:val="22"/>
          <w:szCs w:val="22"/>
        </w:rPr>
        <w:t>Regulatory</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oversight</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of</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controlled</w:t>
      </w:r>
      <w:r w:rsidRPr="00D27AF3">
        <w:rPr>
          <w:rFonts w:ascii="Times New Roman" w:hAnsi="Times New Roman" w:cs="Times New Roman"/>
          <w:color w:val="232323"/>
          <w:w w:val="105"/>
          <w:sz w:val="22"/>
          <w:szCs w:val="22"/>
        </w:rPr>
        <w:t xml:space="preserve"> drugs:</w:t>
      </w:r>
    </w:p>
    <w:p w14:paraId="0F4505AA" w14:textId="77777777" w:rsidR="00213065" w:rsidRPr="00D27AF3" w:rsidRDefault="00F9495E" w:rsidP="00271440">
      <w:pPr>
        <w:pStyle w:val="BodyText"/>
        <w:numPr>
          <w:ilvl w:val="0"/>
          <w:numId w:val="5"/>
        </w:numPr>
        <w:spacing w:line="290" w:lineRule="auto"/>
        <w:ind w:left="1308" w:right="288"/>
        <w:rPr>
          <w:rFonts w:ascii="Times New Roman" w:hAnsi="Times New Roman" w:cs="Times New Roman"/>
          <w:color w:val="232323"/>
          <w:w w:val="105"/>
          <w:sz w:val="22"/>
          <w:szCs w:val="22"/>
        </w:rPr>
      </w:pPr>
      <w:r w:rsidRPr="008A1E74">
        <w:rPr>
          <w:rFonts w:ascii="Times New Roman" w:hAnsi="Times New Roman" w:cs="Times New Roman"/>
          <w:color w:val="232323"/>
          <w:w w:val="105"/>
          <w:sz w:val="22"/>
          <w:szCs w:val="22"/>
        </w:rPr>
        <w:t>The department regulates and provides advice on the</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import, export, and manufacture of controlled drugs, as well as the cultivation and production of cannabis for</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medicinal or scientific purposes to support Australia's obligations under 'The International Drug</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Control Conventions'. The Office of Drug</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 xml:space="preserve">Control exercises powers conferred through </w:t>
      </w:r>
      <w:proofErr w:type="gramStart"/>
      <w:r w:rsidRPr="008A1E74">
        <w:rPr>
          <w:rFonts w:ascii="Times New Roman" w:hAnsi="Times New Roman" w:cs="Times New Roman"/>
          <w:color w:val="232323"/>
          <w:w w:val="105"/>
          <w:sz w:val="22"/>
          <w:szCs w:val="22"/>
        </w:rPr>
        <w:t>a number of</w:t>
      </w:r>
      <w:proofErr w:type="gramEnd"/>
      <w:r w:rsidRPr="008A1E74">
        <w:rPr>
          <w:rFonts w:ascii="Times New Roman" w:hAnsi="Times New Roman" w:cs="Times New Roman"/>
          <w:color w:val="232323"/>
          <w:w w:val="105"/>
          <w:sz w:val="22"/>
          <w:szCs w:val="22"/>
        </w:rPr>
        <w:t xml:space="preserve"> international treaties and domestic legislation and regulations</w:t>
      </w:r>
    </w:p>
    <w:p w14:paraId="0F4505AB" w14:textId="15D745BC" w:rsidR="00213065" w:rsidRPr="00D27AF3" w:rsidRDefault="00F9495E" w:rsidP="00271440">
      <w:pPr>
        <w:pStyle w:val="BodyText"/>
        <w:numPr>
          <w:ilvl w:val="0"/>
          <w:numId w:val="5"/>
        </w:numPr>
        <w:spacing w:line="290" w:lineRule="auto"/>
        <w:ind w:left="1308" w:right="288"/>
        <w:rPr>
          <w:rFonts w:ascii="Times New Roman" w:hAnsi="Times New Roman" w:cs="Times New Roman"/>
          <w:color w:val="232323"/>
          <w:w w:val="105"/>
          <w:sz w:val="22"/>
          <w:szCs w:val="22"/>
        </w:rPr>
      </w:pPr>
      <w:r w:rsidRPr="008A1E74">
        <w:rPr>
          <w:rFonts w:ascii="Times New Roman" w:hAnsi="Times New Roman" w:cs="Times New Roman"/>
          <w:color w:val="232323"/>
          <w:w w:val="105"/>
          <w:sz w:val="22"/>
          <w:szCs w:val="22"/>
        </w:rPr>
        <w:t xml:space="preserve">this is achieved through administering the </w:t>
      </w:r>
      <w:r w:rsidRPr="00D27AF3">
        <w:rPr>
          <w:rFonts w:ascii="Times New Roman" w:hAnsi="Times New Roman" w:cs="Times New Roman"/>
          <w:color w:val="232323"/>
          <w:w w:val="105"/>
          <w:sz w:val="22"/>
          <w:szCs w:val="22"/>
        </w:rPr>
        <w:t xml:space="preserve">Therapeutic Goods Act 1989, </w:t>
      </w:r>
      <w:r w:rsidRPr="008A1E74">
        <w:rPr>
          <w:rFonts w:ascii="Times New Roman" w:hAnsi="Times New Roman" w:cs="Times New Roman"/>
          <w:color w:val="232323"/>
          <w:w w:val="105"/>
          <w:sz w:val="22"/>
          <w:szCs w:val="22"/>
        </w:rPr>
        <w:t>Therapeutic</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Goods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Regulations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1990,</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Customs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(Prohibited</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Imports)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Regulations 1956,</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Customs (Prohibited Exports) Regulations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1957,</w:t>
      </w:r>
      <w:r w:rsidRPr="00D27AF3">
        <w:rPr>
          <w:rFonts w:ascii="Times New Roman" w:hAnsi="Times New Roman" w:cs="Times New Roman"/>
          <w:color w:val="232323"/>
          <w:w w:val="105"/>
          <w:sz w:val="22"/>
          <w:szCs w:val="22"/>
        </w:rPr>
        <w:t xml:space="preserve"> Narcotic Drugs Act 1967, </w:t>
      </w:r>
      <w:r w:rsidRPr="008A1E74">
        <w:rPr>
          <w:rFonts w:ascii="Times New Roman" w:hAnsi="Times New Roman" w:cs="Times New Roman"/>
          <w:color w:val="232323"/>
          <w:w w:val="105"/>
          <w:sz w:val="22"/>
          <w:szCs w:val="22"/>
        </w:rPr>
        <w:t>Narcotic</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Drugs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Regulation</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2016,</w:t>
      </w:r>
      <w:r w:rsidRPr="00D27AF3">
        <w:rPr>
          <w:rFonts w:ascii="Times New Roman" w:hAnsi="Times New Roman" w:cs="Times New Roman"/>
          <w:color w:val="232323"/>
          <w:w w:val="105"/>
          <w:sz w:val="22"/>
          <w:szCs w:val="22"/>
        </w:rPr>
        <w:t xml:space="preserve"> Narcotic Drugs (</w:t>
      </w:r>
      <w:proofErr w:type="spellStart"/>
      <w:r w:rsidRPr="00D27AF3">
        <w:rPr>
          <w:rFonts w:ascii="Times New Roman" w:hAnsi="Times New Roman" w:cs="Times New Roman"/>
          <w:color w:val="232323"/>
          <w:w w:val="105"/>
          <w:sz w:val="22"/>
          <w:szCs w:val="22"/>
        </w:rPr>
        <w:t>Licence</w:t>
      </w:r>
      <w:proofErr w:type="spellEnd"/>
      <w:r w:rsidRPr="00D27AF3">
        <w:rPr>
          <w:rFonts w:ascii="Times New Roman" w:hAnsi="Times New Roman" w:cs="Times New Roman"/>
          <w:color w:val="232323"/>
          <w:w w:val="105"/>
          <w:sz w:val="22"/>
          <w:szCs w:val="22"/>
        </w:rPr>
        <w:t xml:space="preserve"> Charges) Act 2016 </w:t>
      </w:r>
      <w:r w:rsidRPr="008A1E74">
        <w:rPr>
          <w:rFonts w:ascii="Times New Roman" w:hAnsi="Times New Roman" w:cs="Times New Roman"/>
          <w:color w:val="232323"/>
          <w:w w:val="105"/>
          <w:sz w:val="22"/>
          <w:szCs w:val="22"/>
        </w:rPr>
        <w:t>and Narcotic Drugs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w:t>
      </w:r>
      <w:proofErr w:type="spellStart"/>
      <w:r w:rsidRPr="008A1E74">
        <w:rPr>
          <w:rFonts w:ascii="Times New Roman" w:hAnsi="Times New Roman" w:cs="Times New Roman"/>
          <w:color w:val="232323"/>
          <w:w w:val="105"/>
          <w:sz w:val="22"/>
          <w:szCs w:val="22"/>
        </w:rPr>
        <w:t>Licence</w:t>
      </w:r>
      <w:proofErr w:type="spellEnd"/>
      <w:r w:rsidRPr="008A1E74">
        <w:rPr>
          <w:rFonts w:ascii="Times New Roman" w:hAnsi="Times New Roman" w:cs="Times New Roman"/>
          <w:color w:val="232323"/>
          <w:w w:val="105"/>
          <w:sz w:val="22"/>
          <w:szCs w:val="22"/>
        </w:rPr>
        <w:t xml:space="preserve"> Charges) Regulation</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2016</w:t>
      </w:r>
    </w:p>
    <w:p w14:paraId="0F4505AC" w14:textId="77777777" w:rsidR="00213065" w:rsidRPr="00D27AF3" w:rsidRDefault="00F9495E" w:rsidP="00271440">
      <w:pPr>
        <w:pStyle w:val="BodyText"/>
        <w:numPr>
          <w:ilvl w:val="0"/>
          <w:numId w:val="3"/>
        </w:numPr>
        <w:spacing w:line="290" w:lineRule="auto"/>
        <w:ind w:left="360" w:right="288"/>
        <w:rPr>
          <w:rFonts w:ascii="Times New Roman" w:hAnsi="Times New Roman" w:cs="Times New Roman"/>
          <w:color w:val="232323"/>
          <w:w w:val="105"/>
          <w:sz w:val="22"/>
          <w:szCs w:val="22"/>
        </w:rPr>
      </w:pPr>
      <w:r w:rsidRPr="008A1E74">
        <w:rPr>
          <w:rFonts w:ascii="Times New Roman" w:hAnsi="Times New Roman" w:cs="Times New Roman"/>
          <w:color w:val="232323"/>
          <w:w w:val="105"/>
          <w:sz w:val="22"/>
          <w:szCs w:val="22"/>
        </w:rPr>
        <w:t>Supporting</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access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to</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high</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quality</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hearing</w:t>
      </w:r>
      <w:r w:rsidRPr="00D27AF3">
        <w:rPr>
          <w:rFonts w:ascii="Times New Roman" w:hAnsi="Times New Roman" w:cs="Times New Roman"/>
          <w:color w:val="232323"/>
          <w:w w:val="105"/>
          <w:sz w:val="22"/>
          <w:szCs w:val="22"/>
        </w:rPr>
        <w:t xml:space="preserve"> services:</w:t>
      </w:r>
    </w:p>
    <w:p w14:paraId="0F4505AD" w14:textId="77777777" w:rsidR="00213065" w:rsidRPr="00D27AF3" w:rsidRDefault="00F9495E" w:rsidP="00271440">
      <w:pPr>
        <w:pStyle w:val="BodyText"/>
        <w:numPr>
          <w:ilvl w:val="0"/>
          <w:numId w:val="6"/>
        </w:numPr>
        <w:spacing w:line="290" w:lineRule="auto"/>
        <w:ind w:left="1308" w:right="288"/>
        <w:rPr>
          <w:rFonts w:ascii="Times New Roman" w:hAnsi="Times New Roman" w:cs="Times New Roman"/>
          <w:color w:val="232323"/>
          <w:w w:val="105"/>
          <w:sz w:val="22"/>
          <w:szCs w:val="22"/>
        </w:rPr>
      </w:pPr>
      <w:r w:rsidRPr="008A1E74">
        <w:rPr>
          <w:rFonts w:ascii="Times New Roman" w:hAnsi="Times New Roman" w:cs="Times New Roman"/>
          <w:color w:val="232323"/>
          <w:w w:val="105"/>
          <w:sz w:val="22"/>
          <w:szCs w:val="22"/>
        </w:rPr>
        <w:t>the</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department administers the Hearing</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Services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Program which</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 xml:space="preserve">contracts hearing service providers and suppliers of assistive hearing technology to provide eligible people with </w:t>
      </w:r>
      <w:proofErr w:type="spellStart"/>
      <w:r w:rsidRPr="008A1E74">
        <w:rPr>
          <w:rFonts w:ascii="Times New Roman" w:hAnsi="Times New Roman" w:cs="Times New Roman"/>
          <w:color w:val="232323"/>
          <w:w w:val="105"/>
          <w:sz w:val="22"/>
          <w:szCs w:val="22"/>
        </w:rPr>
        <w:t>subsidised</w:t>
      </w:r>
      <w:proofErr w:type="spellEnd"/>
      <w:r w:rsidRPr="008A1E74">
        <w:rPr>
          <w:rFonts w:ascii="Times New Roman" w:hAnsi="Times New Roman" w:cs="Times New Roman"/>
          <w:color w:val="232323"/>
          <w:w w:val="105"/>
          <w:sz w:val="22"/>
          <w:szCs w:val="22"/>
        </w:rPr>
        <w:t xml:space="preserve"> hearing services</w:t>
      </w:r>
    </w:p>
    <w:p w14:paraId="0F4505AE" w14:textId="5A18D218" w:rsidR="00213065" w:rsidRPr="00D27AF3" w:rsidRDefault="00F9495E" w:rsidP="00271440">
      <w:pPr>
        <w:pStyle w:val="BodyText"/>
        <w:numPr>
          <w:ilvl w:val="0"/>
          <w:numId w:val="6"/>
        </w:numPr>
        <w:spacing w:line="290" w:lineRule="auto"/>
        <w:ind w:left="1308" w:right="288"/>
        <w:rPr>
          <w:rFonts w:ascii="Times New Roman" w:hAnsi="Times New Roman" w:cs="Times New Roman"/>
          <w:color w:val="232323"/>
          <w:w w:val="105"/>
          <w:sz w:val="22"/>
          <w:szCs w:val="22"/>
        </w:rPr>
      </w:pPr>
      <w:r w:rsidRPr="008A1E74">
        <w:rPr>
          <w:rFonts w:ascii="Times New Roman" w:hAnsi="Times New Roman" w:cs="Times New Roman"/>
          <w:color w:val="232323"/>
          <w:w w:val="105"/>
          <w:sz w:val="22"/>
          <w:szCs w:val="22"/>
        </w:rPr>
        <w:t xml:space="preserve">this is achieved through administering the </w:t>
      </w:r>
      <w:r w:rsidRPr="00D27AF3">
        <w:rPr>
          <w:rFonts w:ascii="Times New Roman" w:hAnsi="Times New Roman" w:cs="Times New Roman"/>
          <w:color w:val="232323"/>
          <w:w w:val="105"/>
          <w:sz w:val="22"/>
          <w:szCs w:val="22"/>
        </w:rPr>
        <w:t xml:space="preserve">Hearing Services Administration Act 1997, </w:t>
      </w:r>
      <w:r w:rsidRPr="008A1E74">
        <w:rPr>
          <w:rFonts w:ascii="Times New Roman" w:hAnsi="Times New Roman" w:cs="Times New Roman"/>
          <w:color w:val="232323"/>
          <w:w w:val="105"/>
          <w:sz w:val="22"/>
          <w:szCs w:val="22"/>
        </w:rPr>
        <w:t>Hearing</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Services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Program (Voucher)</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Instrument 2019,</w:t>
      </w:r>
      <w:r w:rsidRPr="00D27AF3">
        <w:rPr>
          <w:rFonts w:ascii="Times New Roman" w:hAnsi="Times New Roman" w:cs="Times New Roman"/>
          <w:color w:val="232323"/>
          <w:w w:val="105"/>
          <w:sz w:val="22"/>
          <w:szCs w:val="22"/>
        </w:rPr>
        <w:t xml:space="preserve"> Australian Hearing Services Act </w:t>
      </w:r>
      <w:proofErr w:type="gramStart"/>
      <w:r w:rsidRPr="00D27AF3">
        <w:rPr>
          <w:rFonts w:ascii="Times New Roman" w:hAnsi="Times New Roman" w:cs="Times New Roman"/>
          <w:color w:val="232323"/>
          <w:w w:val="105"/>
          <w:sz w:val="22"/>
          <w:szCs w:val="22"/>
        </w:rPr>
        <w:t>1991</w:t>
      </w:r>
      <w:proofErr w:type="gramEnd"/>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and</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Australian Hearing</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Services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(Declared Hearing</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Services) Determination 2019</w:t>
      </w:r>
    </w:p>
    <w:p w14:paraId="0F4505AF" w14:textId="77777777" w:rsidR="00213065" w:rsidRPr="00D27AF3" w:rsidRDefault="00F9495E" w:rsidP="00271440">
      <w:pPr>
        <w:pStyle w:val="BodyText"/>
        <w:numPr>
          <w:ilvl w:val="0"/>
          <w:numId w:val="3"/>
        </w:numPr>
        <w:spacing w:line="290" w:lineRule="auto"/>
        <w:ind w:left="360" w:right="288"/>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Supporting access to pharmaceutical benefits:</w:t>
      </w:r>
    </w:p>
    <w:p w14:paraId="0F4505B0" w14:textId="77777777" w:rsidR="00213065" w:rsidRPr="00D27AF3" w:rsidRDefault="00F9495E" w:rsidP="00271440">
      <w:pPr>
        <w:pStyle w:val="BodyText"/>
        <w:numPr>
          <w:ilvl w:val="0"/>
          <w:numId w:val="7"/>
        </w:numPr>
        <w:spacing w:line="290" w:lineRule="auto"/>
        <w:ind w:left="1308" w:right="288"/>
        <w:rPr>
          <w:rFonts w:ascii="Times New Roman" w:hAnsi="Times New Roman" w:cs="Times New Roman"/>
          <w:color w:val="232323"/>
          <w:w w:val="105"/>
          <w:sz w:val="22"/>
          <w:szCs w:val="22"/>
        </w:rPr>
      </w:pPr>
      <w:r w:rsidRPr="008A1E74">
        <w:rPr>
          <w:rFonts w:ascii="Times New Roman" w:hAnsi="Times New Roman" w:cs="Times New Roman"/>
          <w:color w:val="232323"/>
          <w:w w:val="105"/>
          <w:sz w:val="22"/>
          <w:szCs w:val="22"/>
        </w:rPr>
        <w:t>the department regulates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the location of pharmacies approved to supply pharmaceutical</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benefits,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to ensure an</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accessible and</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commercially viable network of pharmacies exists throughout Australia, including in rural and remote areas</w:t>
      </w:r>
    </w:p>
    <w:p w14:paraId="0F4505B1" w14:textId="77777777" w:rsidR="00213065" w:rsidRPr="00D27AF3" w:rsidRDefault="00F9495E" w:rsidP="00271440">
      <w:pPr>
        <w:pStyle w:val="BodyText"/>
        <w:numPr>
          <w:ilvl w:val="0"/>
          <w:numId w:val="7"/>
        </w:numPr>
        <w:spacing w:line="290" w:lineRule="auto"/>
        <w:ind w:left="1308" w:right="288"/>
        <w:rPr>
          <w:rFonts w:ascii="Times New Roman" w:hAnsi="Times New Roman" w:cs="Times New Roman"/>
          <w:color w:val="232323"/>
          <w:w w:val="105"/>
          <w:sz w:val="22"/>
          <w:szCs w:val="22"/>
        </w:rPr>
      </w:pPr>
      <w:r w:rsidRPr="008A1E74">
        <w:rPr>
          <w:rFonts w:ascii="Times New Roman" w:hAnsi="Times New Roman" w:cs="Times New Roman"/>
          <w:color w:val="232323"/>
          <w:w w:val="105"/>
          <w:sz w:val="22"/>
          <w:szCs w:val="22"/>
        </w:rPr>
        <w:t>this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is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 xml:space="preserve">achieved through administering the </w:t>
      </w:r>
      <w:r w:rsidRPr="00D27AF3">
        <w:rPr>
          <w:rFonts w:ascii="Times New Roman" w:hAnsi="Times New Roman" w:cs="Times New Roman"/>
          <w:color w:val="232323"/>
          <w:w w:val="105"/>
          <w:sz w:val="22"/>
          <w:szCs w:val="22"/>
        </w:rPr>
        <w:t xml:space="preserve">National Health Act 1953 </w:t>
      </w:r>
      <w:r w:rsidRPr="008A1E74">
        <w:rPr>
          <w:rFonts w:ascii="Times New Roman" w:hAnsi="Times New Roman" w:cs="Times New Roman"/>
          <w:color w:val="232323"/>
          <w:w w:val="105"/>
          <w:sz w:val="22"/>
          <w:szCs w:val="22"/>
        </w:rPr>
        <w:t>and</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National Health (Australian Community Pharmacy Authority Rules) Determination 2018</w:t>
      </w:r>
    </w:p>
    <w:p w14:paraId="0F4505B2" w14:textId="77777777" w:rsidR="00213065" w:rsidRPr="00D27AF3" w:rsidRDefault="00F9495E" w:rsidP="00271440">
      <w:pPr>
        <w:pStyle w:val="BodyText"/>
        <w:numPr>
          <w:ilvl w:val="0"/>
          <w:numId w:val="3"/>
        </w:numPr>
        <w:spacing w:line="290" w:lineRule="auto"/>
        <w:ind w:left="360" w:right="288"/>
        <w:rPr>
          <w:rFonts w:ascii="Times New Roman" w:hAnsi="Times New Roman" w:cs="Times New Roman"/>
          <w:color w:val="232323"/>
          <w:w w:val="105"/>
          <w:sz w:val="22"/>
          <w:szCs w:val="22"/>
        </w:rPr>
      </w:pPr>
      <w:r w:rsidRPr="008A1E74">
        <w:rPr>
          <w:rFonts w:ascii="Times New Roman" w:hAnsi="Times New Roman" w:cs="Times New Roman"/>
          <w:color w:val="232323"/>
          <w:w w:val="105"/>
          <w:sz w:val="22"/>
          <w:szCs w:val="22"/>
        </w:rPr>
        <w:t>Supporting</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the</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integrity</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of</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health</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benefit</w:t>
      </w:r>
      <w:r w:rsidRPr="00D27AF3">
        <w:rPr>
          <w:rFonts w:ascii="Times New Roman" w:hAnsi="Times New Roman" w:cs="Times New Roman"/>
          <w:color w:val="232323"/>
          <w:w w:val="105"/>
          <w:sz w:val="22"/>
          <w:szCs w:val="22"/>
        </w:rPr>
        <w:t xml:space="preserve"> claims:</w:t>
      </w:r>
    </w:p>
    <w:p w14:paraId="0F4505B3" w14:textId="77777777" w:rsidR="00213065" w:rsidRPr="00D27AF3" w:rsidRDefault="00F9495E" w:rsidP="00271440">
      <w:pPr>
        <w:pStyle w:val="BodyText"/>
        <w:numPr>
          <w:ilvl w:val="0"/>
          <w:numId w:val="8"/>
        </w:numPr>
        <w:spacing w:line="290" w:lineRule="auto"/>
        <w:ind w:left="1308" w:right="288"/>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 xml:space="preserve">the department supports the integrity of Australia's publicly </w:t>
      </w:r>
      <w:proofErr w:type="spellStart"/>
      <w:r w:rsidRPr="00D27AF3">
        <w:rPr>
          <w:rFonts w:ascii="Times New Roman" w:hAnsi="Times New Roman" w:cs="Times New Roman"/>
          <w:color w:val="232323"/>
          <w:w w:val="105"/>
          <w:sz w:val="22"/>
          <w:szCs w:val="22"/>
        </w:rPr>
        <w:t>subsidised</w:t>
      </w:r>
      <w:proofErr w:type="spellEnd"/>
      <w:r w:rsidRPr="00D27AF3">
        <w:rPr>
          <w:rFonts w:ascii="Times New Roman" w:hAnsi="Times New Roman" w:cs="Times New Roman"/>
          <w:color w:val="232323"/>
          <w:w w:val="105"/>
          <w:sz w:val="22"/>
          <w:szCs w:val="22"/>
        </w:rPr>
        <w:t xml:space="preserve"> health funding schemes by identifying and treating breaches of legislation, including incorrect claiming, inappropriate </w:t>
      </w:r>
      <w:proofErr w:type="gramStart"/>
      <w:r w:rsidRPr="00D27AF3">
        <w:rPr>
          <w:rFonts w:ascii="Times New Roman" w:hAnsi="Times New Roman" w:cs="Times New Roman"/>
          <w:color w:val="232323"/>
          <w:w w:val="105"/>
          <w:sz w:val="22"/>
          <w:szCs w:val="22"/>
        </w:rPr>
        <w:t>practice</w:t>
      </w:r>
      <w:proofErr w:type="gramEnd"/>
      <w:r w:rsidRPr="00D27AF3">
        <w:rPr>
          <w:rFonts w:ascii="Times New Roman" w:hAnsi="Times New Roman" w:cs="Times New Roman"/>
          <w:color w:val="232323"/>
          <w:w w:val="105"/>
          <w:sz w:val="22"/>
          <w:szCs w:val="22"/>
        </w:rPr>
        <w:t xml:space="preserve"> and fraud by health providers</w:t>
      </w:r>
    </w:p>
    <w:p w14:paraId="0F4505B4" w14:textId="77777777" w:rsidR="00213065" w:rsidRPr="00D27AF3" w:rsidRDefault="00F9495E" w:rsidP="00271440">
      <w:pPr>
        <w:pStyle w:val="BodyText"/>
        <w:numPr>
          <w:ilvl w:val="0"/>
          <w:numId w:val="8"/>
        </w:numPr>
        <w:spacing w:line="290" w:lineRule="auto"/>
        <w:ind w:left="1308" w:right="288"/>
        <w:rPr>
          <w:rFonts w:ascii="Times New Roman" w:hAnsi="Times New Roman" w:cs="Times New Roman"/>
          <w:color w:val="232323"/>
          <w:w w:val="105"/>
          <w:sz w:val="22"/>
          <w:szCs w:val="22"/>
        </w:rPr>
      </w:pPr>
      <w:r w:rsidRPr="008A1E74">
        <w:rPr>
          <w:rFonts w:ascii="Times New Roman" w:hAnsi="Times New Roman" w:cs="Times New Roman"/>
          <w:color w:val="232323"/>
          <w:w w:val="105"/>
          <w:sz w:val="22"/>
          <w:szCs w:val="22"/>
        </w:rPr>
        <w:t>this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is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achieved</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 xml:space="preserve">through administering the </w:t>
      </w:r>
      <w:r w:rsidRPr="00D27AF3">
        <w:rPr>
          <w:rFonts w:ascii="Times New Roman" w:hAnsi="Times New Roman" w:cs="Times New Roman"/>
          <w:color w:val="232323"/>
          <w:w w:val="105"/>
          <w:sz w:val="22"/>
          <w:szCs w:val="22"/>
        </w:rPr>
        <w:t xml:space="preserve">Human Services (Medicare) Act 1973, </w:t>
      </w:r>
      <w:r w:rsidRPr="008A1E74">
        <w:rPr>
          <w:rFonts w:ascii="Times New Roman" w:hAnsi="Times New Roman" w:cs="Times New Roman"/>
          <w:color w:val="232323"/>
          <w:w w:val="105"/>
          <w:sz w:val="22"/>
          <w:szCs w:val="22"/>
        </w:rPr>
        <w:t xml:space="preserve">the </w:t>
      </w:r>
      <w:r w:rsidRPr="00D27AF3">
        <w:rPr>
          <w:rFonts w:ascii="Times New Roman" w:hAnsi="Times New Roman" w:cs="Times New Roman"/>
          <w:color w:val="232323"/>
          <w:w w:val="105"/>
          <w:sz w:val="22"/>
          <w:szCs w:val="22"/>
        </w:rPr>
        <w:t xml:space="preserve">National Health Act 1953, </w:t>
      </w:r>
      <w:r w:rsidRPr="008A1E74">
        <w:rPr>
          <w:rFonts w:ascii="Times New Roman" w:hAnsi="Times New Roman" w:cs="Times New Roman"/>
          <w:color w:val="232323"/>
          <w:w w:val="105"/>
          <w:sz w:val="22"/>
          <w:szCs w:val="22"/>
        </w:rPr>
        <w:t xml:space="preserve">the </w:t>
      </w:r>
      <w:r w:rsidRPr="00D27AF3">
        <w:rPr>
          <w:rFonts w:ascii="Times New Roman" w:hAnsi="Times New Roman" w:cs="Times New Roman"/>
          <w:color w:val="232323"/>
          <w:w w:val="105"/>
          <w:sz w:val="22"/>
          <w:szCs w:val="22"/>
        </w:rPr>
        <w:t xml:space="preserve">Health Insurance Act </w:t>
      </w:r>
      <w:proofErr w:type="gramStart"/>
      <w:r w:rsidRPr="00D27AF3">
        <w:rPr>
          <w:rFonts w:ascii="Times New Roman" w:hAnsi="Times New Roman" w:cs="Times New Roman"/>
          <w:color w:val="232323"/>
          <w:w w:val="105"/>
          <w:sz w:val="22"/>
          <w:szCs w:val="22"/>
        </w:rPr>
        <w:t>1973</w:t>
      </w:r>
      <w:proofErr w:type="gramEnd"/>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 xml:space="preserve">and the </w:t>
      </w:r>
      <w:r w:rsidRPr="00D27AF3">
        <w:rPr>
          <w:rFonts w:ascii="Times New Roman" w:hAnsi="Times New Roman" w:cs="Times New Roman"/>
          <w:color w:val="232323"/>
          <w:w w:val="105"/>
          <w:sz w:val="22"/>
          <w:szCs w:val="22"/>
        </w:rPr>
        <w:t>Dental Benefits Act 2008</w:t>
      </w:r>
    </w:p>
    <w:p w14:paraId="0F4505B5" w14:textId="77777777" w:rsidR="00213065" w:rsidRPr="00D27AF3" w:rsidRDefault="00F9495E" w:rsidP="00271440">
      <w:pPr>
        <w:pStyle w:val="BodyText"/>
        <w:numPr>
          <w:ilvl w:val="0"/>
          <w:numId w:val="3"/>
        </w:numPr>
        <w:spacing w:line="290" w:lineRule="auto"/>
        <w:ind w:left="360" w:right="288"/>
        <w:rPr>
          <w:rFonts w:ascii="Times New Roman" w:hAnsi="Times New Roman" w:cs="Times New Roman"/>
          <w:color w:val="232323"/>
          <w:w w:val="105"/>
          <w:sz w:val="22"/>
          <w:szCs w:val="22"/>
        </w:rPr>
      </w:pPr>
      <w:r w:rsidRPr="008A1E74">
        <w:rPr>
          <w:rFonts w:ascii="Times New Roman" w:hAnsi="Times New Roman" w:cs="Times New Roman"/>
          <w:color w:val="232323"/>
          <w:w w:val="105"/>
          <w:sz w:val="22"/>
          <w:szCs w:val="22"/>
        </w:rPr>
        <w:t>Regulatory oversight</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of</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private</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health</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insurance and</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private</w:t>
      </w:r>
      <w:r w:rsidRPr="00D27AF3">
        <w:rPr>
          <w:rFonts w:ascii="Times New Roman" w:hAnsi="Times New Roman" w:cs="Times New Roman"/>
          <w:color w:val="232323"/>
          <w:w w:val="105"/>
          <w:sz w:val="22"/>
          <w:szCs w:val="22"/>
        </w:rPr>
        <w:t xml:space="preserve"> hospitals:</w:t>
      </w:r>
    </w:p>
    <w:p w14:paraId="0F4505B6" w14:textId="77777777" w:rsidR="00213065" w:rsidRPr="00D27AF3" w:rsidRDefault="00F9495E" w:rsidP="00271440">
      <w:pPr>
        <w:pStyle w:val="BodyText"/>
        <w:numPr>
          <w:ilvl w:val="0"/>
          <w:numId w:val="9"/>
        </w:numPr>
        <w:spacing w:line="290" w:lineRule="auto"/>
        <w:ind w:left="1308" w:right="288"/>
        <w:rPr>
          <w:rFonts w:ascii="Times New Roman" w:hAnsi="Times New Roman" w:cs="Times New Roman"/>
          <w:color w:val="232323"/>
          <w:w w:val="105"/>
          <w:sz w:val="22"/>
          <w:szCs w:val="22"/>
        </w:rPr>
      </w:pPr>
      <w:r w:rsidRPr="008A1E74">
        <w:rPr>
          <w:rFonts w:ascii="Times New Roman" w:hAnsi="Times New Roman" w:cs="Times New Roman"/>
          <w:color w:val="232323"/>
          <w:w w:val="105"/>
          <w:sz w:val="22"/>
          <w:szCs w:val="22"/>
        </w:rPr>
        <w:t>The department regulates private health insurers' obligations relating to complying health insurance products and health insurance business (where those</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obligations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do not</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fall within the prudential</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regulatory</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role of</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the Australian Prudential Regulation Authority). The department also supports patients' access to</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private</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healthcare services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through</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the declaration of private hospitals and regulation ensuring benefits are provided by insurers for services delivered through private hospitals</w:t>
      </w:r>
    </w:p>
    <w:p w14:paraId="0F4505B7" w14:textId="77777777" w:rsidR="00213065" w:rsidRPr="00D27AF3" w:rsidRDefault="00F9495E" w:rsidP="00271440">
      <w:pPr>
        <w:pStyle w:val="BodyText"/>
        <w:numPr>
          <w:ilvl w:val="0"/>
          <w:numId w:val="9"/>
        </w:numPr>
        <w:spacing w:line="290" w:lineRule="auto"/>
        <w:ind w:left="1308" w:right="288"/>
        <w:rPr>
          <w:rFonts w:ascii="Times New Roman" w:hAnsi="Times New Roman" w:cs="Times New Roman"/>
          <w:color w:val="232323"/>
          <w:w w:val="105"/>
          <w:sz w:val="22"/>
          <w:szCs w:val="22"/>
        </w:rPr>
      </w:pPr>
      <w:r w:rsidRPr="008A1E74">
        <w:rPr>
          <w:rFonts w:ascii="Times New Roman" w:hAnsi="Times New Roman" w:cs="Times New Roman"/>
          <w:color w:val="232323"/>
          <w:w w:val="105"/>
          <w:sz w:val="22"/>
          <w:szCs w:val="22"/>
        </w:rPr>
        <w:t>this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is</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 xml:space="preserve">achieved through administering the </w:t>
      </w:r>
      <w:r w:rsidRPr="00D27AF3">
        <w:rPr>
          <w:rFonts w:ascii="Times New Roman" w:hAnsi="Times New Roman" w:cs="Times New Roman"/>
          <w:color w:val="232323"/>
          <w:w w:val="105"/>
          <w:sz w:val="22"/>
          <w:szCs w:val="22"/>
        </w:rPr>
        <w:t xml:space="preserve">Private Health Insurance Act 2007 </w:t>
      </w:r>
      <w:r w:rsidRPr="008A1E74">
        <w:rPr>
          <w:rFonts w:ascii="Times New Roman" w:hAnsi="Times New Roman" w:cs="Times New Roman"/>
          <w:color w:val="232323"/>
          <w:w w:val="105"/>
          <w:sz w:val="22"/>
          <w:szCs w:val="22"/>
        </w:rPr>
        <w:t>and associated subordinate Rules.</w:t>
      </w:r>
    </w:p>
    <w:p w14:paraId="0F4505B8" w14:textId="77777777" w:rsidR="00213065" w:rsidRPr="00D27AF3" w:rsidRDefault="00213065" w:rsidP="00271440">
      <w:pPr>
        <w:pStyle w:val="BodyText"/>
        <w:spacing w:line="290" w:lineRule="auto"/>
        <w:ind w:left="-355" w:right="288" w:hanging="5"/>
        <w:rPr>
          <w:rFonts w:ascii="Times New Roman" w:hAnsi="Times New Roman" w:cs="Times New Roman"/>
          <w:color w:val="232323"/>
          <w:w w:val="105"/>
          <w:sz w:val="22"/>
          <w:szCs w:val="22"/>
        </w:rPr>
      </w:pPr>
    </w:p>
    <w:p w14:paraId="0F4505B9" w14:textId="77777777"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 xml:space="preserve">The Government </w:t>
      </w:r>
      <w:proofErr w:type="spellStart"/>
      <w:r w:rsidRPr="00D27AF3">
        <w:rPr>
          <w:rFonts w:ascii="Times New Roman" w:hAnsi="Times New Roman" w:cs="Times New Roman"/>
          <w:color w:val="232323"/>
          <w:w w:val="105"/>
          <w:sz w:val="22"/>
          <w:szCs w:val="22"/>
        </w:rPr>
        <w:t>recognises</w:t>
      </w:r>
      <w:proofErr w:type="spellEnd"/>
      <w:r w:rsidRPr="00D27AF3">
        <w:rPr>
          <w:rFonts w:ascii="Times New Roman" w:hAnsi="Times New Roman" w:cs="Times New Roman"/>
          <w:color w:val="232323"/>
          <w:w w:val="105"/>
          <w:sz w:val="22"/>
          <w:szCs w:val="22"/>
        </w:rPr>
        <w:t xml:space="preserve"> and respects the independence of the Secretary as the Accountable Authority of the department's regulatory functions. However, the Government is of the view that regulators should have a risk-based approach to compliance obligations, engagement and enforcement that allows for proportionate responses appropriate to the nature and seriousness of identified risks. This allows regulators to achieve objectives more effectively while </w:t>
      </w:r>
      <w:proofErr w:type="spellStart"/>
      <w:r w:rsidRPr="00D27AF3">
        <w:rPr>
          <w:rFonts w:ascii="Times New Roman" w:hAnsi="Times New Roman" w:cs="Times New Roman"/>
          <w:color w:val="232323"/>
          <w:w w:val="105"/>
          <w:sz w:val="22"/>
          <w:szCs w:val="22"/>
        </w:rPr>
        <w:t>recognising</w:t>
      </w:r>
      <w:proofErr w:type="spellEnd"/>
      <w:r w:rsidRPr="008A1E74">
        <w:rPr>
          <w:rFonts w:ascii="Times New Roman" w:hAnsi="Times New Roman" w:cs="Times New Roman"/>
          <w:color w:val="232323"/>
          <w:w w:val="105"/>
          <w:sz w:val="22"/>
          <w:szCs w:val="22"/>
        </w:rPr>
        <w:t xml:space="preserve"> that it is not</w:t>
      </w:r>
      <w:r w:rsidRPr="00D27AF3">
        <w:rPr>
          <w:rFonts w:ascii="Times New Roman" w:hAnsi="Times New Roman" w:cs="Times New Roman"/>
          <w:color w:val="232323"/>
          <w:w w:val="105"/>
          <w:sz w:val="22"/>
          <w:szCs w:val="22"/>
        </w:rPr>
        <w:t xml:space="preserve"> </w:t>
      </w:r>
      <w:r w:rsidRPr="008A1E74">
        <w:rPr>
          <w:rFonts w:ascii="Times New Roman" w:hAnsi="Times New Roman" w:cs="Times New Roman"/>
          <w:color w:val="232323"/>
          <w:w w:val="105"/>
          <w:sz w:val="22"/>
          <w:szCs w:val="22"/>
        </w:rPr>
        <w:t>possible to eliminate all risks.</w:t>
      </w:r>
    </w:p>
    <w:p w14:paraId="0F4505BB" w14:textId="77777777" w:rsidR="00213065" w:rsidRPr="00D27AF3" w:rsidRDefault="00213065" w:rsidP="00D27AF3">
      <w:pPr>
        <w:pStyle w:val="BodyText"/>
        <w:spacing w:line="290" w:lineRule="auto"/>
        <w:ind w:left="137" w:right="288" w:hanging="5"/>
        <w:rPr>
          <w:rFonts w:ascii="Times New Roman" w:hAnsi="Times New Roman" w:cs="Times New Roman"/>
          <w:color w:val="232323"/>
          <w:w w:val="105"/>
          <w:sz w:val="22"/>
          <w:szCs w:val="22"/>
        </w:rPr>
      </w:pPr>
    </w:p>
    <w:p w14:paraId="0F4505BC" w14:textId="4108575C"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lastRenderedPageBreak/>
        <w:t xml:space="preserve">The Government </w:t>
      </w:r>
      <w:proofErr w:type="spellStart"/>
      <w:r w:rsidRPr="00D27AF3">
        <w:rPr>
          <w:rFonts w:ascii="Times New Roman" w:hAnsi="Times New Roman" w:cs="Times New Roman"/>
          <w:color w:val="232323"/>
          <w:w w:val="105"/>
          <w:sz w:val="22"/>
          <w:szCs w:val="22"/>
        </w:rPr>
        <w:t>recognises</w:t>
      </w:r>
      <w:proofErr w:type="spellEnd"/>
      <w:r w:rsidRPr="00D27AF3">
        <w:rPr>
          <w:rFonts w:ascii="Times New Roman" w:hAnsi="Times New Roman" w:cs="Times New Roman"/>
          <w:color w:val="232323"/>
          <w:w w:val="105"/>
          <w:sz w:val="22"/>
          <w:szCs w:val="22"/>
        </w:rPr>
        <w:t xml:space="preserve"> and respects the statutory position of the Chief Executive Medicare and the Chief Executive Medicare's responsibility for decision making and the exercise of powers relating to the Medicare scheme. The powers of the Chief Executive Medicare that are delegated to officers within the department should be exercised with knowledge of the broader regulatory framework and the application of that framework to individual circumstances.</w:t>
      </w:r>
    </w:p>
    <w:p w14:paraId="0F4505BD" w14:textId="77777777" w:rsidR="00213065" w:rsidRPr="00D27AF3" w:rsidRDefault="00213065" w:rsidP="00D27AF3">
      <w:pPr>
        <w:pStyle w:val="BodyText"/>
        <w:spacing w:line="290" w:lineRule="auto"/>
        <w:ind w:left="137" w:right="288" w:hanging="5"/>
        <w:rPr>
          <w:rFonts w:ascii="Times New Roman" w:hAnsi="Times New Roman" w:cs="Times New Roman"/>
          <w:color w:val="232323"/>
          <w:w w:val="105"/>
          <w:sz w:val="22"/>
          <w:szCs w:val="22"/>
        </w:rPr>
      </w:pPr>
    </w:p>
    <w:p w14:paraId="0F4505BE" w14:textId="77777777" w:rsidR="00213065" w:rsidRPr="00271440" w:rsidRDefault="00F9495E" w:rsidP="00D27AF3">
      <w:pPr>
        <w:pStyle w:val="BodyText"/>
        <w:spacing w:line="290" w:lineRule="auto"/>
        <w:ind w:left="137" w:right="288" w:hanging="5"/>
        <w:rPr>
          <w:rFonts w:ascii="Times New Roman" w:hAnsi="Times New Roman" w:cs="Times New Roman"/>
          <w:b/>
          <w:bCs/>
          <w:color w:val="232323"/>
          <w:w w:val="105"/>
          <w:sz w:val="22"/>
          <w:szCs w:val="22"/>
        </w:rPr>
      </w:pPr>
      <w:r w:rsidRPr="00271440">
        <w:rPr>
          <w:rFonts w:ascii="Times New Roman" w:hAnsi="Times New Roman" w:cs="Times New Roman"/>
          <w:b/>
          <w:bCs/>
          <w:color w:val="232323"/>
          <w:w w:val="105"/>
          <w:sz w:val="22"/>
          <w:szCs w:val="22"/>
        </w:rPr>
        <w:t>The Government's policy priorities and objectives</w:t>
      </w:r>
    </w:p>
    <w:p w14:paraId="0F4505BF" w14:textId="77777777" w:rsidR="00213065" w:rsidRPr="00271440" w:rsidRDefault="00F9495E" w:rsidP="00D27AF3">
      <w:pPr>
        <w:pStyle w:val="BodyText"/>
        <w:spacing w:line="290" w:lineRule="auto"/>
        <w:ind w:left="137" w:right="288" w:hanging="5"/>
        <w:rPr>
          <w:rFonts w:ascii="Times New Roman" w:hAnsi="Times New Roman" w:cs="Times New Roman"/>
          <w:i/>
          <w:iCs/>
          <w:color w:val="232323"/>
          <w:w w:val="105"/>
          <w:sz w:val="22"/>
          <w:szCs w:val="22"/>
        </w:rPr>
      </w:pPr>
      <w:r w:rsidRPr="00271440">
        <w:rPr>
          <w:rFonts w:ascii="Times New Roman" w:hAnsi="Times New Roman" w:cs="Times New Roman"/>
          <w:i/>
          <w:iCs/>
          <w:color w:val="232323"/>
          <w:w w:val="105"/>
          <w:sz w:val="22"/>
          <w:szCs w:val="22"/>
        </w:rPr>
        <w:t>Regulatory reform agenda</w:t>
      </w:r>
    </w:p>
    <w:p w14:paraId="0F4505C0" w14:textId="77777777"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The regulatory reform</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agenda is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 key</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component of the Government's plan</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to</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boost Australia's productivity</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and lower the cost of</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living by ensuring a fit</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for</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purpose regulatory environment.</w:t>
      </w:r>
    </w:p>
    <w:p w14:paraId="0F4505C1" w14:textId="77777777" w:rsidR="00213065" w:rsidRPr="00D27AF3" w:rsidRDefault="00213065" w:rsidP="00D27AF3">
      <w:pPr>
        <w:pStyle w:val="BodyText"/>
        <w:spacing w:line="290" w:lineRule="auto"/>
        <w:ind w:left="137" w:right="288" w:hanging="5"/>
        <w:rPr>
          <w:rFonts w:ascii="Times New Roman" w:hAnsi="Times New Roman" w:cs="Times New Roman"/>
          <w:color w:val="232323"/>
          <w:w w:val="105"/>
          <w:sz w:val="22"/>
          <w:szCs w:val="22"/>
        </w:rPr>
      </w:pPr>
    </w:p>
    <w:p w14:paraId="0F4505C2" w14:textId="77777777"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The Government is looking at ways to boost productivity through reducing unnecessary or duplicative regulatory costs. Cooperating with the states and territories and working with international partners identifies opportunities to improve the quality of regulation and lower the cost of living for Australians.</w:t>
      </w:r>
    </w:p>
    <w:p w14:paraId="0F4505C3" w14:textId="77777777" w:rsidR="00213065" w:rsidRPr="00D27AF3" w:rsidRDefault="00213065" w:rsidP="00D27AF3">
      <w:pPr>
        <w:pStyle w:val="BodyText"/>
        <w:spacing w:line="290" w:lineRule="auto"/>
        <w:ind w:left="137" w:right="288" w:hanging="5"/>
        <w:rPr>
          <w:rFonts w:ascii="Times New Roman" w:hAnsi="Times New Roman" w:cs="Times New Roman"/>
          <w:color w:val="232323"/>
          <w:w w:val="105"/>
          <w:sz w:val="22"/>
          <w:szCs w:val="22"/>
        </w:rPr>
      </w:pPr>
    </w:p>
    <w:p w14:paraId="0F4505C4" w14:textId="77777777"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 xml:space="preserve">The Government is also improving regulator performance, </w:t>
      </w:r>
      <w:proofErr w:type="gramStart"/>
      <w:r w:rsidRPr="00B13ACB">
        <w:rPr>
          <w:rFonts w:ascii="Times New Roman" w:hAnsi="Times New Roman" w:cs="Times New Roman"/>
          <w:color w:val="232323"/>
          <w:w w:val="105"/>
          <w:sz w:val="22"/>
          <w:szCs w:val="22"/>
        </w:rPr>
        <w:t>capability</w:t>
      </w:r>
      <w:proofErr w:type="gramEnd"/>
      <w:r w:rsidRPr="00B13ACB">
        <w:rPr>
          <w:rFonts w:ascii="Times New Roman" w:hAnsi="Times New Roman" w:cs="Times New Roman"/>
          <w:color w:val="232323"/>
          <w:w w:val="105"/>
          <w:sz w:val="22"/>
          <w:szCs w:val="22"/>
        </w:rPr>
        <w:t xml:space="preserve"> and culture through regulatory stewardship. This supports the Government's commitment to Australian Public Service reform by building trust in government</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and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its institutions and by putting</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 xml:space="preserve">business and community at the </w:t>
      </w:r>
      <w:proofErr w:type="spellStart"/>
      <w:r w:rsidRPr="00B13ACB">
        <w:rPr>
          <w:rFonts w:ascii="Times New Roman" w:hAnsi="Times New Roman" w:cs="Times New Roman"/>
          <w:color w:val="232323"/>
          <w:w w:val="105"/>
          <w:sz w:val="22"/>
          <w:szCs w:val="22"/>
        </w:rPr>
        <w:t>centre</w:t>
      </w:r>
      <w:proofErr w:type="spellEnd"/>
      <w:r w:rsidRPr="00B13ACB">
        <w:rPr>
          <w:rFonts w:ascii="Times New Roman" w:hAnsi="Times New Roman" w:cs="Times New Roman"/>
          <w:color w:val="232323"/>
          <w:w w:val="105"/>
          <w:sz w:val="22"/>
          <w:szCs w:val="22"/>
        </w:rPr>
        <w:t xml:space="preserve"> of policy and services.</w:t>
      </w:r>
    </w:p>
    <w:p w14:paraId="0F4505C5" w14:textId="77777777" w:rsidR="00213065" w:rsidRPr="00D27AF3" w:rsidRDefault="00213065" w:rsidP="00D27AF3">
      <w:pPr>
        <w:pStyle w:val="BodyText"/>
        <w:spacing w:line="290" w:lineRule="auto"/>
        <w:ind w:left="137" w:right="288" w:hanging="5"/>
        <w:rPr>
          <w:rFonts w:ascii="Times New Roman" w:hAnsi="Times New Roman" w:cs="Times New Roman"/>
          <w:color w:val="232323"/>
          <w:w w:val="105"/>
          <w:sz w:val="22"/>
          <w:szCs w:val="22"/>
        </w:rPr>
      </w:pPr>
    </w:p>
    <w:p w14:paraId="0F4505C6" w14:textId="77777777"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I</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expect</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department</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to</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contribute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to</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regulatory</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reform</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process</w:t>
      </w:r>
      <w:r w:rsidRPr="00D27AF3">
        <w:rPr>
          <w:rFonts w:ascii="Times New Roman" w:hAnsi="Times New Roman" w:cs="Times New Roman"/>
          <w:color w:val="232323"/>
          <w:w w:val="105"/>
          <w:sz w:val="22"/>
          <w:szCs w:val="22"/>
        </w:rPr>
        <w:t xml:space="preserve"> by:</w:t>
      </w:r>
    </w:p>
    <w:p w14:paraId="0F4505C7" w14:textId="77777777" w:rsidR="00213065" w:rsidRPr="00D27AF3" w:rsidRDefault="00F9495E" w:rsidP="00271440">
      <w:pPr>
        <w:pStyle w:val="BodyText"/>
        <w:numPr>
          <w:ilvl w:val="0"/>
          <w:numId w:val="11"/>
        </w:numPr>
        <w:spacing w:line="290" w:lineRule="auto"/>
        <w:ind w:right="288"/>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 xml:space="preserve">seeking opportunities to reduce duplication and streamline processes </w:t>
      </w:r>
      <w:proofErr w:type="gramStart"/>
      <w:r w:rsidRPr="00D27AF3">
        <w:rPr>
          <w:rFonts w:ascii="Times New Roman" w:hAnsi="Times New Roman" w:cs="Times New Roman"/>
          <w:color w:val="232323"/>
          <w:w w:val="105"/>
          <w:sz w:val="22"/>
          <w:szCs w:val="22"/>
        </w:rPr>
        <w:t>in order to</w:t>
      </w:r>
      <w:proofErr w:type="gramEnd"/>
      <w:r w:rsidRPr="00D27AF3">
        <w:rPr>
          <w:rFonts w:ascii="Times New Roman" w:hAnsi="Times New Roman" w:cs="Times New Roman"/>
          <w:color w:val="232323"/>
          <w:w w:val="105"/>
          <w:sz w:val="22"/>
          <w:szCs w:val="22"/>
        </w:rPr>
        <w:t xml:space="preserve"> improve efficiency and lift productivity, including international </w:t>
      </w:r>
      <w:proofErr w:type="spellStart"/>
      <w:r w:rsidRPr="00D27AF3">
        <w:rPr>
          <w:rFonts w:ascii="Times New Roman" w:hAnsi="Times New Roman" w:cs="Times New Roman"/>
          <w:color w:val="232323"/>
          <w:w w:val="105"/>
          <w:sz w:val="22"/>
          <w:szCs w:val="22"/>
        </w:rPr>
        <w:t>harmonisation</w:t>
      </w:r>
      <w:proofErr w:type="spellEnd"/>
      <w:r w:rsidRPr="00D27AF3">
        <w:rPr>
          <w:rFonts w:ascii="Times New Roman" w:hAnsi="Times New Roman" w:cs="Times New Roman"/>
          <w:color w:val="232323"/>
          <w:w w:val="105"/>
          <w:sz w:val="22"/>
          <w:szCs w:val="22"/>
        </w:rPr>
        <w:t xml:space="preserve"> or alignment with international regulators, where appropriate</w:t>
      </w:r>
    </w:p>
    <w:p w14:paraId="0F4505C8" w14:textId="2B93A1AC" w:rsidR="00213065" w:rsidRPr="00D27AF3" w:rsidRDefault="00F9495E" w:rsidP="00271440">
      <w:pPr>
        <w:pStyle w:val="BodyText"/>
        <w:numPr>
          <w:ilvl w:val="0"/>
          <w:numId w:val="11"/>
        </w:numPr>
        <w:spacing w:line="290" w:lineRule="auto"/>
        <w:ind w:right="288"/>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acting</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 xml:space="preserve">in accordance </w:t>
      </w:r>
      <w:r w:rsidR="00B13ACB" w:rsidRPr="00B13ACB">
        <w:rPr>
          <w:rFonts w:ascii="Times New Roman" w:hAnsi="Times New Roman" w:cs="Times New Roman"/>
          <w:color w:val="232323"/>
          <w:w w:val="105"/>
          <w:sz w:val="22"/>
          <w:szCs w:val="22"/>
        </w:rPr>
        <w:t>with</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regulator best practice in its decision-making,</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 xml:space="preserve">policies, </w:t>
      </w:r>
      <w:proofErr w:type="gramStart"/>
      <w:r w:rsidRPr="00B13ACB">
        <w:rPr>
          <w:rFonts w:ascii="Times New Roman" w:hAnsi="Times New Roman" w:cs="Times New Roman"/>
          <w:color w:val="232323"/>
          <w:w w:val="105"/>
          <w:sz w:val="22"/>
          <w:szCs w:val="22"/>
        </w:rPr>
        <w:t>processes</w:t>
      </w:r>
      <w:proofErr w:type="gramEnd"/>
      <w:r w:rsidRPr="00B13ACB">
        <w:rPr>
          <w:rFonts w:ascii="Times New Roman" w:hAnsi="Times New Roman" w:cs="Times New Roman"/>
          <w:color w:val="232323"/>
          <w:w w:val="105"/>
          <w:sz w:val="22"/>
          <w:szCs w:val="22"/>
        </w:rPr>
        <w:t xml:space="preserve"> and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communications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practices,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in</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 xml:space="preserve">order to </w:t>
      </w:r>
      <w:proofErr w:type="spellStart"/>
      <w:r w:rsidRPr="00B13ACB">
        <w:rPr>
          <w:rFonts w:ascii="Times New Roman" w:hAnsi="Times New Roman" w:cs="Times New Roman"/>
          <w:color w:val="232323"/>
          <w:w w:val="105"/>
          <w:sz w:val="22"/>
          <w:szCs w:val="22"/>
        </w:rPr>
        <w:t>maximise</w:t>
      </w:r>
      <w:proofErr w:type="spellEnd"/>
      <w:r w:rsidRPr="00B13ACB">
        <w:rPr>
          <w:rFonts w:ascii="Times New Roman" w:hAnsi="Times New Roman" w:cs="Times New Roman"/>
          <w:color w:val="232323"/>
          <w:w w:val="105"/>
          <w:sz w:val="22"/>
          <w:szCs w:val="22"/>
        </w:rPr>
        <w:t xml:space="preserve"> transparency and </w:t>
      </w:r>
      <w:proofErr w:type="spellStart"/>
      <w:r w:rsidRPr="00B13ACB">
        <w:rPr>
          <w:rFonts w:ascii="Times New Roman" w:hAnsi="Times New Roman" w:cs="Times New Roman"/>
          <w:color w:val="232323"/>
          <w:w w:val="105"/>
          <w:sz w:val="22"/>
          <w:szCs w:val="22"/>
        </w:rPr>
        <w:t>minimise</w:t>
      </w:r>
      <w:proofErr w:type="spellEnd"/>
      <w:r w:rsidRPr="00B13ACB">
        <w:rPr>
          <w:rFonts w:ascii="Times New Roman" w:hAnsi="Times New Roman" w:cs="Times New Roman"/>
          <w:color w:val="232323"/>
          <w:w w:val="105"/>
          <w:sz w:val="22"/>
          <w:szCs w:val="22"/>
        </w:rPr>
        <w:t xml:space="preserve"> compliance costs</w:t>
      </w:r>
    </w:p>
    <w:p w14:paraId="0F4505C9" w14:textId="77777777" w:rsidR="00213065" w:rsidRPr="00D27AF3" w:rsidRDefault="00F9495E" w:rsidP="00271440">
      <w:pPr>
        <w:pStyle w:val="BodyText"/>
        <w:numPr>
          <w:ilvl w:val="0"/>
          <w:numId w:val="11"/>
        </w:numPr>
        <w:spacing w:line="290" w:lineRule="auto"/>
        <w:ind w:right="288"/>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applying</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 Resource Management Guide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128</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Regulator</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Performance to</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its regulatory functions to assess its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performance and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engagement with stakeholders</w:t>
      </w:r>
    </w:p>
    <w:p w14:paraId="0F4505CA" w14:textId="148B9094" w:rsidR="00213065" w:rsidRPr="00D27AF3" w:rsidRDefault="00F9495E" w:rsidP="00271440">
      <w:pPr>
        <w:pStyle w:val="BodyText"/>
        <w:numPr>
          <w:ilvl w:val="0"/>
          <w:numId w:val="11"/>
        </w:numPr>
        <w:spacing w:line="290" w:lineRule="auto"/>
        <w:ind w:right="288"/>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 xml:space="preserve">incorporating regulator performance reporting into the entity's reporting processes, as required by Resource Management Guide 128 Regulator Performance under the Public Governance, Performance and Accountability Act 2013, Public Governance and Performance and Accountability Rule 2014 </w:t>
      </w:r>
      <w:proofErr w:type="gramStart"/>
      <w:r w:rsidRPr="00D27AF3">
        <w:rPr>
          <w:rFonts w:ascii="Times New Roman" w:hAnsi="Times New Roman" w:cs="Times New Roman"/>
          <w:color w:val="232323"/>
          <w:w w:val="105"/>
          <w:sz w:val="22"/>
          <w:szCs w:val="22"/>
        </w:rPr>
        <w:t>in order to</w:t>
      </w:r>
      <w:proofErr w:type="gramEnd"/>
      <w:r w:rsidRPr="00D27AF3">
        <w:rPr>
          <w:rFonts w:ascii="Times New Roman" w:hAnsi="Times New Roman" w:cs="Times New Roman"/>
          <w:color w:val="232323"/>
          <w:w w:val="105"/>
          <w:sz w:val="22"/>
          <w:szCs w:val="22"/>
        </w:rPr>
        <w:t xml:space="preserve"> support greater transparency and accountability of regulator performance</w:t>
      </w:r>
    </w:p>
    <w:p w14:paraId="0F4505CC" w14:textId="2DC58AF1" w:rsidR="00B13ACB" w:rsidRPr="00D27AF3" w:rsidRDefault="00F9495E" w:rsidP="00271440">
      <w:pPr>
        <w:pStyle w:val="BodyText"/>
        <w:numPr>
          <w:ilvl w:val="0"/>
          <w:numId w:val="11"/>
        </w:numPr>
        <w:spacing w:line="290" w:lineRule="auto"/>
        <w:ind w:right="288"/>
        <w:rPr>
          <w:rFonts w:ascii="Times New Roman" w:hAnsi="Times New Roman" w:cs="Times New Roman"/>
          <w:color w:val="232323"/>
          <w:w w:val="105"/>
          <w:sz w:val="22"/>
          <w:szCs w:val="22"/>
        </w:rPr>
      </w:pPr>
      <w:r w:rsidRPr="00D146BC">
        <w:rPr>
          <w:rFonts w:ascii="Times New Roman" w:hAnsi="Times New Roman" w:cs="Times New Roman"/>
          <w:color w:val="232323"/>
          <w:w w:val="105"/>
          <w:sz w:val="22"/>
          <w:szCs w:val="22"/>
        </w:rPr>
        <w:t>giving</w:t>
      </w:r>
      <w:r w:rsidRPr="00D27AF3">
        <w:rPr>
          <w:rFonts w:ascii="Times New Roman" w:hAnsi="Times New Roman" w:cs="Times New Roman"/>
          <w:color w:val="232323"/>
          <w:w w:val="105"/>
          <w:sz w:val="22"/>
          <w:szCs w:val="22"/>
        </w:rPr>
        <w:t xml:space="preserve"> </w:t>
      </w:r>
      <w:r w:rsidRPr="00D146BC">
        <w:rPr>
          <w:rFonts w:ascii="Times New Roman" w:hAnsi="Times New Roman" w:cs="Times New Roman"/>
          <w:color w:val="232323"/>
          <w:w w:val="105"/>
          <w:sz w:val="22"/>
          <w:szCs w:val="22"/>
        </w:rPr>
        <w:t>consideration</w:t>
      </w:r>
      <w:r w:rsidRPr="00D27AF3">
        <w:rPr>
          <w:rFonts w:ascii="Times New Roman" w:hAnsi="Times New Roman" w:cs="Times New Roman"/>
          <w:color w:val="232323"/>
          <w:w w:val="105"/>
          <w:sz w:val="22"/>
          <w:szCs w:val="22"/>
        </w:rPr>
        <w:t xml:space="preserve"> </w:t>
      </w:r>
      <w:r w:rsidRPr="00D146BC">
        <w:rPr>
          <w:rFonts w:ascii="Times New Roman" w:hAnsi="Times New Roman" w:cs="Times New Roman"/>
          <w:color w:val="232323"/>
          <w:w w:val="105"/>
          <w:sz w:val="22"/>
          <w:szCs w:val="22"/>
        </w:rPr>
        <w:t>of</w:t>
      </w:r>
      <w:r w:rsidRPr="00D27AF3">
        <w:rPr>
          <w:rFonts w:ascii="Times New Roman" w:hAnsi="Times New Roman" w:cs="Times New Roman"/>
          <w:color w:val="232323"/>
          <w:w w:val="105"/>
          <w:sz w:val="22"/>
          <w:szCs w:val="22"/>
        </w:rPr>
        <w:t xml:space="preserve"> </w:t>
      </w:r>
      <w:r w:rsidRPr="00D146BC">
        <w:rPr>
          <w:rFonts w:ascii="Times New Roman" w:hAnsi="Times New Roman" w:cs="Times New Roman"/>
          <w:color w:val="232323"/>
          <w:w w:val="105"/>
          <w:sz w:val="22"/>
          <w:szCs w:val="22"/>
        </w:rPr>
        <w:t>cost recovery</w:t>
      </w:r>
      <w:r w:rsidRPr="00D27AF3">
        <w:rPr>
          <w:rFonts w:ascii="Times New Roman" w:hAnsi="Times New Roman" w:cs="Times New Roman"/>
          <w:color w:val="232323"/>
          <w:w w:val="105"/>
          <w:sz w:val="22"/>
          <w:szCs w:val="22"/>
        </w:rPr>
        <w:t xml:space="preserve"> </w:t>
      </w:r>
      <w:r w:rsidRPr="00D146BC">
        <w:rPr>
          <w:rFonts w:ascii="Times New Roman" w:hAnsi="Times New Roman" w:cs="Times New Roman"/>
          <w:color w:val="232323"/>
          <w:w w:val="105"/>
          <w:sz w:val="22"/>
          <w:szCs w:val="22"/>
        </w:rPr>
        <w:t>arrangements,</w:t>
      </w:r>
      <w:r w:rsidRPr="00D27AF3">
        <w:rPr>
          <w:rFonts w:ascii="Times New Roman" w:hAnsi="Times New Roman" w:cs="Times New Roman"/>
          <w:color w:val="232323"/>
          <w:w w:val="105"/>
          <w:sz w:val="22"/>
          <w:szCs w:val="22"/>
        </w:rPr>
        <w:t xml:space="preserve"> </w:t>
      </w:r>
      <w:r w:rsidRPr="00D146BC">
        <w:rPr>
          <w:rFonts w:ascii="Times New Roman" w:hAnsi="Times New Roman" w:cs="Times New Roman"/>
          <w:color w:val="232323"/>
          <w:w w:val="105"/>
          <w:sz w:val="22"/>
          <w:szCs w:val="22"/>
        </w:rPr>
        <w:t>where</w:t>
      </w:r>
      <w:r w:rsidRPr="00D27AF3">
        <w:rPr>
          <w:rFonts w:ascii="Times New Roman" w:hAnsi="Times New Roman" w:cs="Times New Roman"/>
          <w:color w:val="232323"/>
          <w:w w:val="105"/>
          <w:sz w:val="22"/>
          <w:szCs w:val="22"/>
        </w:rPr>
        <w:t xml:space="preserve"> appropriate.</w:t>
      </w:r>
    </w:p>
    <w:p w14:paraId="7C41DAA4" w14:textId="77777777" w:rsidR="00213065" w:rsidRPr="00D27AF3" w:rsidRDefault="00213065" w:rsidP="00D27AF3">
      <w:pPr>
        <w:pStyle w:val="BodyText"/>
        <w:spacing w:line="290" w:lineRule="auto"/>
        <w:ind w:left="137" w:right="288" w:hanging="5"/>
        <w:rPr>
          <w:rFonts w:ascii="Times New Roman" w:hAnsi="Times New Roman" w:cs="Times New Roman"/>
          <w:color w:val="232323"/>
          <w:w w:val="105"/>
          <w:sz w:val="22"/>
          <w:szCs w:val="22"/>
        </w:rPr>
      </w:pPr>
    </w:p>
    <w:p w14:paraId="0F4505CD" w14:textId="77777777" w:rsidR="00213065" w:rsidRPr="00F376AD" w:rsidRDefault="00F9495E" w:rsidP="00D27AF3">
      <w:pPr>
        <w:pStyle w:val="BodyText"/>
        <w:spacing w:line="290" w:lineRule="auto"/>
        <w:ind w:left="137" w:right="288" w:hanging="5"/>
        <w:rPr>
          <w:rFonts w:ascii="Times New Roman" w:hAnsi="Times New Roman" w:cs="Times New Roman"/>
          <w:b/>
          <w:bCs/>
          <w:color w:val="232323"/>
          <w:w w:val="105"/>
          <w:sz w:val="22"/>
          <w:szCs w:val="22"/>
        </w:rPr>
      </w:pPr>
      <w:r w:rsidRPr="00F376AD">
        <w:rPr>
          <w:rFonts w:ascii="Times New Roman" w:hAnsi="Times New Roman" w:cs="Times New Roman"/>
          <w:b/>
          <w:bCs/>
          <w:color w:val="232323"/>
          <w:w w:val="105"/>
          <w:sz w:val="22"/>
          <w:szCs w:val="22"/>
        </w:rPr>
        <w:t>Principles of regulator best practice</w:t>
      </w:r>
    </w:p>
    <w:p w14:paraId="0F4505CE" w14:textId="77777777"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In exercising its functions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and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powers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in accordance with</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these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principles,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I</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expect the department</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to</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display the following principles of regulator</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best practice:</w:t>
      </w:r>
    </w:p>
    <w:p w14:paraId="0F4505CF" w14:textId="1BE4E7A9" w:rsidR="00213065" w:rsidRPr="00D27AF3" w:rsidRDefault="00F9495E" w:rsidP="00F376AD">
      <w:pPr>
        <w:pStyle w:val="BodyText"/>
        <w:numPr>
          <w:ilvl w:val="0"/>
          <w:numId w:val="12"/>
        </w:numPr>
        <w:spacing w:line="290" w:lineRule="auto"/>
        <w:ind w:left="857" w:right="288"/>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Continuous improvement and building trust:</w:t>
      </w:r>
    </w:p>
    <w:p w14:paraId="0F4505D0" w14:textId="77777777" w:rsidR="00213065" w:rsidRPr="00D27AF3" w:rsidRDefault="00F9495E" w:rsidP="00F376AD">
      <w:pPr>
        <w:pStyle w:val="BodyText"/>
        <w:numPr>
          <w:ilvl w:val="0"/>
          <w:numId w:val="13"/>
        </w:numPr>
        <w:spacing w:line="290" w:lineRule="auto"/>
        <w:ind w:left="1217" w:right="288"/>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use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qualitative and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quantitative analysis as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important tools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for assessing</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and reporting on performance, and to</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support continuous improvement</w:t>
      </w:r>
    </w:p>
    <w:p w14:paraId="0F4505D1" w14:textId="40E05F09" w:rsidR="00213065" w:rsidRPr="00D27AF3" w:rsidRDefault="00F9495E" w:rsidP="00F376AD">
      <w:pPr>
        <w:pStyle w:val="BodyText"/>
        <w:numPr>
          <w:ilvl w:val="0"/>
          <w:numId w:val="13"/>
        </w:numPr>
        <w:spacing w:line="290" w:lineRule="auto"/>
        <w:ind w:left="1217" w:right="288"/>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promote a work culture that builds public confidence in the department's work and promotes trust in Government decision-making</w:t>
      </w:r>
    </w:p>
    <w:p w14:paraId="0F4505D2" w14:textId="589CCF6C" w:rsidR="00213065" w:rsidRPr="00D27AF3" w:rsidRDefault="00F9495E" w:rsidP="00F376AD">
      <w:pPr>
        <w:pStyle w:val="BodyText"/>
        <w:numPr>
          <w:ilvl w:val="0"/>
          <w:numId w:val="12"/>
        </w:numPr>
        <w:spacing w:line="290" w:lineRule="auto"/>
        <w:ind w:left="857" w:right="288"/>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Risk-based and data-driven:</w:t>
      </w:r>
    </w:p>
    <w:p w14:paraId="0F4505D3" w14:textId="77777777" w:rsidR="00213065" w:rsidRPr="00D27AF3" w:rsidRDefault="00F9495E" w:rsidP="00F376AD">
      <w:pPr>
        <w:pStyle w:val="BodyText"/>
        <w:numPr>
          <w:ilvl w:val="0"/>
          <w:numId w:val="14"/>
        </w:numPr>
        <w:spacing w:line="290" w:lineRule="auto"/>
        <w:ind w:left="1217" w:right="288"/>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 xml:space="preserve">actively understand, engage </w:t>
      </w:r>
      <w:proofErr w:type="gramStart"/>
      <w:r w:rsidRPr="00B13ACB">
        <w:rPr>
          <w:rFonts w:ascii="Times New Roman" w:hAnsi="Times New Roman" w:cs="Times New Roman"/>
          <w:color w:val="232323"/>
          <w:w w:val="105"/>
          <w:sz w:val="22"/>
          <w:szCs w:val="22"/>
        </w:rPr>
        <w:t>with</w:t>
      </w:r>
      <w:proofErr w:type="gramEnd"/>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and</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effectively mitigate strategic risks in order to successfully manage its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regulatory functions without unnecessarily impeding the operations of regulated entities</w:t>
      </w:r>
    </w:p>
    <w:p w14:paraId="0F4505D4" w14:textId="2C3D4D36" w:rsidR="00213065" w:rsidRPr="00D27AF3" w:rsidRDefault="00F9495E" w:rsidP="00F376AD">
      <w:pPr>
        <w:pStyle w:val="BodyText"/>
        <w:numPr>
          <w:ilvl w:val="0"/>
          <w:numId w:val="14"/>
        </w:numPr>
        <w:spacing w:line="290" w:lineRule="auto"/>
        <w:ind w:left="1217" w:right="288"/>
        <w:rPr>
          <w:rFonts w:ascii="Times New Roman" w:hAnsi="Times New Roman" w:cs="Times New Roman"/>
          <w:color w:val="232323"/>
          <w:w w:val="105"/>
          <w:sz w:val="22"/>
          <w:szCs w:val="22"/>
        </w:rPr>
      </w:pPr>
      <w:r w:rsidRPr="00B13ACB">
        <w:rPr>
          <w:rFonts w:ascii="Times New Roman" w:hAnsi="Times New Roman" w:cs="Times New Roman"/>
          <w:color w:val="232323"/>
          <w:w w:val="105"/>
          <w:sz w:val="22"/>
          <w:szCs w:val="22"/>
        </w:rPr>
        <w:t>use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data</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sources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that</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meet</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relevant</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data</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assurance</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standards</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for</w:t>
      </w:r>
      <w:r w:rsidRPr="00D27AF3">
        <w:rPr>
          <w:rFonts w:ascii="Times New Roman" w:hAnsi="Times New Roman" w:cs="Times New Roman"/>
          <w:color w:val="232323"/>
          <w:w w:val="105"/>
          <w:sz w:val="22"/>
          <w:szCs w:val="22"/>
        </w:rPr>
        <w:t xml:space="preserve"> </w:t>
      </w:r>
      <w:r w:rsidRPr="00B13ACB">
        <w:rPr>
          <w:rFonts w:ascii="Times New Roman" w:hAnsi="Times New Roman" w:cs="Times New Roman"/>
          <w:color w:val="232323"/>
          <w:w w:val="105"/>
          <w:sz w:val="22"/>
          <w:szCs w:val="22"/>
        </w:rPr>
        <w:t>assessing and reporting on the quality of statistical information.</w:t>
      </w:r>
    </w:p>
    <w:p w14:paraId="0F4505D7" w14:textId="08D85B4C" w:rsidR="00213065" w:rsidRPr="00D27AF3" w:rsidRDefault="00F9495E" w:rsidP="00F376AD">
      <w:pPr>
        <w:pStyle w:val="BodyText"/>
        <w:numPr>
          <w:ilvl w:val="0"/>
          <w:numId w:val="12"/>
        </w:numPr>
        <w:spacing w:line="290" w:lineRule="auto"/>
        <w:ind w:left="856" w:right="288"/>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lastRenderedPageBreak/>
        <w:t>Collaboration and engagement:</w:t>
      </w:r>
    </w:p>
    <w:p w14:paraId="0F4505D8" w14:textId="68661CDF" w:rsidR="00213065" w:rsidRPr="00D27AF3" w:rsidRDefault="00F9495E" w:rsidP="00F376AD">
      <w:pPr>
        <w:pStyle w:val="BodyText"/>
        <w:numPr>
          <w:ilvl w:val="0"/>
          <w:numId w:val="15"/>
        </w:numPr>
        <w:spacing w:line="290" w:lineRule="auto"/>
        <w:ind w:left="1220" w:right="288"/>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 xml:space="preserve">Open, </w:t>
      </w:r>
      <w:proofErr w:type="gramStart"/>
      <w:r w:rsidRPr="00D27AF3">
        <w:rPr>
          <w:rFonts w:ascii="Times New Roman" w:hAnsi="Times New Roman" w:cs="Times New Roman"/>
          <w:color w:val="232323"/>
          <w:w w:val="105"/>
          <w:sz w:val="22"/>
          <w:szCs w:val="22"/>
        </w:rPr>
        <w:t>transparent</w:t>
      </w:r>
      <w:proofErr w:type="gramEnd"/>
      <w:r w:rsidRPr="00D27AF3">
        <w:rPr>
          <w:rFonts w:ascii="Times New Roman" w:hAnsi="Times New Roman" w:cs="Times New Roman"/>
          <w:color w:val="232323"/>
          <w:w w:val="105"/>
          <w:sz w:val="22"/>
          <w:szCs w:val="22"/>
        </w:rPr>
        <w:t xml:space="preserve"> and consistent engagement with stakeholders including industry, government and the broader community is crucial to maintaining competent and innovative regulatory practices. Consequently, I expect the department to:</w:t>
      </w:r>
    </w:p>
    <w:p w14:paraId="0F4505D9" w14:textId="77777777" w:rsidR="00213065" w:rsidRPr="00D27AF3" w:rsidRDefault="00F9495E" w:rsidP="00F376AD">
      <w:pPr>
        <w:pStyle w:val="BodyText"/>
        <w:numPr>
          <w:ilvl w:val="0"/>
          <w:numId w:val="16"/>
        </w:numPr>
        <w:spacing w:line="290" w:lineRule="auto"/>
        <w:ind w:left="1940" w:right="288"/>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seek opportunities to engage and consult genuinely with stakeholders</w:t>
      </w:r>
    </w:p>
    <w:p w14:paraId="0F4505DA" w14:textId="77777777" w:rsidR="00213065" w:rsidRPr="00D27AF3" w:rsidRDefault="00F9495E" w:rsidP="00F376AD">
      <w:pPr>
        <w:pStyle w:val="BodyText"/>
        <w:numPr>
          <w:ilvl w:val="0"/>
          <w:numId w:val="16"/>
        </w:numPr>
        <w:spacing w:line="290" w:lineRule="auto"/>
        <w:ind w:left="1940" w:right="288"/>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be receptive to feedback and diverse stakeholder views</w:t>
      </w:r>
    </w:p>
    <w:p w14:paraId="0F4505DB" w14:textId="77777777" w:rsidR="00213065" w:rsidRPr="00D27AF3" w:rsidRDefault="00F9495E" w:rsidP="00F376AD">
      <w:pPr>
        <w:pStyle w:val="BodyText"/>
        <w:numPr>
          <w:ilvl w:val="0"/>
          <w:numId w:val="16"/>
        </w:numPr>
        <w:spacing w:line="290" w:lineRule="auto"/>
        <w:ind w:left="1940" w:right="288"/>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seek to increase transparency in decision-making processes</w:t>
      </w:r>
    </w:p>
    <w:p w14:paraId="0F4505DC" w14:textId="77777777" w:rsidR="00213065" w:rsidRPr="00D27AF3" w:rsidRDefault="00F9495E" w:rsidP="00F376AD">
      <w:pPr>
        <w:pStyle w:val="BodyText"/>
        <w:numPr>
          <w:ilvl w:val="0"/>
          <w:numId w:val="16"/>
        </w:numPr>
        <w:spacing w:line="290" w:lineRule="auto"/>
        <w:ind w:left="1940" w:right="288"/>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 xml:space="preserve">provide up-to-date, </w:t>
      </w:r>
      <w:proofErr w:type="gramStart"/>
      <w:r w:rsidRPr="00D27AF3">
        <w:rPr>
          <w:rFonts w:ascii="Times New Roman" w:hAnsi="Times New Roman" w:cs="Times New Roman"/>
          <w:color w:val="232323"/>
          <w:w w:val="105"/>
          <w:sz w:val="22"/>
          <w:szCs w:val="22"/>
        </w:rPr>
        <w:t>clear</w:t>
      </w:r>
      <w:proofErr w:type="gramEnd"/>
      <w:r w:rsidRPr="00D27AF3">
        <w:rPr>
          <w:rFonts w:ascii="Times New Roman" w:hAnsi="Times New Roman" w:cs="Times New Roman"/>
          <w:color w:val="232323"/>
          <w:w w:val="105"/>
          <w:sz w:val="22"/>
          <w:szCs w:val="22"/>
        </w:rPr>
        <w:t xml:space="preserve"> and accessible guidance and information to assist regulated entities with compliance, including the sharing of information/intelligence as appropriate and in adherence to any secrecy or privacy obligations.</w:t>
      </w:r>
    </w:p>
    <w:p w14:paraId="0F4505DD" w14:textId="77777777" w:rsidR="00213065" w:rsidRPr="00D27AF3" w:rsidRDefault="00213065" w:rsidP="00F376AD">
      <w:pPr>
        <w:pStyle w:val="BodyText"/>
        <w:spacing w:line="290" w:lineRule="auto"/>
        <w:ind w:left="501" w:right="288" w:hanging="5"/>
        <w:rPr>
          <w:rFonts w:ascii="Times New Roman" w:hAnsi="Times New Roman" w:cs="Times New Roman"/>
          <w:color w:val="232323"/>
          <w:w w:val="105"/>
          <w:sz w:val="22"/>
          <w:szCs w:val="22"/>
        </w:rPr>
      </w:pPr>
    </w:p>
    <w:p w14:paraId="0F4505DE" w14:textId="77777777" w:rsidR="00213065" w:rsidRPr="00271440" w:rsidRDefault="00F9495E" w:rsidP="00D27AF3">
      <w:pPr>
        <w:pStyle w:val="BodyText"/>
        <w:spacing w:line="290" w:lineRule="auto"/>
        <w:ind w:left="137" w:right="288" w:hanging="5"/>
        <w:rPr>
          <w:rFonts w:ascii="Times New Roman" w:hAnsi="Times New Roman" w:cs="Times New Roman"/>
          <w:b/>
          <w:bCs/>
          <w:color w:val="232323"/>
          <w:w w:val="105"/>
          <w:sz w:val="22"/>
          <w:szCs w:val="22"/>
        </w:rPr>
      </w:pPr>
      <w:r w:rsidRPr="00271440">
        <w:rPr>
          <w:rFonts w:ascii="Times New Roman" w:hAnsi="Times New Roman" w:cs="Times New Roman"/>
          <w:b/>
          <w:bCs/>
          <w:color w:val="232323"/>
          <w:w w:val="105"/>
          <w:sz w:val="22"/>
          <w:szCs w:val="22"/>
        </w:rPr>
        <w:t>Innovation and regulatory change</w:t>
      </w:r>
    </w:p>
    <w:p w14:paraId="0F4505DF" w14:textId="77777777"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I expect the department to continually monitor the environment in which it operates to ensure regulatory approaches keep pace with changes in technology, industry practices, international regulation, and community expectations.</w:t>
      </w:r>
    </w:p>
    <w:p w14:paraId="0F4505E0" w14:textId="77777777" w:rsidR="00213065" w:rsidRPr="00D27AF3" w:rsidRDefault="00213065" w:rsidP="00D27AF3">
      <w:pPr>
        <w:pStyle w:val="BodyText"/>
        <w:spacing w:line="290" w:lineRule="auto"/>
        <w:ind w:left="137" w:right="288" w:hanging="5"/>
        <w:rPr>
          <w:rFonts w:ascii="Times New Roman" w:hAnsi="Times New Roman" w:cs="Times New Roman"/>
          <w:color w:val="232323"/>
          <w:w w:val="105"/>
          <w:sz w:val="22"/>
          <w:szCs w:val="22"/>
        </w:rPr>
      </w:pPr>
    </w:p>
    <w:p w14:paraId="0F4505E1" w14:textId="77777777"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 xml:space="preserve">I also expect the department to regularly review and, where necessary, adjust policies, </w:t>
      </w:r>
      <w:proofErr w:type="gramStart"/>
      <w:r w:rsidRPr="00D27AF3">
        <w:rPr>
          <w:rFonts w:ascii="Times New Roman" w:hAnsi="Times New Roman" w:cs="Times New Roman"/>
          <w:color w:val="232323"/>
          <w:w w:val="105"/>
          <w:sz w:val="22"/>
          <w:szCs w:val="22"/>
        </w:rPr>
        <w:t>protocols</w:t>
      </w:r>
      <w:proofErr w:type="gramEnd"/>
      <w:r w:rsidRPr="00D27AF3">
        <w:rPr>
          <w:rFonts w:ascii="Times New Roman" w:hAnsi="Times New Roman" w:cs="Times New Roman"/>
          <w:color w:val="232323"/>
          <w:w w:val="105"/>
          <w:sz w:val="22"/>
          <w:szCs w:val="22"/>
        </w:rPr>
        <w:t xml:space="preserve"> and operational procedures, to ensure it can respond to the changing social, technological and international regulatory environment and commercial context in which it operates.</w:t>
      </w:r>
    </w:p>
    <w:p w14:paraId="0F4505E2" w14:textId="77777777" w:rsidR="00213065" w:rsidRPr="00D27AF3" w:rsidRDefault="00213065" w:rsidP="00D27AF3">
      <w:pPr>
        <w:pStyle w:val="BodyText"/>
        <w:spacing w:line="290" w:lineRule="auto"/>
        <w:ind w:left="137" w:right="288" w:hanging="5"/>
        <w:rPr>
          <w:rFonts w:ascii="Times New Roman" w:hAnsi="Times New Roman" w:cs="Times New Roman"/>
          <w:color w:val="232323"/>
          <w:w w:val="105"/>
          <w:sz w:val="22"/>
          <w:szCs w:val="22"/>
        </w:rPr>
      </w:pPr>
    </w:p>
    <w:p w14:paraId="0F4505E3" w14:textId="77777777" w:rsidR="00213065" w:rsidRPr="00271440" w:rsidRDefault="00F9495E" w:rsidP="00D27AF3">
      <w:pPr>
        <w:pStyle w:val="BodyText"/>
        <w:spacing w:line="290" w:lineRule="auto"/>
        <w:ind w:left="137" w:right="288" w:hanging="5"/>
        <w:rPr>
          <w:rFonts w:ascii="Times New Roman" w:hAnsi="Times New Roman" w:cs="Times New Roman"/>
          <w:b/>
          <w:bCs/>
          <w:color w:val="232323"/>
          <w:w w:val="105"/>
          <w:sz w:val="22"/>
          <w:szCs w:val="22"/>
        </w:rPr>
      </w:pPr>
      <w:r w:rsidRPr="00271440">
        <w:rPr>
          <w:rFonts w:ascii="Times New Roman" w:hAnsi="Times New Roman" w:cs="Times New Roman"/>
          <w:b/>
          <w:bCs/>
          <w:color w:val="232323"/>
          <w:w w:val="105"/>
          <w:sz w:val="22"/>
          <w:szCs w:val="22"/>
        </w:rPr>
        <w:t>Relationship with Minister and portfolio</w:t>
      </w:r>
    </w:p>
    <w:p w14:paraId="0F4505E4" w14:textId="77777777"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The department plays an essential role in ensuring that the Government and I are well placed to respond promptly to any policy challenges and opportunities arising from the administration of these regulatory functions. Accordingly, I expect the department to provide accurate and timely policy advice on significant issues relating to these regulatory functions in accordance with the Government's policy priorities and objectives.</w:t>
      </w:r>
    </w:p>
    <w:p w14:paraId="0F4505E5" w14:textId="77777777" w:rsidR="00213065" w:rsidRPr="00D27AF3" w:rsidRDefault="00213065" w:rsidP="00D27AF3">
      <w:pPr>
        <w:pStyle w:val="BodyText"/>
        <w:spacing w:line="290" w:lineRule="auto"/>
        <w:ind w:left="137" w:right="288" w:hanging="5"/>
        <w:rPr>
          <w:rFonts w:ascii="Times New Roman" w:hAnsi="Times New Roman" w:cs="Times New Roman"/>
          <w:color w:val="232323"/>
          <w:w w:val="105"/>
          <w:sz w:val="22"/>
          <w:szCs w:val="22"/>
        </w:rPr>
      </w:pPr>
    </w:p>
    <w:p w14:paraId="1EF6327A" w14:textId="418AB984" w:rsidR="00B13ACB"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As the responsible Minister, I will provide an e</w:t>
      </w:r>
      <w:r w:rsidR="00B13ACB" w:rsidRPr="00D27AF3">
        <w:rPr>
          <w:rFonts w:ascii="Times New Roman" w:hAnsi="Times New Roman" w:cs="Times New Roman"/>
          <w:color w:val="232323"/>
          <w:w w:val="105"/>
          <w:sz w:val="22"/>
          <w:szCs w:val="22"/>
        </w:rPr>
        <w:t>n</w:t>
      </w:r>
      <w:r w:rsidRPr="00D27AF3">
        <w:rPr>
          <w:rFonts w:ascii="Times New Roman" w:hAnsi="Times New Roman" w:cs="Times New Roman"/>
          <w:color w:val="232323"/>
          <w:w w:val="105"/>
          <w:sz w:val="22"/>
          <w:szCs w:val="22"/>
        </w:rPr>
        <w:t>abling environment for the department to consistently implement best practice by ensuring you are well informed of the Government's policy direction, as specific initiatives and strategies are being considered.</w:t>
      </w:r>
    </w:p>
    <w:p w14:paraId="3A83804F" w14:textId="77777777" w:rsidR="00B13ACB" w:rsidRPr="00D27AF3" w:rsidRDefault="00B13ACB" w:rsidP="00D27AF3">
      <w:pPr>
        <w:pStyle w:val="BodyText"/>
        <w:spacing w:line="290" w:lineRule="auto"/>
        <w:ind w:left="137" w:right="288" w:hanging="5"/>
        <w:rPr>
          <w:rFonts w:ascii="Times New Roman" w:hAnsi="Times New Roman" w:cs="Times New Roman"/>
          <w:color w:val="232323"/>
          <w:w w:val="105"/>
          <w:sz w:val="22"/>
          <w:szCs w:val="22"/>
        </w:rPr>
      </w:pPr>
    </w:p>
    <w:p w14:paraId="0F4505E8" w14:textId="09526F46" w:rsidR="00213065" w:rsidRPr="00271440" w:rsidRDefault="00F9495E" w:rsidP="00D27AF3">
      <w:pPr>
        <w:pStyle w:val="BodyText"/>
        <w:spacing w:line="290" w:lineRule="auto"/>
        <w:ind w:left="137" w:right="288" w:hanging="5"/>
        <w:rPr>
          <w:rFonts w:ascii="Times New Roman" w:hAnsi="Times New Roman" w:cs="Times New Roman"/>
          <w:b/>
          <w:bCs/>
          <w:color w:val="232323"/>
          <w:w w:val="105"/>
          <w:sz w:val="22"/>
          <w:szCs w:val="22"/>
        </w:rPr>
      </w:pPr>
      <w:r w:rsidRPr="00271440">
        <w:rPr>
          <w:rFonts w:ascii="Times New Roman" w:hAnsi="Times New Roman" w:cs="Times New Roman"/>
          <w:b/>
          <w:bCs/>
          <w:color w:val="232323"/>
          <w:w w:val="105"/>
          <w:sz w:val="22"/>
          <w:szCs w:val="22"/>
        </w:rPr>
        <w:t>Statement of Intent</w:t>
      </w:r>
    </w:p>
    <w:p w14:paraId="0F4505E9" w14:textId="77777777" w:rsidR="00213065" w:rsidRPr="00D27AF3" w:rsidRDefault="00F9495E" w:rsidP="00D27AF3">
      <w:pPr>
        <w:pStyle w:val="BodyText"/>
        <w:spacing w:line="290" w:lineRule="auto"/>
        <w:ind w:left="137" w:right="288" w:hanging="5"/>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 xml:space="preserve">I look forward to the department's reply to this </w:t>
      </w:r>
      <w:proofErr w:type="spellStart"/>
      <w:r w:rsidRPr="00D27AF3">
        <w:rPr>
          <w:rFonts w:ascii="Times New Roman" w:hAnsi="Times New Roman" w:cs="Times New Roman"/>
          <w:color w:val="232323"/>
          <w:w w:val="105"/>
          <w:sz w:val="22"/>
          <w:szCs w:val="22"/>
        </w:rPr>
        <w:t>SoE</w:t>
      </w:r>
      <w:proofErr w:type="spellEnd"/>
      <w:r w:rsidRPr="00D27AF3">
        <w:rPr>
          <w:rFonts w:ascii="Times New Roman" w:hAnsi="Times New Roman" w:cs="Times New Roman"/>
          <w:color w:val="232323"/>
          <w:w w:val="105"/>
          <w:sz w:val="22"/>
          <w:szCs w:val="22"/>
        </w:rPr>
        <w:t xml:space="preserve"> with a Statement of Intent outlining how you will implement the above-mentioned expectations.</w:t>
      </w:r>
    </w:p>
    <w:p w14:paraId="08033C15" w14:textId="77777777" w:rsidR="008C1974" w:rsidRPr="00D27AF3" w:rsidRDefault="008C1974" w:rsidP="00D27AF3">
      <w:pPr>
        <w:pStyle w:val="BodyText"/>
        <w:spacing w:line="290" w:lineRule="auto"/>
        <w:ind w:left="137" w:right="288" w:hanging="5"/>
        <w:rPr>
          <w:rFonts w:ascii="Times New Roman" w:hAnsi="Times New Roman" w:cs="Times New Roman"/>
          <w:color w:val="232323"/>
          <w:w w:val="105"/>
          <w:sz w:val="22"/>
          <w:szCs w:val="22"/>
        </w:rPr>
      </w:pPr>
    </w:p>
    <w:p w14:paraId="3BD90EBD" w14:textId="0E364F8A" w:rsidR="008C1974" w:rsidRPr="00D27AF3" w:rsidRDefault="008C1974" w:rsidP="00D27AF3">
      <w:pPr>
        <w:pStyle w:val="BodyText"/>
        <w:spacing w:line="290" w:lineRule="auto"/>
        <w:ind w:left="137" w:right="288" w:hanging="5"/>
        <w:rPr>
          <w:rFonts w:ascii="Times New Roman" w:hAnsi="Times New Roman" w:cs="Times New Roman"/>
          <w:color w:val="232323"/>
          <w:w w:val="105"/>
          <w:sz w:val="22"/>
          <w:szCs w:val="22"/>
        </w:rPr>
      </w:pPr>
      <w:r w:rsidRPr="00D27AF3">
        <w:rPr>
          <w:rFonts w:ascii="Times New Roman" w:hAnsi="Times New Roman" w:cs="Times New Roman"/>
          <w:color w:val="232323"/>
          <w:w w:val="105"/>
          <w:sz w:val="22"/>
          <w:szCs w:val="22"/>
        </w:rPr>
        <w:t>Your sincerely</w:t>
      </w:r>
    </w:p>
    <w:p w14:paraId="5496167B" w14:textId="1CE9531D" w:rsidR="0090574F" w:rsidRPr="00271440" w:rsidRDefault="0090574F" w:rsidP="00D27AF3">
      <w:pPr>
        <w:pStyle w:val="BodyText"/>
        <w:spacing w:line="290" w:lineRule="auto"/>
        <w:ind w:left="137" w:right="288" w:hanging="5"/>
        <w:rPr>
          <w:rFonts w:ascii="Times New Roman" w:hAnsi="Times New Roman" w:cs="Times New Roman"/>
          <w:b/>
          <w:bCs/>
          <w:color w:val="232323"/>
          <w:w w:val="105"/>
          <w:sz w:val="22"/>
          <w:szCs w:val="22"/>
        </w:rPr>
      </w:pPr>
    </w:p>
    <w:p w14:paraId="0F4505ED" w14:textId="331FC412" w:rsidR="00213065" w:rsidRPr="00271440" w:rsidRDefault="00F9495E" w:rsidP="00D27AF3">
      <w:pPr>
        <w:pStyle w:val="BodyText"/>
        <w:spacing w:line="290" w:lineRule="auto"/>
        <w:ind w:left="137" w:right="288" w:hanging="5"/>
        <w:rPr>
          <w:rFonts w:ascii="Times New Roman" w:hAnsi="Times New Roman" w:cs="Times New Roman"/>
          <w:b/>
          <w:bCs/>
          <w:color w:val="232323"/>
          <w:w w:val="105"/>
          <w:sz w:val="22"/>
          <w:szCs w:val="22"/>
        </w:rPr>
      </w:pPr>
      <w:r w:rsidRPr="00271440">
        <w:rPr>
          <w:rFonts w:ascii="Times New Roman" w:hAnsi="Times New Roman" w:cs="Times New Roman"/>
          <w:b/>
          <w:bCs/>
          <w:color w:val="232323"/>
          <w:w w:val="105"/>
          <w:sz w:val="22"/>
          <w:szCs w:val="22"/>
        </w:rPr>
        <w:t>Mark Butler</w:t>
      </w:r>
    </w:p>
    <w:p w14:paraId="64B1BDAE" w14:textId="7E1BD34D" w:rsidR="0090574F" w:rsidRPr="00271440" w:rsidRDefault="0090574F" w:rsidP="00D27AF3">
      <w:pPr>
        <w:pStyle w:val="BodyText"/>
        <w:spacing w:line="290" w:lineRule="auto"/>
        <w:ind w:left="137" w:right="288" w:hanging="5"/>
        <w:rPr>
          <w:rFonts w:ascii="Times New Roman" w:hAnsi="Times New Roman" w:cs="Times New Roman"/>
          <w:color w:val="232323"/>
          <w:w w:val="105"/>
          <w:sz w:val="22"/>
          <w:szCs w:val="22"/>
        </w:rPr>
      </w:pPr>
      <w:r w:rsidRPr="00271440">
        <w:rPr>
          <w:rFonts w:ascii="Times New Roman" w:hAnsi="Times New Roman" w:cs="Times New Roman"/>
          <w:color w:val="232323"/>
          <w:w w:val="105"/>
          <w:sz w:val="22"/>
          <w:szCs w:val="22"/>
        </w:rPr>
        <w:t>20/06/2023</w:t>
      </w:r>
    </w:p>
    <w:sectPr w:rsidR="0090574F" w:rsidRPr="00271440">
      <w:headerReference w:type="default" r:id="rId9"/>
      <w:pgSz w:w="11900" w:h="16820"/>
      <w:pgMar w:top="660" w:right="1140" w:bottom="280" w:left="1420" w:header="4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FE94" w14:textId="77777777" w:rsidR="00C96510" w:rsidRDefault="00C96510">
      <w:r>
        <w:separator/>
      </w:r>
    </w:p>
  </w:endnote>
  <w:endnote w:type="continuationSeparator" w:id="0">
    <w:p w14:paraId="3E6E6227" w14:textId="77777777" w:rsidR="00C96510" w:rsidRDefault="00C9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FD65" w14:textId="77777777" w:rsidR="00C96510" w:rsidRDefault="00C96510">
      <w:r>
        <w:separator/>
      </w:r>
    </w:p>
  </w:footnote>
  <w:footnote w:type="continuationSeparator" w:id="0">
    <w:p w14:paraId="72AAF534" w14:textId="77777777" w:rsidR="00C96510" w:rsidRDefault="00C9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05F2" w14:textId="77777777" w:rsidR="00213065" w:rsidRDefault="00F9495E">
    <w:pPr>
      <w:pStyle w:val="BodyText"/>
      <w:spacing w:line="14" w:lineRule="auto"/>
    </w:pPr>
    <w:r>
      <w:rPr>
        <w:noProof/>
      </w:rPr>
      <mc:AlternateContent>
        <mc:Choice Requires="wps">
          <w:drawing>
            <wp:anchor distT="0" distB="0" distL="0" distR="0" simplePos="0" relativeHeight="251661312" behindDoc="1" locked="0" layoutInCell="1" allowOverlap="1" wp14:anchorId="0F4505F3" wp14:editId="0F4505F4">
              <wp:simplePos x="0" y="0"/>
              <wp:positionH relativeFrom="page">
                <wp:posOffset>3777751</wp:posOffset>
              </wp:positionH>
              <wp:positionV relativeFrom="page">
                <wp:posOffset>260111</wp:posOffset>
              </wp:positionV>
              <wp:extent cx="167005" cy="1828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880"/>
                      </a:xfrm>
                      <a:prstGeom prst="rect">
                        <a:avLst/>
                      </a:prstGeom>
                    </wps:spPr>
                    <wps:txbx>
                      <w:txbxContent>
                        <w:p w14:paraId="0F4505F5" w14:textId="77777777" w:rsidR="00213065" w:rsidRDefault="00F9495E">
                          <w:pPr>
                            <w:spacing w:before="13"/>
                            <w:ind w:left="53"/>
                            <w:rPr>
                              <w:sz w:val="21"/>
                            </w:rPr>
                          </w:pPr>
                          <w:r>
                            <w:rPr>
                              <w:color w:val="464646"/>
                              <w:w w:val="110"/>
                              <w:sz w:val="21"/>
                            </w:rPr>
                            <w:fldChar w:fldCharType="begin"/>
                          </w:r>
                          <w:r>
                            <w:rPr>
                              <w:color w:val="464646"/>
                              <w:w w:val="110"/>
                              <w:sz w:val="21"/>
                            </w:rPr>
                            <w:instrText xml:space="preserve"> PAGE </w:instrText>
                          </w:r>
                          <w:r>
                            <w:rPr>
                              <w:color w:val="464646"/>
                              <w:w w:val="110"/>
                              <w:sz w:val="21"/>
                            </w:rPr>
                            <w:fldChar w:fldCharType="separate"/>
                          </w:r>
                          <w:r>
                            <w:rPr>
                              <w:color w:val="464646"/>
                              <w:w w:val="110"/>
                              <w:sz w:val="21"/>
                            </w:rPr>
                            <w:t>4</w:t>
                          </w:r>
                          <w:r>
                            <w:rPr>
                              <w:color w:val="464646"/>
                              <w:w w:val="110"/>
                              <w:sz w:val="21"/>
                            </w:rPr>
                            <w:fldChar w:fldCharType="end"/>
                          </w:r>
                        </w:p>
                      </w:txbxContent>
                    </wps:txbx>
                    <wps:bodyPr wrap="square" lIns="0" tIns="0" rIns="0" bIns="0" rtlCol="0">
                      <a:noAutofit/>
                    </wps:bodyPr>
                  </wps:wsp>
                </a:graphicData>
              </a:graphic>
            </wp:anchor>
          </w:drawing>
        </mc:Choice>
        <mc:Fallback>
          <w:pict>
            <v:shapetype w14:anchorId="0F4505F3" id="_x0000_t202" coordsize="21600,21600" o:spt="202" path="m,l,21600r21600,l21600,xe">
              <v:stroke joinstyle="miter"/>
              <v:path gradientshapeok="t" o:connecttype="rect"/>
            </v:shapetype>
            <v:shape id="Textbox 2" o:spid="_x0000_s1026" type="#_x0000_t202" style="position:absolute;margin-left:297.45pt;margin-top:20.5pt;width:13.15pt;height:14.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" filled="f" stroked="f">
              <v:textbox inset="0,0,0,0">
                <w:txbxContent>
                  <w:p w14:paraId="0F4505F5" w14:textId="77777777" w:rsidR="00213065" w:rsidRDefault="00F9495E">
                    <w:pPr>
                      <w:spacing w:before="13"/>
                      <w:ind w:left="53"/>
                      <w:rPr>
                        <w:sz w:val="21"/>
                      </w:rPr>
                    </w:pPr>
                    <w:r>
                      <w:rPr>
                        <w:color w:val="464646"/>
                        <w:w w:val="110"/>
                        <w:sz w:val="21"/>
                      </w:rPr>
                      <w:fldChar w:fldCharType="begin"/>
                    </w:r>
                    <w:r>
                      <w:rPr>
                        <w:color w:val="464646"/>
                        <w:w w:val="110"/>
                        <w:sz w:val="21"/>
                      </w:rPr>
                      <w:instrText xml:space="preserve"> PAGE </w:instrText>
                    </w:r>
                    <w:r>
                      <w:rPr>
                        <w:color w:val="464646"/>
                        <w:w w:val="110"/>
                        <w:sz w:val="21"/>
                      </w:rPr>
                      <w:fldChar w:fldCharType="separate"/>
                    </w:r>
                    <w:r>
                      <w:rPr>
                        <w:color w:val="464646"/>
                        <w:w w:val="110"/>
                        <w:sz w:val="21"/>
                      </w:rPr>
                      <w:t>4</w:t>
                    </w:r>
                    <w:r>
                      <w:rPr>
                        <w:color w:val="464646"/>
                        <w:w w:val="110"/>
                        <w:sz w:val="2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6F9"/>
    <w:multiLevelType w:val="hybridMultilevel"/>
    <w:tmpl w:val="4094FD32"/>
    <w:lvl w:ilvl="0" w:tplc="0C090003">
      <w:start w:val="1"/>
      <w:numFmt w:val="bullet"/>
      <w:lvlText w:val="o"/>
      <w:lvlJc w:val="left"/>
      <w:pPr>
        <w:ind w:left="1576" w:hanging="360"/>
      </w:pPr>
      <w:rPr>
        <w:rFonts w:ascii="Courier New" w:hAnsi="Courier New" w:cs="Courier New" w:hint="default"/>
      </w:rPr>
    </w:lvl>
    <w:lvl w:ilvl="1" w:tplc="0C090003" w:tentative="1">
      <w:start w:val="1"/>
      <w:numFmt w:val="bullet"/>
      <w:lvlText w:val="o"/>
      <w:lvlJc w:val="left"/>
      <w:pPr>
        <w:ind w:left="2296" w:hanging="360"/>
      </w:pPr>
      <w:rPr>
        <w:rFonts w:ascii="Courier New" w:hAnsi="Courier New" w:cs="Courier New" w:hint="default"/>
      </w:rPr>
    </w:lvl>
    <w:lvl w:ilvl="2" w:tplc="0C090005" w:tentative="1">
      <w:start w:val="1"/>
      <w:numFmt w:val="bullet"/>
      <w:lvlText w:val=""/>
      <w:lvlJc w:val="left"/>
      <w:pPr>
        <w:ind w:left="3016" w:hanging="360"/>
      </w:pPr>
      <w:rPr>
        <w:rFonts w:ascii="Wingdings" w:hAnsi="Wingdings" w:hint="default"/>
      </w:rPr>
    </w:lvl>
    <w:lvl w:ilvl="3" w:tplc="0C090001" w:tentative="1">
      <w:start w:val="1"/>
      <w:numFmt w:val="bullet"/>
      <w:lvlText w:val=""/>
      <w:lvlJc w:val="left"/>
      <w:pPr>
        <w:ind w:left="3736" w:hanging="360"/>
      </w:pPr>
      <w:rPr>
        <w:rFonts w:ascii="Symbol" w:hAnsi="Symbol" w:hint="default"/>
      </w:rPr>
    </w:lvl>
    <w:lvl w:ilvl="4" w:tplc="0C090003" w:tentative="1">
      <w:start w:val="1"/>
      <w:numFmt w:val="bullet"/>
      <w:lvlText w:val="o"/>
      <w:lvlJc w:val="left"/>
      <w:pPr>
        <w:ind w:left="4456" w:hanging="360"/>
      </w:pPr>
      <w:rPr>
        <w:rFonts w:ascii="Courier New" w:hAnsi="Courier New" w:cs="Courier New" w:hint="default"/>
      </w:rPr>
    </w:lvl>
    <w:lvl w:ilvl="5" w:tplc="0C090005" w:tentative="1">
      <w:start w:val="1"/>
      <w:numFmt w:val="bullet"/>
      <w:lvlText w:val=""/>
      <w:lvlJc w:val="left"/>
      <w:pPr>
        <w:ind w:left="5176" w:hanging="360"/>
      </w:pPr>
      <w:rPr>
        <w:rFonts w:ascii="Wingdings" w:hAnsi="Wingdings" w:hint="default"/>
      </w:rPr>
    </w:lvl>
    <w:lvl w:ilvl="6" w:tplc="0C090001" w:tentative="1">
      <w:start w:val="1"/>
      <w:numFmt w:val="bullet"/>
      <w:lvlText w:val=""/>
      <w:lvlJc w:val="left"/>
      <w:pPr>
        <w:ind w:left="5896" w:hanging="360"/>
      </w:pPr>
      <w:rPr>
        <w:rFonts w:ascii="Symbol" w:hAnsi="Symbol" w:hint="default"/>
      </w:rPr>
    </w:lvl>
    <w:lvl w:ilvl="7" w:tplc="0C090003" w:tentative="1">
      <w:start w:val="1"/>
      <w:numFmt w:val="bullet"/>
      <w:lvlText w:val="o"/>
      <w:lvlJc w:val="left"/>
      <w:pPr>
        <w:ind w:left="6616" w:hanging="360"/>
      </w:pPr>
      <w:rPr>
        <w:rFonts w:ascii="Courier New" w:hAnsi="Courier New" w:cs="Courier New" w:hint="default"/>
      </w:rPr>
    </w:lvl>
    <w:lvl w:ilvl="8" w:tplc="0C090005" w:tentative="1">
      <w:start w:val="1"/>
      <w:numFmt w:val="bullet"/>
      <w:lvlText w:val=""/>
      <w:lvlJc w:val="left"/>
      <w:pPr>
        <w:ind w:left="7336" w:hanging="360"/>
      </w:pPr>
      <w:rPr>
        <w:rFonts w:ascii="Wingdings" w:hAnsi="Wingdings" w:hint="default"/>
      </w:rPr>
    </w:lvl>
  </w:abstractNum>
  <w:abstractNum w:abstractNumId="1" w15:restartNumberingAfterBreak="0">
    <w:nsid w:val="1B6E7A5A"/>
    <w:multiLevelType w:val="hybridMultilevel"/>
    <w:tmpl w:val="3274D30A"/>
    <w:lvl w:ilvl="0" w:tplc="0C090003">
      <w:start w:val="1"/>
      <w:numFmt w:val="bullet"/>
      <w:lvlText w:val="o"/>
      <w:lvlJc w:val="left"/>
      <w:pPr>
        <w:ind w:left="852" w:hanging="360"/>
      </w:pPr>
      <w:rPr>
        <w:rFonts w:ascii="Courier New" w:hAnsi="Courier New" w:cs="Courier New"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2" w15:restartNumberingAfterBreak="0">
    <w:nsid w:val="1EA42E7E"/>
    <w:multiLevelType w:val="hybridMultilevel"/>
    <w:tmpl w:val="9A52D2EA"/>
    <w:lvl w:ilvl="0" w:tplc="0C090001">
      <w:start w:val="1"/>
      <w:numFmt w:val="bullet"/>
      <w:lvlText w:val=""/>
      <w:lvlJc w:val="left"/>
      <w:pPr>
        <w:ind w:left="852" w:hanging="360"/>
      </w:pPr>
      <w:rPr>
        <w:rFonts w:ascii="Symbol" w:hAnsi="Symbol" w:hint="default"/>
      </w:rPr>
    </w:lvl>
    <w:lvl w:ilvl="1" w:tplc="FFFFFFFF" w:tentative="1">
      <w:start w:val="1"/>
      <w:numFmt w:val="bullet"/>
      <w:lvlText w:val="o"/>
      <w:lvlJc w:val="left"/>
      <w:pPr>
        <w:ind w:left="1572" w:hanging="360"/>
      </w:pPr>
      <w:rPr>
        <w:rFonts w:ascii="Courier New" w:hAnsi="Courier New" w:cs="Courier New" w:hint="default"/>
      </w:rPr>
    </w:lvl>
    <w:lvl w:ilvl="2" w:tplc="FFFFFFFF" w:tentative="1">
      <w:start w:val="1"/>
      <w:numFmt w:val="bullet"/>
      <w:lvlText w:val=""/>
      <w:lvlJc w:val="left"/>
      <w:pPr>
        <w:ind w:left="2292" w:hanging="360"/>
      </w:pPr>
      <w:rPr>
        <w:rFonts w:ascii="Wingdings" w:hAnsi="Wingdings" w:hint="default"/>
      </w:rPr>
    </w:lvl>
    <w:lvl w:ilvl="3" w:tplc="FFFFFFFF" w:tentative="1">
      <w:start w:val="1"/>
      <w:numFmt w:val="bullet"/>
      <w:lvlText w:val=""/>
      <w:lvlJc w:val="left"/>
      <w:pPr>
        <w:ind w:left="3012" w:hanging="360"/>
      </w:pPr>
      <w:rPr>
        <w:rFonts w:ascii="Symbol" w:hAnsi="Symbol" w:hint="default"/>
      </w:rPr>
    </w:lvl>
    <w:lvl w:ilvl="4" w:tplc="FFFFFFFF" w:tentative="1">
      <w:start w:val="1"/>
      <w:numFmt w:val="bullet"/>
      <w:lvlText w:val="o"/>
      <w:lvlJc w:val="left"/>
      <w:pPr>
        <w:ind w:left="3732" w:hanging="360"/>
      </w:pPr>
      <w:rPr>
        <w:rFonts w:ascii="Courier New" w:hAnsi="Courier New" w:cs="Courier New" w:hint="default"/>
      </w:rPr>
    </w:lvl>
    <w:lvl w:ilvl="5" w:tplc="FFFFFFFF" w:tentative="1">
      <w:start w:val="1"/>
      <w:numFmt w:val="bullet"/>
      <w:lvlText w:val=""/>
      <w:lvlJc w:val="left"/>
      <w:pPr>
        <w:ind w:left="4452" w:hanging="360"/>
      </w:pPr>
      <w:rPr>
        <w:rFonts w:ascii="Wingdings" w:hAnsi="Wingdings" w:hint="default"/>
      </w:rPr>
    </w:lvl>
    <w:lvl w:ilvl="6" w:tplc="FFFFFFFF" w:tentative="1">
      <w:start w:val="1"/>
      <w:numFmt w:val="bullet"/>
      <w:lvlText w:val=""/>
      <w:lvlJc w:val="left"/>
      <w:pPr>
        <w:ind w:left="5172" w:hanging="360"/>
      </w:pPr>
      <w:rPr>
        <w:rFonts w:ascii="Symbol" w:hAnsi="Symbol" w:hint="default"/>
      </w:rPr>
    </w:lvl>
    <w:lvl w:ilvl="7" w:tplc="FFFFFFFF" w:tentative="1">
      <w:start w:val="1"/>
      <w:numFmt w:val="bullet"/>
      <w:lvlText w:val="o"/>
      <w:lvlJc w:val="left"/>
      <w:pPr>
        <w:ind w:left="5892" w:hanging="360"/>
      </w:pPr>
      <w:rPr>
        <w:rFonts w:ascii="Courier New" w:hAnsi="Courier New" w:cs="Courier New" w:hint="default"/>
      </w:rPr>
    </w:lvl>
    <w:lvl w:ilvl="8" w:tplc="FFFFFFFF" w:tentative="1">
      <w:start w:val="1"/>
      <w:numFmt w:val="bullet"/>
      <w:lvlText w:val=""/>
      <w:lvlJc w:val="left"/>
      <w:pPr>
        <w:ind w:left="6612" w:hanging="360"/>
      </w:pPr>
      <w:rPr>
        <w:rFonts w:ascii="Wingdings" w:hAnsi="Wingdings" w:hint="default"/>
      </w:rPr>
    </w:lvl>
  </w:abstractNum>
  <w:abstractNum w:abstractNumId="3" w15:restartNumberingAfterBreak="0">
    <w:nsid w:val="2A715DB0"/>
    <w:multiLevelType w:val="hybridMultilevel"/>
    <w:tmpl w:val="1E66A85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2FC1486E"/>
    <w:multiLevelType w:val="hybridMultilevel"/>
    <w:tmpl w:val="CACC8FA4"/>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5" w15:restartNumberingAfterBreak="0">
    <w:nsid w:val="32290C6F"/>
    <w:multiLevelType w:val="hybridMultilevel"/>
    <w:tmpl w:val="A2AE645E"/>
    <w:lvl w:ilvl="0" w:tplc="72C80024">
      <w:start w:val="1"/>
      <w:numFmt w:val="decimal"/>
      <w:lvlText w:val="%1."/>
      <w:lvlJc w:val="left"/>
      <w:pPr>
        <w:ind w:left="492" w:hanging="360"/>
      </w:pPr>
      <w:rPr>
        <w:rFonts w:hint="default"/>
      </w:rPr>
    </w:lvl>
    <w:lvl w:ilvl="1" w:tplc="0C090019" w:tentative="1">
      <w:start w:val="1"/>
      <w:numFmt w:val="lowerLetter"/>
      <w:lvlText w:val="%2."/>
      <w:lvlJc w:val="left"/>
      <w:pPr>
        <w:ind w:left="1212" w:hanging="360"/>
      </w:pPr>
    </w:lvl>
    <w:lvl w:ilvl="2" w:tplc="0C09001B" w:tentative="1">
      <w:start w:val="1"/>
      <w:numFmt w:val="lowerRoman"/>
      <w:lvlText w:val="%3."/>
      <w:lvlJc w:val="right"/>
      <w:pPr>
        <w:ind w:left="1932" w:hanging="180"/>
      </w:pPr>
    </w:lvl>
    <w:lvl w:ilvl="3" w:tplc="0C09000F" w:tentative="1">
      <w:start w:val="1"/>
      <w:numFmt w:val="decimal"/>
      <w:lvlText w:val="%4."/>
      <w:lvlJc w:val="left"/>
      <w:pPr>
        <w:ind w:left="2652" w:hanging="360"/>
      </w:pPr>
    </w:lvl>
    <w:lvl w:ilvl="4" w:tplc="0C090019" w:tentative="1">
      <w:start w:val="1"/>
      <w:numFmt w:val="lowerLetter"/>
      <w:lvlText w:val="%5."/>
      <w:lvlJc w:val="left"/>
      <w:pPr>
        <w:ind w:left="3372" w:hanging="360"/>
      </w:pPr>
    </w:lvl>
    <w:lvl w:ilvl="5" w:tplc="0C09001B" w:tentative="1">
      <w:start w:val="1"/>
      <w:numFmt w:val="lowerRoman"/>
      <w:lvlText w:val="%6."/>
      <w:lvlJc w:val="right"/>
      <w:pPr>
        <w:ind w:left="4092" w:hanging="180"/>
      </w:pPr>
    </w:lvl>
    <w:lvl w:ilvl="6" w:tplc="0C09000F" w:tentative="1">
      <w:start w:val="1"/>
      <w:numFmt w:val="decimal"/>
      <w:lvlText w:val="%7."/>
      <w:lvlJc w:val="left"/>
      <w:pPr>
        <w:ind w:left="4812" w:hanging="360"/>
      </w:pPr>
    </w:lvl>
    <w:lvl w:ilvl="7" w:tplc="0C090019" w:tentative="1">
      <w:start w:val="1"/>
      <w:numFmt w:val="lowerLetter"/>
      <w:lvlText w:val="%8."/>
      <w:lvlJc w:val="left"/>
      <w:pPr>
        <w:ind w:left="5532" w:hanging="360"/>
      </w:pPr>
    </w:lvl>
    <w:lvl w:ilvl="8" w:tplc="0C09001B" w:tentative="1">
      <w:start w:val="1"/>
      <w:numFmt w:val="lowerRoman"/>
      <w:lvlText w:val="%9."/>
      <w:lvlJc w:val="right"/>
      <w:pPr>
        <w:ind w:left="6252" w:hanging="180"/>
      </w:pPr>
    </w:lvl>
  </w:abstractNum>
  <w:abstractNum w:abstractNumId="6" w15:restartNumberingAfterBreak="0">
    <w:nsid w:val="3D604F1B"/>
    <w:multiLevelType w:val="hybridMultilevel"/>
    <w:tmpl w:val="65DAEF98"/>
    <w:lvl w:ilvl="0" w:tplc="0C090003">
      <w:start w:val="1"/>
      <w:numFmt w:val="bullet"/>
      <w:lvlText w:val="o"/>
      <w:lvlJc w:val="left"/>
      <w:pPr>
        <w:ind w:left="1212" w:hanging="360"/>
      </w:pPr>
      <w:rPr>
        <w:rFonts w:ascii="Courier New" w:hAnsi="Courier New" w:cs="Courier New"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7" w15:restartNumberingAfterBreak="0">
    <w:nsid w:val="43752479"/>
    <w:multiLevelType w:val="hybridMultilevel"/>
    <w:tmpl w:val="E27685C8"/>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8" w15:restartNumberingAfterBreak="0">
    <w:nsid w:val="501C0CBB"/>
    <w:multiLevelType w:val="hybridMultilevel"/>
    <w:tmpl w:val="42B4835E"/>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9" w15:restartNumberingAfterBreak="0">
    <w:nsid w:val="55F30E92"/>
    <w:multiLevelType w:val="hybridMultilevel"/>
    <w:tmpl w:val="4BEE5542"/>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65F0062A"/>
    <w:multiLevelType w:val="hybridMultilevel"/>
    <w:tmpl w:val="59EC4120"/>
    <w:lvl w:ilvl="0" w:tplc="F4AAA6D4">
      <w:start w:val="1"/>
      <w:numFmt w:val="decimal"/>
      <w:lvlText w:val="%1."/>
      <w:lvlJc w:val="left"/>
      <w:pPr>
        <w:ind w:left="887" w:hanging="430"/>
      </w:pPr>
      <w:rPr>
        <w:rFonts w:hint="default"/>
        <w:spacing w:val="-1"/>
        <w:w w:val="106"/>
        <w:lang w:val="en-US" w:eastAsia="en-US" w:bidi="ar-SA"/>
      </w:rPr>
    </w:lvl>
    <w:lvl w:ilvl="1" w:tplc="8654B74E">
      <w:numFmt w:val="bullet"/>
      <w:lvlText w:val="•"/>
      <w:lvlJc w:val="left"/>
      <w:pPr>
        <w:ind w:left="1556" w:hanging="285"/>
      </w:pPr>
      <w:rPr>
        <w:rFonts w:ascii="Arial" w:eastAsia="Arial" w:hAnsi="Arial" w:cs="Arial" w:hint="default"/>
        <w:spacing w:val="0"/>
        <w:w w:val="98"/>
        <w:lang w:val="en-US" w:eastAsia="en-US" w:bidi="ar-SA"/>
      </w:rPr>
    </w:lvl>
    <w:lvl w:ilvl="2" w:tplc="DA34A542">
      <w:numFmt w:val="bullet"/>
      <w:lvlText w:val="o"/>
      <w:lvlJc w:val="left"/>
      <w:pPr>
        <w:ind w:left="2138" w:hanging="286"/>
      </w:pPr>
      <w:rPr>
        <w:rFonts w:ascii="Arial" w:eastAsia="Arial" w:hAnsi="Arial" w:cs="Arial" w:hint="default"/>
        <w:b w:val="0"/>
        <w:bCs w:val="0"/>
        <w:i w:val="0"/>
        <w:iCs w:val="0"/>
        <w:color w:val="464646"/>
        <w:spacing w:val="0"/>
        <w:w w:val="103"/>
        <w:sz w:val="21"/>
        <w:szCs w:val="21"/>
        <w:lang w:val="en-US" w:eastAsia="en-US" w:bidi="ar-SA"/>
      </w:rPr>
    </w:lvl>
    <w:lvl w:ilvl="3" w:tplc="4CCEDF18">
      <w:numFmt w:val="bullet"/>
      <w:lvlText w:val="•"/>
      <w:lvlJc w:val="left"/>
      <w:pPr>
        <w:ind w:left="1620" w:hanging="286"/>
      </w:pPr>
      <w:rPr>
        <w:rFonts w:hint="default"/>
        <w:lang w:val="en-US" w:eastAsia="en-US" w:bidi="ar-SA"/>
      </w:rPr>
    </w:lvl>
    <w:lvl w:ilvl="4" w:tplc="5A0E4D5A">
      <w:numFmt w:val="bullet"/>
      <w:lvlText w:val="•"/>
      <w:lvlJc w:val="left"/>
      <w:pPr>
        <w:ind w:left="2140" w:hanging="286"/>
      </w:pPr>
      <w:rPr>
        <w:rFonts w:hint="default"/>
        <w:lang w:val="en-US" w:eastAsia="en-US" w:bidi="ar-SA"/>
      </w:rPr>
    </w:lvl>
    <w:lvl w:ilvl="5" w:tplc="E4D21072">
      <w:numFmt w:val="bullet"/>
      <w:lvlText w:val="•"/>
      <w:lvlJc w:val="left"/>
      <w:pPr>
        <w:ind w:left="3340" w:hanging="286"/>
      </w:pPr>
      <w:rPr>
        <w:rFonts w:hint="default"/>
        <w:lang w:val="en-US" w:eastAsia="en-US" w:bidi="ar-SA"/>
      </w:rPr>
    </w:lvl>
    <w:lvl w:ilvl="6" w:tplc="2EE2E93C">
      <w:numFmt w:val="bullet"/>
      <w:lvlText w:val="•"/>
      <w:lvlJc w:val="left"/>
      <w:pPr>
        <w:ind w:left="4540" w:hanging="286"/>
      </w:pPr>
      <w:rPr>
        <w:rFonts w:hint="default"/>
        <w:lang w:val="en-US" w:eastAsia="en-US" w:bidi="ar-SA"/>
      </w:rPr>
    </w:lvl>
    <w:lvl w:ilvl="7" w:tplc="5930187C">
      <w:numFmt w:val="bullet"/>
      <w:lvlText w:val="•"/>
      <w:lvlJc w:val="left"/>
      <w:pPr>
        <w:ind w:left="5740" w:hanging="286"/>
      </w:pPr>
      <w:rPr>
        <w:rFonts w:hint="default"/>
        <w:lang w:val="en-US" w:eastAsia="en-US" w:bidi="ar-SA"/>
      </w:rPr>
    </w:lvl>
    <w:lvl w:ilvl="8" w:tplc="9476E150">
      <w:numFmt w:val="bullet"/>
      <w:lvlText w:val="•"/>
      <w:lvlJc w:val="left"/>
      <w:pPr>
        <w:ind w:left="6940" w:hanging="286"/>
      </w:pPr>
      <w:rPr>
        <w:rFonts w:hint="default"/>
        <w:lang w:val="en-US" w:eastAsia="en-US" w:bidi="ar-SA"/>
      </w:rPr>
    </w:lvl>
  </w:abstractNum>
  <w:abstractNum w:abstractNumId="11" w15:restartNumberingAfterBreak="0">
    <w:nsid w:val="68794522"/>
    <w:multiLevelType w:val="hybridMultilevel"/>
    <w:tmpl w:val="545CC54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6C4441DD"/>
    <w:multiLevelType w:val="hybridMultilevel"/>
    <w:tmpl w:val="E24AB3BE"/>
    <w:lvl w:ilvl="0" w:tplc="20026BE6">
      <w:numFmt w:val="bullet"/>
      <w:lvlText w:val="•"/>
      <w:lvlJc w:val="left"/>
      <w:pPr>
        <w:ind w:left="879" w:hanging="356"/>
      </w:pPr>
      <w:rPr>
        <w:rFonts w:ascii="Arial" w:eastAsia="Arial" w:hAnsi="Arial" w:cs="Arial" w:hint="default"/>
        <w:b w:val="0"/>
        <w:bCs w:val="0"/>
        <w:i w:val="0"/>
        <w:iCs w:val="0"/>
        <w:color w:val="232323"/>
        <w:spacing w:val="0"/>
        <w:w w:val="111"/>
        <w:sz w:val="20"/>
        <w:szCs w:val="20"/>
        <w:lang w:val="en-US" w:eastAsia="en-US" w:bidi="ar-SA"/>
      </w:rPr>
    </w:lvl>
    <w:lvl w:ilvl="1" w:tplc="DD8CFB24">
      <w:numFmt w:val="bullet"/>
      <w:lvlText w:val="o"/>
      <w:lvlJc w:val="left"/>
      <w:pPr>
        <w:ind w:left="1601" w:hanging="355"/>
      </w:pPr>
      <w:rPr>
        <w:rFonts w:ascii="Arial" w:eastAsia="Arial" w:hAnsi="Arial" w:cs="Arial" w:hint="default"/>
        <w:b w:val="0"/>
        <w:bCs w:val="0"/>
        <w:i w:val="0"/>
        <w:iCs w:val="0"/>
        <w:color w:val="232323"/>
        <w:spacing w:val="0"/>
        <w:w w:val="102"/>
        <w:sz w:val="20"/>
        <w:szCs w:val="20"/>
        <w:lang w:val="en-US" w:eastAsia="en-US" w:bidi="ar-SA"/>
      </w:rPr>
    </w:lvl>
    <w:lvl w:ilvl="2" w:tplc="1700B1DE">
      <w:numFmt w:val="bullet"/>
      <w:lvlText w:val="•"/>
      <w:lvlJc w:val="left"/>
      <w:pPr>
        <w:ind w:left="1600" w:hanging="355"/>
      </w:pPr>
      <w:rPr>
        <w:rFonts w:hint="default"/>
        <w:lang w:val="en-US" w:eastAsia="en-US" w:bidi="ar-SA"/>
      </w:rPr>
    </w:lvl>
    <w:lvl w:ilvl="3" w:tplc="210E61A2">
      <w:numFmt w:val="bullet"/>
      <w:lvlText w:val="•"/>
      <w:lvlJc w:val="left"/>
      <w:pPr>
        <w:ind w:left="1620" w:hanging="355"/>
      </w:pPr>
      <w:rPr>
        <w:rFonts w:hint="default"/>
        <w:lang w:val="en-US" w:eastAsia="en-US" w:bidi="ar-SA"/>
      </w:rPr>
    </w:lvl>
    <w:lvl w:ilvl="4" w:tplc="D8DC0A8E">
      <w:numFmt w:val="bullet"/>
      <w:lvlText w:val="•"/>
      <w:lvlJc w:val="left"/>
      <w:pPr>
        <w:ind w:left="2722" w:hanging="355"/>
      </w:pPr>
      <w:rPr>
        <w:rFonts w:hint="default"/>
        <w:lang w:val="en-US" w:eastAsia="en-US" w:bidi="ar-SA"/>
      </w:rPr>
    </w:lvl>
    <w:lvl w:ilvl="5" w:tplc="2E2CDE92">
      <w:numFmt w:val="bullet"/>
      <w:lvlText w:val="•"/>
      <w:lvlJc w:val="left"/>
      <w:pPr>
        <w:ind w:left="3825" w:hanging="355"/>
      </w:pPr>
      <w:rPr>
        <w:rFonts w:hint="default"/>
        <w:lang w:val="en-US" w:eastAsia="en-US" w:bidi="ar-SA"/>
      </w:rPr>
    </w:lvl>
    <w:lvl w:ilvl="6" w:tplc="1026D608">
      <w:numFmt w:val="bullet"/>
      <w:lvlText w:val="•"/>
      <w:lvlJc w:val="left"/>
      <w:pPr>
        <w:ind w:left="4928" w:hanging="355"/>
      </w:pPr>
      <w:rPr>
        <w:rFonts w:hint="default"/>
        <w:lang w:val="en-US" w:eastAsia="en-US" w:bidi="ar-SA"/>
      </w:rPr>
    </w:lvl>
    <w:lvl w:ilvl="7" w:tplc="98F0CDC4">
      <w:numFmt w:val="bullet"/>
      <w:lvlText w:val="•"/>
      <w:lvlJc w:val="left"/>
      <w:pPr>
        <w:ind w:left="6031" w:hanging="355"/>
      </w:pPr>
      <w:rPr>
        <w:rFonts w:hint="default"/>
        <w:lang w:val="en-US" w:eastAsia="en-US" w:bidi="ar-SA"/>
      </w:rPr>
    </w:lvl>
    <w:lvl w:ilvl="8" w:tplc="7D604566">
      <w:numFmt w:val="bullet"/>
      <w:lvlText w:val="•"/>
      <w:lvlJc w:val="left"/>
      <w:pPr>
        <w:ind w:left="7134" w:hanging="355"/>
      </w:pPr>
      <w:rPr>
        <w:rFonts w:hint="default"/>
        <w:lang w:val="en-US" w:eastAsia="en-US" w:bidi="ar-SA"/>
      </w:rPr>
    </w:lvl>
  </w:abstractNum>
  <w:abstractNum w:abstractNumId="13" w15:restartNumberingAfterBreak="0">
    <w:nsid w:val="740E1429"/>
    <w:multiLevelType w:val="hybridMultilevel"/>
    <w:tmpl w:val="ED3825B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75D24FB4"/>
    <w:multiLevelType w:val="hybridMultilevel"/>
    <w:tmpl w:val="B350810A"/>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15" w15:restartNumberingAfterBreak="0">
    <w:nsid w:val="78871800"/>
    <w:multiLevelType w:val="hybridMultilevel"/>
    <w:tmpl w:val="DB02909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604415002">
    <w:abstractNumId w:val="10"/>
  </w:num>
  <w:num w:numId="2" w16cid:durableId="1095980238">
    <w:abstractNumId w:val="12"/>
  </w:num>
  <w:num w:numId="3" w16cid:durableId="849952080">
    <w:abstractNumId w:val="14"/>
  </w:num>
  <w:num w:numId="4" w16cid:durableId="203521904">
    <w:abstractNumId w:val="6"/>
  </w:num>
  <w:num w:numId="5" w16cid:durableId="352311">
    <w:abstractNumId w:val="9"/>
  </w:num>
  <w:num w:numId="6" w16cid:durableId="1186941192">
    <w:abstractNumId w:val="15"/>
  </w:num>
  <w:num w:numId="7" w16cid:durableId="126894103">
    <w:abstractNumId w:val="13"/>
  </w:num>
  <w:num w:numId="8" w16cid:durableId="833180955">
    <w:abstractNumId w:val="3"/>
  </w:num>
  <w:num w:numId="9" w16cid:durableId="54163066">
    <w:abstractNumId w:val="11"/>
  </w:num>
  <w:num w:numId="10" w16cid:durableId="791358990">
    <w:abstractNumId w:val="1"/>
  </w:num>
  <w:num w:numId="11" w16cid:durableId="1326008826">
    <w:abstractNumId w:val="2"/>
  </w:num>
  <w:num w:numId="12" w16cid:durableId="952593463">
    <w:abstractNumId w:val="5"/>
  </w:num>
  <w:num w:numId="13" w16cid:durableId="336812326">
    <w:abstractNumId w:val="7"/>
  </w:num>
  <w:num w:numId="14" w16cid:durableId="2010134819">
    <w:abstractNumId w:val="4"/>
  </w:num>
  <w:num w:numId="15" w16cid:durableId="1406493547">
    <w:abstractNumId w:val="8"/>
  </w:num>
  <w:num w:numId="16" w16cid:durableId="89805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13065"/>
    <w:rsid w:val="001351F7"/>
    <w:rsid w:val="00213065"/>
    <w:rsid w:val="00271440"/>
    <w:rsid w:val="002F4107"/>
    <w:rsid w:val="0031174C"/>
    <w:rsid w:val="00463C0E"/>
    <w:rsid w:val="00465560"/>
    <w:rsid w:val="00743E42"/>
    <w:rsid w:val="00800EDC"/>
    <w:rsid w:val="008A1E74"/>
    <w:rsid w:val="008C1974"/>
    <w:rsid w:val="0090574F"/>
    <w:rsid w:val="00B13ACB"/>
    <w:rsid w:val="00BE6F95"/>
    <w:rsid w:val="00C96510"/>
    <w:rsid w:val="00D146BC"/>
    <w:rsid w:val="00D27AF3"/>
    <w:rsid w:val="00EE0578"/>
    <w:rsid w:val="00F32038"/>
    <w:rsid w:val="00F376AD"/>
    <w:rsid w:val="00F9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0587"/>
  <w15:docId w15:val="{4A35C213-CF9C-479D-810E-9C405CF8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8"/>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5"/>
      <w:ind w:left="2280" w:right="2371"/>
      <w:jc w:val="center"/>
    </w:pPr>
    <w:rPr>
      <w:rFonts w:ascii="Times New Roman" w:eastAsia="Times New Roman" w:hAnsi="Times New Roman" w:cs="Times New Roman"/>
      <w:b/>
      <w:bCs/>
      <w:sz w:val="31"/>
      <w:szCs w:val="31"/>
    </w:rPr>
  </w:style>
  <w:style w:type="paragraph" w:styleId="ListParagraph">
    <w:name w:val="List Paragraph"/>
    <w:basedOn w:val="Normal"/>
    <w:uiPriority w:val="1"/>
    <w:qFormat/>
    <w:pPr>
      <w:spacing w:before="44"/>
      <w:ind w:left="886" w:hanging="35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5560"/>
    <w:rPr>
      <w:color w:val="0000FF" w:themeColor="hyperlink"/>
      <w:u w:val="single"/>
    </w:rPr>
  </w:style>
  <w:style w:type="character" w:styleId="UnresolvedMention">
    <w:name w:val="Unresolved Mention"/>
    <w:basedOn w:val="DefaultParagraphFont"/>
    <w:uiPriority w:val="99"/>
    <w:semiHidden/>
    <w:unhideWhenUsed/>
    <w:rsid w:val="00465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nister.Butler@health.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Statement of Expectations (SOE) – 20 June 2023</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Expectations (SOE) – 20 June 2023</dc:title>
  <dc:creator>Australian Government Department of Health and Aged Care</dc:creator>
  <cp:lastModifiedBy>HAMLEY, Erynn</cp:lastModifiedBy>
  <cp:revision>2</cp:revision>
  <dcterms:created xsi:type="dcterms:W3CDTF">2023-08-15T03:28:00Z</dcterms:created>
  <dcterms:modified xsi:type="dcterms:W3CDTF">2023-08-15T03:28:00Z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KM-C458</vt:lpwstr>
  </property>
  <property fmtid="{D5CDD505-2E9C-101B-9397-08002B2CF9AE}" pid="4" name="LastSaved">
    <vt:filetime>2023-08-08T00:00:00Z</vt:filetime>
  </property>
  <property fmtid="{D5CDD505-2E9C-101B-9397-08002B2CF9AE}" pid="5" name="Producer">
    <vt:lpwstr>KONICA MINOLTA bizhub C558</vt:lpwstr>
  </property>
</Properties>
</file>