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D708" w14:textId="02CB7DF9" w:rsidR="002F466B" w:rsidRDefault="002F466B" w:rsidP="002F466B">
      <w:pPr>
        <w:pStyle w:val="Heading1"/>
      </w:pPr>
      <w:r w:rsidRPr="0079512E">
        <w:t>Prescribed pattern of services</w:t>
      </w:r>
      <w:r w:rsidR="00B14EEA">
        <w:t xml:space="preserve"> </w:t>
      </w:r>
      <w:r w:rsidRPr="0079512E">
        <w:t xml:space="preserve">– </w:t>
      </w:r>
      <w:r w:rsidR="000F0C3C">
        <w:t>W</w:t>
      </w:r>
      <w:r w:rsidRPr="0079512E">
        <w:t>hat you need to know</w:t>
      </w:r>
    </w:p>
    <w:p w14:paraId="7DC92352" w14:textId="3A9011E7" w:rsidR="002F466B" w:rsidRPr="009D2C24" w:rsidRDefault="00780EB3" w:rsidP="002F466B">
      <w:bookmarkStart w:id="0" w:name="The_80/20_rule_aims_to_address_consisten"/>
      <w:bookmarkEnd w:id="0"/>
      <w:r>
        <w:t>Information about inappropriate practice and prescribed pattern of services (80/20 and 30/20 rules and which services apply.</w:t>
      </w:r>
    </w:p>
    <w:p w14:paraId="010EBEE4" w14:textId="42ACBEAD" w:rsidR="00780EB3" w:rsidRDefault="00780EB3" w:rsidP="002F466B">
      <w:pPr>
        <w:pStyle w:val="Heading2"/>
      </w:pPr>
      <w:bookmarkStart w:id="1" w:name="What_you_need_to_know"/>
      <w:bookmarkEnd w:id="1"/>
      <w:r>
        <w:t>Circumstances for Prescribed Pattern of Services</w:t>
      </w:r>
    </w:p>
    <w:p w14:paraId="3D6A3C76" w14:textId="77777777" w:rsidR="00780EB3" w:rsidRPr="00780EB3" w:rsidRDefault="00780EB3" w:rsidP="00780EB3">
      <w:r w:rsidRPr="00780EB3">
        <w:t>A medical practitioner engages in inappropriate practice where some or all the services rendered or initiated constitute a prescribed pattern of services. This includes:</w:t>
      </w:r>
    </w:p>
    <w:p w14:paraId="2F9E451F" w14:textId="77777777" w:rsidR="00780EB3" w:rsidRPr="00780EB3" w:rsidRDefault="00780EB3" w:rsidP="00780EB3">
      <w:pPr>
        <w:numPr>
          <w:ilvl w:val="0"/>
          <w:numId w:val="13"/>
        </w:numPr>
      </w:pPr>
      <w:r w:rsidRPr="00780EB3">
        <w:t>If they have rendered or initiated 80 or more relevant services on each of 20 or more days in a 12</w:t>
      </w:r>
      <w:r w:rsidRPr="00780EB3">
        <w:noBreakHyphen/>
        <w:t>month period (known as the 80/20 rule)</w:t>
      </w:r>
    </w:p>
    <w:p w14:paraId="65CE9053" w14:textId="77777777" w:rsidR="00780EB3" w:rsidRPr="00780EB3" w:rsidRDefault="00780EB3" w:rsidP="00780EB3">
      <w:pPr>
        <w:numPr>
          <w:ilvl w:val="0"/>
          <w:numId w:val="13"/>
        </w:numPr>
      </w:pPr>
      <w:r w:rsidRPr="00780EB3">
        <w:t>If they have rendered or initiated 30 or more relevant phone services on each of 20 or more days in a 12-month period (known as the 30/20 rule)</w:t>
      </w:r>
    </w:p>
    <w:p w14:paraId="285D03B1" w14:textId="4234DCFD" w:rsidR="002F466B" w:rsidDel="00C457CE" w:rsidRDefault="002F466B" w:rsidP="002F466B">
      <w:pPr>
        <w:pStyle w:val="Heading2"/>
      </w:pPr>
      <w:r w:rsidRPr="00D203A5" w:rsidDel="00C457CE">
        <w:t>The 80/20 Rul</w:t>
      </w:r>
      <w:r w:rsidDel="00C457CE">
        <w:t>e</w:t>
      </w:r>
    </w:p>
    <w:p w14:paraId="66019E3C" w14:textId="4E520A3D" w:rsidR="002F466B" w:rsidRPr="00D203A5" w:rsidRDefault="00780EB3" w:rsidP="002F466B">
      <w:pPr>
        <w:spacing w:after="240"/>
      </w:pPr>
      <w:r>
        <w:t xml:space="preserve">The 80/20 rule aims to address consistently high volumes of rendered or initiated services by medical practitioners. </w:t>
      </w:r>
      <w:r w:rsidR="002F466B" w:rsidRPr="00E3070E">
        <w:t>From 1 July 2022, telehealth services including telephone and video consultations are included in the 80/20 rule.</w:t>
      </w:r>
    </w:p>
    <w:p w14:paraId="672061C0" w14:textId="4F5E533D" w:rsidR="002F466B" w:rsidRPr="00D203A5" w:rsidRDefault="002F466B" w:rsidP="002F466B">
      <w:pPr>
        <w:spacing w:after="240"/>
      </w:pPr>
      <w:r w:rsidRPr="00D203A5">
        <w:t xml:space="preserve">The </w:t>
      </w:r>
      <w:hyperlink r:id="rId10">
        <w:r w:rsidRPr="00D203A5">
          <w:rPr>
            <w:rStyle w:val="Hyperlink"/>
            <w:bCs/>
            <w:i/>
            <w:iCs/>
          </w:rPr>
          <w:t>Health Insurance Act 1973</w:t>
        </w:r>
        <w:r w:rsidRPr="00D203A5">
          <w:rPr>
            <w:rStyle w:val="Hyperlink"/>
            <w:bCs/>
          </w:rPr>
          <w:t xml:space="preserve"> </w:t>
        </w:r>
      </w:hyperlink>
      <w:r w:rsidRPr="00D203A5">
        <w:t>requires a request to be made to the Director of Professional Services Review (Director) if the delegate of the Chief Executive Medicare (delegate) becomes aware of a breach of the 80/20 rule. This pattern of service is deemed to constitute inappropriate practice, except in exceptional circumstances</w:t>
      </w:r>
      <w:r>
        <w:t>.</w:t>
      </w:r>
      <w:r w:rsidR="00780EB3">
        <w:t xml:space="preserve"> </w:t>
      </w:r>
      <w:r w:rsidRPr="00D203A5">
        <w:t>The 80/20 rule is based on the number of</w:t>
      </w:r>
      <w:r w:rsidRPr="00D203A5">
        <w:rPr>
          <w:spacing w:val="1"/>
        </w:rPr>
        <w:t xml:space="preserve"> </w:t>
      </w:r>
      <w:r w:rsidRPr="00D203A5">
        <w:t>professional attendance services per day, which</w:t>
      </w:r>
      <w:r w:rsidRPr="00D203A5">
        <w:rPr>
          <w:spacing w:val="1"/>
        </w:rPr>
        <w:t xml:space="preserve"> </w:t>
      </w:r>
      <w:r w:rsidRPr="00D203A5">
        <w:t>may not be</w:t>
      </w:r>
      <w:r w:rsidRPr="00D203A5">
        <w:rPr>
          <w:spacing w:val="3"/>
        </w:rPr>
        <w:t xml:space="preserve"> </w:t>
      </w:r>
      <w:r w:rsidRPr="00D203A5">
        <w:t>the</w:t>
      </w:r>
      <w:r w:rsidRPr="00D203A5">
        <w:rPr>
          <w:spacing w:val="2"/>
        </w:rPr>
        <w:t xml:space="preserve"> </w:t>
      </w:r>
      <w:r w:rsidRPr="00D203A5">
        <w:t>same</w:t>
      </w:r>
      <w:r w:rsidRPr="00D203A5">
        <w:rPr>
          <w:spacing w:val="3"/>
        </w:rPr>
        <w:t xml:space="preserve"> </w:t>
      </w:r>
      <w:r w:rsidRPr="00D203A5">
        <w:t>as</w:t>
      </w:r>
      <w:r w:rsidRPr="00D203A5">
        <w:rPr>
          <w:spacing w:val="3"/>
        </w:rPr>
        <w:t xml:space="preserve"> </w:t>
      </w:r>
      <w:r w:rsidRPr="00D203A5">
        <w:t>the number</w:t>
      </w:r>
      <w:r w:rsidRPr="00D203A5">
        <w:rPr>
          <w:spacing w:val="-1"/>
        </w:rPr>
        <w:t xml:space="preserve"> </w:t>
      </w:r>
      <w:r w:rsidRPr="00D203A5">
        <w:t>of</w:t>
      </w:r>
      <w:r w:rsidRPr="00D203A5">
        <w:rPr>
          <w:spacing w:val="2"/>
        </w:rPr>
        <w:t xml:space="preserve"> </w:t>
      </w:r>
      <w:r w:rsidRPr="00D203A5">
        <w:t>patients</w:t>
      </w:r>
      <w:r w:rsidRPr="00D203A5">
        <w:rPr>
          <w:spacing w:val="1"/>
        </w:rPr>
        <w:t xml:space="preserve"> </w:t>
      </w:r>
      <w:r w:rsidRPr="00D203A5">
        <w:t>seen in a</w:t>
      </w:r>
      <w:r w:rsidRPr="00D203A5">
        <w:rPr>
          <w:spacing w:val="3"/>
        </w:rPr>
        <w:t xml:space="preserve"> </w:t>
      </w:r>
      <w:r w:rsidRPr="00D203A5">
        <w:t>day.</w:t>
      </w:r>
      <w:r w:rsidRPr="00D203A5">
        <w:rPr>
          <w:spacing w:val="2"/>
        </w:rPr>
        <w:t xml:space="preserve"> </w:t>
      </w:r>
      <w:r w:rsidRPr="00D203A5">
        <w:t>Professional</w:t>
      </w:r>
      <w:r w:rsidRPr="00D203A5">
        <w:rPr>
          <w:spacing w:val="1"/>
        </w:rPr>
        <w:t xml:space="preserve"> </w:t>
      </w:r>
      <w:r w:rsidRPr="00D203A5">
        <w:t>attendance services include the following groups as</w:t>
      </w:r>
      <w:r w:rsidRPr="00D203A5">
        <w:rPr>
          <w:spacing w:val="1"/>
        </w:rPr>
        <w:t xml:space="preserve"> </w:t>
      </w:r>
      <w:r w:rsidRPr="00D203A5">
        <w:t>listed in the</w:t>
      </w:r>
      <w:r w:rsidR="00780EB3">
        <w:t xml:space="preserve"> </w:t>
      </w:r>
      <w:hyperlink r:id="rId11" w:history="1">
        <w:r w:rsidR="00780EB3">
          <w:rPr>
            <w:rStyle w:val="Hyperlink"/>
          </w:rPr>
          <w:t>Health Insurance (Professional Services Review Scheme) Regulation 2019</w:t>
        </w:r>
      </w:hyperlink>
      <w:hyperlink r:id="rId12" w:history="1"/>
      <w:r>
        <w:t>:</w:t>
      </w:r>
    </w:p>
    <w:p w14:paraId="6052E98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</w:t>
      </w:r>
      <w:r w:rsidRPr="00141DAE">
        <w:t xml:space="preserve"> General practitioner attendances to which no other item applies</w:t>
      </w:r>
    </w:p>
    <w:p w14:paraId="67D6A827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</w:t>
      </w:r>
      <w:r w:rsidRPr="00141DAE">
        <w:t xml:space="preserve"> Other non-referred attendances to which no other item applies</w:t>
      </w:r>
    </w:p>
    <w:p w14:paraId="30FDC985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A5</w:t>
      </w:r>
      <w:r w:rsidRPr="00141DAE">
        <w:t xml:space="preserve"> Prolonged attendances to which no other item applies</w:t>
      </w:r>
    </w:p>
    <w:p w14:paraId="1328B5A2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A6</w:t>
      </w:r>
      <w:r w:rsidRPr="00141DAE">
        <w:t xml:space="preserve"> Group therapy</w:t>
      </w:r>
    </w:p>
    <w:p w14:paraId="1BCCB1D0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A7</w:t>
      </w:r>
      <w:r w:rsidRPr="00141DAE">
        <w:t xml:space="preserve"> Acupuncture</w:t>
      </w:r>
    </w:p>
    <w:p w14:paraId="16CE479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A9</w:t>
      </w:r>
      <w:r w:rsidRPr="00141DAE">
        <w:t xml:space="preserve"> Contact lenses - attendances</w:t>
      </w:r>
    </w:p>
    <w:p w14:paraId="029E1DB8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A11</w:t>
      </w:r>
      <w:r w:rsidRPr="00141DAE">
        <w:t xml:space="preserve"> Urgent attendances after hours</w:t>
      </w:r>
    </w:p>
    <w:p w14:paraId="06E6BA7E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A13</w:t>
      </w:r>
      <w:r w:rsidRPr="00141DAE">
        <w:t xml:space="preserve"> Public health physician attendances to which no other item applies</w:t>
      </w:r>
    </w:p>
    <w:p w14:paraId="5C8D326A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A14</w:t>
      </w:r>
      <w:r w:rsidRPr="00141DAE">
        <w:t xml:space="preserve"> Health assessments</w:t>
      </w:r>
    </w:p>
    <w:p w14:paraId="2FD3F7A6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A15</w:t>
      </w:r>
      <w:r w:rsidRPr="00141DAE">
        <w:t xml:space="preserve"> GP management plans, team care arrangements and multidisciplinary care plans and case conferences</w:t>
      </w:r>
    </w:p>
    <w:p w14:paraId="71D05C1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A17</w:t>
      </w:r>
      <w:r w:rsidRPr="00141DAE">
        <w:t xml:space="preserve"> Domiciliary and residential medication management reviews</w:t>
      </w:r>
    </w:p>
    <w:p w14:paraId="616AC94E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lastRenderedPageBreak/>
        <w:t>A18</w:t>
      </w:r>
      <w:r w:rsidRPr="00141DAE">
        <w:t xml:space="preserve"> General practitioner attendances associated with Practice Incentive Program (PIP) payments</w:t>
      </w:r>
    </w:p>
    <w:p w14:paraId="58B9B07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A19</w:t>
      </w:r>
      <w:r w:rsidRPr="00141DAE">
        <w:t xml:space="preserve"> Other non-referred attendances associated with PIP payments to which no other item applies</w:t>
      </w:r>
    </w:p>
    <w:p w14:paraId="66B2C999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A20</w:t>
      </w:r>
      <w:r w:rsidRPr="00141DAE">
        <w:t xml:space="preserve"> Mental health care</w:t>
      </w:r>
    </w:p>
    <w:p w14:paraId="73ECD7A8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A21</w:t>
      </w:r>
      <w:r w:rsidRPr="00141DAE">
        <w:t xml:space="preserve"> Medical practitioner (emergency physician) attendances to which no other item applies</w:t>
      </w:r>
    </w:p>
    <w:p w14:paraId="601A498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A22</w:t>
      </w:r>
      <w:r w:rsidRPr="00141DAE">
        <w:t xml:space="preserve"> General practitioner after-hours attendances to which no other item applies</w:t>
      </w:r>
    </w:p>
    <w:p w14:paraId="6B82D545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A23</w:t>
      </w:r>
      <w:r w:rsidRPr="00141DAE">
        <w:t xml:space="preserve"> Other non-referred after-hours attendances to which no other item applies</w:t>
      </w:r>
    </w:p>
    <w:p w14:paraId="153C982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A27</w:t>
      </w:r>
      <w:r w:rsidRPr="00141DAE">
        <w:t xml:space="preserve"> Pregnancy support counselling</w:t>
      </w:r>
    </w:p>
    <w:p w14:paraId="50A4D85E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A35</w:t>
      </w:r>
      <w:r w:rsidRPr="00141DAE">
        <w:t xml:space="preserve"> Services for patients in Residential Aged Care Facilities</w:t>
      </w:r>
    </w:p>
    <w:p w14:paraId="5F0D78B2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A39</w:t>
      </w:r>
      <w:r w:rsidRPr="00141DAE">
        <w:t xml:space="preserve"> Bushfire Recovery Access Initiative – GP and Medical Practitioner Focused Psychological Strategies</w:t>
      </w:r>
    </w:p>
    <w:p w14:paraId="22DC29BF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A41</w:t>
      </w:r>
      <w:r w:rsidRPr="00141DAE">
        <w:t xml:space="preserve"> COVID-19 Additional focussed psychological strategies</w:t>
      </w:r>
    </w:p>
    <w:p w14:paraId="733A3922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A42</w:t>
      </w:r>
      <w:r w:rsidRPr="00141DAE">
        <w:t xml:space="preserve"> Mental health planning for care recipients of a residential aged care facilities</w:t>
      </w:r>
    </w:p>
    <w:p w14:paraId="1BAEC8C3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A43</w:t>
      </w:r>
      <w:r w:rsidRPr="00141DAE">
        <w:t xml:space="preserve"> Care Recipient of a Residential Aged Care Facility Planning and Contribution items</w:t>
      </w:r>
    </w:p>
    <w:p w14:paraId="1B589A9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A45</w:t>
      </w:r>
      <w:r w:rsidRPr="00141DAE">
        <w:t xml:space="preserve"> Nicotine and smoking cessation counselling</w:t>
      </w:r>
    </w:p>
    <w:p w14:paraId="31302E3C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A36</w:t>
      </w:r>
      <w:r w:rsidRPr="00141DAE">
        <w:t xml:space="preserve"> Subgroup 1 or 4 Eating disorders psychological treatment (EDPT) services</w:t>
      </w:r>
    </w:p>
    <w:p w14:paraId="206A8C4A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A40</w:t>
      </w:r>
      <w:r w:rsidRPr="00141DAE">
        <w:t xml:space="preserve"> Subgroups 1; 2; 3; 10; 11; 13; 15; 16; 19; 20; 21; 27; 28; 29; 39; 40; 41 </w:t>
      </w:r>
      <w:bookmarkStart w:id="2" w:name="_Hlk104541000"/>
      <w:r w:rsidRPr="00141DAE">
        <w:t>telehealth and phone attendance services</w:t>
      </w:r>
    </w:p>
    <w:bookmarkEnd w:id="2"/>
    <w:p w14:paraId="3294BA37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A29</w:t>
      </w:r>
      <w:r w:rsidRPr="00141DAE">
        <w:t xml:space="preserve"> Item 139 Early intervention services for children with autism, pervasive developmental </w:t>
      </w:r>
      <w:proofErr w:type="gramStart"/>
      <w:r w:rsidRPr="00141DAE">
        <w:t>disorder</w:t>
      </w:r>
      <w:proofErr w:type="gramEnd"/>
      <w:r w:rsidRPr="00141DAE">
        <w:t xml:space="preserve"> or disability</w:t>
      </w:r>
    </w:p>
    <w:p w14:paraId="0EB8A6D3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A36</w:t>
      </w:r>
      <w:r w:rsidRPr="00141DAE">
        <w:t xml:space="preserve"> Items 90264 and 90265 EDPT services.</w:t>
      </w:r>
    </w:p>
    <w:p w14:paraId="5CE4B422" w14:textId="77777777" w:rsidR="002F466B" w:rsidRPr="00141DAE" w:rsidRDefault="002F466B" w:rsidP="00141DAE">
      <w:pPr>
        <w:pStyle w:val="ListBullet"/>
      </w:pPr>
      <w:bookmarkStart w:id="3" w:name="_Hlk104537424"/>
      <w:r w:rsidRPr="00141DAE">
        <w:rPr>
          <w:rStyle w:val="Strong"/>
        </w:rPr>
        <w:t>A40</w:t>
      </w:r>
      <w:r w:rsidRPr="00141DAE">
        <w:t xml:space="preserve"> Subgroup 17 Item 92142 telehealth and phone attendance services, COVID-19 GP, Specialist and Consultant Physician Autism Service – Telehealth Service</w:t>
      </w:r>
    </w:p>
    <w:bookmarkEnd w:id="3"/>
    <w:p w14:paraId="4CDF612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A40</w:t>
      </w:r>
      <w:r w:rsidRPr="00141DAE">
        <w:t xml:space="preserve"> Subgroup 25 Item 92170 and 92171 telehealth and phone attendance services, COVID-19 Review of an Eating Disorder Plan – Telehealth Service</w:t>
      </w:r>
    </w:p>
    <w:p w14:paraId="309E1498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A40</w:t>
      </w:r>
      <w:r w:rsidRPr="00141DAE">
        <w:t xml:space="preserve"> Subgroup 26 Item 92176 and 92177 </w:t>
      </w:r>
      <w:bookmarkStart w:id="4" w:name="_Hlk104543821"/>
      <w:r w:rsidRPr="00141DAE">
        <w:t>telehealth and phone attendance services – COVID-19 Review of an Eating Disorder Plan – Phone Service</w:t>
      </w:r>
      <w:bookmarkEnd w:id="4"/>
    </w:p>
    <w:p w14:paraId="71E207EB" w14:textId="77777777" w:rsidR="00780EB3" w:rsidRDefault="00780EB3" w:rsidP="00780EB3">
      <w:pPr>
        <w:pStyle w:val="Heading2"/>
      </w:pPr>
      <w:r>
        <w:t>The 30/20 Rule</w:t>
      </w:r>
    </w:p>
    <w:p w14:paraId="0756BCCF" w14:textId="2E74B8A6" w:rsidR="00780EB3" w:rsidRDefault="00780EB3" w:rsidP="000F0C3C">
      <w:r>
        <w:t xml:space="preserve">The 30/20 rule takes effect from 1 October 2022. The 30/20 rule aims to address consistently high volumes of phone services rendered by medical practitioners to ensure high-quality and comprehensive patient care. </w:t>
      </w:r>
    </w:p>
    <w:p w14:paraId="061EBF75" w14:textId="0D2A0AD3" w:rsidR="00780EB3" w:rsidRDefault="00780EB3" w:rsidP="00780EB3">
      <w:r>
        <w:t>The 30/20 rule applies to relevant professional attendance phone services, including the following groups as listed in the Health Insurance (Professional Services Review Sche</w:t>
      </w:r>
      <w:r w:rsidR="007A4692">
        <w:t>me) Amendment (2022 Measures No.4) Regulations 2022</w:t>
      </w:r>
      <w:hyperlink r:id="rId13" w:history="1"/>
      <w:r>
        <w:t>:</w:t>
      </w:r>
    </w:p>
    <w:p w14:paraId="728A26B3" w14:textId="77777777" w:rsidR="00780EB3" w:rsidRPr="00C143E4" w:rsidRDefault="00780EB3" w:rsidP="00066C78">
      <w:pPr>
        <w:pStyle w:val="ListBullet"/>
      </w:pPr>
      <w:r w:rsidRPr="00EA4AB4">
        <w:rPr>
          <w:b/>
          <w:bCs/>
          <w:color w:val="358188"/>
        </w:rPr>
        <w:t>A40 Subgroups 2; 8; 10; 16; 20; 28; 40; 41</w:t>
      </w:r>
      <w:r w:rsidRPr="00157A4B">
        <w:t xml:space="preserve"> </w:t>
      </w:r>
      <w:r w:rsidRPr="00C143E4">
        <w:t>telehealth and phone attendance services</w:t>
      </w:r>
    </w:p>
    <w:p w14:paraId="38FB9A0A" w14:textId="77777777" w:rsidR="00780EB3" w:rsidRPr="003E2B24" w:rsidRDefault="00780EB3" w:rsidP="00066C78">
      <w:pPr>
        <w:pStyle w:val="ListBullet"/>
      </w:pPr>
      <w:r w:rsidRPr="00B565BE">
        <w:rPr>
          <w:b/>
          <w:bCs/>
          <w:color w:val="358188"/>
        </w:rPr>
        <w:t>A45 Subgroup 3</w:t>
      </w:r>
      <w:r w:rsidRPr="00157A4B">
        <w:t xml:space="preserve"> </w:t>
      </w:r>
      <w:r w:rsidRPr="00C143E4">
        <w:t>Nicotine and smoking cessation counselling</w:t>
      </w:r>
    </w:p>
    <w:p w14:paraId="27513299" w14:textId="77777777" w:rsidR="00780EB3" w:rsidRPr="00C143E4" w:rsidRDefault="00780EB3" w:rsidP="00066C78">
      <w:pPr>
        <w:pStyle w:val="ListBullet"/>
      </w:pPr>
      <w:r w:rsidRPr="00B565BE">
        <w:rPr>
          <w:b/>
          <w:bCs/>
          <w:color w:val="358188"/>
        </w:rPr>
        <w:lastRenderedPageBreak/>
        <w:t>A40 Subgroup 26 Items 92176 and 92177</w:t>
      </w:r>
      <w:r>
        <w:t>,</w:t>
      </w:r>
      <w:r w:rsidRPr="00B46903">
        <w:t xml:space="preserve"> </w:t>
      </w:r>
      <w:r w:rsidRPr="00C143E4">
        <w:t>telehealth and phone attendance services</w:t>
      </w:r>
      <w:r>
        <w:t xml:space="preserve"> – COVID-19 Review of an Eating Disorder Plan – Phone Service</w:t>
      </w:r>
    </w:p>
    <w:p w14:paraId="710EDD90" w14:textId="77777777" w:rsidR="00780EB3" w:rsidRPr="003E2B24" w:rsidRDefault="00780EB3" w:rsidP="00066C78">
      <w:pPr>
        <w:pStyle w:val="ListBullet"/>
      </w:pPr>
      <w:r w:rsidRPr="00B565BE">
        <w:rPr>
          <w:b/>
          <w:bCs/>
          <w:color w:val="358188"/>
        </w:rPr>
        <w:t>A41 Subgroup 1 Items 93302 and 93305</w:t>
      </w:r>
      <w:r w:rsidRPr="00157A4B">
        <w:t xml:space="preserve"> </w:t>
      </w:r>
      <w:r w:rsidRPr="00C143E4">
        <w:t>COVID-19 Additional focussed psychological strategies</w:t>
      </w:r>
      <w:r>
        <w:t>, GP additional focussed psychological strategies</w:t>
      </w:r>
    </w:p>
    <w:p w14:paraId="6256D02D" w14:textId="77777777" w:rsidR="00780EB3" w:rsidRPr="003E2B24" w:rsidRDefault="00780EB3" w:rsidP="00066C78">
      <w:pPr>
        <w:pStyle w:val="ListBullet"/>
      </w:pPr>
      <w:r w:rsidRPr="00B565BE">
        <w:rPr>
          <w:b/>
          <w:bCs/>
          <w:color w:val="358188"/>
        </w:rPr>
        <w:t>A41 Subgroup 2 Items 93308 and 93311</w:t>
      </w:r>
      <w:r w:rsidRPr="00157A4B">
        <w:t xml:space="preserve"> </w:t>
      </w:r>
      <w:r w:rsidRPr="00C143E4">
        <w:t>COVID-19 Additional focussed psychological strategies</w:t>
      </w:r>
      <w:r>
        <w:t>, non-specialist practitioner additional focussed psychological strategies</w:t>
      </w:r>
    </w:p>
    <w:p w14:paraId="377D39B9" w14:textId="77777777" w:rsidR="00780EB3" w:rsidRPr="003E2B24" w:rsidRDefault="00780EB3" w:rsidP="00066C78">
      <w:pPr>
        <w:pStyle w:val="ListBullet"/>
      </w:pPr>
      <w:r w:rsidRPr="00B565BE">
        <w:rPr>
          <w:b/>
          <w:bCs/>
          <w:color w:val="358188"/>
        </w:rPr>
        <w:t>A42 Subgroup 2 Item 93423</w:t>
      </w:r>
      <w:r>
        <w:t xml:space="preserve"> </w:t>
      </w:r>
      <w:bookmarkStart w:id="5" w:name="_Hlk104542508"/>
      <w:r w:rsidRPr="003E2B24">
        <w:t>Mental health planning for care recipients of a residential aged care facilities</w:t>
      </w:r>
      <w:r>
        <w:t>, GP mental health treatment plan review for care recipients of a residential aged care facility</w:t>
      </w:r>
    </w:p>
    <w:bookmarkEnd w:id="5"/>
    <w:p w14:paraId="5A1C2CD9" w14:textId="77777777" w:rsidR="00780EB3" w:rsidRPr="003E2B24" w:rsidRDefault="00780EB3" w:rsidP="00066C78">
      <w:pPr>
        <w:pStyle w:val="ListBullet"/>
      </w:pPr>
      <w:r w:rsidRPr="00B565BE">
        <w:rPr>
          <w:b/>
          <w:bCs/>
          <w:color w:val="358188"/>
        </w:rPr>
        <w:t>A42 Subgroup 4 Item 93453</w:t>
      </w:r>
      <w:r w:rsidRPr="00157A4B">
        <w:t xml:space="preserve"> </w:t>
      </w:r>
      <w:r w:rsidRPr="00C143E4">
        <w:t>Mental health planning for care recipients of a residential aged care facilities</w:t>
      </w:r>
      <w:r>
        <w:t>, non-specialist practitioner mental health treatment plan review for care recipients of a residential aged care facility</w:t>
      </w:r>
    </w:p>
    <w:p w14:paraId="3B88CA62" w14:textId="32C2B7FC" w:rsidR="002F466B" w:rsidRDefault="002F466B" w:rsidP="002F466B">
      <w:pPr>
        <w:pStyle w:val="Heading2"/>
      </w:pPr>
      <w:r>
        <w:t>More</w:t>
      </w:r>
      <w:r>
        <w:rPr>
          <w:spacing w:val="-5"/>
        </w:rPr>
        <w:t xml:space="preserve"> </w:t>
      </w:r>
      <w:r>
        <w:t>information</w:t>
      </w:r>
    </w:p>
    <w:p w14:paraId="09C8F02A" w14:textId="51CE5564" w:rsidR="002F466B" w:rsidRDefault="002F466B" w:rsidP="002F466B">
      <w:r>
        <w:t>How 80/20</w:t>
      </w:r>
      <w:r w:rsidR="007A4692">
        <w:t xml:space="preserve"> and 30/20</w:t>
      </w:r>
      <w:r>
        <w:t xml:space="preserve"> breaches are detected and next steps</w:t>
      </w:r>
      <w:r w:rsidR="00CC0B9E">
        <w:t>:</w:t>
      </w:r>
    </w:p>
    <w:p w14:paraId="3922ABD3" w14:textId="0E1D3158" w:rsidR="000C5313" w:rsidRPr="002F466B" w:rsidRDefault="009D3D8A" w:rsidP="002F466B">
      <w:hyperlink r:id="rId14" w:history="1">
        <w:r w:rsidR="002F466B" w:rsidRPr="00141DAE">
          <w:rPr>
            <w:rStyle w:val="Hyperlink"/>
          </w:rPr>
          <w:t>Exceptional Circumstances</w:t>
        </w:r>
      </w:hyperlink>
    </w:p>
    <w:sectPr w:rsidR="000C5313" w:rsidRPr="002F466B" w:rsidSect="00B22F6B">
      <w:headerReference w:type="default" r:id="rId15"/>
      <w:footerReference w:type="default" r:id="rId16"/>
      <w:pgSz w:w="11906" w:h="16838"/>
      <w:pgMar w:top="241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C948" w14:textId="77777777" w:rsidR="00A62EE9" w:rsidRDefault="00A62EE9" w:rsidP="00A62EE9">
      <w:pPr>
        <w:spacing w:line="240" w:lineRule="auto"/>
      </w:pPr>
      <w:r>
        <w:separator/>
      </w:r>
    </w:p>
  </w:endnote>
  <w:endnote w:type="continuationSeparator" w:id="0">
    <w:p w14:paraId="6817BCB3" w14:textId="77777777" w:rsidR="00A62EE9" w:rsidRDefault="00A62EE9" w:rsidP="00A62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5213" w14:textId="7098CB40" w:rsidR="00A62EE9" w:rsidRDefault="00A62EE9" w:rsidP="00B22F6B">
    <w:pPr>
      <w:pStyle w:val="Footer"/>
      <w:tabs>
        <w:tab w:val="clear" w:pos="4513"/>
      </w:tabs>
    </w:pPr>
    <w:r>
      <w:t>Department of Health</w:t>
    </w:r>
    <w:r w:rsidR="002F466B">
      <w:t xml:space="preserve"> and Aged Care</w:t>
    </w:r>
    <w:r>
      <w:t xml:space="preserve"> – </w:t>
    </w:r>
    <w:r w:rsidR="002F466B">
      <w:t xml:space="preserve">Prescribed pattern of services </w:t>
    </w:r>
    <w:r w:rsidR="00A70456">
      <w:t>–</w:t>
    </w:r>
    <w:r w:rsidR="002F466B">
      <w:t xml:space="preserve"> </w:t>
    </w:r>
    <w:r w:rsidR="00A70456">
      <w:t>W</w:t>
    </w:r>
    <w:r w:rsidR="002F466B">
      <w:t>hat you need to know</w:t>
    </w:r>
    <w:r>
      <w:tab/>
    </w:r>
    <w:sdt>
      <w:sdtPr>
        <w:id w:val="-603571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AF37" w14:textId="77777777" w:rsidR="00A62EE9" w:rsidRDefault="00A62EE9" w:rsidP="00A62EE9">
      <w:pPr>
        <w:spacing w:line="240" w:lineRule="auto"/>
      </w:pPr>
      <w:r>
        <w:separator/>
      </w:r>
    </w:p>
  </w:footnote>
  <w:footnote w:type="continuationSeparator" w:id="0">
    <w:p w14:paraId="1194E9B0" w14:textId="77777777" w:rsidR="00A62EE9" w:rsidRDefault="00A62EE9" w:rsidP="00A62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CF58" w14:textId="011F273B" w:rsidR="00A45FEC" w:rsidRDefault="00A45FEC">
    <w:pPr>
      <w:pStyle w:val="Header"/>
    </w:pPr>
    <w:r>
      <w:rPr>
        <w:noProof/>
        <w:lang w:eastAsia="en-AU"/>
      </w:rPr>
      <w:drawing>
        <wp:inline distT="0" distB="0" distL="0" distR="0" wp14:anchorId="2330A401" wp14:editId="21E9B603">
          <wp:extent cx="5731510" cy="937137"/>
          <wp:effectExtent l="0" t="0" r="2540" b="0"/>
          <wp:docPr id="10" name="Picture 1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DE4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585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F2A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8A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860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AF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FAD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AFB3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5C0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449B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2E37EE"/>
    <w:multiLevelType w:val="hybridMultilevel"/>
    <w:tmpl w:val="C2142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706"/>
    <w:multiLevelType w:val="hybridMultilevel"/>
    <w:tmpl w:val="3A3EA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E42AE"/>
    <w:multiLevelType w:val="hybridMultilevel"/>
    <w:tmpl w:val="55E45E5E"/>
    <w:lvl w:ilvl="0" w:tplc="9738B1BC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en-AU" w:eastAsia="en-US" w:bidi="ar-SA"/>
      </w:rPr>
    </w:lvl>
    <w:lvl w:ilvl="1" w:tplc="11BA7DBE">
      <w:numFmt w:val="bullet"/>
      <w:lvlText w:val="•"/>
      <w:lvlJc w:val="left"/>
      <w:pPr>
        <w:ind w:left="686" w:hanging="142"/>
      </w:pPr>
      <w:rPr>
        <w:rFonts w:hint="default"/>
        <w:lang w:val="en-AU" w:eastAsia="en-US" w:bidi="ar-SA"/>
      </w:rPr>
    </w:lvl>
    <w:lvl w:ilvl="2" w:tplc="5DB418DE">
      <w:numFmt w:val="bullet"/>
      <w:lvlText w:val="•"/>
      <w:lvlJc w:val="left"/>
      <w:pPr>
        <w:ind w:left="1092" w:hanging="142"/>
      </w:pPr>
      <w:rPr>
        <w:rFonts w:hint="default"/>
        <w:lang w:val="en-AU" w:eastAsia="en-US" w:bidi="ar-SA"/>
      </w:rPr>
    </w:lvl>
    <w:lvl w:ilvl="3" w:tplc="79589E34">
      <w:numFmt w:val="bullet"/>
      <w:lvlText w:val="•"/>
      <w:lvlJc w:val="left"/>
      <w:pPr>
        <w:ind w:left="1498" w:hanging="142"/>
      </w:pPr>
      <w:rPr>
        <w:rFonts w:hint="default"/>
        <w:lang w:val="en-AU" w:eastAsia="en-US" w:bidi="ar-SA"/>
      </w:rPr>
    </w:lvl>
    <w:lvl w:ilvl="4" w:tplc="DABE602E">
      <w:numFmt w:val="bullet"/>
      <w:lvlText w:val="•"/>
      <w:lvlJc w:val="left"/>
      <w:pPr>
        <w:ind w:left="1904" w:hanging="142"/>
      </w:pPr>
      <w:rPr>
        <w:rFonts w:hint="default"/>
        <w:lang w:val="en-AU" w:eastAsia="en-US" w:bidi="ar-SA"/>
      </w:rPr>
    </w:lvl>
    <w:lvl w:ilvl="5" w:tplc="2D4C1854">
      <w:numFmt w:val="bullet"/>
      <w:lvlText w:val="•"/>
      <w:lvlJc w:val="left"/>
      <w:pPr>
        <w:ind w:left="2310" w:hanging="142"/>
      </w:pPr>
      <w:rPr>
        <w:rFonts w:hint="default"/>
        <w:lang w:val="en-AU" w:eastAsia="en-US" w:bidi="ar-SA"/>
      </w:rPr>
    </w:lvl>
    <w:lvl w:ilvl="6" w:tplc="A224BAB2">
      <w:numFmt w:val="bullet"/>
      <w:lvlText w:val="•"/>
      <w:lvlJc w:val="left"/>
      <w:pPr>
        <w:ind w:left="2716" w:hanging="142"/>
      </w:pPr>
      <w:rPr>
        <w:rFonts w:hint="default"/>
        <w:lang w:val="en-AU" w:eastAsia="en-US" w:bidi="ar-SA"/>
      </w:rPr>
    </w:lvl>
    <w:lvl w:ilvl="7" w:tplc="D5A2232E">
      <w:numFmt w:val="bullet"/>
      <w:lvlText w:val="•"/>
      <w:lvlJc w:val="left"/>
      <w:pPr>
        <w:ind w:left="3122" w:hanging="142"/>
      </w:pPr>
      <w:rPr>
        <w:rFonts w:hint="default"/>
        <w:lang w:val="en-AU" w:eastAsia="en-US" w:bidi="ar-SA"/>
      </w:rPr>
    </w:lvl>
    <w:lvl w:ilvl="8" w:tplc="19E4C832">
      <w:numFmt w:val="bullet"/>
      <w:lvlText w:val="•"/>
      <w:lvlJc w:val="left"/>
      <w:pPr>
        <w:ind w:left="3528" w:hanging="142"/>
      </w:pPr>
      <w:rPr>
        <w:rFonts w:hint="default"/>
        <w:lang w:val="en-AU" w:eastAsia="en-US" w:bidi="ar-SA"/>
      </w:rPr>
    </w:lvl>
  </w:abstractNum>
  <w:num w:numId="1" w16cid:durableId="1830749491">
    <w:abstractNumId w:val="10"/>
  </w:num>
  <w:num w:numId="2" w16cid:durableId="1494636454">
    <w:abstractNumId w:val="9"/>
  </w:num>
  <w:num w:numId="3" w16cid:durableId="1402676931">
    <w:abstractNumId w:val="7"/>
  </w:num>
  <w:num w:numId="4" w16cid:durableId="1136025691">
    <w:abstractNumId w:val="6"/>
  </w:num>
  <w:num w:numId="5" w16cid:durableId="1870071071">
    <w:abstractNumId w:val="5"/>
  </w:num>
  <w:num w:numId="6" w16cid:durableId="1640915915">
    <w:abstractNumId w:val="4"/>
  </w:num>
  <w:num w:numId="7" w16cid:durableId="816000209">
    <w:abstractNumId w:val="8"/>
  </w:num>
  <w:num w:numId="8" w16cid:durableId="852190342">
    <w:abstractNumId w:val="3"/>
  </w:num>
  <w:num w:numId="9" w16cid:durableId="1552377570">
    <w:abstractNumId w:val="2"/>
  </w:num>
  <w:num w:numId="10" w16cid:durableId="2090228597">
    <w:abstractNumId w:val="1"/>
  </w:num>
  <w:num w:numId="11" w16cid:durableId="1030256174">
    <w:abstractNumId w:val="0"/>
  </w:num>
  <w:num w:numId="12" w16cid:durableId="1998147817">
    <w:abstractNumId w:val="12"/>
  </w:num>
  <w:num w:numId="13" w16cid:durableId="1409619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A1"/>
    <w:rsid w:val="0000287B"/>
    <w:rsid w:val="00045C8C"/>
    <w:rsid w:val="00066C78"/>
    <w:rsid w:val="000C5313"/>
    <w:rsid w:val="000E0DAC"/>
    <w:rsid w:val="000F0C3C"/>
    <w:rsid w:val="00132552"/>
    <w:rsid w:val="00141DAE"/>
    <w:rsid w:val="001A024D"/>
    <w:rsid w:val="001E5837"/>
    <w:rsid w:val="00280050"/>
    <w:rsid w:val="002A4B1B"/>
    <w:rsid w:val="002C4712"/>
    <w:rsid w:val="002F466B"/>
    <w:rsid w:val="00455D91"/>
    <w:rsid w:val="0047576B"/>
    <w:rsid w:val="005734CD"/>
    <w:rsid w:val="006310F9"/>
    <w:rsid w:val="00682ACC"/>
    <w:rsid w:val="00683D59"/>
    <w:rsid w:val="00780EB3"/>
    <w:rsid w:val="0079308F"/>
    <w:rsid w:val="007A4692"/>
    <w:rsid w:val="00831C85"/>
    <w:rsid w:val="00857985"/>
    <w:rsid w:val="009C106F"/>
    <w:rsid w:val="009D3D8A"/>
    <w:rsid w:val="009E14A1"/>
    <w:rsid w:val="009F66BE"/>
    <w:rsid w:val="00A45FEC"/>
    <w:rsid w:val="00A471C6"/>
    <w:rsid w:val="00A62EE9"/>
    <w:rsid w:val="00A70456"/>
    <w:rsid w:val="00AB1509"/>
    <w:rsid w:val="00AB7F4F"/>
    <w:rsid w:val="00AC0C5D"/>
    <w:rsid w:val="00AE01FC"/>
    <w:rsid w:val="00B14EEA"/>
    <w:rsid w:val="00B22F6B"/>
    <w:rsid w:val="00B565BE"/>
    <w:rsid w:val="00BA426A"/>
    <w:rsid w:val="00CC0B9E"/>
    <w:rsid w:val="00D50726"/>
    <w:rsid w:val="00D73202"/>
    <w:rsid w:val="00DB5C37"/>
    <w:rsid w:val="00E1356A"/>
    <w:rsid w:val="00E14911"/>
    <w:rsid w:val="00E365E9"/>
    <w:rsid w:val="00EA4AB4"/>
    <w:rsid w:val="00EC2B89"/>
    <w:rsid w:val="00F14D6C"/>
    <w:rsid w:val="00FA3766"/>
    <w:rsid w:val="40A49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599E"/>
  <w15:chartTrackingRefBased/>
  <w15:docId w15:val="{75CB36E0-072C-43FD-A0D7-AA43ABFD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6C78"/>
    <w:pPr>
      <w:spacing w:before="120" w:after="120" w:line="276" w:lineRule="auto"/>
    </w:pPr>
    <w:rPr>
      <w:rFonts w:ascii="Arial" w:eastAsia="Times New Roman" w:hAnsi="Arial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9"/>
    <w:qFormat/>
    <w:rsid w:val="00141DAE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5FEC"/>
    <w:pPr>
      <w:spacing w:before="240" w:after="240" w:line="240" w:lineRule="auto"/>
      <w:outlineLvl w:val="1"/>
    </w:pPr>
    <w:rPr>
      <w:color w:val="1F3864" w:themeColor="accent1" w:themeShade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5FEC"/>
    <w:pPr>
      <w:spacing w:before="120" w:after="120"/>
      <w:outlineLvl w:val="2"/>
    </w:pPr>
    <w:rPr>
      <w:color w:val="1F4E79" w:themeColor="accent5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E5837"/>
    <w:pPr>
      <w:ind w:left="714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0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0F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1DAE"/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FEC"/>
    <w:rPr>
      <w:rFonts w:ascii="Arial" w:eastAsiaTheme="majorEastAsia" w:hAnsi="Arial" w:cstheme="majorBidi"/>
      <w:b/>
      <w:color w:val="1F3864" w:themeColor="accent1" w:themeShade="8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E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E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62E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E9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682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A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45FEC"/>
    <w:rPr>
      <w:rFonts w:ascii="Arial" w:eastAsiaTheme="majorEastAsia" w:hAnsi="Arial" w:cstheme="majorBidi"/>
      <w:b/>
      <w:color w:val="1F4E79" w:themeColor="accent5" w:themeShade="80"/>
      <w:szCs w:val="26"/>
    </w:rPr>
  </w:style>
  <w:style w:type="paragraph" w:styleId="ListBullet">
    <w:name w:val="List Bullet"/>
    <w:basedOn w:val="Normal"/>
    <w:uiPriority w:val="99"/>
    <w:unhideWhenUsed/>
    <w:rsid w:val="00AE01FC"/>
    <w:pPr>
      <w:numPr>
        <w:numId w:val="2"/>
      </w:numPr>
      <w:tabs>
        <w:tab w:val="clear" w:pos="360"/>
      </w:tabs>
      <w:ind w:left="714" w:hanging="357"/>
      <w:contextualSpacing/>
    </w:pPr>
  </w:style>
  <w:style w:type="paragraph" w:styleId="ListBullet2">
    <w:name w:val="List Bullet 2"/>
    <w:basedOn w:val="Normal"/>
    <w:uiPriority w:val="99"/>
    <w:unhideWhenUsed/>
    <w:rsid w:val="00A45FEC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qFormat/>
    <w:rsid w:val="00A45FE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2F466B"/>
    <w:pPr>
      <w:widowControl w:val="0"/>
      <w:autoSpaceDE w:val="0"/>
      <w:autoSpaceDN w:val="0"/>
      <w:ind w:left="280"/>
    </w:pPr>
    <w:rPr>
      <w:rFonts w:eastAsia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F466B"/>
    <w:rPr>
      <w:rFonts w:ascii="Arial" w:eastAsia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141DAE"/>
    <w:rPr>
      <w:rFonts w:ascii="Arial" w:hAnsi="Arial"/>
      <w:b/>
      <w:bCs/>
      <w:sz w:val="22"/>
    </w:rPr>
  </w:style>
  <w:style w:type="paragraph" w:styleId="Revision">
    <w:name w:val="Revision"/>
    <w:hidden/>
    <w:uiPriority w:val="99"/>
    <w:semiHidden/>
    <w:rsid w:val="000F0C3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au/Details/F2022L0034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Details/F2022L000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au/Details/F2022C0079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legislation.gov.au/Series/C2004A001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alth.gov.au/resources/publications/prescribed-pattern-of-service-exceptional-circumsta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3" ma:contentTypeDescription="Create a new document." ma:contentTypeScope="" ma:versionID="834bc3d541b54ef7dee55860cfb0962b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57ae11d1c135a77c624643b73978e90d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8B9C4-40B1-4A46-A8AC-70982FCA859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4c34100-1f74-4b80-9481-61aca8ed614d"/>
    <ds:schemaRef ds:uri="b2250469-6996-43ed-b619-405ab07bd7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5B4540-A1CC-4660-A237-64199E54F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CEEC5-8CC4-4C93-8F39-0EF91822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846</Words>
  <Characters>4946</Characters>
  <Application>Microsoft Office Word</Application>
  <DocSecurity>0</DocSecurity>
  <Lines>96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pattern of services – What you need to know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pattern of services – What you need to know</dc:title>
  <dc:subject>Medicare</dc:subject>
  <dc:creator>Australian Government Department of Health and Aged Care</dc:creator>
  <cp:keywords>inappropriate practice; pattern of services; practitioner review program</cp:keywords>
  <dc:description/>
  <cp:lastModifiedBy>MCCAY, Meryl</cp:lastModifiedBy>
  <cp:revision>20</cp:revision>
  <cp:lastPrinted>2022-03-23T01:14:00Z</cp:lastPrinted>
  <dcterms:created xsi:type="dcterms:W3CDTF">2022-09-27T06:55:00Z</dcterms:created>
  <dcterms:modified xsi:type="dcterms:W3CDTF">2023-08-22T03:39:00Z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0x010100F3F7F0D3F58DDA40ABB022BC60FCF30E</vt:lpwstr>
  </property>
</Properties>
</file>