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AEAC" w14:textId="145FA1E2" w:rsidR="00E24911" w:rsidRPr="00E24911" w:rsidRDefault="00E24911" w:rsidP="00E24911">
      <w:pPr>
        <w:spacing w:after="330" w:line="240" w:lineRule="auto"/>
        <w:outlineLvl w:val="0"/>
        <w:rPr>
          <w:rFonts w:asciiTheme="minorHAnsi" w:eastAsia="Times New Roman" w:hAnsiTheme="minorHAnsi" w:cstheme="minorHAnsi"/>
          <w:color w:val="000000"/>
          <w:kern w:val="36"/>
          <w:sz w:val="39"/>
          <w:szCs w:val="39"/>
          <w:lang w:eastAsia="en-AU"/>
        </w:rPr>
      </w:pPr>
      <w:r w:rsidRPr="00E24911">
        <w:rPr>
          <w:rFonts w:asciiTheme="minorHAnsi" w:eastAsia="Times New Roman" w:hAnsiTheme="minorHAnsi" w:cstheme="minorHAnsi"/>
          <w:color w:val="000000"/>
          <w:kern w:val="36"/>
          <w:sz w:val="39"/>
          <w:szCs w:val="39"/>
          <w:lang w:eastAsia="en-AU"/>
        </w:rPr>
        <w:t xml:space="preserve">National </w:t>
      </w:r>
      <w:r w:rsidR="00E37337">
        <w:rPr>
          <w:rFonts w:asciiTheme="minorHAnsi" w:eastAsia="Times New Roman" w:hAnsiTheme="minorHAnsi" w:cstheme="minorHAnsi"/>
          <w:color w:val="000000"/>
          <w:kern w:val="36"/>
          <w:sz w:val="39"/>
          <w:szCs w:val="39"/>
          <w:lang w:eastAsia="en-AU"/>
        </w:rPr>
        <w:t>referral pathway for the confirmatory testing of poliovirus detected in wastewater</w:t>
      </w:r>
    </w:p>
    <w:p w14:paraId="191425BA" w14:textId="234CE7C3" w:rsidR="0034643C" w:rsidRPr="00B64812" w:rsidRDefault="0034643C" w:rsidP="00B64812">
      <w:pPr>
        <w:pStyle w:val="Heading2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Background and poliovirus containment</w:t>
      </w:r>
    </w:p>
    <w:p w14:paraId="4B2FD62C" w14:textId="6C429480" w:rsidR="00E24911" w:rsidRDefault="00E37337" w:rsidP="0066323D">
      <w:pPr>
        <w:spacing w:before="240" w:after="240" w:line="300" w:lineRule="atLeast"/>
        <w:rPr>
          <w:rFonts w:asciiTheme="minorHAnsi" w:hAnsiTheme="minorHAnsi" w:cstheme="minorHAnsi"/>
          <w:sz w:val="22"/>
          <w:szCs w:val="22"/>
          <w:lang w:eastAsia="en-AU"/>
        </w:rPr>
      </w:pPr>
      <w:r w:rsidRPr="0066323D">
        <w:rPr>
          <w:rFonts w:asciiTheme="minorHAnsi" w:hAnsiTheme="minorHAnsi" w:cstheme="minorHAnsi"/>
          <w:color w:val="222222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the </w:t>
      </w:r>
      <w:hyperlink r:id="rId11" w:history="1">
        <w:r w:rsidRPr="00D1137C">
          <w:rPr>
            <w:rStyle w:val="Hyperlink"/>
            <w:rFonts w:asciiTheme="minorHAnsi" w:hAnsiTheme="minorHAnsi" w:cstheme="minorHAnsi"/>
            <w:sz w:val="22"/>
            <w:szCs w:val="22"/>
            <w:lang w:eastAsia="en-AU"/>
          </w:rPr>
          <w:t>Global Polio Eradication Initiative</w:t>
        </w:r>
      </w:hyperlink>
      <w:r>
        <w:rPr>
          <w:rFonts w:asciiTheme="minorHAnsi" w:hAnsiTheme="minorHAnsi" w:cstheme="minorHAnsi"/>
          <w:sz w:val="22"/>
          <w:szCs w:val="22"/>
          <w:lang w:eastAsia="en-AU"/>
        </w:rPr>
        <w:t xml:space="preserve"> (GPEI), the handling of poliovirus</w:t>
      </w:r>
      <w:r w:rsidR="0034643C">
        <w:rPr>
          <w:rFonts w:asciiTheme="minorHAnsi" w:hAnsiTheme="minorHAnsi" w:cstheme="minorHAnsi"/>
          <w:sz w:val="22"/>
          <w:szCs w:val="22"/>
          <w:lang w:eastAsia="en-AU"/>
        </w:rPr>
        <w:t xml:space="preserve"> infectious materials (IM) or potentially infectious materials (PIMs)</w:t>
      </w:r>
      <w:r>
        <w:rPr>
          <w:rFonts w:asciiTheme="minorHAnsi" w:hAnsiTheme="minorHAnsi" w:cstheme="minorHAnsi"/>
          <w:sz w:val="22"/>
          <w:szCs w:val="22"/>
          <w:lang w:eastAsia="en-AU"/>
        </w:rPr>
        <w:t>, is restricted outside of polio</w:t>
      </w:r>
      <w:r w:rsidR="004E5900">
        <w:rPr>
          <w:rFonts w:asciiTheme="minorHAnsi" w:hAnsiTheme="minorHAnsi" w:cstheme="minorHAnsi"/>
          <w:sz w:val="22"/>
          <w:szCs w:val="22"/>
          <w:lang w:eastAsia="en-AU"/>
        </w:rPr>
        <w:t>virus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-essential facilities (PEFs). Australia has one designated PEF, </w:t>
      </w:r>
      <w:r w:rsidR="0034643C" w:rsidRPr="006D5FF2">
        <w:rPr>
          <w:rFonts w:asciiTheme="minorHAnsi" w:hAnsiTheme="minorHAnsi" w:cstheme="minorHAnsi"/>
          <w:sz w:val="22"/>
          <w:szCs w:val="22"/>
          <w:lang w:eastAsia="en-AU"/>
        </w:rPr>
        <w:t>the</w:t>
      </w:r>
      <w:r w:rsidR="00E24911" w:rsidRPr="006D5FF2">
        <w:rPr>
          <w:rFonts w:asciiTheme="minorHAnsi" w:hAnsiTheme="minorHAnsi" w:cstheme="minorHAnsi"/>
          <w:sz w:val="22"/>
          <w:szCs w:val="22"/>
          <w:lang w:eastAsia="en-AU"/>
        </w:rPr>
        <w:t xml:space="preserve"> National </w:t>
      </w:r>
      <w:r>
        <w:rPr>
          <w:rFonts w:asciiTheme="minorHAnsi" w:hAnsiTheme="minorHAnsi" w:cstheme="minorHAnsi"/>
          <w:sz w:val="22"/>
          <w:szCs w:val="22"/>
          <w:lang w:eastAsia="en-AU"/>
        </w:rPr>
        <w:t>Enterovirus Reference Laboratory (NERL)</w:t>
      </w:r>
      <w:r w:rsidR="00E24911" w:rsidRPr="006D5FF2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4E5900">
        <w:rPr>
          <w:rFonts w:asciiTheme="minorHAnsi" w:hAnsiTheme="minorHAnsi" w:cstheme="minorHAnsi"/>
          <w:sz w:val="22"/>
          <w:szCs w:val="22"/>
          <w:lang w:eastAsia="en-AU"/>
        </w:rPr>
        <w:t xml:space="preserve">hosted by </w:t>
      </w:r>
      <w:r w:rsidR="00AA68BC">
        <w:rPr>
          <w:rFonts w:asciiTheme="minorHAnsi" w:hAnsiTheme="minorHAnsi" w:cstheme="minorHAnsi"/>
          <w:sz w:val="22"/>
          <w:szCs w:val="22"/>
          <w:lang w:eastAsia="en-AU"/>
        </w:rPr>
        <w:t>the</w:t>
      </w:r>
      <w:r w:rsidR="00E24911" w:rsidRPr="006D5FF2">
        <w:rPr>
          <w:rFonts w:asciiTheme="minorHAnsi" w:hAnsiTheme="minorHAnsi" w:cstheme="minorHAnsi"/>
          <w:sz w:val="22"/>
          <w:szCs w:val="22"/>
          <w:lang w:eastAsia="en-AU"/>
        </w:rPr>
        <w:t xml:space="preserve"> Victorian Infectious Diseases Reference Laboratory (VIDRL)</w:t>
      </w:r>
      <w:r w:rsidR="004C12FC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F403C79" w14:textId="68DE0D1E" w:rsidR="0034643C" w:rsidRDefault="00CD1896" w:rsidP="00E24911">
      <w:pPr>
        <w:spacing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Jurisdictions undertaking wastewater surveillance for poliovirus must comply with Australia’s obligations for poliovirus containment under the GPEI. </w:t>
      </w:r>
      <w:r w:rsidR="004B6D8A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If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poliovirus is detected in wastewater, </w:t>
      </w:r>
      <w:r w:rsidR="004B6D8A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the</w:t>
      </w:r>
      <w:r w:rsidR="0044429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concentrat</w:t>
      </w:r>
      <w:r w:rsidR="004B6D8A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ed sample</w:t>
      </w:r>
      <w:r w:rsidR="0015449D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of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th</w:t>
      </w:r>
      <w:r w:rsidR="0015449D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at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="0015449D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collection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="004B6D8A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is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subject to the containment requirements of the GPEI. 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A</w:t>
      </w:r>
      <w:r w:rsidR="00AA68B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ny detection of poliovirus 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in wastewater </w:t>
      </w:r>
      <w:r w:rsidR="00AA68B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must be confirmed </w:t>
      </w:r>
      <w:r w:rsidR="00123BB5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and characterised </w:t>
      </w:r>
      <w:r w:rsidR="00AA68B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by the NERL using </w:t>
      </w:r>
      <w:r w:rsidR="00836B83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poliovirus detection methods approved by the World Health Organization (</w:t>
      </w:r>
      <w:r w:rsidR="00AA68B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WHO</w:t>
      </w:r>
      <w:r w:rsidR="00836B83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)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. </w:t>
      </w:r>
    </w:p>
    <w:p w14:paraId="56B5F309" w14:textId="1D958607" w:rsidR="00D1137C" w:rsidRDefault="008E08AC" w:rsidP="00E24911">
      <w:pPr>
        <w:spacing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Specimen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collection and transfer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to the NERL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should be undertaken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in accordance with th</w:t>
      </w:r>
      <w:r w:rsidR="005A64D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e </w:t>
      </w:r>
      <w:r w:rsidR="00CD1896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process</w:t>
      </w:r>
      <w:r w:rsidR="005A64D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specified in this document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to ensure confirmatory testing can be undertaken 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rapidly </w:t>
      </w:r>
      <w:r w:rsidR="0012087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to inform</w:t>
      </w:r>
      <w:r w:rsidR="00CD1896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="0034643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necessary public health action</w:t>
      </w:r>
      <w:r w:rsidR="009B431B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="00CD1896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in a timely manner, while complying with Australia’s poliovirus containment requirements.</w:t>
      </w:r>
    </w:p>
    <w:p w14:paraId="61646344" w14:textId="29AA39E7" w:rsidR="00CD1896" w:rsidRDefault="00CD1896" w:rsidP="00E24911">
      <w:pPr>
        <w:spacing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Further information about </w:t>
      </w:r>
      <w:r w:rsidR="00D1137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containment requirements for poliovirus IM and PIMs can be found in the </w:t>
      </w:r>
      <w:hyperlink r:id="rId12" w:history="1">
        <w:r w:rsidR="00D1137C" w:rsidRPr="00A6082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>Guidance for non-poliovirus facilities to minimize risk of sample collections potentially infectious for polioviruses</w:t>
        </w:r>
        <w:r w:rsidR="00A6082C" w:rsidRPr="00A6082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>, 2</w:t>
        </w:r>
        <w:r w:rsidR="00A6082C" w:rsidRPr="00A6082C">
          <w:rPr>
            <w:rStyle w:val="Hyperlink"/>
            <w:rFonts w:asciiTheme="minorHAnsi" w:eastAsia="Times New Roman" w:hAnsiTheme="minorHAnsi" w:cstheme="minorHAnsi"/>
            <w:sz w:val="22"/>
            <w:szCs w:val="22"/>
            <w:vertAlign w:val="superscript"/>
            <w:lang w:eastAsia="en-AU"/>
          </w:rPr>
          <w:t>nd</w:t>
        </w:r>
        <w:r w:rsidR="00A6082C" w:rsidRPr="00A6082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 xml:space="preserve"> edition</w:t>
        </w:r>
      </w:hyperlink>
      <w:r w:rsidR="0010619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="00D1137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and the </w:t>
      </w:r>
      <w:hyperlink r:id="rId13" w:history="1">
        <w:r w:rsidR="00D1137C" w:rsidRPr="00D1137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>WHO Global Action Plan for Poliovirus Containment, 4</w:t>
        </w:r>
        <w:r w:rsidR="00D1137C" w:rsidRPr="00F71A4D">
          <w:rPr>
            <w:rStyle w:val="Hyperlink"/>
            <w:vertAlign w:val="superscript"/>
          </w:rPr>
          <w:t>th</w:t>
        </w:r>
        <w:r w:rsidR="00D1137C" w:rsidRPr="00D1137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 xml:space="preserve"> Edition</w:t>
        </w:r>
      </w:hyperlink>
      <w:r w:rsidR="00D1137C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.</w:t>
      </w:r>
      <w:r w:rsidR="00836B83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</w:p>
    <w:p w14:paraId="49135FC9" w14:textId="0AFD4EEC" w:rsidR="00836B83" w:rsidRDefault="00836B83" w:rsidP="00E24911">
      <w:pPr>
        <w:spacing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The 2015 working draft of the </w:t>
      </w:r>
      <w:hyperlink r:id="rId14" w:history="1">
        <w:r w:rsidRPr="00836B83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AU"/>
          </w:rPr>
          <w:t>WHO GPEI Guidelines on Environmental Surveillance for Detection of Polioviruses</w:t>
        </w:r>
      </w:hyperlink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provides guidance and considerations for facilities undertaking environmental surveillance for poliovirus. </w:t>
      </w:r>
    </w:p>
    <w:p w14:paraId="1C5AE05A" w14:textId="52AE2F89" w:rsidR="006D5FF2" w:rsidRPr="00B64812" w:rsidRDefault="006D5FF2" w:rsidP="00B64812">
      <w:pPr>
        <w:pStyle w:val="Heading2"/>
        <w:spacing w:before="240"/>
        <w:rPr>
          <w:rFonts w:asciiTheme="minorHAnsi" w:hAnsiTheme="minorHAnsi" w:cstheme="minorHAnsi"/>
        </w:rPr>
      </w:pPr>
      <w:r w:rsidRPr="006D5FF2">
        <w:rPr>
          <w:rFonts w:asciiTheme="minorHAnsi" w:hAnsiTheme="minorHAnsi" w:cstheme="minorHAnsi"/>
        </w:rPr>
        <w:t>Specimen collection and transport</w:t>
      </w:r>
    </w:p>
    <w:p w14:paraId="54FD4853" w14:textId="1B9773AE" w:rsidR="009213D4" w:rsidRDefault="006D5FF2" w:rsidP="009B431B">
      <w:pPr>
        <w:spacing w:before="240" w:after="24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When </w:t>
      </w:r>
      <w:r w:rsidR="00F5129A">
        <w:rPr>
          <w:rFonts w:asciiTheme="minorHAnsi" w:hAnsiTheme="minorHAnsi" w:cstheme="minorHAnsi"/>
          <w:color w:val="222222"/>
          <w:sz w:val="22"/>
          <w:szCs w:val="22"/>
        </w:rPr>
        <w:t xml:space="preserve">initial testing of wastewater detects poliovirus, </w:t>
      </w:r>
      <w:r w:rsidR="00766386" w:rsidRPr="004C12FC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BC78EF">
        <w:rPr>
          <w:rFonts w:asciiTheme="minorHAnsi" w:hAnsiTheme="minorHAnsi" w:cstheme="minorHAnsi"/>
          <w:color w:val="222222"/>
          <w:sz w:val="22"/>
          <w:szCs w:val="22"/>
        </w:rPr>
        <w:t xml:space="preserve">NERL should be notified, </w:t>
      </w:r>
      <w:hyperlink r:id="rId15" w:history="1">
        <w:r w:rsidR="00F842A1" w:rsidRPr="00096B6B">
          <w:rPr>
            <w:rStyle w:val="Hyperlink"/>
            <w:rFonts w:asciiTheme="minorHAnsi" w:hAnsiTheme="minorHAnsi" w:cstheme="minorHAnsi"/>
            <w:sz w:val="22"/>
            <w:szCs w:val="22"/>
          </w:rPr>
          <w:t>poliovirus@vidrl.org.au</w:t>
        </w:r>
      </w:hyperlink>
      <w:r w:rsidR="00BC78EF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B16A2C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="009B431B">
        <w:rPr>
          <w:rFonts w:asciiTheme="minorHAnsi" w:hAnsiTheme="minorHAnsi" w:cstheme="minorHAnsi"/>
          <w:color w:val="222222"/>
          <w:sz w:val="22"/>
          <w:szCs w:val="22"/>
        </w:rPr>
        <w:t xml:space="preserve">longside </w:t>
      </w:r>
      <w:r w:rsidR="00B16A2C">
        <w:rPr>
          <w:rFonts w:asciiTheme="minorHAnsi" w:hAnsiTheme="minorHAnsi" w:cstheme="minorHAnsi"/>
          <w:color w:val="222222"/>
          <w:sz w:val="22"/>
          <w:szCs w:val="22"/>
        </w:rPr>
        <w:t xml:space="preserve">the relevant jurisdictional health </w:t>
      </w:r>
      <w:r w:rsidR="009B431B">
        <w:rPr>
          <w:rFonts w:asciiTheme="minorHAnsi" w:hAnsiTheme="minorHAnsi" w:cstheme="minorHAnsi"/>
          <w:color w:val="222222"/>
          <w:sz w:val="22"/>
          <w:szCs w:val="22"/>
        </w:rPr>
        <w:t>contact</w:t>
      </w:r>
      <w:r w:rsidR="00B16A2C">
        <w:rPr>
          <w:rFonts w:asciiTheme="minorHAnsi" w:hAnsiTheme="minorHAnsi" w:cstheme="minorHAnsi"/>
          <w:color w:val="222222"/>
          <w:sz w:val="22"/>
          <w:szCs w:val="22"/>
        </w:rPr>
        <w:t xml:space="preserve"> and the </w:t>
      </w:r>
      <w:r w:rsidR="00A748A7">
        <w:rPr>
          <w:rFonts w:asciiTheme="minorHAnsi" w:hAnsiTheme="minorHAnsi" w:cstheme="minorHAnsi"/>
          <w:color w:val="222222"/>
          <w:sz w:val="22"/>
          <w:szCs w:val="22"/>
        </w:rPr>
        <w:t xml:space="preserve">Australian Government </w:t>
      </w:r>
      <w:r w:rsidR="005A64D1">
        <w:rPr>
          <w:rFonts w:asciiTheme="minorHAnsi" w:hAnsiTheme="minorHAnsi" w:cstheme="minorHAnsi"/>
          <w:color w:val="222222"/>
          <w:sz w:val="22"/>
          <w:szCs w:val="22"/>
        </w:rPr>
        <w:t>Department of Health and Aged Care</w:t>
      </w:r>
      <w:r w:rsidR="00ED42C3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 w:rsidR="0015449D">
        <w:rPr>
          <w:rFonts w:asciiTheme="minorHAnsi" w:hAnsiTheme="minorHAnsi" w:cstheme="minorHAnsi"/>
          <w:color w:val="222222"/>
          <w:sz w:val="22"/>
          <w:szCs w:val="22"/>
        </w:rPr>
        <w:t xml:space="preserve">via the National Poliovirus Containment Coordinator, </w:t>
      </w:r>
      <w:hyperlink r:id="rId16" w:history="1">
        <w:r w:rsidR="0015449D" w:rsidRPr="006B455A">
          <w:rPr>
            <w:rStyle w:val="Hyperlink"/>
            <w:rFonts w:asciiTheme="minorHAnsi" w:hAnsiTheme="minorHAnsi" w:cstheme="minorHAnsi"/>
            <w:sz w:val="22"/>
            <w:szCs w:val="22"/>
          </w:rPr>
          <w:t>Gary.Lum@health.gov.au</w:t>
        </w:r>
      </w:hyperlink>
      <w:r w:rsidR="0015449D">
        <w:rPr>
          <w:rFonts w:asciiTheme="minorHAnsi" w:hAnsiTheme="minorHAnsi" w:cstheme="minorHAnsi"/>
          <w:color w:val="222222"/>
          <w:sz w:val="22"/>
          <w:szCs w:val="22"/>
        </w:rPr>
        <w:t xml:space="preserve">, and the National Authority for Containment at </w:t>
      </w:r>
      <w:r w:rsidR="0015449D" w:rsidRPr="00A04CF3">
        <w:rPr>
          <w:rStyle w:val="Hyperlink"/>
          <w:rFonts w:asciiTheme="minorHAnsi" w:hAnsiTheme="minorHAnsi" w:cstheme="minorHAnsi"/>
          <w:sz w:val="22"/>
          <w:szCs w:val="22"/>
        </w:rPr>
        <w:t>polio@health.gov.au</w:t>
      </w:r>
      <w:r w:rsidR="00ED42C3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9B431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452F6D2" w14:textId="07E2E434" w:rsidR="006841D9" w:rsidRPr="00E24911" w:rsidRDefault="009B431B" w:rsidP="00F71A4D">
      <w:pPr>
        <w:spacing w:before="240"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Telephone contact with the </w:t>
      </w:r>
      <w:r w:rsidR="00BC78EF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NERL (03 9342 9607) </w:t>
      </w: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is essential before any specimen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s are transferred</w:t>
      </w:r>
      <w:r w:rsidR="00BC78EF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to confirm the timing of the shipment and </w:t>
      </w:r>
      <w:r w:rsidR="006D5FF2" w:rsidRPr="002A2F3B">
        <w:rPr>
          <w:rFonts w:asciiTheme="minorHAnsi" w:hAnsiTheme="minorHAnsi" w:cstheme="minorHAnsi"/>
          <w:color w:val="222222"/>
          <w:sz w:val="22"/>
          <w:szCs w:val="22"/>
        </w:rPr>
        <w:t>advice regarding safe packaging and transport.</w:t>
      </w:r>
      <w:r w:rsidR="005A64D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C78EF">
        <w:rPr>
          <w:rFonts w:asciiTheme="minorHAnsi" w:hAnsiTheme="minorHAnsi" w:cstheme="minorHAnsi"/>
          <w:color w:val="222222"/>
          <w:sz w:val="22"/>
          <w:szCs w:val="22"/>
        </w:rPr>
        <w:t>If the NERL is not contactable or when calling out of hours, t</w:t>
      </w:r>
      <w:r w:rsidR="006841D9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he VIDRL on-call </w:t>
      </w:r>
      <w:r w:rsidR="006841D9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</w:t>
      </w:r>
      <w:r w:rsidR="006841D9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edical </w:t>
      </w:r>
      <w:r w:rsidR="006841D9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Microbiologist</w:t>
      </w:r>
      <w:r w:rsidR="006841D9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can be contacted on 0438 599 437. In case of difficulty</w:t>
      </w:r>
      <w:r w:rsidR="00A748A7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,</w:t>
      </w:r>
      <w:r w:rsidR="006841D9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back-up is provided by the VIDRL on-call laboratory manager (0438 599 439), and the Royal Melbourne Hospital Switchboard (03 9342 7000).</w:t>
      </w:r>
    </w:p>
    <w:p w14:paraId="3EEDA7A0" w14:textId="0B2EABA0" w:rsidR="0021115C" w:rsidRPr="002A2F3B" w:rsidRDefault="0034643C" w:rsidP="006D5FF2">
      <w:pPr>
        <w:spacing w:before="240" w:after="24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The NERL is </w:t>
      </w:r>
      <w:r w:rsidRPr="006D5FF2">
        <w:rPr>
          <w:rFonts w:asciiTheme="minorHAnsi" w:hAnsiTheme="minorHAnsi" w:cstheme="minorHAnsi"/>
          <w:sz w:val="22"/>
          <w:szCs w:val="22"/>
          <w:lang w:eastAsia="en-AU"/>
        </w:rPr>
        <w:t xml:space="preserve">located </w:t>
      </w:r>
      <w:r w:rsidRPr="00F47E01">
        <w:rPr>
          <w:rFonts w:asciiTheme="minorHAnsi" w:hAnsiTheme="minorHAnsi" w:cstheme="minorHAnsi"/>
          <w:sz w:val="22"/>
          <w:szCs w:val="22"/>
          <w:lang w:eastAsia="en-AU"/>
        </w:rPr>
        <w:t>at The Peter Doherty Institute for Infection and Immunity, 792 Elizabeth Street Melbourne Vic 3000.</w:t>
      </w:r>
    </w:p>
    <w:p w14:paraId="2C9842E8" w14:textId="63014CDD" w:rsidR="0021534E" w:rsidRPr="005B4B6D" w:rsidRDefault="006D5FF2" w:rsidP="006D5FF2">
      <w:pPr>
        <w:spacing w:before="240" w:after="24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The essential specimen to be submitted for </w:t>
      </w:r>
      <w:r w:rsidR="00F5129A">
        <w:rPr>
          <w:rFonts w:asciiTheme="minorHAnsi" w:hAnsiTheme="minorHAnsi" w:cstheme="minorHAnsi"/>
          <w:color w:val="222222"/>
          <w:sz w:val="22"/>
          <w:szCs w:val="22"/>
        </w:rPr>
        <w:t xml:space="preserve">poliovirus confirmatory </w:t>
      </w:r>
      <w:r w:rsidR="00F5129A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testing </w:t>
      </w:r>
      <w:r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virus detection </w:t>
      </w:r>
      <w:r w:rsidR="00851095" w:rsidRPr="005B4B6D">
        <w:rPr>
          <w:rFonts w:asciiTheme="minorHAnsi" w:hAnsiTheme="minorHAnsi" w:cstheme="minorHAnsi"/>
          <w:color w:val="222222"/>
          <w:sz w:val="22"/>
          <w:szCs w:val="22"/>
        </w:rPr>
        <w:t>includes a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51095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sample 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>of 500</w:t>
      </w:r>
      <w:r w:rsidR="00A748A7" w:rsidRPr="005B4B6D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>mL of wastewater</w:t>
      </w:r>
      <w:r w:rsidR="009213D4" w:rsidRPr="005B4B6D">
        <w:rPr>
          <w:rFonts w:asciiTheme="minorHAnsi" w:hAnsiTheme="minorHAnsi" w:cstheme="minorHAnsi"/>
          <w:color w:val="222222"/>
          <w:sz w:val="22"/>
          <w:szCs w:val="22"/>
        </w:rPr>
        <w:t>, which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F62EF">
        <w:rPr>
          <w:rFonts w:asciiTheme="minorHAnsi" w:hAnsiTheme="minorHAnsi" w:cstheme="minorHAnsi"/>
          <w:color w:val="222222"/>
          <w:sz w:val="22"/>
          <w:szCs w:val="22"/>
        </w:rPr>
        <w:t>is</w:t>
      </w:r>
      <w:r w:rsidR="009213D4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required to 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be transported </w:t>
      </w:r>
      <w:r w:rsidR="009213D4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to 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the NERL </w:t>
      </w:r>
      <w:r w:rsidR="009213D4" w:rsidRPr="005B4B6D">
        <w:rPr>
          <w:rFonts w:asciiTheme="minorHAnsi" w:hAnsiTheme="minorHAnsi" w:cstheme="minorHAnsi"/>
          <w:color w:val="222222"/>
          <w:sz w:val="22"/>
          <w:szCs w:val="22"/>
        </w:rPr>
        <w:t>for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WHO-approved </w:t>
      </w:r>
      <w:r w:rsidR="00BD601D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two-phase 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>concentration</w:t>
      </w:r>
      <w:r w:rsidR="00BD601D" w:rsidRPr="005B4B6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BD601D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poliovirus </w:t>
      </w:r>
      <w:r w:rsidR="003B5A0F" w:rsidRPr="005B4B6D">
        <w:rPr>
          <w:rFonts w:asciiTheme="minorHAnsi" w:hAnsiTheme="minorHAnsi" w:cstheme="minorHAnsi"/>
          <w:color w:val="222222"/>
          <w:sz w:val="22"/>
          <w:szCs w:val="22"/>
        </w:rPr>
        <w:t>culture.</w:t>
      </w:r>
      <w:r w:rsidR="0021534E" w:rsidRPr="005B4B6D">
        <w:rPr>
          <w:rStyle w:val="FootnoteReference"/>
          <w:rFonts w:asciiTheme="minorHAnsi" w:hAnsiTheme="minorHAnsi" w:cstheme="minorHAnsi"/>
          <w:color w:val="222222"/>
          <w:sz w:val="22"/>
          <w:szCs w:val="22"/>
        </w:rPr>
        <w:footnoteReference w:id="2"/>
      </w:r>
      <w:r w:rsidR="0021534E" w:rsidRPr="005B4B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6C9A2F8" w14:textId="77777777" w:rsidR="006D5FF2" w:rsidRPr="006D5FF2" w:rsidRDefault="006D5FF2" w:rsidP="00B64812">
      <w:pPr>
        <w:pStyle w:val="Heading3"/>
        <w:spacing w:before="240"/>
        <w:rPr>
          <w:rFonts w:asciiTheme="minorHAnsi" w:hAnsiTheme="minorHAnsi" w:cstheme="minorHAnsi"/>
          <w:color w:val="000000"/>
          <w:sz w:val="30"/>
          <w:szCs w:val="30"/>
        </w:rPr>
      </w:pPr>
      <w:r w:rsidRPr="005B4B6D">
        <w:rPr>
          <w:rFonts w:asciiTheme="minorHAnsi" w:hAnsiTheme="minorHAnsi" w:cstheme="minorHAnsi"/>
        </w:rPr>
        <w:t>The following procedures should be followed:</w:t>
      </w:r>
    </w:p>
    <w:p w14:paraId="382214AD" w14:textId="2482570D" w:rsidR="0086588F" w:rsidRDefault="001B6AA5" w:rsidP="00EA7901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Appropriate personal protection equipment (PPE) should be worn during </w:t>
      </w:r>
      <w:r w:rsidR="002C4789">
        <w:rPr>
          <w:rFonts w:asciiTheme="minorHAnsi" w:hAnsiTheme="minorHAnsi" w:cstheme="minorHAnsi"/>
          <w:color w:val="222222"/>
          <w:sz w:val="22"/>
          <w:szCs w:val="22"/>
        </w:rPr>
        <w:t xml:space="preserve">the wastewater </w:t>
      </w:r>
      <w:r w:rsidRPr="00630FDF">
        <w:rPr>
          <w:rFonts w:asciiTheme="minorHAnsi" w:hAnsiTheme="minorHAnsi" w:cstheme="minorHAnsi"/>
          <w:color w:val="222222"/>
          <w:sz w:val="22"/>
          <w:szCs w:val="22"/>
        </w:rPr>
        <w:t>collection</w:t>
      </w:r>
      <w:r w:rsidR="002C4789" w:rsidRPr="00630FD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6588F" w:rsidRPr="00630FDF">
        <w:rPr>
          <w:rFonts w:asciiTheme="minorHAnsi" w:hAnsiTheme="minorHAnsi" w:cstheme="minorHAnsi"/>
          <w:color w:val="222222"/>
          <w:sz w:val="22"/>
          <w:szCs w:val="22"/>
        </w:rPr>
        <w:t xml:space="preserve">and packaging </w:t>
      </w:r>
      <w:r w:rsidR="002C4789" w:rsidRPr="00630FDF">
        <w:rPr>
          <w:rFonts w:asciiTheme="minorHAnsi" w:hAnsiTheme="minorHAnsi" w:cstheme="minorHAnsi"/>
          <w:color w:val="222222"/>
          <w:sz w:val="22"/>
          <w:szCs w:val="22"/>
        </w:rPr>
        <w:t>process</w:t>
      </w:r>
      <w:r w:rsidR="00851095" w:rsidRPr="00851095">
        <w:rPr>
          <w:rFonts w:asciiTheme="minorHAnsi" w:hAnsiTheme="minorHAnsi" w:cstheme="minorHAnsi"/>
          <w:color w:val="222222"/>
          <w:sz w:val="22"/>
          <w:szCs w:val="22"/>
        </w:rPr>
        <w:t>, including</w:t>
      </w:r>
      <w:r w:rsidR="00851095">
        <w:rPr>
          <w:rFonts w:asciiTheme="minorHAnsi" w:hAnsiTheme="minorHAnsi" w:cstheme="minorHAnsi"/>
          <w:color w:val="222222"/>
          <w:sz w:val="22"/>
          <w:szCs w:val="22"/>
        </w:rPr>
        <w:t xml:space="preserve"> gloves, gown, and masks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BAB2F79" w14:textId="6FE77AEF" w:rsidR="004F6FB9" w:rsidRPr="00EA7901" w:rsidRDefault="004F6FB9" w:rsidP="00EA7901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500</w:t>
      </w:r>
      <w:r w:rsidR="00A748A7">
        <w:rPr>
          <w:rFonts w:asciiTheme="minorHAnsi" w:hAnsiTheme="minorHAnsi" w:cstheme="minorHAnsi"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mL wastewater should be collected in a </w:t>
      </w:r>
      <w:r w:rsidR="009213D4">
        <w:rPr>
          <w:rFonts w:asciiTheme="minorHAnsi" w:hAnsiTheme="minorHAnsi" w:cstheme="minorHAnsi"/>
          <w:color w:val="222222"/>
          <w:sz w:val="22"/>
          <w:szCs w:val="22"/>
        </w:rPr>
        <w:t xml:space="preserve">clean, </w:t>
      </w:r>
      <w:r>
        <w:rPr>
          <w:rFonts w:asciiTheme="minorHAnsi" w:hAnsiTheme="minorHAnsi" w:cstheme="minorHAnsi"/>
          <w:color w:val="222222"/>
          <w:sz w:val="22"/>
          <w:szCs w:val="22"/>
        </w:rPr>
        <w:t>watertight receptacle, which is wrapped in an absorbent layer and placed in a watertight secondary receptacle.</w:t>
      </w:r>
      <w:r w:rsidR="005B4B6D">
        <w:rPr>
          <w:rStyle w:val="FootnoteReference"/>
          <w:rFonts w:asciiTheme="minorHAnsi" w:hAnsiTheme="minorHAnsi" w:cstheme="minorHAnsi"/>
          <w:color w:val="222222"/>
          <w:sz w:val="22"/>
          <w:szCs w:val="22"/>
        </w:rPr>
        <w:t>1</w:t>
      </w:r>
    </w:p>
    <w:p w14:paraId="47D22B7E" w14:textId="4EA7D061" w:rsidR="00321E49" w:rsidRPr="00630FDF" w:rsidRDefault="006D5FF2" w:rsidP="00321E49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The outside of each </w:t>
      </w:r>
      <w:r w:rsidR="004F6FB9">
        <w:rPr>
          <w:rFonts w:asciiTheme="minorHAnsi" w:hAnsiTheme="minorHAnsi" w:cstheme="minorHAnsi"/>
          <w:color w:val="222222"/>
          <w:sz w:val="22"/>
          <w:szCs w:val="22"/>
        </w:rPr>
        <w:t>receptacle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should be swabbed with </w:t>
      </w:r>
      <w:r w:rsidR="00C12384">
        <w:rPr>
          <w:rFonts w:asciiTheme="minorHAnsi" w:hAnsiTheme="minorHAnsi" w:cstheme="minorHAnsi"/>
          <w:color w:val="222222"/>
          <w:sz w:val="22"/>
          <w:szCs w:val="22"/>
        </w:rPr>
        <w:t xml:space="preserve">an appropriate surface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disinfectant and a label </w:t>
      </w:r>
      <w:r w:rsidR="00466E2E">
        <w:rPr>
          <w:rFonts w:asciiTheme="minorHAnsi" w:hAnsiTheme="minorHAnsi" w:cstheme="minorHAnsi"/>
          <w:color w:val="222222"/>
          <w:sz w:val="22"/>
          <w:szCs w:val="22"/>
        </w:rPr>
        <w:t>must</w:t>
      </w:r>
      <w:r w:rsidR="00466E2E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be attached bearing the </w:t>
      </w:r>
      <w:r w:rsidR="00EA7901">
        <w:rPr>
          <w:rFonts w:asciiTheme="minorHAnsi" w:hAnsiTheme="minorHAnsi" w:cstheme="minorHAnsi"/>
          <w:color w:val="222222"/>
          <w:sz w:val="22"/>
          <w:szCs w:val="22"/>
        </w:rPr>
        <w:t>sample details including</w:t>
      </w:r>
      <w:r w:rsidR="00517CA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the date of </w:t>
      </w:r>
      <w:r w:rsidR="00642BD6" w:rsidRPr="002A2F3B">
        <w:rPr>
          <w:rFonts w:asciiTheme="minorHAnsi" w:hAnsiTheme="minorHAnsi" w:cstheme="minorHAnsi"/>
          <w:color w:val="222222"/>
          <w:sz w:val="22"/>
          <w:szCs w:val="22"/>
        </w:rPr>
        <w:t>collection</w:t>
      </w:r>
      <w:r w:rsidR="00642BD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8E0276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8E0276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amples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should be classified as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 Category </w:t>
      </w:r>
      <w:r w:rsidR="0058048A">
        <w:rPr>
          <w:rFonts w:asciiTheme="minorHAnsi" w:hAnsiTheme="minorHAnsi" w:cstheme="minorHAnsi"/>
          <w:color w:val="222222"/>
          <w:sz w:val="22"/>
          <w:szCs w:val="22"/>
        </w:rPr>
        <w:t>B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>biological hazard, assigned to UN</w:t>
      </w:r>
      <w:r w:rsidR="006F60D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8048A">
        <w:rPr>
          <w:rFonts w:asciiTheme="minorHAnsi" w:hAnsiTheme="minorHAnsi" w:cstheme="minorHAnsi"/>
          <w:color w:val="222222"/>
          <w:sz w:val="22"/>
          <w:szCs w:val="22"/>
        </w:rPr>
        <w:t>3373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 with the shipping name “</w:t>
      </w:r>
      <w:r w:rsidR="003E7964">
        <w:rPr>
          <w:rFonts w:asciiTheme="minorHAnsi" w:hAnsiTheme="minorHAnsi" w:cstheme="minorHAnsi"/>
          <w:color w:val="222222"/>
          <w:sz w:val="22"/>
          <w:szCs w:val="22"/>
        </w:rPr>
        <w:t>Biological substances, Category B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”. They should be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handled as required by International Air Transport Instruction (IATA</w:t>
      </w:r>
      <w:r w:rsidRPr="00630FDF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1345AD" w:rsidRPr="00630FDF">
        <w:rPr>
          <w:rFonts w:asciiTheme="minorHAnsi" w:hAnsiTheme="minorHAnsi" w:cstheme="minorHAnsi"/>
          <w:color w:val="222222"/>
          <w:sz w:val="22"/>
          <w:szCs w:val="22"/>
        </w:rPr>
        <w:t xml:space="preserve"> Hazard Class 6.2 and packaging </w:t>
      </w:r>
      <w:r w:rsidRPr="00630FDF">
        <w:rPr>
          <w:rFonts w:asciiTheme="minorHAnsi" w:hAnsiTheme="minorHAnsi" w:cstheme="minorHAnsi"/>
          <w:color w:val="222222"/>
          <w:sz w:val="22"/>
          <w:szCs w:val="22"/>
        </w:rPr>
        <w:t>instruction 6</w:t>
      </w:r>
      <w:r w:rsidR="003E7964" w:rsidRPr="00630FDF">
        <w:rPr>
          <w:rFonts w:asciiTheme="minorHAnsi" w:hAnsiTheme="minorHAnsi" w:cstheme="minorHAnsi"/>
          <w:color w:val="222222"/>
          <w:sz w:val="22"/>
          <w:szCs w:val="22"/>
        </w:rPr>
        <w:t>50</w:t>
      </w:r>
      <w:r w:rsidRPr="00630FD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4FECD755" w14:textId="34797F63" w:rsidR="00321E49" w:rsidRPr="00EA7901" w:rsidRDefault="00321E49" w:rsidP="00EA7901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Samples must be </w:t>
      </w:r>
      <w:r w:rsidR="00630FDF">
        <w:rPr>
          <w:rFonts w:asciiTheme="minorHAnsi" w:hAnsiTheme="minorHAnsi" w:cstheme="minorHAnsi"/>
          <w:color w:val="222222"/>
          <w:sz w:val="22"/>
          <w:szCs w:val="22"/>
        </w:rPr>
        <w:t xml:space="preserve">kept </w:t>
      </w:r>
      <w:r w:rsidR="005E121E">
        <w:rPr>
          <w:rFonts w:asciiTheme="minorHAnsi" w:hAnsiTheme="minorHAnsi" w:cstheme="minorHAnsi"/>
          <w:color w:val="222222"/>
          <w:sz w:val="22"/>
          <w:szCs w:val="22"/>
        </w:rPr>
        <w:t>chilled</w:t>
      </w:r>
      <w:r w:rsidR="0021534E">
        <w:rPr>
          <w:rFonts w:asciiTheme="minorHAnsi" w:hAnsiTheme="minorHAnsi" w:cstheme="minorHAnsi"/>
          <w:color w:val="222222"/>
          <w:sz w:val="22"/>
          <w:szCs w:val="22"/>
        </w:rPr>
        <w:t xml:space="preserve"> throughout transport</w:t>
      </w:r>
      <w:r w:rsidR="00630FDF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222222"/>
          <w:sz w:val="22"/>
          <w:szCs w:val="22"/>
        </w:rPr>
        <w:t>received by the NERL within 48 hours of collection</w:t>
      </w:r>
      <w:r w:rsidR="00A6082C">
        <w:rPr>
          <w:rFonts w:asciiTheme="minorHAnsi" w:hAnsiTheme="minorHAnsi" w:cstheme="minorHAnsi"/>
          <w:color w:val="222222"/>
          <w:sz w:val="22"/>
          <w:szCs w:val="22"/>
        </w:rPr>
        <w:t>, or as soon as possible after detection,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to </w:t>
      </w:r>
      <w:r w:rsidR="00283819">
        <w:rPr>
          <w:rFonts w:asciiTheme="minorHAnsi" w:hAnsiTheme="minorHAnsi" w:cstheme="minorHAnsi"/>
          <w:color w:val="222222"/>
          <w:sz w:val="22"/>
          <w:szCs w:val="22"/>
        </w:rPr>
        <w:t>maintain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sample integrity.</w:t>
      </w:r>
    </w:p>
    <w:p w14:paraId="303C863F" w14:textId="77777777" w:rsidR="006D5FF2" w:rsidRPr="00B64812" w:rsidRDefault="006D5FF2" w:rsidP="00B64812">
      <w:pPr>
        <w:pStyle w:val="Heading3"/>
        <w:spacing w:before="240"/>
        <w:rPr>
          <w:rFonts w:asciiTheme="minorHAnsi" w:hAnsiTheme="minorHAnsi" w:cstheme="minorHAnsi"/>
        </w:rPr>
      </w:pPr>
      <w:r w:rsidRPr="006D5FF2">
        <w:rPr>
          <w:rFonts w:asciiTheme="minorHAnsi" w:hAnsiTheme="minorHAnsi" w:cstheme="minorHAnsi"/>
        </w:rPr>
        <w:t>In general, the specimens should be packaged as follows:</w:t>
      </w:r>
    </w:p>
    <w:p w14:paraId="1CF6DA28" w14:textId="13057D09" w:rsidR="006D5FF2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Place the specimens for transport in a tightly sealed, watertight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 xml:space="preserve"> collection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container. </w:t>
      </w:r>
      <w:r w:rsidR="009213D4">
        <w:rPr>
          <w:rFonts w:asciiTheme="minorHAnsi" w:hAnsiTheme="minorHAnsi" w:cstheme="minorHAnsi"/>
          <w:color w:val="222222"/>
          <w:sz w:val="22"/>
          <w:szCs w:val="22"/>
        </w:rPr>
        <w:t>The container should be clean but is not required to be sterile.</w:t>
      </w:r>
    </w:p>
    <w:p w14:paraId="549A7538" w14:textId="454713F5" w:rsidR="009213D4" w:rsidRPr="002A2F3B" w:rsidRDefault="009213D4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An information label should be fixed to the outside of the container</w:t>
      </w:r>
      <w:r w:rsidR="00C12384">
        <w:rPr>
          <w:rFonts w:asciiTheme="minorHAnsi" w:hAnsiTheme="minorHAnsi" w:cstheme="minorHAnsi"/>
          <w:color w:val="222222"/>
          <w:sz w:val="22"/>
          <w:szCs w:val="22"/>
        </w:rPr>
        <w:t xml:space="preserve">, using waterproof markers and labels to avoid damage if the receptacle gets wet. </w:t>
      </w:r>
    </w:p>
    <w:p w14:paraId="451BFE02" w14:textId="652E68D8" w:rsidR="006D5FF2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Wrap the primary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collection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container in sufficient absorbent material (e</w:t>
      </w:r>
      <w:r w:rsidR="008E027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g.</w:t>
      </w:r>
      <w:r w:rsidR="008E0276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5449D">
        <w:rPr>
          <w:rFonts w:asciiTheme="minorHAnsi" w:hAnsiTheme="minorHAnsi" w:cstheme="minorHAnsi"/>
          <w:color w:val="222222"/>
          <w:sz w:val="22"/>
          <w:szCs w:val="22"/>
        </w:rPr>
        <w:t>absorbent paper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) to absorb the entire contents in case the container leaks or breaks</w:t>
      </w:r>
      <w:r w:rsidR="00321E4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DEC6585" w14:textId="5C1313EA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Place the primary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collection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container in a </w:t>
      </w:r>
      <w:r w:rsidR="00321E49">
        <w:rPr>
          <w:rFonts w:asciiTheme="minorHAnsi" w:hAnsiTheme="minorHAnsi" w:cstheme="minorHAnsi"/>
          <w:color w:val="222222"/>
          <w:sz w:val="22"/>
          <w:szCs w:val="22"/>
        </w:rPr>
        <w:t>leakproof secondary receptable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. This secondary container should be sealed with tape</w:t>
      </w:r>
      <w:r w:rsidR="00C12384">
        <w:rPr>
          <w:rFonts w:asciiTheme="minorHAnsi" w:hAnsiTheme="minorHAnsi" w:cstheme="minorHAnsi"/>
          <w:color w:val="222222"/>
          <w:sz w:val="22"/>
          <w:szCs w:val="22"/>
        </w:rPr>
        <w:t xml:space="preserve"> and sturdy enough to avoid damage to the primary receptable during transport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0FF9481" w14:textId="77777777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On the outside of the secondary container, attach the specimen labels and other relevant information.</w:t>
      </w:r>
    </w:p>
    <w:p w14:paraId="1A324656" w14:textId="354DF22D" w:rsidR="00C12384" w:rsidRDefault="00C12384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specimen should be chilled using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6082C">
        <w:rPr>
          <w:rFonts w:asciiTheme="minorHAnsi" w:hAnsiTheme="minorHAnsi" w:cstheme="minorHAnsi"/>
          <w:color w:val="222222"/>
          <w:sz w:val="22"/>
          <w:szCs w:val="22"/>
        </w:rPr>
        <w:t xml:space="preserve">an appropriate number of ice bricks to last the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duration of shipping.</w:t>
      </w:r>
    </w:p>
    <w:p w14:paraId="77F0F5FF" w14:textId="0A5074A1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Place the second</w:t>
      </w:r>
      <w:r w:rsidR="00C12384">
        <w:rPr>
          <w:rFonts w:asciiTheme="minorHAnsi" w:hAnsiTheme="minorHAnsi" w:cstheme="minorHAnsi"/>
          <w:color w:val="222222"/>
          <w:sz w:val="22"/>
          <w:szCs w:val="22"/>
        </w:rPr>
        <w:t>ary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container in a secure box addressed to: </w:t>
      </w:r>
    </w:p>
    <w:p w14:paraId="721A2F5F" w14:textId="37493DEE" w:rsidR="006D5FF2" w:rsidRPr="002A2F3B" w:rsidRDefault="006D5FF2" w:rsidP="00642BD6">
      <w:pPr>
        <w:pStyle w:val="ListParagraph"/>
        <w:spacing w:after="90" w:line="300" w:lineRule="atLeast"/>
        <w:ind w:left="360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National </w:t>
      </w:r>
      <w:r w:rsidR="00123BB5">
        <w:rPr>
          <w:rFonts w:asciiTheme="minorHAnsi" w:hAnsiTheme="minorHAnsi" w:cstheme="minorHAnsi"/>
          <w:color w:val="222222"/>
          <w:sz w:val="22"/>
          <w:szCs w:val="22"/>
        </w:rPr>
        <w:t>Enterovirus Reference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Laboratory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Victorian Infectious Diseases Reference Laboratory (VIDRL)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The Doherty Institute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792 Elizabeth Street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Melbourne Vic 3000</w:t>
      </w:r>
    </w:p>
    <w:p w14:paraId="76FE21DA" w14:textId="3AE33EE5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A competent door-to-door courier should be used. Since individual commercial and non-commercial carriers or shipping services may apply different regulations for transporting biologic specimens, contact a representative of the chosen carrier beforehand to ensure all necessary formalities are fulfilled.</w:t>
      </w:r>
    </w:p>
    <w:p w14:paraId="0E65979E" w14:textId="4B96F484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Notify the </w:t>
      </w:r>
      <w:r w:rsidR="005E121E">
        <w:rPr>
          <w:rFonts w:asciiTheme="minorHAnsi" w:hAnsiTheme="minorHAnsi" w:cstheme="minorHAnsi"/>
          <w:color w:val="222222"/>
          <w:sz w:val="22"/>
          <w:szCs w:val="22"/>
        </w:rPr>
        <w:t xml:space="preserve">NERL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of the dispatch of the specimen with flight time and number, </w:t>
      </w:r>
      <w:proofErr w:type="gramStart"/>
      <w:r w:rsidRPr="002A2F3B">
        <w:rPr>
          <w:rFonts w:asciiTheme="minorHAnsi" w:hAnsiTheme="minorHAnsi" w:cstheme="minorHAnsi"/>
          <w:color w:val="222222"/>
          <w:sz w:val="22"/>
          <w:szCs w:val="22"/>
        </w:rPr>
        <w:t>courier</w:t>
      </w:r>
      <w:proofErr w:type="gramEnd"/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or airway bill number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A763FC5" w14:textId="792F5659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lastRenderedPageBreak/>
        <w:t>If transport is by air</w:t>
      </w:r>
      <w:r w:rsidR="006F60D3">
        <w:rPr>
          <w:rFonts w:asciiTheme="minorHAnsi" w:hAnsiTheme="minorHAnsi" w:cstheme="minorHAnsi"/>
          <w:color w:val="222222"/>
          <w:sz w:val="22"/>
          <w:szCs w:val="22"/>
        </w:rPr>
        <w:t>, r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efer to the IATA Dangerous Goods regulations</w:t>
      </w:r>
      <w:r w:rsidR="006F60D3">
        <w:rPr>
          <w:rFonts w:asciiTheme="minorHAnsi" w:hAnsiTheme="minorHAnsi" w:cstheme="minorHAnsi"/>
          <w:color w:val="222222"/>
          <w:sz w:val="22"/>
          <w:szCs w:val="22"/>
        </w:rPr>
        <w:t xml:space="preserve"> for appropriate packaging and documentation for </w:t>
      </w:r>
      <w:r w:rsidR="005E121E">
        <w:rPr>
          <w:rFonts w:asciiTheme="minorHAnsi" w:hAnsiTheme="minorHAnsi" w:cstheme="minorHAnsi"/>
          <w:color w:val="222222"/>
          <w:sz w:val="22"/>
          <w:szCs w:val="22"/>
        </w:rPr>
        <w:t>Biological Substances, Category B, UN 3373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5794B52" w14:textId="6B63C861" w:rsidR="006D5FF2" w:rsidRPr="00544502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B237CF">
        <w:rPr>
          <w:rFonts w:asciiTheme="minorHAnsi" w:hAnsiTheme="minorHAnsi" w:cstheme="minorHAnsi"/>
          <w:color w:val="222222"/>
          <w:sz w:val="22"/>
          <w:szCs w:val="22"/>
        </w:rPr>
        <w:t>Specimen delivery is to the foyer specimen receiving area at the Doherty Institute, accessed from Elizabeth Street where there are two short-term delivery parking spaces. </w:t>
      </w:r>
      <w:r w:rsidR="00634F92" w:rsidRPr="003C32AB">
        <w:rPr>
          <w:rFonts w:asciiTheme="minorHAnsi" w:hAnsiTheme="minorHAnsi" w:cstheme="minorHAnsi"/>
          <w:sz w:val="22"/>
          <w:szCs w:val="22"/>
        </w:rPr>
        <w:t>For out</w:t>
      </w:r>
      <w:r w:rsidR="00630FDF">
        <w:rPr>
          <w:rFonts w:asciiTheme="minorHAnsi" w:hAnsiTheme="minorHAnsi" w:cstheme="minorHAnsi"/>
          <w:sz w:val="22"/>
          <w:szCs w:val="22"/>
        </w:rPr>
        <w:t xml:space="preserve"> </w:t>
      </w:r>
      <w:r w:rsidR="00634F92" w:rsidRPr="003C32AB">
        <w:rPr>
          <w:rFonts w:asciiTheme="minorHAnsi" w:hAnsiTheme="minorHAnsi" w:cstheme="minorHAnsi"/>
          <w:sz w:val="22"/>
          <w:szCs w:val="22"/>
        </w:rPr>
        <w:t>of hours testing, the specimen should be handed to the VIDRL on-call scientist or on-call laboratory manager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 (0438</w:t>
      </w:r>
      <w:r w:rsidR="002026FD">
        <w:rPr>
          <w:rFonts w:asciiTheme="minorHAnsi" w:hAnsiTheme="minorHAnsi" w:cstheme="minorHAnsi"/>
          <w:sz w:val="22"/>
          <w:szCs w:val="22"/>
        </w:rPr>
        <w:t xml:space="preserve"> </w:t>
      </w:r>
      <w:r w:rsidR="00B237CF" w:rsidRPr="003C32AB">
        <w:rPr>
          <w:rFonts w:asciiTheme="minorHAnsi" w:hAnsiTheme="minorHAnsi" w:cstheme="minorHAnsi"/>
          <w:sz w:val="22"/>
          <w:szCs w:val="22"/>
        </w:rPr>
        <w:t>599</w:t>
      </w:r>
      <w:r w:rsidR="002026FD">
        <w:rPr>
          <w:rFonts w:asciiTheme="minorHAnsi" w:hAnsiTheme="minorHAnsi" w:cstheme="minorHAnsi"/>
          <w:sz w:val="22"/>
          <w:szCs w:val="22"/>
        </w:rPr>
        <w:t xml:space="preserve"> </w:t>
      </w:r>
      <w:r w:rsidR="00B237CF" w:rsidRPr="003C32AB">
        <w:rPr>
          <w:rFonts w:asciiTheme="minorHAnsi" w:hAnsiTheme="minorHAnsi" w:cstheme="minorHAnsi"/>
          <w:sz w:val="22"/>
          <w:szCs w:val="22"/>
        </w:rPr>
        <w:t>439)</w:t>
      </w:r>
      <w:r w:rsidR="00634F92" w:rsidRPr="003C32AB">
        <w:rPr>
          <w:rFonts w:asciiTheme="minorHAnsi" w:hAnsiTheme="minorHAnsi" w:cstheme="minorHAnsi"/>
          <w:sz w:val="22"/>
          <w:szCs w:val="22"/>
        </w:rPr>
        <w:t xml:space="preserve"> in</w:t>
      </w:r>
      <w:r w:rsidR="00634F92" w:rsidRPr="00B237CF">
        <w:rPr>
          <w:rFonts w:asciiTheme="minorHAnsi" w:hAnsiTheme="minorHAnsi" w:cstheme="minorHAnsi"/>
          <w:color w:val="222222"/>
          <w:sz w:val="22"/>
          <w:szCs w:val="22"/>
        </w:rPr>
        <w:t xml:space="preserve"> foyer specimen receiving area at the Doherty Institute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, </w:t>
      </w:r>
      <w:r w:rsidR="00634F92" w:rsidRPr="003C32AB">
        <w:rPr>
          <w:rFonts w:asciiTheme="minorHAnsi" w:hAnsiTheme="minorHAnsi" w:cstheme="minorHAnsi"/>
          <w:sz w:val="22"/>
          <w:szCs w:val="22"/>
        </w:rPr>
        <w:t>who will have appropriate identification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4B7211" w14:textId="3757CA09" w:rsidR="00EE1115" w:rsidRPr="00E37337" w:rsidRDefault="00544502" w:rsidP="00E5242A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</w:rPr>
      </w:pPr>
      <w:r w:rsidRPr="00544502">
        <w:rPr>
          <w:rFonts w:asciiTheme="minorHAnsi" w:hAnsiTheme="minorHAnsi" w:cstheme="minorHAnsi"/>
          <w:sz w:val="22"/>
          <w:szCs w:val="22"/>
        </w:rPr>
        <w:t xml:space="preserve">Full details of the contact person for reporting of results should be provided on the specimen form, including name and contact number.  </w:t>
      </w:r>
    </w:p>
    <w:p w14:paraId="420F207D" w14:textId="656FD3D3" w:rsidR="00E37337" w:rsidRDefault="00E37337" w:rsidP="00B64812">
      <w:pPr>
        <w:pStyle w:val="Heading2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Destruction of remaining s</w:t>
      </w:r>
      <w:r w:rsidRPr="006D5FF2">
        <w:rPr>
          <w:rFonts w:asciiTheme="minorHAnsi" w:hAnsiTheme="minorHAnsi" w:cstheme="minorHAnsi"/>
        </w:rPr>
        <w:t>pecimen</w:t>
      </w:r>
    </w:p>
    <w:p w14:paraId="32CF1FFD" w14:textId="31317340" w:rsidR="003E7964" w:rsidRPr="0071469F" w:rsidRDefault="4EDD2F82" w:rsidP="0752F17C">
      <w:pPr>
        <w:spacing w:before="240" w:after="240" w:line="300" w:lineRule="atLeast"/>
      </w:pPr>
      <w:r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Once the NERL has </w:t>
      </w:r>
      <w:r w:rsidR="2A8679F5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successfully </w:t>
      </w:r>
      <w:r w:rsidR="6AAFE486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completed confirmatory testing </w:t>
      </w:r>
      <w:r w:rsidR="2A8679F5" w:rsidRPr="0752F17C">
        <w:rPr>
          <w:rFonts w:asciiTheme="minorHAnsi" w:hAnsiTheme="minorHAnsi" w:cstheme="minorBidi"/>
          <w:sz w:val="22"/>
          <w:szCs w:val="22"/>
          <w:lang w:eastAsia="en-AU"/>
        </w:rPr>
        <w:t>for poliovirus in</w:t>
      </w:r>
      <w:r w:rsidR="6AAFE486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wastewater samples</w:t>
      </w:r>
      <w:r w:rsidRPr="0752F17C">
        <w:rPr>
          <w:rFonts w:asciiTheme="minorHAnsi" w:hAnsiTheme="minorHAnsi" w:cstheme="minorBidi"/>
          <w:sz w:val="22"/>
          <w:szCs w:val="22"/>
          <w:lang w:eastAsia="en-AU"/>
        </w:rPr>
        <w:t>,</w:t>
      </w:r>
      <w:r w:rsidR="6DC94CF8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results should be notified to the primary referring laboratory, as well as the </w:t>
      </w:r>
      <w:r w:rsidR="1042E669" w:rsidRPr="0752F17C">
        <w:rPr>
          <w:rFonts w:asciiTheme="minorHAnsi" w:hAnsiTheme="minorHAnsi" w:cstheme="minorBidi"/>
          <w:color w:val="222222"/>
          <w:sz w:val="22"/>
          <w:szCs w:val="22"/>
        </w:rPr>
        <w:t xml:space="preserve">National Poliovirus Containment Coordinator, </w:t>
      </w:r>
      <w:hyperlink r:id="rId17" w:history="1">
        <w:r w:rsidR="00A53BF0" w:rsidRPr="00AC3C1C">
          <w:rPr>
            <w:rStyle w:val="Hyperlink"/>
            <w:rFonts w:asciiTheme="minorHAnsi" w:hAnsiTheme="minorHAnsi" w:cstheme="minorBidi"/>
            <w:sz w:val="22"/>
            <w:szCs w:val="22"/>
          </w:rPr>
          <w:t>Gary.Lum@health.gov.au</w:t>
        </w:r>
      </w:hyperlink>
      <w:r w:rsidR="1042E669" w:rsidRPr="0752F17C">
        <w:rPr>
          <w:rFonts w:asciiTheme="minorHAnsi" w:hAnsiTheme="minorHAnsi" w:cstheme="minorBidi"/>
          <w:color w:val="222222"/>
          <w:sz w:val="22"/>
          <w:szCs w:val="22"/>
        </w:rPr>
        <w:t xml:space="preserve">, and the National Authority for Containment at </w:t>
      </w:r>
      <w:r w:rsidR="1042E669" w:rsidRPr="0752F17C">
        <w:rPr>
          <w:rStyle w:val="Hyperlink"/>
          <w:rFonts w:asciiTheme="minorHAnsi" w:hAnsiTheme="minorHAnsi" w:cstheme="minorBidi"/>
          <w:sz w:val="22"/>
          <w:szCs w:val="22"/>
        </w:rPr>
        <w:t>polio@health.gov.au</w:t>
      </w:r>
      <w:r w:rsidR="1042E669" w:rsidRPr="0752F17C">
        <w:rPr>
          <w:rFonts w:asciiTheme="minorHAnsi" w:hAnsiTheme="minorHAnsi" w:cstheme="minorBidi"/>
          <w:color w:val="222222"/>
          <w:sz w:val="22"/>
          <w:szCs w:val="22"/>
        </w:rPr>
        <w:t>.</w:t>
      </w:r>
      <w:r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</w:t>
      </w:r>
      <w:r w:rsidR="3FCC0982" w:rsidRPr="0752F17C">
        <w:rPr>
          <w:rFonts w:asciiTheme="minorHAnsi" w:hAnsiTheme="minorHAnsi" w:cstheme="minorBidi"/>
          <w:sz w:val="22"/>
          <w:szCs w:val="22"/>
          <w:lang w:eastAsia="en-AU"/>
        </w:rPr>
        <w:t>P</w:t>
      </w:r>
      <w:r w:rsidR="6E7E66B2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oliovirus </w:t>
      </w:r>
      <w:r w:rsidR="5FA994DE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infectious and </w:t>
      </w:r>
      <w:r w:rsidR="6E7E66B2" w:rsidRPr="0752F17C">
        <w:rPr>
          <w:rFonts w:asciiTheme="minorHAnsi" w:hAnsiTheme="minorHAnsi" w:cstheme="minorBidi"/>
          <w:sz w:val="22"/>
          <w:szCs w:val="22"/>
          <w:lang w:eastAsia="en-AU"/>
        </w:rPr>
        <w:t>potentially infectious materials</w:t>
      </w:r>
      <w:r w:rsidR="2512DE5D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held at the primary referring laboratory</w:t>
      </w:r>
      <w:r w:rsidR="6E7E66B2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must be inactivated </w:t>
      </w:r>
      <w:r w:rsidR="0CA1113C" w:rsidRPr="0752F17C">
        <w:rPr>
          <w:rFonts w:asciiTheme="minorHAnsi" w:hAnsiTheme="minorHAnsi" w:cstheme="minorBidi"/>
          <w:sz w:val="22"/>
          <w:szCs w:val="22"/>
          <w:lang w:eastAsia="en-AU"/>
        </w:rPr>
        <w:t>and disposed of</w:t>
      </w:r>
      <w:r w:rsidR="6E7E66B2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.  </w:t>
      </w:r>
      <w:r w:rsidR="7A7EB6E5" w:rsidRPr="0752F17C">
        <w:rPr>
          <w:rFonts w:asciiTheme="minorHAnsi" w:hAnsiTheme="minorHAnsi" w:cstheme="minorBidi"/>
          <w:sz w:val="22"/>
          <w:szCs w:val="22"/>
          <w:lang w:eastAsia="en-AU"/>
        </w:rPr>
        <w:t>This applies to samples which may have been transferred to other laboratories or used for other purposes, for example, monit</w:t>
      </w:r>
      <w:r w:rsidR="4303AA44" w:rsidRPr="0752F17C">
        <w:rPr>
          <w:rFonts w:asciiTheme="minorHAnsi" w:hAnsiTheme="minorHAnsi" w:cstheme="minorBidi"/>
          <w:sz w:val="22"/>
          <w:szCs w:val="22"/>
          <w:lang w:eastAsia="en-AU"/>
        </w:rPr>
        <w:t>oring for drugs</w:t>
      </w:r>
      <w:r w:rsidR="48939572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 or testing for other pathogens</w:t>
      </w:r>
      <w:r w:rsidR="4303AA44"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. </w:t>
      </w:r>
    </w:p>
    <w:p w14:paraId="14053584" w14:textId="0B5C0C00" w:rsidR="003E7964" w:rsidRDefault="6E7E66B2" w:rsidP="0752F17C">
      <w:pPr>
        <w:spacing w:before="240" w:after="240" w:line="300" w:lineRule="atLeast"/>
        <w:rPr>
          <w:rFonts w:asciiTheme="minorHAnsi" w:hAnsiTheme="minorHAnsi" w:cstheme="minorBidi"/>
          <w:sz w:val="22"/>
          <w:szCs w:val="22"/>
          <w:lang w:eastAsia="en-AU"/>
        </w:rPr>
      </w:pPr>
      <w:r w:rsidRPr="0752F17C">
        <w:rPr>
          <w:rFonts w:asciiTheme="minorHAnsi" w:hAnsiTheme="minorHAnsi" w:cstheme="minorBidi"/>
          <w:sz w:val="22"/>
          <w:szCs w:val="22"/>
          <w:lang w:eastAsia="en-AU"/>
        </w:rPr>
        <w:t xml:space="preserve">The appropriate destruction protocol is dependent on the type and quantity of samples. The following destruction protocols are appropriate for the </w:t>
      </w:r>
      <w:r w:rsidR="3B8842C4" w:rsidRPr="0752F17C">
        <w:rPr>
          <w:rFonts w:asciiTheme="minorHAnsi" w:hAnsiTheme="minorHAnsi" w:cstheme="minorBidi"/>
          <w:sz w:val="22"/>
          <w:szCs w:val="22"/>
          <w:lang w:eastAsia="en-AU"/>
        </w:rPr>
        <w:t>different types of poliovirus IM and PIM.</w:t>
      </w:r>
    </w:p>
    <w:p w14:paraId="5E0ACF7B" w14:textId="7E169B62" w:rsidR="00C12384" w:rsidRDefault="00C12384" w:rsidP="003E7964">
      <w:pPr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Concentrated wastewater, derivatives, and small volumes of wastewater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 should be destroyed in an autoclave</w:t>
      </w:r>
      <w:r w:rsidR="003E7964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 using a 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cycle of 121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AU"/>
        </w:rPr>
        <w:t>o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C for 30 minutes. </w:t>
      </w:r>
    </w:p>
    <w:p w14:paraId="353D3830" w14:textId="281091D7" w:rsidR="003E7964" w:rsidRDefault="00C12384" w:rsidP="003E7964">
      <w:pPr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Larger </w:t>
      </w:r>
      <w:r w:rsidR="00382C0A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volumes of unconcentrated wastewater (2–3.8</w:t>
      </w:r>
      <w:r w:rsidR="00376386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 </w:t>
      </w:r>
      <w:r w:rsidR="00382C0A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L) can</w:t>
      </w:r>
      <w:r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 be destroyed in an autoclave</w:t>
      </w:r>
      <w:r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 using a </w:t>
      </w:r>
      <w:r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cycle of 121</w:t>
      </w:r>
      <w:r w:rsidRPr="009E3505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AU"/>
        </w:rPr>
        <w:t>o</w:t>
      </w:r>
      <w:r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C for </w:t>
      </w:r>
      <w:r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6</w:t>
      </w:r>
      <w:r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0 minutes</w:t>
      </w:r>
      <w:r w:rsidR="00382C0A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. In both instances, c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are should be taken not to overfill the autoclave and a biological test indicator should be used </w:t>
      </w:r>
      <w:r w:rsidR="003E7964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to demonstrate </w:t>
      </w:r>
      <w:r w:rsidR="006F60D3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the autoclave cycle was </w:t>
      </w:r>
      <w:r w:rsidR="003E7964" w:rsidRPr="006F60D3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successful</w:t>
      </w:r>
      <w:r w:rsidR="003E7964" w:rsidRPr="009E3505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.</w:t>
      </w:r>
    </w:p>
    <w:p w14:paraId="6C8EADBD" w14:textId="0698C0FE" w:rsidR="00382C0A" w:rsidRPr="009E3505" w:rsidRDefault="00382C0A" w:rsidP="003E7964">
      <w:pPr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Alternatively, unconcentrated wastewater can be </w:t>
      </w:r>
      <w:r w:rsidR="00073CFA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inactivated using a chemical disinfection method </w:t>
      </w:r>
      <w:r w:rsidR="00E45517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effective against poliovirus</w:t>
      </w:r>
      <w:r w:rsidR="00073CFA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, in accordance with the </w:t>
      </w:r>
      <w:r w:rsidR="00E45517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manufacturer instructions. </w:t>
      </w:r>
    </w:p>
    <w:p w14:paraId="0E1E44A9" w14:textId="19ADDD11" w:rsidR="008D3510" w:rsidRPr="009E3505" w:rsidRDefault="0015449D" w:rsidP="003E7964">
      <w:pPr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Once wastewater samples have been destroyed, </w:t>
      </w:r>
      <w:r w:rsidR="009213D4">
        <w:rPr>
          <w:rFonts w:asciiTheme="minorHAnsi" w:hAnsiTheme="minorHAnsi" w:cstheme="minorHAnsi"/>
          <w:sz w:val="22"/>
          <w:szCs w:val="22"/>
          <w:lang w:eastAsia="en-AU"/>
        </w:rPr>
        <w:t xml:space="preserve">please notify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the Department of Health and Aged Care at </w:t>
      </w:r>
      <w:r w:rsidR="002B7E4D" w:rsidRPr="00A04CF3">
        <w:rPr>
          <w:rStyle w:val="Hyperlink"/>
          <w:rFonts w:asciiTheme="minorHAnsi" w:hAnsiTheme="minorHAnsi" w:cstheme="minorHAnsi"/>
          <w:sz w:val="22"/>
          <w:szCs w:val="22"/>
        </w:rPr>
        <w:t>polio@health.gov.au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sectPr w:rsidR="008D3510" w:rsidRPr="009E35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AC2C" w14:textId="77777777" w:rsidR="0076660B" w:rsidRDefault="0076660B" w:rsidP="0021534E">
      <w:pPr>
        <w:spacing w:after="0" w:line="240" w:lineRule="auto"/>
      </w:pPr>
      <w:r>
        <w:separator/>
      </w:r>
    </w:p>
  </w:endnote>
  <w:endnote w:type="continuationSeparator" w:id="0">
    <w:p w14:paraId="2B68BB28" w14:textId="77777777" w:rsidR="0076660B" w:rsidRDefault="0076660B" w:rsidP="0021534E">
      <w:pPr>
        <w:spacing w:after="0" w:line="240" w:lineRule="auto"/>
      </w:pPr>
      <w:r>
        <w:continuationSeparator/>
      </w:r>
    </w:p>
  </w:endnote>
  <w:endnote w:type="continuationNotice" w:id="1">
    <w:p w14:paraId="2739911C" w14:textId="77777777" w:rsidR="0076660B" w:rsidRDefault="00766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8F57" w14:textId="77777777" w:rsidR="004D7C79" w:rsidRDefault="004D7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9590" w14:textId="77777777" w:rsidR="004D7C79" w:rsidRDefault="004D7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FB35" w14:textId="77777777" w:rsidR="004D7C79" w:rsidRDefault="004D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EA20" w14:textId="77777777" w:rsidR="0076660B" w:rsidRDefault="0076660B" w:rsidP="0021534E">
      <w:pPr>
        <w:spacing w:after="0" w:line="240" w:lineRule="auto"/>
      </w:pPr>
      <w:r>
        <w:separator/>
      </w:r>
    </w:p>
  </w:footnote>
  <w:footnote w:type="continuationSeparator" w:id="0">
    <w:p w14:paraId="2A17B01C" w14:textId="77777777" w:rsidR="0076660B" w:rsidRDefault="0076660B" w:rsidP="0021534E">
      <w:pPr>
        <w:spacing w:after="0" w:line="240" w:lineRule="auto"/>
      </w:pPr>
      <w:r>
        <w:continuationSeparator/>
      </w:r>
    </w:p>
  </w:footnote>
  <w:footnote w:type="continuationNotice" w:id="1">
    <w:p w14:paraId="4F98C765" w14:textId="77777777" w:rsidR="0076660B" w:rsidRDefault="0076660B">
      <w:pPr>
        <w:spacing w:after="0" w:line="240" w:lineRule="auto"/>
      </w:pPr>
    </w:p>
  </w:footnote>
  <w:footnote w:id="2">
    <w:p w14:paraId="4F8371D5" w14:textId="263F57D7" w:rsidR="0021534E" w:rsidRPr="0021534E" w:rsidRDefault="002153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534E">
        <w:rPr>
          <w:rFonts w:asciiTheme="minorHAnsi" w:hAnsiTheme="minorHAnsi" w:cstheme="minorHAnsi"/>
          <w:color w:val="222222"/>
          <w:sz w:val="18"/>
          <w:szCs w:val="18"/>
        </w:rPr>
        <w:t xml:space="preserve">For jurisdictions with the capability to concentrate wastewater in accordance with the WHO-approved two-phase separation method (refer to </w:t>
      </w:r>
      <w:hyperlink r:id="rId1" w:history="1">
        <w:r w:rsidRPr="0021534E">
          <w:rPr>
            <w:rStyle w:val="Hyperlink"/>
            <w:rFonts w:asciiTheme="minorHAnsi" w:eastAsia="Times New Roman" w:hAnsiTheme="minorHAnsi" w:cstheme="minorHAnsi"/>
            <w:sz w:val="18"/>
            <w:szCs w:val="18"/>
            <w:lang w:eastAsia="en-AU"/>
          </w:rPr>
          <w:t>WHO GPEI Guidelines on Environmental Surveillance for Detection of Polioviruses</w:t>
        </w:r>
      </w:hyperlink>
      <w:r w:rsidRPr="0021534E">
        <w:rPr>
          <w:rFonts w:asciiTheme="minorHAnsi" w:hAnsiTheme="minorHAnsi" w:cstheme="minorHAnsi"/>
          <w:color w:val="222222"/>
          <w:sz w:val="18"/>
          <w:szCs w:val="18"/>
        </w:rPr>
        <w:t>) a smaller volume of concentrate may be transferred to the NERL.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="007F62EF">
        <w:rPr>
          <w:rFonts w:asciiTheme="minorHAnsi" w:hAnsiTheme="minorHAnsi" w:cstheme="minorHAnsi"/>
          <w:color w:val="222222"/>
          <w:sz w:val="18"/>
          <w:szCs w:val="18"/>
        </w:rPr>
        <w:t>This should be discussed with the NERL ahead of implementation.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D42" w14:textId="77777777" w:rsidR="004D7C79" w:rsidRDefault="004D7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98159"/>
      <w:docPartObj>
        <w:docPartGallery w:val="Watermarks"/>
        <w:docPartUnique/>
      </w:docPartObj>
    </w:sdtPr>
    <w:sdtEndPr/>
    <w:sdtContent>
      <w:p w14:paraId="68A6D441" w14:textId="4E050BA4" w:rsidR="004D7C79" w:rsidRDefault="004573D4">
        <w:pPr>
          <w:pStyle w:val="Header"/>
        </w:pPr>
        <w:r>
          <w:rPr>
            <w:noProof/>
          </w:rPr>
          <w:pict w14:anchorId="7A5DCC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43B" w14:textId="77777777" w:rsidR="004D7C79" w:rsidRDefault="004D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32C"/>
    <w:multiLevelType w:val="multilevel"/>
    <w:tmpl w:val="19A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B722D"/>
    <w:multiLevelType w:val="hybridMultilevel"/>
    <w:tmpl w:val="EB76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5A52"/>
    <w:multiLevelType w:val="hybridMultilevel"/>
    <w:tmpl w:val="A47A8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06184"/>
    <w:multiLevelType w:val="hybridMultilevel"/>
    <w:tmpl w:val="7C0C6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C57AA0"/>
    <w:multiLevelType w:val="multilevel"/>
    <w:tmpl w:val="3F6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43249"/>
    <w:multiLevelType w:val="multilevel"/>
    <w:tmpl w:val="BF5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F1769"/>
    <w:multiLevelType w:val="hybridMultilevel"/>
    <w:tmpl w:val="9276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43DD"/>
    <w:multiLevelType w:val="hybridMultilevel"/>
    <w:tmpl w:val="93F2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437BE"/>
    <w:multiLevelType w:val="multilevel"/>
    <w:tmpl w:val="598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C0ECD"/>
    <w:multiLevelType w:val="hybridMultilevel"/>
    <w:tmpl w:val="13FC23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E83BF9"/>
    <w:multiLevelType w:val="hybridMultilevel"/>
    <w:tmpl w:val="04E6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47668">
    <w:abstractNumId w:val="8"/>
  </w:num>
  <w:num w:numId="2" w16cid:durableId="249507080">
    <w:abstractNumId w:val="4"/>
  </w:num>
  <w:num w:numId="3" w16cid:durableId="1423260317">
    <w:abstractNumId w:val="10"/>
  </w:num>
  <w:num w:numId="4" w16cid:durableId="1100682706">
    <w:abstractNumId w:val="1"/>
  </w:num>
  <w:num w:numId="5" w16cid:durableId="675425610">
    <w:abstractNumId w:val="5"/>
  </w:num>
  <w:num w:numId="6" w16cid:durableId="767584641">
    <w:abstractNumId w:val="0"/>
  </w:num>
  <w:num w:numId="7" w16cid:durableId="170294363">
    <w:abstractNumId w:val="2"/>
  </w:num>
  <w:num w:numId="8" w16cid:durableId="1064834690">
    <w:abstractNumId w:val="9"/>
  </w:num>
  <w:num w:numId="9" w16cid:durableId="1687097514">
    <w:abstractNumId w:val="3"/>
  </w:num>
  <w:num w:numId="10" w16cid:durableId="2251112">
    <w:abstractNumId w:val="6"/>
  </w:num>
  <w:num w:numId="11" w16cid:durableId="348876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15"/>
    <w:rsid w:val="00004B8B"/>
    <w:rsid w:val="00011A8E"/>
    <w:rsid w:val="00073CFA"/>
    <w:rsid w:val="000C3FE2"/>
    <w:rsid w:val="000E375B"/>
    <w:rsid w:val="00106192"/>
    <w:rsid w:val="00120872"/>
    <w:rsid w:val="00123BB5"/>
    <w:rsid w:val="001345AD"/>
    <w:rsid w:val="0015449D"/>
    <w:rsid w:val="001B6AA5"/>
    <w:rsid w:val="001D535B"/>
    <w:rsid w:val="001F57B6"/>
    <w:rsid w:val="002026FD"/>
    <w:rsid w:val="0021115C"/>
    <w:rsid w:val="0021534E"/>
    <w:rsid w:val="00280050"/>
    <w:rsid w:val="00282981"/>
    <w:rsid w:val="00283819"/>
    <w:rsid w:val="002A2F3B"/>
    <w:rsid w:val="002B4B94"/>
    <w:rsid w:val="002B7E4D"/>
    <w:rsid w:val="002C4789"/>
    <w:rsid w:val="00321E49"/>
    <w:rsid w:val="0034643C"/>
    <w:rsid w:val="00376386"/>
    <w:rsid w:val="003763EF"/>
    <w:rsid w:val="00382C0A"/>
    <w:rsid w:val="00387542"/>
    <w:rsid w:val="003A5351"/>
    <w:rsid w:val="003B5A0F"/>
    <w:rsid w:val="003C32AB"/>
    <w:rsid w:val="003E7964"/>
    <w:rsid w:val="003F16F9"/>
    <w:rsid w:val="00417E89"/>
    <w:rsid w:val="00444292"/>
    <w:rsid w:val="004573D4"/>
    <w:rsid w:val="00466E2E"/>
    <w:rsid w:val="00477B4F"/>
    <w:rsid w:val="00477C7D"/>
    <w:rsid w:val="004B55CC"/>
    <w:rsid w:val="004B6D8A"/>
    <w:rsid w:val="004C12FC"/>
    <w:rsid w:val="004C6170"/>
    <w:rsid w:val="004D7C79"/>
    <w:rsid w:val="004E1BB7"/>
    <w:rsid w:val="004E5900"/>
    <w:rsid w:val="004F6FB9"/>
    <w:rsid w:val="00517B4D"/>
    <w:rsid w:val="00517CAD"/>
    <w:rsid w:val="00544502"/>
    <w:rsid w:val="0058048A"/>
    <w:rsid w:val="00592C80"/>
    <w:rsid w:val="00594B05"/>
    <w:rsid w:val="005A1CD7"/>
    <w:rsid w:val="005A64D1"/>
    <w:rsid w:val="005B4B6D"/>
    <w:rsid w:val="005B7D72"/>
    <w:rsid w:val="005D7F6B"/>
    <w:rsid w:val="005E121E"/>
    <w:rsid w:val="00612DE3"/>
    <w:rsid w:val="00630FDF"/>
    <w:rsid w:val="00634F92"/>
    <w:rsid w:val="00642BD6"/>
    <w:rsid w:val="00650B68"/>
    <w:rsid w:val="0066323D"/>
    <w:rsid w:val="00666E74"/>
    <w:rsid w:val="00671ED3"/>
    <w:rsid w:val="006841D9"/>
    <w:rsid w:val="0068589B"/>
    <w:rsid w:val="006932E2"/>
    <w:rsid w:val="006A5950"/>
    <w:rsid w:val="006D554A"/>
    <w:rsid w:val="006D5FF2"/>
    <w:rsid w:val="006F60D3"/>
    <w:rsid w:val="0071469F"/>
    <w:rsid w:val="00724DDB"/>
    <w:rsid w:val="00766386"/>
    <w:rsid w:val="0076660B"/>
    <w:rsid w:val="00790797"/>
    <w:rsid w:val="007F62EF"/>
    <w:rsid w:val="00836B83"/>
    <w:rsid w:val="00851095"/>
    <w:rsid w:val="0086588F"/>
    <w:rsid w:val="00884F8F"/>
    <w:rsid w:val="00890D75"/>
    <w:rsid w:val="008D3510"/>
    <w:rsid w:val="008E0276"/>
    <w:rsid w:val="008E08AC"/>
    <w:rsid w:val="008E1A15"/>
    <w:rsid w:val="009213D4"/>
    <w:rsid w:val="009435EA"/>
    <w:rsid w:val="0098112A"/>
    <w:rsid w:val="009B431B"/>
    <w:rsid w:val="009C3B3C"/>
    <w:rsid w:val="009E3505"/>
    <w:rsid w:val="00A04CF3"/>
    <w:rsid w:val="00A24D3C"/>
    <w:rsid w:val="00A439B6"/>
    <w:rsid w:val="00A53BF0"/>
    <w:rsid w:val="00A6082C"/>
    <w:rsid w:val="00A650CC"/>
    <w:rsid w:val="00A748A7"/>
    <w:rsid w:val="00AA68BC"/>
    <w:rsid w:val="00AC5F53"/>
    <w:rsid w:val="00AE1F23"/>
    <w:rsid w:val="00B16A2C"/>
    <w:rsid w:val="00B237CF"/>
    <w:rsid w:val="00B64812"/>
    <w:rsid w:val="00BC78EF"/>
    <w:rsid w:val="00BD3B34"/>
    <w:rsid w:val="00BD601D"/>
    <w:rsid w:val="00BF0403"/>
    <w:rsid w:val="00C12384"/>
    <w:rsid w:val="00C57352"/>
    <w:rsid w:val="00C87BDC"/>
    <w:rsid w:val="00CB3809"/>
    <w:rsid w:val="00CD1896"/>
    <w:rsid w:val="00D02B0B"/>
    <w:rsid w:val="00D1137C"/>
    <w:rsid w:val="00D11A91"/>
    <w:rsid w:val="00D1617A"/>
    <w:rsid w:val="00D166EF"/>
    <w:rsid w:val="00D24CBD"/>
    <w:rsid w:val="00DD06E8"/>
    <w:rsid w:val="00DF0004"/>
    <w:rsid w:val="00E24911"/>
    <w:rsid w:val="00E37337"/>
    <w:rsid w:val="00E45517"/>
    <w:rsid w:val="00E96829"/>
    <w:rsid w:val="00EA7901"/>
    <w:rsid w:val="00EB06A8"/>
    <w:rsid w:val="00EB57C9"/>
    <w:rsid w:val="00EC0EB9"/>
    <w:rsid w:val="00EC50F3"/>
    <w:rsid w:val="00ED42C3"/>
    <w:rsid w:val="00EE1115"/>
    <w:rsid w:val="00F14D6C"/>
    <w:rsid w:val="00F415DC"/>
    <w:rsid w:val="00F47E01"/>
    <w:rsid w:val="00F5129A"/>
    <w:rsid w:val="00F71A4D"/>
    <w:rsid w:val="00F7578C"/>
    <w:rsid w:val="00F842A1"/>
    <w:rsid w:val="00FA399B"/>
    <w:rsid w:val="00FD15BE"/>
    <w:rsid w:val="00FD7936"/>
    <w:rsid w:val="0752F17C"/>
    <w:rsid w:val="0CA1113C"/>
    <w:rsid w:val="1042E669"/>
    <w:rsid w:val="13442A74"/>
    <w:rsid w:val="1F307A1B"/>
    <w:rsid w:val="21702DA9"/>
    <w:rsid w:val="2512DE5D"/>
    <w:rsid w:val="2A8679F5"/>
    <w:rsid w:val="3B8842C4"/>
    <w:rsid w:val="3FCC0982"/>
    <w:rsid w:val="4303AA44"/>
    <w:rsid w:val="48939572"/>
    <w:rsid w:val="4EDD2F82"/>
    <w:rsid w:val="5FA994DE"/>
    <w:rsid w:val="63B7C38E"/>
    <w:rsid w:val="6AAFE486"/>
    <w:rsid w:val="6CD48F8F"/>
    <w:rsid w:val="6DC94CF8"/>
    <w:rsid w:val="6E7E66B2"/>
    <w:rsid w:val="7A7E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E6A4F"/>
  <w15:chartTrackingRefBased/>
  <w15:docId w15:val="{DD9FC89A-2B33-4835-B2B1-6CF6D9E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911"/>
    <w:pPr>
      <w:spacing w:after="330" w:line="240" w:lineRule="auto"/>
      <w:outlineLvl w:val="0"/>
    </w:pPr>
    <w:rPr>
      <w:rFonts w:ascii="Open Sans" w:eastAsia="Times New Roman" w:hAnsi="Open Sans"/>
      <w:color w:val="000000"/>
      <w:kern w:val="36"/>
      <w:sz w:val="39"/>
      <w:szCs w:val="39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E1115"/>
    <w:rPr>
      <w:i/>
      <w:iCs/>
    </w:rPr>
  </w:style>
  <w:style w:type="character" w:customStyle="1" w:styleId="scayt-misspell-word">
    <w:name w:val="scayt-misspell-word"/>
    <w:basedOn w:val="DefaultParagraphFont"/>
    <w:rsid w:val="00EE1115"/>
  </w:style>
  <w:style w:type="character" w:customStyle="1" w:styleId="Heading1Char">
    <w:name w:val="Heading 1 Char"/>
    <w:basedOn w:val="DefaultParagraphFont"/>
    <w:link w:val="Heading1"/>
    <w:uiPriority w:val="9"/>
    <w:rsid w:val="00E24911"/>
    <w:rPr>
      <w:rFonts w:ascii="Open Sans" w:eastAsia="Times New Roman" w:hAnsi="Open Sans"/>
      <w:color w:val="000000"/>
      <w:kern w:val="36"/>
      <w:sz w:val="39"/>
      <w:szCs w:val="39"/>
      <w:lang w:eastAsia="en-AU"/>
    </w:rPr>
  </w:style>
  <w:style w:type="paragraph" w:customStyle="1" w:styleId="strapline1">
    <w:name w:val="strapline1"/>
    <w:basedOn w:val="Normal"/>
    <w:rsid w:val="00E24911"/>
    <w:pPr>
      <w:spacing w:after="120" w:line="240" w:lineRule="auto"/>
    </w:pPr>
    <w:rPr>
      <w:rFonts w:ascii="Open Sans" w:eastAsia="Times New Roman" w:hAnsi="Open Sans"/>
      <w:color w:val="000000"/>
      <w:lang w:eastAsia="en-AU"/>
    </w:rPr>
  </w:style>
  <w:style w:type="table" w:styleId="TableGrid">
    <w:name w:val="Table Grid"/>
    <w:basedOn w:val="TableNormal"/>
    <w:uiPriority w:val="39"/>
    <w:rsid w:val="00E2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F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FF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6D5F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2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61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13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3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29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3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3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3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C79"/>
  </w:style>
  <w:style w:type="paragraph" w:styleId="Footer">
    <w:name w:val="footer"/>
    <w:basedOn w:val="Normal"/>
    <w:link w:val="FooterChar"/>
    <w:uiPriority w:val="99"/>
    <w:unhideWhenUsed/>
    <w:rsid w:val="004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C79"/>
  </w:style>
  <w:style w:type="character" w:styleId="UnresolvedMention">
    <w:name w:val="Unresolved Mention"/>
    <w:basedOn w:val="DefaultParagraphFont"/>
    <w:uiPriority w:val="99"/>
    <w:semiHidden/>
    <w:unhideWhenUsed/>
    <w:rsid w:val="00DD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6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88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oeradication.org/wp-content/uploads/2022/07/WHO-Global-Action-Plan-for-Poliovirus-Containment-GAPIV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341367/9789240021204-eng.pdf" TargetMode="External"/><Relationship Id="rId17" Type="http://schemas.openxmlformats.org/officeDocument/2006/relationships/hyperlink" Target="mailto:Gary.Lum@health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ary.Lum@health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oeradication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oliovirus@vidrl.org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oeradication.org/wp-content/uploads/2016/07/GPLN_GuidelinesES_April2015.pdf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oeradication.org/wp-content/uploads/2016/07/GPLN_GuidelinesES_April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2E431BBE12409AFF64C86A6197B7" ma:contentTypeVersion="6" ma:contentTypeDescription="Create a new document." ma:contentTypeScope="" ma:versionID="6c0c8c6bac23117d1a9d89472bf441e0">
  <xsd:schema xmlns:xsd="http://www.w3.org/2001/XMLSchema" xmlns:xs="http://www.w3.org/2001/XMLSchema" xmlns:p="http://schemas.microsoft.com/office/2006/metadata/properties" xmlns:ns2="0ebf5690-dfa9-46aa-9761-8b851342f711" xmlns:ns3="d48bfc06-5762-4cfb-85f8-969387ebc8ab" targetNamespace="http://schemas.microsoft.com/office/2006/metadata/properties" ma:root="true" ma:fieldsID="d5aa4b46ce86be0c3cbfd2fedfe92a3c" ns2:_="" ns3:_="">
    <xsd:import namespace="0ebf5690-dfa9-46aa-9761-8b851342f71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5690-dfa9-46aa-9761-8b851342f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bfc06-5762-4cfb-85f8-969387ebc8ab">
      <UserInfo>
        <DisplayName>Kennedy, Karina (Health)</DisplayName>
        <AccountId>37</AccountId>
        <AccountType/>
      </UserInfo>
      <UserInfo>
        <DisplayName>Jen Kok (NSW Health Pathology)</DisplayName>
        <AccountId>31</AccountId>
        <AccountType/>
      </UserInfo>
      <UserInfo>
        <DisplayName>William Rawlinson</DisplayName>
        <AccountId>76</AccountId>
        <AccountType/>
      </UserInfo>
      <UserInfo>
        <DisplayName>Rob Baird</DisplayName>
        <AccountId>58</AccountId>
        <AccountType/>
      </UserInfo>
      <UserInfo>
        <DisplayName>Amy Jennison</DisplayName>
        <AccountId>42</AccountId>
        <AccountType/>
      </UserInfo>
      <UserInfo>
        <DisplayName>Claire Heney</DisplayName>
        <AccountId>36</AccountId>
        <AccountType/>
      </UserInfo>
      <UserInfo>
        <DisplayName>Warner, Morgyn (Health)</DisplayName>
        <AccountId>129</AccountId>
        <AccountType/>
      </UserInfo>
      <UserInfo>
        <DisplayName>Cooley, Louise</DisplayName>
        <AccountId>51</AccountId>
        <AccountType/>
      </UserInfo>
      <UserInfo>
        <DisplayName>Ben Howden</DisplayName>
        <AccountId>62</AccountId>
        <AccountType/>
      </UserInfo>
      <UserInfo>
        <DisplayName>Deborah Williamson</DisplayName>
        <AccountId>38</AccountId>
        <AccountType/>
      </UserInfo>
      <UserInfo>
        <DisplayName>Speers, David</DisplayName>
        <AccountId>34</AccountId>
        <AccountType/>
      </UserInfo>
      <UserInfo>
        <DisplayName>Porter, Michelle</DisplayName>
        <AccountId>106</AccountId>
        <AccountType/>
      </UserInfo>
      <UserInfo>
        <DisplayName>LUM, Gary</DisplayName>
        <AccountId>14</AccountId>
        <AccountType/>
      </UserInfo>
      <UserInfo>
        <DisplayName>Watson, James (AAHL, Geelong ACDP)</DisplayName>
        <AccountId>68</AccountId>
        <AccountType/>
      </UserInfo>
      <UserInfo>
        <DisplayName>Ian Barr</DisplayName>
        <AccountId>103</AccountId>
        <AccountType/>
      </UserInfo>
      <UserInfo>
        <DisplayName>Monica Lahra (NSW Health Pathology)</DisplayName>
        <AccountId>87</AccountId>
        <AccountType/>
      </UserInfo>
      <UserInfo>
        <DisplayName>Sanmarie Schlebusch</DisplayName>
        <AccountId>53</AccountId>
        <AccountType/>
      </UserInfo>
      <UserInfo>
        <DisplayName>Lim, Chuan Kok</DisplayName>
        <AccountId>86</AccountId>
        <AccountType/>
      </UserInfo>
      <UserInfo>
        <DisplayName>Vicki Krause</DisplayName>
        <AccountId>50</AccountId>
        <AccountType/>
      </UserInfo>
      <UserInfo>
        <DisplayName>jenny_robson</DisplayName>
        <AccountId>59</AccountId>
        <AccountType/>
      </UserInfo>
      <UserInfo>
        <DisplayName>Erasmus Smit</DisplayName>
        <AccountId>33</AccountId>
        <AccountType/>
      </UserInfo>
      <UserInfo>
        <DisplayName>Ms Lora Staars</DisplayName>
        <AccountId>110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D782-6B5A-49CE-BDD8-10DFC2A86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5690-dfa9-46aa-9761-8b851342f71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883C6-726B-4CB4-81C8-7C3F40A5E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4F6D4-739D-4C70-B3A0-FD62706FEF40}">
  <ds:schemaRefs>
    <ds:schemaRef ds:uri="http://schemas.microsoft.com/office/2006/metadata/properties"/>
    <ds:schemaRef ds:uri="http://schemas.microsoft.com/office/infopath/2007/PartnerControls"/>
    <ds:schemaRef ds:uri="d48bfc06-5762-4cfb-85f8-969387ebc8ab"/>
  </ds:schemaRefs>
</ds:datastoreItem>
</file>

<file path=customXml/itemProps4.xml><?xml version="1.0" encoding="utf-8"?>
<ds:datastoreItem xmlns:ds="http://schemas.openxmlformats.org/officeDocument/2006/customXml" ds:itemID="{6F5CC83A-84DC-4ED6-A78A-58D22393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7182</Characters>
  <Application>Microsoft Office Word</Application>
  <DocSecurity>0</DocSecurity>
  <Lines>59</Lines>
  <Paragraphs>16</Paragraphs>
  <ScaleCrop>false</ScaleCrop>
  <Company>Department of Health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Mel</dc:creator>
  <cp:keywords/>
  <dc:description/>
  <cp:lastModifiedBy>EALS, Andrew</cp:lastModifiedBy>
  <cp:revision>2</cp:revision>
  <dcterms:created xsi:type="dcterms:W3CDTF">2023-08-01T03:18:00Z</dcterms:created>
  <dcterms:modified xsi:type="dcterms:W3CDTF">2023-08-01T03:18:00Z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0x010100DBF22E431BBE12409AFF64C86A6197B7</vt:lpwstr>
  </property>
</Properties>
</file>