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234306067"/>
    <w:p w14:paraId="59737540" w14:textId="25BDD49E" w:rsidR="004A1BD0" w:rsidRPr="0069463E" w:rsidRDefault="00DD77F8" w:rsidP="00821C6B">
      <w:pPr>
        <w:pStyle w:val="Heading2"/>
        <w:rPr>
          <w:szCs w:val="22"/>
          <w:lang w:val="en-US"/>
        </w:rPr>
      </w:pPr>
      <w:r w:rsidRPr="0069463E">
        <w:rPr>
          <w:noProof/>
          <w:lang w:eastAsia="en-AU"/>
        </w:rPr>
        <mc:AlternateContent>
          <mc:Choice Requires="wps">
            <w:drawing>
              <wp:anchor distT="0" distB="0" distL="114300" distR="114300" simplePos="0" relativeHeight="251659264" behindDoc="0" locked="0" layoutInCell="1" allowOverlap="1" wp14:anchorId="295C9983" wp14:editId="0553EFA0">
                <wp:simplePos x="0" y="0"/>
                <wp:positionH relativeFrom="margin">
                  <wp:posOffset>2961640</wp:posOffset>
                </wp:positionH>
                <wp:positionV relativeFrom="paragraph">
                  <wp:posOffset>-765427</wp:posOffset>
                </wp:positionV>
                <wp:extent cx="3752849" cy="595223"/>
                <wp:effectExtent l="0" t="0" r="0" b="0"/>
                <wp:wrapNone/>
                <wp:docPr id="4" name="Text Box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49" cy="595223"/>
                        </a:xfrm>
                        <a:prstGeom prst="rect">
                          <a:avLst/>
                        </a:prstGeom>
                        <a:noFill/>
                        <a:ln w="9525">
                          <a:noFill/>
                          <a:miter lim="800000"/>
                          <a:headEnd/>
                          <a:tailEnd/>
                        </a:ln>
                      </wps:spPr>
                      <wps:txbx>
                        <w:txbxContent>
                          <w:p w14:paraId="24951966" w14:textId="77777777" w:rsidR="00B10BCA" w:rsidRDefault="00B10BCA" w:rsidP="00563670">
                            <w:pPr>
                              <w:pStyle w:val="Heading1"/>
                            </w:pPr>
                            <w:r w:rsidRPr="00951780">
                              <w:t xml:space="preserve">National </w:t>
                            </w:r>
                            <w:r>
                              <w:t xml:space="preserve">SYPHILIS </w:t>
                            </w:r>
                            <w:r w:rsidRPr="00951780">
                              <w:t>Surveillance</w:t>
                            </w:r>
                            <w:r>
                              <w:t xml:space="preserve"> QUARTERLY</w:t>
                            </w:r>
                            <w:r w:rsidRPr="00951780">
                              <w:t xml:space="preserve"> Report</w:t>
                            </w:r>
                          </w:p>
                          <w:p w14:paraId="033EE585" w14:textId="372408CA" w:rsidR="00B10BCA" w:rsidRDefault="00B10BCA" w:rsidP="00563670">
                            <w:pPr>
                              <w:pStyle w:val="Heading1"/>
                            </w:pPr>
                            <w:r>
                              <w:t xml:space="preserve">Quarter </w:t>
                            </w:r>
                            <w:r w:rsidR="0069463E">
                              <w:t>1</w:t>
                            </w:r>
                            <w:r>
                              <w:t xml:space="preserve">: 1 </w:t>
                            </w:r>
                            <w:r w:rsidR="0069463E">
                              <w:t>january</w:t>
                            </w:r>
                            <w:r>
                              <w:t xml:space="preserve"> – 3</w:t>
                            </w:r>
                            <w:r w:rsidR="002376B8">
                              <w:t>1</w:t>
                            </w:r>
                            <w:r w:rsidR="00605FDB">
                              <w:t xml:space="preserve"> </w:t>
                            </w:r>
                            <w:r w:rsidR="0069463E">
                              <w:t>march</w:t>
                            </w:r>
                            <w:r>
                              <w:t xml:space="preserve"> 202</w:t>
                            </w:r>
                            <w:r w:rsidR="0069463E">
                              <w:t>3</w:t>
                            </w:r>
                          </w:p>
                          <w:p w14:paraId="439CC971" w14:textId="70E8C9B1" w:rsidR="00B10BCA" w:rsidRDefault="00B10BCA" w:rsidP="004A1BD0"/>
                          <w:p w14:paraId="2D8E7CBE" w14:textId="77777777" w:rsidR="00B10BCA" w:rsidRPr="004A1BD0" w:rsidRDefault="00B10BCA" w:rsidP="004A1BD0"/>
                          <w:p w14:paraId="0BB994C1" w14:textId="77777777" w:rsidR="00B10BCA" w:rsidRDefault="00B10BCA" w:rsidP="001E6EF4">
                            <w:pPr>
                              <w:autoSpaceDE w:val="0"/>
                              <w:autoSpaceDN w:val="0"/>
                              <w:adjustRightInd w:val="0"/>
                              <w:jc w:val="right"/>
                              <w:rPr>
                                <w:rFonts w:cstheme="minorHAnsi"/>
                                <w:b/>
                              </w:rPr>
                            </w:pPr>
                          </w:p>
                          <w:p w14:paraId="58F7E6B8" w14:textId="77777777" w:rsidR="00B10BCA" w:rsidRDefault="00B10BCA" w:rsidP="001E6EF4">
                            <w:pPr>
                              <w:autoSpaceDE w:val="0"/>
                              <w:autoSpaceDN w:val="0"/>
                              <w:adjustRightInd w:val="0"/>
                              <w:jc w:val="right"/>
                              <w:rPr>
                                <w:rFonts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5C9983" id="_x0000_t202" coordsize="21600,21600" o:spt="202" path="m,l,21600r21600,l21600,xe">
                <v:stroke joinstyle="miter"/>
                <v:path gradientshapeok="t" o:connecttype="rect"/>
              </v:shapetype>
              <v:shape id="Text Box 4" o:spid="_x0000_s1026" type="#_x0000_t202" alt="&quot;&quot;" style="position:absolute;left:0;text-align:left;margin-left:233.2pt;margin-top:-60.25pt;width:295.5pt;height:46.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" filled="f" stroked="f">
                <v:textbox>
                  <w:txbxContent>
                    <w:p w14:paraId="24951966" w14:textId="77777777" w:rsidR="00B10BCA" w:rsidRDefault="00B10BCA" w:rsidP="00563670">
                      <w:pPr>
                        <w:pStyle w:val="Heading1"/>
                      </w:pPr>
                      <w:r w:rsidRPr="00951780">
                        <w:t xml:space="preserve">National </w:t>
                      </w:r>
                      <w:r>
                        <w:t xml:space="preserve">SYPHILIS </w:t>
                      </w:r>
                      <w:r w:rsidRPr="00951780">
                        <w:t>Surveillance</w:t>
                      </w:r>
                      <w:r>
                        <w:t xml:space="preserve"> QUARTERLY</w:t>
                      </w:r>
                      <w:r w:rsidRPr="00951780">
                        <w:t xml:space="preserve"> Report</w:t>
                      </w:r>
                    </w:p>
                    <w:p w14:paraId="033EE585" w14:textId="372408CA" w:rsidR="00B10BCA" w:rsidRDefault="00B10BCA" w:rsidP="00563670">
                      <w:pPr>
                        <w:pStyle w:val="Heading1"/>
                      </w:pPr>
                      <w:r>
                        <w:t xml:space="preserve">Quarter </w:t>
                      </w:r>
                      <w:r w:rsidR="0069463E">
                        <w:t>1</w:t>
                      </w:r>
                      <w:r>
                        <w:t xml:space="preserve">: 1 </w:t>
                      </w:r>
                      <w:r w:rsidR="0069463E">
                        <w:t>january</w:t>
                      </w:r>
                      <w:r>
                        <w:t xml:space="preserve"> – 3</w:t>
                      </w:r>
                      <w:r w:rsidR="002376B8">
                        <w:t>1</w:t>
                      </w:r>
                      <w:r w:rsidR="00605FDB">
                        <w:t xml:space="preserve"> </w:t>
                      </w:r>
                      <w:r w:rsidR="0069463E">
                        <w:t>march</w:t>
                      </w:r>
                      <w:r>
                        <w:t xml:space="preserve"> 202</w:t>
                      </w:r>
                      <w:r w:rsidR="0069463E">
                        <w:t>3</w:t>
                      </w:r>
                    </w:p>
                    <w:p w14:paraId="439CC971" w14:textId="70E8C9B1" w:rsidR="00B10BCA" w:rsidRDefault="00B10BCA" w:rsidP="004A1BD0"/>
                    <w:p w14:paraId="2D8E7CBE" w14:textId="77777777" w:rsidR="00B10BCA" w:rsidRPr="004A1BD0" w:rsidRDefault="00B10BCA" w:rsidP="004A1BD0"/>
                    <w:p w14:paraId="0BB994C1" w14:textId="77777777" w:rsidR="00B10BCA" w:rsidRDefault="00B10BCA" w:rsidP="001E6EF4">
                      <w:pPr>
                        <w:autoSpaceDE w:val="0"/>
                        <w:autoSpaceDN w:val="0"/>
                        <w:adjustRightInd w:val="0"/>
                        <w:jc w:val="right"/>
                        <w:rPr>
                          <w:rFonts w:cstheme="minorHAnsi"/>
                          <w:b/>
                        </w:rPr>
                      </w:pPr>
                    </w:p>
                    <w:p w14:paraId="58F7E6B8" w14:textId="77777777" w:rsidR="00B10BCA" w:rsidRDefault="00B10BCA" w:rsidP="001E6EF4">
                      <w:pPr>
                        <w:autoSpaceDE w:val="0"/>
                        <w:autoSpaceDN w:val="0"/>
                        <w:adjustRightInd w:val="0"/>
                        <w:jc w:val="right"/>
                        <w:rPr>
                          <w:rFonts w:cstheme="minorHAnsi"/>
                          <w:b/>
                        </w:rPr>
                      </w:pPr>
                    </w:p>
                  </w:txbxContent>
                </v:textbox>
                <w10:wrap anchorx="margin"/>
              </v:shape>
            </w:pict>
          </mc:Fallback>
        </mc:AlternateContent>
      </w:r>
      <w:bookmarkEnd w:id="0"/>
      <w:r w:rsidR="004A1BD0" w:rsidRPr="0069463E">
        <w:t>In</w:t>
      </w:r>
      <w:proofErr w:type="spellStart"/>
      <w:r w:rsidR="004A1BD0" w:rsidRPr="0069463E">
        <w:rPr>
          <w:lang w:val="en-US"/>
        </w:rPr>
        <w:t>troduction</w:t>
      </w:r>
      <w:proofErr w:type="spellEnd"/>
    </w:p>
    <w:p w14:paraId="7126005C" w14:textId="3D6600C7" w:rsidR="009E13DE" w:rsidRPr="0069463E" w:rsidRDefault="009E13DE" w:rsidP="00CB71AA">
      <w:pPr>
        <w:spacing w:after="120"/>
        <w:rPr>
          <w:rFonts w:cstheme="minorHAnsi"/>
          <w:szCs w:val="22"/>
          <w:lang w:val="en-US"/>
        </w:rPr>
      </w:pPr>
      <w:r w:rsidRPr="0069463E">
        <w:rPr>
          <w:rFonts w:cstheme="minorHAnsi"/>
          <w:szCs w:val="22"/>
          <w:lang w:val="en-US"/>
        </w:rPr>
        <w:t xml:space="preserve">On 23 March 2021, the Australian Health Protection Principal Committee (AHPPC) endorsed the </w:t>
      </w:r>
      <w:r w:rsidRPr="0069463E">
        <w:rPr>
          <w:rFonts w:cstheme="minorHAnsi"/>
          <w:i/>
          <w:szCs w:val="22"/>
          <w:lang w:val="en-US"/>
        </w:rPr>
        <w:t>National strategic approach for responding to rising rates of syphilis in Australia 2021</w:t>
      </w:r>
      <w:r w:rsidRPr="0069463E">
        <w:rPr>
          <w:rFonts w:cstheme="minorHAnsi"/>
          <w:szCs w:val="22"/>
          <w:lang w:val="en-US"/>
        </w:rPr>
        <w:t xml:space="preserve"> (Strategic Approach)</w:t>
      </w:r>
      <w:r w:rsidR="00F77537" w:rsidRPr="0069463E">
        <w:rPr>
          <w:rFonts w:cstheme="minorHAnsi"/>
          <w:szCs w:val="22"/>
          <w:lang w:val="en-US"/>
        </w:rPr>
        <w:t xml:space="preserve"> </w:t>
      </w:r>
      <w:r w:rsidRPr="0069463E">
        <w:rPr>
          <w:rFonts w:cstheme="minorHAnsi"/>
          <w:szCs w:val="22"/>
          <w:lang w:val="en-US"/>
        </w:rPr>
        <w:t xml:space="preserve">developed to guide the national response to the continued rise in syphilis notifications in Australia.  The Strategic Approach outlines three national targets which provide a specific focus for efforts towards </w:t>
      </w:r>
      <w:r w:rsidR="007B1EE8" w:rsidRPr="0069463E">
        <w:rPr>
          <w:rFonts w:cstheme="minorHAnsi"/>
          <w:szCs w:val="22"/>
          <w:lang w:val="en-US"/>
        </w:rPr>
        <w:t xml:space="preserve">addressing the </w:t>
      </w:r>
      <w:r w:rsidRPr="0069463E">
        <w:rPr>
          <w:rFonts w:cstheme="minorHAnsi"/>
          <w:szCs w:val="22"/>
          <w:lang w:val="en-US"/>
        </w:rPr>
        <w:t>rising rates of syphilis and adverse outcomes in Australia:</w:t>
      </w:r>
    </w:p>
    <w:p w14:paraId="59E8AE0D" w14:textId="77777777" w:rsidR="009E13DE" w:rsidRPr="0069463E" w:rsidRDefault="009E13DE" w:rsidP="00AE47B3">
      <w:pPr>
        <w:pStyle w:val="ListNumber"/>
        <w:rPr>
          <w:lang w:val="en-US"/>
        </w:rPr>
      </w:pPr>
      <w:r w:rsidRPr="0069463E">
        <w:rPr>
          <w:lang w:val="en-US"/>
        </w:rPr>
        <w:t>Reduce incidence of syphilis overall, with a focus on women of reproductive age.</w:t>
      </w:r>
    </w:p>
    <w:p w14:paraId="4E6A0077" w14:textId="77777777" w:rsidR="009E13DE" w:rsidRPr="0069463E" w:rsidRDefault="009E13DE" w:rsidP="00AE47B3">
      <w:pPr>
        <w:pStyle w:val="ListNumber"/>
        <w:rPr>
          <w:lang w:val="en-US"/>
        </w:rPr>
      </w:pPr>
      <w:r w:rsidRPr="0069463E">
        <w:rPr>
          <w:lang w:val="en-US"/>
        </w:rPr>
        <w:t>Eliminate</w:t>
      </w:r>
      <w:r w:rsidRPr="0069463E">
        <w:rPr>
          <w:rStyle w:val="FootnoteReference"/>
          <w:rFonts w:asciiTheme="minorHAnsi" w:hAnsiTheme="minorHAnsi" w:cstheme="minorHAnsi"/>
          <w:lang w:val="en-US"/>
        </w:rPr>
        <w:footnoteReference w:id="2"/>
      </w:r>
      <w:r w:rsidRPr="0069463E">
        <w:rPr>
          <w:lang w:val="en-US"/>
        </w:rPr>
        <w:t xml:space="preserve"> congenital syphilis.</w:t>
      </w:r>
    </w:p>
    <w:p w14:paraId="53A0A39B" w14:textId="0878F31B" w:rsidR="009E13DE" w:rsidRPr="0069463E" w:rsidRDefault="009E13DE" w:rsidP="00AE47B3">
      <w:pPr>
        <w:pStyle w:val="ListNumber"/>
        <w:rPr>
          <w:lang w:val="en-US"/>
        </w:rPr>
      </w:pPr>
      <w:r w:rsidRPr="0069463E">
        <w:rPr>
          <w:lang w:val="en-US"/>
        </w:rPr>
        <w:t>Control outbreaks</w:t>
      </w:r>
      <w:r w:rsidRPr="0069463E">
        <w:rPr>
          <w:rStyle w:val="FootnoteReference"/>
          <w:rFonts w:asciiTheme="minorHAnsi" w:hAnsiTheme="minorHAnsi" w:cstheme="minorHAnsi"/>
          <w:lang w:val="en-US"/>
        </w:rPr>
        <w:footnoteReference w:id="3"/>
      </w:r>
      <w:r w:rsidRPr="0069463E">
        <w:rPr>
          <w:lang w:val="en-US"/>
        </w:rPr>
        <w:t xml:space="preserve"> among Aboriginal and Torres Strait Islander people</w:t>
      </w:r>
      <w:r w:rsidR="007B1EE8" w:rsidRPr="0069463E">
        <w:rPr>
          <w:lang w:val="en-US"/>
        </w:rPr>
        <w:t>s</w:t>
      </w:r>
      <w:r w:rsidRPr="0069463E">
        <w:rPr>
          <w:lang w:val="en-US"/>
        </w:rPr>
        <w:t xml:space="preserve"> in Queensland, the Northern Territory, Western </w:t>
      </w:r>
      <w:r w:rsidR="004A7D9A" w:rsidRPr="0069463E">
        <w:rPr>
          <w:lang w:val="en-US"/>
        </w:rPr>
        <w:t>Australia,</w:t>
      </w:r>
      <w:r w:rsidRPr="0069463E">
        <w:rPr>
          <w:lang w:val="en-US"/>
        </w:rPr>
        <w:t xml:space="preserve"> and South Australia.</w:t>
      </w:r>
    </w:p>
    <w:p w14:paraId="0BF8F860" w14:textId="573126A1" w:rsidR="00616256" w:rsidRPr="0069463E" w:rsidRDefault="009E13DE" w:rsidP="00CB71AA">
      <w:pPr>
        <w:spacing w:after="120"/>
        <w:rPr>
          <w:rFonts w:cstheme="minorHAnsi"/>
          <w:szCs w:val="22"/>
          <w:lang w:val="en-US"/>
        </w:rPr>
      </w:pPr>
      <w:r w:rsidRPr="0069463E">
        <w:rPr>
          <w:rFonts w:cstheme="minorHAnsi"/>
          <w:szCs w:val="22"/>
          <w:lang w:val="en-US"/>
        </w:rPr>
        <w:t xml:space="preserve">Supporting the Strategic Approach is the </w:t>
      </w:r>
      <w:r w:rsidRPr="0069463E">
        <w:rPr>
          <w:rFonts w:cstheme="minorHAnsi"/>
          <w:i/>
          <w:szCs w:val="22"/>
          <w:lang w:val="en-US"/>
        </w:rPr>
        <w:t>National syphilis surveillance and m</w:t>
      </w:r>
      <w:r w:rsidR="00616256" w:rsidRPr="0069463E">
        <w:rPr>
          <w:rFonts w:cstheme="minorHAnsi"/>
          <w:i/>
          <w:szCs w:val="22"/>
          <w:lang w:val="en-US"/>
        </w:rPr>
        <w:t xml:space="preserve">onitoring </w:t>
      </w:r>
      <w:r w:rsidRPr="0069463E">
        <w:rPr>
          <w:rFonts w:cstheme="minorHAnsi"/>
          <w:i/>
          <w:szCs w:val="22"/>
          <w:lang w:val="en-US"/>
        </w:rPr>
        <w:t>p</w:t>
      </w:r>
      <w:r w:rsidR="00616256" w:rsidRPr="0069463E">
        <w:rPr>
          <w:rFonts w:cstheme="minorHAnsi"/>
          <w:i/>
          <w:szCs w:val="22"/>
          <w:lang w:val="en-US"/>
        </w:rPr>
        <w:t>lan</w:t>
      </w:r>
      <w:r w:rsidR="001A4A2D" w:rsidRPr="0069463E">
        <w:rPr>
          <w:rFonts w:cstheme="minorHAnsi"/>
          <w:i/>
          <w:szCs w:val="22"/>
          <w:lang w:val="en-US"/>
        </w:rPr>
        <w:t xml:space="preserve"> </w:t>
      </w:r>
      <w:r w:rsidR="001A4A2D" w:rsidRPr="0069463E">
        <w:rPr>
          <w:rFonts w:cstheme="minorHAnsi"/>
          <w:szCs w:val="22"/>
          <w:lang w:val="en-US"/>
        </w:rPr>
        <w:t>(Surveillance Plan)</w:t>
      </w:r>
      <w:r w:rsidR="00616256" w:rsidRPr="0069463E">
        <w:rPr>
          <w:rFonts w:cstheme="minorHAnsi"/>
          <w:i/>
          <w:szCs w:val="22"/>
          <w:lang w:val="en-US"/>
        </w:rPr>
        <w:t xml:space="preserve"> </w:t>
      </w:r>
      <w:r w:rsidRPr="0069463E">
        <w:rPr>
          <w:rFonts w:cstheme="minorHAnsi"/>
          <w:szCs w:val="22"/>
          <w:lang w:val="en-US"/>
        </w:rPr>
        <w:t xml:space="preserve">which </w:t>
      </w:r>
      <w:r w:rsidR="00616256" w:rsidRPr="0069463E">
        <w:rPr>
          <w:rFonts w:cstheme="minorHAnsi"/>
          <w:szCs w:val="22"/>
          <w:lang w:val="en-US"/>
        </w:rPr>
        <w:t xml:space="preserve">outlines indicators that will be used to monitor progress towards achieving </w:t>
      </w:r>
      <w:r w:rsidRPr="0069463E">
        <w:rPr>
          <w:rFonts w:cstheme="minorHAnsi"/>
          <w:szCs w:val="22"/>
          <w:lang w:val="en-US"/>
        </w:rPr>
        <w:t>the three specific targets.</w:t>
      </w:r>
    </w:p>
    <w:p w14:paraId="3008D312" w14:textId="2206A3B1" w:rsidR="009E13DE" w:rsidRPr="0069463E" w:rsidRDefault="009E13DE" w:rsidP="00CB71AA">
      <w:pPr>
        <w:spacing w:after="120"/>
        <w:rPr>
          <w:rFonts w:cstheme="minorHAnsi"/>
          <w:lang w:val="en-US"/>
        </w:rPr>
      </w:pPr>
      <w:r w:rsidRPr="0069463E">
        <w:rPr>
          <w:rFonts w:cstheme="minorHAnsi"/>
          <w:szCs w:val="22"/>
          <w:lang w:val="en-US"/>
        </w:rPr>
        <w:t xml:space="preserve">This report provides </w:t>
      </w:r>
      <w:r w:rsidR="001A4A2D" w:rsidRPr="0069463E">
        <w:rPr>
          <w:rFonts w:cstheme="minorHAnsi"/>
          <w:szCs w:val="22"/>
          <w:lang w:val="en-US"/>
        </w:rPr>
        <w:t>a</w:t>
      </w:r>
      <w:r w:rsidRPr="0069463E">
        <w:rPr>
          <w:rFonts w:cstheme="minorHAnsi"/>
          <w:szCs w:val="22"/>
          <w:lang w:val="en-US"/>
        </w:rPr>
        <w:t xml:space="preserve"> quarterly account of progress against the</w:t>
      </w:r>
      <w:r w:rsidR="006C209D" w:rsidRPr="0069463E">
        <w:rPr>
          <w:rFonts w:cstheme="minorHAnsi"/>
          <w:szCs w:val="22"/>
          <w:lang w:val="en-US"/>
        </w:rPr>
        <w:t xml:space="preserve"> targets and i</w:t>
      </w:r>
      <w:r w:rsidR="001A4A2D" w:rsidRPr="0069463E">
        <w:rPr>
          <w:rFonts w:cstheme="minorHAnsi"/>
          <w:szCs w:val="22"/>
          <w:lang w:val="en-US"/>
        </w:rPr>
        <w:t>ndicators in the Strategic Approach and Surveillance Plan.</w:t>
      </w:r>
    </w:p>
    <w:p w14:paraId="1EB5AAE1" w14:textId="18EC8C53" w:rsidR="001E6EF4" w:rsidRPr="0069463E" w:rsidRDefault="001E6EF4" w:rsidP="00821C6B">
      <w:pPr>
        <w:pStyle w:val="Heading2"/>
      </w:pPr>
      <w:r w:rsidRPr="0069463E">
        <w:t>A</w:t>
      </w:r>
      <w:r w:rsidR="00617AAC" w:rsidRPr="0069463E">
        <w:t>nalysis</w:t>
      </w:r>
    </w:p>
    <w:p w14:paraId="18D262E8" w14:textId="62BA214F" w:rsidR="000B02DC" w:rsidRPr="0069463E" w:rsidRDefault="000B02DC" w:rsidP="000B02DC">
      <w:pPr>
        <w:spacing w:after="40"/>
        <w:rPr>
          <w:rStyle w:val="Strong"/>
        </w:rPr>
      </w:pPr>
      <w:r w:rsidRPr="0069463E">
        <w:rPr>
          <w:rStyle w:val="Strong"/>
        </w:rPr>
        <w:t>The Department of Health</w:t>
      </w:r>
      <w:r w:rsidR="0060218D" w:rsidRPr="0069463E">
        <w:rPr>
          <w:rStyle w:val="Strong"/>
        </w:rPr>
        <w:t xml:space="preserve"> and Aged Care</w:t>
      </w:r>
      <w:r w:rsidRPr="0069463E">
        <w:rPr>
          <w:rStyle w:val="Strong"/>
        </w:rPr>
        <w:t xml:space="preserve"> acknowledges the providers of the many sources of data used in this report and greatly appreciates their contribution.</w:t>
      </w:r>
    </w:p>
    <w:p w14:paraId="0A2680E4" w14:textId="098A46FF" w:rsidR="00CF26DE" w:rsidRPr="00CB71AA" w:rsidRDefault="001A4A2D" w:rsidP="00821C6B">
      <w:pPr>
        <w:pStyle w:val="Heading3"/>
      </w:pPr>
      <w:r w:rsidRPr="00CB71AA">
        <w:t>Summary</w:t>
      </w:r>
    </w:p>
    <w:p w14:paraId="08107511" w14:textId="77777777" w:rsidR="00785063" w:rsidRPr="00CB71AA" w:rsidRDefault="00785063" w:rsidP="00CB71AA">
      <w:pPr>
        <w:pStyle w:val="ListNumber2"/>
        <w:ind w:right="27"/>
      </w:pPr>
      <w:r w:rsidRPr="00CB71AA">
        <w:t>Syphilis notifications are being monitored across four population groups: non-Indigenous males, non-Indigenous females, Aboriginal and Torres Strait Islander males and Aboriginal and Torres Strait Islander females.</w:t>
      </w:r>
    </w:p>
    <w:p w14:paraId="25544696" w14:textId="7D677F0A" w:rsidR="00CB71AA" w:rsidRPr="00CB71AA" w:rsidRDefault="00CB71AA" w:rsidP="000F21A0">
      <w:pPr>
        <w:pStyle w:val="ListNumber2"/>
      </w:pPr>
      <w:r w:rsidRPr="00CB71AA">
        <w:t>The last 12 months (Q2 2022 – Q1 2023) marks the highest number of cases reported for a 12 month period since infectious syphilis first became notifiable in 2004</w:t>
      </w:r>
      <w:r w:rsidR="00745247">
        <w:rPr>
          <w:rStyle w:val="FootnoteReference"/>
        </w:rPr>
        <w:footnoteReference w:id="4"/>
      </w:r>
      <w:r w:rsidRPr="00CB71AA">
        <w:t>.</w:t>
      </w:r>
      <w:r>
        <w:t xml:space="preserve"> Increases have been observed across all four population groups with the greatest proportional increase reported in non-Indigenous females (23%).</w:t>
      </w:r>
    </w:p>
    <w:p w14:paraId="3135BC94" w14:textId="06E621EF" w:rsidR="00FF3006" w:rsidRPr="00CB71AA" w:rsidRDefault="00FB5E9F" w:rsidP="00AE47B3">
      <w:pPr>
        <w:pStyle w:val="ListNumber2"/>
      </w:pPr>
      <w:r w:rsidRPr="00CB71AA">
        <w:t>Aboriginal and Torres Strait Islander people continue to be disproportionately represented in</w:t>
      </w:r>
      <w:r w:rsidR="00FF3006" w:rsidRPr="00CB71AA">
        <w:t xml:space="preserve"> the syphilis notification data</w:t>
      </w:r>
      <w:r w:rsidR="00413A7C" w:rsidRPr="00CB71AA">
        <w:t>, with notification rates</w:t>
      </w:r>
      <w:r w:rsidR="00C34C90" w:rsidRPr="00CB71AA">
        <w:t xml:space="preserve"> overall</w:t>
      </w:r>
      <w:r w:rsidR="00413A7C" w:rsidRPr="00CB71AA">
        <w:t xml:space="preserve"> </w:t>
      </w:r>
      <w:r w:rsidR="00CB71AA" w:rsidRPr="00CB71AA">
        <w:t>7</w:t>
      </w:r>
      <w:r w:rsidR="00413A7C" w:rsidRPr="00CB71AA">
        <w:t xml:space="preserve"> times that of non-Indigenous people in the previous 12 months.</w:t>
      </w:r>
    </w:p>
    <w:p w14:paraId="61775629" w14:textId="1C6DBA90" w:rsidR="00C34C90" w:rsidRPr="00CB71AA" w:rsidRDefault="00785063" w:rsidP="00AE47B3">
      <w:pPr>
        <w:pStyle w:val="ListNumber2"/>
      </w:pPr>
      <w:r w:rsidRPr="00CB71AA">
        <w:t>T</w:t>
      </w:r>
      <w:r w:rsidR="00FF3006" w:rsidRPr="00CB71AA">
        <w:t xml:space="preserve">he greatest proportion of syphilis cases were reported in non-Indigenous men, </w:t>
      </w:r>
      <w:r w:rsidR="00B07CF2" w:rsidRPr="00CB71AA">
        <w:t xml:space="preserve">who </w:t>
      </w:r>
      <w:r w:rsidR="00FF3006" w:rsidRPr="00CB71AA">
        <w:t>largely resi</w:t>
      </w:r>
      <w:r w:rsidR="00B07CF2" w:rsidRPr="00CB71AA">
        <w:t>de</w:t>
      </w:r>
      <w:r w:rsidRPr="00CB71AA">
        <w:t>d in</w:t>
      </w:r>
      <w:r w:rsidR="00FF3006" w:rsidRPr="00CB71AA">
        <w:t xml:space="preserve"> major cities, </w:t>
      </w:r>
      <w:r w:rsidRPr="00CB71AA">
        <w:t xml:space="preserve">with </w:t>
      </w:r>
      <w:r w:rsidR="00FF3006" w:rsidRPr="00CB71AA">
        <w:t xml:space="preserve">notification rates </w:t>
      </w:r>
      <w:r w:rsidR="00CB71AA" w:rsidRPr="00CB71AA">
        <w:t>increasing</w:t>
      </w:r>
      <w:r w:rsidR="00413A7C" w:rsidRPr="00CB71AA">
        <w:t xml:space="preserve"> </w:t>
      </w:r>
      <w:r w:rsidR="00CB71AA" w:rsidRPr="00CB71AA">
        <w:t xml:space="preserve">marginally </w:t>
      </w:r>
      <w:r w:rsidR="00FF3006" w:rsidRPr="00CB71AA">
        <w:t>over the previous 12 months</w:t>
      </w:r>
      <w:r w:rsidR="00CB71AA" w:rsidRPr="00CB71AA">
        <w:t xml:space="preserve"> (5%)</w:t>
      </w:r>
      <w:r w:rsidR="00413A7C" w:rsidRPr="00CB71AA">
        <w:t xml:space="preserve">. </w:t>
      </w:r>
    </w:p>
    <w:p w14:paraId="09D56E17" w14:textId="4F55A0BA" w:rsidR="00AC0E9D" w:rsidRPr="00CB71AA" w:rsidRDefault="00292A20" w:rsidP="00AE47B3">
      <w:pPr>
        <w:pStyle w:val="ListNumber2"/>
      </w:pPr>
      <w:r w:rsidRPr="00CB71AA">
        <w:t xml:space="preserve">Notification rates in </w:t>
      </w:r>
      <w:r w:rsidR="008B0462" w:rsidRPr="00CB71AA">
        <w:t xml:space="preserve">Aboriginal and Torres Strait Islander </w:t>
      </w:r>
      <w:r w:rsidR="00CB71AA" w:rsidRPr="00CB71AA">
        <w:t>females</w:t>
      </w:r>
      <w:r w:rsidR="008B0462" w:rsidRPr="00CB71AA">
        <w:t xml:space="preserve"> </w:t>
      </w:r>
      <w:r w:rsidR="00CB71AA" w:rsidRPr="00CB71AA">
        <w:t>across all age groups and</w:t>
      </w:r>
      <w:r w:rsidR="008B0462" w:rsidRPr="00CB71AA">
        <w:t xml:space="preserve"> </w:t>
      </w:r>
      <w:r w:rsidR="00AC0E9D" w:rsidRPr="00CB71AA">
        <w:t xml:space="preserve">residing in </w:t>
      </w:r>
      <w:r w:rsidR="008B0462" w:rsidRPr="00CB71AA">
        <w:t>major cities</w:t>
      </w:r>
      <w:r w:rsidR="00AC0E9D" w:rsidRPr="00CB71AA">
        <w:t xml:space="preserve"> of Australia </w:t>
      </w:r>
      <w:r w:rsidR="00413A7C" w:rsidRPr="00CB71AA">
        <w:t>reported the greatest increase</w:t>
      </w:r>
      <w:r w:rsidR="00CB71AA" w:rsidRPr="00CB71AA">
        <w:t>s</w:t>
      </w:r>
      <w:r w:rsidR="00413A7C" w:rsidRPr="00CB71AA">
        <w:t xml:space="preserve"> compared to the preceding 12 months (</w:t>
      </w:r>
      <w:r w:rsidR="00CB71AA" w:rsidRPr="00CB71AA">
        <w:t>Q2 2021 – Q1 2022</w:t>
      </w:r>
      <w:r w:rsidR="00413A7C" w:rsidRPr="00CB71AA">
        <w:t>)</w:t>
      </w:r>
      <w:r w:rsidR="008B0462" w:rsidRPr="00CB71AA">
        <w:t>.</w:t>
      </w:r>
    </w:p>
    <w:p w14:paraId="6B26BD17" w14:textId="09E805FD" w:rsidR="0088040B" w:rsidRPr="00CB71AA" w:rsidRDefault="0088040B" w:rsidP="00AE47B3">
      <w:pPr>
        <w:pStyle w:val="ListNumber2"/>
      </w:pPr>
      <w:r w:rsidRPr="00CB71AA">
        <w:t>Notification rates in Aboriginal and Torres Strait</w:t>
      </w:r>
      <w:r w:rsidR="00B63A6E" w:rsidRPr="00CB71AA">
        <w:t xml:space="preserve"> Islander</w:t>
      </w:r>
      <w:r w:rsidRPr="00CB71AA">
        <w:t xml:space="preserve"> people in remote and very remote areas of Australia</w:t>
      </w:r>
      <w:r w:rsidR="00413A7C" w:rsidRPr="00CB71AA">
        <w:t xml:space="preserve"> continue to be the highest</w:t>
      </w:r>
      <w:r w:rsidRPr="00CB71AA">
        <w:t>, reflecting sustained transmission associated with the outbreak in Queensland, the Northern Territory, Western Australia and South Australia.</w:t>
      </w:r>
    </w:p>
    <w:p w14:paraId="50B38EC1" w14:textId="72382F4E" w:rsidR="0088040B" w:rsidRPr="00CB71AA" w:rsidRDefault="0088040B" w:rsidP="00CB71AA">
      <w:pPr>
        <w:pStyle w:val="ListNumber2"/>
        <w:ind w:right="-115"/>
      </w:pPr>
      <w:r w:rsidRPr="00CB71AA">
        <w:t>Notification rates among Aboriginal and Torres Strait Islander</w:t>
      </w:r>
      <w:r w:rsidR="00413A7C" w:rsidRPr="00CB71AA">
        <w:t xml:space="preserve"> </w:t>
      </w:r>
      <w:r w:rsidR="00CB71AA" w:rsidRPr="00CB71AA">
        <w:t>and non-Indigenous females</w:t>
      </w:r>
      <w:r w:rsidRPr="00CB71AA">
        <w:t xml:space="preserve"> of reproductive age (15-44 years) </w:t>
      </w:r>
      <w:r w:rsidR="0037446B" w:rsidRPr="00CB71AA">
        <w:t xml:space="preserve">residing in major cities </w:t>
      </w:r>
      <w:r w:rsidR="00CB71AA" w:rsidRPr="00CB71AA">
        <w:t xml:space="preserve">and inner/outer regional areas </w:t>
      </w:r>
      <w:r w:rsidR="0037446B" w:rsidRPr="00CB71AA">
        <w:t xml:space="preserve">increased </w:t>
      </w:r>
      <w:r w:rsidRPr="00CB71AA">
        <w:t>over the previous 12 months</w:t>
      </w:r>
      <w:r w:rsidR="00134A0B" w:rsidRPr="00CB71AA">
        <w:t>.</w:t>
      </w:r>
    </w:p>
    <w:p w14:paraId="03BB0E5D" w14:textId="5813BFB4" w:rsidR="00D65F20" w:rsidRPr="00CB71AA" w:rsidRDefault="0088040B" w:rsidP="00AE47B3">
      <w:pPr>
        <w:pStyle w:val="ListNumber2"/>
      </w:pPr>
      <w:r w:rsidRPr="00CB71AA">
        <w:t xml:space="preserve">Increases </w:t>
      </w:r>
      <w:r w:rsidR="004723AF">
        <w:t xml:space="preserve">in notifications of syphilis of </w:t>
      </w:r>
      <w:r w:rsidRPr="00CB71AA">
        <w:t xml:space="preserve">among women of reproductive age in recent years have coincided with the </w:t>
      </w:r>
      <w:r w:rsidR="00ED2D3D" w:rsidRPr="00CB71AA">
        <w:t>highest number of congenital syphilis cases diagnosed in 2020 (n=</w:t>
      </w:r>
      <w:r w:rsidR="00134A0B" w:rsidRPr="00CB71AA">
        <w:t>17</w:t>
      </w:r>
      <w:r w:rsidR="00ED2D3D" w:rsidRPr="00CB71AA">
        <w:t>) since 2001.</w:t>
      </w:r>
      <w:r w:rsidR="008B0462" w:rsidRPr="00CB71AA">
        <w:t xml:space="preserve"> </w:t>
      </w:r>
    </w:p>
    <w:p w14:paraId="0157BA50" w14:textId="6F345191" w:rsidR="00FF34F4" w:rsidRPr="00CB71AA" w:rsidRDefault="00CB71AA" w:rsidP="00AE47B3">
      <w:pPr>
        <w:pStyle w:val="ListNumber2"/>
      </w:pPr>
      <w:r w:rsidRPr="00CB71AA">
        <w:lastRenderedPageBreak/>
        <w:t>Seventy-seven</w:t>
      </w:r>
      <w:r w:rsidR="004A7D9A" w:rsidRPr="00CB71AA">
        <w:t xml:space="preserve"> </w:t>
      </w:r>
      <w:r w:rsidR="00FF34F4" w:rsidRPr="00CB71AA">
        <w:t>per cent (</w:t>
      </w:r>
      <w:r w:rsidRPr="00CB71AA">
        <w:t>77</w:t>
      </w:r>
      <w:r w:rsidR="00FF34F4" w:rsidRPr="00CB71AA">
        <w:t>%) of women giving birth to an infant with congenital syphilis were diagnosed late in pregnancy.</w:t>
      </w:r>
      <w:r w:rsidR="00FF34F4" w:rsidRPr="00CB71AA">
        <w:rPr>
          <w:rStyle w:val="FootnoteReference"/>
        </w:rPr>
        <w:footnoteReference w:id="5"/>
      </w:r>
    </w:p>
    <w:p w14:paraId="5A29E10C" w14:textId="5BB139A7" w:rsidR="00CE47AB" w:rsidRPr="0069463E" w:rsidRDefault="00CE47AB" w:rsidP="00EE7708">
      <w:r w:rsidRPr="0069463E">
        <w:t>Data presented are to</w:t>
      </w:r>
      <w:r w:rsidR="007A7090" w:rsidRPr="0069463E">
        <w:t xml:space="preserve"> </w:t>
      </w:r>
      <w:r w:rsidR="00757B44" w:rsidRPr="0069463E">
        <w:t>3</w:t>
      </w:r>
      <w:r w:rsidR="00AC01CB" w:rsidRPr="0069463E">
        <w:t xml:space="preserve">1 </w:t>
      </w:r>
      <w:r w:rsidR="0069463E" w:rsidRPr="0069463E">
        <w:t>March 2023</w:t>
      </w:r>
      <w:r w:rsidR="00902CAD" w:rsidRPr="0069463E">
        <w:t xml:space="preserve"> </w:t>
      </w:r>
      <w:r w:rsidR="00EE7708" w:rsidRPr="0069463E">
        <w:t>unless otherwise specified.</w:t>
      </w:r>
    </w:p>
    <w:p w14:paraId="6787FFE1" w14:textId="55171CF6" w:rsidR="00247A45" w:rsidRPr="0069463E" w:rsidRDefault="00247A45" w:rsidP="00821C6B">
      <w:pPr>
        <w:pStyle w:val="Heading3"/>
      </w:pPr>
      <w:r w:rsidRPr="0069463E">
        <w:t>Considerations</w:t>
      </w:r>
    </w:p>
    <w:p w14:paraId="2239984C" w14:textId="56FD6B9F" w:rsidR="00A71EB1" w:rsidRPr="0069463E" w:rsidRDefault="007055EC" w:rsidP="007D373E">
      <w:pPr>
        <w:ind w:right="141"/>
      </w:pPr>
      <w:r w:rsidRPr="0069463E">
        <w:t xml:space="preserve">This report aims to increase awareness of syphilis in Australia by providing an analysis of available notification and testing data. Delays in the reporting of data may cause data to change retrospectively. </w:t>
      </w:r>
      <w:r w:rsidR="0039058E" w:rsidRPr="0069463E">
        <w:t xml:space="preserve">When considering the below analysis, it is important to note that the impact of the COVID-19 pandemic on health seeking behaviours, testing and sexual behaviour in relation to syphilis is not yet known. </w:t>
      </w:r>
      <w:r w:rsidR="00532314" w:rsidRPr="0069463E">
        <w:t xml:space="preserve"> However</w:t>
      </w:r>
      <w:r w:rsidR="00A14E41" w:rsidRPr="0069463E">
        <w:t>,</w:t>
      </w:r>
      <w:r w:rsidR="00532314" w:rsidRPr="0069463E">
        <w:t xml:space="preserve"> it is expected that syphilis testing will have declined overall due to the diversion of resources to COVID-19 testing</w:t>
      </w:r>
      <w:r w:rsidR="00785063" w:rsidRPr="0069463E">
        <w:t xml:space="preserve"> and changes in people’s behaviours during the pandemic.</w:t>
      </w:r>
    </w:p>
    <w:p w14:paraId="29A6A54B" w14:textId="14EC5AF7" w:rsidR="001E6EF4" w:rsidRPr="0069463E" w:rsidRDefault="00CB79C3" w:rsidP="008E1A3E">
      <w:pPr>
        <w:pStyle w:val="Heading4"/>
      </w:pPr>
      <w:r w:rsidRPr="0069463E">
        <w:t>Target 1</w:t>
      </w:r>
      <w:r w:rsidR="007B54E3" w:rsidRPr="0069463E">
        <w:t>: Reduce incidence of syphilis overall, with a focus on women of reproductive age</w:t>
      </w:r>
    </w:p>
    <w:p w14:paraId="10E90629" w14:textId="69B90A90" w:rsidR="003B636B" w:rsidRPr="00932BDE" w:rsidRDefault="00587F74" w:rsidP="00821C6B">
      <w:pPr>
        <w:pStyle w:val="Heading3"/>
      </w:pPr>
      <w:bookmarkStart w:id="1" w:name="_Ref525049450"/>
      <w:r w:rsidRPr="00932BDE">
        <w:t xml:space="preserve">Indicator 1.1 - </w:t>
      </w:r>
      <w:r w:rsidR="003B636B" w:rsidRPr="00932BDE">
        <w:t xml:space="preserve">Rate of infectious syphilis </w:t>
      </w:r>
    </w:p>
    <w:p w14:paraId="4C60B671" w14:textId="30354D0C" w:rsidR="00D5729F" w:rsidRPr="00932BDE" w:rsidRDefault="00D5729F" w:rsidP="007D373E">
      <w:pPr>
        <w:ind w:right="141"/>
      </w:pPr>
      <w:r w:rsidRPr="00932BDE">
        <w:t>In</w:t>
      </w:r>
      <w:r w:rsidR="007F3159" w:rsidRPr="00932BDE">
        <w:t xml:space="preserve"> the previous 12 months (</w:t>
      </w:r>
      <w:r w:rsidR="00932BDE" w:rsidRPr="00932BDE">
        <w:t>Q2 2022 – Q1 2023</w:t>
      </w:r>
      <w:r w:rsidR="007F3159" w:rsidRPr="00932BDE">
        <w:t xml:space="preserve">), there </w:t>
      </w:r>
      <w:r w:rsidR="00DF4439" w:rsidRPr="00932BDE">
        <w:t xml:space="preserve">were </w:t>
      </w:r>
      <w:r w:rsidR="00932BDE" w:rsidRPr="00932BDE">
        <w:t>6,822</w:t>
      </w:r>
      <w:r w:rsidR="00B10BCA" w:rsidRPr="00932BDE">
        <w:t xml:space="preserve"> </w:t>
      </w:r>
      <w:r w:rsidRPr="00932BDE">
        <w:t xml:space="preserve">cases of infectious syphilis reported to the National </w:t>
      </w:r>
      <w:r w:rsidR="00DF4439" w:rsidRPr="00932BDE">
        <w:t>Notifiable Diseases Surveillance System</w:t>
      </w:r>
      <w:r w:rsidR="007F3159" w:rsidRPr="00932BDE">
        <w:t xml:space="preserve"> </w:t>
      </w:r>
      <w:r w:rsidRPr="00932BDE">
        <w:t>(N</w:t>
      </w:r>
      <w:r w:rsidR="00DF4439" w:rsidRPr="00932BDE">
        <w:t>NDSS)</w:t>
      </w:r>
      <w:r w:rsidR="00932BDE">
        <w:t>. This period marks the highest number of cases reported for a 12 month period since infectious syphilis first became nationally notifiable in 2004</w:t>
      </w:r>
      <w:r w:rsidR="00745247">
        <w:rPr>
          <w:rStyle w:val="FootnoteReference"/>
        </w:rPr>
        <w:footnoteReference w:id="6"/>
      </w:r>
      <w:r w:rsidR="00932BDE">
        <w:t>. Of the 6,822 cases of infectious syphilis</w:t>
      </w:r>
      <w:r w:rsidR="00DF4439" w:rsidRPr="00932BDE">
        <w:t xml:space="preserve"> </w:t>
      </w:r>
      <w:r w:rsidR="00932BDE">
        <w:t>5,649</w:t>
      </w:r>
      <w:r w:rsidR="00B10BCA" w:rsidRPr="00932BDE">
        <w:t xml:space="preserve"> </w:t>
      </w:r>
      <w:r w:rsidR="007F3159" w:rsidRPr="00932BDE">
        <w:t>cases (</w:t>
      </w:r>
      <w:r w:rsidR="005B3F27" w:rsidRPr="00932BDE">
        <w:t>8</w:t>
      </w:r>
      <w:r w:rsidR="00AC01CB" w:rsidRPr="00932BDE">
        <w:t>7</w:t>
      </w:r>
      <w:r w:rsidRPr="00932BDE">
        <w:t>%) report</w:t>
      </w:r>
      <w:r w:rsidR="00932BDE">
        <w:t>ed</w:t>
      </w:r>
      <w:r w:rsidRPr="00932BDE">
        <w:t xml:space="preserve"> Indigenous status and sex:</w:t>
      </w:r>
    </w:p>
    <w:p w14:paraId="643C105B" w14:textId="78674657" w:rsidR="00D5729F" w:rsidRPr="00932BDE" w:rsidRDefault="00D5729F" w:rsidP="007D373E">
      <w:pPr>
        <w:pStyle w:val="ListParagraph"/>
        <w:numPr>
          <w:ilvl w:val="0"/>
          <w:numId w:val="4"/>
        </w:numPr>
        <w:ind w:right="141"/>
      </w:pPr>
      <w:r w:rsidRPr="00932BDE">
        <w:t>The greatest proportion of cases wer</w:t>
      </w:r>
      <w:r w:rsidR="007F3159" w:rsidRPr="00932BDE">
        <w:t>e among non-Indigenous males (</w:t>
      </w:r>
      <w:r w:rsidR="00932BDE" w:rsidRPr="00932BDE">
        <w:t>69</w:t>
      </w:r>
      <w:r w:rsidRPr="00932BDE">
        <w:t>%, n=</w:t>
      </w:r>
      <w:r w:rsidR="00932BDE" w:rsidRPr="00932BDE">
        <w:t>3,918</w:t>
      </w:r>
      <w:r w:rsidR="005B3F27" w:rsidRPr="00932BDE">
        <w:t>/</w:t>
      </w:r>
      <w:r w:rsidR="00932BDE" w:rsidRPr="00932BDE">
        <w:t>5,649</w:t>
      </w:r>
      <w:r w:rsidRPr="00932BDE">
        <w:t>), followed by</w:t>
      </w:r>
      <w:r w:rsidR="00D0569A" w:rsidRPr="00932BDE">
        <w:t xml:space="preserve"> </w:t>
      </w:r>
      <w:r w:rsidR="005B3F27" w:rsidRPr="00932BDE">
        <w:t>non-Indigenous females (</w:t>
      </w:r>
      <w:r w:rsidR="00B10BCA" w:rsidRPr="00932BDE">
        <w:t>1</w:t>
      </w:r>
      <w:r w:rsidR="00932BDE" w:rsidRPr="00932BDE">
        <w:t>2</w:t>
      </w:r>
      <w:r w:rsidR="005B3F27" w:rsidRPr="00932BDE">
        <w:t xml:space="preserve">%, </w:t>
      </w:r>
      <w:r w:rsidR="00932BDE" w:rsidRPr="00932BDE">
        <w:t>647</w:t>
      </w:r>
      <w:r w:rsidR="005B3F27" w:rsidRPr="00932BDE">
        <w:t>/</w:t>
      </w:r>
      <w:r w:rsidR="00932BDE" w:rsidRPr="00932BDE">
        <w:t>5,649</w:t>
      </w:r>
      <w:r w:rsidR="005B3F27" w:rsidRPr="00932BDE">
        <w:t>)</w:t>
      </w:r>
      <w:r w:rsidR="009A29B3" w:rsidRPr="00932BDE">
        <w:t>,</w:t>
      </w:r>
      <w:r w:rsidR="00D0569A" w:rsidRPr="00932BDE">
        <w:t xml:space="preserve"> </w:t>
      </w:r>
      <w:r w:rsidR="00040A66" w:rsidRPr="00932BDE">
        <w:t xml:space="preserve">Aboriginal and Torres Strait Islander </w:t>
      </w:r>
      <w:r w:rsidR="00932BDE" w:rsidRPr="00932BDE">
        <w:t>fe</w:t>
      </w:r>
      <w:r w:rsidR="00040A66" w:rsidRPr="00932BDE">
        <w:t xml:space="preserve">males (10%, </w:t>
      </w:r>
      <w:r w:rsidR="00AC01CB" w:rsidRPr="00932BDE">
        <w:t>5</w:t>
      </w:r>
      <w:r w:rsidR="00932BDE" w:rsidRPr="00932BDE">
        <w:t>45</w:t>
      </w:r>
      <w:r w:rsidR="00040A66" w:rsidRPr="00932BDE">
        <w:t>/</w:t>
      </w:r>
      <w:r w:rsidR="00161488" w:rsidRPr="00932BDE">
        <w:t>5,</w:t>
      </w:r>
      <w:r w:rsidR="00932BDE" w:rsidRPr="00932BDE">
        <w:t>649</w:t>
      </w:r>
      <w:r w:rsidR="00040A66" w:rsidRPr="00932BDE">
        <w:t>)</w:t>
      </w:r>
      <w:r w:rsidR="009A29B3" w:rsidRPr="00932BDE">
        <w:t xml:space="preserve"> and</w:t>
      </w:r>
      <w:r w:rsidR="00040A66" w:rsidRPr="00932BDE">
        <w:t xml:space="preserve"> </w:t>
      </w:r>
      <w:r w:rsidR="009A29B3" w:rsidRPr="00932BDE">
        <w:t>Aboriginal and Torres Strait Islander males (</w:t>
      </w:r>
      <w:r w:rsidR="00932BDE" w:rsidRPr="00932BDE">
        <w:t>10</w:t>
      </w:r>
      <w:r w:rsidR="009A29B3" w:rsidRPr="00932BDE">
        <w:t xml:space="preserve">%, </w:t>
      </w:r>
      <w:r w:rsidR="00932BDE" w:rsidRPr="00932BDE">
        <w:t>539</w:t>
      </w:r>
      <w:r w:rsidR="009A29B3" w:rsidRPr="00932BDE">
        <w:t>/</w:t>
      </w:r>
      <w:r w:rsidR="00161488" w:rsidRPr="00932BDE">
        <w:t>5,</w:t>
      </w:r>
      <w:r w:rsidR="00932BDE" w:rsidRPr="00932BDE">
        <w:t>649</w:t>
      </w:r>
      <w:r w:rsidR="009A29B3" w:rsidRPr="00932BDE">
        <w:t>).</w:t>
      </w:r>
    </w:p>
    <w:p w14:paraId="46C3B6FB" w14:textId="61306EAA" w:rsidR="007912B2" w:rsidRPr="00932BDE" w:rsidRDefault="00904EFB" w:rsidP="007D373E">
      <w:pPr>
        <w:pStyle w:val="ListParagraph"/>
        <w:numPr>
          <w:ilvl w:val="0"/>
          <w:numId w:val="4"/>
        </w:numPr>
        <w:ind w:right="141"/>
      </w:pPr>
      <w:r w:rsidRPr="00932BDE">
        <w:t xml:space="preserve">Aboriginal and Torres Strait Islander </w:t>
      </w:r>
      <w:r w:rsidR="008A3782" w:rsidRPr="00932BDE">
        <w:t>males</w:t>
      </w:r>
      <w:r w:rsidRPr="00932BDE">
        <w:t xml:space="preserve"> and </w:t>
      </w:r>
      <w:r w:rsidR="00440FCD" w:rsidRPr="00932BDE">
        <w:t>fe</w:t>
      </w:r>
      <w:r w:rsidRPr="00932BDE">
        <w:t>males are disproportionately represented in the notification data, with notification rates</w:t>
      </w:r>
      <w:r w:rsidR="00932BDE" w:rsidRPr="00932BDE">
        <w:t xml:space="preserve"> for both population groups in the</w:t>
      </w:r>
      <w:r w:rsidRPr="00932BDE">
        <w:t xml:space="preserve"> previous 12 months </w:t>
      </w:r>
      <w:r w:rsidR="00932BDE" w:rsidRPr="00932BDE">
        <w:t xml:space="preserve">reported </w:t>
      </w:r>
      <w:r w:rsidRPr="00932BDE">
        <w:t>as 1</w:t>
      </w:r>
      <w:r w:rsidR="00AC01CB" w:rsidRPr="00932BDE">
        <w:t>6</w:t>
      </w:r>
      <w:r w:rsidR="00932BDE" w:rsidRPr="00932BDE">
        <w:t>7</w:t>
      </w:r>
      <w:r w:rsidRPr="00932BDE">
        <w:t xml:space="preserve"> per 100,000. Non-Indigenous males</w:t>
      </w:r>
      <w:r w:rsidR="00D10D18" w:rsidRPr="00932BDE">
        <w:t>,</w:t>
      </w:r>
      <w:r w:rsidRPr="00932BDE">
        <w:t xml:space="preserve"> </w:t>
      </w:r>
      <w:r w:rsidR="007912B2" w:rsidRPr="00932BDE">
        <w:t>d</w:t>
      </w:r>
      <w:r w:rsidR="00D5729F" w:rsidRPr="00932BDE">
        <w:t xml:space="preserve">espite representing the greatest proportion of total notifications, reported </w:t>
      </w:r>
      <w:r w:rsidR="00DF23BA" w:rsidRPr="00932BDE">
        <w:t>a notification</w:t>
      </w:r>
      <w:r w:rsidR="00D5729F" w:rsidRPr="00932BDE">
        <w:t xml:space="preserve"> rate</w:t>
      </w:r>
      <w:r w:rsidR="007912B2" w:rsidRPr="00932BDE">
        <w:t xml:space="preserve"> substantially lower</w:t>
      </w:r>
      <w:r w:rsidR="00D5729F" w:rsidRPr="00932BDE">
        <w:t xml:space="preserve"> (</w:t>
      </w:r>
      <w:r w:rsidR="008A3782" w:rsidRPr="00932BDE">
        <w:t>3</w:t>
      </w:r>
      <w:r w:rsidR="00AC01CB" w:rsidRPr="00932BDE">
        <w:t>7</w:t>
      </w:r>
      <w:r w:rsidR="00D5729F" w:rsidRPr="00932BDE">
        <w:t xml:space="preserve"> per 100,000)</w:t>
      </w:r>
      <w:r w:rsidR="007912B2" w:rsidRPr="00932BDE">
        <w:t xml:space="preserve"> followed by n</w:t>
      </w:r>
      <w:r w:rsidR="00D5729F" w:rsidRPr="00932BDE">
        <w:t xml:space="preserve">on-Indigenous females </w:t>
      </w:r>
      <w:r w:rsidR="007912B2" w:rsidRPr="00932BDE">
        <w:t>(</w:t>
      </w:r>
      <w:r w:rsidR="00932E26">
        <w:t>6</w:t>
      </w:r>
      <w:r w:rsidR="007912B2" w:rsidRPr="00932BDE">
        <w:t xml:space="preserve"> per 100,000) (Figure 1).</w:t>
      </w:r>
    </w:p>
    <w:p w14:paraId="0E8D7665" w14:textId="3E8B4BAE" w:rsidR="00440FCD" w:rsidRPr="00932BDE" w:rsidRDefault="00440FCD" w:rsidP="007D373E">
      <w:pPr>
        <w:pStyle w:val="ListParagraph"/>
        <w:numPr>
          <w:ilvl w:val="0"/>
          <w:numId w:val="4"/>
        </w:numPr>
        <w:ind w:right="425"/>
      </w:pPr>
      <w:r w:rsidRPr="00932BDE">
        <w:t xml:space="preserve">In the previous 12 months, </w:t>
      </w:r>
      <w:r w:rsidR="00CA31CD" w:rsidRPr="00932BDE">
        <w:t xml:space="preserve">increases in notification rates </w:t>
      </w:r>
      <w:r w:rsidR="00CA31CD">
        <w:t>were observed across all groups (</w:t>
      </w:r>
      <w:r w:rsidR="00161488" w:rsidRPr="00932BDE">
        <w:t xml:space="preserve">Aboriginal and Torres Strait Islander </w:t>
      </w:r>
      <w:r w:rsidR="00932BDE" w:rsidRPr="00932BDE">
        <w:t>and non-Indigenous males and females</w:t>
      </w:r>
      <w:r w:rsidR="00CA31CD">
        <w:t>)</w:t>
      </w:r>
      <w:r w:rsidR="00AC01CB" w:rsidRPr="00932BDE">
        <w:t xml:space="preserve"> </w:t>
      </w:r>
      <w:r w:rsidRPr="00932BDE">
        <w:t>compared to the preceding 12 months</w:t>
      </w:r>
      <w:r w:rsidR="00AC01CB" w:rsidRPr="00932BDE">
        <w:t xml:space="preserve"> (</w:t>
      </w:r>
      <w:r w:rsidR="00932BDE" w:rsidRPr="00932BDE">
        <w:t>Q2 2021 – Q1 2022</w:t>
      </w:r>
      <w:r w:rsidR="00AC01CB" w:rsidRPr="00932BDE">
        <w:t>)</w:t>
      </w:r>
      <w:r w:rsidR="00932BDE" w:rsidRPr="00932BDE">
        <w:t>. The greatest rate increase was reported in non-Indigenous females (23%), followed by Aboriginal and Torres Strait Islander females (14%), Aboriginal and Torres Strait Islander males (10%) and non-Indigenous males (5%).</w:t>
      </w:r>
    </w:p>
    <w:p w14:paraId="3543E518" w14:textId="3A1B45F9" w:rsidR="00D5729F" w:rsidRPr="00932BDE" w:rsidRDefault="007912B2" w:rsidP="007D373E">
      <w:pPr>
        <w:pStyle w:val="ListParagraph"/>
        <w:numPr>
          <w:ilvl w:val="0"/>
          <w:numId w:val="4"/>
        </w:numPr>
        <w:ind w:right="141"/>
      </w:pPr>
      <w:r w:rsidRPr="00932BDE">
        <w:t xml:space="preserve">Compared to the </w:t>
      </w:r>
      <w:r w:rsidR="00AC01CB" w:rsidRPr="00932BDE">
        <w:t>5-year</w:t>
      </w:r>
      <w:r w:rsidR="004C6828" w:rsidRPr="00932BDE">
        <w:t xml:space="preserve"> mean</w:t>
      </w:r>
      <w:r w:rsidR="00D10D18" w:rsidRPr="00932BDE">
        <w:t>,</w:t>
      </w:r>
      <w:r w:rsidR="008A3782" w:rsidRPr="00932BDE">
        <w:t xml:space="preserve"> </w:t>
      </w:r>
      <w:r w:rsidR="0013568C" w:rsidRPr="00932BDE">
        <w:t>notification rates</w:t>
      </w:r>
      <w:r w:rsidR="003F7D2A" w:rsidRPr="00932BDE">
        <w:t xml:space="preserve"> increased</w:t>
      </w:r>
      <w:r w:rsidR="0013568C" w:rsidRPr="00932BDE">
        <w:t xml:space="preserve"> in </w:t>
      </w:r>
      <w:r w:rsidR="008A3782" w:rsidRPr="00932BDE">
        <w:t xml:space="preserve">non-Indigenous </w:t>
      </w:r>
      <w:r w:rsidR="00E95A38" w:rsidRPr="00932BDE">
        <w:t>fe</w:t>
      </w:r>
      <w:r w:rsidR="008A3782" w:rsidRPr="00932BDE">
        <w:t>males</w:t>
      </w:r>
      <w:r w:rsidR="0013568C" w:rsidRPr="00932BDE">
        <w:t xml:space="preserve"> </w:t>
      </w:r>
      <w:r w:rsidR="003F7D2A" w:rsidRPr="00932BDE">
        <w:t>(</w:t>
      </w:r>
      <w:r w:rsidR="00932BDE" w:rsidRPr="00932BDE">
        <w:t>25</w:t>
      </w:r>
      <w:r w:rsidR="00E95A38" w:rsidRPr="00932BDE">
        <w:t>%</w:t>
      </w:r>
      <w:r w:rsidR="003F7D2A" w:rsidRPr="00932BDE">
        <w:t xml:space="preserve">), Aboriginal and Torres Strait Islander </w:t>
      </w:r>
      <w:r w:rsidR="00932BDE" w:rsidRPr="00932BDE">
        <w:t>fe</w:t>
      </w:r>
      <w:r w:rsidR="003F7D2A" w:rsidRPr="00932BDE">
        <w:t>males (</w:t>
      </w:r>
      <w:r w:rsidR="00932BDE" w:rsidRPr="00932BDE">
        <w:t>11</w:t>
      </w:r>
      <w:r w:rsidR="003F7D2A" w:rsidRPr="00932BDE">
        <w:t>%)</w:t>
      </w:r>
      <w:r w:rsidR="00932BDE" w:rsidRPr="00932BDE">
        <w:t xml:space="preserve"> and</w:t>
      </w:r>
      <w:r w:rsidR="003F7D2A" w:rsidRPr="00932BDE">
        <w:t xml:space="preserve"> Aboriginal and Torres Strait Islander males (</w:t>
      </w:r>
      <w:r w:rsidR="00932BDE" w:rsidRPr="00932BDE">
        <w:t>9</w:t>
      </w:r>
      <w:r w:rsidR="003F7D2A" w:rsidRPr="00932BDE">
        <w:t xml:space="preserve">%). Notification rates </w:t>
      </w:r>
      <w:r w:rsidR="00AC01CB" w:rsidRPr="00932BDE">
        <w:t>remained the same</w:t>
      </w:r>
      <w:r w:rsidR="003F7D2A" w:rsidRPr="00932BDE">
        <w:t xml:space="preserve"> in non-Indigenous males.</w:t>
      </w:r>
      <w:r w:rsidR="00E95A38" w:rsidRPr="00932BDE">
        <w:t xml:space="preserve"> </w:t>
      </w:r>
    </w:p>
    <w:p w14:paraId="2C3DB4E5" w14:textId="77777777" w:rsidR="002B0BDB" w:rsidRDefault="002B0BDB" w:rsidP="007D373E">
      <w:pPr>
        <w:pStyle w:val="Caption"/>
        <w:ind w:right="141"/>
        <w:rPr>
          <w:highlight w:val="yellow"/>
        </w:rPr>
      </w:pPr>
    </w:p>
    <w:p w14:paraId="47E08B0F" w14:textId="1FA1B32D" w:rsidR="00932BDE" w:rsidRPr="00932BDE" w:rsidRDefault="00932BDE" w:rsidP="00932BDE">
      <w:pPr>
        <w:rPr>
          <w:highlight w:val="yellow"/>
        </w:rPr>
        <w:sectPr w:rsidR="00932BDE" w:rsidRPr="00932BDE" w:rsidSect="008B0462">
          <w:headerReference w:type="default" r:id="rId8"/>
          <w:footerReference w:type="default" r:id="rId9"/>
          <w:footnotePr>
            <w:numFmt w:val="lowerRoman"/>
          </w:footnotePr>
          <w:endnotePr>
            <w:numFmt w:val="decimal"/>
          </w:endnotePr>
          <w:pgSz w:w="11906" w:h="16838" w:code="9"/>
          <w:pgMar w:top="142" w:right="680" w:bottom="709" w:left="851" w:header="285" w:footer="130" w:gutter="0"/>
          <w:cols w:space="720"/>
          <w:docGrid w:linePitch="360"/>
        </w:sectPr>
      </w:pPr>
    </w:p>
    <w:p w14:paraId="787FF3B0" w14:textId="31886549" w:rsidR="00293B9D" w:rsidRPr="0069463E" w:rsidRDefault="00293B9D" w:rsidP="002B5E45">
      <w:pPr>
        <w:pStyle w:val="Caption"/>
        <w:spacing w:before="0" w:after="0"/>
        <w:ind w:right="-454"/>
      </w:pPr>
      <w:r w:rsidRPr="0069463E">
        <w:lastRenderedPageBreak/>
        <w:t>Figure 1: Notifications (n) and notification rate (per 100,000) of infectious syphilis* reported, by Indigenou</w:t>
      </w:r>
      <w:r w:rsidR="00373FCE" w:rsidRPr="0069463E">
        <w:t xml:space="preserve">s status, sex, quarter and year, 2010 – </w:t>
      </w:r>
      <w:r w:rsidR="0069463E">
        <w:t xml:space="preserve">Q1 </w:t>
      </w:r>
      <w:r w:rsidR="00373FCE" w:rsidRPr="0069463E">
        <w:t>202</w:t>
      </w:r>
      <w:r w:rsidR="0069463E" w:rsidRPr="0069463E">
        <w:t>3</w:t>
      </w:r>
    </w:p>
    <w:p w14:paraId="2F718DEE" w14:textId="24F8E16A" w:rsidR="00293B9D" w:rsidRPr="0069463E" w:rsidRDefault="0069463E" w:rsidP="002B5E45">
      <w:pPr>
        <w:spacing w:before="0" w:after="0"/>
        <w:rPr>
          <w:sz w:val="16"/>
        </w:rPr>
      </w:pPr>
      <w:r>
        <w:rPr>
          <w:noProof/>
          <w:sz w:val="16"/>
        </w:rPr>
        <w:drawing>
          <wp:inline distT="0" distB="0" distL="0" distR="0" wp14:anchorId="67D22852" wp14:editId="74F0B29D">
            <wp:extent cx="8886825" cy="5794542"/>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9320" cy="5802689"/>
                    </a:xfrm>
                    <a:prstGeom prst="rect">
                      <a:avLst/>
                    </a:prstGeom>
                    <a:noFill/>
                  </pic:spPr>
                </pic:pic>
              </a:graphicData>
            </a:graphic>
          </wp:inline>
        </w:drawing>
      </w:r>
      <w:r w:rsidR="00733CA2" w:rsidRPr="0069463E">
        <w:br w:type="textWrapping" w:clear="all"/>
      </w:r>
      <w:r w:rsidR="00293B9D" w:rsidRPr="0069463E">
        <w:rPr>
          <w:sz w:val="16"/>
        </w:rPr>
        <w:t>*Excludes cases for whom sex and/or Indigenous status was not reported.</w:t>
      </w:r>
    </w:p>
    <w:p w14:paraId="180DE25E" w14:textId="77777777" w:rsidR="002B0BDB" w:rsidRPr="0069463E" w:rsidRDefault="002B0BDB" w:rsidP="00D17161">
      <w:pPr>
        <w:rPr>
          <w:i/>
          <w:highlight w:val="yellow"/>
        </w:rPr>
        <w:sectPr w:rsidR="002B0BDB" w:rsidRPr="0069463E" w:rsidSect="002B0BDB">
          <w:footnotePr>
            <w:numFmt w:val="lowerRoman"/>
          </w:footnotePr>
          <w:endnotePr>
            <w:numFmt w:val="decimal"/>
          </w:endnotePr>
          <w:pgSz w:w="16838" w:h="11906" w:orient="landscape" w:code="9"/>
          <w:pgMar w:top="567" w:right="1134" w:bottom="680" w:left="709" w:header="284" w:footer="130" w:gutter="0"/>
          <w:cols w:space="720"/>
          <w:docGrid w:linePitch="360"/>
        </w:sectPr>
      </w:pPr>
    </w:p>
    <w:p w14:paraId="340A436C" w14:textId="0C43973E" w:rsidR="001868BA" w:rsidRPr="0093153E" w:rsidRDefault="001868BA" w:rsidP="00D17161">
      <w:pPr>
        <w:rPr>
          <w:rStyle w:val="Emphasis"/>
        </w:rPr>
      </w:pPr>
      <w:r w:rsidRPr="0093153E">
        <w:rPr>
          <w:rStyle w:val="Emphasis"/>
        </w:rPr>
        <w:lastRenderedPageBreak/>
        <w:t>Remoteness area</w:t>
      </w:r>
    </w:p>
    <w:p w14:paraId="149FD934" w14:textId="0EFC3D21" w:rsidR="009239C7" w:rsidRPr="0093153E" w:rsidRDefault="00175C6D" w:rsidP="002B0BDB">
      <w:r w:rsidRPr="0093153E">
        <w:t>Across all remoteness areas</w:t>
      </w:r>
      <w:r w:rsidR="00D17161" w:rsidRPr="0093153E">
        <w:t xml:space="preserve"> of Australia</w:t>
      </w:r>
      <w:r w:rsidR="007B1EE8" w:rsidRPr="0093153E">
        <w:t>,</w:t>
      </w:r>
      <w:r w:rsidRPr="0093153E">
        <w:t xml:space="preserve"> Aboriginal and Torre</w:t>
      </w:r>
      <w:r w:rsidR="007B1EE8" w:rsidRPr="0093153E">
        <w:t>s Strait Islander men and women</w:t>
      </w:r>
      <w:r w:rsidRPr="0093153E">
        <w:t xml:space="preserve"> have substanti</w:t>
      </w:r>
      <w:r w:rsidR="006C209D" w:rsidRPr="0093153E">
        <w:t xml:space="preserve">ally higher notification rates </w:t>
      </w:r>
      <w:r w:rsidRPr="0093153E">
        <w:t>compared to non-Indigenous men and women (</w:t>
      </w:r>
      <w:r w:rsidR="00D10D18" w:rsidRPr="0093153E">
        <w:t>F</w:t>
      </w:r>
      <w:r w:rsidRPr="0093153E">
        <w:t>igures</w:t>
      </w:r>
      <w:r w:rsidR="00D17161" w:rsidRPr="0093153E">
        <w:t xml:space="preserve"> 2 a-c and 3 a-c).</w:t>
      </w:r>
    </w:p>
    <w:p w14:paraId="77A98130" w14:textId="6D33DB47" w:rsidR="00D17161" w:rsidRPr="0069463E" w:rsidRDefault="00E64F95" w:rsidP="002B0BDB">
      <w:pPr>
        <w:rPr>
          <w:highlight w:val="yellow"/>
        </w:rPr>
      </w:pPr>
      <w:r w:rsidRPr="0093153E">
        <w:t>In the previous 12 months (</w:t>
      </w:r>
      <w:r w:rsidR="0093153E" w:rsidRPr="0093153E">
        <w:t>Q2 2022 – Q1 2023</w:t>
      </w:r>
      <w:r w:rsidRPr="0093153E">
        <w:t>)</w:t>
      </w:r>
      <w:r w:rsidR="001868BA" w:rsidRPr="0093153E">
        <w:t xml:space="preserve"> </w:t>
      </w:r>
      <w:r w:rsidRPr="0093153E">
        <w:t>the highest notification rates were reported among Aboriginal and Torres Strait Islander men and women</w:t>
      </w:r>
      <w:r w:rsidR="009239C7" w:rsidRPr="0093153E">
        <w:t xml:space="preserve"> aged 15-34 year</w:t>
      </w:r>
      <w:r w:rsidR="006C209D" w:rsidRPr="0093153E">
        <w:t>s old</w:t>
      </w:r>
      <w:r w:rsidRPr="0093153E">
        <w:t xml:space="preserve"> residing in </w:t>
      </w:r>
      <w:r w:rsidR="009239C7" w:rsidRPr="0093153E">
        <w:t>remote and very remote areas of Australia, reflecting sustained transmission associated with the</w:t>
      </w:r>
      <w:r w:rsidR="00785063" w:rsidRPr="0093153E">
        <w:t xml:space="preserve"> infectious syphilis</w:t>
      </w:r>
      <w:r w:rsidR="009239C7" w:rsidRPr="0093153E">
        <w:t xml:space="preserve"> outbreak in Queensland, the Northern Territory, Western</w:t>
      </w:r>
      <w:r w:rsidR="00011C0B" w:rsidRPr="0093153E">
        <w:t xml:space="preserve"> Australia and South Australia (see Target 3 below for further information on the outbreak).</w:t>
      </w:r>
    </w:p>
    <w:p w14:paraId="6B2258B9" w14:textId="511656E2" w:rsidR="001868BA" w:rsidRPr="00921E45" w:rsidRDefault="001868BA" w:rsidP="00057598">
      <w:pPr>
        <w:pStyle w:val="ListNumber2"/>
        <w:rPr>
          <w:i/>
        </w:rPr>
      </w:pPr>
      <w:r w:rsidRPr="00921E45">
        <w:rPr>
          <w:i/>
        </w:rPr>
        <w:t>Major cities</w:t>
      </w:r>
    </w:p>
    <w:p w14:paraId="13AEDD55" w14:textId="1DB68B9D" w:rsidR="006065CD" w:rsidRPr="0093153E" w:rsidRDefault="00D51EF1" w:rsidP="0093153E">
      <w:pPr>
        <w:ind w:left="360"/>
      </w:pPr>
      <w:r w:rsidRPr="0093153E">
        <w:t>Non-Indigenous men represented the</w:t>
      </w:r>
      <w:r w:rsidR="001868BA" w:rsidRPr="0093153E">
        <w:t xml:space="preserve"> greatest proportion</w:t>
      </w:r>
      <w:r w:rsidR="007A297A" w:rsidRPr="0093153E">
        <w:t xml:space="preserve"> (8</w:t>
      </w:r>
      <w:r w:rsidR="0093153E" w:rsidRPr="0093153E">
        <w:t>2</w:t>
      </w:r>
      <w:r w:rsidR="00EA1924" w:rsidRPr="0093153E">
        <w:t>%)</w:t>
      </w:r>
      <w:r w:rsidR="001868BA" w:rsidRPr="0093153E">
        <w:t xml:space="preserve"> of syphilis notifications in major cities across Australia</w:t>
      </w:r>
      <w:r w:rsidRPr="0093153E">
        <w:t xml:space="preserve">. Notification rates in this population group </w:t>
      </w:r>
      <w:r w:rsidR="001868BA" w:rsidRPr="0093153E">
        <w:t xml:space="preserve">observed </w:t>
      </w:r>
      <w:r w:rsidR="0093153E" w:rsidRPr="0093153E">
        <w:t xml:space="preserve">increases </w:t>
      </w:r>
      <w:r w:rsidR="00D33087" w:rsidRPr="0093153E">
        <w:t>across all age groups</w:t>
      </w:r>
      <w:r w:rsidR="00616D13" w:rsidRPr="0093153E">
        <w:t xml:space="preserve">, </w:t>
      </w:r>
      <w:r w:rsidR="00065C11">
        <w:t>when</w:t>
      </w:r>
      <w:r w:rsidR="00616D13" w:rsidRPr="0093153E">
        <w:t xml:space="preserve"> </w:t>
      </w:r>
      <w:r w:rsidR="00204F78">
        <w:t>comparing</w:t>
      </w:r>
      <w:r w:rsidR="001868BA" w:rsidRPr="0093153E">
        <w:t xml:space="preserve"> the p</w:t>
      </w:r>
      <w:r w:rsidR="00C34C90" w:rsidRPr="0093153E">
        <w:t>revious</w:t>
      </w:r>
      <w:r w:rsidR="001868BA" w:rsidRPr="0093153E">
        <w:t xml:space="preserve"> 12 months to the preceding 12 months (</w:t>
      </w:r>
      <w:r w:rsidR="0093153E" w:rsidRPr="0093153E">
        <w:t>Q2 2021 – Q1 2022</w:t>
      </w:r>
      <w:r w:rsidR="009526C9" w:rsidRPr="0093153E">
        <w:t xml:space="preserve">). </w:t>
      </w:r>
      <w:r w:rsidRPr="0093153E">
        <w:t>Aboriginal and Torres Strait Islander</w:t>
      </w:r>
      <w:r w:rsidR="0093153E" w:rsidRPr="0093153E">
        <w:t xml:space="preserve"> and non-Indigenous </w:t>
      </w:r>
      <w:r w:rsidR="00CE6C4F" w:rsidRPr="0093153E">
        <w:t>women aged</w:t>
      </w:r>
      <w:r w:rsidR="00D33087" w:rsidRPr="0093153E">
        <w:t xml:space="preserve"> </w:t>
      </w:r>
      <w:r w:rsidR="0093153E" w:rsidRPr="0093153E">
        <w:t>45+</w:t>
      </w:r>
      <w:r w:rsidR="00D33087" w:rsidRPr="0093153E">
        <w:t xml:space="preserve"> years</w:t>
      </w:r>
      <w:r w:rsidR="00CE6C4F" w:rsidRPr="0093153E">
        <w:t xml:space="preserve"> </w:t>
      </w:r>
      <w:r w:rsidR="00D33087" w:rsidRPr="0093153E">
        <w:t>observed the greatest increase</w:t>
      </w:r>
      <w:r w:rsidR="00CE6C4F" w:rsidRPr="0093153E">
        <w:t xml:space="preserve">s overall compared to the preceding 12 months, </w:t>
      </w:r>
      <w:r w:rsidR="0093153E" w:rsidRPr="0093153E">
        <w:t>with both population groups reporting an increase of 86%</w:t>
      </w:r>
      <w:r w:rsidR="00D33087" w:rsidRPr="0093153E">
        <w:t>.</w:t>
      </w:r>
      <w:r w:rsidR="0093153E" w:rsidRPr="0093153E">
        <w:t xml:space="preserve"> Increases were reported across all age groups among Aboriginal and Torres Strait Islander and non-Indigenous women. Aboriginal and Torres Strait Islander men were the only population group to report a decrease in any age group, with rates in 35-44 year declining by 11%</w:t>
      </w:r>
      <w:r w:rsidR="006642BF" w:rsidRPr="0093153E">
        <w:t xml:space="preserve"> </w:t>
      </w:r>
      <w:r w:rsidR="00B13504" w:rsidRPr="0093153E">
        <w:t>(Figures 2a and 3a).</w:t>
      </w:r>
    </w:p>
    <w:p w14:paraId="1E111605" w14:textId="453F07A3" w:rsidR="001868BA" w:rsidRPr="0093153E" w:rsidRDefault="001868BA" w:rsidP="006065CD">
      <w:pPr>
        <w:pStyle w:val="ListParagraph"/>
        <w:numPr>
          <w:ilvl w:val="0"/>
          <w:numId w:val="4"/>
        </w:numPr>
        <w:rPr>
          <w:i/>
        </w:rPr>
      </w:pPr>
      <w:r w:rsidRPr="0093153E">
        <w:rPr>
          <w:i/>
        </w:rPr>
        <w:t>Inner and outer regional areas</w:t>
      </w:r>
    </w:p>
    <w:p w14:paraId="778831EA" w14:textId="006DA0C2" w:rsidR="00202970" w:rsidRPr="0093153E" w:rsidRDefault="00EA1924" w:rsidP="0010338B">
      <w:pPr>
        <w:ind w:left="360"/>
      </w:pPr>
      <w:r w:rsidRPr="0093153E">
        <w:t>Non-Indigenous men represented the greatest proportion of cases</w:t>
      </w:r>
      <w:r w:rsidR="007A297A" w:rsidRPr="0093153E">
        <w:t xml:space="preserve"> reported in the past 12</w:t>
      </w:r>
      <w:r w:rsidR="00D10D18" w:rsidRPr="0093153E">
        <w:t xml:space="preserve"> months</w:t>
      </w:r>
      <w:r w:rsidRPr="0093153E">
        <w:t xml:space="preserve"> in inner and out</w:t>
      </w:r>
      <w:r w:rsidR="007A297A" w:rsidRPr="0093153E">
        <w:t>er regional areas (</w:t>
      </w:r>
      <w:r w:rsidR="00767F7A" w:rsidRPr="0093153E">
        <w:t>4</w:t>
      </w:r>
      <w:r w:rsidR="0093153E" w:rsidRPr="0093153E">
        <w:t>9</w:t>
      </w:r>
      <w:r w:rsidRPr="0093153E">
        <w:t>%) followed by</w:t>
      </w:r>
      <w:r w:rsidR="009905A0" w:rsidRPr="0093153E">
        <w:t xml:space="preserve"> non-Indigenous women (18%) and</w:t>
      </w:r>
      <w:r w:rsidRPr="0093153E">
        <w:t xml:space="preserve"> Aboriginal and Torres Strait Islander </w:t>
      </w:r>
      <w:r w:rsidR="0093153E" w:rsidRPr="0093153E">
        <w:t>men and women</w:t>
      </w:r>
      <w:r w:rsidRPr="0093153E">
        <w:t xml:space="preserve"> (</w:t>
      </w:r>
      <w:r w:rsidR="00767F7A" w:rsidRPr="0093153E">
        <w:t>1</w:t>
      </w:r>
      <w:r w:rsidR="00B13504" w:rsidRPr="0093153E">
        <w:t>8</w:t>
      </w:r>
      <w:r w:rsidR="003D5DCD" w:rsidRPr="0093153E">
        <w:t>%</w:t>
      </w:r>
      <w:r w:rsidR="009905A0" w:rsidRPr="0093153E">
        <w:t xml:space="preserve"> and 1</w:t>
      </w:r>
      <w:r w:rsidR="0093153E" w:rsidRPr="0093153E">
        <w:t>6</w:t>
      </w:r>
      <w:r w:rsidR="009905A0" w:rsidRPr="0093153E">
        <w:t>% respectively</w:t>
      </w:r>
      <w:r w:rsidR="003D5DCD" w:rsidRPr="0093153E">
        <w:t>)</w:t>
      </w:r>
      <w:r w:rsidR="0010338B" w:rsidRPr="0093153E">
        <w:rPr>
          <w:rStyle w:val="FootnoteReference"/>
        </w:rPr>
        <w:footnoteReference w:id="7"/>
      </w:r>
      <w:r w:rsidR="009905A0" w:rsidRPr="0093153E">
        <w:t xml:space="preserve">. </w:t>
      </w:r>
      <w:r w:rsidR="0093153E" w:rsidRPr="0093153E">
        <w:t>With the exception of Aboriginal and Torres Strait Islander men aged 15-24 years, notification rates across all age and population groups increased in the past 12 months compared to preceding 12 months. The greatest increase</w:t>
      </w:r>
      <w:r w:rsidR="0093153E">
        <w:t>s</w:t>
      </w:r>
      <w:r w:rsidR="0093153E" w:rsidRPr="0093153E">
        <w:t xml:space="preserve"> w</w:t>
      </w:r>
      <w:r w:rsidR="0093153E">
        <w:t xml:space="preserve">ere </w:t>
      </w:r>
      <w:r w:rsidR="0093153E" w:rsidRPr="0093153E">
        <w:t xml:space="preserve">among </w:t>
      </w:r>
      <w:r w:rsidR="0093153E">
        <w:t>Aboriginal and Torres Strait Islander men aged 35-44 years</w:t>
      </w:r>
      <w:r w:rsidR="004641E2">
        <w:t xml:space="preserve"> (208%)</w:t>
      </w:r>
      <w:r w:rsidR="0093153E">
        <w:t xml:space="preserve"> in the past 12 </w:t>
      </w:r>
      <w:r w:rsidR="0093153E" w:rsidRPr="0093153E">
        <w:t>months compared to the preceding 12 months, followed by non-Indigenous females (127%) of the same age group</w:t>
      </w:r>
      <w:r w:rsidR="0010338B" w:rsidRPr="0093153E">
        <w:t xml:space="preserve"> </w:t>
      </w:r>
      <w:r w:rsidR="004917FE" w:rsidRPr="0093153E">
        <w:t>(Figures 2b</w:t>
      </w:r>
      <w:r w:rsidRPr="0093153E">
        <w:t xml:space="preserve"> and 3b).</w:t>
      </w:r>
    </w:p>
    <w:p w14:paraId="7A4ABC7C" w14:textId="246EA147" w:rsidR="001868BA" w:rsidRPr="0093153E" w:rsidRDefault="001868BA" w:rsidP="00202970">
      <w:pPr>
        <w:pStyle w:val="ListParagraph"/>
        <w:numPr>
          <w:ilvl w:val="0"/>
          <w:numId w:val="4"/>
        </w:numPr>
        <w:rPr>
          <w:i/>
        </w:rPr>
      </w:pPr>
      <w:r w:rsidRPr="0093153E">
        <w:rPr>
          <w:i/>
        </w:rPr>
        <w:t>Remote and very remote areas</w:t>
      </w:r>
    </w:p>
    <w:p w14:paraId="5E43C070" w14:textId="28C0937A" w:rsidR="001868BA" w:rsidRPr="0093153E" w:rsidRDefault="007A297A" w:rsidP="00FD128D">
      <w:pPr>
        <w:ind w:left="360"/>
      </w:pPr>
      <w:r w:rsidRPr="0093153E">
        <w:t>Aboriginal and Torres Strait Islander women and me</w:t>
      </w:r>
      <w:r w:rsidR="00D10D18" w:rsidRPr="0093153E">
        <w:t xml:space="preserve">n represented </w:t>
      </w:r>
      <w:r w:rsidR="006642BF" w:rsidRPr="0093153E">
        <w:t>9</w:t>
      </w:r>
      <w:r w:rsidR="0093153E" w:rsidRPr="0093153E">
        <w:t>4</w:t>
      </w:r>
      <w:r w:rsidR="00D10D18" w:rsidRPr="0093153E">
        <w:t xml:space="preserve">% </w:t>
      </w:r>
      <w:r w:rsidRPr="0093153E">
        <w:t>of cases reported over the previous 12</w:t>
      </w:r>
      <w:r w:rsidR="00A14E41" w:rsidRPr="0093153E">
        <w:t> </w:t>
      </w:r>
      <w:r w:rsidRPr="0093153E">
        <w:t>months</w:t>
      </w:r>
      <w:r w:rsidR="00B37221" w:rsidRPr="0093153E">
        <w:t xml:space="preserve"> </w:t>
      </w:r>
      <w:r w:rsidRPr="0093153E">
        <w:t xml:space="preserve">in remote and very remote areas of Australia. Across all remoteness areas, notification rates were highest in Aboriginal and Torres Strait Islander men and women, particularly in </w:t>
      </w:r>
      <w:r w:rsidR="00C67DB5" w:rsidRPr="0093153E">
        <w:t>the 1</w:t>
      </w:r>
      <w:r w:rsidR="003F5BD3" w:rsidRPr="0093153E">
        <w:t>5</w:t>
      </w:r>
      <w:r w:rsidR="00C67DB5" w:rsidRPr="0093153E">
        <w:t>-</w:t>
      </w:r>
      <w:r w:rsidR="0093153E" w:rsidRPr="0093153E">
        <w:t>2</w:t>
      </w:r>
      <w:r w:rsidR="00C67DB5" w:rsidRPr="0093153E">
        <w:t>4</w:t>
      </w:r>
      <w:r w:rsidR="0093153E" w:rsidRPr="0093153E">
        <w:t xml:space="preserve"> and 25-34 </w:t>
      </w:r>
      <w:r w:rsidR="00C67DB5" w:rsidRPr="0093153E">
        <w:t>year age group</w:t>
      </w:r>
      <w:r w:rsidR="0093153E" w:rsidRPr="0093153E">
        <w:t>s</w:t>
      </w:r>
      <w:r w:rsidR="003F5BD3" w:rsidRPr="0093153E">
        <w:t xml:space="preserve"> </w:t>
      </w:r>
      <w:r w:rsidRPr="0093153E">
        <w:t xml:space="preserve">(Figures 2c and 3c).  </w:t>
      </w:r>
    </w:p>
    <w:p w14:paraId="2D8477A5" w14:textId="16FF280C" w:rsidR="00C12594" w:rsidRPr="0069463E" w:rsidRDefault="00175C6D" w:rsidP="00C12594">
      <w:pPr>
        <w:rPr>
          <w:highlight w:val="yellow"/>
        </w:rPr>
        <w:sectPr w:rsidR="00C12594" w:rsidRPr="0069463E" w:rsidSect="00432E6F">
          <w:footnotePr>
            <w:numFmt w:val="lowerRoman"/>
          </w:footnotePr>
          <w:endnotePr>
            <w:numFmt w:val="decimal"/>
          </w:endnotePr>
          <w:pgSz w:w="11906" w:h="16838" w:code="9"/>
          <w:pgMar w:top="1136" w:right="680" w:bottom="709" w:left="851" w:header="285" w:footer="130" w:gutter="0"/>
          <w:cols w:space="720"/>
          <w:docGrid w:linePitch="360"/>
        </w:sectPr>
      </w:pPr>
      <w:r w:rsidRPr="0069463E">
        <w:rPr>
          <w:highlight w:val="yellow"/>
        </w:rPr>
        <w:t xml:space="preserve"> </w:t>
      </w:r>
    </w:p>
    <w:p w14:paraId="3869E0A1" w14:textId="6EEDFAAE" w:rsidR="00E761BB" w:rsidRPr="0069463E" w:rsidRDefault="002E48ED" w:rsidP="00690DC3">
      <w:pPr>
        <w:pStyle w:val="Caption"/>
        <w:spacing w:before="0" w:after="0"/>
        <w:rPr>
          <w:sz w:val="16"/>
        </w:rPr>
      </w:pPr>
      <w:r w:rsidRPr="0069463E">
        <w:lastRenderedPageBreak/>
        <w:t>Figure 2</w:t>
      </w:r>
      <w:r w:rsidR="00292E23" w:rsidRPr="0069463E">
        <w:t xml:space="preserve"> a-c: </w:t>
      </w:r>
      <w:r w:rsidRPr="0069463E">
        <w:t>Notifications (n) and notification rate (per 100,000) of infectious syphilis reported in males, by Indigenous status, remoteness area</w:t>
      </w:r>
      <w:r w:rsidR="00502729" w:rsidRPr="0069463E">
        <w:t>, age</w:t>
      </w:r>
      <w:r w:rsidR="00373FCE" w:rsidRPr="0069463E">
        <w:t xml:space="preserve">, quarter and year, 2015 – </w:t>
      </w:r>
      <w:r w:rsidR="0069463E" w:rsidRPr="0069463E">
        <w:t xml:space="preserve">Q1 </w:t>
      </w:r>
      <w:r w:rsidR="00373FCE" w:rsidRPr="0069463E">
        <w:t>202</w:t>
      </w:r>
      <w:r w:rsidR="0069463E" w:rsidRPr="0069463E">
        <w:t xml:space="preserve">3 </w:t>
      </w:r>
      <w:r w:rsidRPr="0069463E">
        <w:t>(a. Major cities, b. Inner and outer regional areas and c. Remote and very remote areas)</w:t>
      </w:r>
      <w:r w:rsidR="00202970" w:rsidRPr="0069463E">
        <w:t>*</w:t>
      </w:r>
      <w:r w:rsidR="00CE583A" w:rsidRPr="0069463E">
        <w:rPr>
          <w:sz w:val="16"/>
        </w:rPr>
        <w:t xml:space="preserve">     </w:t>
      </w:r>
    </w:p>
    <w:p w14:paraId="6411FAD9" w14:textId="7EDE950B" w:rsidR="00AA2313" w:rsidRPr="0069463E" w:rsidRDefault="0069463E" w:rsidP="00690DC3">
      <w:pPr>
        <w:tabs>
          <w:tab w:val="left" w:pos="729"/>
        </w:tabs>
        <w:spacing w:before="0" w:after="0"/>
      </w:pPr>
      <w:r w:rsidRPr="0069463E">
        <w:rPr>
          <w:noProof/>
        </w:rPr>
        <w:drawing>
          <wp:inline distT="0" distB="0" distL="0" distR="0" wp14:anchorId="6FB7FF40" wp14:editId="6CAF8DCB">
            <wp:extent cx="6305550" cy="4111456"/>
            <wp:effectExtent l="0" t="0" r="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13144" cy="4116408"/>
                    </a:xfrm>
                    <a:prstGeom prst="rect">
                      <a:avLst/>
                    </a:prstGeom>
                    <a:noFill/>
                  </pic:spPr>
                </pic:pic>
              </a:graphicData>
            </a:graphic>
          </wp:inline>
        </w:drawing>
      </w:r>
    </w:p>
    <w:p w14:paraId="0A61196E" w14:textId="04D07830" w:rsidR="00636AB3" w:rsidRPr="0069463E" w:rsidRDefault="0069463E" w:rsidP="00690DC3">
      <w:pPr>
        <w:tabs>
          <w:tab w:val="left" w:pos="729"/>
        </w:tabs>
        <w:spacing w:before="0" w:after="0"/>
      </w:pPr>
      <w:r w:rsidRPr="0069463E">
        <w:rPr>
          <w:noProof/>
        </w:rPr>
        <w:drawing>
          <wp:inline distT="0" distB="0" distL="0" distR="0" wp14:anchorId="75AF44EC" wp14:editId="1220983E">
            <wp:extent cx="6324600" cy="4123876"/>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37305" cy="4132160"/>
                    </a:xfrm>
                    <a:prstGeom prst="rect">
                      <a:avLst/>
                    </a:prstGeom>
                    <a:noFill/>
                  </pic:spPr>
                </pic:pic>
              </a:graphicData>
            </a:graphic>
          </wp:inline>
        </w:drawing>
      </w:r>
    </w:p>
    <w:p w14:paraId="3480FDE6" w14:textId="536655C1" w:rsidR="0010338B" w:rsidRPr="0069463E" w:rsidRDefault="0069463E" w:rsidP="00690DC3">
      <w:pPr>
        <w:spacing w:before="0" w:after="0"/>
        <w:rPr>
          <w:sz w:val="16"/>
        </w:rPr>
      </w:pPr>
      <w:r w:rsidRPr="0069463E">
        <w:rPr>
          <w:noProof/>
          <w:sz w:val="16"/>
        </w:rPr>
        <w:lastRenderedPageBreak/>
        <w:drawing>
          <wp:inline distT="0" distB="0" distL="0" distR="0" wp14:anchorId="0E71BF58" wp14:editId="5F4F51EC">
            <wp:extent cx="6325289" cy="412432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334666" cy="4130439"/>
                    </a:xfrm>
                    <a:prstGeom prst="rect">
                      <a:avLst/>
                    </a:prstGeom>
                    <a:noFill/>
                  </pic:spPr>
                </pic:pic>
              </a:graphicData>
            </a:graphic>
          </wp:inline>
        </w:drawing>
      </w:r>
    </w:p>
    <w:p w14:paraId="29E258CF" w14:textId="23CAC1FE" w:rsidR="00E41B63" w:rsidRPr="0069463E" w:rsidRDefault="00331E14" w:rsidP="00690DC3">
      <w:pPr>
        <w:spacing w:before="0" w:after="0"/>
        <w:rPr>
          <w:sz w:val="16"/>
        </w:rPr>
      </w:pPr>
      <w:r w:rsidRPr="0069463E">
        <w:rPr>
          <w:sz w:val="16"/>
        </w:rPr>
        <w:t>*Excludes cases for whom sex, age, Indigenous status and/or residential postcode were not reported</w:t>
      </w:r>
    </w:p>
    <w:p w14:paraId="096ACF3C" w14:textId="77777777" w:rsidR="002B5E45" w:rsidRPr="0069463E" w:rsidRDefault="002B5E45" w:rsidP="00690DC3">
      <w:pPr>
        <w:pStyle w:val="Caption"/>
        <w:spacing w:before="0" w:after="0"/>
        <w:rPr>
          <w:highlight w:val="yellow"/>
        </w:rPr>
      </w:pPr>
    </w:p>
    <w:p w14:paraId="463CE85E" w14:textId="08ABA288" w:rsidR="00541B4B" w:rsidRPr="0069463E" w:rsidRDefault="002E48ED" w:rsidP="00690DC3">
      <w:pPr>
        <w:pStyle w:val="Caption"/>
        <w:spacing w:before="0" w:after="0"/>
      </w:pPr>
      <w:r w:rsidRPr="0069463E">
        <w:t xml:space="preserve">Figure 3 a-c: Notifications (n) and notification rate (per 100,000) of infectious syphilis reported in females, by Indigenous status, remoteness area, </w:t>
      </w:r>
      <w:r w:rsidR="00502729" w:rsidRPr="0069463E">
        <w:t xml:space="preserve">age, </w:t>
      </w:r>
      <w:r w:rsidRPr="0069463E">
        <w:t>quarter and year</w:t>
      </w:r>
      <w:r w:rsidR="00373FCE" w:rsidRPr="0069463E">
        <w:t xml:space="preserve">, 2015 – </w:t>
      </w:r>
      <w:r w:rsidR="0069463E" w:rsidRPr="0069463E">
        <w:t xml:space="preserve">Q1 </w:t>
      </w:r>
      <w:r w:rsidR="00373FCE" w:rsidRPr="0069463E">
        <w:t>202</w:t>
      </w:r>
      <w:r w:rsidR="0069463E" w:rsidRPr="0069463E">
        <w:t>3</w:t>
      </w:r>
      <w:r w:rsidRPr="0069463E">
        <w:t xml:space="preserve"> (a. Major cities, b. Inner and outer regional areas and c. Remote and very remote area</w:t>
      </w:r>
      <w:r w:rsidR="007931CE" w:rsidRPr="0069463E">
        <w:t>*</w:t>
      </w:r>
    </w:p>
    <w:p w14:paraId="004B7B51" w14:textId="0C13595F" w:rsidR="00C2087D" w:rsidRPr="0069463E" w:rsidRDefault="00C2087D" w:rsidP="00690DC3">
      <w:pPr>
        <w:spacing w:before="0" w:after="0"/>
      </w:pPr>
      <w:r w:rsidRPr="0069463E">
        <w:t xml:space="preserve"> </w:t>
      </w:r>
      <w:r w:rsidR="0069463E" w:rsidRPr="0069463E">
        <w:rPr>
          <w:noProof/>
        </w:rPr>
        <w:drawing>
          <wp:inline distT="0" distB="0" distL="0" distR="0" wp14:anchorId="5EC3786F" wp14:editId="29260E3A">
            <wp:extent cx="6141085" cy="4004217"/>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66168" cy="4020572"/>
                    </a:xfrm>
                    <a:prstGeom prst="rect">
                      <a:avLst/>
                    </a:prstGeom>
                    <a:noFill/>
                  </pic:spPr>
                </pic:pic>
              </a:graphicData>
            </a:graphic>
          </wp:inline>
        </w:drawing>
      </w:r>
    </w:p>
    <w:p w14:paraId="474A2744" w14:textId="67066620" w:rsidR="00690DC3" w:rsidRPr="0069463E" w:rsidRDefault="00690DC3" w:rsidP="00690DC3">
      <w:pPr>
        <w:spacing w:before="0" w:after="0"/>
        <w:rPr>
          <w:sz w:val="16"/>
        </w:rPr>
      </w:pPr>
    </w:p>
    <w:p w14:paraId="5D7D859D" w14:textId="02F067C3" w:rsidR="002B5E45" w:rsidRPr="0069463E" w:rsidRDefault="0069463E" w:rsidP="00690DC3">
      <w:pPr>
        <w:spacing w:before="0" w:after="0"/>
        <w:rPr>
          <w:sz w:val="16"/>
        </w:rPr>
      </w:pPr>
      <w:r w:rsidRPr="0069463E">
        <w:rPr>
          <w:noProof/>
          <w:sz w:val="16"/>
        </w:rPr>
        <w:lastRenderedPageBreak/>
        <w:drawing>
          <wp:inline distT="0" distB="0" distL="0" distR="0" wp14:anchorId="2F8FEEC1" wp14:editId="4D014622">
            <wp:extent cx="6266856" cy="4086225"/>
            <wp:effectExtent l="0" t="0" r="63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73438" cy="4090517"/>
                    </a:xfrm>
                    <a:prstGeom prst="rect">
                      <a:avLst/>
                    </a:prstGeom>
                    <a:noFill/>
                  </pic:spPr>
                </pic:pic>
              </a:graphicData>
            </a:graphic>
          </wp:inline>
        </w:drawing>
      </w:r>
    </w:p>
    <w:p w14:paraId="2D8103C6" w14:textId="60DD74DD" w:rsidR="0010338B" w:rsidRPr="0069463E" w:rsidRDefault="0069463E" w:rsidP="00690DC3">
      <w:pPr>
        <w:spacing w:before="0" w:after="0"/>
        <w:rPr>
          <w:sz w:val="16"/>
        </w:rPr>
      </w:pPr>
      <w:r w:rsidRPr="0069463E">
        <w:rPr>
          <w:noProof/>
          <w:sz w:val="16"/>
        </w:rPr>
        <w:drawing>
          <wp:inline distT="0" distB="0" distL="0" distR="0" wp14:anchorId="017333C9" wp14:editId="3DC3FD9C">
            <wp:extent cx="6248400" cy="4074190"/>
            <wp:effectExtent l="0" t="0" r="0" b="254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272245" cy="4089738"/>
                    </a:xfrm>
                    <a:prstGeom prst="rect">
                      <a:avLst/>
                    </a:prstGeom>
                    <a:noFill/>
                  </pic:spPr>
                </pic:pic>
              </a:graphicData>
            </a:graphic>
          </wp:inline>
        </w:drawing>
      </w:r>
    </w:p>
    <w:p w14:paraId="19E01A4B" w14:textId="35C2D809" w:rsidR="0010338B" w:rsidRPr="0069463E" w:rsidRDefault="0010338B" w:rsidP="00690DC3">
      <w:pPr>
        <w:spacing w:before="0" w:after="0"/>
        <w:rPr>
          <w:sz w:val="16"/>
        </w:rPr>
      </w:pPr>
    </w:p>
    <w:p w14:paraId="0D71EE27" w14:textId="4FAF79CA" w:rsidR="00690DC3" w:rsidRPr="0069463E" w:rsidRDefault="00E82468" w:rsidP="00690DC3">
      <w:pPr>
        <w:spacing w:before="0" w:after="0"/>
      </w:pPr>
      <w:r w:rsidRPr="0069463E">
        <w:rPr>
          <w:sz w:val="16"/>
        </w:rPr>
        <w:t>*Excludes cases for whom sex, age, Indigenous status and/or residential postcode were not reported.</w:t>
      </w:r>
      <w:r w:rsidRPr="0069463E">
        <w:tab/>
      </w:r>
      <w:bookmarkEnd w:id="1"/>
    </w:p>
    <w:p w14:paraId="4D3ECE7F" w14:textId="77777777" w:rsidR="00690DC3" w:rsidRPr="0069463E" w:rsidRDefault="00690DC3">
      <w:pPr>
        <w:spacing w:before="0" w:after="0"/>
        <w:rPr>
          <w:highlight w:val="yellow"/>
        </w:rPr>
      </w:pPr>
      <w:r w:rsidRPr="0069463E">
        <w:rPr>
          <w:highlight w:val="yellow"/>
        </w:rPr>
        <w:br w:type="page"/>
      </w:r>
    </w:p>
    <w:p w14:paraId="19E94B14" w14:textId="0C1B46A5" w:rsidR="00EE344D" w:rsidRPr="0093153E" w:rsidRDefault="00EE344D" w:rsidP="00821C6B">
      <w:pPr>
        <w:pStyle w:val="Heading3"/>
      </w:pPr>
      <w:r w:rsidRPr="0093153E">
        <w:lastRenderedPageBreak/>
        <w:t>Indicator 1.2 - Rate of infectious syphilis among women of reproductive age (15-44 years)</w:t>
      </w:r>
    </w:p>
    <w:p w14:paraId="2B9A807A" w14:textId="13219450" w:rsidR="00DF6E38" w:rsidRPr="0069463E" w:rsidRDefault="00C22BB0" w:rsidP="001B2E79">
      <w:pPr>
        <w:ind w:right="283"/>
        <w:rPr>
          <w:rFonts w:eastAsiaTheme="minorHAnsi" w:cstheme="minorHAnsi"/>
          <w:szCs w:val="22"/>
          <w:highlight w:val="yellow"/>
          <w:lang w:val="en-US" w:eastAsia="en-US"/>
        </w:rPr>
      </w:pPr>
      <w:r w:rsidRPr="0093153E">
        <w:rPr>
          <w:rFonts w:eastAsiaTheme="minorHAnsi" w:cstheme="minorHAnsi"/>
          <w:szCs w:val="22"/>
          <w:lang w:val="en-US" w:eastAsia="en-US"/>
        </w:rPr>
        <w:t>Over the previous 12 months (</w:t>
      </w:r>
      <w:r w:rsidR="0093153E" w:rsidRPr="0093153E">
        <w:rPr>
          <w:rFonts w:eastAsiaTheme="minorHAnsi" w:cstheme="minorHAnsi"/>
          <w:szCs w:val="22"/>
          <w:lang w:val="en-US" w:eastAsia="en-US"/>
        </w:rPr>
        <w:t>Q2 2022 – Q1 2023</w:t>
      </w:r>
      <w:r w:rsidRPr="0093153E">
        <w:rPr>
          <w:rFonts w:eastAsiaTheme="minorHAnsi" w:cstheme="minorHAnsi"/>
          <w:szCs w:val="22"/>
          <w:lang w:val="en-US" w:eastAsia="en-US"/>
        </w:rPr>
        <w:t xml:space="preserve">) </w:t>
      </w:r>
      <w:r w:rsidR="006C209D" w:rsidRPr="0093153E">
        <w:rPr>
          <w:rFonts w:eastAsiaTheme="minorHAnsi" w:cstheme="minorHAnsi"/>
          <w:szCs w:val="22"/>
          <w:lang w:val="en-US" w:eastAsia="en-US"/>
        </w:rPr>
        <w:t xml:space="preserve">notifications of syphilis among </w:t>
      </w:r>
      <w:r w:rsidR="00D16A69" w:rsidRPr="0093153E">
        <w:rPr>
          <w:rFonts w:eastAsiaTheme="minorHAnsi" w:cstheme="minorHAnsi"/>
          <w:szCs w:val="22"/>
          <w:lang w:val="en-US" w:eastAsia="en-US"/>
        </w:rPr>
        <w:t>Aboriginal and Torres Strait Islander women aged 15-44 years</w:t>
      </w:r>
      <w:r w:rsidRPr="0093153E">
        <w:rPr>
          <w:rFonts w:eastAsiaTheme="minorHAnsi" w:cstheme="minorHAnsi"/>
          <w:szCs w:val="22"/>
          <w:lang w:val="en-US" w:eastAsia="en-US"/>
        </w:rPr>
        <w:t xml:space="preserve"> were predominately </w:t>
      </w:r>
      <w:r w:rsidR="006C209D" w:rsidRPr="0093153E">
        <w:rPr>
          <w:rFonts w:eastAsiaTheme="minorHAnsi" w:cstheme="minorHAnsi"/>
          <w:szCs w:val="22"/>
          <w:lang w:val="en-US" w:eastAsia="en-US"/>
        </w:rPr>
        <w:t xml:space="preserve">in </w:t>
      </w:r>
      <w:r w:rsidRPr="0093153E">
        <w:rPr>
          <w:rFonts w:eastAsiaTheme="minorHAnsi" w:cstheme="minorHAnsi"/>
          <w:szCs w:val="22"/>
          <w:lang w:val="en-US" w:eastAsia="en-US"/>
        </w:rPr>
        <w:t>residents of remote and very</w:t>
      </w:r>
      <w:r w:rsidR="007D373E" w:rsidRPr="0093153E">
        <w:rPr>
          <w:rFonts w:eastAsiaTheme="minorHAnsi" w:cstheme="minorHAnsi"/>
          <w:szCs w:val="22"/>
          <w:lang w:val="en-US" w:eastAsia="en-US"/>
        </w:rPr>
        <w:t xml:space="preserve"> remote</w:t>
      </w:r>
      <w:r w:rsidRPr="0093153E">
        <w:rPr>
          <w:rFonts w:eastAsiaTheme="minorHAnsi" w:cstheme="minorHAnsi"/>
          <w:szCs w:val="22"/>
          <w:lang w:val="en-US" w:eastAsia="en-US"/>
        </w:rPr>
        <w:t xml:space="preserve"> areas of Australia, consistent with historical trends (Figure 4a)</w:t>
      </w:r>
      <w:r w:rsidR="00796977" w:rsidRPr="0093153E">
        <w:rPr>
          <w:rFonts w:eastAsiaTheme="minorHAnsi" w:cstheme="minorHAnsi"/>
          <w:szCs w:val="22"/>
          <w:lang w:val="en-US" w:eastAsia="en-US"/>
        </w:rPr>
        <w:t xml:space="preserve">. </w:t>
      </w:r>
      <w:r w:rsidR="007357FF" w:rsidRPr="0093153E">
        <w:rPr>
          <w:rFonts w:eastAsiaTheme="minorHAnsi" w:cstheme="minorHAnsi"/>
          <w:szCs w:val="22"/>
          <w:lang w:val="en-US" w:eastAsia="en-US"/>
        </w:rPr>
        <w:t>The highest notification rates, as expected, were in remote and very remote areas</w:t>
      </w:r>
      <w:r w:rsidR="00C705E8" w:rsidRPr="0093153E">
        <w:rPr>
          <w:rFonts w:eastAsiaTheme="minorHAnsi" w:cstheme="minorHAnsi"/>
          <w:szCs w:val="22"/>
          <w:lang w:val="en-US" w:eastAsia="en-US"/>
        </w:rPr>
        <w:t xml:space="preserve"> with rates </w:t>
      </w:r>
      <w:r w:rsidR="0093153E" w:rsidRPr="0093153E">
        <w:rPr>
          <w:rFonts w:eastAsiaTheme="minorHAnsi" w:cstheme="minorHAnsi"/>
          <w:szCs w:val="22"/>
          <w:lang w:val="en-US" w:eastAsia="en-US"/>
        </w:rPr>
        <w:t>remaining the same</w:t>
      </w:r>
      <w:r w:rsidR="009F4F85" w:rsidRPr="0093153E">
        <w:rPr>
          <w:rFonts w:eastAsiaTheme="minorHAnsi" w:cstheme="minorHAnsi"/>
          <w:szCs w:val="22"/>
          <w:lang w:val="en-US" w:eastAsia="en-US"/>
        </w:rPr>
        <w:t xml:space="preserve"> in the previous 12 months compared to the preceding 12 months (</w:t>
      </w:r>
      <w:r w:rsidR="0093153E" w:rsidRPr="0093153E">
        <w:rPr>
          <w:rFonts w:eastAsiaTheme="minorHAnsi" w:cstheme="minorHAnsi"/>
          <w:szCs w:val="22"/>
          <w:lang w:val="en-US" w:eastAsia="en-US"/>
        </w:rPr>
        <w:t>Q2 2021 – Q1 2022</w:t>
      </w:r>
      <w:r w:rsidR="00726411" w:rsidRPr="0093153E">
        <w:rPr>
          <w:rFonts w:eastAsiaTheme="minorHAnsi" w:cstheme="minorHAnsi"/>
          <w:szCs w:val="22"/>
          <w:lang w:val="en-US" w:eastAsia="en-US"/>
        </w:rPr>
        <w:t>)</w:t>
      </w:r>
      <w:r w:rsidR="00C43E62" w:rsidRPr="0093153E">
        <w:rPr>
          <w:rFonts w:eastAsiaTheme="minorHAnsi" w:cstheme="minorHAnsi"/>
          <w:szCs w:val="22"/>
          <w:lang w:val="en-US" w:eastAsia="en-US"/>
        </w:rPr>
        <w:t xml:space="preserve"> </w:t>
      </w:r>
      <w:r w:rsidR="00C705E8" w:rsidRPr="0093153E">
        <w:rPr>
          <w:rFonts w:eastAsiaTheme="minorHAnsi" w:cstheme="minorHAnsi"/>
          <w:szCs w:val="22"/>
          <w:lang w:val="en-US" w:eastAsia="en-US"/>
        </w:rPr>
        <w:t xml:space="preserve">and </w:t>
      </w:r>
      <w:r w:rsidR="0093153E" w:rsidRPr="0093153E">
        <w:rPr>
          <w:rFonts w:eastAsiaTheme="minorHAnsi" w:cstheme="minorHAnsi"/>
          <w:szCs w:val="22"/>
          <w:lang w:val="en-US" w:eastAsia="en-US"/>
        </w:rPr>
        <w:t>a small decline of 1</w:t>
      </w:r>
      <w:r w:rsidR="00C705E8" w:rsidRPr="0093153E">
        <w:rPr>
          <w:rFonts w:eastAsiaTheme="minorHAnsi" w:cstheme="minorHAnsi"/>
          <w:szCs w:val="22"/>
          <w:lang w:val="en-US" w:eastAsia="en-US"/>
        </w:rPr>
        <w:t>% compared</w:t>
      </w:r>
      <w:r w:rsidR="00BC61E2">
        <w:rPr>
          <w:rFonts w:eastAsiaTheme="minorHAnsi" w:cstheme="minorHAnsi"/>
          <w:szCs w:val="22"/>
          <w:lang w:val="en-US" w:eastAsia="en-US"/>
        </w:rPr>
        <w:t xml:space="preserve"> with the</w:t>
      </w:r>
      <w:r w:rsidR="00C43E62" w:rsidRPr="0093153E">
        <w:rPr>
          <w:rFonts w:eastAsiaTheme="minorHAnsi" w:cstheme="minorHAnsi"/>
          <w:szCs w:val="22"/>
          <w:lang w:val="en-US" w:eastAsia="en-US"/>
        </w:rPr>
        <w:t xml:space="preserve"> </w:t>
      </w:r>
      <w:r w:rsidR="004A7D9A" w:rsidRPr="0093153E">
        <w:rPr>
          <w:rFonts w:eastAsiaTheme="minorHAnsi" w:cstheme="minorHAnsi"/>
          <w:szCs w:val="22"/>
          <w:lang w:val="en-US" w:eastAsia="en-US"/>
        </w:rPr>
        <w:t>5-year</w:t>
      </w:r>
      <w:r w:rsidR="00C43E62" w:rsidRPr="0093153E">
        <w:rPr>
          <w:rFonts w:eastAsiaTheme="minorHAnsi" w:cstheme="minorHAnsi"/>
          <w:szCs w:val="22"/>
          <w:lang w:val="en-US" w:eastAsia="en-US"/>
        </w:rPr>
        <w:t xml:space="preserve"> mean</w:t>
      </w:r>
      <w:r w:rsidR="00726411" w:rsidRPr="0093153E">
        <w:rPr>
          <w:rFonts w:eastAsiaTheme="minorHAnsi" w:cstheme="minorHAnsi"/>
          <w:szCs w:val="22"/>
          <w:lang w:val="en-US" w:eastAsia="en-US"/>
        </w:rPr>
        <w:t xml:space="preserve">. </w:t>
      </w:r>
      <w:r w:rsidR="009F4F85" w:rsidRPr="0093153E">
        <w:rPr>
          <w:rFonts w:eastAsiaTheme="minorHAnsi" w:cstheme="minorHAnsi"/>
          <w:szCs w:val="22"/>
          <w:lang w:val="en-US" w:eastAsia="en-US"/>
        </w:rPr>
        <w:t>Inner</w:t>
      </w:r>
      <w:r w:rsidR="002D701F" w:rsidRPr="0093153E">
        <w:rPr>
          <w:rFonts w:eastAsiaTheme="minorHAnsi" w:cstheme="minorHAnsi"/>
          <w:szCs w:val="22"/>
          <w:lang w:val="en-US" w:eastAsia="en-US"/>
        </w:rPr>
        <w:t>/</w:t>
      </w:r>
      <w:r w:rsidR="009F4F85" w:rsidRPr="0093153E">
        <w:rPr>
          <w:rFonts w:eastAsiaTheme="minorHAnsi" w:cstheme="minorHAnsi"/>
          <w:szCs w:val="22"/>
          <w:lang w:val="en-US" w:eastAsia="en-US"/>
        </w:rPr>
        <w:t>outer regional areas recorded the second highest rates in the previous 12 months</w:t>
      </w:r>
      <w:r w:rsidR="003F5BD3" w:rsidRPr="0093153E">
        <w:rPr>
          <w:rFonts w:eastAsiaTheme="minorHAnsi" w:cstheme="minorHAnsi"/>
          <w:szCs w:val="22"/>
          <w:lang w:val="en-US" w:eastAsia="en-US"/>
        </w:rPr>
        <w:t xml:space="preserve">, increasing from </w:t>
      </w:r>
      <w:r w:rsidR="009F4F85" w:rsidRPr="0093153E">
        <w:rPr>
          <w:rFonts w:eastAsiaTheme="minorHAnsi" w:cstheme="minorHAnsi"/>
          <w:szCs w:val="22"/>
          <w:lang w:val="en-US" w:eastAsia="en-US"/>
        </w:rPr>
        <w:t xml:space="preserve">the preceding 12 months </w:t>
      </w:r>
      <w:r w:rsidR="00667E2E" w:rsidRPr="0093153E">
        <w:rPr>
          <w:rFonts w:eastAsiaTheme="minorHAnsi" w:cstheme="minorHAnsi"/>
          <w:szCs w:val="22"/>
          <w:lang w:val="en-US" w:eastAsia="en-US"/>
        </w:rPr>
        <w:t xml:space="preserve">by </w:t>
      </w:r>
      <w:r w:rsidR="0093153E" w:rsidRPr="0093153E">
        <w:rPr>
          <w:rFonts w:eastAsiaTheme="minorHAnsi" w:cstheme="minorHAnsi"/>
          <w:szCs w:val="22"/>
          <w:lang w:val="en-US" w:eastAsia="en-US"/>
        </w:rPr>
        <w:t>29%</w:t>
      </w:r>
      <w:r w:rsidR="004A7D9A" w:rsidRPr="0093153E">
        <w:rPr>
          <w:rFonts w:eastAsiaTheme="minorHAnsi" w:cstheme="minorHAnsi"/>
          <w:szCs w:val="22"/>
          <w:lang w:val="en-US" w:eastAsia="en-US"/>
        </w:rPr>
        <w:t xml:space="preserve"> and</w:t>
      </w:r>
      <w:r w:rsidR="003F5BD3" w:rsidRPr="0093153E">
        <w:rPr>
          <w:rFonts w:eastAsiaTheme="minorHAnsi" w:cstheme="minorHAnsi"/>
          <w:szCs w:val="22"/>
          <w:lang w:val="en-US" w:eastAsia="en-US"/>
        </w:rPr>
        <w:t xml:space="preserve"> </w:t>
      </w:r>
      <w:r w:rsidR="0093153E" w:rsidRPr="0093153E">
        <w:rPr>
          <w:rFonts w:eastAsiaTheme="minorHAnsi" w:cstheme="minorHAnsi"/>
          <w:szCs w:val="22"/>
          <w:lang w:val="en-US" w:eastAsia="en-US"/>
        </w:rPr>
        <w:t>10</w:t>
      </w:r>
      <w:r w:rsidR="003F5BD3" w:rsidRPr="0093153E">
        <w:rPr>
          <w:rFonts w:eastAsiaTheme="minorHAnsi" w:cstheme="minorHAnsi"/>
          <w:szCs w:val="22"/>
          <w:lang w:val="en-US" w:eastAsia="en-US"/>
        </w:rPr>
        <w:t xml:space="preserve">% </w:t>
      </w:r>
      <w:r w:rsidR="00667E2E" w:rsidRPr="0093153E">
        <w:rPr>
          <w:rFonts w:eastAsiaTheme="minorHAnsi" w:cstheme="minorHAnsi"/>
          <w:szCs w:val="22"/>
          <w:lang w:val="en-US" w:eastAsia="en-US"/>
        </w:rPr>
        <w:t xml:space="preserve">compared to the </w:t>
      </w:r>
      <w:r w:rsidR="004A7D9A" w:rsidRPr="0093153E">
        <w:rPr>
          <w:rFonts w:eastAsiaTheme="minorHAnsi" w:cstheme="minorHAnsi"/>
          <w:szCs w:val="22"/>
          <w:lang w:val="en-US" w:eastAsia="en-US"/>
        </w:rPr>
        <w:t>5-year</w:t>
      </w:r>
      <w:r w:rsidR="00667E2E" w:rsidRPr="0093153E">
        <w:rPr>
          <w:rFonts w:eastAsiaTheme="minorHAnsi" w:cstheme="minorHAnsi"/>
          <w:szCs w:val="22"/>
          <w:lang w:val="en-US" w:eastAsia="en-US"/>
        </w:rPr>
        <w:t xml:space="preserve"> average</w:t>
      </w:r>
      <w:r w:rsidR="00C43E62" w:rsidRPr="0093153E">
        <w:rPr>
          <w:rFonts w:eastAsiaTheme="minorHAnsi" w:cstheme="minorHAnsi"/>
          <w:szCs w:val="22"/>
          <w:lang w:val="en-US" w:eastAsia="en-US"/>
        </w:rPr>
        <w:t>. N</w:t>
      </w:r>
      <w:r w:rsidR="001B2E79" w:rsidRPr="0093153E">
        <w:rPr>
          <w:rFonts w:eastAsiaTheme="minorHAnsi" w:cstheme="minorHAnsi"/>
          <w:szCs w:val="22"/>
          <w:lang w:val="en-US" w:eastAsia="en-US"/>
        </w:rPr>
        <w:t>otification rates in Aboriginal and Torres Strait Islander women residing in major cities of Australia</w:t>
      </w:r>
      <w:r w:rsidR="00C43E62" w:rsidRPr="0093153E">
        <w:rPr>
          <w:rFonts w:eastAsiaTheme="minorHAnsi" w:cstheme="minorHAnsi"/>
          <w:szCs w:val="22"/>
          <w:lang w:val="en-US" w:eastAsia="en-US"/>
        </w:rPr>
        <w:t xml:space="preserve"> </w:t>
      </w:r>
      <w:r w:rsidR="003F5BD3" w:rsidRPr="0093153E">
        <w:rPr>
          <w:rFonts w:eastAsiaTheme="minorHAnsi" w:cstheme="minorHAnsi"/>
          <w:szCs w:val="22"/>
          <w:lang w:val="en-US" w:eastAsia="en-US"/>
        </w:rPr>
        <w:t>increase</w:t>
      </w:r>
      <w:r w:rsidR="00AB417C" w:rsidRPr="0093153E">
        <w:rPr>
          <w:rFonts w:eastAsiaTheme="minorHAnsi" w:cstheme="minorHAnsi"/>
          <w:szCs w:val="22"/>
          <w:lang w:val="en-US" w:eastAsia="en-US"/>
        </w:rPr>
        <w:t xml:space="preserve">d by </w:t>
      </w:r>
      <w:r w:rsidR="0093153E" w:rsidRPr="0093153E">
        <w:rPr>
          <w:rFonts w:eastAsiaTheme="minorHAnsi" w:cstheme="minorHAnsi"/>
          <w:szCs w:val="22"/>
          <w:lang w:val="en-US" w:eastAsia="en-US"/>
        </w:rPr>
        <w:t>37</w:t>
      </w:r>
      <w:r w:rsidR="00C43E62" w:rsidRPr="0093153E">
        <w:rPr>
          <w:rFonts w:eastAsiaTheme="minorHAnsi" w:cstheme="minorHAnsi"/>
          <w:szCs w:val="22"/>
          <w:lang w:val="en-US" w:eastAsia="en-US"/>
        </w:rPr>
        <w:t xml:space="preserve">% compared to the preceding 12 months </w:t>
      </w:r>
      <w:r w:rsidR="00AB417C" w:rsidRPr="0093153E">
        <w:rPr>
          <w:rFonts w:eastAsiaTheme="minorHAnsi" w:cstheme="minorHAnsi"/>
          <w:szCs w:val="22"/>
          <w:lang w:val="en-US" w:eastAsia="en-US"/>
        </w:rPr>
        <w:t xml:space="preserve">and </w:t>
      </w:r>
      <w:r w:rsidR="00C705E8" w:rsidRPr="0093153E">
        <w:rPr>
          <w:rFonts w:eastAsiaTheme="minorHAnsi" w:cstheme="minorHAnsi"/>
          <w:szCs w:val="22"/>
          <w:lang w:val="en-US" w:eastAsia="en-US"/>
        </w:rPr>
        <w:t>54</w:t>
      </w:r>
      <w:r w:rsidR="00AB417C" w:rsidRPr="0093153E">
        <w:rPr>
          <w:rFonts w:eastAsiaTheme="minorHAnsi" w:cstheme="minorHAnsi"/>
          <w:szCs w:val="22"/>
          <w:lang w:val="en-US" w:eastAsia="en-US"/>
        </w:rPr>
        <w:t xml:space="preserve">% </w:t>
      </w:r>
      <w:r w:rsidR="00667E2E" w:rsidRPr="0093153E">
        <w:rPr>
          <w:rFonts w:eastAsiaTheme="minorHAnsi" w:cstheme="minorHAnsi"/>
          <w:szCs w:val="22"/>
          <w:lang w:val="en-US" w:eastAsia="en-US"/>
        </w:rPr>
        <w:t xml:space="preserve">compared to the </w:t>
      </w:r>
      <w:r w:rsidR="004A7D9A" w:rsidRPr="0093153E">
        <w:rPr>
          <w:rFonts w:eastAsiaTheme="minorHAnsi" w:cstheme="minorHAnsi"/>
          <w:szCs w:val="22"/>
          <w:lang w:val="en-US" w:eastAsia="en-US"/>
        </w:rPr>
        <w:t>5-year</w:t>
      </w:r>
      <w:r w:rsidR="00667E2E" w:rsidRPr="0093153E">
        <w:rPr>
          <w:rFonts w:eastAsiaTheme="minorHAnsi" w:cstheme="minorHAnsi"/>
          <w:szCs w:val="22"/>
          <w:lang w:val="en-US" w:eastAsia="en-US"/>
        </w:rPr>
        <w:t xml:space="preserve"> average</w:t>
      </w:r>
      <w:r w:rsidR="00C43E62" w:rsidRPr="0093153E">
        <w:rPr>
          <w:rFonts w:eastAsiaTheme="minorHAnsi" w:cstheme="minorHAnsi"/>
          <w:szCs w:val="22"/>
          <w:lang w:val="en-US" w:eastAsia="en-US"/>
        </w:rPr>
        <w:t>.</w:t>
      </w:r>
    </w:p>
    <w:p w14:paraId="280CE8CD" w14:textId="04316103" w:rsidR="00DF6E38" w:rsidRPr="0093153E" w:rsidRDefault="00B46DFE" w:rsidP="00EE344D">
      <w:pPr>
        <w:rPr>
          <w:rFonts w:eastAsiaTheme="minorHAnsi" w:cstheme="minorHAnsi"/>
          <w:szCs w:val="22"/>
          <w:lang w:val="en-US" w:eastAsia="en-US"/>
        </w:rPr>
      </w:pPr>
      <w:r w:rsidRPr="0093153E">
        <w:rPr>
          <w:rFonts w:eastAsiaTheme="minorHAnsi" w:cstheme="minorHAnsi"/>
          <w:szCs w:val="22"/>
          <w:lang w:val="en-US" w:eastAsia="en-US"/>
        </w:rPr>
        <w:t>Non-Indigenous women of reproductive age diagnosed with syphi</w:t>
      </w:r>
      <w:r w:rsidR="00D10D18" w:rsidRPr="0093153E">
        <w:rPr>
          <w:rFonts w:eastAsiaTheme="minorHAnsi" w:cstheme="minorHAnsi"/>
          <w:szCs w:val="22"/>
          <w:lang w:val="en-US" w:eastAsia="en-US"/>
        </w:rPr>
        <w:t>lis over the previous 12 months</w:t>
      </w:r>
      <w:r w:rsidRPr="0093153E">
        <w:rPr>
          <w:rFonts w:eastAsiaTheme="minorHAnsi" w:cstheme="minorHAnsi"/>
          <w:szCs w:val="22"/>
          <w:lang w:val="en-US" w:eastAsia="en-US"/>
        </w:rPr>
        <w:t xml:space="preserve"> were predominately residents of major cities of Australia, consistent with historical trends (</w:t>
      </w:r>
      <w:r w:rsidR="006C209D" w:rsidRPr="0093153E">
        <w:rPr>
          <w:rFonts w:eastAsiaTheme="minorHAnsi" w:cstheme="minorHAnsi"/>
          <w:szCs w:val="22"/>
          <w:lang w:val="en-US" w:eastAsia="en-US"/>
        </w:rPr>
        <w:t xml:space="preserve">Figure </w:t>
      </w:r>
      <w:r w:rsidRPr="0093153E">
        <w:rPr>
          <w:rFonts w:eastAsiaTheme="minorHAnsi" w:cstheme="minorHAnsi"/>
          <w:szCs w:val="22"/>
          <w:lang w:val="en-US" w:eastAsia="en-US"/>
        </w:rPr>
        <w:t xml:space="preserve">4b).  Notification rates </w:t>
      </w:r>
      <w:r w:rsidR="00C43E62" w:rsidRPr="0093153E">
        <w:rPr>
          <w:rFonts w:eastAsiaTheme="minorHAnsi" w:cstheme="minorHAnsi"/>
          <w:szCs w:val="22"/>
          <w:lang w:val="en-US" w:eastAsia="en-US"/>
        </w:rPr>
        <w:t>decreased</w:t>
      </w:r>
      <w:r w:rsidRPr="0093153E">
        <w:rPr>
          <w:rFonts w:eastAsiaTheme="minorHAnsi" w:cstheme="minorHAnsi"/>
          <w:szCs w:val="22"/>
          <w:lang w:val="en-US" w:eastAsia="en-US"/>
        </w:rPr>
        <w:t xml:space="preserve"> for this group by </w:t>
      </w:r>
      <w:r w:rsidR="00AB417C" w:rsidRPr="0093153E">
        <w:rPr>
          <w:rFonts w:eastAsiaTheme="minorHAnsi" w:cstheme="minorHAnsi"/>
          <w:szCs w:val="22"/>
          <w:lang w:val="en-US" w:eastAsia="en-US"/>
        </w:rPr>
        <w:t>1</w:t>
      </w:r>
      <w:r w:rsidR="0093153E" w:rsidRPr="0093153E">
        <w:rPr>
          <w:rFonts w:eastAsiaTheme="minorHAnsi" w:cstheme="minorHAnsi"/>
          <w:szCs w:val="22"/>
          <w:lang w:val="en-US" w:eastAsia="en-US"/>
        </w:rPr>
        <w:t>5</w:t>
      </w:r>
      <w:r w:rsidRPr="0093153E">
        <w:rPr>
          <w:rFonts w:eastAsiaTheme="minorHAnsi" w:cstheme="minorHAnsi"/>
          <w:szCs w:val="22"/>
          <w:lang w:val="en-US" w:eastAsia="en-US"/>
        </w:rPr>
        <w:t xml:space="preserve">% between the </w:t>
      </w:r>
      <w:r w:rsidR="00667E2E" w:rsidRPr="0093153E">
        <w:rPr>
          <w:rFonts w:eastAsiaTheme="minorHAnsi" w:cstheme="minorHAnsi"/>
          <w:szCs w:val="22"/>
          <w:lang w:val="en-US" w:eastAsia="en-US"/>
        </w:rPr>
        <w:t xml:space="preserve">previous 12 months and the 12 months </w:t>
      </w:r>
      <w:r w:rsidR="000521E2" w:rsidRPr="0093153E">
        <w:rPr>
          <w:rFonts w:eastAsiaTheme="minorHAnsi" w:cstheme="minorHAnsi"/>
          <w:szCs w:val="22"/>
          <w:lang w:val="en-US" w:eastAsia="en-US"/>
        </w:rPr>
        <w:t>prior and</w:t>
      </w:r>
      <w:r w:rsidR="00667E2E" w:rsidRPr="0093153E">
        <w:rPr>
          <w:rFonts w:eastAsiaTheme="minorHAnsi" w:cstheme="minorHAnsi"/>
          <w:szCs w:val="22"/>
          <w:lang w:val="en-US" w:eastAsia="en-US"/>
        </w:rPr>
        <w:t xml:space="preserve"> </w:t>
      </w:r>
      <w:r w:rsidR="00C43E62" w:rsidRPr="0093153E">
        <w:rPr>
          <w:rFonts w:eastAsiaTheme="minorHAnsi" w:cstheme="minorHAnsi"/>
          <w:szCs w:val="22"/>
          <w:lang w:val="en-US" w:eastAsia="en-US"/>
        </w:rPr>
        <w:t xml:space="preserve">increased by </w:t>
      </w:r>
      <w:r w:rsidR="0093153E" w:rsidRPr="0093153E">
        <w:rPr>
          <w:rFonts w:eastAsiaTheme="minorHAnsi" w:cstheme="minorHAnsi"/>
          <w:szCs w:val="22"/>
          <w:lang w:val="en-US" w:eastAsia="en-US"/>
        </w:rPr>
        <w:t>19</w:t>
      </w:r>
      <w:r w:rsidR="00C43E62" w:rsidRPr="0093153E">
        <w:rPr>
          <w:rFonts w:eastAsiaTheme="minorHAnsi" w:cstheme="minorHAnsi"/>
          <w:szCs w:val="22"/>
          <w:lang w:val="en-US" w:eastAsia="en-US"/>
        </w:rPr>
        <w:t xml:space="preserve">% </w:t>
      </w:r>
      <w:r w:rsidR="00667E2E" w:rsidRPr="0093153E">
        <w:rPr>
          <w:rFonts w:eastAsiaTheme="minorHAnsi" w:cstheme="minorHAnsi"/>
          <w:szCs w:val="22"/>
          <w:lang w:val="en-US" w:eastAsia="en-US"/>
        </w:rPr>
        <w:t xml:space="preserve">compared to the </w:t>
      </w:r>
      <w:r w:rsidR="004A7D9A" w:rsidRPr="0093153E">
        <w:rPr>
          <w:rFonts w:eastAsiaTheme="minorHAnsi" w:cstheme="minorHAnsi"/>
          <w:szCs w:val="22"/>
          <w:lang w:val="en-US" w:eastAsia="en-US"/>
        </w:rPr>
        <w:t>5-year</w:t>
      </w:r>
      <w:r w:rsidR="00667E2E" w:rsidRPr="0093153E">
        <w:rPr>
          <w:rFonts w:eastAsiaTheme="minorHAnsi" w:cstheme="minorHAnsi"/>
          <w:szCs w:val="22"/>
          <w:lang w:val="en-US" w:eastAsia="en-US"/>
        </w:rPr>
        <w:t xml:space="preserve"> average.  Notification rates in inner</w:t>
      </w:r>
      <w:r w:rsidR="002D701F" w:rsidRPr="0093153E">
        <w:rPr>
          <w:rFonts w:eastAsiaTheme="minorHAnsi" w:cstheme="minorHAnsi"/>
          <w:szCs w:val="22"/>
          <w:lang w:val="en-US" w:eastAsia="en-US"/>
        </w:rPr>
        <w:t>/</w:t>
      </w:r>
      <w:r w:rsidR="00667E2E" w:rsidRPr="0093153E">
        <w:rPr>
          <w:rFonts w:eastAsiaTheme="minorHAnsi" w:cstheme="minorHAnsi"/>
          <w:szCs w:val="22"/>
          <w:lang w:val="en-US" w:eastAsia="en-US"/>
        </w:rPr>
        <w:t xml:space="preserve">outer regional areas </w:t>
      </w:r>
      <w:r w:rsidR="00C43E62" w:rsidRPr="0093153E">
        <w:rPr>
          <w:rFonts w:eastAsiaTheme="minorHAnsi" w:cstheme="minorHAnsi"/>
          <w:szCs w:val="22"/>
          <w:lang w:val="en-US" w:eastAsia="en-US"/>
        </w:rPr>
        <w:t>increased</w:t>
      </w:r>
      <w:r w:rsidR="00667E2E" w:rsidRPr="0093153E">
        <w:rPr>
          <w:rFonts w:eastAsiaTheme="minorHAnsi" w:cstheme="minorHAnsi"/>
          <w:szCs w:val="22"/>
          <w:lang w:val="en-US" w:eastAsia="en-US"/>
        </w:rPr>
        <w:t xml:space="preserve"> between the previous 12 months and the 12 months prior (</w:t>
      </w:r>
      <w:r w:rsidR="00C705E8" w:rsidRPr="0093153E">
        <w:rPr>
          <w:rFonts w:eastAsiaTheme="minorHAnsi" w:cstheme="minorHAnsi"/>
          <w:szCs w:val="22"/>
          <w:lang w:val="en-US" w:eastAsia="en-US"/>
        </w:rPr>
        <w:t>3</w:t>
      </w:r>
      <w:r w:rsidR="0093153E" w:rsidRPr="0093153E">
        <w:rPr>
          <w:rFonts w:eastAsiaTheme="minorHAnsi" w:cstheme="minorHAnsi"/>
          <w:szCs w:val="22"/>
          <w:lang w:val="en-US" w:eastAsia="en-US"/>
        </w:rPr>
        <w:t>6</w:t>
      </w:r>
      <w:r w:rsidR="00DE56F9" w:rsidRPr="0093153E">
        <w:rPr>
          <w:rFonts w:eastAsiaTheme="minorHAnsi" w:cstheme="minorHAnsi"/>
          <w:szCs w:val="22"/>
          <w:lang w:val="en-US" w:eastAsia="en-US"/>
        </w:rPr>
        <w:t xml:space="preserve">%) and </w:t>
      </w:r>
      <w:r w:rsidR="00667E2E" w:rsidRPr="0093153E">
        <w:rPr>
          <w:rFonts w:eastAsiaTheme="minorHAnsi" w:cstheme="minorHAnsi"/>
          <w:szCs w:val="22"/>
          <w:lang w:val="en-US" w:eastAsia="en-US"/>
        </w:rPr>
        <w:t xml:space="preserve">compared to the </w:t>
      </w:r>
      <w:r w:rsidR="004A7D9A" w:rsidRPr="0093153E">
        <w:rPr>
          <w:rFonts w:eastAsiaTheme="minorHAnsi" w:cstheme="minorHAnsi"/>
          <w:szCs w:val="22"/>
          <w:lang w:val="en-US" w:eastAsia="en-US"/>
        </w:rPr>
        <w:t>5-year</w:t>
      </w:r>
      <w:r w:rsidR="00667E2E" w:rsidRPr="0093153E">
        <w:rPr>
          <w:rFonts w:eastAsiaTheme="minorHAnsi" w:cstheme="minorHAnsi"/>
          <w:szCs w:val="22"/>
          <w:lang w:val="en-US" w:eastAsia="en-US"/>
        </w:rPr>
        <w:t xml:space="preserve"> average increased </w:t>
      </w:r>
      <w:r w:rsidR="00F30F3D" w:rsidRPr="0093153E">
        <w:rPr>
          <w:rFonts w:eastAsiaTheme="minorHAnsi" w:cstheme="minorHAnsi"/>
          <w:szCs w:val="22"/>
          <w:lang w:val="en-US" w:eastAsia="en-US"/>
        </w:rPr>
        <w:t xml:space="preserve">by </w:t>
      </w:r>
      <w:r w:rsidR="0093153E" w:rsidRPr="0093153E">
        <w:rPr>
          <w:rFonts w:eastAsiaTheme="minorHAnsi" w:cstheme="minorHAnsi"/>
          <w:szCs w:val="22"/>
          <w:lang w:val="en-US" w:eastAsia="en-US"/>
        </w:rPr>
        <w:t>50</w:t>
      </w:r>
      <w:r w:rsidR="00F30F3D" w:rsidRPr="0093153E">
        <w:rPr>
          <w:rFonts w:eastAsiaTheme="minorHAnsi" w:cstheme="minorHAnsi"/>
          <w:szCs w:val="22"/>
          <w:lang w:val="en-US" w:eastAsia="en-US"/>
        </w:rPr>
        <w:t>%</w:t>
      </w:r>
      <w:r w:rsidR="00667E2E" w:rsidRPr="0093153E">
        <w:rPr>
          <w:rFonts w:eastAsiaTheme="minorHAnsi" w:cstheme="minorHAnsi"/>
          <w:szCs w:val="22"/>
          <w:lang w:val="en-US" w:eastAsia="en-US"/>
        </w:rPr>
        <w:t xml:space="preserve">.  </w:t>
      </w:r>
      <w:r w:rsidR="00532314" w:rsidRPr="0093153E">
        <w:rPr>
          <w:rFonts w:eastAsiaTheme="minorHAnsi" w:cstheme="minorHAnsi"/>
          <w:szCs w:val="22"/>
          <w:lang w:val="en-US" w:eastAsia="en-US"/>
        </w:rPr>
        <w:t>Notification rates in remote and very remote Australia have fluctuated, noting that overall notifications in these areas are low for non-Indigenous women.</w:t>
      </w:r>
    </w:p>
    <w:p w14:paraId="147EB852" w14:textId="23D619EB" w:rsidR="007018B0" w:rsidRPr="0069463E" w:rsidRDefault="007018B0" w:rsidP="00690DC3">
      <w:pPr>
        <w:pStyle w:val="Caption"/>
        <w:spacing w:before="0" w:after="0"/>
        <w:ind w:right="283"/>
      </w:pPr>
      <w:r w:rsidRPr="0069463E">
        <w:t>Figure 4</w:t>
      </w:r>
      <w:r w:rsidR="00CF26DE" w:rsidRPr="0069463E">
        <w:t>a</w:t>
      </w:r>
      <w:r w:rsidR="00911B67" w:rsidRPr="0069463E">
        <w:t>-b</w:t>
      </w:r>
      <w:r w:rsidRPr="0069463E">
        <w:t xml:space="preserve">:  </w:t>
      </w:r>
      <w:r w:rsidR="00247DAF" w:rsidRPr="0069463E">
        <w:t>Notifications (n) and n</w:t>
      </w:r>
      <w:r w:rsidRPr="0069463E">
        <w:t>otification rate (per 100,000) of infectious syphilis reported in females aged 15-44 years, by Indigenous status, remoteness area, quarter and year</w:t>
      </w:r>
      <w:r w:rsidR="00373FCE" w:rsidRPr="0069463E">
        <w:t xml:space="preserve">, 2015 – </w:t>
      </w:r>
      <w:r w:rsidR="0069463E" w:rsidRPr="0069463E">
        <w:t xml:space="preserve">Q1 2023 </w:t>
      </w:r>
      <w:r w:rsidR="00373FCE" w:rsidRPr="0069463E">
        <w:t xml:space="preserve"> </w:t>
      </w:r>
      <w:r w:rsidR="00373FCE" w:rsidRPr="0069463E">
        <w:br/>
      </w:r>
      <w:r w:rsidR="00911B67" w:rsidRPr="0069463E">
        <w:t>(a. Aboriginal and</w:t>
      </w:r>
      <w:r w:rsidR="00AA2313" w:rsidRPr="0069463E">
        <w:t xml:space="preserve"> Torres Strait Islander</w:t>
      </w:r>
      <w:r w:rsidR="00911B67" w:rsidRPr="0069463E">
        <w:t xml:space="preserve"> and b. non-Indigenous)</w:t>
      </w:r>
      <w:r w:rsidR="00E82468" w:rsidRPr="0069463E">
        <w:t>*</w:t>
      </w:r>
    </w:p>
    <w:p w14:paraId="52E7DFEF" w14:textId="26BDD753" w:rsidR="00C2087D" w:rsidRPr="0069463E" w:rsidRDefault="0069463E" w:rsidP="00690DC3">
      <w:pPr>
        <w:spacing w:before="0" w:after="0"/>
        <w:rPr>
          <w:b/>
        </w:rPr>
      </w:pPr>
      <w:r w:rsidRPr="0069463E">
        <w:rPr>
          <w:b/>
          <w:noProof/>
        </w:rPr>
        <w:drawing>
          <wp:inline distT="0" distB="0" distL="0" distR="0" wp14:anchorId="498B3286" wp14:editId="693B253A">
            <wp:extent cx="6391275" cy="4167351"/>
            <wp:effectExtent l="0" t="0" r="0" b="508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397410" cy="4171351"/>
                    </a:xfrm>
                    <a:prstGeom prst="rect">
                      <a:avLst/>
                    </a:prstGeom>
                    <a:noFill/>
                  </pic:spPr>
                </pic:pic>
              </a:graphicData>
            </a:graphic>
          </wp:inline>
        </w:drawing>
      </w:r>
    </w:p>
    <w:p w14:paraId="1AC16FAA" w14:textId="0BD288EB" w:rsidR="00EE344D" w:rsidRPr="0069463E" w:rsidRDefault="00EE344D" w:rsidP="00690DC3">
      <w:pPr>
        <w:spacing w:before="0" w:after="0"/>
      </w:pPr>
    </w:p>
    <w:p w14:paraId="26DB5A31" w14:textId="4F5A1809" w:rsidR="0010338B" w:rsidRPr="0069463E" w:rsidRDefault="0069463E" w:rsidP="00690DC3">
      <w:pPr>
        <w:spacing w:before="0" w:after="0"/>
      </w:pPr>
      <w:r w:rsidRPr="0069463E">
        <w:rPr>
          <w:noProof/>
        </w:rPr>
        <w:lastRenderedPageBreak/>
        <w:drawing>
          <wp:inline distT="0" distB="0" distL="0" distR="0" wp14:anchorId="60E743E0" wp14:editId="291282B7">
            <wp:extent cx="6248400" cy="4074191"/>
            <wp:effectExtent l="0" t="0" r="0" b="254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256370" cy="4079388"/>
                    </a:xfrm>
                    <a:prstGeom prst="rect">
                      <a:avLst/>
                    </a:prstGeom>
                    <a:noFill/>
                  </pic:spPr>
                </pic:pic>
              </a:graphicData>
            </a:graphic>
          </wp:inline>
        </w:drawing>
      </w:r>
    </w:p>
    <w:p w14:paraId="526BB5E0" w14:textId="617CFA6E" w:rsidR="00E82468" w:rsidRPr="00932BDE" w:rsidRDefault="00E82468" w:rsidP="00690DC3">
      <w:pPr>
        <w:spacing w:before="0" w:after="0"/>
        <w:rPr>
          <w:sz w:val="16"/>
        </w:rPr>
      </w:pPr>
      <w:r w:rsidRPr="0069463E">
        <w:rPr>
          <w:sz w:val="16"/>
        </w:rPr>
        <w:t xml:space="preserve">*Excludes cases for whom sex, age, Indigenous status and/or residential </w:t>
      </w:r>
      <w:r w:rsidRPr="00932BDE">
        <w:rPr>
          <w:sz w:val="16"/>
        </w:rPr>
        <w:t>postcode were not reported.</w:t>
      </w:r>
    </w:p>
    <w:p w14:paraId="351DDD09" w14:textId="77777777" w:rsidR="00B67D66" w:rsidRPr="0069463E" w:rsidRDefault="00B67D66" w:rsidP="00656B22">
      <w:pPr>
        <w:rPr>
          <w:highlight w:val="yellow"/>
        </w:rPr>
      </w:pPr>
    </w:p>
    <w:p w14:paraId="005E2702" w14:textId="1D67E08A" w:rsidR="00F254E0" w:rsidRPr="008107B5" w:rsidRDefault="00EE344D" w:rsidP="00821C6B">
      <w:pPr>
        <w:pStyle w:val="Heading3"/>
      </w:pPr>
      <w:r w:rsidRPr="008107B5">
        <w:t xml:space="preserve">Indicator 1.3 </w:t>
      </w:r>
      <w:r w:rsidR="00491426" w:rsidRPr="008107B5">
        <w:t>- Proportion of infectious syphilis notifications in men reporting sexual exposure with men only</w:t>
      </w:r>
    </w:p>
    <w:p w14:paraId="77D7150A" w14:textId="22E3F4A2" w:rsidR="00491426" w:rsidRPr="008107B5" w:rsidRDefault="00491426" w:rsidP="00821C6B">
      <w:pPr>
        <w:pStyle w:val="Heading3"/>
      </w:pPr>
      <w:r w:rsidRPr="008107B5">
        <w:t>Indicator 1.4 - Proportion of infectious syphilis notifications in men reporting sexual exposure with both men and women</w:t>
      </w:r>
    </w:p>
    <w:p w14:paraId="5D481A3D" w14:textId="233F29A4" w:rsidR="00BE2AA3" w:rsidRPr="008107B5" w:rsidRDefault="00491426" w:rsidP="00BE2AA3">
      <w:r w:rsidRPr="008107B5">
        <w:rPr>
          <w:rFonts w:cstheme="minorHAnsi"/>
          <w:lang w:val="en-US"/>
        </w:rPr>
        <w:t xml:space="preserve">Enhanced data </w:t>
      </w:r>
      <w:r w:rsidR="002D701F" w:rsidRPr="008107B5">
        <w:rPr>
          <w:rFonts w:cstheme="minorHAnsi"/>
          <w:lang w:val="en-US"/>
        </w:rPr>
        <w:t xml:space="preserve">(sexual exposure: same sex, opposite sex and both sexes) </w:t>
      </w:r>
      <w:r w:rsidRPr="008107B5">
        <w:rPr>
          <w:rFonts w:cstheme="minorHAnsi"/>
          <w:lang w:val="en-US"/>
        </w:rPr>
        <w:t>are used to report against indicators 1.3 and 1.4.</w:t>
      </w:r>
      <w:r w:rsidR="00BE2AA3" w:rsidRPr="008107B5">
        <w:t xml:space="preserve"> </w:t>
      </w:r>
    </w:p>
    <w:p w14:paraId="23AD71A0" w14:textId="2142C947" w:rsidR="00491426" w:rsidRPr="008107B5" w:rsidRDefault="00491426" w:rsidP="00491426">
      <w:pPr>
        <w:spacing w:line="276" w:lineRule="auto"/>
        <w:rPr>
          <w:rFonts w:cstheme="minorHAnsi"/>
          <w:i/>
          <w:lang w:val="en-US"/>
        </w:rPr>
      </w:pPr>
      <w:r w:rsidRPr="008107B5">
        <w:rPr>
          <w:rFonts w:cstheme="minorHAnsi"/>
          <w:i/>
          <w:lang w:val="en-US"/>
        </w:rPr>
        <w:t xml:space="preserve">Completeness of enhanced </w:t>
      </w:r>
      <w:r w:rsidR="00BE2AA3" w:rsidRPr="008107B5">
        <w:rPr>
          <w:rFonts w:cstheme="minorHAnsi"/>
          <w:i/>
          <w:lang w:val="en-US"/>
        </w:rPr>
        <w:t>sexual exposure</w:t>
      </w:r>
      <w:r w:rsidRPr="008107B5">
        <w:rPr>
          <w:rFonts w:cstheme="minorHAnsi"/>
          <w:i/>
          <w:lang w:val="en-US"/>
        </w:rPr>
        <w:t xml:space="preserve"> data</w:t>
      </w:r>
    </w:p>
    <w:p w14:paraId="0081BAEE" w14:textId="464B0E57" w:rsidR="008D5A57" w:rsidRPr="008107B5" w:rsidRDefault="00BE2AA3">
      <w:pPr>
        <w:rPr>
          <w:lang w:val="en-US"/>
        </w:rPr>
      </w:pPr>
      <w:r w:rsidRPr="008107B5">
        <w:rPr>
          <w:lang w:val="en-US"/>
        </w:rPr>
        <w:t xml:space="preserve">Completeness of sexual exposure in males notified with infectious syphilis fluctuated between 2015 and </w:t>
      </w:r>
      <w:r w:rsidR="008107B5" w:rsidRPr="008107B5">
        <w:rPr>
          <w:lang w:val="en-US"/>
        </w:rPr>
        <w:t>Q1 2023</w:t>
      </w:r>
      <w:r w:rsidR="009F5545" w:rsidRPr="008107B5">
        <w:rPr>
          <w:lang w:val="en-US"/>
        </w:rPr>
        <w:t>, rang</w:t>
      </w:r>
      <w:r w:rsidR="00C1677B" w:rsidRPr="008107B5">
        <w:rPr>
          <w:lang w:val="en-US"/>
        </w:rPr>
        <w:t>ed</w:t>
      </w:r>
      <w:r w:rsidR="009F5545" w:rsidRPr="008107B5">
        <w:rPr>
          <w:lang w:val="en-US"/>
        </w:rPr>
        <w:t xml:space="preserve"> from 6</w:t>
      </w:r>
      <w:r w:rsidR="007B5F56" w:rsidRPr="008107B5">
        <w:rPr>
          <w:lang w:val="en-US"/>
        </w:rPr>
        <w:t>3</w:t>
      </w:r>
      <w:r w:rsidRPr="008107B5">
        <w:rPr>
          <w:lang w:val="en-US"/>
        </w:rPr>
        <w:t>% and 87% (average 7</w:t>
      </w:r>
      <w:r w:rsidR="008107B5" w:rsidRPr="008107B5">
        <w:rPr>
          <w:lang w:val="en-US"/>
        </w:rPr>
        <w:t>3</w:t>
      </w:r>
      <w:r w:rsidRPr="008107B5">
        <w:rPr>
          <w:lang w:val="en-US"/>
        </w:rPr>
        <w:t>%).</w:t>
      </w:r>
    </w:p>
    <w:p w14:paraId="2B993BA9" w14:textId="1492FD1C" w:rsidR="008D5A57" w:rsidRPr="008107B5" w:rsidRDefault="008D5A57" w:rsidP="008D5A57">
      <w:pPr>
        <w:rPr>
          <w:b/>
          <w:lang w:val="en-US"/>
        </w:rPr>
      </w:pPr>
      <w:r w:rsidRPr="008107B5">
        <w:rPr>
          <w:lang w:val="en-US"/>
        </w:rPr>
        <w:t xml:space="preserve">Same sex only was the most </w:t>
      </w:r>
      <w:r w:rsidR="000F722D" w:rsidRPr="008107B5">
        <w:rPr>
          <w:lang w:val="en-US"/>
        </w:rPr>
        <w:t xml:space="preserve">frequently reported sexual </w:t>
      </w:r>
      <w:r w:rsidRPr="008107B5">
        <w:rPr>
          <w:lang w:val="en-US"/>
        </w:rPr>
        <w:t>exposure across all</w:t>
      </w:r>
      <w:r w:rsidR="00DA0637">
        <w:rPr>
          <w:lang w:val="en-US"/>
        </w:rPr>
        <w:t xml:space="preserve"> years</w:t>
      </w:r>
      <w:r w:rsidRPr="008107B5">
        <w:rPr>
          <w:lang w:val="en-US"/>
        </w:rPr>
        <w:t xml:space="preserve">, representing on average </w:t>
      </w:r>
      <w:r w:rsidR="008216E2">
        <w:rPr>
          <w:lang w:val="en-US"/>
        </w:rPr>
        <w:t>55</w:t>
      </w:r>
      <w:r w:rsidRPr="008107B5">
        <w:rPr>
          <w:lang w:val="en-US"/>
        </w:rPr>
        <w:t>% of notifications overall, followed by opposite sex only (1</w:t>
      </w:r>
      <w:r w:rsidR="007B5F56" w:rsidRPr="008107B5">
        <w:rPr>
          <w:lang w:val="en-US"/>
        </w:rPr>
        <w:t>3</w:t>
      </w:r>
      <w:r w:rsidRPr="008107B5">
        <w:rPr>
          <w:lang w:val="en-US"/>
        </w:rPr>
        <w:t>%) and both sexes (</w:t>
      </w:r>
      <w:r w:rsidR="00FF5863" w:rsidRPr="008107B5">
        <w:rPr>
          <w:lang w:val="en-US"/>
        </w:rPr>
        <w:t>4</w:t>
      </w:r>
      <w:r w:rsidRPr="008107B5">
        <w:rPr>
          <w:lang w:val="en-US"/>
        </w:rPr>
        <w:t xml:space="preserve">%).  The proportion of cases reporting same sex only exposure fluctuate across the reporting period with the highest </w:t>
      </w:r>
      <w:r w:rsidR="00E86EB3" w:rsidRPr="008107B5">
        <w:rPr>
          <w:lang w:val="en-US"/>
        </w:rPr>
        <w:t>in 2</w:t>
      </w:r>
      <w:r w:rsidR="009F5545" w:rsidRPr="008107B5">
        <w:rPr>
          <w:lang w:val="en-US"/>
        </w:rPr>
        <w:t>015 (6</w:t>
      </w:r>
      <w:r w:rsidR="007B5F56" w:rsidRPr="008107B5">
        <w:rPr>
          <w:lang w:val="en-US"/>
        </w:rPr>
        <w:t>8</w:t>
      </w:r>
      <w:r w:rsidR="00FF5863" w:rsidRPr="008107B5">
        <w:rPr>
          <w:lang w:val="en-US"/>
        </w:rPr>
        <w:t>%</w:t>
      </w:r>
      <w:r w:rsidR="009F5545" w:rsidRPr="008107B5">
        <w:rPr>
          <w:lang w:val="en-US"/>
        </w:rPr>
        <w:t>) and lowest in 2020 (4</w:t>
      </w:r>
      <w:r w:rsidR="007B5F56" w:rsidRPr="008107B5">
        <w:rPr>
          <w:lang w:val="en-US"/>
        </w:rPr>
        <w:t>7</w:t>
      </w:r>
      <w:r w:rsidR="00E86EB3" w:rsidRPr="008107B5">
        <w:rPr>
          <w:lang w:val="en-US"/>
        </w:rPr>
        <w:t>%), noting higher proportions of unknown cases in more recent years (Figure 5).</w:t>
      </w:r>
    </w:p>
    <w:p w14:paraId="0B05BB44" w14:textId="09714242" w:rsidR="00491426" w:rsidRPr="008107B5" w:rsidRDefault="00D77C73">
      <w:pPr>
        <w:rPr>
          <w:b/>
          <w:lang w:val="en-US"/>
        </w:rPr>
      </w:pPr>
      <w:r w:rsidRPr="008107B5">
        <w:rPr>
          <w:lang w:val="en-US"/>
        </w:rPr>
        <w:t>Although men reporting sexual exposure with both men and women represented the lowest proportion of all cases during</w:t>
      </w:r>
      <w:r w:rsidR="00134A0B" w:rsidRPr="008107B5">
        <w:rPr>
          <w:lang w:val="en-US"/>
        </w:rPr>
        <w:t xml:space="preserve"> the reporting period (range 3</w:t>
      </w:r>
      <w:r w:rsidRPr="008107B5">
        <w:rPr>
          <w:lang w:val="en-US"/>
        </w:rPr>
        <w:t xml:space="preserve"> -</w:t>
      </w:r>
      <w:r w:rsidR="007B5F56" w:rsidRPr="008107B5">
        <w:rPr>
          <w:lang w:val="en-US"/>
        </w:rPr>
        <w:t>6</w:t>
      </w:r>
      <w:r w:rsidRPr="008107B5">
        <w:rPr>
          <w:lang w:val="en-US"/>
        </w:rPr>
        <w:t>%), notifications report</w:t>
      </w:r>
      <w:r w:rsidR="007B5F56" w:rsidRPr="008107B5">
        <w:rPr>
          <w:lang w:val="en-US"/>
        </w:rPr>
        <w:t>ed</w:t>
      </w:r>
      <w:r w:rsidRPr="008107B5">
        <w:rPr>
          <w:lang w:val="en-US"/>
        </w:rPr>
        <w:t xml:space="preserve"> </w:t>
      </w:r>
      <w:r w:rsidR="007B5F56" w:rsidRPr="008107B5">
        <w:rPr>
          <w:lang w:val="en-US"/>
        </w:rPr>
        <w:t xml:space="preserve">for </w:t>
      </w:r>
      <w:r w:rsidRPr="008107B5">
        <w:rPr>
          <w:lang w:val="en-US"/>
        </w:rPr>
        <w:t xml:space="preserve">this category of </w:t>
      </w:r>
      <w:r w:rsidR="009F5545" w:rsidRPr="008107B5">
        <w:rPr>
          <w:lang w:val="en-US"/>
        </w:rPr>
        <w:t xml:space="preserve">sexual exposure increased by </w:t>
      </w:r>
      <w:r w:rsidR="00C705E8" w:rsidRPr="008107B5">
        <w:rPr>
          <w:lang w:val="en-US"/>
        </w:rPr>
        <w:t>19</w:t>
      </w:r>
      <w:r w:rsidRPr="008107B5">
        <w:rPr>
          <w:lang w:val="en-US"/>
        </w:rPr>
        <w:t>% between 2015 and 202</w:t>
      </w:r>
      <w:r w:rsidR="00CC0EB2">
        <w:rPr>
          <w:lang w:val="en-US"/>
        </w:rPr>
        <w:t>2</w:t>
      </w:r>
      <w:r w:rsidRPr="008107B5">
        <w:rPr>
          <w:lang w:val="en-US"/>
        </w:rPr>
        <w:t xml:space="preserve">. </w:t>
      </w:r>
    </w:p>
    <w:p w14:paraId="5C242F12" w14:textId="77777777" w:rsidR="00801867" w:rsidRPr="0069463E" w:rsidRDefault="00801867">
      <w:pPr>
        <w:spacing w:before="0" w:after="0"/>
        <w:rPr>
          <w:b/>
          <w:highlight w:val="yellow"/>
          <w:lang w:val="en-US"/>
        </w:rPr>
      </w:pPr>
      <w:r w:rsidRPr="0069463E">
        <w:rPr>
          <w:b/>
          <w:highlight w:val="yellow"/>
          <w:lang w:val="en-US"/>
        </w:rPr>
        <w:br w:type="page"/>
      </w:r>
    </w:p>
    <w:p w14:paraId="2BC07774" w14:textId="2157229B" w:rsidR="00236EF9" w:rsidRPr="0069463E" w:rsidRDefault="00491426" w:rsidP="00801867">
      <w:pPr>
        <w:tabs>
          <w:tab w:val="left" w:pos="935"/>
        </w:tabs>
        <w:spacing w:before="0" w:after="0"/>
        <w:ind w:right="-28"/>
        <w:rPr>
          <w:b/>
          <w:lang w:val="en-US"/>
        </w:rPr>
      </w:pPr>
      <w:r w:rsidRPr="0069463E">
        <w:rPr>
          <w:b/>
          <w:lang w:val="en-US"/>
        </w:rPr>
        <w:lastRenderedPageBreak/>
        <w:t xml:space="preserve">Figure 5:  </w:t>
      </w:r>
      <w:r w:rsidR="00236EF9" w:rsidRPr="0069463E">
        <w:rPr>
          <w:b/>
          <w:lang w:val="en-US"/>
        </w:rPr>
        <w:t xml:space="preserve">Number of infectious syphilis notifications among men and proportion (%) of cases </w:t>
      </w:r>
      <w:r w:rsidR="00D77C73" w:rsidRPr="0069463E">
        <w:rPr>
          <w:b/>
          <w:lang w:val="en-US"/>
        </w:rPr>
        <w:t xml:space="preserve">by sexual exposure and year 2015 – </w:t>
      </w:r>
      <w:r w:rsidR="0069463E" w:rsidRPr="0069463E">
        <w:rPr>
          <w:b/>
          <w:lang w:val="en-US"/>
        </w:rPr>
        <w:t xml:space="preserve">Q1 </w:t>
      </w:r>
      <w:r w:rsidR="00D77C73" w:rsidRPr="0069463E">
        <w:rPr>
          <w:b/>
          <w:lang w:val="en-US"/>
        </w:rPr>
        <w:t>202</w:t>
      </w:r>
      <w:r w:rsidR="0069463E" w:rsidRPr="0069463E">
        <w:rPr>
          <w:b/>
          <w:lang w:val="en-US"/>
        </w:rPr>
        <w:t>3</w:t>
      </w:r>
      <w:r w:rsidR="00D77C73" w:rsidRPr="0069463E">
        <w:rPr>
          <w:b/>
          <w:lang w:val="en-US"/>
        </w:rPr>
        <w:t xml:space="preserve"> </w:t>
      </w:r>
    </w:p>
    <w:p w14:paraId="21E366F9" w14:textId="10973913" w:rsidR="00C051D1" w:rsidRPr="0069463E" w:rsidRDefault="0069463E" w:rsidP="008756AB">
      <w:pPr>
        <w:spacing w:after="60"/>
      </w:pPr>
      <w:r w:rsidRPr="0069463E">
        <w:rPr>
          <w:noProof/>
        </w:rPr>
        <w:drawing>
          <wp:inline distT="0" distB="0" distL="0" distR="0" wp14:anchorId="21F0033D" wp14:editId="6A091936">
            <wp:extent cx="6427545" cy="419100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436169" cy="4196623"/>
                    </a:xfrm>
                    <a:prstGeom prst="rect">
                      <a:avLst/>
                    </a:prstGeom>
                    <a:noFill/>
                  </pic:spPr>
                </pic:pic>
              </a:graphicData>
            </a:graphic>
          </wp:inline>
        </w:drawing>
      </w:r>
    </w:p>
    <w:p w14:paraId="0D71D735" w14:textId="77777777" w:rsidR="00C705E8" w:rsidRPr="0069463E" w:rsidRDefault="00C705E8" w:rsidP="008756AB">
      <w:pPr>
        <w:spacing w:after="60"/>
      </w:pPr>
    </w:p>
    <w:p w14:paraId="10E57FFB" w14:textId="5C3C4F81" w:rsidR="001E6EF4" w:rsidRPr="0069463E" w:rsidRDefault="00CB79C3" w:rsidP="00733CA2">
      <w:pPr>
        <w:pStyle w:val="Heading4"/>
      </w:pPr>
      <w:r w:rsidRPr="0069463E">
        <w:t>Target 2</w:t>
      </w:r>
      <w:r w:rsidR="007B54E3" w:rsidRPr="0069463E">
        <w:t>: Eliminate congenital syphilis</w:t>
      </w:r>
    </w:p>
    <w:p w14:paraId="6DB94130" w14:textId="08A0C211" w:rsidR="008F7288" w:rsidRPr="0069463E" w:rsidRDefault="00A14E41" w:rsidP="00801867">
      <w:pPr>
        <w:spacing w:after="60" w:line="276" w:lineRule="auto"/>
        <w:rPr>
          <w:b/>
          <w:i/>
        </w:rPr>
      </w:pPr>
      <w:bookmarkStart w:id="2" w:name="_Ref525049417"/>
      <w:r w:rsidRPr="0069463E">
        <w:rPr>
          <w:b/>
          <w:i/>
        </w:rPr>
        <w:t xml:space="preserve">Indicator </w:t>
      </w:r>
      <w:r w:rsidR="00587F74" w:rsidRPr="0069463E">
        <w:rPr>
          <w:b/>
          <w:i/>
        </w:rPr>
        <w:t xml:space="preserve">2.1 - </w:t>
      </w:r>
      <w:r w:rsidR="008F7288" w:rsidRPr="0069463E">
        <w:rPr>
          <w:b/>
          <w:i/>
        </w:rPr>
        <w:t>Number of congenital syphilis notifications</w:t>
      </w:r>
    </w:p>
    <w:p w14:paraId="3F096D70" w14:textId="119ECEE6" w:rsidR="008F7288" w:rsidRPr="0069463E" w:rsidRDefault="00A14E41" w:rsidP="00801867">
      <w:pPr>
        <w:spacing w:after="60"/>
        <w:rPr>
          <w:b/>
          <w:i/>
        </w:rPr>
      </w:pPr>
      <w:r w:rsidRPr="0069463E">
        <w:rPr>
          <w:b/>
          <w:i/>
        </w:rPr>
        <w:t xml:space="preserve">Indicator </w:t>
      </w:r>
      <w:r w:rsidR="00587F74" w:rsidRPr="0069463E">
        <w:rPr>
          <w:b/>
          <w:i/>
        </w:rPr>
        <w:t>2.</w:t>
      </w:r>
      <w:r w:rsidR="00EE344D" w:rsidRPr="0069463E">
        <w:rPr>
          <w:b/>
          <w:i/>
        </w:rPr>
        <w:t>2</w:t>
      </w:r>
      <w:r w:rsidR="00587F74" w:rsidRPr="0069463E">
        <w:rPr>
          <w:b/>
          <w:i/>
        </w:rPr>
        <w:t xml:space="preserve"> - </w:t>
      </w:r>
      <w:r w:rsidR="008F7288" w:rsidRPr="0069463E">
        <w:rPr>
          <w:b/>
          <w:i/>
        </w:rPr>
        <w:t xml:space="preserve">Notification rate of congenital syphilis per 100,000 live births </w:t>
      </w:r>
    </w:p>
    <w:p w14:paraId="19C9C7A1" w14:textId="0F4001FF" w:rsidR="00A45742" w:rsidRPr="008107B5" w:rsidRDefault="00A14E41" w:rsidP="00801867">
      <w:pPr>
        <w:spacing w:after="60"/>
        <w:rPr>
          <w:b/>
          <w:i/>
        </w:rPr>
      </w:pPr>
      <w:r w:rsidRPr="008107B5">
        <w:rPr>
          <w:b/>
          <w:i/>
        </w:rPr>
        <w:t xml:space="preserve">Indicator </w:t>
      </w:r>
      <w:r w:rsidR="00A45742" w:rsidRPr="008107B5">
        <w:rPr>
          <w:b/>
          <w:i/>
        </w:rPr>
        <w:t xml:space="preserve">2.3 - Number of congenital syphilis cases that were reported to have died from the condition </w:t>
      </w:r>
    </w:p>
    <w:p w14:paraId="62E43C26" w14:textId="3EF99388" w:rsidR="002C51E6" w:rsidRPr="008107B5" w:rsidRDefault="008107B5" w:rsidP="002C3778">
      <w:pPr>
        <w:pStyle w:val="Caption"/>
        <w:rPr>
          <w:b w:val="0"/>
        </w:rPr>
      </w:pPr>
      <w:r w:rsidRPr="008107B5">
        <w:rPr>
          <w:b w:val="0"/>
        </w:rPr>
        <w:t>Seventy-three</w:t>
      </w:r>
      <w:r w:rsidR="003D6294" w:rsidRPr="008107B5">
        <w:rPr>
          <w:b w:val="0"/>
        </w:rPr>
        <w:t xml:space="preserve"> (</w:t>
      </w:r>
      <w:r w:rsidRPr="008107B5">
        <w:rPr>
          <w:b w:val="0"/>
        </w:rPr>
        <w:t>73</w:t>
      </w:r>
      <w:r w:rsidR="003D6294" w:rsidRPr="008107B5">
        <w:rPr>
          <w:b w:val="0"/>
        </w:rPr>
        <w:t xml:space="preserve">) </w:t>
      </w:r>
      <w:r w:rsidR="002C51E6" w:rsidRPr="008107B5">
        <w:rPr>
          <w:b w:val="0"/>
        </w:rPr>
        <w:t>cases of congenital syphilis were reported between 2016 and</w:t>
      </w:r>
      <w:r w:rsidR="00AD493E" w:rsidRPr="008107B5">
        <w:rPr>
          <w:b w:val="0"/>
        </w:rPr>
        <w:t xml:space="preserve"> </w:t>
      </w:r>
      <w:r w:rsidRPr="008107B5">
        <w:rPr>
          <w:b w:val="0"/>
        </w:rPr>
        <w:t>Q1 2023</w:t>
      </w:r>
      <w:r w:rsidR="002C51E6" w:rsidRPr="008107B5">
        <w:rPr>
          <w:b w:val="0"/>
        </w:rPr>
        <w:t xml:space="preserve">, </w:t>
      </w:r>
      <w:r w:rsidR="00AD493E" w:rsidRPr="008107B5">
        <w:rPr>
          <w:b w:val="0"/>
        </w:rPr>
        <w:t>3</w:t>
      </w:r>
      <w:r w:rsidR="0090328F" w:rsidRPr="008107B5">
        <w:rPr>
          <w:b w:val="0"/>
        </w:rPr>
        <w:t>6</w:t>
      </w:r>
      <w:r w:rsidR="00A74D0E" w:rsidRPr="008107B5">
        <w:rPr>
          <w:b w:val="0"/>
        </w:rPr>
        <w:t xml:space="preserve"> </w:t>
      </w:r>
      <w:r w:rsidR="002C51E6" w:rsidRPr="008107B5">
        <w:rPr>
          <w:b w:val="0"/>
        </w:rPr>
        <w:t>were reported in Aboriginal a</w:t>
      </w:r>
      <w:r w:rsidR="009C5759" w:rsidRPr="008107B5">
        <w:rPr>
          <w:b w:val="0"/>
        </w:rPr>
        <w:t>nd Torres Strait Islander infants</w:t>
      </w:r>
      <w:r w:rsidR="0067198C" w:rsidRPr="008107B5">
        <w:rPr>
          <w:b w:val="0"/>
        </w:rPr>
        <w:t xml:space="preserve">, </w:t>
      </w:r>
      <w:r w:rsidRPr="008107B5">
        <w:rPr>
          <w:b w:val="0"/>
        </w:rPr>
        <w:t>30</w:t>
      </w:r>
      <w:r w:rsidR="00807048" w:rsidRPr="008107B5">
        <w:rPr>
          <w:b w:val="0"/>
        </w:rPr>
        <w:t xml:space="preserve"> were non-Indigenous and </w:t>
      </w:r>
      <w:r w:rsidRPr="008107B5">
        <w:rPr>
          <w:b w:val="0"/>
        </w:rPr>
        <w:t>7</w:t>
      </w:r>
      <w:r w:rsidR="00DF397B" w:rsidRPr="008107B5">
        <w:rPr>
          <w:b w:val="0"/>
        </w:rPr>
        <w:t xml:space="preserve"> </w:t>
      </w:r>
      <w:r w:rsidR="002C51E6" w:rsidRPr="008107B5">
        <w:rPr>
          <w:b w:val="0"/>
        </w:rPr>
        <w:t>had an unknown Indigenous status (Figure</w:t>
      </w:r>
      <w:r w:rsidR="00A14E41" w:rsidRPr="008107B5">
        <w:rPr>
          <w:b w:val="0"/>
        </w:rPr>
        <w:t> </w:t>
      </w:r>
      <w:r w:rsidR="00491426" w:rsidRPr="008107B5">
        <w:rPr>
          <w:b w:val="0"/>
        </w:rPr>
        <w:t>6</w:t>
      </w:r>
      <w:r w:rsidR="002C51E6" w:rsidRPr="008107B5">
        <w:rPr>
          <w:b w:val="0"/>
        </w:rPr>
        <w:t xml:space="preserve">). </w:t>
      </w:r>
      <w:r w:rsidR="00B038A3" w:rsidRPr="008107B5">
        <w:rPr>
          <w:b w:val="0"/>
        </w:rPr>
        <w:t xml:space="preserve">Among the </w:t>
      </w:r>
      <w:r w:rsidR="00AD493E" w:rsidRPr="008107B5">
        <w:rPr>
          <w:b w:val="0"/>
        </w:rPr>
        <w:t>3</w:t>
      </w:r>
      <w:r w:rsidR="009C6D95" w:rsidRPr="008107B5">
        <w:rPr>
          <w:b w:val="0"/>
        </w:rPr>
        <w:t>6</w:t>
      </w:r>
      <w:r w:rsidR="00B038A3" w:rsidRPr="008107B5">
        <w:rPr>
          <w:b w:val="0"/>
        </w:rPr>
        <w:t xml:space="preserve"> Aboriginal and Torres Strait Islander cases, </w:t>
      </w:r>
      <w:r w:rsidR="00E75FC8" w:rsidRPr="008107B5">
        <w:rPr>
          <w:b w:val="0"/>
        </w:rPr>
        <w:t>3</w:t>
      </w:r>
      <w:r w:rsidR="0090328F" w:rsidRPr="008107B5">
        <w:rPr>
          <w:b w:val="0"/>
        </w:rPr>
        <w:t>3</w:t>
      </w:r>
      <w:r w:rsidR="00E75FC8" w:rsidRPr="008107B5">
        <w:rPr>
          <w:b w:val="0"/>
        </w:rPr>
        <w:t>% (</w:t>
      </w:r>
      <w:r w:rsidR="00EE5DE5" w:rsidRPr="008107B5">
        <w:rPr>
          <w:b w:val="0"/>
        </w:rPr>
        <w:t>1</w:t>
      </w:r>
      <w:r w:rsidR="00C16F2E" w:rsidRPr="008107B5">
        <w:rPr>
          <w:b w:val="0"/>
        </w:rPr>
        <w:t>2</w:t>
      </w:r>
      <w:r w:rsidR="00E75FC8" w:rsidRPr="008107B5">
        <w:rPr>
          <w:b w:val="0"/>
        </w:rPr>
        <w:t>/</w:t>
      </w:r>
      <w:r w:rsidR="00AD493E" w:rsidRPr="008107B5">
        <w:rPr>
          <w:b w:val="0"/>
        </w:rPr>
        <w:t>3</w:t>
      </w:r>
      <w:r w:rsidR="0090328F" w:rsidRPr="008107B5">
        <w:rPr>
          <w:b w:val="0"/>
        </w:rPr>
        <w:t>6</w:t>
      </w:r>
      <w:r w:rsidR="00A74D0E" w:rsidRPr="008107B5">
        <w:rPr>
          <w:b w:val="0"/>
        </w:rPr>
        <w:t xml:space="preserve">) </w:t>
      </w:r>
      <w:r w:rsidR="002F5694" w:rsidRPr="008107B5">
        <w:rPr>
          <w:b w:val="0"/>
        </w:rPr>
        <w:t>were residents of major cities,</w:t>
      </w:r>
      <w:r w:rsidR="00807048" w:rsidRPr="008107B5">
        <w:rPr>
          <w:b w:val="0"/>
        </w:rPr>
        <w:t xml:space="preserve"> </w:t>
      </w:r>
      <w:r w:rsidR="00EE5DE5" w:rsidRPr="008107B5">
        <w:rPr>
          <w:b w:val="0"/>
        </w:rPr>
        <w:t>2</w:t>
      </w:r>
      <w:r w:rsidR="0090328F" w:rsidRPr="008107B5">
        <w:rPr>
          <w:b w:val="0"/>
        </w:rPr>
        <w:t>8</w:t>
      </w:r>
      <w:r w:rsidR="00AD493E" w:rsidRPr="008107B5">
        <w:rPr>
          <w:b w:val="0"/>
        </w:rPr>
        <w:t>%</w:t>
      </w:r>
      <w:r w:rsidR="00807048" w:rsidRPr="008107B5">
        <w:rPr>
          <w:b w:val="0"/>
        </w:rPr>
        <w:t xml:space="preserve"> (</w:t>
      </w:r>
      <w:r w:rsidR="0090328F" w:rsidRPr="008107B5">
        <w:rPr>
          <w:b w:val="0"/>
        </w:rPr>
        <w:t>10</w:t>
      </w:r>
      <w:r w:rsidR="00E75FC8" w:rsidRPr="008107B5">
        <w:rPr>
          <w:b w:val="0"/>
        </w:rPr>
        <w:t>/</w:t>
      </w:r>
      <w:r w:rsidR="00AD493E" w:rsidRPr="008107B5">
        <w:rPr>
          <w:b w:val="0"/>
        </w:rPr>
        <w:t>3</w:t>
      </w:r>
      <w:r w:rsidR="0090328F" w:rsidRPr="008107B5">
        <w:rPr>
          <w:b w:val="0"/>
        </w:rPr>
        <w:t>6</w:t>
      </w:r>
      <w:r w:rsidR="00E75FC8" w:rsidRPr="008107B5">
        <w:rPr>
          <w:b w:val="0"/>
        </w:rPr>
        <w:t>) from inner/outer regional areas</w:t>
      </w:r>
      <w:r w:rsidR="002F5694" w:rsidRPr="008107B5">
        <w:rPr>
          <w:b w:val="0"/>
        </w:rPr>
        <w:t xml:space="preserve"> and </w:t>
      </w:r>
      <w:r w:rsidR="00C16F2E" w:rsidRPr="008107B5">
        <w:rPr>
          <w:b w:val="0"/>
        </w:rPr>
        <w:t>3</w:t>
      </w:r>
      <w:r w:rsidR="0090328F" w:rsidRPr="008107B5">
        <w:rPr>
          <w:b w:val="0"/>
        </w:rPr>
        <w:t>9</w:t>
      </w:r>
      <w:r w:rsidR="002F5694" w:rsidRPr="008107B5">
        <w:rPr>
          <w:b w:val="0"/>
        </w:rPr>
        <w:t xml:space="preserve">% </w:t>
      </w:r>
      <w:r w:rsidR="00AD493E" w:rsidRPr="008107B5">
        <w:rPr>
          <w:b w:val="0"/>
        </w:rPr>
        <w:t>(1</w:t>
      </w:r>
      <w:r w:rsidR="0090328F" w:rsidRPr="008107B5">
        <w:rPr>
          <w:b w:val="0"/>
        </w:rPr>
        <w:t>4</w:t>
      </w:r>
      <w:r w:rsidR="002F5694" w:rsidRPr="008107B5">
        <w:rPr>
          <w:b w:val="0"/>
        </w:rPr>
        <w:t>/</w:t>
      </w:r>
      <w:r w:rsidR="00AD493E" w:rsidRPr="008107B5">
        <w:rPr>
          <w:b w:val="0"/>
        </w:rPr>
        <w:t>3</w:t>
      </w:r>
      <w:r w:rsidR="0090328F" w:rsidRPr="008107B5">
        <w:rPr>
          <w:b w:val="0"/>
        </w:rPr>
        <w:t>6</w:t>
      </w:r>
      <w:r w:rsidR="002F5694" w:rsidRPr="008107B5">
        <w:rPr>
          <w:b w:val="0"/>
        </w:rPr>
        <w:t>) from remote/very remote areas</w:t>
      </w:r>
      <w:r w:rsidR="00E75FC8" w:rsidRPr="008107B5">
        <w:rPr>
          <w:b w:val="0"/>
        </w:rPr>
        <w:t xml:space="preserve">. </w:t>
      </w:r>
      <w:r w:rsidR="00B038A3" w:rsidRPr="008107B5">
        <w:rPr>
          <w:b w:val="0"/>
        </w:rPr>
        <w:t xml:space="preserve"> </w:t>
      </w:r>
      <w:r w:rsidR="00E75FC8" w:rsidRPr="008107B5">
        <w:rPr>
          <w:b w:val="0"/>
        </w:rPr>
        <w:t>Eighty-</w:t>
      </w:r>
      <w:r w:rsidRPr="008107B5">
        <w:rPr>
          <w:b w:val="0"/>
        </w:rPr>
        <w:t>seven</w:t>
      </w:r>
      <w:r w:rsidR="00E75FC8" w:rsidRPr="008107B5">
        <w:rPr>
          <w:b w:val="0"/>
        </w:rPr>
        <w:t xml:space="preserve"> per cent (8</w:t>
      </w:r>
      <w:r w:rsidRPr="008107B5">
        <w:rPr>
          <w:b w:val="0"/>
        </w:rPr>
        <w:t>7</w:t>
      </w:r>
      <w:r w:rsidR="00E75FC8" w:rsidRPr="008107B5">
        <w:rPr>
          <w:b w:val="0"/>
        </w:rPr>
        <w:t xml:space="preserve">%, </w:t>
      </w:r>
      <w:r w:rsidR="00EE5DE5" w:rsidRPr="008107B5">
        <w:rPr>
          <w:b w:val="0"/>
        </w:rPr>
        <w:t>2</w:t>
      </w:r>
      <w:r w:rsidRPr="008107B5">
        <w:rPr>
          <w:b w:val="0"/>
        </w:rPr>
        <w:t>6</w:t>
      </w:r>
      <w:r w:rsidR="002F5694" w:rsidRPr="008107B5">
        <w:rPr>
          <w:b w:val="0"/>
        </w:rPr>
        <w:t>/</w:t>
      </w:r>
      <w:r w:rsidRPr="008107B5">
        <w:rPr>
          <w:b w:val="0"/>
        </w:rPr>
        <w:t>30</w:t>
      </w:r>
      <w:r w:rsidR="00B038A3" w:rsidRPr="008107B5">
        <w:rPr>
          <w:b w:val="0"/>
        </w:rPr>
        <w:t>) of non-Indigenous cases</w:t>
      </w:r>
      <w:r w:rsidR="00E75FC8" w:rsidRPr="008107B5">
        <w:rPr>
          <w:b w:val="0"/>
        </w:rPr>
        <w:t xml:space="preserve"> were </w:t>
      </w:r>
      <w:r w:rsidR="002F5694" w:rsidRPr="008107B5">
        <w:rPr>
          <w:b w:val="0"/>
        </w:rPr>
        <w:t>residents of major cities and 1</w:t>
      </w:r>
      <w:r w:rsidRPr="008107B5">
        <w:rPr>
          <w:b w:val="0"/>
        </w:rPr>
        <w:t>3</w:t>
      </w:r>
      <w:r w:rsidR="00B038A3" w:rsidRPr="008107B5">
        <w:rPr>
          <w:b w:val="0"/>
        </w:rPr>
        <w:t>% (</w:t>
      </w:r>
      <w:r w:rsidRPr="008107B5">
        <w:rPr>
          <w:b w:val="0"/>
        </w:rPr>
        <w:t>4</w:t>
      </w:r>
      <w:r w:rsidR="00B038A3" w:rsidRPr="008107B5">
        <w:rPr>
          <w:b w:val="0"/>
        </w:rPr>
        <w:t>/</w:t>
      </w:r>
      <w:r w:rsidRPr="008107B5">
        <w:rPr>
          <w:b w:val="0"/>
        </w:rPr>
        <w:t>30</w:t>
      </w:r>
      <w:r w:rsidR="00B038A3" w:rsidRPr="008107B5">
        <w:rPr>
          <w:b w:val="0"/>
        </w:rPr>
        <w:t xml:space="preserve">) from inner/outer regional areas. </w:t>
      </w:r>
      <w:r w:rsidRPr="008107B5">
        <w:rPr>
          <w:b w:val="0"/>
        </w:rPr>
        <w:t xml:space="preserve">Five </w:t>
      </w:r>
      <w:r w:rsidR="0090328F" w:rsidRPr="008107B5">
        <w:rPr>
          <w:b w:val="0"/>
        </w:rPr>
        <w:t>(</w:t>
      </w:r>
      <w:r w:rsidRPr="008107B5">
        <w:rPr>
          <w:b w:val="0"/>
        </w:rPr>
        <w:t>5</w:t>
      </w:r>
      <w:r w:rsidR="0090328F" w:rsidRPr="008107B5">
        <w:rPr>
          <w:b w:val="0"/>
        </w:rPr>
        <w:t xml:space="preserve">) of the cases with </w:t>
      </w:r>
      <w:r w:rsidR="00B038A3" w:rsidRPr="008107B5">
        <w:rPr>
          <w:b w:val="0"/>
        </w:rPr>
        <w:t xml:space="preserve">an unknown Indigenous status were </w:t>
      </w:r>
      <w:r w:rsidR="00F9052C" w:rsidRPr="008107B5">
        <w:rPr>
          <w:b w:val="0"/>
        </w:rPr>
        <w:t>reported from major cities</w:t>
      </w:r>
      <w:r w:rsidR="00EE5DE5" w:rsidRPr="008107B5">
        <w:rPr>
          <w:b w:val="0"/>
        </w:rPr>
        <w:t xml:space="preserve"> (</w:t>
      </w:r>
      <w:r w:rsidRPr="008107B5">
        <w:rPr>
          <w:b w:val="0"/>
        </w:rPr>
        <w:t>71</w:t>
      </w:r>
      <w:r w:rsidR="00EE5DE5" w:rsidRPr="008107B5">
        <w:rPr>
          <w:b w:val="0"/>
        </w:rPr>
        <w:t xml:space="preserve">%, </w:t>
      </w:r>
      <w:r w:rsidRPr="008107B5">
        <w:rPr>
          <w:b w:val="0"/>
        </w:rPr>
        <w:t>5</w:t>
      </w:r>
      <w:r w:rsidR="00EE5DE5" w:rsidRPr="008107B5">
        <w:rPr>
          <w:b w:val="0"/>
        </w:rPr>
        <w:t>/</w:t>
      </w:r>
      <w:r w:rsidRPr="008107B5">
        <w:rPr>
          <w:b w:val="0"/>
        </w:rPr>
        <w:t>7</w:t>
      </w:r>
      <w:r w:rsidR="00EE5DE5" w:rsidRPr="008107B5">
        <w:rPr>
          <w:b w:val="0"/>
        </w:rPr>
        <w:t>)</w:t>
      </w:r>
      <w:r w:rsidR="0090328F" w:rsidRPr="008107B5">
        <w:rPr>
          <w:b w:val="0"/>
        </w:rPr>
        <w:t xml:space="preserve">, </w:t>
      </w:r>
      <w:r w:rsidRPr="008107B5">
        <w:rPr>
          <w:b w:val="0"/>
        </w:rPr>
        <w:t xml:space="preserve">one was a resident of an inner/outer regional area (14%, 1/7) </w:t>
      </w:r>
      <w:r w:rsidR="0090328F" w:rsidRPr="008107B5">
        <w:rPr>
          <w:b w:val="0"/>
        </w:rPr>
        <w:t>and the remaining case did not have a residential location reported (</w:t>
      </w:r>
      <w:r w:rsidRPr="008107B5">
        <w:rPr>
          <w:b w:val="0"/>
        </w:rPr>
        <w:t>14</w:t>
      </w:r>
      <w:r w:rsidR="0090328F" w:rsidRPr="008107B5">
        <w:rPr>
          <w:b w:val="0"/>
        </w:rPr>
        <w:t>%, 1/</w:t>
      </w:r>
      <w:r w:rsidRPr="008107B5">
        <w:rPr>
          <w:b w:val="0"/>
        </w:rPr>
        <w:t>7</w:t>
      </w:r>
      <w:r w:rsidR="0090328F" w:rsidRPr="008107B5">
        <w:rPr>
          <w:b w:val="0"/>
        </w:rPr>
        <w:t>)</w:t>
      </w:r>
      <w:r w:rsidRPr="008107B5">
        <w:rPr>
          <w:rStyle w:val="FootnoteReference"/>
          <w:b w:val="0"/>
        </w:rPr>
        <w:footnoteReference w:id="8"/>
      </w:r>
      <w:r w:rsidR="0090328F" w:rsidRPr="008107B5">
        <w:rPr>
          <w:b w:val="0"/>
        </w:rPr>
        <w:t>.</w:t>
      </w:r>
    </w:p>
    <w:p w14:paraId="36A8CDF5" w14:textId="175067FF" w:rsidR="0080419C" w:rsidRPr="008107B5" w:rsidRDefault="0080419C" w:rsidP="0080419C">
      <w:r w:rsidRPr="008107B5">
        <w:t xml:space="preserve">Aboriginal and Torres Strait Islander infants are disproportionately represented in the notification data, with rates per 100,000 live births </w:t>
      </w:r>
      <w:r w:rsidR="001F7D98" w:rsidRPr="008107B5">
        <w:t>on average almost 20 times that of non-Indigenous infants, noting that rates</w:t>
      </w:r>
      <w:r w:rsidR="009C5759" w:rsidRPr="008107B5">
        <w:t xml:space="preserve"> have</w:t>
      </w:r>
      <w:r w:rsidR="001F7D98" w:rsidRPr="008107B5">
        <w:t xml:space="preserve"> fluctuated in both groups over time.</w:t>
      </w:r>
    </w:p>
    <w:p w14:paraId="41AD73A7" w14:textId="3CB53418" w:rsidR="00F9052C" w:rsidRPr="00CB71AA" w:rsidRDefault="008107B5" w:rsidP="00C16F2E">
      <w:pPr>
        <w:spacing w:before="0" w:after="120"/>
      </w:pPr>
      <w:r w:rsidRPr="00CB71AA">
        <w:t>Twenty-two (22)</w:t>
      </w:r>
      <w:r w:rsidR="00A74D0E" w:rsidRPr="00CB71AA">
        <w:t xml:space="preserve"> </w:t>
      </w:r>
      <w:r w:rsidR="00021EA7" w:rsidRPr="00CB71AA">
        <w:t xml:space="preserve">congenital syphilis associated deaths were reported between 2016 and </w:t>
      </w:r>
      <w:r w:rsidRPr="00CB71AA">
        <w:t>Q1 2023</w:t>
      </w:r>
      <w:r w:rsidR="00021EA7" w:rsidRPr="00CB71AA">
        <w:t xml:space="preserve">, </w:t>
      </w:r>
      <w:r w:rsidR="00F103A9" w:rsidRPr="00CB71AA">
        <w:t>1</w:t>
      </w:r>
      <w:r w:rsidR="00C16F2E" w:rsidRPr="00CB71AA">
        <w:t>2</w:t>
      </w:r>
      <w:r w:rsidR="00E64E9A" w:rsidRPr="00CB71AA">
        <w:t xml:space="preserve"> (</w:t>
      </w:r>
      <w:r w:rsidRPr="00CB71AA">
        <w:t>55</w:t>
      </w:r>
      <w:r w:rsidR="00E64E9A" w:rsidRPr="00CB71AA">
        <w:t xml:space="preserve">%, </w:t>
      </w:r>
      <w:r w:rsidR="00F103A9" w:rsidRPr="00CB71AA">
        <w:t>1</w:t>
      </w:r>
      <w:r w:rsidR="00C16F2E" w:rsidRPr="00CB71AA">
        <w:t>2</w:t>
      </w:r>
      <w:r w:rsidR="00A74D0E" w:rsidRPr="00CB71AA">
        <w:t>/</w:t>
      </w:r>
      <w:r w:rsidRPr="00CB71AA">
        <w:t>22</w:t>
      </w:r>
      <w:r w:rsidR="00A74D0E" w:rsidRPr="00CB71AA">
        <w:t>)</w:t>
      </w:r>
      <w:r w:rsidR="00021EA7" w:rsidRPr="00CB71AA">
        <w:t xml:space="preserve"> were Aboriginal and T</w:t>
      </w:r>
      <w:r w:rsidR="00E64E9A" w:rsidRPr="00CB71AA">
        <w:t xml:space="preserve">orres Strait Islander infants, </w:t>
      </w:r>
      <w:r w:rsidRPr="00CB71AA">
        <w:t>6</w:t>
      </w:r>
      <w:r w:rsidR="00021EA7" w:rsidRPr="00CB71AA">
        <w:t xml:space="preserve"> </w:t>
      </w:r>
      <w:r w:rsidR="00A74D0E" w:rsidRPr="00CB71AA">
        <w:t>(</w:t>
      </w:r>
      <w:r w:rsidR="00EE5DE5" w:rsidRPr="00CB71AA">
        <w:t>2</w:t>
      </w:r>
      <w:r w:rsidRPr="00CB71AA">
        <w:t>7</w:t>
      </w:r>
      <w:r w:rsidR="00A74D0E" w:rsidRPr="00CB71AA">
        <w:t xml:space="preserve">%, </w:t>
      </w:r>
      <w:r w:rsidRPr="00CB71AA">
        <w:t>6</w:t>
      </w:r>
      <w:r w:rsidR="00A74D0E" w:rsidRPr="00CB71AA">
        <w:t>/</w:t>
      </w:r>
      <w:r w:rsidRPr="00CB71AA">
        <w:t>22</w:t>
      </w:r>
      <w:r w:rsidR="00A74D0E" w:rsidRPr="00CB71AA">
        <w:t>)</w:t>
      </w:r>
      <w:r w:rsidR="00E64E9A" w:rsidRPr="00CB71AA">
        <w:t xml:space="preserve"> were</w:t>
      </w:r>
      <w:r w:rsidR="00021EA7" w:rsidRPr="00CB71AA">
        <w:t xml:space="preserve"> non-Indigenous and </w:t>
      </w:r>
      <w:r w:rsidRPr="00CB71AA">
        <w:t>4</w:t>
      </w:r>
      <w:r w:rsidR="00021EA7" w:rsidRPr="00CB71AA">
        <w:t xml:space="preserve"> </w:t>
      </w:r>
      <w:r w:rsidR="00E64E9A" w:rsidRPr="00CB71AA">
        <w:t>(</w:t>
      </w:r>
      <w:r w:rsidR="00601A4D" w:rsidRPr="00CB71AA">
        <w:t>1</w:t>
      </w:r>
      <w:r w:rsidRPr="00CB71AA">
        <w:t>8</w:t>
      </w:r>
      <w:r w:rsidR="00A74D0E" w:rsidRPr="00CB71AA">
        <w:t xml:space="preserve">%, </w:t>
      </w:r>
      <w:r w:rsidRPr="00CB71AA">
        <w:t>4</w:t>
      </w:r>
      <w:r w:rsidR="00A74D0E" w:rsidRPr="00CB71AA">
        <w:t>/</w:t>
      </w:r>
      <w:r w:rsidRPr="00CB71AA">
        <w:t>22</w:t>
      </w:r>
      <w:r w:rsidR="00A74D0E" w:rsidRPr="00CB71AA">
        <w:t>)</w:t>
      </w:r>
      <w:r w:rsidR="00021EA7" w:rsidRPr="00CB71AA">
        <w:t xml:space="preserve"> had an unknown Indigenous status. </w:t>
      </w:r>
      <w:r w:rsidR="00581F29" w:rsidRPr="00CB71AA">
        <w:t>Of the Aboriginal and Torres Strait Islander infants that died,</w:t>
      </w:r>
      <w:r w:rsidR="00E64E9A" w:rsidRPr="00CB71AA">
        <w:t xml:space="preserve"> </w:t>
      </w:r>
      <w:r w:rsidR="00C16F2E" w:rsidRPr="00CB71AA">
        <w:t>5</w:t>
      </w:r>
      <w:r w:rsidR="00E64E9A" w:rsidRPr="00CB71AA">
        <w:t xml:space="preserve"> (</w:t>
      </w:r>
      <w:r w:rsidR="00C16F2E" w:rsidRPr="00CB71AA">
        <w:t>42</w:t>
      </w:r>
      <w:r w:rsidR="00E64E9A" w:rsidRPr="00CB71AA">
        <w:t xml:space="preserve">%, </w:t>
      </w:r>
      <w:r w:rsidR="00C16F2E" w:rsidRPr="00CB71AA">
        <w:t>5</w:t>
      </w:r>
      <w:r w:rsidR="00E64E9A" w:rsidRPr="00CB71AA">
        <w:t>/</w:t>
      </w:r>
      <w:r w:rsidR="00F103A9" w:rsidRPr="00CB71AA">
        <w:t>1</w:t>
      </w:r>
      <w:r w:rsidR="00C16F2E" w:rsidRPr="00CB71AA">
        <w:t>2</w:t>
      </w:r>
      <w:r w:rsidR="00A74D0E" w:rsidRPr="00CB71AA">
        <w:t>)</w:t>
      </w:r>
      <w:r w:rsidR="00581F29" w:rsidRPr="00CB71AA">
        <w:t xml:space="preserve"> were reported in major cities, 3</w:t>
      </w:r>
      <w:r w:rsidR="00BA1696" w:rsidRPr="00CB71AA">
        <w:t xml:space="preserve"> (</w:t>
      </w:r>
      <w:r w:rsidR="00F103A9" w:rsidRPr="00CB71AA">
        <w:t>2</w:t>
      </w:r>
      <w:r w:rsidR="00C16F2E" w:rsidRPr="00CB71AA">
        <w:t>5</w:t>
      </w:r>
      <w:r w:rsidR="00BA1696" w:rsidRPr="00CB71AA">
        <w:t>%, 3/</w:t>
      </w:r>
      <w:r w:rsidR="00F103A9" w:rsidRPr="00CB71AA">
        <w:t>1</w:t>
      </w:r>
      <w:r w:rsidR="00C16F2E" w:rsidRPr="00CB71AA">
        <w:t>2</w:t>
      </w:r>
      <w:r w:rsidR="00BA1696" w:rsidRPr="00CB71AA">
        <w:t>)</w:t>
      </w:r>
      <w:r w:rsidR="00581F29" w:rsidRPr="00CB71AA">
        <w:t xml:space="preserve"> from inner/outer regional areas and </w:t>
      </w:r>
      <w:r w:rsidR="00F103A9" w:rsidRPr="00CB71AA">
        <w:t>4</w:t>
      </w:r>
      <w:r w:rsidR="00E64E9A" w:rsidRPr="00CB71AA">
        <w:t xml:space="preserve"> (</w:t>
      </w:r>
      <w:r w:rsidR="00F103A9" w:rsidRPr="00CB71AA">
        <w:t>3</w:t>
      </w:r>
      <w:r w:rsidR="00C16F2E" w:rsidRPr="00CB71AA">
        <w:t>3</w:t>
      </w:r>
      <w:r w:rsidR="00BA1696" w:rsidRPr="00CB71AA">
        <w:t xml:space="preserve">%, </w:t>
      </w:r>
      <w:r w:rsidR="00F103A9" w:rsidRPr="00CB71AA">
        <w:t>4</w:t>
      </w:r>
      <w:r w:rsidR="00BA1696" w:rsidRPr="00CB71AA">
        <w:t>/</w:t>
      </w:r>
      <w:r w:rsidR="00F103A9" w:rsidRPr="00CB71AA">
        <w:t>1</w:t>
      </w:r>
      <w:r w:rsidR="00C16F2E" w:rsidRPr="00CB71AA">
        <w:t>2</w:t>
      </w:r>
      <w:r w:rsidR="00BA1696" w:rsidRPr="00CB71AA">
        <w:t>)</w:t>
      </w:r>
      <w:r w:rsidR="00581F29" w:rsidRPr="00CB71AA">
        <w:t xml:space="preserve"> from </w:t>
      </w:r>
      <w:r w:rsidR="00581F29" w:rsidRPr="00CB71AA">
        <w:lastRenderedPageBreak/>
        <w:t xml:space="preserve">remote/very remote areas.  </w:t>
      </w:r>
      <w:r w:rsidR="002F5694" w:rsidRPr="00CB71AA">
        <w:t>Of the non-Indigenous infants</w:t>
      </w:r>
      <w:r w:rsidR="00601A4D" w:rsidRPr="00CB71AA">
        <w:t>,</w:t>
      </w:r>
      <w:r w:rsidR="002F5694" w:rsidRPr="00CB71AA">
        <w:t xml:space="preserve"> </w:t>
      </w:r>
      <w:r w:rsidRPr="00CB71AA">
        <w:t>4</w:t>
      </w:r>
      <w:r w:rsidR="002F5694" w:rsidRPr="00CB71AA">
        <w:t xml:space="preserve"> (</w:t>
      </w:r>
      <w:r w:rsidRPr="00CB71AA">
        <w:t>67</w:t>
      </w:r>
      <w:r w:rsidR="002F5694" w:rsidRPr="00CB71AA">
        <w:t xml:space="preserve">%, </w:t>
      </w:r>
      <w:r w:rsidRPr="00CB71AA">
        <w:t>4</w:t>
      </w:r>
      <w:r w:rsidR="002F5694" w:rsidRPr="00CB71AA">
        <w:t>/</w:t>
      </w:r>
      <w:r w:rsidRPr="00CB71AA">
        <w:t>6</w:t>
      </w:r>
      <w:r w:rsidR="00E64E9A" w:rsidRPr="00CB71AA">
        <w:t>) were rep</w:t>
      </w:r>
      <w:r w:rsidR="00F25302" w:rsidRPr="00CB71AA">
        <w:t>orted in major cities</w:t>
      </w:r>
      <w:r w:rsidRPr="00CB71AA">
        <w:t>,</w:t>
      </w:r>
      <w:r w:rsidR="00F25302" w:rsidRPr="00CB71AA">
        <w:t xml:space="preserve"> 1 (</w:t>
      </w:r>
      <w:r w:rsidRPr="00CB71AA">
        <w:t>17</w:t>
      </w:r>
      <w:r w:rsidR="00F25302" w:rsidRPr="00CB71AA">
        <w:t>%, 1/</w:t>
      </w:r>
      <w:r w:rsidRPr="00CB71AA">
        <w:t>6</w:t>
      </w:r>
      <w:r w:rsidR="00F25302" w:rsidRPr="00CB71AA">
        <w:t xml:space="preserve">) </w:t>
      </w:r>
      <w:r w:rsidRPr="00CB71AA">
        <w:t xml:space="preserve">was </w:t>
      </w:r>
      <w:r w:rsidR="00F25302" w:rsidRPr="00CB71AA">
        <w:t>a resident of an inner/outer regional area</w:t>
      </w:r>
      <w:r w:rsidRPr="00CB71AA">
        <w:t xml:space="preserve"> and the remaining case (17%, 1/6) did not have a residential area reported</w:t>
      </w:r>
      <w:r w:rsidRPr="00CB71AA">
        <w:rPr>
          <w:rStyle w:val="FootnoteReference"/>
        </w:rPr>
        <w:footnoteReference w:id="9"/>
      </w:r>
      <w:r w:rsidR="00F25302" w:rsidRPr="00CB71AA">
        <w:t xml:space="preserve">.  </w:t>
      </w:r>
      <w:r w:rsidR="0090328F" w:rsidRPr="00CB71AA">
        <w:t xml:space="preserve">Of </w:t>
      </w:r>
      <w:r w:rsidRPr="00CB71AA">
        <w:t xml:space="preserve">the 4 cases with an </w:t>
      </w:r>
      <w:r w:rsidR="00F25302" w:rsidRPr="00CB71AA">
        <w:t>unknown Indigenous status</w:t>
      </w:r>
      <w:r w:rsidR="0090328F" w:rsidRPr="00CB71AA">
        <w:t xml:space="preserve"> </w:t>
      </w:r>
      <w:r w:rsidRPr="00CB71AA">
        <w:t>3</w:t>
      </w:r>
      <w:r w:rsidR="0090328F" w:rsidRPr="00CB71AA">
        <w:t xml:space="preserve"> (</w:t>
      </w:r>
      <w:r w:rsidRPr="00CB71AA">
        <w:t>75</w:t>
      </w:r>
      <w:r w:rsidR="0090328F" w:rsidRPr="00CB71AA">
        <w:t xml:space="preserve">%, </w:t>
      </w:r>
      <w:r w:rsidRPr="00CB71AA">
        <w:t>3</w:t>
      </w:r>
      <w:r w:rsidR="0090328F" w:rsidRPr="00CB71AA">
        <w:t>/</w:t>
      </w:r>
      <w:r w:rsidRPr="00CB71AA">
        <w:t>4</w:t>
      </w:r>
      <w:r w:rsidR="0090328F" w:rsidRPr="00CB71AA">
        <w:t>)</w:t>
      </w:r>
      <w:r w:rsidR="0080419C" w:rsidRPr="00CB71AA">
        <w:t xml:space="preserve"> </w:t>
      </w:r>
      <w:r w:rsidR="0090328F" w:rsidRPr="00CB71AA">
        <w:t xml:space="preserve">were </w:t>
      </w:r>
      <w:r w:rsidR="00581F29" w:rsidRPr="00CB71AA">
        <w:t>from major cit</w:t>
      </w:r>
      <w:r w:rsidR="00601A4D" w:rsidRPr="00CB71AA">
        <w:t>ies</w:t>
      </w:r>
      <w:r w:rsidR="0090328F" w:rsidRPr="00CB71AA">
        <w:t xml:space="preserve"> and 1 (</w:t>
      </w:r>
      <w:r w:rsidRPr="00CB71AA">
        <w:t>25</w:t>
      </w:r>
      <w:r w:rsidR="0090328F" w:rsidRPr="00CB71AA">
        <w:t>%, 1/</w:t>
      </w:r>
      <w:r w:rsidRPr="00CB71AA">
        <w:t>4</w:t>
      </w:r>
      <w:r w:rsidR="0090328F" w:rsidRPr="00CB71AA">
        <w:t>) did not have a residential location reported.</w:t>
      </w:r>
    </w:p>
    <w:p w14:paraId="2EC8711E" w14:textId="5F87FD7E" w:rsidR="00DF6E38" w:rsidRPr="00CB71AA" w:rsidRDefault="00DF6E38" w:rsidP="00C16F2E">
      <w:pPr>
        <w:pStyle w:val="Caption"/>
        <w:spacing w:after="0"/>
      </w:pPr>
      <w:r w:rsidRPr="00CB71AA">
        <w:t xml:space="preserve">Figure </w:t>
      </w:r>
      <w:r w:rsidR="00491426" w:rsidRPr="00CB71AA">
        <w:t>6</w:t>
      </w:r>
      <w:r w:rsidRPr="00CB71AA">
        <w:t xml:space="preserve">:  Notifications (n) and notification rate (per 100,000 live births) of congenital syphilis reported by Indigenous status, remoteness area, and year, 2016 – </w:t>
      </w:r>
      <w:r w:rsidR="0069463E" w:rsidRPr="00CB71AA">
        <w:t xml:space="preserve">Q1 </w:t>
      </w:r>
      <w:r w:rsidRPr="00CB71AA">
        <w:t>202</w:t>
      </w:r>
      <w:r w:rsidR="0069463E" w:rsidRPr="00CB71AA">
        <w:t>3</w:t>
      </w:r>
      <w:r w:rsidRPr="00CB71AA">
        <w:t xml:space="preserve"> </w:t>
      </w:r>
    </w:p>
    <w:p w14:paraId="56E31820" w14:textId="0AC08865" w:rsidR="00567515" w:rsidRPr="00CB71AA" w:rsidRDefault="0069463E" w:rsidP="00D9208A">
      <w:pPr>
        <w:spacing w:after="200" w:line="276" w:lineRule="auto"/>
        <w:rPr>
          <w:rFonts w:cstheme="minorHAnsi"/>
          <w:i/>
          <w:lang w:val="en-US"/>
        </w:rPr>
      </w:pPr>
      <w:r w:rsidRPr="00CB71AA">
        <w:rPr>
          <w:rFonts w:cstheme="minorHAnsi"/>
          <w:i/>
          <w:noProof/>
        </w:rPr>
        <w:drawing>
          <wp:inline distT="0" distB="0" distL="0" distR="0" wp14:anchorId="6A6FF112" wp14:editId="2E520397">
            <wp:extent cx="6383721" cy="416242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90288" cy="4166707"/>
                    </a:xfrm>
                    <a:prstGeom prst="rect">
                      <a:avLst/>
                    </a:prstGeom>
                    <a:noFill/>
                  </pic:spPr>
                </pic:pic>
              </a:graphicData>
            </a:graphic>
          </wp:inline>
        </w:drawing>
      </w:r>
    </w:p>
    <w:p w14:paraId="61B96AE4" w14:textId="3B081019" w:rsidR="00D9208A" w:rsidRPr="00CB71AA" w:rsidRDefault="00D9208A" w:rsidP="00821C6B">
      <w:pPr>
        <w:pStyle w:val="Heading3"/>
        <w:rPr>
          <w:lang w:val="en-US"/>
        </w:rPr>
      </w:pPr>
      <w:r w:rsidRPr="00CB71AA">
        <w:rPr>
          <w:lang w:val="en-US"/>
        </w:rPr>
        <w:t>Indicator 2.4 - Proportion of syphilis notifications among women who were pregnan</w:t>
      </w:r>
      <w:r w:rsidR="000F3304" w:rsidRPr="00CB71AA">
        <w:rPr>
          <w:lang w:val="en-US"/>
        </w:rPr>
        <w:t xml:space="preserve">t </w:t>
      </w:r>
      <w:r w:rsidRPr="00CB71AA">
        <w:rPr>
          <w:lang w:val="en-US"/>
        </w:rPr>
        <w:t xml:space="preserve">at time of diagnosis </w:t>
      </w:r>
    </w:p>
    <w:p w14:paraId="022509F6" w14:textId="6D125C2E" w:rsidR="00CD52BD" w:rsidRPr="00CB71AA" w:rsidRDefault="00CD52BD" w:rsidP="00CD52BD">
      <w:pPr>
        <w:spacing w:after="200" w:line="276" w:lineRule="auto"/>
        <w:rPr>
          <w:lang w:val="en-US"/>
        </w:rPr>
      </w:pPr>
      <w:r w:rsidRPr="00CB71AA">
        <w:rPr>
          <w:szCs w:val="16"/>
        </w:rPr>
        <w:t>Pregnancy status was available f</w:t>
      </w:r>
      <w:r w:rsidR="00785063" w:rsidRPr="00CB71AA">
        <w:rPr>
          <w:szCs w:val="16"/>
        </w:rPr>
        <w:t>rom</w:t>
      </w:r>
      <w:r w:rsidRPr="00CB71AA">
        <w:rPr>
          <w:szCs w:val="16"/>
        </w:rPr>
        <w:t xml:space="preserve"> </w:t>
      </w:r>
      <w:r w:rsidR="004B5C61" w:rsidRPr="00CB71AA">
        <w:rPr>
          <w:szCs w:val="16"/>
        </w:rPr>
        <w:t xml:space="preserve">7 </w:t>
      </w:r>
      <w:r w:rsidRPr="00CB71AA">
        <w:rPr>
          <w:szCs w:val="16"/>
        </w:rPr>
        <w:t xml:space="preserve">jurisdictions </w:t>
      </w:r>
      <w:r w:rsidR="00CB71AA" w:rsidRPr="00CB71AA">
        <w:rPr>
          <w:szCs w:val="16"/>
        </w:rPr>
        <w:t>between 2020 and 2023</w:t>
      </w:r>
      <w:r w:rsidRPr="00CB71AA">
        <w:rPr>
          <w:szCs w:val="16"/>
        </w:rPr>
        <w:t xml:space="preserve">, </w:t>
      </w:r>
      <w:r w:rsidR="004B5C61" w:rsidRPr="00CB71AA">
        <w:rPr>
          <w:szCs w:val="16"/>
        </w:rPr>
        <w:t>6</w:t>
      </w:r>
      <w:r w:rsidRPr="00CB71AA">
        <w:rPr>
          <w:szCs w:val="16"/>
        </w:rPr>
        <w:t xml:space="preserve"> in 2020 and </w:t>
      </w:r>
      <w:r w:rsidR="004B5C61" w:rsidRPr="00CB71AA">
        <w:rPr>
          <w:szCs w:val="16"/>
        </w:rPr>
        <w:t>4</w:t>
      </w:r>
      <w:r w:rsidRPr="00CB71AA">
        <w:rPr>
          <w:szCs w:val="16"/>
        </w:rPr>
        <w:t xml:space="preserve"> between 2017 and 2019.</w:t>
      </w:r>
      <w:r w:rsidR="00B4021D" w:rsidRPr="00CB71AA">
        <w:rPr>
          <w:szCs w:val="16"/>
        </w:rPr>
        <w:t xml:space="preserve"> </w:t>
      </w:r>
      <w:r w:rsidR="00A14E41" w:rsidRPr="00CB71AA">
        <w:rPr>
          <w:szCs w:val="16"/>
        </w:rPr>
        <w:t>Given</w:t>
      </w:r>
      <w:r w:rsidR="00B4021D" w:rsidRPr="00CB71AA">
        <w:rPr>
          <w:lang w:val="en-US"/>
        </w:rPr>
        <w:t xml:space="preserve"> the high proportion of cases with an unknown pregnancy status</w:t>
      </w:r>
      <w:r w:rsidR="00053CCA" w:rsidRPr="00CB71AA">
        <w:rPr>
          <w:lang w:val="en-US"/>
        </w:rPr>
        <w:t xml:space="preserve"> and retrospective changes to the data</w:t>
      </w:r>
      <w:r w:rsidR="00B4021D" w:rsidRPr="00CB71AA">
        <w:rPr>
          <w:lang w:val="en-US"/>
        </w:rPr>
        <w:t>, trends overtime should be interpreted with caution.</w:t>
      </w:r>
    </w:p>
    <w:p w14:paraId="53E9C040" w14:textId="525E84C2" w:rsidR="004B5C61" w:rsidRPr="00CB71AA" w:rsidRDefault="004B5C61" w:rsidP="004B5C61">
      <w:pPr>
        <w:tabs>
          <w:tab w:val="left" w:pos="935"/>
        </w:tabs>
        <w:ind w:right="-29"/>
        <w:rPr>
          <w:b/>
          <w:i/>
          <w:lang w:val="en-US"/>
        </w:rPr>
      </w:pPr>
      <w:r w:rsidRPr="00CB71AA">
        <w:rPr>
          <w:rFonts w:cstheme="minorHAnsi"/>
          <w:i/>
          <w:lang w:val="en-US"/>
        </w:rPr>
        <w:t>Please note there may be differences with previous reports due to pregnancy status being reclassified in some women and the inclusion of new historical data from jurisdictions.</w:t>
      </w:r>
      <w:r w:rsidRPr="00CB71AA">
        <w:rPr>
          <w:i/>
          <w:szCs w:val="16"/>
        </w:rPr>
        <w:t xml:space="preserve"> In addition, previous reports have included data from the NT; </w:t>
      </w:r>
      <w:proofErr w:type="gramStart"/>
      <w:r w:rsidRPr="00CB71AA">
        <w:rPr>
          <w:i/>
          <w:szCs w:val="16"/>
        </w:rPr>
        <w:t>however</w:t>
      </w:r>
      <w:proofErr w:type="gramEnd"/>
      <w:r w:rsidRPr="00CB71AA">
        <w:rPr>
          <w:i/>
          <w:szCs w:val="16"/>
        </w:rPr>
        <w:t xml:space="preserve"> these data have been excluded due to known data issues.</w:t>
      </w:r>
    </w:p>
    <w:p w14:paraId="4B1D412F" w14:textId="2B020F6E" w:rsidR="008213EA" w:rsidRPr="00CB71AA" w:rsidRDefault="008213EA" w:rsidP="00C051D1">
      <w:pPr>
        <w:ind w:right="396"/>
        <w:rPr>
          <w:rFonts w:cstheme="minorHAnsi"/>
          <w:lang w:val="en-US"/>
        </w:rPr>
      </w:pPr>
      <w:r w:rsidRPr="00CB71AA">
        <w:rPr>
          <w:rFonts w:cstheme="minorHAnsi"/>
          <w:lang w:val="en-US"/>
        </w:rPr>
        <w:t>In</w:t>
      </w:r>
      <w:r w:rsidR="00A95AED" w:rsidRPr="00CB71AA">
        <w:rPr>
          <w:rFonts w:cstheme="minorHAnsi"/>
          <w:lang w:val="en-US"/>
        </w:rPr>
        <w:t xml:space="preserve"> </w:t>
      </w:r>
      <w:r w:rsidR="00CB71AA" w:rsidRPr="00CB71AA">
        <w:rPr>
          <w:rFonts w:cstheme="minorHAnsi"/>
          <w:lang w:val="en-US"/>
        </w:rPr>
        <w:t>the first quarter of 2023</w:t>
      </w:r>
      <w:r w:rsidR="00A95AED" w:rsidRPr="00CB71AA">
        <w:rPr>
          <w:rFonts w:cstheme="minorHAnsi"/>
          <w:lang w:val="en-US"/>
        </w:rPr>
        <w:t xml:space="preserve">, </w:t>
      </w:r>
      <w:r w:rsidRPr="00CB71AA">
        <w:rPr>
          <w:rFonts w:cstheme="minorHAnsi"/>
          <w:lang w:val="en-US"/>
        </w:rPr>
        <w:t>of the syphilis</w:t>
      </w:r>
      <w:r w:rsidR="009C5759" w:rsidRPr="00CB71AA">
        <w:rPr>
          <w:rFonts w:cstheme="minorHAnsi"/>
          <w:lang w:val="en-US"/>
        </w:rPr>
        <w:t xml:space="preserve"> notifications</w:t>
      </w:r>
      <w:r w:rsidRPr="00CB71AA">
        <w:rPr>
          <w:rFonts w:cstheme="minorHAnsi"/>
          <w:lang w:val="en-US"/>
        </w:rPr>
        <w:t xml:space="preserve"> among Aboriginal and Torres Strait Islander women of reproductive age (15-44</w:t>
      </w:r>
      <w:r w:rsidR="000830C3" w:rsidRPr="00CB71AA">
        <w:rPr>
          <w:rFonts w:cstheme="minorHAnsi"/>
          <w:lang w:val="en-US"/>
        </w:rPr>
        <w:t xml:space="preserve"> years), </w:t>
      </w:r>
      <w:r w:rsidR="004B5C61" w:rsidRPr="00CB71AA">
        <w:rPr>
          <w:rFonts w:cstheme="minorHAnsi"/>
          <w:lang w:val="en-US"/>
        </w:rPr>
        <w:t>2</w:t>
      </w:r>
      <w:r w:rsidR="00CB71AA" w:rsidRPr="00CB71AA">
        <w:rPr>
          <w:rFonts w:cstheme="minorHAnsi"/>
          <w:lang w:val="en-US"/>
        </w:rPr>
        <w:t>2</w:t>
      </w:r>
      <w:r w:rsidRPr="00CB71AA">
        <w:rPr>
          <w:rFonts w:cstheme="minorHAnsi"/>
          <w:lang w:val="en-US"/>
        </w:rPr>
        <w:t>% were pregn</w:t>
      </w:r>
      <w:r w:rsidR="00053CCA" w:rsidRPr="00CB71AA">
        <w:rPr>
          <w:rFonts w:cstheme="minorHAnsi"/>
          <w:lang w:val="en-US"/>
        </w:rPr>
        <w:t xml:space="preserve">ant at the time of diagnosis, </w:t>
      </w:r>
      <w:r w:rsidR="00CB71AA" w:rsidRPr="00CB71AA">
        <w:rPr>
          <w:rFonts w:cstheme="minorHAnsi"/>
          <w:lang w:val="en-US"/>
        </w:rPr>
        <w:t>59</w:t>
      </w:r>
      <w:r w:rsidRPr="00CB71AA">
        <w:rPr>
          <w:rFonts w:cstheme="minorHAnsi"/>
          <w:lang w:val="en-US"/>
        </w:rPr>
        <w:t xml:space="preserve">% were not pregnant and </w:t>
      </w:r>
      <w:r w:rsidR="00CB71AA" w:rsidRPr="00CB71AA">
        <w:rPr>
          <w:rFonts w:cstheme="minorHAnsi"/>
          <w:lang w:val="en-US"/>
        </w:rPr>
        <w:t>19</w:t>
      </w:r>
      <w:r w:rsidRPr="00CB71AA">
        <w:rPr>
          <w:rFonts w:cstheme="minorHAnsi"/>
          <w:lang w:val="en-US"/>
        </w:rPr>
        <w:t>% had an unknow</w:t>
      </w:r>
      <w:r w:rsidR="001B040D" w:rsidRPr="00CB71AA">
        <w:rPr>
          <w:rFonts w:cstheme="minorHAnsi"/>
          <w:lang w:val="en-US"/>
        </w:rPr>
        <w:t xml:space="preserve">n pregnancy status (Figure </w:t>
      </w:r>
      <w:r w:rsidR="00491426" w:rsidRPr="00CB71AA">
        <w:rPr>
          <w:rFonts w:cstheme="minorHAnsi"/>
          <w:lang w:val="en-US"/>
        </w:rPr>
        <w:t>7</w:t>
      </w:r>
      <w:r w:rsidR="001B040D" w:rsidRPr="00CB71AA">
        <w:rPr>
          <w:rFonts w:cstheme="minorHAnsi"/>
          <w:lang w:val="en-US"/>
        </w:rPr>
        <w:t xml:space="preserve">). </w:t>
      </w:r>
      <w:r w:rsidR="004B5C61" w:rsidRPr="00CB71AA">
        <w:rPr>
          <w:rFonts w:cstheme="minorHAnsi"/>
          <w:lang w:val="en-US"/>
        </w:rPr>
        <w:t xml:space="preserve">In previous years, the proportion of </w:t>
      </w:r>
      <w:r w:rsidRPr="00CB71AA">
        <w:rPr>
          <w:rFonts w:cstheme="minorHAnsi"/>
          <w:lang w:val="en-US"/>
        </w:rPr>
        <w:t xml:space="preserve">Aboriginal and Torres Strait Islander women pregnant at time of syphilis diagnosis </w:t>
      </w:r>
      <w:r w:rsidR="004B5C61" w:rsidRPr="00CB71AA">
        <w:rPr>
          <w:rFonts w:cstheme="minorHAnsi"/>
          <w:lang w:val="en-US"/>
        </w:rPr>
        <w:t xml:space="preserve">was lower than </w:t>
      </w:r>
      <w:r w:rsidR="00CB71AA" w:rsidRPr="00CB71AA">
        <w:rPr>
          <w:rFonts w:cstheme="minorHAnsi"/>
          <w:lang w:val="en-US"/>
        </w:rPr>
        <w:t>Q1 2023</w:t>
      </w:r>
      <w:r w:rsidR="004B5C61" w:rsidRPr="00CB71AA">
        <w:rPr>
          <w:rFonts w:cstheme="minorHAnsi"/>
          <w:lang w:val="en-US"/>
        </w:rPr>
        <w:t xml:space="preserve">, ranging between 13% and </w:t>
      </w:r>
      <w:r w:rsidR="00CB71AA" w:rsidRPr="00CB71AA">
        <w:rPr>
          <w:rFonts w:cstheme="minorHAnsi"/>
          <w:lang w:val="en-US"/>
        </w:rPr>
        <w:t>20</w:t>
      </w:r>
      <w:r w:rsidR="004B5C61" w:rsidRPr="00CB71AA">
        <w:rPr>
          <w:rFonts w:cstheme="minorHAnsi"/>
          <w:lang w:val="en-US"/>
        </w:rPr>
        <w:t>%,</w:t>
      </w:r>
      <w:r w:rsidRPr="00CB71AA">
        <w:rPr>
          <w:rFonts w:cstheme="minorHAnsi"/>
          <w:lang w:val="en-US"/>
        </w:rPr>
        <w:t xml:space="preserve"> noting that </w:t>
      </w:r>
      <w:r w:rsidR="00785063" w:rsidRPr="00CB71AA">
        <w:rPr>
          <w:rFonts w:cstheme="minorHAnsi"/>
          <w:lang w:val="en-US"/>
        </w:rPr>
        <w:t xml:space="preserve">the </w:t>
      </w:r>
      <w:r w:rsidRPr="00CB71AA">
        <w:rPr>
          <w:rFonts w:cstheme="minorHAnsi"/>
          <w:lang w:val="en-US"/>
        </w:rPr>
        <w:t>number of jurisdictions reporting data each year varied.</w:t>
      </w:r>
    </w:p>
    <w:p w14:paraId="006C9875" w14:textId="27FC9E2F" w:rsidR="008213EA" w:rsidRPr="00CB71AA" w:rsidRDefault="008213EA" w:rsidP="008213EA">
      <w:pPr>
        <w:rPr>
          <w:rFonts w:cstheme="minorHAnsi"/>
          <w:lang w:val="en-US"/>
        </w:rPr>
      </w:pPr>
      <w:r w:rsidRPr="00CB71AA">
        <w:rPr>
          <w:rFonts w:cstheme="minorHAnsi"/>
          <w:lang w:val="en-US"/>
        </w:rPr>
        <w:t>Among non-Indigenous wome</w:t>
      </w:r>
      <w:r w:rsidR="00053CCA" w:rsidRPr="00CB71AA">
        <w:rPr>
          <w:rFonts w:cstheme="minorHAnsi"/>
          <w:lang w:val="en-US"/>
        </w:rPr>
        <w:t>n of reproductive age in</w:t>
      </w:r>
      <w:r w:rsidR="00CB71AA" w:rsidRPr="00CB71AA">
        <w:rPr>
          <w:rFonts w:cstheme="minorHAnsi"/>
          <w:lang w:val="en-US"/>
        </w:rPr>
        <w:t xml:space="preserve"> Q1 2023</w:t>
      </w:r>
      <w:r w:rsidR="00A95AED" w:rsidRPr="00CB71AA">
        <w:rPr>
          <w:rFonts w:cstheme="minorHAnsi"/>
          <w:lang w:val="en-US"/>
        </w:rPr>
        <w:t xml:space="preserve">, </w:t>
      </w:r>
      <w:r w:rsidR="004B5C61" w:rsidRPr="00CB71AA">
        <w:rPr>
          <w:rFonts w:cstheme="minorHAnsi"/>
          <w:lang w:val="en-US"/>
        </w:rPr>
        <w:t>1</w:t>
      </w:r>
      <w:r w:rsidR="00CB71AA" w:rsidRPr="00CB71AA">
        <w:rPr>
          <w:rFonts w:cstheme="minorHAnsi"/>
          <w:lang w:val="en-US"/>
        </w:rPr>
        <w:t>9</w:t>
      </w:r>
      <w:r w:rsidR="00A95AED" w:rsidRPr="00CB71AA">
        <w:rPr>
          <w:rFonts w:cstheme="minorHAnsi"/>
          <w:lang w:val="en-US"/>
        </w:rPr>
        <w:t xml:space="preserve">% were pregnant at the time of diagnosis, </w:t>
      </w:r>
      <w:r w:rsidR="007F7AC1" w:rsidRPr="00CB71AA">
        <w:rPr>
          <w:rFonts w:cstheme="minorHAnsi"/>
          <w:lang w:val="en-US"/>
        </w:rPr>
        <w:t>5</w:t>
      </w:r>
      <w:r w:rsidR="00CB71AA" w:rsidRPr="00CB71AA">
        <w:rPr>
          <w:rFonts w:cstheme="minorHAnsi"/>
          <w:lang w:val="en-US"/>
        </w:rPr>
        <w:t>4</w:t>
      </w:r>
      <w:r w:rsidR="00A95AED" w:rsidRPr="00CB71AA">
        <w:rPr>
          <w:rFonts w:cstheme="minorHAnsi"/>
          <w:lang w:val="en-US"/>
        </w:rPr>
        <w:t xml:space="preserve">% were not pregnant and </w:t>
      </w:r>
      <w:r w:rsidR="007F7AC1" w:rsidRPr="00CB71AA">
        <w:rPr>
          <w:rFonts w:cstheme="minorHAnsi"/>
          <w:lang w:val="en-US"/>
        </w:rPr>
        <w:t>2</w:t>
      </w:r>
      <w:r w:rsidR="004B5C61" w:rsidRPr="00CB71AA">
        <w:rPr>
          <w:rFonts w:cstheme="minorHAnsi"/>
          <w:lang w:val="en-US"/>
        </w:rPr>
        <w:t>7</w:t>
      </w:r>
      <w:r w:rsidR="00A95AED" w:rsidRPr="00CB71AA">
        <w:rPr>
          <w:rFonts w:cstheme="minorHAnsi"/>
          <w:lang w:val="en-US"/>
        </w:rPr>
        <w:t>% had an unknown pregnancy status</w:t>
      </w:r>
      <w:r w:rsidR="004B5C61" w:rsidRPr="00CB71AA">
        <w:rPr>
          <w:rFonts w:cstheme="minorHAnsi"/>
          <w:lang w:val="en-US"/>
        </w:rPr>
        <w:t xml:space="preserve"> (Figure 7)</w:t>
      </w:r>
      <w:r w:rsidR="00A95AED" w:rsidRPr="00CB71AA">
        <w:rPr>
          <w:rFonts w:cstheme="minorHAnsi"/>
          <w:lang w:val="en-US"/>
        </w:rPr>
        <w:t xml:space="preserve">. </w:t>
      </w:r>
      <w:r w:rsidR="004B5C61" w:rsidRPr="00CB71AA">
        <w:rPr>
          <w:rFonts w:cstheme="minorHAnsi"/>
          <w:lang w:val="en-US"/>
        </w:rPr>
        <w:t xml:space="preserve">In previous years, the proportion </w:t>
      </w:r>
      <w:r w:rsidR="004B5C61" w:rsidRPr="00CB71AA">
        <w:rPr>
          <w:rFonts w:cstheme="minorHAnsi"/>
          <w:lang w:val="en-US"/>
        </w:rPr>
        <w:lastRenderedPageBreak/>
        <w:t>o</w:t>
      </w:r>
      <w:r w:rsidR="00C1677B" w:rsidRPr="00CB71AA">
        <w:rPr>
          <w:rFonts w:cstheme="minorHAnsi"/>
          <w:lang w:val="en-US"/>
        </w:rPr>
        <w:t>f</w:t>
      </w:r>
      <w:r w:rsidR="004B5C61" w:rsidRPr="00CB71AA">
        <w:rPr>
          <w:rFonts w:cstheme="minorHAnsi"/>
          <w:lang w:val="en-US"/>
        </w:rPr>
        <w:t xml:space="preserve"> non-Indigenous women pregnant at time of syphilis diagnosis ranged between 17% and 24%</w:t>
      </w:r>
      <w:r w:rsidRPr="00CB71AA">
        <w:rPr>
          <w:rFonts w:cstheme="minorHAnsi"/>
          <w:lang w:val="en-US"/>
        </w:rPr>
        <w:t>, noting that</w:t>
      </w:r>
      <w:r w:rsidR="00785063" w:rsidRPr="00CB71AA">
        <w:rPr>
          <w:rFonts w:cstheme="minorHAnsi"/>
          <w:lang w:val="en-US"/>
        </w:rPr>
        <w:t xml:space="preserve"> the</w:t>
      </w:r>
      <w:r w:rsidRPr="00CB71AA">
        <w:rPr>
          <w:rFonts w:cstheme="minorHAnsi"/>
          <w:lang w:val="en-US"/>
        </w:rPr>
        <w:t xml:space="preserve"> number of jurisdictions reporting data each year varied. </w:t>
      </w:r>
    </w:p>
    <w:p w14:paraId="68120ADB" w14:textId="01299F6C" w:rsidR="0047783B" w:rsidRPr="00CB71AA" w:rsidRDefault="0047783B" w:rsidP="000F3304">
      <w:pPr>
        <w:tabs>
          <w:tab w:val="left" w:pos="935"/>
        </w:tabs>
        <w:spacing w:before="0" w:after="0"/>
        <w:ind w:right="-29"/>
        <w:rPr>
          <w:b/>
          <w:lang w:val="en-US"/>
        </w:rPr>
      </w:pPr>
      <w:r w:rsidRPr="00CB71AA">
        <w:rPr>
          <w:b/>
          <w:lang w:val="en-US"/>
        </w:rPr>
        <w:t xml:space="preserve">Figure </w:t>
      </w:r>
      <w:r w:rsidR="00491426" w:rsidRPr="00CB71AA">
        <w:rPr>
          <w:b/>
          <w:lang w:val="en-US"/>
        </w:rPr>
        <w:t>7</w:t>
      </w:r>
      <w:r w:rsidRPr="00CB71AA">
        <w:rPr>
          <w:b/>
          <w:lang w:val="en-US"/>
        </w:rPr>
        <w:t xml:space="preserve">:  </w:t>
      </w:r>
      <w:r w:rsidR="001F7D98" w:rsidRPr="00CB71AA">
        <w:rPr>
          <w:b/>
          <w:lang w:val="en-US"/>
        </w:rPr>
        <w:t>Number of</w:t>
      </w:r>
      <w:r w:rsidR="002B6FEE" w:rsidRPr="00CB71AA">
        <w:rPr>
          <w:b/>
          <w:lang w:val="en-US"/>
        </w:rPr>
        <w:t xml:space="preserve"> syphilis notifications among </w:t>
      </w:r>
      <w:r w:rsidR="001F7D98" w:rsidRPr="00CB71AA">
        <w:rPr>
          <w:b/>
          <w:lang w:val="en-US"/>
        </w:rPr>
        <w:t>women of reproductive age (15-44 years)</w:t>
      </w:r>
      <w:r w:rsidR="002B6FEE" w:rsidRPr="00CB71AA">
        <w:rPr>
          <w:b/>
          <w:lang w:val="en-US"/>
        </w:rPr>
        <w:t xml:space="preserve"> </w:t>
      </w:r>
      <w:r w:rsidR="001F7D98" w:rsidRPr="00CB71AA">
        <w:rPr>
          <w:b/>
          <w:lang w:val="en-US"/>
        </w:rPr>
        <w:t>and p</w:t>
      </w:r>
      <w:r w:rsidRPr="00CB71AA">
        <w:rPr>
          <w:b/>
          <w:lang w:val="en-US"/>
        </w:rPr>
        <w:t xml:space="preserve">roportion (%) of </w:t>
      </w:r>
      <w:r w:rsidR="002B6FEE" w:rsidRPr="00CB71AA">
        <w:rPr>
          <w:b/>
          <w:lang w:val="en-US"/>
        </w:rPr>
        <w:t xml:space="preserve">cases </w:t>
      </w:r>
      <w:r w:rsidRPr="00CB71AA">
        <w:rPr>
          <w:b/>
          <w:lang w:val="en-US"/>
        </w:rPr>
        <w:t>pregnant at time of syphilis d</w:t>
      </w:r>
      <w:r w:rsidR="00BF1C2A" w:rsidRPr="00CB71AA">
        <w:rPr>
          <w:b/>
          <w:lang w:val="en-US"/>
        </w:rPr>
        <w:t xml:space="preserve">iagnosis, by Indigenous status </w:t>
      </w:r>
      <w:r w:rsidRPr="00CB71AA">
        <w:rPr>
          <w:b/>
          <w:lang w:val="en-US"/>
        </w:rPr>
        <w:t>and year</w:t>
      </w:r>
      <w:r w:rsidR="005B29BF" w:rsidRPr="00CB71AA">
        <w:rPr>
          <w:b/>
          <w:lang w:val="en-US"/>
        </w:rPr>
        <w:t>, 2017-</w:t>
      </w:r>
      <w:r w:rsidR="00CB71AA" w:rsidRPr="00CB71AA">
        <w:rPr>
          <w:b/>
          <w:lang w:val="en-US"/>
        </w:rPr>
        <w:t>Q1 2023</w:t>
      </w:r>
    </w:p>
    <w:p w14:paraId="354F16EF" w14:textId="0F021EF5" w:rsidR="000830C3" w:rsidRPr="00CB71AA" w:rsidRDefault="00CB71AA" w:rsidP="000F3304">
      <w:pPr>
        <w:spacing w:before="0" w:after="0" w:line="276" w:lineRule="auto"/>
        <w:rPr>
          <w:rFonts w:cstheme="minorHAnsi"/>
          <w:b/>
          <w:bCs/>
          <w:i/>
          <w:lang w:val="en-US"/>
        </w:rPr>
      </w:pPr>
      <w:r>
        <w:rPr>
          <w:rFonts w:cstheme="minorHAnsi"/>
          <w:b/>
          <w:bCs/>
          <w:i/>
          <w:noProof/>
        </w:rPr>
        <w:drawing>
          <wp:inline distT="0" distB="0" distL="0" distR="0" wp14:anchorId="65CA11C2" wp14:editId="4484DD28">
            <wp:extent cx="6298369" cy="4105275"/>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305354" cy="4109828"/>
                    </a:xfrm>
                    <a:prstGeom prst="rect">
                      <a:avLst/>
                    </a:prstGeom>
                    <a:noFill/>
                  </pic:spPr>
                </pic:pic>
              </a:graphicData>
            </a:graphic>
          </wp:inline>
        </w:drawing>
      </w:r>
    </w:p>
    <w:p w14:paraId="69E77EF0" w14:textId="0E363ABD" w:rsidR="00DD77F8" w:rsidRPr="008107B5" w:rsidRDefault="00A14E41" w:rsidP="00821C6B">
      <w:pPr>
        <w:pStyle w:val="Heading3"/>
        <w:rPr>
          <w:lang w:val="en-US"/>
        </w:rPr>
      </w:pPr>
      <w:r w:rsidRPr="008107B5">
        <w:rPr>
          <w:lang w:val="en-US"/>
        </w:rPr>
        <w:t xml:space="preserve">Indicator </w:t>
      </w:r>
      <w:r w:rsidR="00587F74" w:rsidRPr="008107B5">
        <w:rPr>
          <w:lang w:val="en-US"/>
        </w:rPr>
        <w:t xml:space="preserve">2.5 - </w:t>
      </w:r>
      <w:r w:rsidR="00DD77F8" w:rsidRPr="008107B5">
        <w:rPr>
          <w:lang w:val="en-US"/>
        </w:rPr>
        <w:t xml:space="preserve">Number of women giving birth to an infant with congenital syphilis who were diagnosed with syphilis in pregnancy </w:t>
      </w:r>
      <w:r w:rsidR="004333AE" w:rsidRPr="008107B5">
        <w:rPr>
          <w:lang w:val="en-US"/>
        </w:rPr>
        <w:t>by gestation period</w:t>
      </w:r>
    </w:p>
    <w:p w14:paraId="70FDB8AB" w14:textId="1CD1F971" w:rsidR="00DD77F8" w:rsidRPr="008107B5" w:rsidRDefault="00A14E41" w:rsidP="00821C6B">
      <w:pPr>
        <w:pStyle w:val="Heading3"/>
        <w:rPr>
          <w:lang w:val="en-US"/>
        </w:rPr>
      </w:pPr>
      <w:r w:rsidRPr="008107B5">
        <w:rPr>
          <w:lang w:val="en-US"/>
        </w:rPr>
        <w:t xml:space="preserve">Indicator </w:t>
      </w:r>
      <w:r w:rsidR="004333AE" w:rsidRPr="008107B5">
        <w:rPr>
          <w:lang w:val="en-US"/>
        </w:rPr>
        <w:t xml:space="preserve">2.6 - </w:t>
      </w:r>
      <w:r w:rsidR="00DD77F8" w:rsidRPr="008107B5">
        <w:rPr>
          <w:lang w:val="en-US"/>
        </w:rPr>
        <w:t xml:space="preserve">Number of women giving birth to an infant with congenital syphilis who </w:t>
      </w:r>
      <w:r w:rsidR="009C5759" w:rsidRPr="008107B5">
        <w:rPr>
          <w:lang w:val="en-US"/>
        </w:rPr>
        <w:t xml:space="preserve">were </w:t>
      </w:r>
      <w:r w:rsidR="00DD77F8" w:rsidRPr="008107B5">
        <w:rPr>
          <w:lang w:val="en-US"/>
        </w:rPr>
        <w:t>diagnosed</w:t>
      </w:r>
      <w:r w:rsidR="00DD77F8" w:rsidRPr="008107B5">
        <w:t xml:space="preserve"> </w:t>
      </w:r>
      <w:r w:rsidR="00EE344D" w:rsidRPr="008107B5">
        <w:rPr>
          <w:lang w:val="en-US"/>
        </w:rPr>
        <w:t>with syphilis late</w:t>
      </w:r>
      <w:r w:rsidR="005E1C53" w:rsidRPr="008107B5">
        <w:rPr>
          <w:rStyle w:val="FootnoteReference"/>
          <w:bCs/>
        </w:rPr>
        <w:footnoteReference w:id="10"/>
      </w:r>
      <w:r w:rsidR="00EE344D" w:rsidRPr="008107B5">
        <w:rPr>
          <w:lang w:val="en-US"/>
        </w:rPr>
        <w:t xml:space="preserve"> in pregnancy</w:t>
      </w:r>
    </w:p>
    <w:p w14:paraId="6A51E62C" w14:textId="2DBA4D68" w:rsidR="00D9208A" w:rsidRPr="008107B5" w:rsidRDefault="00D9208A" w:rsidP="00B67D66">
      <w:pPr>
        <w:spacing w:after="0" w:line="276" w:lineRule="auto"/>
        <w:rPr>
          <w:rFonts w:cstheme="minorHAnsi"/>
          <w:lang w:val="en-US"/>
        </w:rPr>
      </w:pPr>
      <w:r w:rsidRPr="008107B5">
        <w:rPr>
          <w:rFonts w:cstheme="minorHAnsi"/>
          <w:lang w:val="en-US"/>
        </w:rPr>
        <w:t>Enhanced data are used to report against indicators 2.5 and 2.6.</w:t>
      </w:r>
    </w:p>
    <w:p w14:paraId="5BBE00E8" w14:textId="2FC3AA20" w:rsidR="00D9208A" w:rsidRPr="008107B5" w:rsidRDefault="00D9208A" w:rsidP="00B67D66">
      <w:pPr>
        <w:spacing w:after="0" w:line="276" w:lineRule="auto"/>
        <w:rPr>
          <w:rStyle w:val="Emphasis"/>
        </w:rPr>
      </w:pPr>
      <w:r w:rsidRPr="008107B5">
        <w:rPr>
          <w:rStyle w:val="Emphasis"/>
        </w:rPr>
        <w:t>Completeness of enhanced congenital syphilis data</w:t>
      </w:r>
    </w:p>
    <w:p w14:paraId="2335A6D0" w14:textId="2039665A" w:rsidR="00D9208A" w:rsidRPr="008107B5" w:rsidRDefault="00D9208A" w:rsidP="00B67D66">
      <w:pPr>
        <w:rPr>
          <w:rFonts w:cstheme="minorHAnsi"/>
          <w:lang w:val="en-US"/>
        </w:rPr>
      </w:pPr>
      <w:r w:rsidRPr="008107B5">
        <w:rPr>
          <w:rFonts w:cstheme="minorHAnsi"/>
          <w:lang w:val="en-US"/>
        </w:rPr>
        <w:t xml:space="preserve">Between 2016 and </w:t>
      </w:r>
      <w:r w:rsidR="008107B5" w:rsidRPr="008107B5">
        <w:rPr>
          <w:rFonts w:cstheme="minorHAnsi"/>
          <w:lang w:val="en-US"/>
        </w:rPr>
        <w:t>Q1 2023,</w:t>
      </w:r>
      <w:r w:rsidRPr="008107B5">
        <w:rPr>
          <w:rFonts w:cstheme="minorHAnsi"/>
          <w:lang w:val="en-US"/>
        </w:rPr>
        <w:t xml:space="preserve"> </w:t>
      </w:r>
      <w:r w:rsidR="0090328F" w:rsidRPr="008107B5">
        <w:rPr>
          <w:rFonts w:cstheme="minorHAnsi"/>
          <w:lang w:val="en-US"/>
        </w:rPr>
        <w:t>9</w:t>
      </w:r>
      <w:r w:rsidR="008107B5" w:rsidRPr="008107B5">
        <w:rPr>
          <w:rFonts w:cstheme="minorHAnsi"/>
          <w:lang w:val="en-US"/>
        </w:rPr>
        <w:t>7</w:t>
      </w:r>
      <w:r w:rsidR="0090328F" w:rsidRPr="008107B5">
        <w:rPr>
          <w:rFonts w:cstheme="minorHAnsi"/>
          <w:lang w:val="en-US"/>
        </w:rPr>
        <w:t>%</w:t>
      </w:r>
      <w:r w:rsidR="004F1CDB" w:rsidRPr="008107B5">
        <w:rPr>
          <w:rFonts w:cstheme="minorHAnsi"/>
          <w:lang w:val="en-US"/>
        </w:rPr>
        <w:t xml:space="preserve"> (</w:t>
      </w:r>
      <w:r w:rsidR="008107B5" w:rsidRPr="008107B5">
        <w:rPr>
          <w:rFonts w:cstheme="minorHAnsi"/>
          <w:lang w:val="en-US"/>
        </w:rPr>
        <w:t>71</w:t>
      </w:r>
      <w:r w:rsidR="004F1CDB" w:rsidRPr="008107B5">
        <w:rPr>
          <w:rFonts w:cstheme="minorHAnsi"/>
          <w:lang w:val="en-US"/>
        </w:rPr>
        <w:t>/</w:t>
      </w:r>
      <w:r w:rsidR="008107B5" w:rsidRPr="008107B5">
        <w:rPr>
          <w:rFonts w:cstheme="minorHAnsi"/>
          <w:lang w:val="en-US"/>
        </w:rPr>
        <w:t>73</w:t>
      </w:r>
      <w:r w:rsidR="004F1CDB" w:rsidRPr="008107B5">
        <w:rPr>
          <w:rFonts w:cstheme="minorHAnsi"/>
          <w:lang w:val="en-US"/>
        </w:rPr>
        <w:t>)</w:t>
      </w:r>
      <w:r w:rsidRPr="008107B5">
        <w:rPr>
          <w:rFonts w:cstheme="minorHAnsi"/>
          <w:lang w:val="en-US"/>
        </w:rPr>
        <w:t xml:space="preserve"> </w:t>
      </w:r>
      <w:r w:rsidR="00A14E41" w:rsidRPr="008107B5">
        <w:rPr>
          <w:rFonts w:cstheme="minorHAnsi"/>
          <w:lang w:val="en-US"/>
        </w:rPr>
        <w:t xml:space="preserve">of </w:t>
      </w:r>
      <w:r w:rsidRPr="008107B5">
        <w:rPr>
          <w:rFonts w:cstheme="minorHAnsi"/>
          <w:lang w:val="en-US"/>
        </w:rPr>
        <w:t>congenital syphilis cases had enhanced data available</w:t>
      </w:r>
      <w:r w:rsidR="005267C1" w:rsidRPr="008107B5">
        <w:rPr>
          <w:rFonts w:cstheme="minorHAnsi"/>
          <w:lang w:val="en-US"/>
        </w:rPr>
        <w:t xml:space="preserve"> at the time of writing</w:t>
      </w:r>
      <w:r w:rsidRPr="008107B5">
        <w:rPr>
          <w:rFonts w:cstheme="minorHAnsi"/>
          <w:lang w:val="en-US"/>
        </w:rPr>
        <w:t xml:space="preserve">, </w:t>
      </w:r>
      <w:r w:rsidR="00A014FA" w:rsidRPr="008107B5">
        <w:rPr>
          <w:rFonts w:cstheme="minorHAnsi"/>
          <w:lang w:val="en-US"/>
        </w:rPr>
        <w:t>including information about</w:t>
      </w:r>
      <w:r w:rsidRPr="008107B5">
        <w:rPr>
          <w:rFonts w:cstheme="minorHAnsi"/>
          <w:lang w:val="en-US"/>
        </w:rPr>
        <w:t xml:space="preserve"> the mother of the infant</w:t>
      </w:r>
      <w:r w:rsidR="00A014FA" w:rsidRPr="008107B5">
        <w:rPr>
          <w:rFonts w:cstheme="minorHAnsi"/>
          <w:lang w:val="en-US"/>
        </w:rPr>
        <w:t xml:space="preserve"> diagnosed with congenital syphilis</w:t>
      </w:r>
      <w:r w:rsidRPr="008107B5">
        <w:rPr>
          <w:rFonts w:cstheme="minorHAnsi"/>
          <w:lang w:val="en-US"/>
        </w:rPr>
        <w:t xml:space="preserve">. </w:t>
      </w:r>
    </w:p>
    <w:p w14:paraId="158BC484" w14:textId="1633DBA9" w:rsidR="004333AE" w:rsidRPr="0069463E" w:rsidRDefault="00E7090C">
      <w:pPr>
        <w:rPr>
          <w:rFonts w:cstheme="minorHAnsi"/>
          <w:highlight w:val="yellow"/>
          <w:lang w:val="en-US"/>
        </w:rPr>
      </w:pPr>
      <w:r w:rsidRPr="008107B5">
        <w:rPr>
          <w:rFonts w:cstheme="minorHAnsi"/>
          <w:lang w:val="en-US"/>
        </w:rPr>
        <w:t xml:space="preserve">Of the </w:t>
      </w:r>
      <w:r w:rsidR="008107B5" w:rsidRPr="008107B5">
        <w:rPr>
          <w:rFonts w:cstheme="minorHAnsi"/>
          <w:lang w:val="en-US"/>
        </w:rPr>
        <w:t>71</w:t>
      </w:r>
      <w:r w:rsidRPr="008107B5">
        <w:rPr>
          <w:rFonts w:cstheme="minorHAnsi"/>
          <w:lang w:val="en-US"/>
        </w:rPr>
        <w:t xml:space="preserve"> congenital syphilis cases </w:t>
      </w:r>
      <w:r w:rsidR="004F1CDB" w:rsidRPr="008107B5">
        <w:rPr>
          <w:rFonts w:cstheme="minorHAnsi"/>
          <w:lang w:val="en-US"/>
        </w:rPr>
        <w:t>reported</w:t>
      </w:r>
      <w:r w:rsidRPr="008107B5">
        <w:rPr>
          <w:rFonts w:cstheme="minorHAnsi"/>
          <w:lang w:val="en-US"/>
        </w:rPr>
        <w:t xml:space="preserve"> between 2016 and </w:t>
      </w:r>
      <w:r w:rsidR="008107B5" w:rsidRPr="008107B5">
        <w:rPr>
          <w:rFonts w:cstheme="minorHAnsi"/>
          <w:lang w:val="en-US"/>
        </w:rPr>
        <w:t>Q1 2023 with enhanced data</w:t>
      </w:r>
      <w:r w:rsidRPr="008107B5">
        <w:rPr>
          <w:rFonts w:cstheme="minorHAnsi"/>
          <w:lang w:val="en-US"/>
        </w:rPr>
        <w:t xml:space="preserve">, </w:t>
      </w:r>
      <w:r w:rsidR="000C270B" w:rsidRPr="008107B5">
        <w:rPr>
          <w:rFonts w:cstheme="minorHAnsi"/>
          <w:lang w:val="en-US"/>
        </w:rPr>
        <w:t>(</w:t>
      </w:r>
      <w:r w:rsidR="008107B5" w:rsidRPr="008107B5">
        <w:rPr>
          <w:rFonts w:cstheme="minorHAnsi"/>
          <w:lang w:val="en-US"/>
        </w:rPr>
        <w:t>10</w:t>
      </w:r>
      <w:r w:rsidR="000C270B" w:rsidRPr="008107B5">
        <w:rPr>
          <w:rFonts w:cstheme="minorHAnsi"/>
          <w:lang w:val="en-US"/>
        </w:rPr>
        <w:t xml:space="preserve">%, </w:t>
      </w:r>
      <w:r w:rsidR="008107B5" w:rsidRPr="008107B5">
        <w:rPr>
          <w:rFonts w:cstheme="minorHAnsi"/>
          <w:lang w:val="en-US"/>
        </w:rPr>
        <w:t>7</w:t>
      </w:r>
      <w:r w:rsidR="000C270B" w:rsidRPr="008107B5">
        <w:rPr>
          <w:rFonts w:cstheme="minorHAnsi"/>
          <w:lang w:val="en-US"/>
        </w:rPr>
        <w:t>/</w:t>
      </w:r>
      <w:r w:rsidR="008107B5" w:rsidRPr="008107B5">
        <w:rPr>
          <w:rFonts w:cstheme="minorHAnsi"/>
          <w:lang w:val="en-US"/>
        </w:rPr>
        <w:t>71</w:t>
      </w:r>
      <w:r w:rsidR="006C669C" w:rsidRPr="008107B5">
        <w:rPr>
          <w:rFonts w:cstheme="minorHAnsi"/>
          <w:lang w:val="en-US"/>
        </w:rPr>
        <w:t xml:space="preserve">) </w:t>
      </w:r>
      <w:r w:rsidRPr="008107B5">
        <w:rPr>
          <w:rFonts w:cstheme="minorHAnsi"/>
          <w:lang w:val="en-US"/>
        </w:rPr>
        <w:t>mothers giving birth to an infant with congenital syphilis were diagnosed in the</w:t>
      </w:r>
      <w:r w:rsidR="006C669C" w:rsidRPr="008107B5">
        <w:rPr>
          <w:rFonts w:cstheme="minorHAnsi"/>
          <w:lang w:val="en-US"/>
        </w:rPr>
        <w:t xml:space="preserve"> 2</w:t>
      </w:r>
      <w:r w:rsidR="006C669C" w:rsidRPr="008107B5">
        <w:rPr>
          <w:rFonts w:cstheme="minorHAnsi"/>
          <w:vertAlign w:val="superscript"/>
          <w:lang w:val="en-US"/>
        </w:rPr>
        <w:t>nd</w:t>
      </w:r>
      <w:r w:rsidR="006C669C" w:rsidRPr="008107B5">
        <w:rPr>
          <w:rFonts w:cstheme="minorHAnsi"/>
          <w:lang w:val="en-US"/>
        </w:rPr>
        <w:t xml:space="preserve"> </w:t>
      </w:r>
      <w:r w:rsidRPr="008107B5">
        <w:rPr>
          <w:rFonts w:cstheme="minorHAnsi"/>
          <w:lang w:val="en-US"/>
        </w:rPr>
        <w:t xml:space="preserve">trimester, </w:t>
      </w:r>
      <w:r w:rsidR="000C270B" w:rsidRPr="008107B5">
        <w:rPr>
          <w:rFonts w:cstheme="minorHAnsi"/>
          <w:lang w:val="en-US"/>
        </w:rPr>
        <w:t>1</w:t>
      </w:r>
      <w:r w:rsidR="008107B5" w:rsidRPr="008107B5">
        <w:rPr>
          <w:rFonts w:cstheme="minorHAnsi"/>
          <w:lang w:val="en-US"/>
        </w:rPr>
        <w:t>5</w:t>
      </w:r>
      <w:r w:rsidR="000C270B" w:rsidRPr="008107B5">
        <w:rPr>
          <w:rFonts w:cstheme="minorHAnsi"/>
          <w:lang w:val="en-US"/>
        </w:rPr>
        <w:t xml:space="preserve"> (2</w:t>
      </w:r>
      <w:r w:rsidR="0090328F" w:rsidRPr="008107B5">
        <w:rPr>
          <w:rFonts w:cstheme="minorHAnsi"/>
          <w:lang w:val="en-US"/>
        </w:rPr>
        <w:t>1</w:t>
      </w:r>
      <w:r w:rsidR="006C669C" w:rsidRPr="008107B5">
        <w:rPr>
          <w:rFonts w:cstheme="minorHAnsi"/>
          <w:lang w:val="en-US"/>
        </w:rPr>
        <w:t>%, 1</w:t>
      </w:r>
      <w:r w:rsidR="008107B5" w:rsidRPr="008107B5">
        <w:rPr>
          <w:rFonts w:cstheme="minorHAnsi"/>
          <w:lang w:val="en-US"/>
        </w:rPr>
        <w:t>5</w:t>
      </w:r>
      <w:r w:rsidR="006C669C" w:rsidRPr="008107B5">
        <w:rPr>
          <w:rFonts w:cstheme="minorHAnsi"/>
          <w:lang w:val="en-US"/>
        </w:rPr>
        <w:t>/</w:t>
      </w:r>
      <w:r w:rsidR="008107B5" w:rsidRPr="008107B5">
        <w:rPr>
          <w:rFonts w:cstheme="minorHAnsi"/>
          <w:lang w:val="en-US"/>
        </w:rPr>
        <w:t>71</w:t>
      </w:r>
      <w:r w:rsidR="006C669C" w:rsidRPr="008107B5">
        <w:rPr>
          <w:rFonts w:cstheme="minorHAnsi"/>
          <w:lang w:val="en-US"/>
        </w:rPr>
        <w:t>) in the 3</w:t>
      </w:r>
      <w:r w:rsidR="006C669C" w:rsidRPr="008107B5">
        <w:rPr>
          <w:rFonts w:cstheme="minorHAnsi"/>
          <w:vertAlign w:val="superscript"/>
          <w:lang w:val="en-US"/>
        </w:rPr>
        <w:t>rd</w:t>
      </w:r>
      <w:r w:rsidR="000C270B" w:rsidRPr="008107B5">
        <w:rPr>
          <w:rFonts w:cstheme="minorHAnsi"/>
          <w:lang w:val="en-US"/>
        </w:rPr>
        <w:t xml:space="preserve"> trimester, 1</w:t>
      </w:r>
      <w:r w:rsidR="008107B5" w:rsidRPr="008107B5">
        <w:rPr>
          <w:rFonts w:cstheme="minorHAnsi"/>
          <w:lang w:val="en-US"/>
        </w:rPr>
        <w:t>9</w:t>
      </w:r>
      <w:r w:rsidR="006C669C" w:rsidRPr="008107B5">
        <w:rPr>
          <w:rFonts w:cstheme="minorHAnsi"/>
          <w:lang w:val="en-US"/>
        </w:rPr>
        <w:t xml:space="preserve"> </w:t>
      </w:r>
      <w:r w:rsidR="00236EF9" w:rsidRPr="008107B5">
        <w:rPr>
          <w:rFonts w:cstheme="minorHAnsi"/>
          <w:lang w:val="en-US"/>
        </w:rPr>
        <w:t>(2</w:t>
      </w:r>
      <w:r w:rsidR="0090328F" w:rsidRPr="008107B5">
        <w:rPr>
          <w:rFonts w:cstheme="minorHAnsi"/>
          <w:lang w:val="en-US"/>
        </w:rPr>
        <w:t>7</w:t>
      </w:r>
      <w:r w:rsidR="000C270B" w:rsidRPr="008107B5">
        <w:rPr>
          <w:rFonts w:cstheme="minorHAnsi"/>
          <w:lang w:val="en-US"/>
        </w:rPr>
        <w:t>%, 1</w:t>
      </w:r>
      <w:r w:rsidR="008107B5" w:rsidRPr="008107B5">
        <w:rPr>
          <w:rFonts w:cstheme="minorHAnsi"/>
          <w:lang w:val="en-US"/>
        </w:rPr>
        <w:t>9</w:t>
      </w:r>
      <w:r w:rsidR="000C270B" w:rsidRPr="008107B5">
        <w:rPr>
          <w:rFonts w:cstheme="minorHAnsi"/>
          <w:lang w:val="en-US"/>
        </w:rPr>
        <w:t>/</w:t>
      </w:r>
      <w:r w:rsidR="008107B5" w:rsidRPr="008107B5">
        <w:rPr>
          <w:rFonts w:cstheme="minorHAnsi"/>
          <w:lang w:val="en-US"/>
        </w:rPr>
        <w:t>71</w:t>
      </w:r>
      <w:r w:rsidR="00236EF9" w:rsidRPr="008107B5">
        <w:rPr>
          <w:rFonts w:cstheme="minorHAnsi"/>
          <w:lang w:val="en-US"/>
        </w:rPr>
        <w:t xml:space="preserve">) on the day of delivery, </w:t>
      </w:r>
      <w:r w:rsidR="004F1CDB" w:rsidRPr="008107B5">
        <w:rPr>
          <w:rFonts w:cstheme="minorHAnsi"/>
          <w:lang w:val="en-US"/>
        </w:rPr>
        <w:t>2</w:t>
      </w:r>
      <w:r w:rsidR="0090328F" w:rsidRPr="008107B5">
        <w:rPr>
          <w:rFonts w:cstheme="minorHAnsi"/>
          <w:lang w:val="en-US"/>
        </w:rPr>
        <w:t>5</w:t>
      </w:r>
      <w:r w:rsidR="000C270B" w:rsidRPr="008107B5">
        <w:rPr>
          <w:rFonts w:cstheme="minorHAnsi"/>
          <w:lang w:val="en-US"/>
        </w:rPr>
        <w:t xml:space="preserve"> (</w:t>
      </w:r>
      <w:r w:rsidR="00631D53" w:rsidRPr="008107B5">
        <w:rPr>
          <w:rFonts w:cstheme="minorHAnsi"/>
          <w:lang w:val="en-US"/>
        </w:rPr>
        <w:t>3</w:t>
      </w:r>
      <w:r w:rsidR="008107B5" w:rsidRPr="008107B5">
        <w:rPr>
          <w:rFonts w:cstheme="minorHAnsi"/>
          <w:lang w:val="en-US"/>
        </w:rPr>
        <w:t>5</w:t>
      </w:r>
      <w:r w:rsidR="00236EF9" w:rsidRPr="008107B5">
        <w:rPr>
          <w:rFonts w:cstheme="minorHAnsi"/>
          <w:lang w:val="en-US"/>
        </w:rPr>
        <w:t xml:space="preserve">%, </w:t>
      </w:r>
      <w:r w:rsidR="00631D53" w:rsidRPr="008107B5">
        <w:rPr>
          <w:rFonts w:cstheme="minorHAnsi"/>
          <w:lang w:val="en-US"/>
        </w:rPr>
        <w:t>2</w:t>
      </w:r>
      <w:r w:rsidR="0090328F" w:rsidRPr="008107B5">
        <w:rPr>
          <w:rFonts w:cstheme="minorHAnsi"/>
          <w:lang w:val="en-US"/>
        </w:rPr>
        <w:t>5</w:t>
      </w:r>
      <w:r w:rsidR="00236EF9" w:rsidRPr="008107B5">
        <w:rPr>
          <w:rFonts w:cstheme="minorHAnsi"/>
          <w:lang w:val="en-US"/>
        </w:rPr>
        <w:t>/</w:t>
      </w:r>
      <w:r w:rsidR="008107B5" w:rsidRPr="008107B5">
        <w:rPr>
          <w:rFonts w:cstheme="minorHAnsi"/>
          <w:lang w:val="en-US"/>
        </w:rPr>
        <w:t>71</w:t>
      </w:r>
      <w:r w:rsidR="000C270B" w:rsidRPr="008107B5">
        <w:rPr>
          <w:rFonts w:cstheme="minorHAnsi"/>
          <w:lang w:val="en-US"/>
        </w:rPr>
        <w:t xml:space="preserve">) post-birth and </w:t>
      </w:r>
      <w:r w:rsidR="0090328F" w:rsidRPr="008107B5">
        <w:rPr>
          <w:rFonts w:cstheme="minorHAnsi"/>
          <w:lang w:val="en-US"/>
        </w:rPr>
        <w:t>5</w:t>
      </w:r>
      <w:r w:rsidR="000C270B" w:rsidRPr="008107B5">
        <w:rPr>
          <w:rFonts w:cstheme="minorHAnsi"/>
          <w:lang w:val="en-US"/>
        </w:rPr>
        <w:t xml:space="preserve"> (</w:t>
      </w:r>
      <w:r w:rsidR="008107B5" w:rsidRPr="008107B5">
        <w:rPr>
          <w:rFonts w:cstheme="minorHAnsi"/>
          <w:lang w:val="en-US"/>
        </w:rPr>
        <w:t>7</w:t>
      </w:r>
      <w:r w:rsidR="000C270B" w:rsidRPr="008107B5">
        <w:rPr>
          <w:rFonts w:cstheme="minorHAnsi"/>
          <w:lang w:val="en-US"/>
        </w:rPr>
        <w:t xml:space="preserve">%, </w:t>
      </w:r>
      <w:r w:rsidR="0090328F" w:rsidRPr="008107B5">
        <w:rPr>
          <w:rFonts w:cstheme="minorHAnsi"/>
          <w:lang w:val="en-US"/>
        </w:rPr>
        <w:t>5</w:t>
      </w:r>
      <w:r w:rsidR="000C270B" w:rsidRPr="008107B5">
        <w:rPr>
          <w:rFonts w:cstheme="minorHAnsi"/>
          <w:lang w:val="en-US"/>
        </w:rPr>
        <w:t>/</w:t>
      </w:r>
      <w:r w:rsidR="008107B5" w:rsidRPr="008107B5">
        <w:rPr>
          <w:rFonts w:cstheme="minorHAnsi"/>
          <w:lang w:val="en-US"/>
        </w:rPr>
        <w:t>71</w:t>
      </w:r>
      <w:r w:rsidR="000C270B" w:rsidRPr="008107B5">
        <w:rPr>
          <w:rFonts w:cstheme="minorHAnsi"/>
          <w:lang w:val="en-US"/>
        </w:rPr>
        <w:t>)</w:t>
      </w:r>
      <w:r w:rsidR="00236EF9" w:rsidRPr="008107B5">
        <w:rPr>
          <w:rFonts w:cstheme="minorHAnsi"/>
          <w:lang w:val="en-US"/>
        </w:rPr>
        <w:t xml:space="preserve"> </w:t>
      </w:r>
      <w:r w:rsidR="00817D4C" w:rsidRPr="008107B5">
        <w:rPr>
          <w:rFonts w:cstheme="minorHAnsi"/>
          <w:lang w:val="en-US"/>
        </w:rPr>
        <w:t>had an unknown</w:t>
      </w:r>
      <w:r w:rsidR="002D701F" w:rsidRPr="008107B5">
        <w:rPr>
          <w:rFonts w:cstheme="minorHAnsi"/>
          <w:lang w:val="en-US"/>
        </w:rPr>
        <w:t xml:space="preserve"> stage of pregnancy at the time of</w:t>
      </w:r>
      <w:r w:rsidR="00817D4C" w:rsidRPr="008107B5">
        <w:rPr>
          <w:rFonts w:cstheme="minorHAnsi"/>
          <w:lang w:val="en-US"/>
        </w:rPr>
        <w:t xml:space="preserve"> syphilis diagnosis (</w:t>
      </w:r>
      <w:r w:rsidR="00D10D18" w:rsidRPr="008107B5">
        <w:rPr>
          <w:rFonts w:cstheme="minorHAnsi"/>
          <w:lang w:val="en-US"/>
        </w:rPr>
        <w:t>T</w:t>
      </w:r>
      <w:r w:rsidR="00817D4C" w:rsidRPr="008107B5">
        <w:rPr>
          <w:rFonts w:cstheme="minorHAnsi"/>
          <w:lang w:val="en-US"/>
        </w:rPr>
        <w:t xml:space="preserve">able 1). </w:t>
      </w:r>
    </w:p>
    <w:p w14:paraId="10937295" w14:textId="74499499" w:rsidR="00A2021B" w:rsidRPr="008107B5" w:rsidRDefault="008107B5">
      <w:pPr>
        <w:rPr>
          <w:rFonts w:cstheme="minorHAnsi"/>
          <w:lang w:val="en-US"/>
        </w:rPr>
      </w:pPr>
      <w:r w:rsidRPr="008107B5">
        <w:rPr>
          <w:rFonts w:cstheme="minorHAnsi"/>
          <w:lang w:val="en-US"/>
        </w:rPr>
        <w:t xml:space="preserve">Seventy-seven </w:t>
      </w:r>
      <w:r w:rsidR="00236EF9" w:rsidRPr="008107B5">
        <w:rPr>
          <w:rFonts w:cstheme="minorHAnsi"/>
          <w:lang w:val="en-US"/>
        </w:rPr>
        <w:t>per</w:t>
      </w:r>
      <w:r w:rsidR="000C270B" w:rsidRPr="008107B5">
        <w:rPr>
          <w:rFonts w:cstheme="minorHAnsi"/>
          <w:lang w:val="en-US"/>
        </w:rPr>
        <w:t xml:space="preserve"> cent (</w:t>
      </w:r>
      <w:r w:rsidRPr="008107B5">
        <w:rPr>
          <w:rFonts w:cstheme="minorHAnsi"/>
          <w:lang w:val="en-US"/>
        </w:rPr>
        <w:t>77</w:t>
      </w:r>
      <w:r w:rsidR="00236EF9" w:rsidRPr="008107B5">
        <w:rPr>
          <w:rFonts w:cstheme="minorHAnsi"/>
          <w:lang w:val="en-US"/>
        </w:rPr>
        <w:t xml:space="preserve">%, </w:t>
      </w:r>
      <w:r w:rsidR="008756AB" w:rsidRPr="008107B5">
        <w:rPr>
          <w:rFonts w:cstheme="minorHAnsi"/>
          <w:lang w:val="en-US"/>
        </w:rPr>
        <w:t>5</w:t>
      </w:r>
      <w:r w:rsidRPr="008107B5">
        <w:rPr>
          <w:rFonts w:cstheme="minorHAnsi"/>
          <w:lang w:val="en-US"/>
        </w:rPr>
        <w:t>5</w:t>
      </w:r>
      <w:r w:rsidR="00236EF9" w:rsidRPr="008107B5">
        <w:rPr>
          <w:rFonts w:cstheme="minorHAnsi"/>
          <w:lang w:val="en-US"/>
        </w:rPr>
        <w:t>/</w:t>
      </w:r>
      <w:r w:rsidRPr="008107B5">
        <w:rPr>
          <w:rFonts w:cstheme="minorHAnsi"/>
          <w:lang w:val="en-US"/>
        </w:rPr>
        <w:t>71</w:t>
      </w:r>
      <w:r w:rsidR="00236EF9" w:rsidRPr="008107B5">
        <w:rPr>
          <w:rFonts w:cstheme="minorHAnsi"/>
          <w:lang w:val="en-US"/>
        </w:rPr>
        <w:t xml:space="preserve">) of mothers giving birth to an infant with congenital syphilis were diagnosed late in pregnancy, including </w:t>
      </w:r>
      <w:r w:rsidR="00360D01" w:rsidRPr="008107B5">
        <w:rPr>
          <w:rFonts w:cstheme="minorHAnsi"/>
          <w:lang w:val="en-US"/>
        </w:rPr>
        <w:t>1</w:t>
      </w:r>
      <w:r w:rsidRPr="008107B5">
        <w:rPr>
          <w:rFonts w:cstheme="minorHAnsi"/>
          <w:lang w:val="en-US"/>
        </w:rPr>
        <w:t>1</w:t>
      </w:r>
      <w:r w:rsidR="00360D01" w:rsidRPr="008107B5">
        <w:rPr>
          <w:rFonts w:cstheme="minorHAnsi"/>
          <w:lang w:val="en-US"/>
        </w:rPr>
        <w:t xml:space="preserve"> </w:t>
      </w:r>
      <w:r w:rsidR="00236EF9" w:rsidRPr="008107B5">
        <w:rPr>
          <w:rFonts w:cstheme="minorHAnsi"/>
          <w:lang w:val="en-US"/>
        </w:rPr>
        <w:t>mothers diagnosed in the 3</w:t>
      </w:r>
      <w:r w:rsidR="00236EF9" w:rsidRPr="008107B5">
        <w:rPr>
          <w:rFonts w:cstheme="minorHAnsi"/>
          <w:vertAlign w:val="superscript"/>
          <w:lang w:val="en-US"/>
        </w:rPr>
        <w:t>rd</w:t>
      </w:r>
      <w:r w:rsidR="00236EF9" w:rsidRPr="008107B5">
        <w:rPr>
          <w:rFonts w:cstheme="minorHAnsi"/>
          <w:lang w:val="en-US"/>
        </w:rPr>
        <w:t xml:space="preserve"> trimester less than 30 days prior to delivery.</w:t>
      </w:r>
    </w:p>
    <w:p w14:paraId="296571A1" w14:textId="00A2E085" w:rsidR="00EF1884" w:rsidRPr="0069463E" w:rsidRDefault="004333AE" w:rsidP="008756AB">
      <w:pPr>
        <w:spacing w:before="0" w:after="0"/>
        <w:rPr>
          <w:rFonts w:cstheme="minorHAnsi"/>
          <w:b/>
          <w:lang w:val="en-US"/>
        </w:rPr>
      </w:pPr>
      <w:r w:rsidRPr="0069463E">
        <w:rPr>
          <w:rFonts w:cstheme="minorHAnsi"/>
          <w:b/>
          <w:lang w:val="en-US"/>
        </w:rPr>
        <w:lastRenderedPageBreak/>
        <w:t xml:space="preserve">Table 1: </w:t>
      </w:r>
      <w:r w:rsidR="00EF1884" w:rsidRPr="0069463E">
        <w:rPr>
          <w:rFonts w:cstheme="minorHAnsi"/>
          <w:b/>
          <w:lang w:val="en-US"/>
        </w:rPr>
        <w:t xml:space="preserve">Number of women giving birth to an </w:t>
      </w:r>
      <w:r w:rsidR="001A3F2C" w:rsidRPr="0069463E">
        <w:rPr>
          <w:rFonts w:cstheme="minorHAnsi"/>
          <w:b/>
          <w:lang w:val="en-US"/>
        </w:rPr>
        <w:t>infant with congenital syphilis, by</w:t>
      </w:r>
      <w:r w:rsidR="00EF1884" w:rsidRPr="0069463E">
        <w:rPr>
          <w:rFonts w:cstheme="minorHAnsi"/>
          <w:b/>
          <w:lang w:val="en-US"/>
        </w:rPr>
        <w:t xml:space="preserve"> gestation period</w:t>
      </w:r>
      <w:r w:rsidR="001A3F2C" w:rsidRPr="0069463E">
        <w:rPr>
          <w:rFonts w:cstheme="minorHAnsi"/>
          <w:b/>
          <w:lang w:val="en-US"/>
        </w:rPr>
        <w:t xml:space="preserve"> mother was diagnosed with syphilis</w:t>
      </w:r>
      <w:r w:rsidR="005E0EF7" w:rsidRPr="0069463E">
        <w:rPr>
          <w:rFonts w:cstheme="minorHAnsi"/>
          <w:b/>
          <w:lang w:val="en-US"/>
        </w:rPr>
        <w:t xml:space="preserve"> </w:t>
      </w:r>
      <w:r w:rsidR="00373FCE" w:rsidRPr="0069463E">
        <w:rPr>
          <w:rFonts w:cstheme="minorHAnsi"/>
          <w:b/>
          <w:lang w:val="en-US"/>
        </w:rPr>
        <w:t xml:space="preserve">and year, 2016 – </w:t>
      </w:r>
      <w:r w:rsidR="0069463E" w:rsidRPr="0069463E">
        <w:rPr>
          <w:rFonts w:cstheme="minorHAnsi"/>
          <w:b/>
          <w:lang w:val="en-US"/>
        </w:rPr>
        <w:t xml:space="preserve">Q1 </w:t>
      </w:r>
      <w:r w:rsidR="00373FCE" w:rsidRPr="0069463E">
        <w:rPr>
          <w:rFonts w:cstheme="minorHAnsi"/>
          <w:b/>
          <w:lang w:val="en-US"/>
        </w:rPr>
        <w:t>202</w:t>
      </w:r>
      <w:r w:rsidR="0069463E" w:rsidRPr="0069463E">
        <w:rPr>
          <w:rFonts w:cstheme="minorHAnsi"/>
          <w:b/>
          <w:lang w:val="en-US"/>
        </w:rPr>
        <w:t>3</w:t>
      </w:r>
      <w:r w:rsidR="00373FCE" w:rsidRPr="0069463E">
        <w:rPr>
          <w:rFonts w:cstheme="minorHAnsi"/>
          <w:b/>
          <w:lang w:val="en-US"/>
        </w:rPr>
        <w:t xml:space="preserve"> </w:t>
      </w:r>
    </w:p>
    <w:tbl>
      <w:tblPr>
        <w:tblStyle w:val="TableGrid12"/>
        <w:tblW w:w="10201" w:type="dxa"/>
        <w:tblLook w:val="04A0" w:firstRow="1" w:lastRow="0" w:firstColumn="1" w:lastColumn="0" w:noHBand="0" w:noVBand="1"/>
      </w:tblPr>
      <w:tblGrid>
        <w:gridCol w:w="2830"/>
        <w:gridCol w:w="993"/>
        <w:gridCol w:w="850"/>
        <w:gridCol w:w="992"/>
        <w:gridCol w:w="993"/>
        <w:gridCol w:w="850"/>
        <w:gridCol w:w="851"/>
        <w:gridCol w:w="850"/>
        <w:gridCol w:w="992"/>
      </w:tblGrid>
      <w:tr w:rsidR="0069463E" w:rsidRPr="0069463E" w14:paraId="32EB76AD" w14:textId="5BE46FC2" w:rsidTr="0069463E">
        <w:trPr>
          <w:trHeight w:val="456"/>
        </w:trPr>
        <w:tc>
          <w:tcPr>
            <w:tcW w:w="2830" w:type="dxa"/>
            <w:shd w:val="clear" w:color="auto" w:fill="F2F2F2" w:themeFill="background1" w:themeFillShade="F2"/>
            <w:hideMark/>
          </w:tcPr>
          <w:p w14:paraId="4F7144B7" w14:textId="4D8DE4DA" w:rsidR="0069463E" w:rsidRPr="0069463E" w:rsidRDefault="0069463E" w:rsidP="00CB6151">
            <w:pPr>
              <w:spacing w:before="0" w:after="120"/>
              <w:jc w:val="center"/>
              <w:rPr>
                <w:rFonts w:ascii="Calibri" w:hAnsi="Calibri" w:cs="Calibri"/>
                <w:b/>
                <w:bCs/>
              </w:rPr>
            </w:pPr>
            <w:r w:rsidRPr="0069463E">
              <w:rPr>
                <w:rFonts w:ascii="Calibri" w:hAnsi="Calibri" w:cs="Calibri"/>
                <w:b/>
                <w:bCs/>
              </w:rPr>
              <w:t>Mothers gestation period at syphilis diagnosis</w:t>
            </w:r>
          </w:p>
        </w:tc>
        <w:tc>
          <w:tcPr>
            <w:tcW w:w="993" w:type="dxa"/>
            <w:shd w:val="clear" w:color="auto" w:fill="F2F2F2" w:themeFill="background1" w:themeFillShade="F2"/>
            <w:hideMark/>
          </w:tcPr>
          <w:p w14:paraId="47660974" w14:textId="77777777" w:rsidR="0069463E" w:rsidRPr="0069463E" w:rsidRDefault="0069463E" w:rsidP="00CB6151">
            <w:pPr>
              <w:spacing w:before="0" w:after="120"/>
              <w:jc w:val="center"/>
              <w:rPr>
                <w:rFonts w:ascii="Calibri" w:hAnsi="Calibri" w:cs="Calibri"/>
                <w:b/>
                <w:bCs/>
              </w:rPr>
            </w:pPr>
            <w:r w:rsidRPr="0069463E">
              <w:rPr>
                <w:rFonts w:ascii="Calibri" w:hAnsi="Calibri" w:cs="Calibri"/>
                <w:b/>
                <w:bCs/>
              </w:rPr>
              <w:t>2016</w:t>
            </w:r>
          </w:p>
        </w:tc>
        <w:tc>
          <w:tcPr>
            <w:tcW w:w="850" w:type="dxa"/>
            <w:shd w:val="clear" w:color="auto" w:fill="F2F2F2" w:themeFill="background1" w:themeFillShade="F2"/>
            <w:hideMark/>
          </w:tcPr>
          <w:p w14:paraId="30859357" w14:textId="77777777" w:rsidR="0069463E" w:rsidRPr="0069463E" w:rsidRDefault="0069463E" w:rsidP="00CB6151">
            <w:pPr>
              <w:spacing w:before="0" w:after="120"/>
              <w:jc w:val="center"/>
              <w:rPr>
                <w:rFonts w:ascii="Calibri" w:hAnsi="Calibri" w:cs="Calibri"/>
                <w:b/>
                <w:bCs/>
              </w:rPr>
            </w:pPr>
            <w:r w:rsidRPr="0069463E">
              <w:rPr>
                <w:rFonts w:ascii="Calibri" w:hAnsi="Calibri" w:cs="Calibri"/>
                <w:b/>
                <w:bCs/>
              </w:rPr>
              <w:t>2017</w:t>
            </w:r>
          </w:p>
        </w:tc>
        <w:tc>
          <w:tcPr>
            <w:tcW w:w="992" w:type="dxa"/>
            <w:shd w:val="clear" w:color="auto" w:fill="F2F2F2" w:themeFill="background1" w:themeFillShade="F2"/>
            <w:hideMark/>
          </w:tcPr>
          <w:p w14:paraId="0F722F2D" w14:textId="77777777" w:rsidR="0069463E" w:rsidRPr="0069463E" w:rsidRDefault="0069463E" w:rsidP="00CB6151">
            <w:pPr>
              <w:spacing w:before="0" w:after="120"/>
              <w:jc w:val="center"/>
              <w:rPr>
                <w:rFonts w:ascii="Calibri" w:hAnsi="Calibri" w:cs="Calibri"/>
                <w:b/>
                <w:bCs/>
              </w:rPr>
            </w:pPr>
            <w:r w:rsidRPr="0069463E">
              <w:rPr>
                <w:rFonts w:ascii="Calibri" w:hAnsi="Calibri" w:cs="Calibri"/>
                <w:b/>
                <w:bCs/>
              </w:rPr>
              <w:t>2018</w:t>
            </w:r>
          </w:p>
        </w:tc>
        <w:tc>
          <w:tcPr>
            <w:tcW w:w="993" w:type="dxa"/>
            <w:shd w:val="clear" w:color="auto" w:fill="F2F2F2" w:themeFill="background1" w:themeFillShade="F2"/>
            <w:hideMark/>
          </w:tcPr>
          <w:p w14:paraId="2A88782A" w14:textId="77777777" w:rsidR="0069463E" w:rsidRPr="0069463E" w:rsidRDefault="0069463E" w:rsidP="00CB6151">
            <w:pPr>
              <w:spacing w:before="0" w:after="120"/>
              <w:jc w:val="center"/>
              <w:rPr>
                <w:rFonts w:ascii="Calibri" w:hAnsi="Calibri" w:cs="Calibri"/>
                <w:b/>
                <w:bCs/>
              </w:rPr>
            </w:pPr>
            <w:r w:rsidRPr="0069463E">
              <w:rPr>
                <w:rFonts w:ascii="Calibri" w:hAnsi="Calibri" w:cs="Calibri"/>
                <w:b/>
                <w:bCs/>
              </w:rPr>
              <w:t>2019</w:t>
            </w:r>
          </w:p>
        </w:tc>
        <w:tc>
          <w:tcPr>
            <w:tcW w:w="850" w:type="dxa"/>
            <w:shd w:val="clear" w:color="auto" w:fill="F2F2F2" w:themeFill="background1" w:themeFillShade="F2"/>
            <w:hideMark/>
          </w:tcPr>
          <w:p w14:paraId="50769A2E" w14:textId="77777777" w:rsidR="0069463E" w:rsidRPr="0069463E" w:rsidRDefault="0069463E" w:rsidP="00CB6151">
            <w:pPr>
              <w:spacing w:before="0" w:after="120"/>
              <w:jc w:val="center"/>
              <w:rPr>
                <w:rFonts w:ascii="Calibri" w:hAnsi="Calibri" w:cs="Calibri"/>
                <w:b/>
                <w:bCs/>
              </w:rPr>
            </w:pPr>
            <w:r w:rsidRPr="0069463E">
              <w:rPr>
                <w:rFonts w:ascii="Calibri" w:hAnsi="Calibri" w:cs="Calibri"/>
                <w:b/>
                <w:bCs/>
              </w:rPr>
              <w:t>2020</w:t>
            </w:r>
          </w:p>
        </w:tc>
        <w:tc>
          <w:tcPr>
            <w:tcW w:w="851" w:type="dxa"/>
            <w:shd w:val="clear" w:color="auto" w:fill="F2F2F2" w:themeFill="background1" w:themeFillShade="F2"/>
            <w:hideMark/>
          </w:tcPr>
          <w:p w14:paraId="7105B604" w14:textId="77777777" w:rsidR="0069463E" w:rsidRPr="0069463E" w:rsidRDefault="0069463E" w:rsidP="00CB6151">
            <w:pPr>
              <w:spacing w:before="0" w:after="120"/>
              <w:jc w:val="center"/>
              <w:rPr>
                <w:rFonts w:ascii="Calibri" w:hAnsi="Calibri" w:cs="Calibri"/>
                <w:b/>
                <w:bCs/>
              </w:rPr>
            </w:pPr>
            <w:r w:rsidRPr="0069463E">
              <w:rPr>
                <w:rFonts w:ascii="Calibri" w:hAnsi="Calibri" w:cs="Calibri"/>
                <w:b/>
                <w:bCs/>
              </w:rPr>
              <w:t>2021</w:t>
            </w:r>
          </w:p>
        </w:tc>
        <w:tc>
          <w:tcPr>
            <w:tcW w:w="850" w:type="dxa"/>
            <w:shd w:val="clear" w:color="auto" w:fill="F2F2F2" w:themeFill="background1" w:themeFillShade="F2"/>
          </w:tcPr>
          <w:p w14:paraId="0324B975" w14:textId="77777777" w:rsidR="0069463E" w:rsidRPr="0069463E" w:rsidRDefault="0069463E" w:rsidP="00CB6151">
            <w:pPr>
              <w:spacing w:before="0" w:after="120"/>
              <w:jc w:val="center"/>
              <w:rPr>
                <w:rFonts w:ascii="Calibri" w:hAnsi="Calibri" w:cs="Calibri"/>
                <w:b/>
                <w:bCs/>
              </w:rPr>
            </w:pPr>
            <w:r w:rsidRPr="0069463E">
              <w:rPr>
                <w:rFonts w:ascii="Calibri" w:hAnsi="Calibri" w:cs="Calibri"/>
                <w:b/>
                <w:bCs/>
              </w:rPr>
              <w:t>2022</w:t>
            </w:r>
          </w:p>
        </w:tc>
        <w:tc>
          <w:tcPr>
            <w:tcW w:w="992" w:type="dxa"/>
            <w:shd w:val="clear" w:color="auto" w:fill="F2F2F2" w:themeFill="background1" w:themeFillShade="F2"/>
          </w:tcPr>
          <w:p w14:paraId="65A04AC7" w14:textId="25014359" w:rsidR="0069463E" w:rsidRPr="0069463E" w:rsidRDefault="0069463E" w:rsidP="00CB6151">
            <w:pPr>
              <w:spacing w:before="0" w:after="120"/>
              <w:jc w:val="center"/>
              <w:rPr>
                <w:rFonts w:ascii="Calibri" w:hAnsi="Calibri" w:cs="Calibri"/>
                <w:b/>
                <w:bCs/>
              </w:rPr>
            </w:pPr>
            <w:r w:rsidRPr="0069463E">
              <w:rPr>
                <w:rFonts w:ascii="Calibri" w:hAnsi="Calibri" w:cs="Calibri"/>
                <w:b/>
                <w:bCs/>
              </w:rPr>
              <w:t>2023</w:t>
            </w:r>
          </w:p>
        </w:tc>
      </w:tr>
      <w:tr w:rsidR="0069463E" w:rsidRPr="0069463E" w14:paraId="793F9AE8" w14:textId="5161A44F" w:rsidTr="0069463E">
        <w:trPr>
          <w:trHeight w:val="360"/>
        </w:trPr>
        <w:tc>
          <w:tcPr>
            <w:tcW w:w="2830" w:type="dxa"/>
            <w:hideMark/>
          </w:tcPr>
          <w:p w14:paraId="0E349508" w14:textId="77777777" w:rsidR="0069463E" w:rsidRPr="0069463E" w:rsidRDefault="0069463E" w:rsidP="0069463E">
            <w:pPr>
              <w:spacing w:before="0" w:after="120"/>
              <w:rPr>
                <w:rFonts w:ascii="Calibri" w:hAnsi="Calibri" w:cs="Calibri"/>
                <w:b/>
                <w:bCs/>
              </w:rPr>
            </w:pPr>
            <w:r w:rsidRPr="0069463E">
              <w:rPr>
                <w:rFonts w:ascii="Calibri" w:hAnsi="Calibri" w:cs="Calibri"/>
                <w:b/>
                <w:bCs/>
              </w:rPr>
              <w:t>1</w:t>
            </w:r>
            <w:r w:rsidRPr="0069463E">
              <w:rPr>
                <w:rFonts w:ascii="Calibri" w:hAnsi="Calibri" w:cs="Calibri"/>
                <w:b/>
                <w:bCs/>
                <w:vertAlign w:val="superscript"/>
              </w:rPr>
              <w:t>st</w:t>
            </w:r>
            <w:r w:rsidRPr="0069463E">
              <w:rPr>
                <w:rFonts w:ascii="Calibri" w:hAnsi="Calibri" w:cs="Calibri"/>
                <w:b/>
                <w:bCs/>
              </w:rPr>
              <w:t xml:space="preserve"> Trimester</w:t>
            </w:r>
          </w:p>
        </w:tc>
        <w:tc>
          <w:tcPr>
            <w:tcW w:w="993"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124617A5" w14:textId="5EC3EC7B"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hideMark/>
          </w:tcPr>
          <w:p w14:paraId="2605D036" w14:textId="3F1B2DDD"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992" w:type="dxa"/>
            <w:tcBorders>
              <w:top w:val="single" w:sz="8" w:space="0" w:color="auto"/>
              <w:left w:val="nil"/>
              <w:bottom w:val="single" w:sz="8" w:space="0" w:color="auto"/>
              <w:right w:val="single" w:sz="8" w:space="0" w:color="auto"/>
            </w:tcBorders>
            <w:shd w:val="clear" w:color="000000" w:fill="FFFFFF"/>
            <w:vAlign w:val="center"/>
            <w:hideMark/>
          </w:tcPr>
          <w:p w14:paraId="48117518" w14:textId="7D57C7F7"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993" w:type="dxa"/>
            <w:tcBorders>
              <w:top w:val="single" w:sz="8" w:space="0" w:color="auto"/>
              <w:left w:val="nil"/>
              <w:bottom w:val="single" w:sz="8" w:space="0" w:color="auto"/>
              <w:right w:val="single" w:sz="8" w:space="0" w:color="auto"/>
            </w:tcBorders>
            <w:shd w:val="clear" w:color="000000" w:fill="FFFFFF"/>
            <w:vAlign w:val="center"/>
            <w:hideMark/>
          </w:tcPr>
          <w:p w14:paraId="60C5EC83" w14:textId="19F474F4"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hideMark/>
          </w:tcPr>
          <w:p w14:paraId="240F52C8" w14:textId="3390ADD6"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1" w:type="dxa"/>
            <w:tcBorders>
              <w:top w:val="single" w:sz="8" w:space="0" w:color="auto"/>
              <w:left w:val="nil"/>
              <w:bottom w:val="single" w:sz="8" w:space="0" w:color="auto"/>
              <w:right w:val="single" w:sz="8" w:space="0" w:color="auto"/>
            </w:tcBorders>
            <w:shd w:val="clear" w:color="000000" w:fill="FFFFFF"/>
            <w:vAlign w:val="center"/>
            <w:hideMark/>
          </w:tcPr>
          <w:p w14:paraId="7AE7796D" w14:textId="0511B505"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1D2A4256" w14:textId="06A91204" w:rsidR="0069463E" w:rsidRPr="0069463E" w:rsidRDefault="0069463E" w:rsidP="0069463E">
            <w:pPr>
              <w:spacing w:before="0" w:after="120"/>
              <w:jc w:val="center"/>
              <w:rPr>
                <w:rFonts w:ascii="Times New Roman" w:hAnsi="Times New Roman"/>
                <w:sz w:val="20"/>
              </w:rPr>
            </w:pPr>
            <w:r w:rsidRPr="0069463E">
              <w:rPr>
                <w:rFonts w:ascii="Calibri" w:hAnsi="Calibri" w:cs="Calibri"/>
              </w:rPr>
              <w:t>0</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29E959BF" w14:textId="1F24DFFF" w:rsidR="0069463E" w:rsidRPr="0069463E" w:rsidRDefault="0069463E" w:rsidP="0069463E">
            <w:pPr>
              <w:spacing w:before="0" w:after="120"/>
              <w:jc w:val="center"/>
              <w:rPr>
                <w:rFonts w:ascii="Calibri" w:hAnsi="Calibri" w:cs="Calibri"/>
              </w:rPr>
            </w:pPr>
            <w:r w:rsidRPr="0069463E">
              <w:rPr>
                <w:rFonts w:ascii="Calibri" w:hAnsi="Calibri" w:cs="Calibri"/>
              </w:rPr>
              <w:t>0</w:t>
            </w:r>
          </w:p>
        </w:tc>
      </w:tr>
      <w:tr w:rsidR="0069463E" w:rsidRPr="0069463E" w14:paraId="7CE13905" w14:textId="7824AF34" w:rsidTr="0069463E">
        <w:trPr>
          <w:trHeight w:val="360"/>
        </w:trPr>
        <w:tc>
          <w:tcPr>
            <w:tcW w:w="2830" w:type="dxa"/>
            <w:hideMark/>
          </w:tcPr>
          <w:p w14:paraId="1826A2EE" w14:textId="77777777" w:rsidR="0069463E" w:rsidRPr="0069463E" w:rsidRDefault="0069463E" w:rsidP="0069463E">
            <w:pPr>
              <w:spacing w:before="0" w:after="120"/>
              <w:rPr>
                <w:rFonts w:ascii="Calibri" w:hAnsi="Calibri" w:cs="Calibri"/>
                <w:b/>
                <w:bCs/>
              </w:rPr>
            </w:pPr>
            <w:r w:rsidRPr="0069463E">
              <w:rPr>
                <w:rFonts w:ascii="Calibri" w:hAnsi="Calibri" w:cs="Calibri"/>
                <w:b/>
                <w:bCs/>
              </w:rPr>
              <w:t>2</w:t>
            </w:r>
            <w:r w:rsidRPr="0069463E">
              <w:rPr>
                <w:rFonts w:ascii="Calibri" w:hAnsi="Calibri" w:cs="Calibri"/>
                <w:b/>
                <w:bCs/>
                <w:vertAlign w:val="superscript"/>
              </w:rPr>
              <w:t>nd</w:t>
            </w:r>
            <w:r w:rsidRPr="0069463E">
              <w:rPr>
                <w:rFonts w:ascii="Calibri" w:hAnsi="Calibri" w:cs="Calibri"/>
                <w:b/>
                <w:bCs/>
              </w:rPr>
              <w:t xml:space="preserve"> Trimester</w:t>
            </w:r>
          </w:p>
        </w:tc>
        <w:tc>
          <w:tcPr>
            <w:tcW w:w="993"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1D4546A0" w14:textId="1D491084" w:rsidR="0069463E" w:rsidRPr="0069463E" w:rsidRDefault="0069463E" w:rsidP="0069463E">
            <w:pPr>
              <w:spacing w:before="0" w:after="120"/>
              <w:jc w:val="center"/>
              <w:rPr>
                <w:rFonts w:ascii="Calibri" w:hAnsi="Calibri" w:cs="Calibri"/>
              </w:rPr>
            </w:pPr>
            <w:r w:rsidRPr="0069463E">
              <w:rPr>
                <w:rFonts w:ascii="Calibri" w:hAnsi="Calibri" w:cs="Calibri"/>
              </w:rPr>
              <w:t>1</w:t>
            </w:r>
          </w:p>
        </w:tc>
        <w:tc>
          <w:tcPr>
            <w:tcW w:w="850" w:type="dxa"/>
            <w:tcBorders>
              <w:top w:val="single" w:sz="8" w:space="0" w:color="auto"/>
              <w:left w:val="nil"/>
              <w:bottom w:val="single" w:sz="8" w:space="0" w:color="auto"/>
              <w:right w:val="single" w:sz="8" w:space="0" w:color="auto"/>
            </w:tcBorders>
            <w:shd w:val="clear" w:color="000000" w:fill="FFFFFF"/>
            <w:vAlign w:val="center"/>
            <w:hideMark/>
          </w:tcPr>
          <w:p w14:paraId="05B32A84" w14:textId="26A754A7"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992" w:type="dxa"/>
            <w:tcBorders>
              <w:top w:val="single" w:sz="8" w:space="0" w:color="auto"/>
              <w:left w:val="nil"/>
              <w:bottom w:val="single" w:sz="8" w:space="0" w:color="auto"/>
              <w:right w:val="single" w:sz="8" w:space="0" w:color="auto"/>
            </w:tcBorders>
            <w:shd w:val="clear" w:color="000000" w:fill="FFFFFF"/>
            <w:vAlign w:val="center"/>
            <w:hideMark/>
          </w:tcPr>
          <w:p w14:paraId="4572BAE2" w14:textId="2382382E"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993" w:type="dxa"/>
            <w:tcBorders>
              <w:top w:val="single" w:sz="8" w:space="0" w:color="auto"/>
              <w:left w:val="nil"/>
              <w:bottom w:val="single" w:sz="8" w:space="0" w:color="auto"/>
              <w:right w:val="single" w:sz="8" w:space="0" w:color="auto"/>
            </w:tcBorders>
            <w:shd w:val="clear" w:color="000000" w:fill="FFFFFF"/>
            <w:vAlign w:val="center"/>
            <w:hideMark/>
          </w:tcPr>
          <w:p w14:paraId="5D783B07" w14:textId="283B1D62"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hideMark/>
          </w:tcPr>
          <w:p w14:paraId="687D6DF5" w14:textId="67F10E9A" w:rsidR="0069463E" w:rsidRPr="0069463E" w:rsidRDefault="0069463E" w:rsidP="0069463E">
            <w:pPr>
              <w:spacing w:before="0" w:after="120"/>
              <w:jc w:val="center"/>
              <w:rPr>
                <w:rFonts w:ascii="Calibri" w:hAnsi="Calibri" w:cs="Calibri"/>
              </w:rPr>
            </w:pPr>
            <w:r w:rsidRPr="0069463E">
              <w:rPr>
                <w:rFonts w:ascii="Calibri" w:hAnsi="Calibri" w:cs="Calibri"/>
              </w:rPr>
              <w:t>1</w:t>
            </w:r>
          </w:p>
        </w:tc>
        <w:tc>
          <w:tcPr>
            <w:tcW w:w="851" w:type="dxa"/>
            <w:tcBorders>
              <w:top w:val="single" w:sz="8" w:space="0" w:color="auto"/>
              <w:left w:val="nil"/>
              <w:bottom w:val="single" w:sz="8" w:space="0" w:color="auto"/>
              <w:right w:val="single" w:sz="8" w:space="0" w:color="auto"/>
            </w:tcBorders>
            <w:shd w:val="clear" w:color="000000" w:fill="FFFFFF"/>
            <w:vAlign w:val="center"/>
            <w:hideMark/>
          </w:tcPr>
          <w:p w14:paraId="2EF037DB" w14:textId="533679B9"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509B9CF5" w14:textId="54F12C6C" w:rsidR="0069463E" w:rsidRPr="0069463E" w:rsidRDefault="0069463E" w:rsidP="0069463E">
            <w:pPr>
              <w:spacing w:before="0" w:after="120"/>
              <w:jc w:val="center"/>
              <w:rPr>
                <w:rFonts w:ascii="Times New Roman" w:hAnsi="Times New Roman"/>
                <w:sz w:val="20"/>
              </w:rPr>
            </w:pPr>
            <w:r w:rsidRPr="0069463E">
              <w:rPr>
                <w:rFonts w:ascii="Calibri" w:hAnsi="Calibri" w:cs="Calibri"/>
              </w:rPr>
              <w:t>3</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32624E49" w14:textId="434220A6" w:rsidR="0069463E" w:rsidRPr="0069463E" w:rsidRDefault="0069463E" w:rsidP="0069463E">
            <w:pPr>
              <w:spacing w:before="0" w:after="120"/>
              <w:jc w:val="center"/>
              <w:rPr>
                <w:rFonts w:ascii="Calibri" w:hAnsi="Calibri" w:cs="Calibri"/>
              </w:rPr>
            </w:pPr>
            <w:r w:rsidRPr="0069463E">
              <w:rPr>
                <w:rFonts w:ascii="Calibri" w:hAnsi="Calibri" w:cs="Calibri"/>
              </w:rPr>
              <w:t>2</w:t>
            </w:r>
          </w:p>
        </w:tc>
      </w:tr>
      <w:tr w:rsidR="0069463E" w:rsidRPr="0069463E" w14:paraId="61C73AE5" w14:textId="00620BAF" w:rsidTr="0069463E">
        <w:trPr>
          <w:trHeight w:val="360"/>
        </w:trPr>
        <w:tc>
          <w:tcPr>
            <w:tcW w:w="2830" w:type="dxa"/>
            <w:hideMark/>
          </w:tcPr>
          <w:p w14:paraId="675562BC" w14:textId="77777777" w:rsidR="0069463E" w:rsidRPr="0069463E" w:rsidRDefault="0069463E" w:rsidP="0069463E">
            <w:pPr>
              <w:spacing w:before="0" w:after="120"/>
              <w:rPr>
                <w:rFonts w:ascii="Calibri" w:hAnsi="Calibri" w:cs="Calibri"/>
                <w:b/>
                <w:bCs/>
              </w:rPr>
            </w:pPr>
            <w:r w:rsidRPr="0069463E">
              <w:rPr>
                <w:rFonts w:ascii="Calibri" w:hAnsi="Calibri" w:cs="Calibri"/>
                <w:b/>
                <w:bCs/>
              </w:rPr>
              <w:t>3</w:t>
            </w:r>
            <w:r w:rsidRPr="0069463E">
              <w:rPr>
                <w:rFonts w:ascii="Calibri" w:hAnsi="Calibri" w:cs="Calibri"/>
                <w:b/>
                <w:bCs/>
                <w:vertAlign w:val="superscript"/>
              </w:rPr>
              <w:t>rd</w:t>
            </w:r>
            <w:r w:rsidRPr="0069463E">
              <w:rPr>
                <w:rFonts w:ascii="Calibri" w:hAnsi="Calibri" w:cs="Calibri"/>
                <w:b/>
                <w:bCs/>
              </w:rPr>
              <w:t xml:space="preserve"> Trimester</w:t>
            </w:r>
          </w:p>
        </w:tc>
        <w:tc>
          <w:tcPr>
            <w:tcW w:w="993" w:type="dxa"/>
            <w:tcBorders>
              <w:top w:val="single" w:sz="8" w:space="0" w:color="auto"/>
              <w:left w:val="single" w:sz="8" w:space="0" w:color="auto"/>
              <w:bottom w:val="single" w:sz="8" w:space="0" w:color="auto"/>
              <w:right w:val="single" w:sz="8" w:space="0" w:color="auto"/>
            </w:tcBorders>
            <w:shd w:val="clear" w:color="000000" w:fill="FFFFFF"/>
            <w:vAlign w:val="center"/>
          </w:tcPr>
          <w:p w14:paraId="51B9B21E" w14:textId="0FCEC78F" w:rsidR="0069463E" w:rsidRPr="0069463E" w:rsidRDefault="0069463E" w:rsidP="0069463E">
            <w:pPr>
              <w:spacing w:before="0" w:after="120"/>
              <w:jc w:val="center"/>
              <w:rPr>
                <w:rFonts w:ascii="Calibri" w:hAnsi="Calibri" w:cs="Calibri"/>
              </w:rPr>
            </w:pPr>
            <w:r w:rsidRPr="0069463E">
              <w:rPr>
                <w:rFonts w:ascii="Calibri" w:hAnsi="Calibri" w:cs="Calibri"/>
              </w:rPr>
              <w:t>1</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5BF31159" w14:textId="145AB001" w:rsidR="0069463E" w:rsidRPr="0069463E" w:rsidRDefault="0069463E" w:rsidP="0069463E">
            <w:pPr>
              <w:spacing w:before="0" w:after="120"/>
              <w:jc w:val="center"/>
              <w:rPr>
                <w:rFonts w:ascii="Calibri" w:hAnsi="Calibri" w:cs="Calibri"/>
              </w:rPr>
            </w:pPr>
            <w:r w:rsidRPr="0069463E">
              <w:rPr>
                <w:rFonts w:ascii="Calibri" w:hAnsi="Calibri" w:cs="Calibri"/>
              </w:rPr>
              <w:t>2</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16ED651E" w14:textId="16182FF2" w:rsidR="0069463E" w:rsidRPr="0069463E" w:rsidRDefault="0069463E" w:rsidP="0069463E">
            <w:pPr>
              <w:spacing w:before="0" w:after="120"/>
              <w:jc w:val="center"/>
              <w:rPr>
                <w:rFonts w:ascii="Calibri" w:hAnsi="Calibri" w:cs="Calibri"/>
              </w:rPr>
            </w:pPr>
            <w:r w:rsidRPr="0069463E">
              <w:rPr>
                <w:rFonts w:ascii="Calibri" w:hAnsi="Calibri" w:cs="Calibri"/>
              </w:rPr>
              <w:t>3</w:t>
            </w:r>
          </w:p>
        </w:tc>
        <w:tc>
          <w:tcPr>
            <w:tcW w:w="993" w:type="dxa"/>
            <w:tcBorders>
              <w:top w:val="single" w:sz="8" w:space="0" w:color="auto"/>
              <w:left w:val="nil"/>
              <w:bottom w:val="single" w:sz="8" w:space="0" w:color="auto"/>
              <w:right w:val="single" w:sz="8" w:space="0" w:color="auto"/>
            </w:tcBorders>
            <w:shd w:val="clear" w:color="000000" w:fill="FFFFFF"/>
            <w:vAlign w:val="center"/>
          </w:tcPr>
          <w:p w14:paraId="2C4CE4F3" w14:textId="050032D9" w:rsidR="0069463E" w:rsidRPr="0069463E" w:rsidRDefault="0069463E" w:rsidP="0069463E">
            <w:pPr>
              <w:spacing w:before="0" w:after="120"/>
              <w:jc w:val="center"/>
              <w:rPr>
                <w:rFonts w:ascii="Calibri" w:hAnsi="Calibri" w:cs="Calibri"/>
              </w:rPr>
            </w:pPr>
            <w:r w:rsidRPr="0069463E">
              <w:rPr>
                <w:rFonts w:ascii="Calibri" w:hAnsi="Calibri" w:cs="Calibri"/>
              </w:rPr>
              <w:t>2</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1CF808D5" w14:textId="12ECAB18" w:rsidR="0069463E" w:rsidRPr="0069463E" w:rsidRDefault="0069463E" w:rsidP="0069463E">
            <w:pPr>
              <w:spacing w:before="0" w:after="120"/>
              <w:jc w:val="center"/>
              <w:rPr>
                <w:rFonts w:ascii="Calibri" w:hAnsi="Calibri" w:cs="Calibri"/>
              </w:rPr>
            </w:pPr>
            <w:r w:rsidRPr="0069463E">
              <w:rPr>
                <w:rFonts w:ascii="Calibri" w:hAnsi="Calibri" w:cs="Calibri"/>
              </w:rPr>
              <w:t>2</w:t>
            </w:r>
          </w:p>
        </w:tc>
        <w:tc>
          <w:tcPr>
            <w:tcW w:w="851" w:type="dxa"/>
            <w:tcBorders>
              <w:top w:val="single" w:sz="8" w:space="0" w:color="auto"/>
              <w:left w:val="nil"/>
              <w:bottom w:val="single" w:sz="8" w:space="0" w:color="auto"/>
              <w:right w:val="single" w:sz="8" w:space="0" w:color="auto"/>
            </w:tcBorders>
            <w:shd w:val="clear" w:color="000000" w:fill="FFFFFF"/>
            <w:vAlign w:val="center"/>
          </w:tcPr>
          <w:p w14:paraId="7277A2F3" w14:textId="0A1F0363" w:rsidR="0069463E" w:rsidRPr="0069463E" w:rsidRDefault="0069463E" w:rsidP="0069463E">
            <w:pPr>
              <w:spacing w:before="0" w:after="120"/>
              <w:jc w:val="center"/>
              <w:rPr>
                <w:rFonts w:ascii="Calibri" w:hAnsi="Calibri" w:cs="Calibri"/>
              </w:rPr>
            </w:pPr>
            <w:r w:rsidRPr="0069463E">
              <w:rPr>
                <w:rFonts w:ascii="Calibri" w:hAnsi="Calibri" w:cs="Calibri"/>
              </w:rPr>
              <w:t>3</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72B340BB" w14:textId="1E69A7B5" w:rsidR="0069463E" w:rsidRPr="0069463E" w:rsidRDefault="0069463E" w:rsidP="0069463E">
            <w:pPr>
              <w:spacing w:before="0" w:after="120"/>
              <w:jc w:val="center"/>
              <w:rPr>
                <w:rFonts w:ascii="Times New Roman" w:hAnsi="Times New Roman"/>
                <w:sz w:val="20"/>
              </w:rPr>
            </w:pPr>
            <w:r w:rsidRPr="0069463E">
              <w:rPr>
                <w:rFonts w:ascii="Calibri" w:hAnsi="Calibri" w:cs="Calibri"/>
              </w:rPr>
              <w:t>2</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4C66DECA" w14:textId="56539C80" w:rsidR="0069463E" w:rsidRPr="0069463E" w:rsidRDefault="0069463E" w:rsidP="0069463E">
            <w:pPr>
              <w:spacing w:before="0" w:after="120"/>
              <w:jc w:val="center"/>
              <w:rPr>
                <w:rFonts w:ascii="Calibri" w:hAnsi="Calibri" w:cs="Calibri"/>
              </w:rPr>
            </w:pPr>
            <w:r w:rsidRPr="0069463E">
              <w:rPr>
                <w:rFonts w:ascii="Calibri" w:hAnsi="Calibri" w:cs="Calibri"/>
              </w:rPr>
              <w:t>0</w:t>
            </w:r>
          </w:p>
        </w:tc>
      </w:tr>
      <w:tr w:rsidR="0069463E" w:rsidRPr="0069463E" w14:paraId="3C647241" w14:textId="217DB74A" w:rsidTr="0069463E">
        <w:trPr>
          <w:trHeight w:val="315"/>
        </w:trPr>
        <w:tc>
          <w:tcPr>
            <w:tcW w:w="2830" w:type="dxa"/>
            <w:hideMark/>
          </w:tcPr>
          <w:p w14:paraId="332B51DD" w14:textId="77777777" w:rsidR="0069463E" w:rsidRPr="0069463E" w:rsidRDefault="0069463E" w:rsidP="0069463E">
            <w:pPr>
              <w:spacing w:before="0" w:after="120"/>
              <w:rPr>
                <w:rFonts w:ascii="Calibri" w:hAnsi="Calibri" w:cs="Calibri"/>
                <w:b/>
                <w:bCs/>
              </w:rPr>
            </w:pPr>
            <w:r w:rsidRPr="0069463E">
              <w:rPr>
                <w:rFonts w:ascii="Calibri" w:hAnsi="Calibri" w:cs="Calibri"/>
                <w:b/>
                <w:bCs/>
              </w:rPr>
              <w:t>At birth (Day of delivery)</w:t>
            </w:r>
          </w:p>
        </w:tc>
        <w:tc>
          <w:tcPr>
            <w:tcW w:w="993" w:type="dxa"/>
            <w:tcBorders>
              <w:top w:val="single" w:sz="8" w:space="0" w:color="auto"/>
              <w:left w:val="single" w:sz="8" w:space="0" w:color="auto"/>
              <w:bottom w:val="single" w:sz="8" w:space="0" w:color="auto"/>
              <w:right w:val="single" w:sz="8" w:space="0" w:color="auto"/>
            </w:tcBorders>
            <w:shd w:val="clear" w:color="000000" w:fill="FFFFFF"/>
            <w:vAlign w:val="center"/>
          </w:tcPr>
          <w:p w14:paraId="1FF049A1" w14:textId="1DB85407"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60455DC2" w14:textId="14FBFAF1" w:rsidR="0069463E" w:rsidRPr="0069463E" w:rsidRDefault="0069463E" w:rsidP="0069463E">
            <w:pPr>
              <w:spacing w:before="0" w:after="120"/>
              <w:jc w:val="center"/>
              <w:rPr>
                <w:rFonts w:ascii="Calibri" w:hAnsi="Calibri" w:cs="Calibri"/>
              </w:rPr>
            </w:pPr>
            <w:r w:rsidRPr="0069463E">
              <w:rPr>
                <w:rFonts w:ascii="Calibri" w:hAnsi="Calibri" w:cs="Calibri"/>
              </w:rPr>
              <w:t>2</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602AC520" w14:textId="45F08A68" w:rsidR="0069463E" w:rsidRPr="0069463E" w:rsidRDefault="0069463E" w:rsidP="0069463E">
            <w:pPr>
              <w:spacing w:before="0" w:after="120"/>
              <w:jc w:val="center"/>
              <w:rPr>
                <w:rFonts w:ascii="Calibri" w:hAnsi="Calibri" w:cs="Calibri"/>
              </w:rPr>
            </w:pPr>
            <w:r w:rsidRPr="0069463E">
              <w:rPr>
                <w:rFonts w:ascii="Calibri" w:hAnsi="Calibri" w:cs="Calibri"/>
              </w:rPr>
              <w:t>2</w:t>
            </w:r>
          </w:p>
        </w:tc>
        <w:tc>
          <w:tcPr>
            <w:tcW w:w="993" w:type="dxa"/>
            <w:tcBorders>
              <w:top w:val="single" w:sz="8" w:space="0" w:color="auto"/>
              <w:left w:val="nil"/>
              <w:bottom w:val="single" w:sz="8" w:space="0" w:color="auto"/>
              <w:right w:val="single" w:sz="8" w:space="0" w:color="auto"/>
            </w:tcBorders>
            <w:shd w:val="clear" w:color="000000" w:fill="FFFFFF"/>
            <w:vAlign w:val="center"/>
          </w:tcPr>
          <w:p w14:paraId="63D93ACF" w14:textId="252C95DB"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1FB1FD67" w14:textId="02C48885" w:rsidR="0069463E" w:rsidRPr="0069463E" w:rsidRDefault="0069463E" w:rsidP="0069463E">
            <w:pPr>
              <w:spacing w:before="0" w:after="120"/>
              <w:jc w:val="center"/>
              <w:rPr>
                <w:rFonts w:ascii="Calibri" w:hAnsi="Calibri" w:cs="Calibri"/>
              </w:rPr>
            </w:pPr>
            <w:r w:rsidRPr="0069463E">
              <w:rPr>
                <w:rFonts w:ascii="Calibri" w:hAnsi="Calibri" w:cs="Calibri"/>
              </w:rPr>
              <w:t>6</w:t>
            </w:r>
          </w:p>
        </w:tc>
        <w:tc>
          <w:tcPr>
            <w:tcW w:w="851" w:type="dxa"/>
            <w:tcBorders>
              <w:top w:val="single" w:sz="8" w:space="0" w:color="auto"/>
              <w:left w:val="nil"/>
              <w:bottom w:val="single" w:sz="8" w:space="0" w:color="auto"/>
              <w:right w:val="single" w:sz="8" w:space="0" w:color="auto"/>
            </w:tcBorders>
            <w:shd w:val="clear" w:color="000000" w:fill="FFFFFF"/>
            <w:vAlign w:val="center"/>
          </w:tcPr>
          <w:p w14:paraId="0A5328F8" w14:textId="0C9F4B88" w:rsidR="0069463E" w:rsidRPr="0069463E" w:rsidRDefault="0069463E" w:rsidP="0069463E">
            <w:pPr>
              <w:spacing w:before="0" w:after="120"/>
              <w:jc w:val="center"/>
              <w:rPr>
                <w:rFonts w:ascii="Calibri" w:hAnsi="Calibri" w:cs="Calibri"/>
              </w:rPr>
            </w:pPr>
            <w:r w:rsidRPr="0069463E">
              <w:rPr>
                <w:rFonts w:ascii="Calibri" w:hAnsi="Calibri" w:cs="Calibri"/>
              </w:rPr>
              <w:t>5</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33576FB0" w14:textId="5AE8F0C0" w:rsidR="0069463E" w:rsidRPr="0069463E" w:rsidRDefault="0069463E" w:rsidP="0069463E">
            <w:pPr>
              <w:spacing w:before="0" w:after="120"/>
              <w:jc w:val="center"/>
              <w:rPr>
                <w:rFonts w:ascii="Times New Roman" w:hAnsi="Times New Roman"/>
                <w:sz w:val="20"/>
              </w:rPr>
            </w:pPr>
            <w:r w:rsidRPr="0069463E">
              <w:rPr>
                <w:rFonts w:ascii="Calibri" w:hAnsi="Calibri" w:cs="Calibri"/>
              </w:rPr>
              <w:t>3</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6EED53D1" w14:textId="3568DF2D" w:rsidR="0069463E" w:rsidRPr="0069463E" w:rsidRDefault="0069463E" w:rsidP="0069463E">
            <w:pPr>
              <w:spacing w:before="0" w:after="120"/>
              <w:jc w:val="center"/>
              <w:rPr>
                <w:rFonts w:ascii="Calibri" w:hAnsi="Calibri" w:cs="Calibri"/>
              </w:rPr>
            </w:pPr>
            <w:r w:rsidRPr="0069463E">
              <w:rPr>
                <w:rFonts w:ascii="Calibri" w:hAnsi="Calibri" w:cs="Calibri"/>
              </w:rPr>
              <w:t>1</w:t>
            </w:r>
          </w:p>
        </w:tc>
      </w:tr>
      <w:tr w:rsidR="0069463E" w:rsidRPr="0069463E" w14:paraId="7D247C9B" w14:textId="21B57323" w:rsidTr="0069463E">
        <w:trPr>
          <w:trHeight w:val="315"/>
        </w:trPr>
        <w:tc>
          <w:tcPr>
            <w:tcW w:w="2830" w:type="dxa"/>
            <w:hideMark/>
          </w:tcPr>
          <w:p w14:paraId="747FEDBE" w14:textId="77777777" w:rsidR="0069463E" w:rsidRPr="0069463E" w:rsidRDefault="0069463E" w:rsidP="0069463E">
            <w:pPr>
              <w:spacing w:before="0" w:after="120"/>
              <w:rPr>
                <w:rFonts w:ascii="Calibri" w:hAnsi="Calibri" w:cs="Calibri"/>
                <w:b/>
                <w:bCs/>
              </w:rPr>
            </w:pPr>
            <w:r w:rsidRPr="0069463E">
              <w:rPr>
                <w:rFonts w:ascii="Calibri" w:hAnsi="Calibri" w:cs="Calibri"/>
                <w:b/>
                <w:bCs/>
              </w:rPr>
              <w:t>Post-birth</w:t>
            </w:r>
          </w:p>
        </w:tc>
        <w:tc>
          <w:tcPr>
            <w:tcW w:w="993" w:type="dxa"/>
            <w:tcBorders>
              <w:top w:val="single" w:sz="8" w:space="0" w:color="auto"/>
              <w:left w:val="single" w:sz="8" w:space="0" w:color="auto"/>
              <w:bottom w:val="single" w:sz="8" w:space="0" w:color="auto"/>
              <w:right w:val="single" w:sz="8" w:space="0" w:color="auto"/>
            </w:tcBorders>
            <w:shd w:val="clear" w:color="000000" w:fill="FFFFFF"/>
            <w:vAlign w:val="center"/>
          </w:tcPr>
          <w:p w14:paraId="6AD092D3" w14:textId="14410EB1"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5E9D8BC8" w14:textId="2F7A86BA" w:rsidR="0069463E" w:rsidRPr="0069463E" w:rsidRDefault="0069463E" w:rsidP="0069463E">
            <w:pPr>
              <w:spacing w:before="0" w:after="120"/>
              <w:jc w:val="center"/>
              <w:rPr>
                <w:rFonts w:ascii="Calibri" w:hAnsi="Calibri" w:cs="Calibri"/>
              </w:rPr>
            </w:pPr>
            <w:r w:rsidRPr="0069463E">
              <w:rPr>
                <w:rFonts w:ascii="Calibri" w:hAnsi="Calibri" w:cs="Calibri"/>
              </w:rPr>
              <w:t>3</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5D085D7B" w14:textId="3A091E1F" w:rsidR="0069463E" w:rsidRPr="0069463E" w:rsidRDefault="0069463E" w:rsidP="0069463E">
            <w:pPr>
              <w:spacing w:before="0" w:after="120"/>
              <w:jc w:val="center"/>
              <w:rPr>
                <w:rFonts w:ascii="Calibri" w:hAnsi="Calibri" w:cs="Calibri"/>
              </w:rPr>
            </w:pPr>
            <w:r w:rsidRPr="0069463E">
              <w:rPr>
                <w:rFonts w:ascii="Calibri" w:hAnsi="Calibri" w:cs="Calibri"/>
              </w:rPr>
              <w:t>2</w:t>
            </w:r>
          </w:p>
        </w:tc>
        <w:tc>
          <w:tcPr>
            <w:tcW w:w="993" w:type="dxa"/>
            <w:tcBorders>
              <w:top w:val="single" w:sz="8" w:space="0" w:color="auto"/>
              <w:left w:val="nil"/>
              <w:bottom w:val="single" w:sz="8" w:space="0" w:color="auto"/>
              <w:right w:val="single" w:sz="8" w:space="0" w:color="auto"/>
            </w:tcBorders>
            <w:shd w:val="clear" w:color="000000" w:fill="FFFFFF"/>
            <w:vAlign w:val="center"/>
          </w:tcPr>
          <w:p w14:paraId="24F7321E" w14:textId="34167057" w:rsidR="0069463E" w:rsidRPr="0069463E" w:rsidRDefault="0069463E" w:rsidP="0069463E">
            <w:pPr>
              <w:spacing w:before="0" w:after="120"/>
              <w:jc w:val="center"/>
              <w:rPr>
                <w:rFonts w:ascii="Calibri" w:hAnsi="Calibri" w:cs="Calibri"/>
              </w:rPr>
            </w:pPr>
            <w:r w:rsidRPr="0069463E">
              <w:rPr>
                <w:rFonts w:ascii="Calibri" w:hAnsi="Calibri" w:cs="Calibri"/>
              </w:rPr>
              <w:t>2</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3A4A7B18" w14:textId="4E0D160C" w:rsidR="0069463E" w:rsidRPr="0069463E" w:rsidRDefault="0069463E" w:rsidP="0069463E">
            <w:pPr>
              <w:spacing w:before="0" w:after="120"/>
              <w:jc w:val="center"/>
              <w:rPr>
                <w:rFonts w:ascii="Calibri" w:hAnsi="Calibri" w:cs="Calibri"/>
              </w:rPr>
            </w:pPr>
            <w:r w:rsidRPr="0069463E">
              <w:rPr>
                <w:rFonts w:ascii="Calibri" w:hAnsi="Calibri" w:cs="Calibri"/>
              </w:rPr>
              <w:t>8</w:t>
            </w:r>
          </w:p>
        </w:tc>
        <w:tc>
          <w:tcPr>
            <w:tcW w:w="851" w:type="dxa"/>
            <w:tcBorders>
              <w:top w:val="single" w:sz="8" w:space="0" w:color="auto"/>
              <w:left w:val="nil"/>
              <w:bottom w:val="single" w:sz="8" w:space="0" w:color="auto"/>
              <w:right w:val="single" w:sz="8" w:space="0" w:color="auto"/>
            </w:tcBorders>
            <w:shd w:val="clear" w:color="000000" w:fill="FFFFFF"/>
            <w:vAlign w:val="center"/>
          </w:tcPr>
          <w:p w14:paraId="56612B86" w14:textId="789A5E2B" w:rsidR="0069463E" w:rsidRPr="0069463E" w:rsidRDefault="0069463E" w:rsidP="0069463E">
            <w:pPr>
              <w:spacing w:before="0" w:after="120"/>
              <w:jc w:val="center"/>
              <w:rPr>
                <w:rFonts w:ascii="Calibri" w:hAnsi="Calibri" w:cs="Calibri"/>
              </w:rPr>
            </w:pPr>
            <w:r w:rsidRPr="0069463E">
              <w:rPr>
                <w:rFonts w:ascii="Calibri" w:hAnsi="Calibri" w:cs="Calibri"/>
              </w:rPr>
              <w:t>7</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68CF8B6B" w14:textId="1E996B9B" w:rsidR="0069463E" w:rsidRPr="0069463E" w:rsidRDefault="0069463E" w:rsidP="0069463E">
            <w:pPr>
              <w:spacing w:before="0" w:after="120"/>
              <w:jc w:val="center"/>
              <w:rPr>
                <w:rFonts w:ascii="Times New Roman" w:hAnsi="Times New Roman"/>
                <w:sz w:val="20"/>
              </w:rPr>
            </w:pPr>
            <w:r w:rsidRPr="0069463E">
              <w:rPr>
                <w:rFonts w:ascii="Calibri" w:hAnsi="Calibri" w:cs="Calibri"/>
              </w:rPr>
              <w:t>3</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490EC315" w14:textId="7EC1DE64" w:rsidR="0069463E" w:rsidRPr="0069463E" w:rsidRDefault="0069463E" w:rsidP="0069463E">
            <w:pPr>
              <w:spacing w:before="0" w:after="120"/>
              <w:jc w:val="center"/>
              <w:rPr>
                <w:rFonts w:ascii="Calibri" w:hAnsi="Calibri" w:cs="Calibri"/>
              </w:rPr>
            </w:pPr>
            <w:r w:rsidRPr="0069463E">
              <w:rPr>
                <w:rFonts w:ascii="Calibri" w:hAnsi="Calibri" w:cs="Calibri"/>
              </w:rPr>
              <w:t>0</w:t>
            </w:r>
          </w:p>
        </w:tc>
      </w:tr>
      <w:tr w:rsidR="0069463E" w:rsidRPr="0069463E" w14:paraId="7398464A" w14:textId="565ECD67" w:rsidTr="0069463E">
        <w:trPr>
          <w:trHeight w:val="145"/>
        </w:trPr>
        <w:tc>
          <w:tcPr>
            <w:tcW w:w="2830" w:type="dxa"/>
            <w:hideMark/>
          </w:tcPr>
          <w:p w14:paraId="7BCD465C" w14:textId="77777777" w:rsidR="0069463E" w:rsidRPr="0069463E" w:rsidRDefault="0069463E" w:rsidP="0069463E">
            <w:pPr>
              <w:spacing w:before="0" w:after="120"/>
              <w:rPr>
                <w:rFonts w:ascii="Calibri" w:hAnsi="Calibri" w:cs="Calibri"/>
                <w:b/>
                <w:bCs/>
              </w:rPr>
            </w:pPr>
            <w:r w:rsidRPr="0069463E">
              <w:rPr>
                <w:rFonts w:ascii="Calibri" w:hAnsi="Calibri" w:cs="Calibri"/>
                <w:b/>
                <w:bCs/>
              </w:rPr>
              <w:t>Unknown</w:t>
            </w:r>
          </w:p>
        </w:tc>
        <w:tc>
          <w:tcPr>
            <w:tcW w:w="993" w:type="dxa"/>
            <w:tcBorders>
              <w:top w:val="single" w:sz="8" w:space="0" w:color="auto"/>
              <w:left w:val="single" w:sz="8" w:space="0" w:color="auto"/>
              <w:bottom w:val="single" w:sz="8" w:space="0" w:color="auto"/>
              <w:right w:val="single" w:sz="8" w:space="0" w:color="auto"/>
            </w:tcBorders>
            <w:shd w:val="clear" w:color="000000" w:fill="FFFFFF"/>
            <w:vAlign w:val="center"/>
          </w:tcPr>
          <w:p w14:paraId="0D112199" w14:textId="61C8F012"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6542ACE4" w14:textId="6F805B45" w:rsidR="0069463E" w:rsidRPr="0069463E" w:rsidRDefault="0069463E" w:rsidP="0069463E">
            <w:pPr>
              <w:spacing w:before="0" w:after="120"/>
              <w:jc w:val="center"/>
              <w:rPr>
                <w:rFonts w:ascii="Calibri" w:hAnsi="Calibri" w:cs="Calibri"/>
              </w:rPr>
            </w:pPr>
            <w:r w:rsidRPr="0069463E">
              <w:rPr>
                <w:rFonts w:ascii="Calibri" w:hAnsi="Calibri" w:cs="Calibri"/>
              </w:rPr>
              <w:t>1</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49EF9D84" w14:textId="1989E3D2" w:rsidR="0069463E" w:rsidRPr="0069463E" w:rsidRDefault="0069463E" w:rsidP="0069463E">
            <w:pPr>
              <w:spacing w:before="0" w:after="120"/>
              <w:jc w:val="center"/>
              <w:rPr>
                <w:rFonts w:ascii="Calibri" w:hAnsi="Calibri" w:cs="Calibri"/>
              </w:rPr>
            </w:pPr>
            <w:r w:rsidRPr="0069463E">
              <w:rPr>
                <w:rFonts w:ascii="Calibri" w:hAnsi="Calibri" w:cs="Calibri"/>
              </w:rPr>
              <w:t>1</w:t>
            </w:r>
          </w:p>
        </w:tc>
        <w:tc>
          <w:tcPr>
            <w:tcW w:w="993" w:type="dxa"/>
            <w:tcBorders>
              <w:top w:val="single" w:sz="8" w:space="0" w:color="auto"/>
              <w:left w:val="nil"/>
              <w:bottom w:val="single" w:sz="8" w:space="0" w:color="auto"/>
              <w:right w:val="single" w:sz="8" w:space="0" w:color="auto"/>
            </w:tcBorders>
            <w:shd w:val="clear" w:color="000000" w:fill="FFFFFF"/>
            <w:vAlign w:val="center"/>
          </w:tcPr>
          <w:p w14:paraId="087AA002" w14:textId="429F8647"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6359120A" w14:textId="7C0B32CF"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1" w:type="dxa"/>
            <w:tcBorders>
              <w:top w:val="single" w:sz="8" w:space="0" w:color="auto"/>
              <w:left w:val="nil"/>
              <w:bottom w:val="single" w:sz="8" w:space="0" w:color="auto"/>
              <w:right w:val="single" w:sz="8" w:space="0" w:color="auto"/>
            </w:tcBorders>
            <w:shd w:val="clear" w:color="000000" w:fill="FFFFFF"/>
            <w:vAlign w:val="center"/>
          </w:tcPr>
          <w:p w14:paraId="6B15F501" w14:textId="77926AEC" w:rsidR="0069463E" w:rsidRPr="0069463E" w:rsidRDefault="0069463E" w:rsidP="0069463E">
            <w:pPr>
              <w:spacing w:before="0" w:after="120"/>
              <w:jc w:val="center"/>
              <w:rPr>
                <w:rFonts w:ascii="Calibri" w:hAnsi="Calibri" w:cs="Calibri"/>
              </w:rPr>
            </w:pPr>
            <w:r w:rsidRPr="0069463E">
              <w:rPr>
                <w:rFonts w:ascii="Calibri" w:hAnsi="Calibri" w:cs="Calibri"/>
              </w:rPr>
              <w:t>0</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44650C5E" w14:textId="3A37E6F7" w:rsidR="0069463E" w:rsidRPr="0069463E" w:rsidRDefault="0069463E" w:rsidP="0069463E">
            <w:pPr>
              <w:spacing w:before="0" w:after="120"/>
              <w:jc w:val="center"/>
              <w:rPr>
                <w:rFonts w:ascii="Times New Roman" w:hAnsi="Times New Roman"/>
                <w:sz w:val="20"/>
              </w:rPr>
            </w:pPr>
            <w:r w:rsidRPr="0069463E">
              <w:rPr>
                <w:rFonts w:ascii="Calibri" w:hAnsi="Calibri" w:cs="Calibri"/>
              </w:rPr>
              <w:t>3</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0DFABAEB" w14:textId="0DA471CB" w:rsidR="0069463E" w:rsidRPr="0069463E" w:rsidRDefault="0069463E" w:rsidP="0069463E">
            <w:pPr>
              <w:spacing w:before="0" w:after="120"/>
              <w:jc w:val="center"/>
              <w:rPr>
                <w:rFonts w:ascii="Calibri" w:hAnsi="Calibri" w:cs="Calibri"/>
              </w:rPr>
            </w:pPr>
            <w:r w:rsidRPr="0069463E">
              <w:rPr>
                <w:rFonts w:ascii="Calibri" w:hAnsi="Calibri" w:cs="Calibri"/>
              </w:rPr>
              <w:t>0</w:t>
            </w:r>
          </w:p>
        </w:tc>
      </w:tr>
      <w:tr w:rsidR="0069463E" w:rsidRPr="0069463E" w14:paraId="24E3D2BE" w14:textId="66E17C52" w:rsidTr="0069463E">
        <w:trPr>
          <w:trHeight w:val="315"/>
        </w:trPr>
        <w:tc>
          <w:tcPr>
            <w:tcW w:w="2830" w:type="dxa"/>
            <w:hideMark/>
          </w:tcPr>
          <w:p w14:paraId="33CD8469" w14:textId="77777777" w:rsidR="0069463E" w:rsidRPr="0069463E" w:rsidRDefault="0069463E" w:rsidP="0069463E">
            <w:pPr>
              <w:spacing w:before="0" w:after="120"/>
              <w:jc w:val="center"/>
              <w:rPr>
                <w:rFonts w:ascii="Calibri" w:hAnsi="Calibri" w:cs="Calibri"/>
                <w:b/>
                <w:bCs/>
              </w:rPr>
            </w:pPr>
            <w:r w:rsidRPr="0069463E">
              <w:rPr>
                <w:rFonts w:ascii="Calibri" w:hAnsi="Calibri" w:cs="Calibri"/>
                <w:b/>
                <w:bCs/>
              </w:rPr>
              <w:t>Total</w:t>
            </w:r>
          </w:p>
        </w:tc>
        <w:tc>
          <w:tcPr>
            <w:tcW w:w="993" w:type="dxa"/>
            <w:tcBorders>
              <w:top w:val="single" w:sz="8" w:space="0" w:color="auto"/>
              <w:left w:val="single" w:sz="8" w:space="0" w:color="auto"/>
              <w:bottom w:val="single" w:sz="8" w:space="0" w:color="auto"/>
              <w:right w:val="single" w:sz="8" w:space="0" w:color="auto"/>
            </w:tcBorders>
            <w:shd w:val="clear" w:color="000000" w:fill="FFFFFF"/>
            <w:vAlign w:val="center"/>
          </w:tcPr>
          <w:p w14:paraId="6E5D8FFA" w14:textId="4C1A216E" w:rsidR="0069463E" w:rsidRPr="0069463E" w:rsidRDefault="0069463E" w:rsidP="0069463E">
            <w:pPr>
              <w:spacing w:before="0" w:after="120"/>
              <w:jc w:val="center"/>
              <w:rPr>
                <w:rFonts w:ascii="Calibri" w:hAnsi="Calibri" w:cs="Calibri"/>
                <w:b/>
                <w:bCs/>
              </w:rPr>
            </w:pPr>
            <w:r w:rsidRPr="0069463E">
              <w:rPr>
                <w:rFonts w:ascii="Calibri" w:hAnsi="Calibri" w:cs="Calibri"/>
              </w:rPr>
              <w:t>2</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16694FE0" w14:textId="7C3DB284" w:rsidR="0069463E" w:rsidRPr="0069463E" w:rsidRDefault="0069463E" w:rsidP="0069463E">
            <w:pPr>
              <w:spacing w:before="0" w:after="120"/>
              <w:jc w:val="center"/>
              <w:rPr>
                <w:rFonts w:ascii="Calibri" w:hAnsi="Calibri" w:cs="Calibri"/>
                <w:b/>
                <w:bCs/>
              </w:rPr>
            </w:pPr>
            <w:r w:rsidRPr="0069463E">
              <w:rPr>
                <w:rFonts w:ascii="Calibri" w:hAnsi="Calibri" w:cs="Calibri"/>
              </w:rPr>
              <w:t>8</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612A0722" w14:textId="3ADC7666" w:rsidR="0069463E" w:rsidRPr="0069463E" w:rsidRDefault="0069463E" w:rsidP="0069463E">
            <w:pPr>
              <w:spacing w:before="0" w:after="120"/>
              <w:jc w:val="center"/>
              <w:rPr>
                <w:rFonts w:ascii="Calibri" w:hAnsi="Calibri" w:cs="Calibri"/>
                <w:b/>
                <w:bCs/>
              </w:rPr>
            </w:pPr>
            <w:r w:rsidRPr="0069463E">
              <w:rPr>
                <w:rFonts w:ascii="Calibri" w:hAnsi="Calibri" w:cs="Calibri"/>
              </w:rPr>
              <w:t>8</w:t>
            </w:r>
          </w:p>
        </w:tc>
        <w:tc>
          <w:tcPr>
            <w:tcW w:w="993" w:type="dxa"/>
            <w:tcBorders>
              <w:top w:val="single" w:sz="8" w:space="0" w:color="auto"/>
              <w:left w:val="nil"/>
              <w:bottom w:val="single" w:sz="8" w:space="0" w:color="auto"/>
              <w:right w:val="single" w:sz="8" w:space="0" w:color="auto"/>
            </w:tcBorders>
            <w:shd w:val="clear" w:color="000000" w:fill="FFFFFF"/>
            <w:vAlign w:val="center"/>
          </w:tcPr>
          <w:p w14:paraId="24609D7D" w14:textId="255C865B" w:rsidR="0069463E" w:rsidRPr="0069463E" w:rsidRDefault="0069463E" w:rsidP="0069463E">
            <w:pPr>
              <w:spacing w:before="0" w:after="120"/>
              <w:jc w:val="center"/>
              <w:rPr>
                <w:rFonts w:ascii="Calibri" w:hAnsi="Calibri" w:cs="Calibri"/>
                <w:b/>
                <w:bCs/>
              </w:rPr>
            </w:pPr>
            <w:r w:rsidRPr="0069463E">
              <w:rPr>
                <w:rFonts w:ascii="Calibri" w:hAnsi="Calibri" w:cs="Calibri"/>
              </w:rPr>
              <w:t>4</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29867ABC" w14:textId="0025B29A" w:rsidR="0069463E" w:rsidRPr="0069463E" w:rsidRDefault="0069463E" w:rsidP="0069463E">
            <w:pPr>
              <w:spacing w:before="0" w:after="120"/>
              <w:jc w:val="center"/>
              <w:rPr>
                <w:rFonts w:ascii="Calibri" w:hAnsi="Calibri" w:cs="Calibri"/>
                <w:b/>
                <w:bCs/>
              </w:rPr>
            </w:pPr>
            <w:r w:rsidRPr="0069463E">
              <w:rPr>
                <w:rFonts w:ascii="Calibri" w:hAnsi="Calibri" w:cs="Calibri"/>
              </w:rPr>
              <w:t>17</w:t>
            </w:r>
          </w:p>
        </w:tc>
        <w:tc>
          <w:tcPr>
            <w:tcW w:w="851" w:type="dxa"/>
            <w:tcBorders>
              <w:top w:val="single" w:sz="8" w:space="0" w:color="auto"/>
              <w:left w:val="nil"/>
              <w:bottom w:val="single" w:sz="8" w:space="0" w:color="auto"/>
              <w:right w:val="single" w:sz="8" w:space="0" w:color="auto"/>
            </w:tcBorders>
            <w:shd w:val="clear" w:color="000000" w:fill="FFFFFF"/>
            <w:vAlign w:val="center"/>
          </w:tcPr>
          <w:p w14:paraId="271F4C39" w14:textId="074CE68A" w:rsidR="0069463E" w:rsidRPr="0069463E" w:rsidRDefault="0069463E" w:rsidP="0069463E">
            <w:pPr>
              <w:spacing w:before="0" w:after="120"/>
              <w:jc w:val="center"/>
              <w:rPr>
                <w:rFonts w:ascii="Calibri" w:hAnsi="Calibri" w:cs="Calibri"/>
                <w:b/>
                <w:bCs/>
              </w:rPr>
            </w:pPr>
            <w:r w:rsidRPr="0069463E">
              <w:rPr>
                <w:rFonts w:ascii="Calibri" w:hAnsi="Calibri" w:cs="Calibri"/>
              </w:rPr>
              <w:t>15</w:t>
            </w:r>
          </w:p>
        </w:tc>
        <w:tc>
          <w:tcPr>
            <w:tcW w:w="850" w:type="dxa"/>
            <w:tcBorders>
              <w:top w:val="single" w:sz="8" w:space="0" w:color="auto"/>
              <w:left w:val="nil"/>
              <w:bottom w:val="single" w:sz="8" w:space="0" w:color="auto"/>
              <w:right w:val="single" w:sz="8" w:space="0" w:color="auto"/>
            </w:tcBorders>
            <w:shd w:val="clear" w:color="000000" w:fill="FFFFFF"/>
            <w:vAlign w:val="center"/>
          </w:tcPr>
          <w:p w14:paraId="76BBFCF2" w14:textId="073A9571" w:rsidR="0069463E" w:rsidRPr="0069463E" w:rsidRDefault="0069463E" w:rsidP="0069463E">
            <w:pPr>
              <w:spacing w:before="0" w:after="120"/>
              <w:jc w:val="center"/>
              <w:rPr>
                <w:rFonts w:ascii="Times New Roman" w:hAnsi="Times New Roman"/>
                <w:b/>
                <w:bCs/>
                <w:sz w:val="20"/>
              </w:rPr>
            </w:pPr>
            <w:r w:rsidRPr="0069463E">
              <w:rPr>
                <w:rFonts w:ascii="Calibri" w:hAnsi="Calibri" w:cs="Calibri"/>
              </w:rPr>
              <w:t>14</w:t>
            </w:r>
          </w:p>
        </w:tc>
        <w:tc>
          <w:tcPr>
            <w:tcW w:w="992" w:type="dxa"/>
            <w:tcBorders>
              <w:top w:val="single" w:sz="8" w:space="0" w:color="auto"/>
              <w:left w:val="nil"/>
              <w:bottom w:val="single" w:sz="8" w:space="0" w:color="auto"/>
              <w:right w:val="single" w:sz="8" w:space="0" w:color="auto"/>
            </w:tcBorders>
            <w:shd w:val="clear" w:color="000000" w:fill="FFFFFF"/>
            <w:vAlign w:val="center"/>
          </w:tcPr>
          <w:p w14:paraId="736B4368" w14:textId="6D83BAE8" w:rsidR="0069463E" w:rsidRPr="0069463E" w:rsidRDefault="0069463E" w:rsidP="0069463E">
            <w:pPr>
              <w:spacing w:before="0" w:after="120"/>
              <w:jc w:val="center"/>
              <w:rPr>
                <w:rFonts w:ascii="Calibri" w:hAnsi="Calibri" w:cs="Calibri"/>
              </w:rPr>
            </w:pPr>
            <w:r w:rsidRPr="0069463E">
              <w:rPr>
                <w:rFonts w:ascii="Calibri" w:hAnsi="Calibri" w:cs="Calibri"/>
              </w:rPr>
              <w:t>3</w:t>
            </w:r>
          </w:p>
        </w:tc>
      </w:tr>
      <w:tr w:rsidR="008107B5" w:rsidRPr="0069463E" w14:paraId="0AE3C678" w14:textId="7505E304" w:rsidTr="008107B5">
        <w:trPr>
          <w:trHeight w:val="315"/>
        </w:trPr>
        <w:tc>
          <w:tcPr>
            <w:tcW w:w="2830" w:type="dxa"/>
            <w:shd w:val="clear" w:color="auto" w:fill="E5DFEC" w:themeFill="accent4" w:themeFillTint="33"/>
            <w:hideMark/>
          </w:tcPr>
          <w:p w14:paraId="53187C31" w14:textId="77777777" w:rsidR="0069463E" w:rsidRPr="0069463E" w:rsidRDefault="0069463E" w:rsidP="0069463E">
            <w:pPr>
              <w:spacing w:before="0" w:after="120"/>
              <w:jc w:val="right"/>
              <w:rPr>
                <w:rFonts w:ascii="Calibri" w:hAnsi="Calibri" w:cs="Calibri"/>
                <w:b/>
                <w:bCs/>
              </w:rPr>
            </w:pPr>
            <w:r w:rsidRPr="0069463E">
              <w:rPr>
                <w:rFonts w:ascii="Calibri" w:hAnsi="Calibri" w:cs="Calibri"/>
                <w:b/>
                <w:bCs/>
              </w:rPr>
              <w:t>Late diagnosis</w:t>
            </w:r>
          </w:p>
        </w:tc>
        <w:tc>
          <w:tcPr>
            <w:tcW w:w="993" w:type="dxa"/>
            <w:tcBorders>
              <w:top w:val="single" w:sz="8" w:space="0" w:color="auto"/>
              <w:left w:val="single" w:sz="8" w:space="0" w:color="auto"/>
              <w:bottom w:val="single" w:sz="8" w:space="0" w:color="auto"/>
              <w:right w:val="single" w:sz="8" w:space="0" w:color="auto"/>
            </w:tcBorders>
            <w:shd w:val="clear" w:color="auto" w:fill="E5DFEC" w:themeFill="accent4" w:themeFillTint="33"/>
            <w:vAlign w:val="center"/>
            <w:hideMark/>
          </w:tcPr>
          <w:p w14:paraId="6D615457" w14:textId="14BB2B86" w:rsidR="0069463E" w:rsidRPr="0069463E" w:rsidRDefault="0069463E" w:rsidP="0069463E">
            <w:pPr>
              <w:spacing w:before="0" w:after="120"/>
              <w:jc w:val="center"/>
              <w:rPr>
                <w:rFonts w:ascii="Calibri" w:hAnsi="Calibri" w:cs="Calibri"/>
                <w:b/>
                <w:bCs/>
              </w:rPr>
            </w:pPr>
            <w:r w:rsidRPr="0069463E">
              <w:rPr>
                <w:rFonts w:ascii="Calibri" w:hAnsi="Calibri" w:cs="Calibri"/>
                <w:b/>
                <w:bCs/>
              </w:rPr>
              <w:t>0</w:t>
            </w:r>
          </w:p>
        </w:tc>
        <w:tc>
          <w:tcPr>
            <w:tcW w:w="850" w:type="dxa"/>
            <w:tcBorders>
              <w:top w:val="single" w:sz="8" w:space="0" w:color="auto"/>
              <w:left w:val="nil"/>
              <w:bottom w:val="single" w:sz="8" w:space="0" w:color="auto"/>
              <w:right w:val="single" w:sz="8" w:space="0" w:color="auto"/>
            </w:tcBorders>
            <w:shd w:val="clear" w:color="auto" w:fill="E5DFEC" w:themeFill="accent4" w:themeFillTint="33"/>
            <w:vAlign w:val="center"/>
            <w:hideMark/>
          </w:tcPr>
          <w:p w14:paraId="49ED8710" w14:textId="5CFACB3D" w:rsidR="0069463E" w:rsidRPr="0069463E" w:rsidRDefault="0069463E" w:rsidP="0069463E">
            <w:pPr>
              <w:spacing w:before="0" w:after="120"/>
              <w:jc w:val="center"/>
              <w:rPr>
                <w:rFonts w:ascii="Calibri" w:hAnsi="Calibri" w:cs="Calibri"/>
                <w:b/>
                <w:bCs/>
              </w:rPr>
            </w:pPr>
            <w:r w:rsidRPr="0069463E">
              <w:rPr>
                <w:rFonts w:ascii="Calibri" w:hAnsi="Calibri" w:cs="Calibri"/>
                <w:b/>
                <w:bCs/>
              </w:rPr>
              <w:t>6</w:t>
            </w:r>
          </w:p>
        </w:tc>
        <w:tc>
          <w:tcPr>
            <w:tcW w:w="992" w:type="dxa"/>
            <w:tcBorders>
              <w:top w:val="single" w:sz="8" w:space="0" w:color="auto"/>
              <w:left w:val="nil"/>
              <w:bottom w:val="single" w:sz="8" w:space="0" w:color="auto"/>
              <w:right w:val="single" w:sz="8" w:space="0" w:color="auto"/>
            </w:tcBorders>
            <w:shd w:val="clear" w:color="auto" w:fill="E5DFEC" w:themeFill="accent4" w:themeFillTint="33"/>
            <w:vAlign w:val="center"/>
            <w:hideMark/>
          </w:tcPr>
          <w:p w14:paraId="38635B96" w14:textId="555265FB" w:rsidR="0069463E" w:rsidRPr="0069463E" w:rsidRDefault="0069463E" w:rsidP="0069463E">
            <w:pPr>
              <w:spacing w:before="0" w:after="120"/>
              <w:jc w:val="center"/>
              <w:rPr>
                <w:rFonts w:ascii="Calibri" w:hAnsi="Calibri" w:cs="Calibri"/>
                <w:b/>
                <w:bCs/>
              </w:rPr>
            </w:pPr>
            <w:r w:rsidRPr="0069463E">
              <w:rPr>
                <w:rFonts w:ascii="Calibri" w:hAnsi="Calibri" w:cs="Calibri"/>
                <w:b/>
                <w:bCs/>
              </w:rPr>
              <w:t>7</w:t>
            </w:r>
          </w:p>
        </w:tc>
        <w:tc>
          <w:tcPr>
            <w:tcW w:w="993" w:type="dxa"/>
            <w:tcBorders>
              <w:top w:val="single" w:sz="8" w:space="0" w:color="auto"/>
              <w:left w:val="nil"/>
              <w:bottom w:val="single" w:sz="8" w:space="0" w:color="auto"/>
              <w:right w:val="single" w:sz="8" w:space="0" w:color="auto"/>
            </w:tcBorders>
            <w:shd w:val="clear" w:color="auto" w:fill="E5DFEC" w:themeFill="accent4" w:themeFillTint="33"/>
            <w:vAlign w:val="center"/>
            <w:hideMark/>
          </w:tcPr>
          <w:p w14:paraId="56BD5D1C" w14:textId="262A0D0B" w:rsidR="0069463E" w:rsidRPr="0069463E" w:rsidRDefault="0069463E" w:rsidP="0069463E">
            <w:pPr>
              <w:spacing w:before="0" w:after="120"/>
              <w:jc w:val="center"/>
              <w:rPr>
                <w:rFonts w:ascii="Calibri" w:hAnsi="Calibri" w:cs="Calibri"/>
                <w:b/>
                <w:bCs/>
              </w:rPr>
            </w:pPr>
            <w:r w:rsidRPr="0069463E">
              <w:rPr>
                <w:rFonts w:ascii="Calibri" w:hAnsi="Calibri" w:cs="Calibri"/>
                <w:b/>
                <w:bCs/>
              </w:rPr>
              <w:t>3</w:t>
            </w:r>
          </w:p>
        </w:tc>
        <w:tc>
          <w:tcPr>
            <w:tcW w:w="850" w:type="dxa"/>
            <w:tcBorders>
              <w:top w:val="single" w:sz="8" w:space="0" w:color="auto"/>
              <w:left w:val="nil"/>
              <w:bottom w:val="single" w:sz="8" w:space="0" w:color="auto"/>
              <w:right w:val="single" w:sz="8" w:space="0" w:color="auto"/>
            </w:tcBorders>
            <w:shd w:val="clear" w:color="auto" w:fill="E5DFEC" w:themeFill="accent4" w:themeFillTint="33"/>
            <w:vAlign w:val="center"/>
            <w:hideMark/>
          </w:tcPr>
          <w:p w14:paraId="39A9F049" w14:textId="4B97BF09" w:rsidR="0069463E" w:rsidRPr="0069463E" w:rsidRDefault="0069463E" w:rsidP="0069463E">
            <w:pPr>
              <w:spacing w:before="0" w:after="120"/>
              <w:jc w:val="center"/>
              <w:rPr>
                <w:rFonts w:ascii="Calibri" w:hAnsi="Calibri" w:cs="Calibri"/>
                <w:b/>
                <w:bCs/>
              </w:rPr>
            </w:pPr>
            <w:r w:rsidRPr="0069463E">
              <w:rPr>
                <w:rFonts w:ascii="Calibri" w:hAnsi="Calibri" w:cs="Calibri"/>
                <w:b/>
                <w:bCs/>
              </w:rPr>
              <w:t>15</w:t>
            </w:r>
          </w:p>
        </w:tc>
        <w:tc>
          <w:tcPr>
            <w:tcW w:w="851" w:type="dxa"/>
            <w:tcBorders>
              <w:top w:val="single" w:sz="8" w:space="0" w:color="auto"/>
              <w:left w:val="nil"/>
              <w:bottom w:val="single" w:sz="8" w:space="0" w:color="auto"/>
              <w:right w:val="single" w:sz="8" w:space="0" w:color="auto"/>
            </w:tcBorders>
            <w:shd w:val="clear" w:color="auto" w:fill="E5DFEC" w:themeFill="accent4" w:themeFillTint="33"/>
            <w:vAlign w:val="center"/>
            <w:hideMark/>
          </w:tcPr>
          <w:p w14:paraId="4773F6B0" w14:textId="6DEDC21A" w:rsidR="0069463E" w:rsidRPr="0069463E" w:rsidRDefault="0069463E" w:rsidP="0069463E">
            <w:pPr>
              <w:spacing w:before="0" w:after="120"/>
              <w:jc w:val="center"/>
              <w:rPr>
                <w:rFonts w:ascii="Calibri" w:hAnsi="Calibri" w:cs="Calibri"/>
                <w:b/>
                <w:bCs/>
              </w:rPr>
            </w:pPr>
            <w:r w:rsidRPr="0069463E">
              <w:rPr>
                <w:rFonts w:ascii="Calibri" w:hAnsi="Calibri" w:cs="Calibri"/>
                <w:b/>
                <w:bCs/>
              </w:rPr>
              <w:t>15</w:t>
            </w:r>
          </w:p>
        </w:tc>
        <w:tc>
          <w:tcPr>
            <w:tcW w:w="850" w:type="dxa"/>
            <w:tcBorders>
              <w:top w:val="single" w:sz="8" w:space="0" w:color="auto"/>
              <w:left w:val="nil"/>
              <w:bottom w:val="single" w:sz="8" w:space="0" w:color="auto"/>
              <w:right w:val="single" w:sz="8" w:space="0" w:color="auto"/>
            </w:tcBorders>
            <w:shd w:val="clear" w:color="auto" w:fill="E5DFEC" w:themeFill="accent4" w:themeFillTint="33"/>
            <w:vAlign w:val="center"/>
          </w:tcPr>
          <w:p w14:paraId="46CB936E" w14:textId="039969D2" w:rsidR="0069463E" w:rsidRPr="0069463E" w:rsidRDefault="0069463E" w:rsidP="0069463E">
            <w:pPr>
              <w:spacing w:before="0" w:after="120"/>
              <w:jc w:val="center"/>
              <w:rPr>
                <w:rFonts w:ascii="Times New Roman" w:hAnsi="Times New Roman"/>
                <w:sz w:val="20"/>
              </w:rPr>
            </w:pPr>
            <w:r w:rsidRPr="0069463E">
              <w:rPr>
                <w:rFonts w:ascii="Calibri" w:hAnsi="Calibri" w:cs="Calibri"/>
                <w:b/>
                <w:bCs/>
              </w:rPr>
              <w:t>8</w:t>
            </w:r>
          </w:p>
        </w:tc>
        <w:tc>
          <w:tcPr>
            <w:tcW w:w="992" w:type="dxa"/>
            <w:tcBorders>
              <w:top w:val="single" w:sz="8" w:space="0" w:color="auto"/>
              <w:left w:val="nil"/>
              <w:bottom w:val="single" w:sz="8" w:space="0" w:color="auto"/>
              <w:right w:val="single" w:sz="8" w:space="0" w:color="auto"/>
            </w:tcBorders>
            <w:shd w:val="clear" w:color="auto" w:fill="E5DFEC" w:themeFill="accent4" w:themeFillTint="33"/>
            <w:vAlign w:val="center"/>
          </w:tcPr>
          <w:p w14:paraId="7DE30291" w14:textId="2F7D50B1" w:rsidR="0069463E" w:rsidRPr="0069463E" w:rsidRDefault="0069463E" w:rsidP="0069463E">
            <w:pPr>
              <w:spacing w:before="0" w:after="120"/>
              <w:jc w:val="center"/>
              <w:rPr>
                <w:rFonts w:ascii="Calibri" w:hAnsi="Calibri" w:cs="Calibri"/>
                <w:b/>
                <w:bCs/>
              </w:rPr>
            </w:pPr>
            <w:r w:rsidRPr="0069463E">
              <w:rPr>
                <w:rFonts w:ascii="Calibri" w:hAnsi="Calibri" w:cs="Calibri"/>
                <w:b/>
                <w:bCs/>
              </w:rPr>
              <w:t>1</w:t>
            </w:r>
          </w:p>
        </w:tc>
      </w:tr>
    </w:tbl>
    <w:p w14:paraId="0D2912ED" w14:textId="41EFD065" w:rsidR="00C705E8" w:rsidRPr="0069463E" w:rsidRDefault="00C705E8" w:rsidP="008756AB">
      <w:pPr>
        <w:spacing w:before="0" w:after="0"/>
        <w:rPr>
          <w:rFonts w:cstheme="minorHAnsi"/>
          <w:b/>
          <w:lang w:val="en-US"/>
        </w:rPr>
      </w:pPr>
    </w:p>
    <w:p w14:paraId="2E647144" w14:textId="6EFDD53A" w:rsidR="001E6EF4" w:rsidRPr="0069463E" w:rsidRDefault="00CB79C3" w:rsidP="00733CA2">
      <w:pPr>
        <w:pStyle w:val="Heading4"/>
      </w:pPr>
      <w:bookmarkStart w:id="3" w:name="_Ref512339903"/>
      <w:bookmarkEnd w:id="2"/>
      <w:r w:rsidRPr="0069463E">
        <w:t>Target 3</w:t>
      </w:r>
      <w:r w:rsidR="007B54E3" w:rsidRPr="0069463E">
        <w:t xml:space="preserve">: </w:t>
      </w:r>
      <w:r w:rsidR="007B54E3" w:rsidRPr="0069463E">
        <w:tab/>
        <w:t>Control outbreaks among Aboriginal and Torres Strait Islander peoples in Queensland, the Northern Territory, Western Australia and South Australia</w:t>
      </w:r>
    </w:p>
    <w:bookmarkEnd w:id="3"/>
    <w:p w14:paraId="4A68149A" w14:textId="2B74D66A" w:rsidR="00693F3A" w:rsidRPr="008107B5" w:rsidRDefault="00693F3A" w:rsidP="008B0462">
      <w:pPr>
        <w:spacing w:after="60" w:line="276" w:lineRule="auto"/>
        <w:rPr>
          <w:rFonts w:cstheme="minorHAnsi"/>
          <w:lang w:val="en-US"/>
        </w:rPr>
      </w:pPr>
      <w:r w:rsidRPr="008107B5">
        <w:rPr>
          <w:rFonts w:cstheme="minorHAnsi"/>
          <w:lang w:val="en-US"/>
        </w:rPr>
        <w:t>An outbreak of infectious syphilis began in northern Queensland in January 2011, extending to the Northern Territory in July 2013, the Kimberley in Western Australia in</w:t>
      </w:r>
      <w:r w:rsidR="00D10D18" w:rsidRPr="008107B5">
        <w:rPr>
          <w:rFonts w:cstheme="minorHAnsi"/>
          <w:lang w:val="en-US"/>
        </w:rPr>
        <w:t xml:space="preserve"> June </w:t>
      </w:r>
      <w:r w:rsidR="004A7D9A" w:rsidRPr="008107B5">
        <w:rPr>
          <w:rFonts w:cstheme="minorHAnsi"/>
          <w:lang w:val="en-US"/>
        </w:rPr>
        <w:t>2014,</w:t>
      </w:r>
      <w:r w:rsidR="00D10D18" w:rsidRPr="008107B5">
        <w:rPr>
          <w:rFonts w:cstheme="minorHAnsi"/>
          <w:lang w:val="en-US"/>
        </w:rPr>
        <w:t xml:space="preserve"> and </w:t>
      </w:r>
      <w:r w:rsidRPr="008107B5">
        <w:rPr>
          <w:rFonts w:cstheme="minorHAnsi"/>
          <w:lang w:val="en-US"/>
        </w:rPr>
        <w:t>South Australia</w:t>
      </w:r>
      <w:r w:rsidR="00D10D18" w:rsidRPr="008107B5">
        <w:rPr>
          <w:rFonts w:cstheme="minorHAnsi"/>
          <w:lang w:val="en-US"/>
        </w:rPr>
        <w:t xml:space="preserve"> </w:t>
      </w:r>
      <w:r w:rsidR="00A014FA" w:rsidRPr="008107B5">
        <w:rPr>
          <w:rFonts w:cstheme="minorHAnsi"/>
          <w:lang w:val="en-US"/>
        </w:rPr>
        <w:t>in</w:t>
      </w:r>
      <w:r w:rsidR="00D10D18" w:rsidRPr="008107B5">
        <w:rPr>
          <w:rFonts w:cstheme="minorHAnsi"/>
          <w:lang w:val="en-US"/>
        </w:rPr>
        <w:t xml:space="preserve"> November 2016</w:t>
      </w:r>
      <w:r w:rsidRPr="008107B5">
        <w:rPr>
          <w:rFonts w:cstheme="minorHAnsi"/>
          <w:lang w:val="en-US"/>
        </w:rPr>
        <w:t xml:space="preserve">. </w:t>
      </w:r>
    </w:p>
    <w:p w14:paraId="1D5EEFC3" w14:textId="77777777" w:rsidR="002B5E45" w:rsidRPr="008107B5" w:rsidRDefault="00693F3A" w:rsidP="008B0462">
      <w:pPr>
        <w:spacing w:after="60" w:line="276" w:lineRule="auto"/>
        <w:rPr>
          <w:rFonts w:cstheme="minorHAnsi"/>
          <w:lang w:val="en-US"/>
        </w:rPr>
      </w:pPr>
      <w:r w:rsidRPr="008107B5">
        <w:rPr>
          <w:rFonts w:cstheme="minorHAnsi"/>
          <w:lang w:val="en-US"/>
        </w:rPr>
        <w:t xml:space="preserve">The </w:t>
      </w:r>
      <w:r w:rsidR="00D10D18" w:rsidRPr="008107B5">
        <w:rPr>
          <w:rFonts w:cstheme="minorHAnsi"/>
          <w:lang w:val="en-US"/>
        </w:rPr>
        <w:t>AHPPC,</w:t>
      </w:r>
      <w:r w:rsidRPr="008107B5">
        <w:rPr>
          <w:rFonts w:cstheme="minorHAnsi"/>
          <w:lang w:val="en-US"/>
        </w:rPr>
        <w:t xml:space="preserve"> in consultation with affected jurisdictions, Aboriginal Community Controlled Health Services (ACCHS) and key stakeholders, developed a National Strategic Approach and Action Plan to address the disproportionately high rates of syphilis and other </w:t>
      </w:r>
      <w:r w:rsidR="00A14E41" w:rsidRPr="008107B5">
        <w:rPr>
          <w:rFonts w:cstheme="minorHAnsi"/>
          <w:lang w:val="en-US"/>
        </w:rPr>
        <w:t>BBV</w:t>
      </w:r>
      <w:r w:rsidRPr="008107B5">
        <w:rPr>
          <w:rFonts w:cstheme="minorHAnsi"/>
          <w:lang w:val="en-US"/>
        </w:rPr>
        <w:t xml:space="preserve"> and </w:t>
      </w:r>
      <w:r w:rsidR="00A14E41" w:rsidRPr="008107B5">
        <w:rPr>
          <w:rFonts w:cstheme="minorHAnsi"/>
          <w:lang w:val="en-US"/>
        </w:rPr>
        <w:t>STI</w:t>
      </w:r>
      <w:r w:rsidRPr="008107B5">
        <w:rPr>
          <w:rFonts w:cstheme="minorHAnsi"/>
          <w:lang w:val="en-US"/>
        </w:rPr>
        <w:t xml:space="preserve"> in regional and remote </w:t>
      </w:r>
      <w:r w:rsidR="00A014FA" w:rsidRPr="008107B5">
        <w:rPr>
          <w:rFonts w:cstheme="minorHAnsi"/>
          <w:lang w:val="en-US"/>
        </w:rPr>
        <w:t>Aboriginal and Torres Strait Islander</w:t>
      </w:r>
      <w:r w:rsidRPr="008107B5">
        <w:rPr>
          <w:rFonts w:cstheme="minorHAnsi"/>
          <w:lang w:val="en-US"/>
        </w:rPr>
        <w:t xml:space="preserve"> communities. The Strategic Approach and Action Plan were endorsed by the Australian Health Ministers Advisory Council in December</w:t>
      </w:r>
      <w:r w:rsidR="00A14E41" w:rsidRPr="008107B5">
        <w:rPr>
          <w:rFonts w:cstheme="minorHAnsi"/>
          <w:lang w:val="en-US"/>
        </w:rPr>
        <w:t> </w:t>
      </w:r>
      <w:r w:rsidRPr="008107B5">
        <w:rPr>
          <w:rFonts w:cstheme="minorHAnsi"/>
          <w:lang w:val="en-US"/>
        </w:rPr>
        <w:t xml:space="preserve">2017. </w:t>
      </w:r>
    </w:p>
    <w:p w14:paraId="537D090F" w14:textId="5CD2C867" w:rsidR="00564CC8" w:rsidRPr="008107B5" w:rsidRDefault="00693F3A" w:rsidP="008B0462">
      <w:pPr>
        <w:spacing w:after="60" w:line="276" w:lineRule="auto"/>
        <w:rPr>
          <w:rFonts w:cstheme="minorHAnsi"/>
          <w:lang w:val="en-US"/>
        </w:rPr>
      </w:pPr>
      <w:r w:rsidRPr="008107B5">
        <w:rPr>
          <w:rFonts w:cstheme="minorHAnsi"/>
          <w:lang w:val="en-US"/>
        </w:rPr>
        <w:t>Further information on the outbreak and response activities are available on the Department of Health</w:t>
      </w:r>
      <w:r w:rsidR="0037446B" w:rsidRPr="008107B5">
        <w:rPr>
          <w:rFonts w:cstheme="minorHAnsi"/>
          <w:lang w:val="en-US"/>
        </w:rPr>
        <w:t xml:space="preserve"> and Aged Care</w:t>
      </w:r>
      <w:r w:rsidRPr="008107B5">
        <w:rPr>
          <w:rFonts w:cstheme="minorHAnsi"/>
          <w:lang w:val="en-US"/>
        </w:rPr>
        <w:t xml:space="preserve"> </w:t>
      </w:r>
      <w:hyperlink r:id="rId22" w:history="1">
        <w:r w:rsidR="00231E83" w:rsidRPr="008107B5">
          <w:rPr>
            <w:rStyle w:val="Hyperlink"/>
            <w:rFonts w:asciiTheme="minorHAnsi" w:hAnsiTheme="minorHAnsi" w:cstheme="minorHAnsi"/>
            <w:sz w:val="22"/>
            <w:szCs w:val="20"/>
            <w:lang w:val="en-US" w:eastAsia="en-AU"/>
          </w:rPr>
          <w:t>website</w:t>
        </w:r>
      </w:hyperlink>
      <w:r w:rsidRPr="008107B5">
        <w:rPr>
          <w:rFonts w:cstheme="minorHAnsi"/>
          <w:lang w:val="en-US"/>
        </w:rPr>
        <w:t>.</w:t>
      </w:r>
    </w:p>
    <w:p w14:paraId="277666A6" w14:textId="37DCB689" w:rsidR="00DD77F8" w:rsidRPr="008107B5" w:rsidRDefault="00EE344D" w:rsidP="00821C6B">
      <w:pPr>
        <w:pStyle w:val="Heading3"/>
        <w:rPr>
          <w:lang w:val="en-US"/>
        </w:rPr>
      </w:pPr>
      <w:r w:rsidRPr="008107B5">
        <w:rPr>
          <w:lang w:val="en-US"/>
        </w:rPr>
        <w:t xml:space="preserve">Indicator 3.1 - </w:t>
      </w:r>
      <w:r w:rsidR="00DD77F8" w:rsidRPr="008107B5">
        <w:rPr>
          <w:lang w:val="en-US"/>
        </w:rPr>
        <w:t xml:space="preserve">Number of outbreak associated infectious syphilis notifications </w:t>
      </w:r>
    </w:p>
    <w:p w14:paraId="15551A20" w14:textId="79900ABE" w:rsidR="00B31A29" w:rsidRPr="008107B5" w:rsidRDefault="00A32178" w:rsidP="008756AB">
      <w:pPr>
        <w:spacing w:after="60" w:line="276" w:lineRule="auto"/>
        <w:rPr>
          <w:rFonts w:cstheme="minorHAnsi"/>
          <w:lang w:val="en-US"/>
        </w:rPr>
      </w:pPr>
      <w:r w:rsidRPr="008107B5">
        <w:rPr>
          <w:rFonts w:cstheme="minorHAnsi"/>
          <w:lang w:val="en-US"/>
        </w:rPr>
        <w:t xml:space="preserve">Since the commencement of the outbreak on 1 January 2011 to </w:t>
      </w:r>
      <w:r w:rsidR="00816571">
        <w:rPr>
          <w:rFonts w:cstheme="minorHAnsi"/>
          <w:lang w:val="en-US"/>
        </w:rPr>
        <w:t>31 March 2023</w:t>
      </w:r>
      <w:r w:rsidRPr="008107B5">
        <w:rPr>
          <w:rFonts w:cstheme="minorHAnsi"/>
          <w:lang w:val="en-US"/>
        </w:rPr>
        <w:t xml:space="preserve">, </w:t>
      </w:r>
      <w:r w:rsidR="00DE0EE5" w:rsidRPr="008107B5">
        <w:rPr>
          <w:rFonts w:cstheme="minorHAnsi"/>
          <w:lang w:val="en-US"/>
        </w:rPr>
        <w:t xml:space="preserve">a total of </w:t>
      </w:r>
      <w:r w:rsidR="00E562BE" w:rsidRPr="008107B5">
        <w:rPr>
          <w:rFonts w:cstheme="minorHAnsi"/>
          <w:lang w:val="en-US"/>
        </w:rPr>
        <w:t>5,</w:t>
      </w:r>
      <w:r w:rsidR="008107B5" w:rsidRPr="008107B5">
        <w:rPr>
          <w:rFonts w:cstheme="minorHAnsi"/>
          <w:lang w:val="en-US"/>
        </w:rPr>
        <w:t>392</w:t>
      </w:r>
      <w:r w:rsidR="00E562BE" w:rsidRPr="008107B5">
        <w:rPr>
          <w:rFonts w:cstheme="minorHAnsi"/>
          <w:lang w:val="en-US"/>
        </w:rPr>
        <w:t xml:space="preserve"> </w:t>
      </w:r>
      <w:r w:rsidRPr="008107B5">
        <w:rPr>
          <w:rFonts w:cstheme="minorHAnsi"/>
          <w:lang w:val="en-US"/>
        </w:rPr>
        <w:t>infectious syphilis outbreak cases</w:t>
      </w:r>
      <w:r w:rsidR="00DE0EE5" w:rsidRPr="008107B5">
        <w:rPr>
          <w:rFonts w:cstheme="minorHAnsi"/>
          <w:lang w:val="en-US"/>
        </w:rPr>
        <w:t xml:space="preserve"> (category 1</w:t>
      </w:r>
      <w:r w:rsidR="00B31A29" w:rsidRPr="008107B5">
        <w:rPr>
          <w:rFonts w:cstheme="minorHAnsi"/>
          <w:lang w:val="en-US"/>
        </w:rPr>
        <w:t xml:space="preserve"> and 2</w:t>
      </w:r>
      <w:r w:rsidR="00B445CC" w:rsidRPr="008107B5">
        <w:rPr>
          <w:rStyle w:val="FootnoteReference"/>
        </w:rPr>
        <w:footnoteReference w:id="11"/>
      </w:r>
      <w:r w:rsidR="00DE0EE5" w:rsidRPr="008107B5">
        <w:rPr>
          <w:rFonts w:cstheme="minorHAnsi"/>
          <w:lang w:val="en-US"/>
        </w:rPr>
        <w:t>)</w:t>
      </w:r>
      <w:r w:rsidRPr="008107B5">
        <w:rPr>
          <w:rFonts w:cstheme="minorHAnsi"/>
          <w:lang w:val="en-US"/>
        </w:rPr>
        <w:t xml:space="preserve"> wer</w:t>
      </w:r>
      <w:r w:rsidR="00DE0EE5" w:rsidRPr="008107B5">
        <w:rPr>
          <w:rFonts w:cstheme="minorHAnsi"/>
          <w:lang w:val="en-US"/>
        </w:rPr>
        <w:t xml:space="preserve">e reported from 4 jurisdictions (Figure </w:t>
      </w:r>
      <w:r w:rsidR="00491426" w:rsidRPr="008107B5">
        <w:rPr>
          <w:rFonts w:cstheme="minorHAnsi"/>
          <w:lang w:val="en-US"/>
        </w:rPr>
        <w:t>8</w:t>
      </w:r>
      <w:r w:rsidR="00B445CC" w:rsidRPr="008107B5">
        <w:rPr>
          <w:rFonts w:cstheme="minorHAnsi"/>
          <w:lang w:val="en-US"/>
        </w:rPr>
        <w:t>, Table 2</w:t>
      </w:r>
      <w:r w:rsidR="00DE0EE5" w:rsidRPr="008107B5">
        <w:rPr>
          <w:rFonts w:cstheme="minorHAnsi"/>
          <w:lang w:val="en-US"/>
        </w:rPr>
        <w:t>)</w:t>
      </w:r>
      <w:r w:rsidR="00B31A29" w:rsidRPr="008107B5">
        <w:rPr>
          <w:rFonts w:cstheme="minorHAnsi"/>
          <w:lang w:val="en-US"/>
        </w:rPr>
        <w:t>:</w:t>
      </w:r>
    </w:p>
    <w:p w14:paraId="7833BA80" w14:textId="5BDB6A2A" w:rsidR="002D5013" w:rsidRPr="008107B5" w:rsidRDefault="00FB0D24" w:rsidP="00E41B63">
      <w:pPr>
        <w:pStyle w:val="ListNumber2"/>
        <w:rPr>
          <w:lang w:val="en-US"/>
        </w:rPr>
      </w:pPr>
      <w:r w:rsidRPr="008107B5">
        <w:rPr>
          <w:lang w:val="en-US"/>
        </w:rPr>
        <w:t>1,</w:t>
      </w:r>
      <w:r w:rsidR="00E562BE" w:rsidRPr="008107B5">
        <w:rPr>
          <w:lang w:val="en-US"/>
        </w:rPr>
        <w:t>9</w:t>
      </w:r>
      <w:r w:rsidR="008107B5" w:rsidRPr="008107B5">
        <w:rPr>
          <w:lang w:val="en-US"/>
        </w:rPr>
        <w:t>94</w:t>
      </w:r>
      <w:r w:rsidR="00B31A29" w:rsidRPr="008107B5">
        <w:rPr>
          <w:lang w:val="en-US"/>
        </w:rPr>
        <w:t xml:space="preserve"> from Queensland;</w:t>
      </w:r>
    </w:p>
    <w:p w14:paraId="0A7CA9A5" w14:textId="4CB00A68" w:rsidR="00B31A29" w:rsidRPr="008107B5" w:rsidRDefault="00FB0D24" w:rsidP="00E41B63">
      <w:pPr>
        <w:pStyle w:val="ListNumber2"/>
        <w:rPr>
          <w:lang w:val="en-US"/>
        </w:rPr>
      </w:pPr>
      <w:r w:rsidRPr="008107B5">
        <w:rPr>
          <w:lang w:val="en-US"/>
        </w:rPr>
        <w:t>1,</w:t>
      </w:r>
      <w:r w:rsidR="004B5C61" w:rsidRPr="008107B5">
        <w:rPr>
          <w:lang w:val="en-US"/>
        </w:rPr>
        <w:t>9</w:t>
      </w:r>
      <w:r w:rsidR="008107B5" w:rsidRPr="008107B5">
        <w:rPr>
          <w:lang w:val="en-US"/>
        </w:rPr>
        <w:t>79</w:t>
      </w:r>
      <w:r w:rsidR="00B31A29" w:rsidRPr="008107B5">
        <w:rPr>
          <w:lang w:val="en-US"/>
        </w:rPr>
        <w:t xml:space="preserve"> from the Northern </w:t>
      </w:r>
      <w:proofErr w:type="gramStart"/>
      <w:r w:rsidR="00B31A29" w:rsidRPr="008107B5">
        <w:rPr>
          <w:lang w:val="en-US"/>
        </w:rPr>
        <w:t>Territory;</w:t>
      </w:r>
      <w:proofErr w:type="gramEnd"/>
    </w:p>
    <w:p w14:paraId="0EC3913B" w14:textId="5BBF4BA5" w:rsidR="00B31A29" w:rsidRPr="008107B5" w:rsidRDefault="00947A21" w:rsidP="00E41B63">
      <w:pPr>
        <w:pStyle w:val="ListNumber2"/>
        <w:rPr>
          <w:lang w:val="en-US"/>
        </w:rPr>
      </w:pPr>
      <w:r w:rsidRPr="008107B5">
        <w:rPr>
          <w:lang w:val="en-US"/>
        </w:rPr>
        <w:t>1,</w:t>
      </w:r>
      <w:r w:rsidR="008107B5" w:rsidRPr="008107B5">
        <w:rPr>
          <w:lang w:val="en-US"/>
        </w:rPr>
        <w:t>217</w:t>
      </w:r>
      <w:r w:rsidR="00B31A29" w:rsidRPr="008107B5">
        <w:rPr>
          <w:lang w:val="en-US"/>
        </w:rPr>
        <w:t xml:space="preserve"> from Western Australia;</w:t>
      </w:r>
    </w:p>
    <w:p w14:paraId="79088D21" w14:textId="068AB2C0" w:rsidR="00B31A29" w:rsidRPr="008107B5" w:rsidRDefault="008107B5" w:rsidP="00E41B63">
      <w:pPr>
        <w:pStyle w:val="ListNumber2"/>
        <w:rPr>
          <w:lang w:val="en-US"/>
        </w:rPr>
      </w:pPr>
      <w:r w:rsidRPr="008107B5">
        <w:rPr>
          <w:lang w:val="en-US"/>
        </w:rPr>
        <w:t>202</w:t>
      </w:r>
      <w:r w:rsidR="00B31A29" w:rsidRPr="008107B5">
        <w:rPr>
          <w:lang w:val="en-US"/>
        </w:rPr>
        <w:t xml:space="preserve"> from South Australia.</w:t>
      </w:r>
    </w:p>
    <w:p w14:paraId="2FB46ABF" w14:textId="561EE618" w:rsidR="00B67D66" w:rsidRPr="008107B5" w:rsidRDefault="00B67D66">
      <w:pPr>
        <w:spacing w:before="0" w:after="0"/>
        <w:rPr>
          <w:rFonts w:cstheme="minorHAnsi"/>
          <w:lang w:val="en-US"/>
        </w:rPr>
      </w:pPr>
      <w:r w:rsidRPr="008107B5">
        <w:rPr>
          <w:rFonts w:cstheme="minorHAnsi"/>
          <w:lang w:val="en-US"/>
        </w:rPr>
        <w:br w:type="page"/>
      </w:r>
    </w:p>
    <w:p w14:paraId="2A49772C" w14:textId="77777777" w:rsidR="00B67D66" w:rsidRPr="0069463E" w:rsidRDefault="00B67D66" w:rsidP="00B67D66">
      <w:pPr>
        <w:spacing w:after="60"/>
        <w:ind w:right="284"/>
        <w:jc w:val="both"/>
        <w:rPr>
          <w:rFonts w:cstheme="minorHAnsi"/>
          <w:b/>
          <w:szCs w:val="22"/>
          <w:highlight w:val="yellow"/>
          <w:lang w:val="en-US"/>
        </w:rPr>
        <w:sectPr w:rsidR="00B67D66" w:rsidRPr="0069463E" w:rsidSect="002B5E45">
          <w:footnotePr>
            <w:numFmt w:val="lowerRoman"/>
          </w:footnotePr>
          <w:endnotePr>
            <w:numFmt w:val="decimal"/>
          </w:endnotePr>
          <w:pgSz w:w="11906" w:h="16838" w:code="9"/>
          <w:pgMar w:top="85" w:right="849" w:bottom="568" w:left="992" w:header="284" w:footer="284" w:gutter="0"/>
          <w:cols w:space="720"/>
          <w:docGrid w:linePitch="360"/>
        </w:sectPr>
      </w:pPr>
    </w:p>
    <w:p w14:paraId="4FCD8E32" w14:textId="22126EAD" w:rsidR="00B67D66" w:rsidRPr="0069463E" w:rsidRDefault="00B67D66" w:rsidP="00B67D66">
      <w:pPr>
        <w:spacing w:after="60"/>
        <w:ind w:right="284"/>
        <w:jc w:val="both"/>
        <w:rPr>
          <w:rFonts w:eastAsiaTheme="minorHAnsi" w:cstheme="minorHAnsi"/>
          <w:b/>
          <w:szCs w:val="22"/>
          <w:vertAlign w:val="superscript"/>
          <w:lang w:eastAsia="en-US"/>
        </w:rPr>
      </w:pPr>
      <w:r w:rsidRPr="0069463E">
        <w:rPr>
          <w:rFonts w:cstheme="minorHAnsi"/>
          <w:b/>
          <w:szCs w:val="22"/>
          <w:lang w:val="en-US"/>
        </w:rPr>
        <w:lastRenderedPageBreak/>
        <w:t xml:space="preserve">Figure 8: </w:t>
      </w:r>
      <w:r w:rsidRPr="0069463E">
        <w:rPr>
          <w:rFonts w:eastAsiaTheme="minorHAnsi" w:cstheme="minorHAnsi"/>
          <w:b/>
          <w:szCs w:val="22"/>
          <w:lang w:eastAsia="en-US"/>
        </w:rPr>
        <w:t xml:space="preserve">Notifications of category 1 infectious syphilis outbreak cases notified in Aboriginal and Torres Strait Islander people residing in affected regions of Queensland, the Northern Territory, Western </w:t>
      </w:r>
      <w:r w:rsidR="004A7D9A" w:rsidRPr="0069463E">
        <w:rPr>
          <w:rFonts w:eastAsiaTheme="minorHAnsi" w:cstheme="minorHAnsi"/>
          <w:b/>
          <w:szCs w:val="22"/>
          <w:lang w:eastAsia="en-US"/>
        </w:rPr>
        <w:t>Australia,</w:t>
      </w:r>
      <w:r w:rsidRPr="0069463E">
        <w:rPr>
          <w:rFonts w:eastAsiaTheme="minorHAnsi" w:cstheme="minorHAnsi"/>
          <w:b/>
          <w:szCs w:val="22"/>
          <w:lang w:eastAsia="en-US"/>
        </w:rPr>
        <w:t xml:space="preserve"> and South Australia from commencement of the outbreak in each jurisdiction to </w:t>
      </w:r>
      <w:r w:rsidR="0069463E" w:rsidRPr="0069463E">
        <w:rPr>
          <w:rFonts w:eastAsiaTheme="minorHAnsi" w:cstheme="minorHAnsi"/>
          <w:b/>
          <w:szCs w:val="22"/>
          <w:lang w:eastAsia="en-US"/>
        </w:rPr>
        <w:t>Q1 2023</w:t>
      </w:r>
    </w:p>
    <w:p w14:paraId="5F6D92F9" w14:textId="126DD391" w:rsidR="0069463E" w:rsidRPr="0069463E" w:rsidRDefault="0069463E">
      <w:pPr>
        <w:spacing w:before="0" w:after="0"/>
        <w:rPr>
          <w:rFonts w:cstheme="minorHAnsi"/>
          <w:highlight w:val="yellow"/>
          <w:lang w:val="en-US"/>
        </w:rPr>
        <w:sectPr w:rsidR="0069463E" w:rsidRPr="0069463E" w:rsidSect="00B67D66">
          <w:footnotePr>
            <w:numFmt w:val="lowerRoman"/>
          </w:footnotePr>
          <w:endnotePr>
            <w:numFmt w:val="decimal"/>
          </w:endnotePr>
          <w:pgSz w:w="16838" w:h="11906" w:orient="landscape" w:code="9"/>
          <w:pgMar w:top="992" w:right="249" w:bottom="851" w:left="567" w:header="284" w:footer="284" w:gutter="0"/>
          <w:cols w:space="720"/>
          <w:docGrid w:linePitch="360"/>
        </w:sectPr>
      </w:pPr>
      <w:r>
        <w:rPr>
          <w:rFonts w:cstheme="minorHAnsi"/>
          <w:noProof/>
          <w:highlight w:val="yellow"/>
        </w:rPr>
        <w:drawing>
          <wp:inline distT="0" distB="0" distL="0" distR="0" wp14:anchorId="118656B4" wp14:editId="53FA90A3">
            <wp:extent cx="8648700" cy="5639276"/>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667892" cy="5651790"/>
                    </a:xfrm>
                    <a:prstGeom prst="rect">
                      <a:avLst/>
                    </a:prstGeom>
                    <a:noFill/>
                  </pic:spPr>
                </pic:pic>
              </a:graphicData>
            </a:graphic>
          </wp:inline>
        </w:drawing>
      </w:r>
    </w:p>
    <w:p w14:paraId="4A66DF16" w14:textId="481A74A9" w:rsidR="00B67D66" w:rsidRPr="008107B5" w:rsidRDefault="00B445CC" w:rsidP="00B67D66">
      <w:pPr>
        <w:spacing w:before="0" w:after="0"/>
        <w:ind w:right="142"/>
        <w:rPr>
          <w:rFonts w:cstheme="minorHAnsi"/>
          <w:lang w:val="en-US"/>
        </w:rPr>
      </w:pPr>
      <w:r w:rsidRPr="008107B5">
        <w:rPr>
          <w:rFonts w:cstheme="minorHAnsi"/>
          <w:lang w:val="en-US"/>
        </w:rPr>
        <w:lastRenderedPageBreak/>
        <w:t xml:space="preserve">Across the 4 </w:t>
      </w:r>
      <w:r w:rsidR="00FB0D24" w:rsidRPr="008107B5">
        <w:rPr>
          <w:rFonts w:cstheme="minorHAnsi"/>
          <w:lang w:val="en-US"/>
        </w:rPr>
        <w:t>outbreak jurisdictions, 54% (2,</w:t>
      </w:r>
      <w:r w:rsidR="008107B5" w:rsidRPr="008107B5">
        <w:rPr>
          <w:rFonts w:cstheme="minorHAnsi"/>
          <w:lang w:val="en-US"/>
        </w:rPr>
        <w:t>856</w:t>
      </w:r>
      <w:r w:rsidRPr="008107B5">
        <w:rPr>
          <w:rFonts w:cstheme="minorHAnsi"/>
          <w:lang w:val="en-US"/>
        </w:rPr>
        <w:t>/</w:t>
      </w:r>
      <w:r w:rsidR="0090328F" w:rsidRPr="008107B5">
        <w:rPr>
          <w:rFonts w:cstheme="minorHAnsi"/>
          <w:lang w:val="en-US"/>
        </w:rPr>
        <w:t>5,</w:t>
      </w:r>
      <w:r w:rsidR="008107B5" w:rsidRPr="008107B5">
        <w:rPr>
          <w:rFonts w:cstheme="minorHAnsi"/>
          <w:lang w:val="en-US"/>
        </w:rPr>
        <w:t>275</w:t>
      </w:r>
      <w:r w:rsidRPr="008107B5">
        <w:rPr>
          <w:rFonts w:cstheme="minorHAnsi"/>
          <w:lang w:val="en-US"/>
        </w:rPr>
        <w:t xml:space="preserve">) of all category 1 cases were female </w:t>
      </w:r>
      <w:r w:rsidR="00FB0D24" w:rsidRPr="008107B5">
        <w:rPr>
          <w:rFonts w:cstheme="minorHAnsi"/>
          <w:lang w:val="en-US"/>
        </w:rPr>
        <w:t>and 46% (2,</w:t>
      </w:r>
      <w:r w:rsidR="008107B5" w:rsidRPr="008107B5">
        <w:rPr>
          <w:rFonts w:cstheme="minorHAnsi"/>
          <w:lang w:val="en-US"/>
        </w:rPr>
        <w:t>418</w:t>
      </w:r>
      <w:r w:rsidRPr="008107B5">
        <w:rPr>
          <w:rFonts w:cstheme="minorHAnsi"/>
          <w:lang w:val="en-US"/>
        </w:rPr>
        <w:t>/</w:t>
      </w:r>
      <w:r w:rsidR="0090328F" w:rsidRPr="008107B5">
        <w:rPr>
          <w:rFonts w:cstheme="minorHAnsi"/>
          <w:lang w:val="en-US"/>
        </w:rPr>
        <w:t>5,</w:t>
      </w:r>
      <w:r w:rsidR="008107B5" w:rsidRPr="008107B5">
        <w:rPr>
          <w:rFonts w:cstheme="minorHAnsi"/>
          <w:lang w:val="en-US"/>
        </w:rPr>
        <w:t>275</w:t>
      </w:r>
      <w:r w:rsidRPr="008107B5">
        <w:rPr>
          <w:rFonts w:cstheme="minorHAnsi"/>
          <w:lang w:val="en-US"/>
        </w:rPr>
        <w:t>) were male, with a male to female ratio of 0.8:1 suggesting predominately heterosexual transmission</w:t>
      </w:r>
      <w:r w:rsidR="00BB7864" w:rsidRPr="008107B5">
        <w:rPr>
          <w:rFonts w:cstheme="minorHAnsi"/>
          <w:lang w:val="en-US"/>
        </w:rPr>
        <w:t xml:space="preserve"> overall</w:t>
      </w:r>
      <w:r w:rsidRPr="008107B5">
        <w:rPr>
          <w:rFonts w:cstheme="minorHAnsi"/>
          <w:lang w:val="en-US"/>
        </w:rPr>
        <w:t xml:space="preserve">, noting </w:t>
      </w:r>
      <w:r w:rsidR="00BB7864" w:rsidRPr="008107B5">
        <w:rPr>
          <w:rFonts w:cstheme="minorHAnsi"/>
          <w:lang w:val="en-US"/>
        </w:rPr>
        <w:t>the</w:t>
      </w:r>
      <w:r w:rsidRPr="008107B5">
        <w:rPr>
          <w:rFonts w:cstheme="minorHAnsi"/>
          <w:lang w:val="en-US"/>
        </w:rPr>
        <w:t xml:space="preserve"> variability across specific outbreak regions</w:t>
      </w:r>
      <w:r w:rsidR="00BB7864" w:rsidRPr="008107B5">
        <w:rPr>
          <w:rFonts w:cstheme="minorHAnsi"/>
          <w:lang w:val="en-US"/>
        </w:rPr>
        <w:t xml:space="preserve"> and jurisdictions</w:t>
      </w:r>
      <w:r w:rsidRPr="008107B5">
        <w:rPr>
          <w:rFonts w:cstheme="minorHAnsi"/>
          <w:lang w:val="en-US"/>
        </w:rPr>
        <w:t xml:space="preserve"> (Figure </w:t>
      </w:r>
      <w:r w:rsidR="00491426" w:rsidRPr="008107B5">
        <w:rPr>
          <w:rFonts w:cstheme="minorHAnsi"/>
          <w:lang w:val="en-US"/>
        </w:rPr>
        <w:t>9</w:t>
      </w:r>
      <w:r w:rsidRPr="008107B5">
        <w:rPr>
          <w:rFonts w:cstheme="minorHAnsi"/>
          <w:lang w:val="en-US"/>
        </w:rPr>
        <w:t xml:space="preserve"> a-d, Table 2).</w:t>
      </w:r>
    </w:p>
    <w:p w14:paraId="06A0BAE4" w14:textId="77777777" w:rsidR="00B67D66" w:rsidRPr="0069463E" w:rsidRDefault="00B67D66" w:rsidP="00B67D66">
      <w:pPr>
        <w:spacing w:before="0" w:after="0"/>
        <w:ind w:right="142"/>
        <w:rPr>
          <w:rFonts w:cstheme="minorHAnsi"/>
          <w:highlight w:val="yellow"/>
          <w:lang w:val="en-US"/>
        </w:rPr>
      </w:pPr>
    </w:p>
    <w:p w14:paraId="75B8A4C9" w14:textId="3C85BA5B" w:rsidR="00B445CC" w:rsidRPr="0069463E" w:rsidRDefault="005B29BF" w:rsidP="005C570A">
      <w:pPr>
        <w:ind w:right="141"/>
        <w:rPr>
          <w:rFonts w:cstheme="minorHAnsi"/>
          <w:highlight w:val="yellow"/>
          <w:lang w:val="en-US"/>
        </w:rPr>
      </w:pPr>
      <w:r w:rsidRPr="008107B5">
        <w:rPr>
          <w:rFonts w:cstheme="minorHAnsi"/>
          <w:lang w:val="en-US"/>
        </w:rPr>
        <w:t>On 19 November 2020, the Multi-Jurisdictional</w:t>
      </w:r>
      <w:r w:rsidR="005C570A" w:rsidRPr="008107B5">
        <w:rPr>
          <w:rFonts w:cstheme="minorHAnsi"/>
          <w:lang w:val="en-US"/>
        </w:rPr>
        <w:t xml:space="preserve"> </w:t>
      </w:r>
      <w:r w:rsidRPr="008107B5">
        <w:rPr>
          <w:rFonts w:cstheme="minorHAnsi"/>
          <w:lang w:val="en-US"/>
        </w:rPr>
        <w:t xml:space="preserve">Syphilis </w:t>
      </w:r>
      <w:r w:rsidR="005C570A" w:rsidRPr="008107B5">
        <w:rPr>
          <w:rFonts w:cstheme="minorHAnsi"/>
          <w:lang w:val="en-US"/>
        </w:rPr>
        <w:t xml:space="preserve">Working Group endorsed the </w:t>
      </w:r>
      <w:r w:rsidR="00EE7A6B" w:rsidRPr="008107B5">
        <w:rPr>
          <w:rFonts w:cstheme="minorHAnsi"/>
          <w:lang w:val="en-US"/>
        </w:rPr>
        <w:t>expansion</w:t>
      </w:r>
      <w:r w:rsidR="005C570A" w:rsidRPr="008107B5">
        <w:rPr>
          <w:rFonts w:cstheme="minorHAnsi"/>
          <w:lang w:val="en-US"/>
        </w:rPr>
        <w:t xml:space="preserve"> of the ‘target age group’ from 15-29 years to 15-34 years</w:t>
      </w:r>
      <w:r w:rsidR="00D10D18" w:rsidRPr="008107B5">
        <w:rPr>
          <w:rStyle w:val="FootnoteReference"/>
        </w:rPr>
        <w:footnoteReference w:id="12"/>
      </w:r>
      <w:r w:rsidR="005C570A" w:rsidRPr="008107B5">
        <w:rPr>
          <w:rFonts w:cstheme="minorHAnsi"/>
          <w:lang w:val="en-US"/>
        </w:rPr>
        <w:t xml:space="preserve">. This change came into effect from February 2021.  </w:t>
      </w:r>
      <w:r w:rsidR="000D2339" w:rsidRPr="008107B5">
        <w:rPr>
          <w:rFonts w:cstheme="minorHAnsi"/>
          <w:lang w:val="en-US"/>
        </w:rPr>
        <w:t>Overall,</w:t>
      </w:r>
      <w:r w:rsidR="005C570A" w:rsidRPr="008107B5">
        <w:rPr>
          <w:rFonts w:cstheme="minorHAnsi"/>
          <w:lang w:val="en-US"/>
        </w:rPr>
        <w:t xml:space="preserve"> </w:t>
      </w:r>
      <w:r w:rsidR="00BB7864" w:rsidRPr="008107B5">
        <w:rPr>
          <w:rFonts w:cstheme="minorHAnsi"/>
          <w:lang w:val="en-US"/>
        </w:rPr>
        <w:t>7</w:t>
      </w:r>
      <w:r w:rsidR="00D53387" w:rsidRPr="008107B5">
        <w:rPr>
          <w:rFonts w:cstheme="minorHAnsi"/>
          <w:lang w:val="en-US"/>
        </w:rPr>
        <w:t>2</w:t>
      </w:r>
      <w:r w:rsidR="00BB7864" w:rsidRPr="008107B5">
        <w:rPr>
          <w:rFonts w:cstheme="minorHAnsi"/>
          <w:lang w:val="en-US"/>
        </w:rPr>
        <w:t xml:space="preserve">% </w:t>
      </w:r>
      <w:r w:rsidR="00FB0D24" w:rsidRPr="008107B5">
        <w:rPr>
          <w:rFonts w:cstheme="minorHAnsi"/>
          <w:lang w:val="en-US"/>
        </w:rPr>
        <w:t>(</w:t>
      </w:r>
      <w:r w:rsidR="00C45526" w:rsidRPr="008107B5">
        <w:rPr>
          <w:rFonts w:cstheme="minorHAnsi"/>
          <w:lang w:val="en-US"/>
        </w:rPr>
        <w:t>3,</w:t>
      </w:r>
      <w:r w:rsidR="008107B5" w:rsidRPr="008107B5">
        <w:rPr>
          <w:rFonts w:cstheme="minorHAnsi"/>
          <w:lang w:val="en-US"/>
        </w:rPr>
        <w:t>798</w:t>
      </w:r>
      <w:r w:rsidR="00C45526" w:rsidRPr="008107B5">
        <w:rPr>
          <w:rFonts w:cstheme="minorHAnsi"/>
          <w:lang w:val="en-US"/>
        </w:rPr>
        <w:t>/</w:t>
      </w:r>
      <w:r w:rsidR="0090328F" w:rsidRPr="008107B5">
        <w:rPr>
          <w:rFonts w:cstheme="minorHAnsi"/>
          <w:lang w:val="en-US"/>
        </w:rPr>
        <w:t>5,</w:t>
      </w:r>
      <w:r w:rsidR="008107B5" w:rsidRPr="008107B5">
        <w:rPr>
          <w:rFonts w:cstheme="minorHAnsi"/>
          <w:lang w:val="en-US"/>
        </w:rPr>
        <w:t>275</w:t>
      </w:r>
      <w:r w:rsidR="00F120A6" w:rsidRPr="008107B5">
        <w:rPr>
          <w:rFonts w:cstheme="minorHAnsi"/>
          <w:lang w:val="en-US"/>
        </w:rPr>
        <w:t xml:space="preserve">) </w:t>
      </w:r>
      <w:r w:rsidR="00BB7864" w:rsidRPr="008107B5">
        <w:rPr>
          <w:rFonts w:cstheme="minorHAnsi"/>
          <w:lang w:val="en-US"/>
        </w:rPr>
        <w:t xml:space="preserve">of all outbreak cases were reported in </w:t>
      </w:r>
      <w:r w:rsidR="004A7D9A" w:rsidRPr="008107B5">
        <w:rPr>
          <w:rFonts w:cstheme="minorHAnsi"/>
          <w:lang w:val="en-US"/>
        </w:rPr>
        <w:t>15–34-year-olds</w:t>
      </w:r>
      <w:r w:rsidR="005C570A" w:rsidRPr="008107B5">
        <w:rPr>
          <w:rFonts w:cstheme="minorHAnsi"/>
          <w:lang w:val="en-US"/>
        </w:rPr>
        <w:t>, with the proportion of cases in this age group across the outbreak period (</w:t>
      </w:r>
      <w:r w:rsidR="008107B5" w:rsidRPr="008107B5">
        <w:rPr>
          <w:rFonts w:cstheme="minorHAnsi"/>
          <w:lang w:val="en-US"/>
        </w:rPr>
        <w:t xml:space="preserve">Q1 </w:t>
      </w:r>
      <w:r w:rsidR="005C570A" w:rsidRPr="008107B5">
        <w:rPr>
          <w:rFonts w:cstheme="minorHAnsi"/>
          <w:lang w:val="en-US"/>
        </w:rPr>
        <w:t>2011</w:t>
      </w:r>
      <w:r w:rsidR="00C45526" w:rsidRPr="008107B5">
        <w:rPr>
          <w:rFonts w:cstheme="minorHAnsi"/>
          <w:lang w:val="en-US"/>
        </w:rPr>
        <w:t xml:space="preserve"> </w:t>
      </w:r>
      <w:r w:rsidR="0090328F" w:rsidRPr="008107B5">
        <w:rPr>
          <w:rFonts w:cstheme="minorHAnsi"/>
          <w:lang w:val="en-US"/>
        </w:rPr>
        <w:t>–</w:t>
      </w:r>
      <w:r w:rsidR="00C45526" w:rsidRPr="008107B5">
        <w:rPr>
          <w:rFonts w:cstheme="minorHAnsi"/>
          <w:lang w:val="en-US"/>
        </w:rPr>
        <w:t xml:space="preserve"> </w:t>
      </w:r>
      <w:r w:rsidR="008107B5" w:rsidRPr="008107B5">
        <w:rPr>
          <w:rFonts w:cstheme="minorHAnsi"/>
          <w:lang w:val="en-US"/>
        </w:rPr>
        <w:t>Q1 2023</w:t>
      </w:r>
      <w:r w:rsidR="005C570A" w:rsidRPr="008107B5">
        <w:rPr>
          <w:rFonts w:cstheme="minorHAnsi"/>
          <w:lang w:val="en-US"/>
        </w:rPr>
        <w:t xml:space="preserve">) ranging </w:t>
      </w:r>
      <w:r w:rsidR="00F120A6" w:rsidRPr="008107B5">
        <w:rPr>
          <w:rFonts w:cstheme="minorHAnsi"/>
          <w:lang w:val="en-US"/>
        </w:rPr>
        <w:t xml:space="preserve">between </w:t>
      </w:r>
      <w:r w:rsidR="00D53387" w:rsidRPr="008107B5">
        <w:rPr>
          <w:rFonts w:cstheme="minorHAnsi"/>
          <w:lang w:val="en-US"/>
        </w:rPr>
        <w:t>68</w:t>
      </w:r>
      <w:r w:rsidR="00FB0D24" w:rsidRPr="008107B5">
        <w:rPr>
          <w:rFonts w:cstheme="minorHAnsi"/>
          <w:lang w:val="en-US"/>
        </w:rPr>
        <w:t>%</w:t>
      </w:r>
      <w:r w:rsidR="00F120A6" w:rsidRPr="008107B5">
        <w:rPr>
          <w:rFonts w:cstheme="minorHAnsi"/>
          <w:lang w:val="en-US"/>
        </w:rPr>
        <w:t xml:space="preserve"> and </w:t>
      </w:r>
      <w:r w:rsidR="00FB0D24" w:rsidRPr="008107B5">
        <w:rPr>
          <w:rFonts w:cstheme="minorHAnsi"/>
          <w:lang w:val="en-US"/>
        </w:rPr>
        <w:t>8</w:t>
      </w:r>
      <w:r w:rsidR="00A76E98" w:rsidRPr="008107B5">
        <w:rPr>
          <w:rFonts w:cstheme="minorHAnsi"/>
          <w:lang w:val="en-US"/>
        </w:rPr>
        <w:t>2</w:t>
      </w:r>
      <w:r w:rsidR="00F120A6" w:rsidRPr="008107B5">
        <w:rPr>
          <w:rFonts w:cstheme="minorHAnsi"/>
          <w:lang w:val="en-US"/>
        </w:rPr>
        <w:t xml:space="preserve">% (Figure </w:t>
      </w:r>
      <w:r w:rsidR="00491426" w:rsidRPr="008107B5">
        <w:rPr>
          <w:rFonts w:cstheme="minorHAnsi"/>
          <w:lang w:val="en-US"/>
        </w:rPr>
        <w:t>9</w:t>
      </w:r>
      <w:r w:rsidR="00EE7A6B" w:rsidRPr="008107B5">
        <w:rPr>
          <w:rFonts w:cstheme="minorHAnsi"/>
          <w:lang w:val="en-US"/>
        </w:rPr>
        <w:t>a-d</w:t>
      </w:r>
      <w:r w:rsidR="00F120A6" w:rsidRPr="008107B5">
        <w:rPr>
          <w:rFonts w:cstheme="minorHAnsi"/>
          <w:lang w:val="en-US"/>
        </w:rPr>
        <w:t xml:space="preserve">).  </w:t>
      </w:r>
    </w:p>
    <w:p w14:paraId="06AA3553" w14:textId="51398A18" w:rsidR="005C570A" w:rsidRPr="008107B5" w:rsidRDefault="005C570A" w:rsidP="00E526F4">
      <w:pPr>
        <w:spacing w:after="60"/>
        <w:ind w:right="284"/>
        <w:rPr>
          <w:rFonts w:cstheme="minorHAnsi"/>
          <w:lang w:val="en-US"/>
        </w:rPr>
      </w:pPr>
      <w:r w:rsidRPr="008107B5">
        <w:rPr>
          <w:rFonts w:cstheme="minorHAnsi"/>
          <w:b/>
          <w:lang w:val="en-US"/>
        </w:rPr>
        <w:t>Table 2: Characteristics of infectious syphilis outbreak cases notified in Aboriginal and Torres Strait Islander people residing in affected regions</w:t>
      </w:r>
      <w:r w:rsidR="00EE7A6B" w:rsidRPr="008107B5">
        <w:rPr>
          <w:rStyle w:val="FootnoteReference"/>
          <w:b/>
        </w:rPr>
        <w:footnoteReference w:id="13"/>
      </w:r>
      <w:r w:rsidRPr="008107B5">
        <w:rPr>
          <w:rFonts w:cstheme="minorHAnsi"/>
          <w:b/>
          <w:lang w:val="en-US"/>
        </w:rPr>
        <w:t xml:space="preserve"> of Queensland, the Northern Territory, Western</w:t>
      </w:r>
      <w:r w:rsidR="00373FCE" w:rsidRPr="008107B5">
        <w:rPr>
          <w:rFonts w:cstheme="minorHAnsi"/>
          <w:b/>
          <w:lang w:val="en-US"/>
        </w:rPr>
        <w:t xml:space="preserve"> </w:t>
      </w:r>
      <w:r w:rsidR="004A7D9A" w:rsidRPr="008107B5">
        <w:rPr>
          <w:rFonts w:cstheme="minorHAnsi"/>
          <w:b/>
          <w:lang w:val="en-US"/>
        </w:rPr>
        <w:t>Australia,</w:t>
      </w:r>
      <w:r w:rsidR="00373FCE" w:rsidRPr="008107B5">
        <w:rPr>
          <w:rFonts w:cstheme="minorHAnsi"/>
          <w:b/>
          <w:lang w:val="en-US"/>
        </w:rPr>
        <w:t xml:space="preserve"> and South Australia </w:t>
      </w:r>
      <w:r w:rsidR="006E1D7C" w:rsidRPr="008107B5">
        <w:rPr>
          <w:rFonts w:cstheme="minorHAnsi"/>
          <w:b/>
          <w:lang w:val="en-US"/>
        </w:rPr>
        <w:t xml:space="preserve">to </w:t>
      </w:r>
      <w:r w:rsidR="008107B5" w:rsidRPr="008107B5">
        <w:rPr>
          <w:rFonts w:cstheme="minorHAnsi"/>
          <w:b/>
          <w:lang w:val="en-US"/>
        </w:rPr>
        <w:t>Q1 2023</w:t>
      </w:r>
      <w:r w:rsidRPr="008107B5">
        <w:rPr>
          <w:rFonts w:cstheme="minorHAnsi"/>
          <w:lang w:val="en-US"/>
        </w:rPr>
        <w:t xml:space="preserve"> </w:t>
      </w:r>
    </w:p>
    <w:tbl>
      <w:tblPr>
        <w:tblStyle w:val="TableGrid12"/>
        <w:tblW w:w="10206" w:type="dxa"/>
        <w:tblInd w:w="-5" w:type="dxa"/>
        <w:tblLayout w:type="fixed"/>
        <w:tblLook w:val="04A0" w:firstRow="1" w:lastRow="0" w:firstColumn="1" w:lastColumn="0" w:noHBand="0" w:noVBand="1"/>
        <w:tblCaption w:val="Table 1. Characteristics of outbreak cases of infectious syphilis notified in affected regions of Queensland, the Northern Territory and Western Australia, to 31 July 2016"/>
        <w:tblDescription w:val="This table shows the number of infectious syphilis outbreak cases notified in affected regions and outbreak associated congenital syphilis cases and deaths."/>
      </w:tblPr>
      <w:tblGrid>
        <w:gridCol w:w="2835"/>
        <w:gridCol w:w="1418"/>
        <w:gridCol w:w="1984"/>
        <w:gridCol w:w="2268"/>
        <w:gridCol w:w="1701"/>
      </w:tblGrid>
      <w:tr w:rsidR="005C570A" w:rsidRPr="008107B5" w14:paraId="3EF68DA9" w14:textId="77777777" w:rsidTr="008107B5">
        <w:trPr>
          <w:trHeight w:val="577"/>
          <w:tblHeader/>
        </w:trPr>
        <w:tc>
          <w:tcPr>
            <w:tcW w:w="2835" w:type="dxa"/>
            <w:tcBorders>
              <w:bottom w:val="single" w:sz="4" w:space="0" w:color="auto"/>
            </w:tcBorders>
          </w:tcPr>
          <w:p w14:paraId="4ACC702B" w14:textId="77777777" w:rsidR="005C570A" w:rsidRPr="008107B5" w:rsidRDefault="005C570A" w:rsidP="003B0646">
            <w:pPr>
              <w:spacing w:before="0" w:after="0"/>
              <w:ind w:left="34" w:hanging="34"/>
              <w:rPr>
                <w:rFonts w:cstheme="minorHAnsi"/>
              </w:rPr>
            </w:pPr>
          </w:p>
        </w:tc>
        <w:tc>
          <w:tcPr>
            <w:tcW w:w="1418" w:type="dxa"/>
            <w:tcBorders>
              <w:bottom w:val="single" w:sz="4" w:space="0" w:color="auto"/>
            </w:tcBorders>
            <w:shd w:val="clear" w:color="auto" w:fill="B8CCE4" w:themeFill="accent1" w:themeFillTint="66"/>
          </w:tcPr>
          <w:p w14:paraId="1FF7F23F" w14:textId="1F51F147" w:rsidR="005C570A" w:rsidRPr="008107B5" w:rsidRDefault="00EE7A6B" w:rsidP="003B0646">
            <w:pPr>
              <w:spacing w:before="0" w:after="0"/>
              <w:ind w:left="34" w:hanging="34"/>
              <w:jc w:val="center"/>
              <w:rPr>
                <w:rFonts w:cstheme="minorHAnsi"/>
                <w:b/>
              </w:rPr>
            </w:pPr>
            <w:r w:rsidRPr="008107B5">
              <w:rPr>
                <w:rFonts w:cstheme="minorHAnsi"/>
                <w:b/>
              </w:rPr>
              <w:t>Queensland</w:t>
            </w:r>
            <w:r w:rsidR="005C570A" w:rsidRPr="008107B5">
              <w:rPr>
                <w:rFonts w:cstheme="minorHAnsi"/>
                <w:b/>
              </w:rPr>
              <w:t xml:space="preserve"> </w:t>
            </w:r>
            <w:r w:rsidR="005C570A" w:rsidRPr="008107B5">
              <w:rPr>
                <w:rFonts w:cstheme="minorHAnsi"/>
                <w:b/>
              </w:rPr>
              <w:br/>
            </w:r>
            <w:r w:rsidR="005C570A" w:rsidRPr="008107B5">
              <w:rPr>
                <w:rFonts w:cstheme="minorHAnsi"/>
              </w:rPr>
              <w:t>(five HHSs)</w:t>
            </w:r>
          </w:p>
        </w:tc>
        <w:tc>
          <w:tcPr>
            <w:tcW w:w="1984" w:type="dxa"/>
            <w:tcBorders>
              <w:bottom w:val="single" w:sz="4" w:space="0" w:color="auto"/>
            </w:tcBorders>
            <w:shd w:val="clear" w:color="auto" w:fill="B6DDE8" w:themeFill="accent5" w:themeFillTint="66"/>
          </w:tcPr>
          <w:p w14:paraId="29EB8827" w14:textId="77777777" w:rsidR="003B0646" w:rsidRPr="008107B5" w:rsidRDefault="00EE7A6B" w:rsidP="003B0646">
            <w:pPr>
              <w:spacing w:before="0" w:after="0"/>
              <w:ind w:left="34" w:hanging="34"/>
              <w:jc w:val="center"/>
              <w:rPr>
                <w:rFonts w:cstheme="minorHAnsi"/>
                <w:b/>
              </w:rPr>
            </w:pPr>
            <w:r w:rsidRPr="008107B5">
              <w:rPr>
                <w:rFonts w:cstheme="minorHAnsi"/>
                <w:b/>
              </w:rPr>
              <w:t>Northern Territory</w:t>
            </w:r>
          </w:p>
          <w:p w14:paraId="736439F8" w14:textId="340B2086" w:rsidR="005C570A" w:rsidRPr="008107B5" w:rsidRDefault="005C570A" w:rsidP="003B0646">
            <w:pPr>
              <w:spacing w:before="0" w:after="0"/>
              <w:ind w:left="34" w:hanging="34"/>
              <w:jc w:val="center"/>
              <w:rPr>
                <w:rFonts w:cstheme="minorHAnsi"/>
                <w:b/>
              </w:rPr>
            </w:pPr>
            <w:r w:rsidRPr="008107B5">
              <w:rPr>
                <w:rFonts w:cstheme="minorHAnsi"/>
              </w:rPr>
              <w:t>(seven regions</w:t>
            </w:r>
            <w:r w:rsidRPr="008107B5">
              <w:rPr>
                <w:rFonts w:cstheme="minorHAnsi"/>
                <w:vertAlign w:val="superscript"/>
              </w:rPr>
              <w:t xml:space="preserve"> </w:t>
            </w:r>
            <w:r w:rsidRPr="008107B5">
              <w:rPr>
                <w:rFonts w:cstheme="minorHAnsi"/>
              </w:rPr>
              <w:t>)</w:t>
            </w:r>
          </w:p>
        </w:tc>
        <w:tc>
          <w:tcPr>
            <w:tcW w:w="2268" w:type="dxa"/>
            <w:tcBorders>
              <w:bottom w:val="single" w:sz="4" w:space="0" w:color="auto"/>
            </w:tcBorders>
            <w:shd w:val="clear" w:color="auto" w:fill="CCC0D9" w:themeFill="accent4" w:themeFillTint="66"/>
          </w:tcPr>
          <w:p w14:paraId="6710CBF6" w14:textId="079CEA85" w:rsidR="005C570A" w:rsidRPr="008107B5" w:rsidRDefault="00EE7A6B" w:rsidP="003B0646">
            <w:pPr>
              <w:spacing w:before="0" w:after="0"/>
              <w:ind w:left="34" w:hanging="34"/>
              <w:jc w:val="center"/>
              <w:rPr>
                <w:rFonts w:cstheme="minorHAnsi"/>
                <w:b/>
              </w:rPr>
            </w:pPr>
            <w:r w:rsidRPr="008107B5">
              <w:rPr>
                <w:rFonts w:cstheme="minorHAnsi"/>
                <w:b/>
              </w:rPr>
              <w:t>Western Australia</w:t>
            </w:r>
            <w:r w:rsidR="005C570A" w:rsidRPr="008107B5">
              <w:rPr>
                <w:rFonts w:cstheme="minorHAnsi"/>
                <w:b/>
              </w:rPr>
              <w:br/>
            </w:r>
            <w:r w:rsidR="005C570A" w:rsidRPr="008107B5">
              <w:rPr>
                <w:rFonts w:cstheme="minorHAnsi"/>
              </w:rPr>
              <w:t xml:space="preserve"> (three regions</w:t>
            </w:r>
            <w:r w:rsidR="00F120A6" w:rsidRPr="008107B5">
              <w:rPr>
                <w:rFonts w:cstheme="minorHAnsi"/>
                <w:vertAlign w:val="superscript"/>
              </w:rPr>
              <w:t xml:space="preserve"> </w:t>
            </w:r>
            <w:r w:rsidR="005C570A" w:rsidRPr="008107B5">
              <w:rPr>
                <w:rFonts w:cstheme="minorHAnsi"/>
              </w:rPr>
              <w:t>)</w:t>
            </w:r>
          </w:p>
        </w:tc>
        <w:tc>
          <w:tcPr>
            <w:tcW w:w="1701" w:type="dxa"/>
            <w:tcBorders>
              <w:bottom w:val="single" w:sz="4" w:space="0" w:color="auto"/>
            </w:tcBorders>
            <w:shd w:val="clear" w:color="auto" w:fill="FBD4B4" w:themeFill="accent6" w:themeFillTint="66"/>
          </w:tcPr>
          <w:p w14:paraId="0A6D99BA" w14:textId="309E28BC" w:rsidR="005C570A" w:rsidRPr="008107B5" w:rsidRDefault="00EE7A6B" w:rsidP="003B0646">
            <w:pPr>
              <w:spacing w:before="0" w:after="0"/>
              <w:ind w:left="34" w:hanging="34"/>
              <w:jc w:val="center"/>
              <w:rPr>
                <w:rFonts w:cstheme="minorHAnsi"/>
                <w:b/>
              </w:rPr>
            </w:pPr>
            <w:r w:rsidRPr="008107B5">
              <w:rPr>
                <w:rFonts w:cstheme="minorHAnsi"/>
                <w:b/>
              </w:rPr>
              <w:t>South Australia</w:t>
            </w:r>
          </w:p>
          <w:p w14:paraId="29AF23A1" w14:textId="3F0DDD06" w:rsidR="005C570A" w:rsidRPr="008107B5" w:rsidRDefault="005C570A" w:rsidP="003B0646">
            <w:pPr>
              <w:spacing w:before="0" w:after="0"/>
              <w:ind w:left="34" w:hanging="34"/>
              <w:jc w:val="center"/>
              <w:rPr>
                <w:rFonts w:cstheme="minorHAnsi"/>
              </w:rPr>
            </w:pPr>
            <w:r w:rsidRPr="008107B5">
              <w:rPr>
                <w:rFonts w:cstheme="minorHAnsi"/>
              </w:rPr>
              <w:t>(three regions</w:t>
            </w:r>
            <w:r w:rsidR="00F120A6" w:rsidRPr="008107B5">
              <w:rPr>
                <w:rFonts w:cstheme="minorHAnsi"/>
                <w:vertAlign w:val="superscript"/>
              </w:rPr>
              <w:t xml:space="preserve"> </w:t>
            </w:r>
            <w:r w:rsidRPr="008107B5">
              <w:rPr>
                <w:rFonts w:cstheme="minorHAnsi"/>
              </w:rPr>
              <w:t>)</w:t>
            </w:r>
          </w:p>
        </w:tc>
      </w:tr>
      <w:tr w:rsidR="005C570A" w:rsidRPr="008107B5" w14:paraId="780D4FED" w14:textId="77777777" w:rsidTr="008107B5">
        <w:tc>
          <w:tcPr>
            <w:tcW w:w="2835" w:type="dxa"/>
            <w:tcBorders>
              <w:right w:val="nil"/>
            </w:tcBorders>
            <w:shd w:val="clear" w:color="auto" w:fill="DBE5F1" w:themeFill="accent1" w:themeFillTint="33"/>
          </w:tcPr>
          <w:p w14:paraId="13A572C0" w14:textId="77777777" w:rsidR="005C570A" w:rsidRPr="008107B5" w:rsidRDefault="005C570A" w:rsidP="003B0646">
            <w:pPr>
              <w:spacing w:before="0" w:after="0"/>
              <w:ind w:left="34" w:hanging="34"/>
              <w:rPr>
                <w:rFonts w:cstheme="minorHAnsi"/>
                <w:b/>
              </w:rPr>
            </w:pPr>
            <w:r w:rsidRPr="008107B5">
              <w:rPr>
                <w:rFonts w:cstheme="minorHAnsi"/>
                <w:b/>
              </w:rPr>
              <w:t>Category 1</w:t>
            </w:r>
          </w:p>
        </w:tc>
        <w:tc>
          <w:tcPr>
            <w:tcW w:w="1418" w:type="dxa"/>
            <w:tcBorders>
              <w:left w:val="nil"/>
              <w:right w:val="nil"/>
            </w:tcBorders>
            <w:shd w:val="clear" w:color="auto" w:fill="DBE5F1" w:themeFill="accent1" w:themeFillTint="33"/>
          </w:tcPr>
          <w:p w14:paraId="4D2FE7DF" w14:textId="77777777" w:rsidR="005C570A" w:rsidRPr="008107B5" w:rsidRDefault="005C570A" w:rsidP="003B0646">
            <w:pPr>
              <w:spacing w:before="0" w:after="0"/>
              <w:ind w:left="34" w:hanging="34"/>
              <w:rPr>
                <w:rFonts w:cstheme="minorHAnsi"/>
              </w:rPr>
            </w:pPr>
          </w:p>
        </w:tc>
        <w:tc>
          <w:tcPr>
            <w:tcW w:w="1984" w:type="dxa"/>
            <w:tcBorders>
              <w:left w:val="nil"/>
              <w:right w:val="nil"/>
            </w:tcBorders>
            <w:shd w:val="clear" w:color="auto" w:fill="DBE5F1" w:themeFill="accent1" w:themeFillTint="33"/>
          </w:tcPr>
          <w:p w14:paraId="41DF31B9" w14:textId="77777777" w:rsidR="005C570A" w:rsidRPr="008107B5" w:rsidRDefault="005C570A" w:rsidP="003B0646">
            <w:pPr>
              <w:spacing w:before="0" w:after="0"/>
              <w:ind w:left="34" w:hanging="34"/>
              <w:rPr>
                <w:rFonts w:cstheme="minorHAnsi"/>
              </w:rPr>
            </w:pPr>
          </w:p>
        </w:tc>
        <w:tc>
          <w:tcPr>
            <w:tcW w:w="2268" w:type="dxa"/>
            <w:tcBorders>
              <w:left w:val="nil"/>
              <w:right w:val="nil"/>
            </w:tcBorders>
            <w:shd w:val="clear" w:color="auto" w:fill="DBE5F1" w:themeFill="accent1" w:themeFillTint="33"/>
          </w:tcPr>
          <w:p w14:paraId="2A836CA3" w14:textId="77777777" w:rsidR="005C570A" w:rsidRPr="008107B5" w:rsidRDefault="005C570A" w:rsidP="003B0646">
            <w:pPr>
              <w:spacing w:before="0" w:after="0"/>
              <w:ind w:left="34" w:hanging="34"/>
              <w:rPr>
                <w:rFonts w:cstheme="minorHAnsi"/>
              </w:rPr>
            </w:pPr>
          </w:p>
        </w:tc>
        <w:tc>
          <w:tcPr>
            <w:tcW w:w="1701" w:type="dxa"/>
            <w:tcBorders>
              <w:left w:val="nil"/>
            </w:tcBorders>
            <w:shd w:val="clear" w:color="auto" w:fill="DBE5F1" w:themeFill="accent1" w:themeFillTint="33"/>
          </w:tcPr>
          <w:p w14:paraId="0EEB684F" w14:textId="77777777" w:rsidR="005C570A" w:rsidRPr="008107B5" w:rsidRDefault="005C570A" w:rsidP="003B0646">
            <w:pPr>
              <w:spacing w:before="0" w:after="0"/>
              <w:ind w:left="34" w:hanging="34"/>
              <w:rPr>
                <w:rFonts w:cstheme="minorHAnsi"/>
              </w:rPr>
            </w:pPr>
          </w:p>
        </w:tc>
      </w:tr>
      <w:tr w:rsidR="005C570A" w:rsidRPr="008107B5" w14:paraId="58D71A01" w14:textId="77777777" w:rsidTr="008107B5">
        <w:trPr>
          <w:trHeight w:val="567"/>
        </w:trPr>
        <w:tc>
          <w:tcPr>
            <w:tcW w:w="2835" w:type="dxa"/>
            <w:vAlign w:val="center"/>
          </w:tcPr>
          <w:p w14:paraId="31C01DE7" w14:textId="77777777" w:rsidR="005C570A" w:rsidRPr="008107B5" w:rsidRDefault="005C570A" w:rsidP="003B0646">
            <w:pPr>
              <w:spacing w:before="0" w:after="0"/>
              <w:ind w:left="34" w:hanging="34"/>
              <w:rPr>
                <w:rFonts w:cstheme="minorHAnsi"/>
              </w:rPr>
            </w:pPr>
            <w:r w:rsidRPr="008107B5">
              <w:rPr>
                <w:rFonts w:cstheme="minorHAnsi"/>
              </w:rPr>
              <w:t>Outbreak commencement month/year</w:t>
            </w:r>
          </w:p>
        </w:tc>
        <w:tc>
          <w:tcPr>
            <w:tcW w:w="1418" w:type="dxa"/>
            <w:shd w:val="clear" w:color="auto" w:fill="B8CCE4" w:themeFill="accent1" w:themeFillTint="66"/>
            <w:vAlign w:val="center"/>
          </w:tcPr>
          <w:p w14:paraId="3247E27D" w14:textId="77777777" w:rsidR="005C570A" w:rsidRPr="008107B5" w:rsidRDefault="005C570A" w:rsidP="003B0646">
            <w:pPr>
              <w:spacing w:before="0" w:after="0"/>
              <w:ind w:left="34" w:hanging="34"/>
              <w:jc w:val="center"/>
              <w:rPr>
                <w:rFonts w:cstheme="minorHAnsi"/>
              </w:rPr>
            </w:pPr>
            <w:r w:rsidRPr="008107B5">
              <w:rPr>
                <w:rFonts w:cstheme="minorHAnsi"/>
              </w:rPr>
              <w:t>January 2011</w:t>
            </w:r>
          </w:p>
        </w:tc>
        <w:tc>
          <w:tcPr>
            <w:tcW w:w="1984" w:type="dxa"/>
            <w:shd w:val="clear" w:color="auto" w:fill="B6DDE8" w:themeFill="accent5" w:themeFillTint="66"/>
            <w:vAlign w:val="center"/>
          </w:tcPr>
          <w:p w14:paraId="0AC89866" w14:textId="77777777" w:rsidR="005C570A" w:rsidRPr="008107B5" w:rsidRDefault="005C570A" w:rsidP="003B0646">
            <w:pPr>
              <w:spacing w:before="0" w:after="0"/>
              <w:ind w:left="34" w:hanging="34"/>
              <w:jc w:val="center"/>
              <w:rPr>
                <w:rFonts w:cstheme="minorHAnsi"/>
              </w:rPr>
            </w:pPr>
            <w:r w:rsidRPr="008107B5">
              <w:rPr>
                <w:rFonts w:cstheme="minorHAnsi"/>
              </w:rPr>
              <w:t>July 2013</w:t>
            </w:r>
          </w:p>
        </w:tc>
        <w:tc>
          <w:tcPr>
            <w:tcW w:w="2268" w:type="dxa"/>
            <w:shd w:val="clear" w:color="auto" w:fill="CCC0D9" w:themeFill="accent4" w:themeFillTint="66"/>
            <w:vAlign w:val="center"/>
          </w:tcPr>
          <w:p w14:paraId="4C8B435E" w14:textId="77777777" w:rsidR="005C570A" w:rsidRPr="008107B5" w:rsidRDefault="005C570A" w:rsidP="003B0646">
            <w:pPr>
              <w:spacing w:before="0" w:after="0"/>
              <w:ind w:left="34" w:hanging="34"/>
              <w:jc w:val="center"/>
              <w:rPr>
                <w:rFonts w:cstheme="minorHAnsi"/>
              </w:rPr>
            </w:pPr>
            <w:r w:rsidRPr="008107B5">
              <w:rPr>
                <w:rFonts w:cstheme="minorHAnsi"/>
              </w:rPr>
              <w:t>June 2014</w:t>
            </w:r>
          </w:p>
        </w:tc>
        <w:tc>
          <w:tcPr>
            <w:tcW w:w="1701" w:type="dxa"/>
            <w:shd w:val="clear" w:color="auto" w:fill="FBD4B4" w:themeFill="accent6" w:themeFillTint="66"/>
            <w:vAlign w:val="center"/>
          </w:tcPr>
          <w:p w14:paraId="15A43D79" w14:textId="77777777" w:rsidR="005C570A" w:rsidRPr="008107B5" w:rsidRDefault="005C570A" w:rsidP="003B0646">
            <w:pPr>
              <w:spacing w:before="0" w:after="0"/>
              <w:ind w:left="34" w:hanging="34"/>
              <w:jc w:val="center"/>
              <w:rPr>
                <w:rFonts w:cstheme="minorHAnsi"/>
              </w:rPr>
            </w:pPr>
            <w:r w:rsidRPr="008107B5">
              <w:rPr>
                <w:rFonts w:cstheme="minorHAnsi"/>
              </w:rPr>
              <w:t>November 2016</w:t>
            </w:r>
          </w:p>
        </w:tc>
      </w:tr>
      <w:tr w:rsidR="008107B5" w:rsidRPr="008107B5" w14:paraId="190B49EE" w14:textId="77777777" w:rsidTr="008107B5">
        <w:tc>
          <w:tcPr>
            <w:tcW w:w="2835" w:type="dxa"/>
          </w:tcPr>
          <w:p w14:paraId="4F0D8A67" w14:textId="77777777" w:rsidR="008107B5" w:rsidRPr="008107B5" w:rsidRDefault="008107B5" w:rsidP="008107B5">
            <w:pPr>
              <w:spacing w:before="0" w:after="0"/>
              <w:ind w:left="34" w:hanging="34"/>
              <w:rPr>
                <w:rFonts w:cstheme="minorHAnsi"/>
              </w:rPr>
            </w:pPr>
            <w:r w:rsidRPr="008107B5">
              <w:rPr>
                <w:rFonts w:cstheme="minorHAnsi"/>
              </w:rPr>
              <w:t>Total number of cases</w:t>
            </w:r>
            <w:r w:rsidRPr="008107B5">
              <w:rPr>
                <w:rFonts w:cstheme="minorHAnsi"/>
                <w:b/>
                <w:vertAlign w:val="superscript"/>
              </w:rPr>
              <w:t xml:space="preserve"> </w:t>
            </w:r>
          </w:p>
        </w:tc>
        <w:tc>
          <w:tcPr>
            <w:tcW w:w="1418" w:type="dxa"/>
            <w:shd w:val="clear" w:color="000000" w:fill="FFFFFF"/>
            <w:vAlign w:val="center"/>
          </w:tcPr>
          <w:p w14:paraId="55837CCA" w14:textId="6E5EC15D" w:rsidR="008107B5" w:rsidRPr="008107B5" w:rsidRDefault="008107B5" w:rsidP="008107B5">
            <w:pPr>
              <w:spacing w:before="0" w:after="0"/>
              <w:ind w:left="34" w:hanging="34"/>
              <w:jc w:val="center"/>
              <w:rPr>
                <w:rFonts w:cstheme="minorHAnsi"/>
              </w:rPr>
            </w:pPr>
            <w:r w:rsidRPr="008107B5">
              <w:rPr>
                <w:rFonts w:ascii="Calibri" w:hAnsi="Calibri" w:cs="Calibri"/>
              </w:rPr>
              <w:t>1,934</w:t>
            </w:r>
          </w:p>
        </w:tc>
        <w:tc>
          <w:tcPr>
            <w:tcW w:w="1984" w:type="dxa"/>
            <w:shd w:val="clear" w:color="000000" w:fill="FFFFFF"/>
            <w:vAlign w:val="center"/>
          </w:tcPr>
          <w:p w14:paraId="30573663" w14:textId="0AB20D34" w:rsidR="008107B5" w:rsidRPr="008107B5" w:rsidRDefault="008107B5" w:rsidP="008107B5">
            <w:pPr>
              <w:spacing w:before="0" w:after="0"/>
              <w:ind w:left="34" w:hanging="34"/>
              <w:jc w:val="center"/>
              <w:rPr>
                <w:rFonts w:cstheme="minorHAnsi"/>
              </w:rPr>
            </w:pPr>
            <w:r w:rsidRPr="008107B5">
              <w:rPr>
                <w:rFonts w:ascii="Calibri" w:hAnsi="Calibri" w:cs="Calibri"/>
              </w:rPr>
              <w:t>1,942</w:t>
            </w:r>
          </w:p>
        </w:tc>
        <w:tc>
          <w:tcPr>
            <w:tcW w:w="2268" w:type="dxa"/>
            <w:shd w:val="clear" w:color="000000" w:fill="FFFFFF"/>
            <w:vAlign w:val="center"/>
          </w:tcPr>
          <w:p w14:paraId="1CCE481D" w14:textId="0697DA7E" w:rsidR="008107B5" w:rsidRPr="008107B5" w:rsidRDefault="008107B5" w:rsidP="008107B5">
            <w:pPr>
              <w:spacing w:before="0" w:after="0"/>
              <w:ind w:left="34" w:hanging="34"/>
              <w:jc w:val="center"/>
              <w:rPr>
                <w:rFonts w:cstheme="minorHAnsi"/>
              </w:rPr>
            </w:pPr>
            <w:r w:rsidRPr="008107B5">
              <w:rPr>
                <w:rFonts w:ascii="Calibri" w:hAnsi="Calibri" w:cs="Calibri"/>
              </w:rPr>
              <w:t>1211</w:t>
            </w:r>
          </w:p>
        </w:tc>
        <w:tc>
          <w:tcPr>
            <w:tcW w:w="1701" w:type="dxa"/>
            <w:shd w:val="clear" w:color="000000" w:fill="FFFFFF"/>
            <w:vAlign w:val="center"/>
          </w:tcPr>
          <w:p w14:paraId="30B13356" w14:textId="12D44B34" w:rsidR="008107B5" w:rsidRPr="008107B5" w:rsidRDefault="008107B5" w:rsidP="008107B5">
            <w:pPr>
              <w:spacing w:before="0" w:after="0"/>
              <w:ind w:left="34" w:hanging="34"/>
              <w:jc w:val="center"/>
              <w:rPr>
                <w:rFonts w:cstheme="minorHAnsi"/>
              </w:rPr>
            </w:pPr>
            <w:r w:rsidRPr="008107B5">
              <w:rPr>
                <w:rFonts w:ascii="Calibri" w:hAnsi="Calibri" w:cs="Calibri"/>
              </w:rPr>
              <w:t>188</w:t>
            </w:r>
          </w:p>
        </w:tc>
      </w:tr>
      <w:tr w:rsidR="008107B5" w:rsidRPr="008107B5" w14:paraId="60794A58" w14:textId="77777777" w:rsidTr="008107B5">
        <w:tc>
          <w:tcPr>
            <w:tcW w:w="2835" w:type="dxa"/>
            <w:shd w:val="clear" w:color="auto" w:fill="auto"/>
          </w:tcPr>
          <w:p w14:paraId="611FE136" w14:textId="77777777" w:rsidR="008107B5" w:rsidRPr="008107B5" w:rsidRDefault="008107B5" w:rsidP="008107B5">
            <w:pPr>
              <w:spacing w:before="0" w:after="0"/>
              <w:ind w:left="34" w:hanging="34"/>
              <w:rPr>
                <w:rFonts w:cstheme="minorHAnsi"/>
              </w:rPr>
            </w:pPr>
            <w:r w:rsidRPr="008107B5">
              <w:rPr>
                <w:rFonts w:cstheme="minorHAnsi"/>
              </w:rPr>
              <w:t xml:space="preserve">% Male / % Female </w:t>
            </w:r>
          </w:p>
        </w:tc>
        <w:tc>
          <w:tcPr>
            <w:tcW w:w="1418" w:type="dxa"/>
            <w:shd w:val="clear" w:color="000000" w:fill="FFFFFF"/>
            <w:vAlign w:val="center"/>
          </w:tcPr>
          <w:p w14:paraId="1F0FC5D6" w14:textId="772BBB59" w:rsidR="008107B5" w:rsidRPr="008107B5" w:rsidRDefault="008107B5" w:rsidP="008107B5">
            <w:pPr>
              <w:spacing w:before="0" w:after="0"/>
              <w:ind w:left="34" w:hanging="34"/>
              <w:jc w:val="center"/>
              <w:rPr>
                <w:rFonts w:cstheme="minorHAnsi"/>
              </w:rPr>
            </w:pPr>
            <w:r w:rsidRPr="008107B5">
              <w:rPr>
                <w:rFonts w:ascii="Calibri" w:hAnsi="Calibri" w:cs="Calibri"/>
              </w:rPr>
              <w:t>46% / 54%</w:t>
            </w:r>
          </w:p>
        </w:tc>
        <w:tc>
          <w:tcPr>
            <w:tcW w:w="1984" w:type="dxa"/>
            <w:shd w:val="clear" w:color="000000" w:fill="FFFFFF"/>
            <w:vAlign w:val="center"/>
          </w:tcPr>
          <w:p w14:paraId="3B2567D4" w14:textId="3CC1602C" w:rsidR="008107B5" w:rsidRPr="008107B5" w:rsidRDefault="008107B5" w:rsidP="008107B5">
            <w:pPr>
              <w:spacing w:before="0" w:after="0"/>
              <w:ind w:left="34" w:hanging="34"/>
              <w:jc w:val="center"/>
              <w:rPr>
                <w:rFonts w:cstheme="minorHAnsi"/>
              </w:rPr>
            </w:pPr>
            <w:r w:rsidRPr="008107B5">
              <w:rPr>
                <w:rFonts w:ascii="Calibri" w:hAnsi="Calibri" w:cs="Calibri"/>
              </w:rPr>
              <w:t>46% / 54%</w:t>
            </w:r>
          </w:p>
        </w:tc>
        <w:tc>
          <w:tcPr>
            <w:tcW w:w="2268" w:type="dxa"/>
            <w:shd w:val="clear" w:color="000000" w:fill="FFFFFF"/>
            <w:vAlign w:val="center"/>
          </w:tcPr>
          <w:p w14:paraId="250CF5A0" w14:textId="69471963" w:rsidR="008107B5" w:rsidRPr="008107B5" w:rsidRDefault="008107B5" w:rsidP="008107B5">
            <w:pPr>
              <w:spacing w:before="0" w:after="0"/>
              <w:ind w:left="34" w:hanging="34"/>
              <w:jc w:val="center"/>
              <w:rPr>
                <w:rFonts w:cstheme="minorHAnsi"/>
              </w:rPr>
            </w:pPr>
            <w:r w:rsidRPr="008107B5">
              <w:rPr>
                <w:rFonts w:ascii="Calibri" w:hAnsi="Calibri" w:cs="Calibri"/>
              </w:rPr>
              <w:t>44%/56%</w:t>
            </w:r>
          </w:p>
        </w:tc>
        <w:tc>
          <w:tcPr>
            <w:tcW w:w="1701" w:type="dxa"/>
            <w:shd w:val="clear" w:color="000000" w:fill="FFFFFF"/>
            <w:vAlign w:val="center"/>
          </w:tcPr>
          <w:p w14:paraId="7D37CB25" w14:textId="5F33B0B8" w:rsidR="008107B5" w:rsidRPr="008107B5" w:rsidRDefault="008107B5" w:rsidP="008107B5">
            <w:pPr>
              <w:spacing w:before="0" w:after="0"/>
              <w:ind w:left="34" w:hanging="34"/>
              <w:jc w:val="center"/>
              <w:rPr>
                <w:rFonts w:cstheme="minorHAnsi"/>
              </w:rPr>
            </w:pPr>
            <w:r w:rsidRPr="008107B5">
              <w:rPr>
                <w:rFonts w:ascii="Calibri" w:hAnsi="Calibri" w:cs="Calibri"/>
              </w:rPr>
              <w:t>53% / 47%</w:t>
            </w:r>
          </w:p>
        </w:tc>
      </w:tr>
      <w:tr w:rsidR="008107B5" w:rsidRPr="008107B5" w14:paraId="441DA4A6" w14:textId="77777777" w:rsidTr="008107B5">
        <w:tc>
          <w:tcPr>
            <w:tcW w:w="2835" w:type="dxa"/>
            <w:tcBorders>
              <w:bottom w:val="single" w:sz="4" w:space="0" w:color="auto"/>
            </w:tcBorders>
            <w:shd w:val="clear" w:color="auto" w:fill="auto"/>
          </w:tcPr>
          <w:p w14:paraId="2825EE35" w14:textId="77777777" w:rsidR="008107B5" w:rsidRPr="008107B5" w:rsidRDefault="008107B5" w:rsidP="008107B5">
            <w:pPr>
              <w:spacing w:before="0" w:after="0"/>
              <w:ind w:left="34" w:hanging="34"/>
              <w:rPr>
                <w:rFonts w:cstheme="minorHAnsi"/>
              </w:rPr>
            </w:pPr>
            <w:r w:rsidRPr="008107B5">
              <w:rPr>
                <w:rFonts w:cstheme="minorHAnsi"/>
              </w:rPr>
              <w:t>% 15-34 year age group</w:t>
            </w:r>
          </w:p>
        </w:tc>
        <w:tc>
          <w:tcPr>
            <w:tcW w:w="1418" w:type="dxa"/>
            <w:tcBorders>
              <w:bottom w:val="single" w:sz="4" w:space="0" w:color="auto"/>
            </w:tcBorders>
            <w:shd w:val="clear" w:color="000000" w:fill="FFFFFF"/>
            <w:vAlign w:val="center"/>
          </w:tcPr>
          <w:p w14:paraId="523031BB" w14:textId="3490F2A6" w:rsidR="008107B5" w:rsidRPr="008107B5" w:rsidRDefault="008107B5" w:rsidP="008107B5">
            <w:pPr>
              <w:spacing w:before="0" w:after="0"/>
              <w:ind w:left="34" w:hanging="34"/>
              <w:jc w:val="center"/>
              <w:rPr>
                <w:rFonts w:cstheme="minorHAnsi"/>
              </w:rPr>
            </w:pPr>
            <w:r w:rsidRPr="008107B5">
              <w:rPr>
                <w:rFonts w:ascii="Calibri" w:hAnsi="Calibri" w:cs="Calibri"/>
              </w:rPr>
              <w:t>70%</w:t>
            </w:r>
          </w:p>
        </w:tc>
        <w:tc>
          <w:tcPr>
            <w:tcW w:w="1984" w:type="dxa"/>
            <w:tcBorders>
              <w:bottom w:val="single" w:sz="4" w:space="0" w:color="auto"/>
            </w:tcBorders>
            <w:shd w:val="clear" w:color="000000" w:fill="FFFFFF"/>
            <w:vAlign w:val="center"/>
          </w:tcPr>
          <w:p w14:paraId="1DF0C1E8" w14:textId="657C6C66" w:rsidR="008107B5" w:rsidRPr="008107B5" w:rsidRDefault="008107B5" w:rsidP="008107B5">
            <w:pPr>
              <w:spacing w:before="0" w:after="0"/>
              <w:ind w:left="34" w:hanging="34"/>
              <w:jc w:val="center"/>
              <w:rPr>
                <w:rFonts w:cstheme="minorHAnsi"/>
              </w:rPr>
            </w:pPr>
            <w:r w:rsidRPr="008107B5">
              <w:rPr>
                <w:rFonts w:ascii="Calibri" w:hAnsi="Calibri" w:cs="Calibri"/>
              </w:rPr>
              <w:t>74%</w:t>
            </w:r>
          </w:p>
        </w:tc>
        <w:tc>
          <w:tcPr>
            <w:tcW w:w="2268" w:type="dxa"/>
            <w:tcBorders>
              <w:bottom w:val="single" w:sz="4" w:space="0" w:color="auto"/>
            </w:tcBorders>
            <w:shd w:val="clear" w:color="000000" w:fill="FFFFFF"/>
            <w:vAlign w:val="center"/>
          </w:tcPr>
          <w:p w14:paraId="384B9522" w14:textId="43A33D8A" w:rsidR="008107B5" w:rsidRPr="008107B5" w:rsidRDefault="008107B5" w:rsidP="008107B5">
            <w:pPr>
              <w:spacing w:before="0" w:after="0"/>
              <w:ind w:left="34" w:hanging="34"/>
              <w:jc w:val="center"/>
              <w:rPr>
                <w:rFonts w:cstheme="minorHAnsi"/>
              </w:rPr>
            </w:pPr>
            <w:r w:rsidRPr="008107B5">
              <w:rPr>
                <w:rFonts w:ascii="Calibri" w:hAnsi="Calibri" w:cs="Calibri"/>
              </w:rPr>
              <w:t>74%</w:t>
            </w:r>
          </w:p>
        </w:tc>
        <w:tc>
          <w:tcPr>
            <w:tcW w:w="1701" w:type="dxa"/>
            <w:tcBorders>
              <w:bottom w:val="single" w:sz="4" w:space="0" w:color="auto"/>
            </w:tcBorders>
            <w:shd w:val="clear" w:color="000000" w:fill="FFFFFF"/>
            <w:vAlign w:val="center"/>
          </w:tcPr>
          <w:p w14:paraId="46A50780" w14:textId="12A3D1E0" w:rsidR="008107B5" w:rsidRPr="008107B5" w:rsidRDefault="008107B5" w:rsidP="008107B5">
            <w:pPr>
              <w:tabs>
                <w:tab w:val="left" w:pos="465"/>
                <w:tab w:val="center" w:pos="663"/>
              </w:tabs>
              <w:spacing w:before="0" w:after="0"/>
              <w:ind w:left="34" w:hanging="34"/>
              <w:jc w:val="center"/>
              <w:rPr>
                <w:rFonts w:cstheme="minorHAnsi"/>
              </w:rPr>
            </w:pPr>
            <w:r w:rsidRPr="008107B5">
              <w:rPr>
                <w:rFonts w:ascii="Calibri" w:hAnsi="Calibri" w:cs="Calibri"/>
              </w:rPr>
              <w:t>63%</w:t>
            </w:r>
          </w:p>
        </w:tc>
      </w:tr>
      <w:tr w:rsidR="004A67AF" w:rsidRPr="008107B5" w14:paraId="3580F274" w14:textId="77777777" w:rsidTr="008107B5">
        <w:tc>
          <w:tcPr>
            <w:tcW w:w="2835" w:type="dxa"/>
            <w:tcBorders>
              <w:right w:val="nil"/>
            </w:tcBorders>
            <w:shd w:val="clear" w:color="auto" w:fill="DBE5F1" w:themeFill="accent1" w:themeFillTint="33"/>
          </w:tcPr>
          <w:p w14:paraId="1952EFB4" w14:textId="4E5B3043" w:rsidR="004A67AF" w:rsidRPr="008107B5" w:rsidRDefault="004A67AF" w:rsidP="003B0646">
            <w:pPr>
              <w:spacing w:before="0" w:after="0"/>
              <w:ind w:left="34" w:hanging="34"/>
              <w:rPr>
                <w:rFonts w:cstheme="minorHAnsi"/>
                <w:b/>
                <w:bCs/>
              </w:rPr>
            </w:pPr>
            <w:r w:rsidRPr="008107B5">
              <w:rPr>
                <w:rFonts w:cstheme="minorHAnsi"/>
                <w:b/>
                <w:bCs/>
              </w:rPr>
              <w:t>Category 2</w:t>
            </w:r>
          </w:p>
        </w:tc>
        <w:tc>
          <w:tcPr>
            <w:tcW w:w="1418" w:type="dxa"/>
            <w:tcBorders>
              <w:left w:val="nil"/>
              <w:right w:val="nil"/>
            </w:tcBorders>
            <w:shd w:val="clear" w:color="auto" w:fill="DBE5F1" w:themeFill="accent1" w:themeFillTint="33"/>
            <w:vAlign w:val="center"/>
          </w:tcPr>
          <w:p w14:paraId="1DC283C4" w14:textId="77777777" w:rsidR="004A67AF" w:rsidRPr="008107B5" w:rsidRDefault="004A67AF" w:rsidP="003B0646">
            <w:pPr>
              <w:spacing w:before="0" w:after="0"/>
              <w:ind w:left="34" w:hanging="34"/>
              <w:jc w:val="center"/>
              <w:rPr>
                <w:rFonts w:cstheme="minorHAnsi"/>
              </w:rPr>
            </w:pPr>
          </w:p>
        </w:tc>
        <w:tc>
          <w:tcPr>
            <w:tcW w:w="1984" w:type="dxa"/>
            <w:tcBorders>
              <w:left w:val="nil"/>
              <w:right w:val="nil"/>
            </w:tcBorders>
            <w:shd w:val="clear" w:color="auto" w:fill="DBE5F1" w:themeFill="accent1" w:themeFillTint="33"/>
            <w:vAlign w:val="center"/>
          </w:tcPr>
          <w:p w14:paraId="4A45C999" w14:textId="77777777" w:rsidR="004A67AF" w:rsidRPr="008107B5" w:rsidRDefault="004A67AF" w:rsidP="003B0646">
            <w:pPr>
              <w:spacing w:before="0" w:after="0"/>
              <w:ind w:left="34" w:hanging="34"/>
              <w:jc w:val="center"/>
              <w:rPr>
                <w:rFonts w:cstheme="minorHAnsi"/>
              </w:rPr>
            </w:pPr>
          </w:p>
        </w:tc>
        <w:tc>
          <w:tcPr>
            <w:tcW w:w="2268" w:type="dxa"/>
            <w:tcBorders>
              <w:left w:val="nil"/>
              <w:right w:val="nil"/>
            </w:tcBorders>
            <w:shd w:val="clear" w:color="auto" w:fill="DBE5F1" w:themeFill="accent1" w:themeFillTint="33"/>
            <w:vAlign w:val="center"/>
          </w:tcPr>
          <w:p w14:paraId="7253D2CA" w14:textId="77777777" w:rsidR="004A67AF" w:rsidRPr="008107B5" w:rsidRDefault="004A67AF" w:rsidP="003B0646">
            <w:pPr>
              <w:spacing w:before="0" w:after="0"/>
              <w:ind w:left="34" w:hanging="34"/>
              <w:jc w:val="center"/>
              <w:rPr>
                <w:rFonts w:cstheme="minorHAnsi"/>
              </w:rPr>
            </w:pPr>
          </w:p>
        </w:tc>
        <w:tc>
          <w:tcPr>
            <w:tcW w:w="1701" w:type="dxa"/>
            <w:tcBorders>
              <w:left w:val="nil"/>
            </w:tcBorders>
            <w:shd w:val="clear" w:color="auto" w:fill="DBE5F1" w:themeFill="accent1" w:themeFillTint="33"/>
          </w:tcPr>
          <w:p w14:paraId="14CA71EB" w14:textId="77777777" w:rsidR="004A67AF" w:rsidRPr="008107B5" w:rsidRDefault="004A67AF" w:rsidP="003B0646">
            <w:pPr>
              <w:tabs>
                <w:tab w:val="left" w:pos="465"/>
                <w:tab w:val="center" w:pos="663"/>
              </w:tabs>
              <w:spacing w:before="0" w:after="0"/>
              <w:ind w:left="34" w:hanging="34"/>
              <w:jc w:val="center"/>
              <w:rPr>
                <w:rFonts w:cstheme="minorHAnsi"/>
              </w:rPr>
            </w:pPr>
          </w:p>
        </w:tc>
      </w:tr>
      <w:tr w:rsidR="008107B5" w:rsidRPr="008107B5" w14:paraId="7708316F" w14:textId="77777777" w:rsidTr="008107B5">
        <w:tc>
          <w:tcPr>
            <w:tcW w:w="2835" w:type="dxa"/>
            <w:shd w:val="clear" w:color="auto" w:fill="auto"/>
          </w:tcPr>
          <w:p w14:paraId="446E7323" w14:textId="77777777" w:rsidR="008107B5" w:rsidRPr="008107B5" w:rsidRDefault="008107B5" w:rsidP="008107B5">
            <w:pPr>
              <w:spacing w:before="0" w:after="0"/>
              <w:ind w:left="34" w:hanging="34"/>
              <w:rPr>
                <w:rFonts w:cstheme="minorHAnsi"/>
              </w:rPr>
            </w:pPr>
            <w:r w:rsidRPr="008107B5">
              <w:rPr>
                <w:rFonts w:cstheme="minorHAnsi"/>
              </w:rPr>
              <w:t>Aboriginal and Torres Strait Islander people</w:t>
            </w:r>
            <w:r w:rsidRPr="008107B5">
              <w:rPr>
                <w:rStyle w:val="FootnoteReference"/>
                <w:rFonts w:asciiTheme="minorHAnsi" w:hAnsiTheme="minorHAnsi" w:cstheme="minorHAnsi"/>
              </w:rPr>
              <w:footnoteReference w:id="14"/>
            </w:r>
          </w:p>
        </w:tc>
        <w:tc>
          <w:tcPr>
            <w:tcW w:w="1418" w:type="dxa"/>
            <w:shd w:val="clear" w:color="000000" w:fill="F2DCDB"/>
            <w:vAlign w:val="center"/>
          </w:tcPr>
          <w:p w14:paraId="5C43EFF6" w14:textId="3459B84B" w:rsidR="008107B5" w:rsidRPr="008107B5" w:rsidRDefault="008107B5" w:rsidP="008107B5">
            <w:pPr>
              <w:spacing w:before="0" w:after="0"/>
              <w:ind w:left="34" w:hanging="34"/>
              <w:jc w:val="center"/>
              <w:rPr>
                <w:rFonts w:cstheme="minorHAnsi"/>
              </w:rPr>
            </w:pPr>
            <w:r w:rsidRPr="008107B5">
              <w:rPr>
                <w:rFonts w:ascii="Calibri" w:hAnsi="Calibri" w:cs="Calibri"/>
              </w:rPr>
              <w:t>15</w:t>
            </w:r>
          </w:p>
        </w:tc>
        <w:tc>
          <w:tcPr>
            <w:tcW w:w="1984" w:type="dxa"/>
            <w:shd w:val="clear" w:color="000000" w:fill="F2DCDB"/>
            <w:vAlign w:val="center"/>
          </w:tcPr>
          <w:p w14:paraId="35599FF0" w14:textId="2150E109" w:rsidR="008107B5" w:rsidRPr="008107B5" w:rsidRDefault="008107B5" w:rsidP="008107B5">
            <w:pPr>
              <w:spacing w:before="0" w:after="0"/>
              <w:ind w:left="34" w:hanging="34"/>
              <w:jc w:val="center"/>
              <w:rPr>
                <w:rFonts w:cstheme="minorHAnsi"/>
              </w:rPr>
            </w:pPr>
            <w:r w:rsidRPr="008107B5">
              <w:rPr>
                <w:rFonts w:ascii="Calibri" w:hAnsi="Calibri" w:cs="Calibri"/>
              </w:rPr>
              <w:t>14</w:t>
            </w:r>
          </w:p>
        </w:tc>
        <w:tc>
          <w:tcPr>
            <w:tcW w:w="2268" w:type="dxa"/>
            <w:shd w:val="clear" w:color="000000" w:fill="F2DCDB"/>
            <w:vAlign w:val="center"/>
          </w:tcPr>
          <w:p w14:paraId="4A597F6C" w14:textId="439AEB32" w:rsidR="008107B5" w:rsidRPr="008107B5" w:rsidRDefault="008107B5" w:rsidP="008107B5">
            <w:pPr>
              <w:spacing w:before="0" w:after="0"/>
              <w:ind w:left="34" w:hanging="34"/>
              <w:jc w:val="center"/>
              <w:rPr>
                <w:rFonts w:cstheme="minorHAnsi"/>
              </w:rPr>
            </w:pPr>
            <w:r w:rsidRPr="008107B5">
              <w:rPr>
                <w:rFonts w:ascii="Calibri" w:hAnsi="Calibri" w:cs="Calibri"/>
              </w:rPr>
              <w:t>6</w:t>
            </w:r>
          </w:p>
        </w:tc>
        <w:tc>
          <w:tcPr>
            <w:tcW w:w="1701" w:type="dxa"/>
            <w:shd w:val="clear" w:color="000000" w:fill="F2DCDB"/>
            <w:vAlign w:val="center"/>
          </w:tcPr>
          <w:p w14:paraId="667A25C7" w14:textId="3F6EB55D" w:rsidR="008107B5" w:rsidRPr="008107B5" w:rsidRDefault="008107B5" w:rsidP="008107B5">
            <w:pPr>
              <w:spacing w:before="0" w:after="0"/>
              <w:ind w:left="34" w:hanging="34"/>
              <w:jc w:val="center"/>
              <w:rPr>
                <w:rFonts w:cstheme="minorHAnsi"/>
              </w:rPr>
            </w:pPr>
            <w:r w:rsidRPr="008107B5">
              <w:rPr>
                <w:rFonts w:ascii="Calibri" w:hAnsi="Calibri" w:cs="Calibri"/>
              </w:rPr>
              <w:t>0</w:t>
            </w:r>
          </w:p>
        </w:tc>
      </w:tr>
      <w:tr w:rsidR="008107B5" w:rsidRPr="008107B5" w14:paraId="6F8BC1CA" w14:textId="77777777" w:rsidTr="008107B5">
        <w:tc>
          <w:tcPr>
            <w:tcW w:w="2835" w:type="dxa"/>
            <w:shd w:val="clear" w:color="auto" w:fill="auto"/>
          </w:tcPr>
          <w:p w14:paraId="105D6FFB" w14:textId="77777777" w:rsidR="008107B5" w:rsidRPr="008107B5" w:rsidRDefault="008107B5" w:rsidP="008107B5">
            <w:pPr>
              <w:spacing w:before="0" w:after="0"/>
              <w:ind w:left="34" w:hanging="34"/>
              <w:rPr>
                <w:rFonts w:cstheme="minorHAnsi"/>
              </w:rPr>
            </w:pPr>
            <w:r w:rsidRPr="008107B5">
              <w:rPr>
                <w:rFonts w:cstheme="minorHAnsi"/>
              </w:rPr>
              <w:t>Non-Indigenous people</w:t>
            </w:r>
            <w:r w:rsidRPr="008107B5">
              <w:rPr>
                <w:rStyle w:val="FootnoteReference"/>
                <w:rFonts w:asciiTheme="minorHAnsi" w:hAnsiTheme="minorHAnsi" w:cstheme="minorHAnsi"/>
              </w:rPr>
              <w:footnoteReference w:id="15"/>
            </w:r>
          </w:p>
        </w:tc>
        <w:tc>
          <w:tcPr>
            <w:tcW w:w="1418" w:type="dxa"/>
            <w:shd w:val="clear" w:color="000000" w:fill="F2DCDB"/>
            <w:vAlign w:val="center"/>
          </w:tcPr>
          <w:p w14:paraId="6B9D9F03" w14:textId="01CFF2F9" w:rsidR="008107B5" w:rsidRPr="008107B5" w:rsidRDefault="008107B5" w:rsidP="008107B5">
            <w:pPr>
              <w:spacing w:before="0" w:after="0"/>
              <w:ind w:left="34" w:hanging="34"/>
              <w:jc w:val="center"/>
              <w:rPr>
                <w:rFonts w:cstheme="minorHAnsi"/>
              </w:rPr>
            </w:pPr>
            <w:r w:rsidRPr="008107B5">
              <w:rPr>
                <w:rFonts w:ascii="Calibri" w:hAnsi="Calibri" w:cs="Calibri"/>
              </w:rPr>
              <w:t>45</w:t>
            </w:r>
          </w:p>
        </w:tc>
        <w:tc>
          <w:tcPr>
            <w:tcW w:w="1984" w:type="dxa"/>
            <w:shd w:val="clear" w:color="000000" w:fill="F2DCDB"/>
            <w:vAlign w:val="center"/>
          </w:tcPr>
          <w:p w14:paraId="18EA2416" w14:textId="6A60689D" w:rsidR="008107B5" w:rsidRPr="008107B5" w:rsidRDefault="008107B5" w:rsidP="008107B5">
            <w:pPr>
              <w:spacing w:before="0" w:after="0"/>
              <w:ind w:left="34" w:hanging="34"/>
              <w:jc w:val="center"/>
              <w:rPr>
                <w:rFonts w:cstheme="minorHAnsi"/>
              </w:rPr>
            </w:pPr>
            <w:r w:rsidRPr="008107B5">
              <w:rPr>
                <w:rFonts w:ascii="Calibri" w:hAnsi="Calibri" w:cs="Calibri"/>
              </w:rPr>
              <w:t>23</w:t>
            </w:r>
          </w:p>
        </w:tc>
        <w:tc>
          <w:tcPr>
            <w:tcW w:w="2268" w:type="dxa"/>
            <w:shd w:val="clear" w:color="000000" w:fill="F2DCDB"/>
            <w:vAlign w:val="center"/>
          </w:tcPr>
          <w:p w14:paraId="69772C58" w14:textId="2D51CF2C" w:rsidR="008107B5" w:rsidRPr="008107B5" w:rsidRDefault="008107B5" w:rsidP="008107B5">
            <w:pPr>
              <w:spacing w:before="0" w:after="0"/>
              <w:ind w:left="34" w:hanging="34"/>
              <w:jc w:val="center"/>
              <w:rPr>
                <w:rFonts w:cstheme="minorHAnsi"/>
              </w:rPr>
            </w:pPr>
            <w:r w:rsidRPr="008107B5">
              <w:rPr>
                <w:rFonts w:ascii="Calibri" w:hAnsi="Calibri" w:cs="Calibri"/>
              </w:rPr>
              <w:t>0</w:t>
            </w:r>
          </w:p>
        </w:tc>
        <w:tc>
          <w:tcPr>
            <w:tcW w:w="1701" w:type="dxa"/>
            <w:shd w:val="clear" w:color="000000" w:fill="F2DCDB"/>
            <w:vAlign w:val="center"/>
          </w:tcPr>
          <w:p w14:paraId="1BED0955" w14:textId="3BC415DB" w:rsidR="008107B5" w:rsidRPr="008107B5" w:rsidRDefault="008107B5" w:rsidP="008107B5">
            <w:pPr>
              <w:spacing w:before="0" w:after="0"/>
              <w:ind w:left="34" w:hanging="34"/>
              <w:jc w:val="center"/>
              <w:rPr>
                <w:rFonts w:cstheme="minorHAnsi"/>
              </w:rPr>
            </w:pPr>
            <w:r w:rsidRPr="008107B5">
              <w:rPr>
                <w:rFonts w:ascii="Calibri" w:hAnsi="Calibri" w:cs="Calibri"/>
              </w:rPr>
              <w:t>14</w:t>
            </w:r>
          </w:p>
        </w:tc>
      </w:tr>
    </w:tbl>
    <w:p w14:paraId="29680E86" w14:textId="32FE0D55" w:rsidR="00B67D66" w:rsidRPr="0069463E" w:rsidRDefault="00B67D66" w:rsidP="002D510C">
      <w:pPr>
        <w:spacing w:after="60"/>
        <w:rPr>
          <w:rFonts w:cstheme="minorHAnsi"/>
          <w:b/>
          <w:highlight w:val="yellow"/>
          <w:lang w:val="en-US"/>
        </w:rPr>
      </w:pPr>
    </w:p>
    <w:p w14:paraId="57524A9F" w14:textId="77777777" w:rsidR="00B67D66" w:rsidRPr="0069463E" w:rsidRDefault="00B67D66">
      <w:pPr>
        <w:spacing w:before="0" w:after="0"/>
        <w:rPr>
          <w:rFonts w:cstheme="minorHAnsi"/>
          <w:b/>
          <w:highlight w:val="yellow"/>
          <w:lang w:val="en-US"/>
        </w:rPr>
      </w:pPr>
      <w:r w:rsidRPr="0069463E">
        <w:rPr>
          <w:rFonts w:cstheme="minorHAnsi"/>
          <w:b/>
          <w:highlight w:val="yellow"/>
          <w:lang w:val="en-US"/>
        </w:rPr>
        <w:br w:type="page"/>
      </w:r>
    </w:p>
    <w:p w14:paraId="414C769E" w14:textId="610D118A" w:rsidR="00806179" w:rsidRPr="0069463E" w:rsidRDefault="008D31CE" w:rsidP="002D510C">
      <w:pPr>
        <w:spacing w:after="60"/>
        <w:rPr>
          <w:rFonts w:cstheme="minorHAnsi"/>
          <w:b/>
          <w:lang w:val="en-US"/>
        </w:rPr>
      </w:pPr>
      <w:r w:rsidRPr="0069463E">
        <w:rPr>
          <w:rFonts w:cstheme="minorHAnsi"/>
          <w:b/>
          <w:lang w:val="en-US"/>
        </w:rPr>
        <w:lastRenderedPageBreak/>
        <w:t xml:space="preserve">Figure </w:t>
      </w:r>
      <w:r w:rsidR="00491426" w:rsidRPr="0069463E">
        <w:rPr>
          <w:rFonts w:cstheme="minorHAnsi"/>
          <w:b/>
          <w:lang w:val="en-US"/>
        </w:rPr>
        <w:t>9</w:t>
      </w:r>
      <w:r w:rsidR="00130A90" w:rsidRPr="0069463E">
        <w:rPr>
          <w:rFonts w:cstheme="minorHAnsi"/>
          <w:b/>
          <w:lang w:val="en-US"/>
        </w:rPr>
        <w:t xml:space="preserve"> a-d</w:t>
      </w:r>
      <w:r w:rsidRPr="0069463E">
        <w:rPr>
          <w:rFonts w:cstheme="minorHAnsi"/>
          <w:b/>
          <w:lang w:val="en-US"/>
        </w:rPr>
        <w:t>: Notifications (n) of category 1 outbreak associated syphilis cases, by age</w:t>
      </w:r>
      <w:r w:rsidR="00950D4E" w:rsidRPr="0069463E">
        <w:rPr>
          <w:rFonts w:cstheme="minorHAnsi"/>
          <w:b/>
          <w:lang w:val="en-US"/>
        </w:rPr>
        <w:t>*</w:t>
      </w:r>
      <w:r w:rsidRPr="0069463E">
        <w:rPr>
          <w:rFonts w:cstheme="minorHAnsi"/>
          <w:b/>
          <w:lang w:val="en-US"/>
        </w:rPr>
        <w:t xml:space="preserve">, </w:t>
      </w:r>
      <w:r w:rsidR="005208F5" w:rsidRPr="0069463E">
        <w:rPr>
          <w:rFonts w:cstheme="minorHAnsi"/>
          <w:b/>
          <w:lang w:val="en-US"/>
        </w:rPr>
        <w:t xml:space="preserve">sex, </w:t>
      </w:r>
      <w:r w:rsidR="00130A90" w:rsidRPr="0069463E">
        <w:rPr>
          <w:rFonts w:cstheme="minorHAnsi"/>
          <w:b/>
          <w:lang w:val="en-US"/>
        </w:rPr>
        <w:t xml:space="preserve">jurisdiction, </w:t>
      </w:r>
      <w:r w:rsidR="004A7D9A" w:rsidRPr="0069463E">
        <w:rPr>
          <w:rFonts w:cstheme="minorHAnsi"/>
          <w:b/>
          <w:lang w:val="en-US"/>
        </w:rPr>
        <w:t>year,</w:t>
      </w:r>
      <w:r w:rsidRPr="0069463E">
        <w:rPr>
          <w:rFonts w:cstheme="minorHAnsi"/>
          <w:b/>
          <w:lang w:val="en-US"/>
        </w:rPr>
        <w:t xml:space="preserve"> and quarter</w:t>
      </w:r>
      <w:r w:rsidR="00373FCE" w:rsidRPr="0069463E">
        <w:rPr>
          <w:rFonts w:cstheme="minorHAnsi"/>
          <w:b/>
          <w:lang w:val="en-US"/>
        </w:rPr>
        <w:t xml:space="preserve"> from commencement </w:t>
      </w:r>
      <w:r w:rsidR="009540AE" w:rsidRPr="0069463E">
        <w:rPr>
          <w:rFonts w:cstheme="minorHAnsi"/>
          <w:b/>
          <w:lang w:val="en-US"/>
        </w:rPr>
        <w:t xml:space="preserve">in each jurisdiction to </w:t>
      </w:r>
      <w:r w:rsidR="0069463E" w:rsidRPr="0069463E">
        <w:rPr>
          <w:rFonts w:cstheme="minorHAnsi"/>
          <w:b/>
          <w:lang w:val="en-US"/>
        </w:rPr>
        <w:t>Q1 2023</w:t>
      </w:r>
      <w:r w:rsidR="00480299" w:rsidRPr="0069463E">
        <w:rPr>
          <w:rFonts w:cstheme="minorHAnsi"/>
          <w:b/>
          <w:lang w:val="en-US"/>
        </w:rPr>
        <w:t xml:space="preserve"> </w:t>
      </w:r>
      <w:r w:rsidR="004F031E" w:rsidRPr="0069463E">
        <w:rPr>
          <w:rFonts w:cstheme="minorHAnsi"/>
          <w:b/>
          <w:lang w:val="en-US"/>
        </w:rPr>
        <w:t>(a. Queensland, b. the Northern Territory, c. Western Australia and d. South Australia)</w:t>
      </w:r>
      <w:r w:rsidR="005B29BF" w:rsidRPr="0069463E">
        <w:rPr>
          <w:rStyle w:val="FootnoteReference"/>
          <w:b/>
        </w:rPr>
        <w:footnoteReference w:id="16"/>
      </w:r>
    </w:p>
    <w:p w14:paraId="6FB412CE" w14:textId="13ACB8C9" w:rsidR="008D31CE" w:rsidRPr="0069463E" w:rsidRDefault="008D31CE" w:rsidP="002965EE">
      <w:pPr>
        <w:spacing w:after="60" w:line="276" w:lineRule="auto"/>
        <w:rPr>
          <w:rFonts w:cstheme="minorHAnsi"/>
          <w:b/>
          <w:lang w:val="en-US"/>
        </w:rPr>
      </w:pPr>
      <w:r w:rsidRPr="0069463E">
        <w:rPr>
          <w:rFonts w:cstheme="minorHAnsi"/>
          <w:b/>
          <w:lang w:val="en-US"/>
        </w:rPr>
        <w:t xml:space="preserve">a. </w:t>
      </w:r>
      <w:r w:rsidR="00130A90" w:rsidRPr="0069463E">
        <w:rPr>
          <w:rFonts w:cstheme="minorHAnsi"/>
          <w:bCs/>
          <w:lang w:val="en-US"/>
        </w:rPr>
        <w:t>Queensland</w:t>
      </w:r>
      <w:r w:rsidR="005B29BF" w:rsidRPr="0069463E">
        <w:rPr>
          <w:rFonts w:cstheme="minorHAnsi"/>
          <w:bCs/>
          <w:lang w:val="en-US"/>
        </w:rPr>
        <w:t xml:space="preserve"> (2011</w:t>
      </w:r>
      <w:r w:rsidR="00D85719" w:rsidRPr="0069463E">
        <w:rPr>
          <w:rFonts w:cstheme="minorHAnsi"/>
          <w:bCs/>
          <w:lang w:val="en-US"/>
        </w:rPr>
        <w:t xml:space="preserve"> </w:t>
      </w:r>
      <w:r w:rsidR="00AD5625" w:rsidRPr="0069463E">
        <w:rPr>
          <w:rFonts w:cstheme="minorHAnsi"/>
          <w:bCs/>
          <w:lang w:val="en-US"/>
        </w:rPr>
        <w:t>–</w:t>
      </w:r>
      <w:r w:rsidR="00A62958" w:rsidRPr="0069463E">
        <w:rPr>
          <w:rFonts w:cstheme="minorHAnsi"/>
          <w:bCs/>
          <w:lang w:val="en-US"/>
        </w:rPr>
        <w:t xml:space="preserve"> </w:t>
      </w:r>
      <w:r w:rsidR="0069463E" w:rsidRPr="0069463E">
        <w:rPr>
          <w:rFonts w:cstheme="minorHAnsi"/>
          <w:bCs/>
          <w:lang w:val="en-US"/>
        </w:rPr>
        <w:t>Q1 2023</w:t>
      </w:r>
      <w:r w:rsidR="005B29BF" w:rsidRPr="0069463E">
        <w:rPr>
          <w:rFonts w:cstheme="minorHAnsi"/>
          <w:bCs/>
          <w:lang w:val="en-US"/>
        </w:rPr>
        <w:t>)</w:t>
      </w:r>
    </w:p>
    <w:p w14:paraId="7EB7D7BD" w14:textId="0C954DA5" w:rsidR="007D2D10" w:rsidRPr="0069463E" w:rsidRDefault="0069463E" w:rsidP="002D510C">
      <w:pPr>
        <w:spacing w:after="60"/>
        <w:rPr>
          <w:rFonts w:cstheme="minorHAnsi"/>
          <w:b/>
          <w:highlight w:val="yellow"/>
          <w:lang w:val="en-US"/>
        </w:rPr>
      </w:pPr>
      <w:r w:rsidRPr="0069463E">
        <w:rPr>
          <w:rFonts w:cstheme="minorHAnsi"/>
          <w:b/>
          <w:noProof/>
        </w:rPr>
        <w:drawing>
          <wp:inline distT="0" distB="0" distL="0" distR="0" wp14:anchorId="153FE570" wp14:editId="25E97AFB">
            <wp:extent cx="6257925" cy="4080400"/>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269265" cy="4087794"/>
                    </a:xfrm>
                    <a:prstGeom prst="rect">
                      <a:avLst/>
                    </a:prstGeom>
                    <a:noFill/>
                  </pic:spPr>
                </pic:pic>
              </a:graphicData>
            </a:graphic>
          </wp:inline>
        </w:drawing>
      </w:r>
    </w:p>
    <w:p w14:paraId="733F20C0" w14:textId="77777777" w:rsidR="00B67D66" w:rsidRPr="0069463E" w:rsidRDefault="00B67D66">
      <w:pPr>
        <w:spacing w:before="0" w:after="0"/>
        <w:rPr>
          <w:rFonts w:cstheme="minorHAnsi"/>
          <w:b/>
          <w:highlight w:val="yellow"/>
          <w:lang w:val="en-US"/>
        </w:rPr>
      </w:pPr>
      <w:r w:rsidRPr="0069463E">
        <w:rPr>
          <w:rFonts w:cstheme="minorHAnsi"/>
          <w:b/>
          <w:highlight w:val="yellow"/>
          <w:lang w:val="en-US"/>
        </w:rPr>
        <w:br w:type="page"/>
      </w:r>
    </w:p>
    <w:p w14:paraId="1B85585C" w14:textId="16E5D750" w:rsidR="00B07CF2" w:rsidRPr="0069463E" w:rsidRDefault="00B07CF2" w:rsidP="00B67D66">
      <w:pPr>
        <w:spacing w:before="0" w:after="0"/>
        <w:rPr>
          <w:rFonts w:cstheme="minorHAnsi"/>
          <w:bCs/>
          <w:lang w:val="en-US"/>
        </w:rPr>
      </w:pPr>
      <w:r w:rsidRPr="0069463E">
        <w:rPr>
          <w:rFonts w:cstheme="minorHAnsi"/>
          <w:b/>
          <w:lang w:val="en-US"/>
        </w:rPr>
        <w:lastRenderedPageBreak/>
        <w:t xml:space="preserve">b. </w:t>
      </w:r>
      <w:r w:rsidRPr="0069463E">
        <w:rPr>
          <w:rFonts w:cstheme="minorHAnsi"/>
          <w:bCs/>
          <w:lang w:val="en-US"/>
        </w:rPr>
        <w:t>Northern Territory (2013</w:t>
      </w:r>
      <w:r w:rsidR="00D85719" w:rsidRPr="0069463E">
        <w:rPr>
          <w:rFonts w:cstheme="minorHAnsi"/>
          <w:bCs/>
          <w:lang w:val="en-US"/>
        </w:rPr>
        <w:t xml:space="preserve"> </w:t>
      </w:r>
      <w:r w:rsidR="00AD5625" w:rsidRPr="0069463E">
        <w:rPr>
          <w:rFonts w:cstheme="minorHAnsi"/>
          <w:bCs/>
          <w:lang w:val="en-US"/>
        </w:rPr>
        <w:t>–</w:t>
      </w:r>
      <w:r w:rsidR="00D85719" w:rsidRPr="0069463E">
        <w:rPr>
          <w:rFonts w:cstheme="minorHAnsi"/>
          <w:bCs/>
          <w:lang w:val="en-US"/>
        </w:rPr>
        <w:t xml:space="preserve"> </w:t>
      </w:r>
      <w:r w:rsidR="0069463E" w:rsidRPr="0069463E">
        <w:rPr>
          <w:rFonts w:cstheme="minorHAnsi"/>
          <w:bCs/>
          <w:lang w:val="en-US"/>
        </w:rPr>
        <w:t>Q1 2023</w:t>
      </w:r>
      <w:r w:rsidRPr="0069463E">
        <w:rPr>
          <w:rFonts w:cstheme="minorHAnsi"/>
          <w:bCs/>
          <w:lang w:val="en-US"/>
        </w:rPr>
        <w:t>)</w:t>
      </w:r>
    </w:p>
    <w:p w14:paraId="58A120AA" w14:textId="43F9F83B" w:rsidR="002D510C" w:rsidRPr="0069463E" w:rsidRDefault="0069463E" w:rsidP="002D510C">
      <w:pPr>
        <w:spacing w:after="60"/>
        <w:rPr>
          <w:rFonts w:cstheme="minorHAnsi"/>
          <w:b/>
          <w:lang w:val="en-US"/>
        </w:rPr>
      </w:pPr>
      <w:r w:rsidRPr="0069463E">
        <w:rPr>
          <w:rFonts w:cstheme="minorHAnsi"/>
          <w:b/>
          <w:noProof/>
        </w:rPr>
        <w:drawing>
          <wp:inline distT="0" distB="0" distL="0" distR="0" wp14:anchorId="19CDCE75" wp14:editId="3AF58EF3">
            <wp:extent cx="6310681" cy="411480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314096" cy="4117027"/>
                    </a:xfrm>
                    <a:prstGeom prst="rect">
                      <a:avLst/>
                    </a:prstGeom>
                    <a:noFill/>
                  </pic:spPr>
                </pic:pic>
              </a:graphicData>
            </a:graphic>
          </wp:inline>
        </w:drawing>
      </w:r>
    </w:p>
    <w:p w14:paraId="1CA14EB1" w14:textId="0DD07514" w:rsidR="002D510C" w:rsidRPr="0069463E" w:rsidRDefault="002D510C" w:rsidP="002D510C">
      <w:pPr>
        <w:spacing w:after="60"/>
        <w:rPr>
          <w:rFonts w:cstheme="minorHAnsi"/>
          <w:b/>
          <w:lang w:val="en-US"/>
        </w:rPr>
      </w:pPr>
      <w:r w:rsidRPr="0069463E">
        <w:rPr>
          <w:rFonts w:cstheme="minorHAnsi"/>
          <w:b/>
          <w:lang w:val="en-US"/>
        </w:rPr>
        <w:t xml:space="preserve">c. </w:t>
      </w:r>
      <w:r w:rsidRPr="0069463E">
        <w:rPr>
          <w:rFonts w:cstheme="minorHAnsi"/>
          <w:bCs/>
          <w:lang w:val="en-US"/>
        </w:rPr>
        <w:t xml:space="preserve">Western Australia (2014 – </w:t>
      </w:r>
      <w:r w:rsidR="0069463E" w:rsidRPr="0069463E">
        <w:rPr>
          <w:rFonts w:cstheme="minorHAnsi"/>
          <w:bCs/>
          <w:lang w:val="en-US"/>
        </w:rPr>
        <w:t>Q1 2023</w:t>
      </w:r>
      <w:r w:rsidRPr="0069463E">
        <w:rPr>
          <w:rFonts w:cstheme="minorHAnsi"/>
          <w:bCs/>
          <w:lang w:val="en-US"/>
        </w:rPr>
        <w:t>)</w:t>
      </w:r>
    </w:p>
    <w:p w14:paraId="659B7E69" w14:textId="3DC365E6" w:rsidR="00E526F4" w:rsidRPr="0069463E" w:rsidRDefault="0069463E" w:rsidP="002D510C">
      <w:pPr>
        <w:spacing w:after="60"/>
        <w:rPr>
          <w:rFonts w:cstheme="minorHAnsi"/>
          <w:b/>
          <w:lang w:val="en-US"/>
        </w:rPr>
      </w:pPr>
      <w:r w:rsidRPr="0069463E">
        <w:rPr>
          <w:rFonts w:cstheme="minorHAnsi"/>
          <w:b/>
          <w:noProof/>
        </w:rPr>
        <w:drawing>
          <wp:inline distT="0" distB="0" distL="0" distR="0" wp14:anchorId="4883EE3E" wp14:editId="38CD6FD5">
            <wp:extent cx="6281464" cy="4095750"/>
            <wp:effectExtent l="0" t="0" r="508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293857" cy="4103831"/>
                    </a:xfrm>
                    <a:prstGeom prst="rect">
                      <a:avLst/>
                    </a:prstGeom>
                    <a:noFill/>
                  </pic:spPr>
                </pic:pic>
              </a:graphicData>
            </a:graphic>
          </wp:inline>
        </w:drawing>
      </w:r>
    </w:p>
    <w:p w14:paraId="237A0053" w14:textId="77777777" w:rsidR="00AD5625" w:rsidRPr="0069463E" w:rsidRDefault="00AD5625" w:rsidP="002D510C">
      <w:pPr>
        <w:spacing w:after="60"/>
        <w:rPr>
          <w:rFonts w:cstheme="minorHAnsi"/>
          <w:b/>
          <w:lang w:val="en-US"/>
        </w:rPr>
      </w:pPr>
    </w:p>
    <w:p w14:paraId="1E22880E" w14:textId="3B8199B6" w:rsidR="00AD5625" w:rsidRPr="0069463E" w:rsidRDefault="00AD5625" w:rsidP="002D510C">
      <w:pPr>
        <w:spacing w:after="60"/>
        <w:rPr>
          <w:rFonts w:cstheme="minorHAnsi"/>
          <w:b/>
          <w:lang w:val="en-US"/>
        </w:rPr>
      </w:pPr>
    </w:p>
    <w:p w14:paraId="75F2ABF6" w14:textId="77777777" w:rsidR="0079427F" w:rsidRPr="0069463E" w:rsidRDefault="0079427F" w:rsidP="002D510C">
      <w:pPr>
        <w:spacing w:after="60"/>
        <w:rPr>
          <w:rFonts w:cstheme="minorHAnsi"/>
          <w:b/>
          <w:lang w:val="en-US"/>
        </w:rPr>
      </w:pPr>
    </w:p>
    <w:p w14:paraId="509FFE0B" w14:textId="4F7B0481" w:rsidR="007D2D10" w:rsidRPr="0069463E" w:rsidRDefault="00480299" w:rsidP="002D510C">
      <w:pPr>
        <w:spacing w:after="60"/>
        <w:rPr>
          <w:rFonts w:cstheme="minorHAnsi"/>
          <w:bCs/>
          <w:lang w:val="en-US"/>
        </w:rPr>
      </w:pPr>
      <w:r w:rsidRPr="0069463E">
        <w:rPr>
          <w:rFonts w:cstheme="minorHAnsi"/>
          <w:b/>
          <w:lang w:val="en-US"/>
        </w:rPr>
        <w:lastRenderedPageBreak/>
        <w:t xml:space="preserve">d. </w:t>
      </w:r>
      <w:r w:rsidRPr="0069463E">
        <w:rPr>
          <w:rFonts w:cstheme="minorHAnsi"/>
          <w:bCs/>
          <w:lang w:val="en-US"/>
        </w:rPr>
        <w:t>South Australia (2016</w:t>
      </w:r>
      <w:r w:rsidR="00D85719" w:rsidRPr="0069463E">
        <w:rPr>
          <w:rFonts w:cstheme="minorHAnsi"/>
          <w:bCs/>
          <w:lang w:val="en-US"/>
        </w:rPr>
        <w:t xml:space="preserve"> – </w:t>
      </w:r>
      <w:r w:rsidR="0069463E" w:rsidRPr="0069463E">
        <w:rPr>
          <w:rFonts w:cstheme="minorHAnsi"/>
          <w:bCs/>
          <w:lang w:val="en-US"/>
        </w:rPr>
        <w:t>Q1 2023</w:t>
      </w:r>
      <w:r w:rsidRPr="0069463E">
        <w:rPr>
          <w:rFonts w:cstheme="minorHAnsi"/>
          <w:bCs/>
          <w:lang w:val="en-US"/>
        </w:rPr>
        <w:t>)</w:t>
      </w:r>
    </w:p>
    <w:p w14:paraId="2EE94F15" w14:textId="34E1AA42" w:rsidR="002D510C" w:rsidRPr="0069463E" w:rsidRDefault="0069463E" w:rsidP="002D510C">
      <w:pPr>
        <w:spacing w:after="60"/>
        <w:rPr>
          <w:rFonts w:cstheme="minorHAnsi"/>
          <w:bCs/>
          <w:lang w:val="en-US"/>
        </w:rPr>
      </w:pPr>
      <w:r w:rsidRPr="0069463E">
        <w:rPr>
          <w:rFonts w:cstheme="minorHAnsi"/>
          <w:bCs/>
          <w:noProof/>
        </w:rPr>
        <w:drawing>
          <wp:inline distT="0" distB="0" distL="0" distR="0" wp14:anchorId="4F4F6336" wp14:editId="35E69229">
            <wp:extent cx="6398329" cy="4171950"/>
            <wp:effectExtent l="0" t="0" r="254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408499" cy="4178581"/>
                    </a:xfrm>
                    <a:prstGeom prst="rect">
                      <a:avLst/>
                    </a:prstGeom>
                    <a:noFill/>
                  </pic:spPr>
                </pic:pic>
              </a:graphicData>
            </a:graphic>
          </wp:inline>
        </w:drawing>
      </w:r>
    </w:p>
    <w:p w14:paraId="765CF35B" w14:textId="4212568A" w:rsidR="002D510C" w:rsidRPr="0069463E" w:rsidRDefault="002D510C" w:rsidP="002D510C">
      <w:pPr>
        <w:spacing w:after="60"/>
        <w:rPr>
          <w:rFonts w:cstheme="minorHAnsi"/>
          <w:bCs/>
          <w:sz w:val="14"/>
          <w:szCs w:val="12"/>
          <w:lang w:val="en-US"/>
        </w:rPr>
      </w:pPr>
      <w:r w:rsidRPr="0069463E">
        <w:rPr>
          <w:rFonts w:cstheme="minorHAnsi"/>
          <w:bCs/>
          <w:sz w:val="14"/>
          <w:szCs w:val="12"/>
          <w:lang w:val="en-US"/>
        </w:rPr>
        <w:t>*Excludes cases aged &lt;15 years of age.</w:t>
      </w:r>
    </w:p>
    <w:p w14:paraId="548ED3FC" w14:textId="77777777" w:rsidR="00AD5625" w:rsidRPr="0069463E" w:rsidRDefault="00AD5625" w:rsidP="002D510C">
      <w:pPr>
        <w:spacing w:after="60"/>
        <w:rPr>
          <w:rFonts w:cstheme="minorHAnsi"/>
          <w:bCs/>
          <w:sz w:val="14"/>
          <w:szCs w:val="12"/>
          <w:highlight w:val="yellow"/>
          <w:lang w:val="en-US"/>
        </w:rPr>
      </w:pPr>
    </w:p>
    <w:p w14:paraId="6F6E399D" w14:textId="1EC74501" w:rsidR="00EE344D" w:rsidRPr="008107B5" w:rsidRDefault="0088742B" w:rsidP="00821C6B">
      <w:pPr>
        <w:pStyle w:val="Heading3"/>
      </w:pPr>
      <w:r w:rsidRPr="008107B5">
        <w:t xml:space="preserve">Indicator </w:t>
      </w:r>
      <w:r w:rsidR="00EE344D" w:rsidRPr="008107B5">
        <w:t xml:space="preserve">3.2 - Number of outbreak associated congenital syphilis notifications </w:t>
      </w:r>
    </w:p>
    <w:p w14:paraId="72A527DB" w14:textId="34B05B36" w:rsidR="00D9208A" w:rsidRPr="008107B5" w:rsidRDefault="0088742B" w:rsidP="00821C6B">
      <w:pPr>
        <w:pStyle w:val="Heading3"/>
        <w:rPr>
          <w:rFonts w:cstheme="minorHAnsi"/>
          <w:lang w:val="en-US"/>
        </w:rPr>
      </w:pPr>
      <w:r w:rsidRPr="008107B5">
        <w:t xml:space="preserve">Indicator </w:t>
      </w:r>
      <w:r w:rsidR="00EE344D" w:rsidRPr="008107B5">
        <w:t xml:space="preserve">3.3 - Number of outbreak associated congenital syphilis cases that were reported to have died from the condition </w:t>
      </w:r>
    </w:p>
    <w:p w14:paraId="3DECADD5" w14:textId="363D4335" w:rsidR="00E526F4" w:rsidRPr="0069463E" w:rsidRDefault="003B1F2D" w:rsidP="00E526F4">
      <w:pPr>
        <w:spacing w:after="60" w:line="276" w:lineRule="auto"/>
        <w:ind w:right="284"/>
        <w:rPr>
          <w:rFonts w:cstheme="minorHAnsi"/>
          <w:highlight w:val="yellow"/>
          <w:lang w:val="en-US"/>
        </w:rPr>
      </w:pPr>
      <w:r w:rsidRPr="00DD26D2">
        <w:rPr>
          <w:rFonts w:cstheme="minorHAnsi"/>
          <w:lang w:val="en-US"/>
        </w:rPr>
        <w:t xml:space="preserve">Since the commencement of the outbreak in </w:t>
      </w:r>
      <w:r w:rsidR="00DD26D2" w:rsidRPr="00DD26D2">
        <w:rPr>
          <w:rFonts w:cstheme="minorHAnsi"/>
          <w:lang w:val="en-US"/>
        </w:rPr>
        <w:t>Q1 2011</w:t>
      </w:r>
      <w:r w:rsidRPr="00DD26D2">
        <w:rPr>
          <w:rFonts w:cstheme="minorHAnsi"/>
          <w:lang w:val="en-US"/>
        </w:rPr>
        <w:t xml:space="preserve"> to </w:t>
      </w:r>
      <w:r w:rsidR="00DD26D2" w:rsidRPr="00DD26D2">
        <w:rPr>
          <w:rFonts w:cstheme="minorHAnsi"/>
          <w:lang w:val="en-US"/>
        </w:rPr>
        <w:t>Q1 2023</w:t>
      </w:r>
      <w:r w:rsidRPr="00DD26D2">
        <w:rPr>
          <w:rFonts w:cstheme="minorHAnsi"/>
          <w:lang w:val="en-US"/>
        </w:rPr>
        <w:t xml:space="preserve">, there were </w:t>
      </w:r>
      <w:r w:rsidR="002965EE" w:rsidRPr="00DD26D2">
        <w:rPr>
          <w:rFonts w:cstheme="minorHAnsi"/>
          <w:lang w:val="en-US"/>
        </w:rPr>
        <w:t>3</w:t>
      </w:r>
      <w:r w:rsidR="003D6D69" w:rsidRPr="00DD26D2">
        <w:rPr>
          <w:rFonts w:cstheme="minorHAnsi"/>
          <w:lang w:val="en-US"/>
        </w:rPr>
        <w:t>0</w:t>
      </w:r>
      <w:r w:rsidRPr="00DD26D2">
        <w:rPr>
          <w:rFonts w:cstheme="minorHAnsi"/>
          <w:lang w:val="en-US"/>
        </w:rPr>
        <w:t xml:space="preserve"> outbreak associated cases </w:t>
      </w:r>
      <w:r w:rsidR="00B63E62" w:rsidRPr="00DD26D2">
        <w:rPr>
          <w:rFonts w:cstheme="minorHAnsi"/>
          <w:lang w:val="en-US"/>
        </w:rPr>
        <w:t xml:space="preserve">of congenital syphilis reported, </w:t>
      </w:r>
      <w:r w:rsidR="003D6D69" w:rsidRPr="00DD26D2">
        <w:rPr>
          <w:rFonts w:cstheme="minorHAnsi"/>
          <w:lang w:val="en-US"/>
        </w:rPr>
        <w:t>1</w:t>
      </w:r>
      <w:r w:rsidR="00DD26D2" w:rsidRPr="00DD26D2">
        <w:rPr>
          <w:rFonts w:cstheme="minorHAnsi"/>
          <w:lang w:val="en-US"/>
        </w:rPr>
        <w:t>2</w:t>
      </w:r>
      <w:r w:rsidR="00B63E62" w:rsidRPr="00DD26D2">
        <w:rPr>
          <w:rFonts w:cstheme="minorHAnsi"/>
          <w:lang w:val="en-US"/>
        </w:rPr>
        <w:t xml:space="preserve"> from Queensland, </w:t>
      </w:r>
      <w:r w:rsidR="00DD26D2" w:rsidRPr="00DD26D2">
        <w:rPr>
          <w:rFonts w:cstheme="minorHAnsi"/>
          <w:lang w:val="en-US"/>
        </w:rPr>
        <w:t>8</w:t>
      </w:r>
      <w:r w:rsidR="00AD021B" w:rsidRPr="00DD26D2">
        <w:rPr>
          <w:rFonts w:cstheme="minorHAnsi"/>
          <w:lang w:val="en-US"/>
        </w:rPr>
        <w:t xml:space="preserve"> from the Northern Territory, </w:t>
      </w:r>
      <w:r w:rsidR="002965EE" w:rsidRPr="00DD26D2">
        <w:rPr>
          <w:rFonts w:cstheme="minorHAnsi"/>
          <w:lang w:val="en-US"/>
        </w:rPr>
        <w:t>7</w:t>
      </w:r>
      <w:r w:rsidR="00B63E62" w:rsidRPr="00DD26D2">
        <w:rPr>
          <w:rFonts w:cstheme="minorHAnsi"/>
          <w:lang w:val="en-US"/>
        </w:rPr>
        <w:t xml:space="preserve"> from Western Australia and 3 from South Australia.</w:t>
      </w:r>
      <w:r w:rsidRPr="00DD26D2">
        <w:rPr>
          <w:rFonts w:cstheme="minorHAnsi"/>
          <w:lang w:val="en-US"/>
        </w:rPr>
        <w:t xml:space="preserve"> </w:t>
      </w:r>
      <w:r w:rsidR="00D22927" w:rsidRPr="00DD26D2">
        <w:rPr>
          <w:rFonts w:cstheme="minorHAnsi"/>
          <w:lang w:val="en-US"/>
        </w:rPr>
        <w:t>Ten</w:t>
      </w:r>
      <w:r w:rsidRPr="00DD26D2">
        <w:rPr>
          <w:rFonts w:cstheme="minorHAnsi"/>
          <w:lang w:val="en-US"/>
        </w:rPr>
        <w:t xml:space="preserve"> (</w:t>
      </w:r>
      <w:r w:rsidR="00D22927" w:rsidRPr="00DD26D2">
        <w:rPr>
          <w:rFonts w:cstheme="minorHAnsi"/>
          <w:lang w:val="en-US"/>
        </w:rPr>
        <w:t>10</w:t>
      </w:r>
      <w:r w:rsidRPr="00DD26D2">
        <w:rPr>
          <w:rFonts w:cstheme="minorHAnsi"/>
          <w:lang w:val="en-US"/>
        </w:rPr>
        <w:t xml:space="preserve">) of these cases were </w:t>
      </w:r>
      <w:r w:rsidR="00EE7A6B" w:rsidRPr="00DD26D2">
        <w:rPr>
          <w:rFonts w:cstheme="minorHAnsi"/>
          <w:lang w:val="en-US"/>
        </w:rPr>
        <w:t>reported</w:t>
      </w:r>
      <w:r w:rsidRPr="00DD26D2">
        <w:rPr>
          <w:rFonts w:cstheme="minorHAnsi"/>
          <w:lang w:val="en-US"/>
        </w:rPr>
        <w:t xml:space="preserve"> to have di</w:t>
      </w:r>
      <w:r w:rsidR="00B63E62" w:rsidRPr="00DD26D2">
        <w:rPr>
          <w:rFonts w:cstheme="minorHAnsi"/>
          <w:lang w:val="en-US"/>
        </w:rPr>
        <w:t>ed from the condition</w:t>
      </w:r>
      <w:r w:rsidR="005B29BF" w:rsidRPr="00DD26D2">
        <w:rPr>
          <w:rFonts w:cstheme="minorHAnsi"/>
          <w:lang w:val="en-US"/>
        </w:rPr>
        <w:t xml:space="preserve">, 7 from Queensland and </w:t>
      </w:r>
      <w:r w:rsidR="00D22927" w:rsidRPr="00DD26D2">
        <w:rPr>
          <w:rFonts w:cstheme="minorHAnsi"/>
          <w:lang w:val="en-US"/>
        </w:rPr>
        <w:t>3</w:t>
      </w:r>
      <w:r w:rsidR="005B29BF" w:rsidRPr="00DD26D2">
        <w:rPr>
          <w:rFonts w:cstheme="minorHAnsi"/>
          <w:lang w:val="en-US"/>
        </w:rPr>
        <w:t xml:space="preserve"> from</w:t>
      </w:r>
      <w:r w:rsidR="00B63E62" w:rsidRPr="00DD26D2">
        <w:rPr>
          <w:rFonts w:cstheme="minorHAnsi"/>
          <w:lang w:val="en-US"/>
        </w:rPr>
        <w:t xml:space="preserve"> Western Australia (Figure </w:t>
      </w:r>
      <w:r w:rsidR="00491426" w:rsidRPr="00DD26D2">
        <w:rPr>
          <w:rFonts w:cstheme="minorHAnsi"/>
          <w:lang w:val="en-US"/>
        </w:rPr>
        <w:t>10</w:t>
      </w:r>
      <w:r w:rsidR="00B63E62" w:rsidRPr="00DD26D2">
        <w:rPr>
          <w:rFonts w:cstheme="minorHAnsi"/>
          <w:lang w:val="en-US"/>
        </w:rPr>
        <w:t>).</w:t>
      </w:r>
    </w:p>
    <w:p w14:paraId="601B0B77" w14:textId="77777777" w:rsidR="003D6D69" w:rsidRPr="0069463E" w:rsidRDefault="003D6D69" w:rsidP="00E526F4">
      <w:pPr>
        <w:spacing w:after="60" w:line="276" w:lineRule="auto"/>
        <w:ind w:right="284"/>
        <w:rPr>
          <w:rStyle w:val="Strong"/>
          <w:highlight w:val="yellow"/>
        </w:rPr>
      </w:pPr>
    </w:p>
    <w:p w14:paraId="246CA135" w14:textId="1E23056C" w:rsidR="00DD26D2" w:rsidRPr="00DD26D2" w:rsidRDefault="003D6D69" w:rsidP="003D6D69">
      <w:pPr>
        <w:spacing w:after="60" w:line="276" w:lineRule="auto"/>
        <w:ind w:right="284"/>
        <w:rPr>
          <w:rStyle w:val="Strong"/>
          <w:b w:val="0"/>
          <w:bCs w:val="0"/>
          <w:i/>
          <w:iCs/>
          <w:color w:val="FF0000"/>
        </w:rPr>
      </w:pPr>
      <w:r w:rsidRPr="00DD26D2">
        <w:rPr>
          <w:rStyle w:val="Strong"/>
          <w:b w:val="0"/>
          <w:bCs w:val="0"/>
          <w:i/>
          <w:iCs/>
          <w:color w:val="FF0000"/>
        </w:rPr>
        <w:t>Please note that</w:t>
      </w:r>
      <w:r w:rsidR="00DD26D2" w:rsidRPr="00DD26D2">
        <w:rPr>
          <w:rStyle w:val="Strong"/>
          <w:b w:val="0"/>
          <w:bCs w:val="0"/>
          <w:i/>
          <w:iCs/>
          <w:color w:val="FF0000"/>
        </w:rPr>
        <w:t xml:space="preserve"> two cases</w:t>
      </w:r>
      <w:r w:rsidR="00DD26D2">
        <w:rPr>
          <w:rStyle w:val="Strong"/>
          <w:b w:val="0"/>
          <w:bCs w:val="0"/>
          <w:i/>
          <w:iCs/>
          <w:color w:val="FF0000"/>
        </w:rPr>
        <w:t xml:space="preserve"> (1 in 2013 and 1 in 2014)</w:t>
      </w:r>
      <w:r w:rsidR="00DD26D2" w:rsidRPr="00DD26D2">
        <w:rPr>
          <w:rStyle w:val="Strong"/>
          <w:b w:val="0"/>
          <w:bCs w:val="0"/>
          <w:i/>
          <w:iCs/>
          <w:color w:val="FF0000"/>
        </w:rPr>
        <w:t xml:space="preserve"> previously reported as outbreak cases of congenital syphilis from the NT have been excluded from the analysis and figure 10 below as they no longer meet the outbreak case definition.</w:t>
      </w:r>
    </w:p>
    <w:p w14:paraId="70E5098A" w14:textId="77777777" w:rsidR="00DD26D2" w:rsidRDefault="00DD26D2" w:rsidP="003D6D69">
      <w:pPr>
        <w:spacing w:after="60" w:line="276" w:lineRule="auto"/>
        <w:ind w:right="284"/>
        <w:rPr>
          <w:rStyle w:val="Strong"/>
          <w:b w:val="0"/>
          <w:bCs w:val="0"/>
          <w:i/>
          <w:iCs/>
          <w:color w:val="FF0000"/>
          <w:highlight w:val="yellow"/>
        </w:rPr>
      </w:pPr>
    </w:p>
    <w:p w14:paraId="27559103" w14:textId="77777777" w:rsidR="003D6D69" w:rsidRPr="0069463E" w:rsidRDefault="003D6D69" w:rsidP="00E526F4">
      <w:pPr>
        <w:spacing w:after="60" w:line="276" w:lineRule="auto"/>
        <w:ind w:right="284"/>
        <w:rPr>
          <w:rStyle w:val="Strong"/>
          <w:highlight w:val="yellow"/>
        </w:rPr>
      </w:pPr>
    </w:p>
    <w:p w14:paraId="258EB0E0" w14:textId="77777777" w:rsidR="003D6D69" w:rsidRPr="0069463E" w:rsidRDefault="003D6D69" w:rsidP="00E526F4">
      <w:pPr>
        <w:spacing w:after="60" w:line="276" w:lineRule="auto"/>
        <w:ind w:right="284"/>
        <w:rPr>
          <w:rStyle w:val="Strong"/>
          <w:highlight w:val="yellow"/>
        </w:rPr>
      </w:pPr>
    </w:p>
    <w:p w14:paraId="027EADA9" w14:textId="77777777" w:rsidR="003D6D69" w:rsidRPr="0069463E" w:rsidRDefault="003D6D69" w:rsidP="00E526F4">
      <w:pPr>
        <w:spacing w:after="60" w:line="276" w:lineRule="auto"/>
        <w:ind w:right="284"/>
        <w:rPr>
          <w:rStyle w:val="Strong"/>
          <w:highlight w:val="yellow"/>
        </w:rPr>
      </w:pPr>
    </w:p>
    <w:p w14:paraId="27EC63E6" w14:textId="77777777" w:rsidR="003D6D69" w:rsidRPr="0069463E" w:rsidRDefault="003D6D69" w:rsidP="00E526F4">
      <w:pPr>
        <w:spacing w:after="60" w:line="276" w:lineRule="auto"/>
        <w:ind w:right="284"/>
        <w:rPr>
          <w:rStyle w:val="Strong"/>
          <w:highlight w:val="yellow"/>
        </w:rPr>
      </w:pPr>
    </w:p>
    <w:p w14:paraId="3A17927B" w14:textId="77777777" w:rsidR="003D6D69" w:rsidRPr="0069463E" w:rsidRDefault="003D6D69" w:rsidP="00E526F4">
      <w:pPr>
        <w:spacing w:after="60" w:line="276" w:lineRule="auto"/>
        <w:ind w:right="284"/>
        <w:rPr>
          <w:rStyle w:val="Strong"/>
          <w:highlight w:val="yellow"/>
        </w:rPr>
      </w:pPr>
    </w:p>
    <w:p w14:paraId="07C7FAE7" w14:textId="77777777" w:rsidR="003D6D69" w:rsidRPr="0069463E" w:rsidRDefault="003D6D69" w:rsidP="00E526F4">
      <w:pPr>
        <w:spacing w:after="60" w:line="276" w:lineRule="auto"/>
        <w:ind w:right="284"/>
        <w:rPr>
          <w:rStyle w:val="Strong"/>
          <w:highlight w:val="yellow"/>
        </w:rPr>
      </w:pPr>
    </w:p>
    <w:p w14:paraId="48CD7582" w14:textId="77777777" w:rsidR="003D6D69" w:rsidRPr="0069463E" w:rsidRDefault="003D6D69" w:rsidP="00E526F4">
      <w:pPr>
        <w:spacing w:after="60" w:line="276" w:lineRule="auto"/>
        <w:ind w:right="284"/>
        <w:rPr>
          <w:rStyle w:val="Strong"/>
          <w:highlight w:val="yellow"/>
        </w:rPr>
      </w:pPr>
    </w:p>
    <w:p w14:paraId="6529C6D7" w14:textId="77777777" w:rsidR="003D6D69" w:rsidRPr="0069463E" w:rsidRDefault="003D6D69" w:rsidP="00E526F4">
      <w:pPr>
        <w:spacing w:after="60" w:line="276" w:lineRule="auto"/>
        <w:ind w:right="284"/>
        <w:rPr>
          <w:rStyle w:val="Strong"/>
          <w:highlight w:val="yellow"/>
        </w:rPr>
      </w:pPr>
    </w:p>
    <w:p w14:paraId="08F88697" w14:textId="5671534A" w:rsidR="002D5013" w:rsidRPr="0069463E" w:rsidRDefault="002D5013" w:rsidP="00E526F4">
      <w:pPr>
        <w:spacing w:after="60" w:line="276" w:lineRule="auto"/>
        <w:ind w:right="284"/>
        <w:rPr>
          <w:rStyle w:val="Strong"/>
        </w:rPr>
      </w:pPr>
      <w:r w:rsidRPr="0069463E">
        <w:rPr>
          <w:rStyle w:val="Strong"/>
        </w:rPr>
        <w:lastRenderedPageBreak/>
        <w:t xml:space="preserve">Figure </w:t>
      </w:r>
      <w:r w:rsidR="00491426" w:rsidRPr="0069463E">
        <w:rPr>
          <w:rStyle w:val="Strong"/>
        </w:rPr>
        <w:t>10</w:t>
      </w:r>
      <w:r w:rsidRPr="0069463E">
        <w:rPr>
          <w:rStyle w:val="Strong"/>
        </w:rPr>
        <w:t>:  Notifications (n) of</w:t>
      </w:r>
      <w:r w:rsidR="00321275" w:rsidRPr="0069463E">
        <w:rPr>
          <w:rStyle w:val="Strong"/>
        </w:rPr>
        <w:t xml:space="preserve"> </w:t>
      </w:r>
      <w:r w:rsidR="005B29BF" w:rsidRPr="0069463E">
        <w:rPr>
          <w:rStyle w:val="Strong"/>
        </w:rPr>
        <w:t xml:space="preserve">outbreak associated </w:t>
      </w:r>
      <w:r w:rsidR="00321275" w:rsidRPr="0069463E">
        <w:rPr>
          <w:rStyle w:val="Strong"/>
        </w:rPr>
        <w:t xml:space="preserve">congenital syphilis </w:t>
      </w:r>
      <w:r w:rsidR="005B29BF" w:rsidRPr="0069463E">
        <w:rPr>
          <w:rStyle w:val="Strong"/>
        </w:rPr>
        <w:t xml:space="preserve">cases and </w:t>
      </w:r>
      <w:r w:rsidR="00321275" w:rsidRPr="0069463E">
        <w:rPr>
          <w:rStyle w:val="Strong"/>
        </w:rPr>
        <w:t>reported</w:t>
      </w:r>
      <w:r w:rsidR="005B29BF" w:rsidRPr="0069463E">
        <w:rPr>
          <w:rStyle w:val="Strong"/>
        </w:rPr>
        <w:t xml:space="preserve"> deaths</w:t>
      </w:r>
      <w:r w:rsidRPr="0069463E">
        <w:rPr>
          <w:rStyle w:val="Strong"/>
        </w:rPr>
        <w:t xml:space="preserve">, by </w:t>
      </w:r>
      <w:r w:rsidR="00321275" w:rsidRPr="0069463E">
        <w:rPr>
          <w:rStyle w:val="Strong"/>
        </w:rPr>
        <w:t xml:space="preserve">jurisdiction, </w:t>
      </w:r>
      <w:r w:rsidRPr="0069463E">
        <w:rPr>
          <w:rStyle w:val="Strong"/>
        </w:rPr>
        <w:t>and year, 201</w:t>
      </w:r>
      <w:r w:rsidR="002F6AA1" w:rsidRPr="0069463E">
        <w:rPr>
          <w:rStyle w:val="Strong"/>
        </w:rPr>
        <w:t>1</w:t>
      </w:r>
      <w:r w:rsidRPr="0069463E">
        <w:rPr>
          <w:rStyle w:val="Strong"/>
        </w:rPr>
        <w:t xml:space="preserve"> – </w:t>
      </w:r>
      <w:r w:rsidR="0069463E" w:rsidRPr="0069463E">
        <w:rPr>
          <w:rStyle w:val="Strong"/>
        </w:rPr>
        <w:t>Q1 2023</w:t>
      </w:r>
      <w:r w:rsidRPr="0069463E">
        <w:rPr>
          <w:rStyle w:val="Strong"/>
        </w:rPr>
        <w:t xml:space="preserve"> </w:t>
      </w:r>
    </w:p>
    <w:p w14:paraId="661785E1" w14:textId="69894518" w:rsidR="003D6D69" w:rsidRPr="0069463E" w:rsidRDefault="00DD26D2" w:rsidP="00E526F4">
      <w:pPr>
        <w:spacing w:after="60" w:line="276" w:lineRule="auto"/>
        <w:ind w:right="284"/>
        <w:rPr>
          <w:rStyle w:val="Strong"/>
          <w:highlight w:val="yellow"/>
        </w:rPr>
      </w:pPr>
      <w:r>
        <w:rPr>
          <w:rStyle w:val="Strong"/>
          <w:noProof/>
          <w:highlight w:val="yellow"/>
        </w:rPr>
        <w:drawing>
          <wp:inline distT="0" distB="0" distL="0" distR="0" wp14:anchorId="1E83F14C" wp14:editId="1EFFAF41">
            <wp:extent cx="6062344" cy="3952875"/>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069918" cy="3957813"/>
                    </a:xfrm>
                    <a:prstGeom prst="rect">
                      <a:avLst/>
                    </a:prstGeom>
                    <a:noFill/>
                  </pic:spPr>
                </pic:pic>
              </a:graphicData>
            </a:graphic>
          </wp:inline>
        </w:drawing>
      </w:r>
    </w:p>
    <w:p w14:paraId="416687D4" w14:textId="4AE78918" w:rsidR="002D5013" w:rsidRPr="0069463E" w:rsidRDefault="002D5013" w:rsidP="002D510C">
      <w:pPr>
        <w:spacing w:after="60"/>
        <w:rPr>
          <w:rFonts w:cstheme="minorHAnsi"/>
          <w:noProof/>
          <w:highlight w:val="yellow"/>
          <w:lang w:val="en-US"/>
        </w:rPr>
      </w:pPr>
    </w:p>
    <w:p w14:paraId="04FA710D" w14:textId="4BF52496" w:rsidR="00D65F20" w:rsidRPr="00CB71AA" w:rsidRDefault="00D65F20" w:rsidP="00821C6B">
      <w:pPr>
        <w:pStyle w:val="Heading3"/>
        <w:rPr>
          <w:lang w:val="en-US"/>
        </w:rPr>
      </w:pPr>
      <w:r w:rsidRPr="00CB71AA">
        <w:rPr>
          <w:lang w:val="en-US"/>
        </w:rPr>
        <w:t>Indicator 3.4 - Proportion of outbreak associated infectious syphilis notifications among women who were pregnant</w:t>
      </w:r>
      <w:r w:rsidR="00261CC0" w:rsidRPr="00CB71AA">
        <w:rPr>
          <w:lang w:val="en-US"/>
        </w:rPr>
        <w:t xml:space="preserve"> </w:t>
      </w:r>
      <w:r w:rsidRPr="00CB71AA">
        <w:rPr>
          <w:lang w:val="en-US"/>
        </w:rPr>
        <w:t>at time of diagnosis</w:t>
      </w:r>
    </w:p>
    <w:p w14:paraId="2348EC70" w14:textId="593B1BDF" w:rsidR="00564C17" w:rsidRPr="00CB71AA" w:rsidRDefault="00564C17" w:rsidP="006574E4">
      <w:pPr>
        <w:ind w:right="141"/>
        <w:rPr>
          <w:lang w:val="en-US"/>
        </w:rPr>
      </w:pPr>
      <w:r w:rsidRPr="00CB71AA">
        <w:rPr>
          <w:rFonts w:cstheme="minorHAnsi"/>
          <w:lang w:val="en-US"/>
        </w:rPr>
        <w:t xml:space="preserve">Pregnancy status was available for </w:t>
      </w:r>
      <w:r w:rsidR="00261CC0" w:rsidRPr="00CB71AA">
        <w:rPr>
          <w:rFonts w:cstheme="minorHAnsi"/>
          <w:lang w:val="en-US"/>
        </w:rPr>
        <w:t>all</w:t>
      </w:r>
      <w:r w:rsidRPr="00CB71AA">
        <w:rPr>
          <w:rFonts w:cstheme="minorHAnsi"/>
          <w:lang w:val="en-US"/>
        </w:rPr>
        <w:t xml:space="preserve"> </w:t>
      </w:r>
      <w:r w:rsidR="003D6D69" w:rsidRPr="00CB71AA">
        <w:rPr>
          <w:rFonts w:cstheme="minorHAnsi"/>
          <w:lang w:val="en-US"/>
        </w:rPr>
        <w:t>3</w:t>
      </w:r>
      <w:r w:rsidRPr="00CB71AA">
        <w:rPr>
          <w:rFonts w:cstheme="minorHAnsi"/>
          <w:lang w:val="en-US"/>
        </w:rPr>
        <w:t xml:space="preserve"> outbreak jurisdictions </w:t>
      </w:r>
      <w:r w:rsidR="00261CC0" w:rsidRPr="00CB71AA">
        <w:rPr>
          <w:rFonts w:cstheme="minorHAnsi"/>
          <w:lang w:val="en-US"/>
        </w:rPr>
        <w:t>from 2020 onwards</w:t>
      </w:r>
      <w:r w:rsidRPr="00CB71AA">
        <w:rPr>
          <w:rFonts w:cstheme="minorHAnsi"/>
          <w:lang w:val="en-US"/>
        </w:rPr>
        <w:t xml:space="preserve"> (Queensland, Western </w:t>
      </w:r>
      <w:r w:rsidR="004A7D9A" w:rsidRPr="00CB71AA">
        <w:rPr>
          <w:rFonts w:cstheme="minorHAnsi"/>
          <w:lang w:val="en-US"/>
        </w:rPr>
        <w:t>Australia,</w:t>
      </w:r>
      <w:r w:rsidR="003D6D69" w:rsidRPr="00CB71AA">
        <w:rPr>
          <w:rFonts w:cstheme="minorHAnsi"/>
          <w:lang w:val="en-US"/>
        </w:rPr>
        <w:t xml:space="preserve"> </w:t>
      </w:r>
      <w:r w:rsidR="00261CC0" w:rsidRPr="00CB71AA">
        <w:rPr>
          <w:rFonts w:cstheme="minorHAnsi"/>
          <w:lang w:val="en-US"/>
        </w:rPr>
        <w:t xml:space="preserve">and </w:t>
      </w:r>
      <w:r w:rsidRPr="00CB71AA">
        <w:rPr>
          <w:rFonts w:cstheme="minorHAnsi"/>
          <w:lang w:val="en-US"/>
        </w:rPr>
        <w:t xml:space="preserve">South Australia).  Between 2017 and 2019, </w:t>
      </w:r>
      <w:r w:rsidR="006574E4" w:rsidRPr="00CB71AA">
        <w:rPr>
          <w:rFonts w:cstheme="minorHAnsi"/>
          <w:lang w:val="en-US"/>
        </w:rPr>
        <w:t xml:space="preserve">pregnancy status was available for </w:t>
      </w:r>
      <w:r w:rsidR="003D6D69" w:rsidRPr="00CB71AA">
        <w:rPr>
          <w:rFonts w:cstheme="minorHAnsi"/>
          <w:lang w:val="en-US"/>
        </w:rPr>
        <w:t>2</w:t>
      </w:r>
      <w:r w:rsidR="006574E4" w:rsidRPr="00CB71AA">
        <w:rPr>
          <w:rFonts w:cstheme="minorHAnsi"/>
          <w:lang w:val="en-US"/>
        </w:rPr>
        <w:t xml:space="preserve"> out of 4 jurisdictions (Queensland</w:t>
      </w:r>
      <w:r w:rsidR="003D6D69" w:rsidRPr="00CB71AA">
        <w:rPr>
          <w:rFonts w:cstheme="minorHAnsi"/>
          <w:lang w:val="en-US"/>
        </w:rPr>
        <w:t xml:space="preserve"> </w:t>
      </w:r>
      <w:r w:rsidR="006574E4" w:rsidRPr="00CB71AA">
        <w:rPr>
          <w:rFonts w:cstheme="minorHAnsi"/>
          <w:lang w:val="en-US"/>
        </w:rPr>
        <w:t>and Western Australia).</w:t>
      </w:r>
      <w:r w:rsidR="006501B5" w:rsidRPr="00CB71AA">
        <w:rPr>
          <w:rFonts w:cstheme="minorHAnsi"/>
          <w:lang w:val="en-US"/>
        </w:rPr>
        <w:t xml:space="preserve"> </w:t>
      </w:r>
      <w:r w:rsidR="0088742B" w:rsidRPr="00CB71AA">
        <w:rPr>
          <w:rFonts w:cstheme="minorHAnsi"/>
          <w:lang w:val="en-US"/>
        </w:rPr>
        <w:t xml:space="preserve">Given </w:t>
      </w:r>
      <w:r w:rsidR="006501B5" w:rsidRPr="00CB71AA">
        <w:rPr>
          <w:lang w:val="en-US"/>
        </w:rPr>
        <w:t>the high proportion of cases with an unknown pregnancy status</w:t>
      </w:r>
      <w:r w:rsidR="000A6661" w:rsidRPr="00CB71AA">
        <w:rPr>
          <w:lang w:val="en-US"/>
        </w:rPr>
        <w:t xml:space="preserve"> and retrospective changes to the data</w:t>
      </w:r>
      <w:r w:rsidR="006501B5" w:rsidRPr="00CB71AA">
        <w:rPr>
          <w:lang w:val="en-US"/>
        </w:rPr>
        <w:t>, trends over</w:t>
      </w:r>
      <w:r w:rsidR="008163AD" w:rsidRPr="00CB71AA">
        <w:rPr>
          <w:lang w:val="en-US"/>
        </w:rPr>
        <w:t xml:space="preserve"> </w:t>
      </w:r>
      <w:r w:rsidR="006501B5" w:rsidRPr="00CB71AA">
        <w:rPr>
          <w:lang w:val="en-US"/>
        </w:rPr>
        <w:t>time should be interpreted with caution.</w:t>
      </w:r>
    </w:p>
    <w:p w14:paraId="0E884DDA" w14:textId="77777777" w:rsidR="003D6D69" w:rsidRPr="00CB71AA" w:rsidRDefault="003D6D69" w:rsidP="003D6D69">
      <w:pPr>
        <w:tabs>
          <w:tab w:val="left" w:pos="935"/>
        </w:tabs>
        <w:ind w:right="-29"/>
        <w:rPr>
          <w:b/>
          <w:i/>
          <w:lang w:val="en-US"/>
        </w:rPr>
      </w:pPr>
      <w:r w:rsidRPr="00CB71AA">
        <w:rPr>
          <w:rFonts w:cstheme="minorHAnsi"/>
          <w:i/>
          <w:lang w:val="en-US"/>
        </w:rPr>
        <w:t>Please note there may be differences with previous reports due to pregnancy status being reclassified in some women and the inclusion of new historical data from jurisdictions.</w:t>
      </w:r>
      <w:r w:rsidRPr="00CB71AA">
        <w:rPr>
          <w:i/>
          <w:szCs w:val="16"/>
        </w:rPr>
        <w:t xml:space="preserve"> In addition, previous reports have included data from the NT; </w:t>
      </w:r>
      <w:proofErr w:type="gramStart"/>
      <w:r w:rsidRPr="00CB71AA">
        <w:rPr>
          <w:i/>
          <w:szCs w:val="16"/>
        </w:rPr>
        <w:t>however</w:t>
      </w:r>
      <w:proofErr w:type="gramEnd"/>
      <w:r w:rsidRPr="00CB71AA">
        <w:rPr>
          <w:i/>
          <w:szCs w:val="16"/>
        </w:rPr>
        <w:t xml:space="preserve"> these data have been excluded due to known data issues.</w:t>
      </w:r>
    </w:p>
    <w:p w14:paraId="1280D2A4" w14:textId="78B6C90B" w:rsidR="00593654" w:rsidRPr="00CB71AA" w:rsidRDefault="00155CE3" w:rsidP="00593654">
      <w:pPr>
        <w:rPr>
          <w:rFonts w:cstheme="minorHAnsi"/>
          <w:lang w:val="en-US"/>
        </w:rPr>
      </w:pPr>
      <w:r w:rsidRPr="00CB71AA">
        <w:rPr>
          <w:rFonts w:cstheme="minorHAnsi"/>
          <w:lang w:val="en-US"/>
        </w:rPr>
        <w:t xml:space="preserve">In </w:t>
      </w:r>
      <w:r w:rsidR="00CB71AA" w:rsidRPr="00CB71AA">
        <w:rPr>
          <w:rFonts w:cstheme="minorHAnsi"/>
          <w:lang w:val="en-US"/>
        </w:rPr>
        <w:t>quarter 1 2023</w:t>
      </w:r>
      <w:r w:rsidR="00962884" w:rsidRPr="00CB71AA">
        <w:rPr>
          <w:rFonts w:cstheme="minorHAnsi"/>
          <w:lang w:val="en-US"/>
        </w:rPr>
        <w:t xml:space="preserve"> o</w:t>
      </w:r>
      <w:r w:rsidR="00144F45" w:rsidRPr="00CB71AA">
        <w:rPr>
          <w:rFonts w:cstheme="minorHAnsi"/>
          <w:lang w:val="en-US"/>
        </w:rPr>
        <w:t>f the outbreak associated notifications of</w:t>
      </w:r>
      <w:r w:rsidR="00785063" w:rsidRPr="00CB71AA">
        <w:rPr>
          <w:rFonts w:cstheme="minorHAnsi"/>
          <w:lang w:val="en-US"/>
        </w:rPr>
        <w:t xml:space="preserve"> infectious</w:t>
      </w:r>
      <w:r w:rsidR="00144F45" w:rsidRPr="00CB71AA">
        <w:rPr>
          <w:rFonts w:cstheme="minorHAnsi"/>
          <w:lang w:val="en-US"/>
        </w:rPr>
        <w:t xml:space="preserve"> syphilis among women of reproductive a</w:t>
      </w:r>
      <w:r w:rsidR="00962884" w:rsidRPr="00CB71AA">
        <w:rPr>
          <w:rFonts w:cstheme="minorHAnsi"/>
          <w:lang w:val="en-US"/>
        </w:rPr>
        <w:t xml:space="preserve">ge (15-44 years) reported </w:t>
      </w:r>
      <w:r w:rsidR="00676EF0" w:rsidRPr="00CB71AA">
        <w:rPr>
          <w:rFonts w:cstheme="minorHAnsi"/>
          <w:lang w:val="en-US"/>
        </w:rPr>
        <w:t xml:space="preserve">in Queensland, Western </w:t>
      </w:r>
      <w:r w:rsidR="004A7D9A" w:rsidRPr="00CB71AA">
        <w:rPr>
          <w:rFonts w:cstheme="minorHAnsi"/>
          <w:lang w:val="en-US"/>
        </w:rPr>
        <w:t>Australia,</w:t>
      </w:r>
      <w:r w:rsidR="00676EF0" w:rsidRPr="00CB71AA">
        <w:rPr>
          <w:rFonts w:cstheme="minorHAnsi"/>
          <w:lang w:val="en-US"/>
        </w:rPr>
        <w:t xml:space="preserve"> and South Australia,</w:t>
      </w:r>
      <w:r w:rsidR="003D6D69" w:rsidRPr="00CB71AA">
        <w:rPr>
          <w:rFonts w:cstheme="minorHAnsi"/>
          <w:lang w:val="en-US"/>
        </w:rPr>
        <w:t xml:space="preserve"> 1</w:t>
      </w:r>
      <w:r w:rsidR="00CB71AA" w:rsidRPr="00CB71AA">
        <w:rPr>
          <w:rFonts w:cstheme="minorHAnsi"/>
          <w:lang w:val="en-US"/>
        </w:rPr>
        <w:t>7</w:t>
      </w:r>
      <w:r w:rsidR="003D6D69" w:rsidRPr="00CB71AA">
        <w:rPr>
          <w:rFonts w:cstheme="minorHAnsi"/>
          <w:lang w:val="en-US"/>
        </w:rPr>
        <w:t xml:space="preserve">% were pregnant, </w:t>
      </w:r>
      <w:r w:rsidR="00CB71AA" w:rsidRPr="00CB71AA">
        <w:rPr>
          <w:rFonts w:cstheme="minorHAnsi"/>
          <w:lang w:val="en-US"/>
        </w:rPr>
        <w:t>67</w:t>
      </w:r>
      <w:r w:rsidR="003D6D69" w:rsidRPr="00CB71AA">
        <w:rPr>
          <w:rFonts w:cstheme="minorHAnsi"/>
          <w:lang w:val="en-US"/>
        </w:rPr>
        <w:t xml:space="preserve">% were not pregnant and </w:t>
      </w:r>
      <w:r w:rsidR="00CB71AA" w:rsidRPr="00CB71AA">
        <w:rPr>
          <w:rFonts w:cstheme="minorHAnsi"/>
          <w:lang w:val="en-US"/>
        </w:rPr>
        <w:t>15</w:t>
      </w:r>
      <w:r w:rsidR="003D6D69" w:rsidRPr="00CB71AA">
        <w:rPr>
          <w:rFonts w:cstheme="minorHAnsi"/>
          <w:lang w:val="en-US"/>
        </w:rPr>
        <w:t>% had an unknown pregnancy status</w:t>
      </w:r>
      <w:r w:rsidR="00CD4DF4" w:rsidRPr="00CB71AA">
        <w:rPr>
          <w:rFonts w:cstheme="minorHAnsi"/>
          <w:lang w:val="en-US"/>
        </w:rPr>
        <w:t xml:space="preserve"> </w:t>
      </w:r>
      <w:r w:rsidR="00144F45" w:rsidRPr="00CB71AA">
        <w:rPr>
          <w:rFonts w:cstheme="minorHAnsi"/>
          <w:lang w:val="en-US"/>
        </w:rPr>
        <w:t xml:space="preserve">(Figure </w:t>
      </w:r>
      <w:r w:rsidR="001B7736" w:rsidRPr="00CB71AA">
        <w:rPr>
          <w:rFonts w:cstheme="minorHAnsi"/>
          <w:lang w:val="en-US"/>
        </w:rPr>
        <w:t>1</w:t>
      </w:r>
      <w:r w:rsidR="00491426" w:rsidRPr="00CB71AA">
        <w:rPr>
          <w:rFonts w:cstheme="minorHAnsi"/>
          <w:lang w:val="en-US"/>
        </w:rPr>
        <w:t>1</w:t>
      </w:r>
      <w:r w:rsidR="00144F45" w:rsidRPr="00CB71AA">
        <w:rPr>
          <w:rFonts w:cstheme="minorHAnsi"/>
          <w:lang w:val="en-US"/>
        </w:rPr>
        <w:t>)</w:t>
      </w:r>
      <w:r w:rsidR="00CB71AA" w:rsidRPr="00CB71AA">
        <w:rPr>
          <w:rStyle w:val="FootnoteReference"/>
        </w:rPr>
        <w:footnoteReference w:id="17"/>
      </w:r>
      <w:r w:rsidR="00EC3AD3" w:rsidRPr="00CB71AA">
        <w:rPr>
          <w:rFonts w:cstheme="minorHAnsi"/>
          <w:lang w:val="en-US"/>
        </w:rPr>
        <w:t>.</w:t>
      </w:r>
      <w:r w:rsidR="00593654" w:rsidRPr="00CB71AA">
        <w:rPr>
          <w:rFonts w:cstheme="minorHAnsi"/>
          <w:lang w:val="en-US"/>
        </w:rPr>
        <w:t xml:space="preserve"> </w:t>
      </w:r>
    </w:p>
    <w:p w14:paraId="6E8C284F" w14:textId="77777777" w:rsidR="003D6D69" w:rsidRPr="0069463E" w:rsidRDefault="003D6D69" w:rsidP="002D510C">
      <w:pPr>
        <w:tabs>
          <w:tab w:val="left" w:pos="935"/>
        </w:tabs>
        <w:spacing w:after="60"/>
        <w:ind w:right="-425"/>
        <w:rPr>
          <w:b/>
          <w:highlight w:val="yellow"/>
          <w:lang w:val="en-US"/>
        </w:rPr>
      </w:pPr>
    </w:p>
    <w:p w14:paraId="3C8D43B5" w14:textId="0C472B6D" w:rsidR="003D6D69" w:rsidRPr="0069463E" w:rsidRDefault="003D6D69">
      <w:pPr>
        <w:spacing w:before="0" w:after="0"/>
        <w:rPr>
          <w:b/>
          <w:highlight w:val="yellow"/>
          <w:lang w:val="en-US"/>
        </w:rPr>
      </w:pPr>
      <w:r w:rsidRPr="0069463E">
        <w:rPr>
          <w:b/>
          <w:highlight w:val="yellow"/>
          <w:lang w:val="en-US"/>
        </w:rPr>
        <w:br w:type="page"/>
      </w:r>
    </w:p>
    <w:p w14:paraId="503D298D" w14:textId="4BD9DF06" w:rsidR="00D7203E" w:rsidRPr="00CB71AA" w:rsidRDefault="002D5013" w:rsidP="002D510C">
      <w:pPr>
        <w:tabs>
          <w:tab w:val="left" w:pos="935"/>
        </w:tabs>
        <w:spacing w:after="60"/>
        <w:ind w:right="-425"/>
        <w:rPr>
          <w:b/>
          <w:lang w:val="en-US"/>
        </w:rPr>
      </w:pPr>
      <w:r w:rsidRPr="00CB71AA">
        <w:rPr>
          <w:b/>
          <w:lang w:val="en-US"/>
        </w:rPr>
        <w:lastRenderedPageBreak/>
        <w:t xml:space="preserve">Figure </w:t>
      </w:r>
      <w:r w:rsidR="001B7736" w:rsidRPr="00CB71AA">
        <w:rPr>
          <w:b/>
          <w:lang w:val="en-US"/>
        </w:rPr>
        <w:t>1</w:t>
      </w:r>
      <w:r w:rsidR="00491426" w:rsidRPr="00CB71AA">
        <w:rPr>
          <w:b/>
          <w:lang w:val="en-US"/>
        </w:rPr>
        <w:t>1</w:t>
      </w:r>
      <w:r w:rsidR="00D7203E" w:rsidRPr="00CB71AA">
        <w:rPr>
          <w:b/>
          <w:lang w:val="en-US"/>
        </w:rPr>
        <w:t xml:space="preserve">:  Proportion (%) of </w:t>
      </w:r>
      <w:r w:rsidR="00144F45" w:rsidRPr="00CB71AA">
        <w:rPr>
          <w:b/>
          <w:lang w:val="en-US"/>
        </w:rPr>
        <w:t xml:space="preserve">outbreak associated syphilis notifications among </w:t>
      </w:r>
      <w:r w:rsidR="00D7203E" w:rsidRPr="00CB71AA">
        <w:rPr>
          <w:b/>
          <w:lang w:val="en-US"/>
        </w:rPr>
        <w:t>women</w:t>
      </w:r>
      <w:r w:rsidR="00144F45" w:rsidRPr="00CB71AA">
        <w:rPr>
          <w:b/>
          <w:lang w:val="en-US"/>
        </w:rPr>
        <w:t xml:space="preserve"> of reproductive a</w:t>
      </w:r>
      <w:r w:rsidR="00BB7864" w:rsidRPr="00CB71AA">
        <w:rPr>
          <w:b/>
          <w:lang w:val="en-US"/>
        </w:rPr>
        <w:t>g</w:t>
      </w:r>
      <w:r w:rsidR="00144F45" w:rsidRPr="00CB71AA">
        <w:rPr>
          <w:b/>
          <w:lang w:val="en-US"/>
        </w:rPr>
        <w:t xml:space="preserve">e </w:t>
      </w:r>
      <w:r w:rsidR="00155CE3" w:rsidRPr="00CB71AA">
        <w:rPr>
          <w:b/>
          <w:lang w:val="en-US"/>
        </w:rPr>
        <w:br/>
      </w:r>
      <w:r w:rsidR="00144F45" w:rsidRPr="00CB71AA">
        <w:rPr>
          <w:b/>
          <w:lang w:val="en-US"/>
        </w:rPr>
        <w:t xml:space="preserve">(15-44 years), by pregnancy status at time of syphilis diagnosis and </w:t>
      </w:r>
      <w:r w:rsidR="00D7203E" w:rsidRPr="00CB71AA">
        <w:rPr>
          <w:b/>
          <w:lang w:val="en-US"/>
        </w:rPr>
        <w:t>year</w:t>
      </w:r>
      <w:r w:rsidR="004E7FF9" w:rsidRPr="00CB71AA">
        <w:rPr>
          <w:b/>
          <w:lang w:val="en-US"/>
        </w:rPr>
        <w:t>, 201</w:t>
      </w:r>
      <w:r w:rsidR="00CC0C65" w:rsidRPr="00CB71AA">
        <w:rPr>
          <w:b/>
          <w:lang w:val="en-US"/>
        </w:rPr>
        <w:t>7</w:t>
      </w:r>
      <w:r w:rsidR="004E7FF9" w:rsidRPr="00CB71AA">
        <w:rPr>
          <w:b/>
          <w:lang w:val="en-US"/>
        </w:rPr>
        <w:t xml:space="preserve"> </w:t>
      </w:r>
      <w:r w:rsidR="00373FCE" w:rsidRPr="00CB71AA">
        <w:rPr>
          <w:b/>
          <w:lang w:val="en-US"/>
        </w:rPr>
        <w:t>–</w:t>
      </w:r>
      <w:r w:rsidR="004E7FF9" w:rsidRPr="00CB71AA">
        <w:rPr>
          <w:b/>
          <w:lang w:val="en-US"/>
        </w:rPr>
        <w:t xml:space="preserve"> </w:t>
      </w:r>
      <w:r w:rsidR="00CB71AA" w:rsidRPr="00CB71AA">
        <w:rPr>
          <w:b/>
          <w:lang w:val="en-US"/>
        </w:rPr>
        <w:t>Q1 2023</w:t>
      </w:r>
      <w:r w:rsidR="000A6661" w:rsidRPr="00CB71AA">
        <w:rPr>
          <w:b/>
          <w:lang w:val="en-US"/>
        </w:rPr>
        <w:t xml:space="preserve"> </w:t>
      </w:r>
    </w:p>
    <w:p w14:paraId="4C3E3BFA" w14:textId="2DAA56A3" w:rsidR="003D6D69" w:rsidRPr="0069463E" w:rsidRDefault="00CB71AA" w:rsidP="002D510C">
      <w:pPr>
        <w:tabs>
          <w:tab w:val="left" w:pos="935"/>
        </w:tabs>
        <w:spacing w:after="60"/>
        <w:ind w:right="-425"/>
        <w:rPr>
          <w:b/>
          <w:highlight w:val="yellow"/>
          <w:lang w:val="en-US"/>
        </w:rPr>
      </w:pPr>
      <w:r>
        <w:rPr>
          <w:b/>
          <w:noProof/>
          <w:highlight w:val="yellow"/>
        </w:rPr>
        <w:drawing>
          <wp:inline distT="0" distB="0" distL="0" distR="0" wp14:anchorId="115839C0" wp14:editId="04BCC2CC">
            <wp:extent cx="6244177" cy="4067175"/>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253120" cy="4073000"/>
                    </a:xfrm>
                    <a:prstGeom prst="rect">
                      <a:avLst/>
                    </a:prstGeom>
                    <a:noFill/>
                  </pic:spPr>
                </pic:pic>
              </a:graphicData>
            </a:graphic>
          </wp:inline>
        </w:drawing>
      </w:r>
    </w:p>
    <w:p w14:paraId="64645212" w14:textId="38EF6DE7" w:rsidR="00D7203E" w:rsidRPr="0069463E" w:rsidRDefault="00D7203E" w:rsidP="002D510C">
      <w:pPr>
        <w:spacing w:after="60" w:line="276" w:lineRule="auto"/>
        <w:rPr>
          <w:rFonts w:ascii="Times New Roman" w:hAnsi="Times New Roman"/>
          <w:highlight w:val="yellow"/>
          <w:lang w:val="en-US"/>
        </w:rPr>
      </w:pPr>
    </w:p>
    <w:p w14:paraId="7ABA08DB" w14:textId="60BC59B4" w:rsidR="00D65F20" w:rsidRPr="00DC5581" w:rsidRDefault="0088742B" w:rsidP="00821C6B">
      <w:pPr>
        <w:pStyle w:val="Heading3"/>
        <w:rPr>
          <w:lang w:val="en-US"/>
        </w:rPr>
      </w:pPr>
      <w:r w:rsidRPr="00DC5581">
        <w:rPr>
          <w:lang w:val="en-US"/>
        </w:rPr>
        <w:t xml:space="preserve">Indicator </w:t>
      </w:r>
      <w:r w:rsidR="00D65F20" w:rsidRPr="00DC5581">
        <w:rPr>
          <w:lang w:val="en-US"/>
        </w:rPr>
        <w:t>3.5 - Cumulative number of syphilis tests delivered through participating ACCHS in outbreak affected jurisdictions</w:t>
      </w:r>
    </w:p>
    <w:p w14:paraId="7218533E" w14:textId="5916512A" w:rsidR="00D65F20" w:rsidRPr="00DC5581" w:rsidRDefault="0088742B" w:rsidP="00821C6B">
      <w:pPr>
        <w:pStyle w:val="Heading3"/>
        <w:rPr>
          <w:rFonts w:ascii="Times New Roman" w:hAnsi="Times New Roman"/>
          <w:lang w:val="en-US"/>
        </w:rPr>
      </w:pPr>
      <w:r w:rsidRPr="00DC5581">
        <w:rPr>
          <w:lang w:val="en-US"/>
        </w:rPr>
        <w:t xml:space="preserve">Indicator </w:t>
      </w:r>
      <w:r w:rsidR="00D65F20" w:rsidRPr="00DC5581">
        <w:rPr>
          <w:lang w:val="en-US"/>
        </w:rPr>
        <w:t>3.6 - Proportion of people attending participating ACCHS who received a syphilis test</w:t>
      </w:r>
      <w:r w:rsidR="00D65F20" w:rsidRPr="00DC5581">
        <w:rPr>
          <w:rFonts w:ascii="Times New Roman" w:hAnsi="Times New Roman"/>
          <w:lang w:val="en-US"/>
        </w:rPr>
        <w:t xml:space="preserve"> </w:t>
      </w:r>
    </w:p>
    <w:p w14:paraId="166CDA59" w14:textId="0E30117C" w:rsidR="003C6F8B" w:rsidRPr="00DC5581" w:rsidRDefault="00564CC8" w:rsidP="006F44C6">
      <w:pPr>
        <w:ind w:right="283"/>
        <w:rPr>
          <w:rFonts w:cstheme="minorHAnsi"/>
        </w:rPr>
      </w:pPr>
      <w:r w:rsidRPr="00DC5581">
        <w:rPr>
          <w:rFonts w:cstheme="minorHAnsi"/>
          <w:szCs w:val="22"/>
          <w:lang w:val="en-US"/>
        </w:rPr>
        <w:t>On 1 August 2018, the test and treat model to curb the syphilis</w:t>
      </w:r>
      <w:r w:rsidR="00646993" w:rsidRPr="00DC5581">
        <w:rPr>
          <w:rFonts w:cstheme="minorHAnsi"/>
          <w:szCs w:val="22"/>
          <w:lang w:val="en-US"/>
        </w:rPr>
        <w:t xml:space="preserve"> outbreak</w:t>
      </w:r>
      <w:r w:rsidRPr="00DC5581">
        <w:rPr>
          <w:rFonts w:cstheme="minorHAnsi"/>
          <w:szCs w:val="22"/>
          <w:lang w:val="en-US"/>
        </w:rPr>
        <w:t xml:space="preserve"> commenced at ACCHS in </w:t>
      </w:r>
      <w:r w:rsidR="00646993" w:rsidRPr="00DC5581">
        <w:rPr>
          <w:rFonts w:cstheme="minorHAnsi"/>
          <w:szCs w:val="22"/>
        </w:rPr>
        <w:t>Townsville</w:t>
      </w:r>
      <w:r w:rsidR="0088742B" w:rsidRPr="00DC5581">
        <w:rPr>
          <w:rFonts w:cstheme="minorHAnsi"/>
          <w:szCs w:val="22"/>
        </w:rPr>
        <w:t xml:space="preserve"> (Queensland)</w:t>
      </w:r>
      <w:r w:rsidR="00646993" w:rsidRPr="00DC5581">
        <w:rPr>
          <w:rFonts w:cstheme="minorHAnsi"/>
          <w:szCs w:val="22"/>
        </w:rPr>
        <w:t>, Cairns</w:t>
      </w:r>
      <w:r w:rsidR="00676EF0" w:rsidRPr="00DC5581">
        <w:rPr>
          <w:rFonts w:cstheme="minorHAnsi"/>
          <w:szCs w:val="22"/>
        </w:rPr>
        <w:t xml:space="preserve"> (Queensland</w:t>
      </w:r>
      <w:r w:rsidR="00EF330D" w:rsidRPr="00DC5581">
        <w:rPr>
          <w:rFonts w:cstheme="minorHAnsi"/>
          <w:szCs w:val="22"/>
        </w:rPr>
        <w:t>)</w:t>
      </w:r>
      <w:r w:rsidR="00646993" w:rsidRPr="00DC5581">
        <w:rPr>
          <w:rFonts w:cstheme="minorHAnsi"/>
          <w:szCs w:val="22"/>
        </w:rPr>
        <w:t xml:space="preserve"> and Darwin</w:t>
      </w:r>
      <w:r w:rsidR="00EF330D" w:rsidRPr="00DC5581">
        <w:rPr>
          <w:rFonts w:cstheme="minorHAnsi"/>
          <w:szCs w:val="22"/>
        </w:rPr>
        <w:t xml:space="preserve"> (N</w:t>
      </w:r>
      <w:r w:rsidR="00676EF0" w:rsidRPr="00DC5581">
        <w:rPr>
          <w:rFonts w:cstheme="minorHAnsi"/>
          <w:szCs w:val="22"/>
        </w:rPr>
        <w:t xml:space="preserve">orthern </w:t>
      </w:r>
      <w:r w:rsidR="00EF330D" w:rsidRPr="00DC5581">
        <w:rPr>
          <w:rFonts w:cstheme="minorHAnsi"/>
          <w:szCs w:val="22"/>
        </w:rPr>
        <w:t>T</w:t>
      </w:r>
      <w:r w:rsidR="00676EF0" w:rsidRPr="00DC5581">
        <w:rPr>
          <w:rFonts w:cstheme="minorHAnsi"/>
          <w:szCs w:val="22"/>
        </w:rPr>
        <w:t>erritory</w:t>
      </w:r>
      <w:r w:rsidR="00EF330D" w:rsidRPr="00DC5581">
        <w:rPr>
          <w:rFonts w:cstheme="minorHAnsi"/>
          <w:szCs w:val="22"/>
        </w:rPr>
        <w:t>)</w:t>
      </w:r>
      <w:r w:rsidRPr="00DC5581">
        <w:rPr>
          <w:rFonts w:cstheme="minorHAnsi"/>
          <w:szCs w:val="22"/>
          <w:lang w:val="en-US"/>
        </w:rPr>
        <w:t xml:space="preserve">.  </w:t>
      </w:r>
      <w:r w:rsidR="00646993" w:rsidRPr="00DC5581">
        <w:rPr>
          <w:rFonts w:cstheme="minorHAnsi"/>
          <w:szCs w:val="22"/>
          <w:lang w:val="en-US"/>
        </w:rPr>
        <w:t xml:space="preserve">These sites were chosen in consultation with the jurisdictions and </w:t>
      </w:r>
      <w:r w:rsidR="002621B5" w:rsidRPr="00DC5581">
        <w:rPr>
          <w:rFonts w:cstheme="minorHAnsi"/>
          <w:szCs w:val="22"/>
          <w:lang w:val="en-US"/>
        </w:rPr>
        <w:t xml:space="preserve">the </w:t>
      </w:r>
      <w:r w:rsidR="00646993" w:rsidRPr="00DC5581">
        <w:rPr>
          <w:rFonts w:cstheme="minorHAnsi"/>
          <w:szCs w:val="22"/>
          <w:lang w:val="en-US"/>
        </w:rPr>
        <w:t>National Aboriginal Community Controlled Health Organisation (NACCHO).  On 1 September 2018, the second phase commenced in ACCHS in Katherine</w:t>
      </w:r>
      <w:r w:rsidR="00676EF0" w:rsidRPr="00DC5581">
        <w:rPr>
          <w:rFonts w:cstheme="minorHAnsi"/>
          <w:szCs w:val="22"/>
          <w:lang w:val="en-US"/>
        </w:rPr>
        <w:t xml:space="preserve"> (Northern Territory</w:t>
      </w:r>
      <w:r w:rsidR="00EF330D" w:rsidRPr="00DC5581">
        <w:rPr>
          <w:rFonts w:cstheme="minorHAnsi"/>
          <w:szCs w:val="22"/>
          <w:lang w:val="en-US"/>
        </w:rPr>
        <w:t>)</w:t>
      </w:r>
      <w:r w:rsidR="00746010" w:rsidRPr="00DC5581">
        <w:rPr>
          <w:rFonts w:cstheme="minorHAnsi"/>
          <w:szCs w:val="22"/>
          <w:lang w:val="en-US"/>
        </w:rPr>
        <w:t>, East Arnhem</w:t>
      </w:r>
      <w:r w:rsidR="00EF330D" w:rsidRPr="00DC5581">
        <w:rPr>
          <w:rFonts w:cstheme="minorHAnsi"/>
          <w:szCs w:val="22"/>
          <w:lang w:val="en-US"/>
        </w:rPr>
        <w:t xml:space="preserve"> (N</w:t>
      </w:r>
      <w:r w:rsidR="00676EF0" w:rsidRPr="00DC5581">
        <w:rPr>
          <w:rFonts w:cstheme="minorHAnsi"/>
          <w:szCs w:val="22"/>
          <w:lang w:val="en-US"/>
        </w:rPr>
        <w:t xml:space="preserve">orthern </w:t>
      </w:r>
      <w:r w:rsidR="00EF330D" w:rsidRPr="00DC5581">
        <w:rPr>
          <w:rFonts w:cstheme="minorHAnsi"/>
          <w:szCs w:val="22"/>
          <w:lang w:val="en-US"/>
        </w:rPr>
        <w:t>T</w:t>
      </w:r>
      <w:r w:rsidR="00676EF0" w:rsidRPr="00DC5581">
        <w:rPr>
          <w:rFonts w:cstheme="minorHAnsi"/>
          <w:szCs w:val="22"/>
          <w:lang w:val="en-US"/>
        </w:rPr>
        <w:t>erritory</w:t>
      </w:r>
      <w:r w:rsidR="00EF330D" w:rsidRPr="00DC5581">
        <w:rPr>
          <w:rFonts w:cstheme="minorHAnsi"/>
          <w:szCs w:val="22"/>
          <w:lang w:val="en-US"/>
        </w:rPr>
        <w:t>)</w:t>
      </w:r>
      <w:r w:rsidR="00746010" w:rsidRPr="00DC5581">
        <w:rPr>
          <w:rFonts w:cstheme="minorHAnsi"/>
          <w:szCs w:val="22"/>
          <w:lang w:val="en-US"/>
        </w:rPr>
        <w:t xml:space="preserve"> and the Kimberley</w:t>
      </w:r>
      <w:r w:rsidR="006F44C6" w:rsidRPr="00DC5581">
        <w:rPr>
          <w:rFonts w:cstheme="minorHAnsi"/>
          <w:szCs w:val="22"/>
          <w:lang w:val="en-US"/>
        </w:rPr>
        <w:t xml:space="preserve"> east (Western Australia</w:t>
      </w:r>
      <w:r w:rsidR="00EF330D" w:rsidRPr="00DC5581">
        <w:rPr>
          <w:rFonts w:cstheme="minorHAnsi"/>
          <w:szCs w:val="22"/>
          <w:lang w:val="en-US"/>
        </w:rPr>
        <w:t>)</w:t>
      </w:r>
      <w:r w:rsidR="00646993" w:rsidRPr="00DC5581">
        <w:rPr>
          <w:rFonts w:cstheme="minorHAnsi"/>
          <w:szCs w:val="22"/>
          <w:lang w:val="en-US"/>
        </w:rPr>
        <w:t xml:space="preserve">. On 1 May 2019, the third phase commenced with additional services in the </w:t>
      </w:r>
      <w:r w:rsidR="006F44C6" w:rsidRPr="00DC5581">
        <w:rPr>
          <w:rFonts w:cstheme="minorHAnsi"/>
          <w:szCs w:val="22"/>
          <w:lang w:val="en-US"/>
        </w:rPr>
        <w:t>West Arnhem (Northern Territory), Pilbara (Western Australia) and Kimberley west (Western Australia</w:t>
      </w:r>
      <w:r w:rsidR="00EF330D" w:rsidRPr="00DC5581">
        <w:rPr>
          <w:rFonts w:cstheme="minorHAnsi"/>
          <w:szCs w:val="22"/>
          <w:lang w:val="en-US"/>
        </w:rPr>
        <w:t>).</w:t>
      </w:r>
      <w:r w:rsidR="00646993" w:rsidRPr="00DC5581">
        <w:rPr>
          <w:rFonts w:cstheme="minorHAnsi"/>
          <w:szCs w:val="22"/>
          <w:lang w:val="en-US"/>
        </w:rPr>
        <w:t xml:space="preserve"> The first ACCHS in South Australia were funded as part of the third phase</w:t>
      </w:r>
      <w:r w:rsidR="00EF330D" w:rsidRPr="00DC5581">
        <w:rPr>
          <w:rFonts w:cstheme="minorHAnsi"/>
          <w:szCs w:val="22"/>
          <w:lang w:val="en-US"/>
        </w:rPr>
        <w:t xml:space="preserve"> (Western and Eyre, Far North and Adelaide)</w:t>
      </w:r>
      <w:r w:rsidR="00646993" w:rsidRPr="00DC5581">
        <w:rPr>
          <w:rFonts w:cstheme="minorHAnsi"/>
          <w:szCs w:val="22"/>
          <w:lang w:val="en-US"/>
        </w:rPr>
        <w:t>.  The fourth phase commenced from May 2020 at ACCHS in Mt Isa</w:t>
      </w:r>
      <w:r w:rsidR="006F44C6" w:rsidRPr="00DC5581">
        <w:rPr>
          <w:rFonts w:cstheme="minorHAnsi"/>
          <w:szCs w:val="22"/>
          <w:lang w:val="en-US"/>
        </w:rPr>
        <w:t xml:space="preserve"> (Queensland</w:t>
      </w:r>
      <w:r w:rsidR="00EF330D" w:rsidRPr="00DC5581">
        <w:rPr>
          <w:rFonts w:cstheme="minorHAnsi"/>
          <w:szCs w:val="22"/>
          <w:lang w:val="en-US"/>
        </w:rPr>
        <w:t>)</w:t>
      </w:r>
      <w:r w:rsidR="006F44C6" w:rsidRPr="00DC5581">
        <w:rPr>
          <w:rFonts w:cstheme="minorHAnsi"/>
          <w:szCs w:val="22"/>
          <w:lang w:val="en-US"/>
        </w:rPr>
        <w:t>, and Tennant Creek (Northern Territory</w:t>
      </w:r>
      <w:r w:rsidR="00646993" w:rsidRPr="00DC5581">
        <w:rPr>
          <w:rFonts w:cstheme="minorHAnsi"/>
          <w:szCs w:val="22"/>
          <w:lang w:val="en-US"/>
        </w:rPr>
        <w:t>)</w:t>
      </w:r>
      <w:r w:rsidR="00746010" w:rsidRPr="00DC5581">
        <w:rPr>
          <w:rFonts w:cstheme="minorHAnsi"/>
          <w:szCs w:val="22"/>
          <w:lang w:val="en-US"/>
        </w:rPr>
        <w:t xml:space="preserve">. </w:t>
      </w:r>
      <w:r w:rsidR="003C6F8B" w:rsidRPr="00DC5581">
        <w:rPr>
          <w:rFonts w:cstheme="minorHAnsi"/>
          <w:szCs w:val="22"/>
          <w:lang w:val="en-US"/>
        </w:rPr>
        <w:t xml:space="preserve"> </w:t>
      </w:r>
      <w:r w:rsidR="00D22675" w:rsidRPr="00DC5581">
        <w:rPr>
          <w:rFonts w:cstheme="minorHAnsi"/>
        </w:rPr>
        <w:t xml:space="preserve">The below data summarises syphilis testing </w:t>
      </w:r>
      <w:r w:rsidR="00292112" w:rsidRPr="00DC5581">
        <w:rPr>
          <w:rFonts w:cstheme="minorHAnsi"/>
        </w:rPr>
        <w:t xml:space="preserve">data and </w:t>
      </w:r>
      <w:r w:rsidR="00D22675" w:rsidRPr="00DC5581">
        <w:rPr>
          <w:rFonts w:cstheme="minorHAnsi"/>
        </w:rPr>
        <w:t>coverage for participating ACCHS, noting that dat</w:t>
      </w:r>
      <w:r w:rsidR="00292112" w:rsidRPr="00DC5581">
        <w:rPr>
          <w:rFonts w:cstheme="minorHAnsi"/>
        </w:rPr>
        <w:t>a are missing for some services</w:t>
      </w:r>
      <w:r w:rsidR="00EA4B2D">
        <w:rPr>
          <w:rStyle w:val="FootnoteReference"/>
        </w:rPr>
        <w:footnoteReference w:id="18"/>
      </w:r>
      <w:r w:rsidR="00292112" w:rsidRPr="00DC5581">
        <w:rPr>
          <w:rFonts w:cstheme="minorHAnsi"/>
        </w:rPr>
        <w:t>.</w:t>
      </w:r>
    </w:p>
    <w:p w14:paraId="472E6761" w14:textId="6DB1A817" w:rsidR="00707481" w:rsidRPr="00DC5581" w:rsidRDefault="00707481" w:rsidP="00707481">
      <w:pPr>
        <w:rPr>
          <w:i/>
          <w:color w:val="FF0000"/>
        </w:rPr>
      </w:pPr>
      <w:r w:rsidRPr="00DC5581">
        <w:rPr>
          <w:i/>
          <w:color w:val="FF0000"/>
        </w:rPr>
        <w:t xml:space="preserve">Please note there may be differences with previous reports due </w:t>
      </w:r>
      <w:r w:rsidR="004A7D9A" w:rsidRPr="00DC5581">
        <w:rPr>
          <w:i/>
          <w:color w:val="FF0000"/>
        </w:rPr>
        <w:t>to</w:t>
      </w:r>
      <w:r w:rsidRPr="00DC5581">
        <w:rPr>
          <w:i/>
          <w:color w:val="FF0000"/>
        </w:rPr>
        <w:t xml:space="preserve"> changes in reporting periods from monthly to quarterly</w:t>
      </w:r>
      <w:r w:rsidR="00C705E8" w:rsidRPr="00DC5581">
        <w:rPr>
          <w:i/>
          <w:color w:val="FF0000"/>
        </w:rPr>
        <w:t>; retrospective revision of data and; completeness of historical data.</w:t>
      </w:r>
    </w:p>
    <w:p w14:paraId="16D58252" w14:textId="77777777" w:rsidR="00B67D66" w:rsidRPr="0069463E" w:rsidRDefault="00B67D66">
      <w:pPr>
        <w:spacing w:before="0" w:after="0"/>
        <w:rPr>
          <w:highlight w:val="yellow"/>
        </w:rPr>
      </w:pPr>
      <w:r w:rsidRPr="0069463E">
        <w:rPr>
          <w:highlight w:val="yellow"/>
        </w:rPr>
        <w:br w:type="page"/>
      </w:r>
    </w:p>
    <w:p w14:paraId="25360E78" w14:textId="277472B4" w:rsidR="0097460B" w:rsidRPr="00DC5581" w:rsidRDefault="00746010" w:rsidP="00B67D66">
      <w:pPr>
        <w:spacing w:after="0"/>
      </w:pPr>
      <w:r w:rsidRPr="00DC5581">
        <w:lastRenderedPageBreak/>
        <w:t xml:space="preserve">As at </w:t>
      </w:r>
      <w:r w:rsidR="00DC5581" w:rsidRPr="00DC5581">
        <w:t>Q1 2023</w:t>
      </w:r>
      <w:r w:rsidR="0097460B" w:rsidRPr="00DC5581">
        <w:t>, through participating ACCHS</w:t>
      </w:r>
      <w:r w:rsidR="001B7736" w:rsidRPr="00DC5581">
        <w:t xml:space="preserve"> (Figures 1</w:t>
      </w:r>
      <w:r w:rsidR="00491426" w:rsidRPr="00DC5581">
        <w:t>2</w:t>
      </w:r>
      <w:r w:rsidR="001B7736" w:rsidRPr="00DC5581">
        <w:t xml:space="preserve"> and 1</w:t>
      </w:r>
      <w:r w:rsidR="00491426" w:rsidRPr="00DC5581">
        <w:t>3</w:t>
      </w:r>
      <w:r w:rsidR="001B7736" w:rsidRPr="00DC5581">
        <w:t xml:space="preserve"> a-b)</w:t>
      </w:r>
      <w:r w:rsidR="0097460B" w:rsidRPr="00DC5581">
        <w:t>:</w:t>
      </w:r>
    </w:p>
    <w:p w14:paraId="10883593" w14:textId="7B372BBE" w:rsidR="0097460B" w:rsidRPr="00DC5581" w:rsidRDefault="004A7D9A" w:rsidP="00E41B63">
      <w:pPr>
        <w:pStyle w:val="ListNumber2"/>
      </w:pPr>
      <w:r w:rsidRPr="00DC5581">
        <w:t>9</w:t>
      </w:r>
      <w:r w:rsidR="00DC5581" w:rsidRPr="00DC5581">
        <w:t>9,957</w:t>
      </w:r>
      <w:r w:rsidR="008642F8" w:rsidRPr="00DC5581">
        <w:t xml:space="preserve"> syphilis tests</w:t>
      </w:r>
      <w:r w:rsidR="00EF330D" w:rsidRPr="00DC5581">
        <w:t>, point-of-care tests (</w:t>
      </w:r>
      <w:proofErr w:type="spellStart"/>
      <w:r w:rsidR="00EF330D" w:rsidRPr="00DC5581">
        <w:t>PoCT</w:t>
      </w:r>
      <w:proofErr w:type="spellEnd"/>
      <w:r w:rsidR="00EF330D" w:rsidRPr="00DC5581">
        <w:t>) and</w:t>
      </w:r>
      <w:r w:rsidR="00A307B7">
        <w:t>/or</w:t>
      </w:r>
      <w:r w:rsidR="00EF330D" w:rsidRPr="00DC5581">
        <w:t xml:space="preserve"> serological tests,</w:t>
      </w:r>
      <w:r w:rsidR="008642F8" w:rsidRPr="00DC5581">
        <w:t xml:space="preserve"> were delivered</w:t>
      </w:r>
      <w:r w:rsidR="00D22675" w:rsidRPr="00DC5581">
        <w:t xml:space="preserve"> </w:t>
      </w:r>
      <w:r w:rsidR="00373FCE" w:rsidRPr="00DC5581">
        <w:t xml:space="preserve">from </w:t>
      </w:r>
      <w:r w:rsidR="00D22675" w:rsidRPr="00DC5581">
        <w:t xml:space="preserve">the commencement of phase 1 of the test and treat model rollout on 1 August 2018.  On </w:t>
      </w:r>
      <w:r w:rsidR="00AD021B" w:rsidRPr="00DC5581">
        <w:t xml:space="preserve">average </w:t>
      </w:r>
      <w:r w:rsidRPr="00DC5581">
        <w:t>5,</w:t>
      </w:r>
      <w:r w:rsidR="00DC5581" w:rsidRPr="00DC5581">
        <w:t>261</w:t>
      </w:r>
      <w:r w:rsidR="00DC5581" w:rsidRPr="00DC5581">
        <w:tab/>
      </w:r>
      <w:r w:rsidR="0097460B" w:rsidRPr="00DC5581">
        <w:t xml:space="preserve"> new tests </w:t>
      </w:r>
      <w:r w:rsidR="00D22675" w:rsidRPr="00DC5581">
        <w:t xml:space="preserve">are </w:t>
      </w:r>
      <w:r w:rsidR="0097460B" w:rsidRPr="00DC5581">
        <w:t xml:space="preserve">performed each </w:t>
      </w:r>
      <w:r w:rsidR="007C4A77" w:rsidRPr="00DC5581">
        <w:t>quarter</w:t>
      </w:r>
      <w:r w:rsidR="0097460B" w:rsidRPr="00DC5581">
        <w:t xml:space="preserve"> </w:t>
      </w:r>
      <w:r w:rsidR="00EE7A6B" w:rsidRPr="00DC5581">
        <w:t>(Figure 1</w:t>
      </w:r>
      <w:r w:rsidR="007C4A77" w:rsidRPr="00DC5581">
        <w:t>2</w:t>
      </w:r>
      <w:r w:rsidR="001E7036" w:rsidRPr="00DC5581">
        <w:t>)</w:t>
      </w:r>
      <w:r w:rsidR="0097460B" w:rsidRPr="00DC5581">
        <w:t>.</w:t>
      </w:r>
    </w:p>
    <w:p w14:paraId="247F1BD2" w14:textId="4C3C676D" w:rsidR="0097460B" w:rsidRPr="00DC5581" w:rsidRDefault="00950AE9" w:rsidP="00E41B63">
      <w:pPr>
        <w:pStyle w:val="ListNumber2"/>
      </w:pPr>
      <w:r w:rsidRPr="00DC5581">
        <w:t xml:space="preserve">the </w:t>
      </w:r>
      <w:r w:rsidR="00104A5F" w:rsidRPr="00DC5581">
        <w:t>quarterly</w:t>
      </w:r>
      <w:r w:rsidR="003F520D" w:rsidRPr="00DC5581">
        <w:t xml:space="preserve"> </w:t>
      </w:r>
      <w:r w:rsidRPr="00DC5581">
        <w:t>testing co</w:t>
      </w:r>
      <w:r w:rsidR="00AD021B" w:rsidRPr="00DC5581">
        <w:t xml:space="preserve">verage for </w:t>
      </w:r>
      <w:r w:rsidR="00166140">
        <w:t>clients attending the service</w:t>
      </w:r>
      <w:r w:rsidR="00AD021B" w:rsidRPr="00DC5581">
        <w:t xml:space="preserve"> was </w:t>
      </w:r>
      <w:r w:rsidR="00432E6F" w:rsidRPr="00DC5581">
        <w:t>1</w:t>
      </w:r>
      <w:r w:rsidR="00DC5581" w:rsidRPr="00DC5581">
        <w:t>5</w:t>
      </w:r>
      <w:r w:rsidRPr="00DC5581">
        <w:t>%</w:t>
      </w:r>
      <w:r w:rsidR="003F520D" w:rsidRPr="00DC5581">
        <w:t xml:space="preserve">, </w:t>
      </w:r>
      <w:r w:rsidR="00432E6F" w:rsidRPr="00DC5581">
        <w:t>higher t</w:t>
      </w:r>
      <w:r w:rsidR="003F520D" w:rsidRPr="00DC5581">
        <w:t xml:space="preserve">han the </w:t>
      </w:r>
      <w:r w:rsidR="00104A5F" w:rsidRPr="00DC5581">
        <w:t>quarterly</w:t>
      </w:r>
      <w:r w:rsidR="003F520D" w:rsidRPr="00DC5581">
        <w:t xml:space="preserve"> average for the preceding 12 months (</w:t>
      </w:r>
      <w:r w:rsidR="004A7D9A" w:rsidRPr="00DC5581">
        <w:t>1</w:t>
      </w:r>
      <w:r w:rsidR="00DC5581" w:rsidRPr="00DC5581">
        <w:t>3</w:t>
      </w:r>
      <w:r w:rsidR="003F520D" w:rsidRPr="00DC5581">
        <w:t xml:space="preserve">%, </w:t>
      </w:r>
      <w:r w:rsidR="00DC5581" w:rsidRPr="00DC5581">
        <w:t>Q2 2022</w:t>
      </w:r>
      <w:r w:rsidR="00EE7A6B" w:rsidRPr="00DC5581">
        <w:t xml:space="preserve"> – </w:t>
      </w:r>
      <w:r w:rsidR="00DC5581" w:rsidRPr="00DC5581">
        <w:t>Q1 2023</w:t>
      </w:r>
      <w:r w:rsidR="00EE7A6B" w:rsidRPr="00DC5581">
        <w:t>) (Figure 1</w:t>
      </w:r>
      <w:r w:rsidR="00104A5F" w:rsidRPr="00DC5581">
        <w:t>3</w:t>
      </w:r>
      <w:r w:rsidR="003F520D" w:rsidRPr="00DC5581">
        <w:t>a).</w:t>
      </w:r>
    </w:p>
    <w:p w14:paraId="67552F78" w14:textId="34D11BFC" w:rsidR="003F520D" w:rsidRPr="00DC5581" w:rsidRDefault="003F520D" w:rsidP="00E41B63">
      <w:pPr>
        <w:pStyle w:val="ListNumber2"/>
      </w:pPr>
      <w:r w:rsidRPr="00DC5581">
        <w:t xml:space="preserve">the </w:t>
      </w:r>
      <w:r w:rsidR="00104A5F" w:rsidRPr="00DC5581">
        <w:t xml:space="preserve">quarterly </w:t>
      </w:r>
      <w:r w:rsidRPr="00DC5581">
        <w:t xml:space="preserve">testing coverage for the target age group (15-34 years) </w:t>
      </w:r>
      <w:r w:rsidR="00770F69">
        <w:t xml:space="preserve">of clients attending the service </w:t>
      </w:r>
      <w:r w:rsidRPr="00DC5581">
        <w:t xml:space="preserve">was </w:t>
      </w:r>
      <w:r w:rsidR="00432E6F" w:rsidRPr="00DC5581">
        <w:t>2</w:t>
      </w:r>
      <w:r w:rsidR="00DC5581" w:rsidRPr="00DC5581">
        <w:t>5</w:t>
      </w:r>
      <w:r w:rsidRPr="00DC5581">
        <w:t xml:space="preserve">%, </w:t>
      </w:r>
      <w:r w:rsidR="00432E6F" w:rsidRPr="00DC5581">
        <w:t xml:space="preserve">higher </w:t>
      </w:r>
      <w:r w:rsidRPr="00DC5581">
        <w:t xml:space="preserve">than the </w:t>
      </w:r>
      <w:r w:rsidR="00104A5F" w:rsidRPr="00DC5581">
        <w:t>quarterly</w:t>
      </w:r>
      <w:r w:rsidRPr="00DC5581">
        <w:t xml:space="preserve"> average f</w:t>
      </w:r>
      <w:r w:rsidR="00684051" w:rsidRPr="00DC5581">
        <w:t>or the preceding 12 months (</w:t>
      </w:r>
      <w:r w:rsidR="00DC5581" w:rsidRPr="00DC5581">
        <w:t>22</w:t>
      </w:r>
      <w:r w:rsidRPr="00DC5581">
        <w:t>%</w:t>
      </w:r>
      <w:r w:rsidR="004A7D9A" w:rsidRPr="00DC5581">
        <w:t>)</w:t>
      </w:r>
      <w:r w:rsidR="00EE7A6B" w:rsidRPr="00DC5581">
        <w:t xml:space="preserve"> (Figure 1</w:t>
      </w:r>
      <w:r w:rsidR="00104A5F" w:rsidRPr="00DC5581">
        <w:t>3</w:t>
      </w:r>
      <w:r w:rsidRPr="00DC5581">
        <w:t>b).</w:t>
      </w:r>
    </w:p>
    <w:p w14:paraId="10DDEE62" w14:textId="77777777" w:rsidR="00B67D66" w:rsidRPr="0069463E" w:rsidRDefault="00B67D66" w:rsidP="00B67D66">
      <w:pPr>
        <w:spacing w:before="0" w:after="0"/>
        <w:rPr>
          <w:bCs/>
          <w:i/>
          <w:color w:val="FF0000"/>
          <w:highlight w:val="yellow"/>
        </w:rPr>
      </w:pPr>
    </w:p>
    <w:p w14:paraId="1F2412E9" w14:textId="579F3C67" w:rsidR="00B67D66" w:rsidRPr="0069463E" w:rsidRDefault="00B67D66" w:rsidP="00B67D66">
      <w:pPr>
        <w:spacing w:before="0" w:after="0"/>
        <w:rPr>
          <w:bCs/>
          <w:i/>
          <w:color w:val="FF0000"/>
        </w:rPr>
      </w:pPr>
      <w:r w:rsidRPr="0069463E">
        <w:rPr>
          <w:bCs/>
          <w:i/>
          <w:color w:val="FF0000"/>
        </w:rPr>
        <w:t>Please note that at the time of writing data were missing for some services and therefore testing numbers reported are likely to be an underestimate of all tests delivered.</w:t>
      </w:r>
    </w:p>
    <w:p w14:paraId="12DD30C2" w14:textId="77777777" w:rsidR="00B67D66" w:rsidRPr="0069463E" w:rsidRDefault="00B67D66" w:rsidP="00B67D66">
      <w:pPr>
        <w:spacing w:before="0" w:after="0"/>
        <w:rPr>
          <w:bCs/>
          <w:i/>
          <w:color w:val="FF0000"/>
        </w:rPr>
      </w:pPr>
    </w:p>
    <w:p w14:paraId="1B04C11D" w14:textId="28940F11" w:rsidR="00DD77F8" w:rsidRPr="0069463E" w:rsidRDefault="002D5013" w:rsidP="00B67D66">
      <w:pPr>
        <w:tabs>
          <w:tab w:val="left" w:pos="935"/>
        </w:tabs>
        <w:spacing w:before="0" w:after="0"/>
        <w:ind w:right="-142"/>
        <w:rPr>
          <w:b/>
          <w:lang w:val="en-US"/>
        </w:rPr>
      </w:pPr>
      <w:r w:rsidRPr="0069463E">
        <w:rPr>
          <w:b/>
          <w:lang w:val="en-US"/>
        </w:rPr>
        <w:t>Figure 1</w:t>
      </w:r>
      <w:r w:rsidR="00491426" w:rsidRPr="0069463E">
        <w:rPr>
          <w:b/>
          <w:lang w:val="en-US"/>
        </w:rPr>
        <w:t>2</w:t>
      </w:r>
      <w:r w:rsidR="004755E4" w:rsidRPr="0069463E">
        <w:rPr>
          <w:b/>
          <w:lang w:val="en-US"/>
        </w:rPr>
        <w:t xml:space="preserve">: </w:t>
      </w:r>
      <w:r w:rsidR="00DD77F8" w:rsidRPr="0069463E">
        <w:rPr>
          <w:b/>
          <w:lang w:val="en-US"/>
        </w:rPr>
        <w:t xml:space="preserve">Cumulative number of syphilis tests </w:t>
      </w:r>
      <w:r w:rsidR="003D3A57" w:rsidRPr="0069463E">
        <w:rPr>
          <w:b/>
          <w:lang w:val="en-US"/>
        </w:rPr>
        <w:t>(</w:t>
      </w:r>
      <w:proofErr w:type="spellStart"/>
      <w:r w:rsidR="003D3A57" w:rsidRPr="0069463E">
        <w:rPr>
          <w:b/>
          <w:lang w:val="en-US"/>
        </w:rPr>
        <w:t>PoCT</w:t>
      </w:r>
      <w:proofErr w:type="spellEnd"/>
      <w:r w:rsidR="003D3A57" w:rsidRPr="0069463E">
        <w:rPr>
          <w:b/>
          <w:lang w:val="en-US"/>
        </w:rPr>
        <w:t xml:space="preserve"> and</w:t>
      </w:r>
      <w:r w:rsidR="00A307B7">
        <w:rPr>
          <w:b/>
          <w:lang w:val="en-US"/>
        </w:rPr>
        <w:t>/or</w:t>
      </w:r>
      <w:r w:rsidR="003D3A57" w:rsidRPr="0069463E">
        <w:rPr>
          <w:b/>
          <w:lang w:val="en-US"/>
        </w:rPr>
        <w:t xml:space="preserve"> serology) </w:t>
      </w:r>
      <w:r w:rsidR="00DD77F8" w:rsidRPr="0069463E">
        <w:rPr>
          <w:b/>
          <w:lang w:val="en-US"/>
        </w:rPr>
        <w:t xml:space="preserve">delivered through participating ACCHS </w:t>
      </w:r>
      <w:r w:rsidR="00F66711" w:rsidRPr="0069463E">
        <w:rPr>
          <w:b/>
          <w:lang w:val="en-US"/>
        </w:rPr>
        <w:t>to Aboriginal and Torres Strait Islander peoples</w:t>
      </w:r>
      <w:r w:rsidR="004755E4" w:rsidRPr="0069463E">
        <w:rPr>
          <w:b/>
          <w:lang w:val="en-US"/>
        </w:rPr>
        <w:t xml:space="preserve">, by </w:t>
      </w:r>
      <w:r w:rsidR="00707481" w:rsidRPr="0069463E">
        <w:rPr>
          <w:b/>
          <w:lang w:val="en-US"/>
        </w:rPr>
        <w:t>quarter</w:t>
      </w:r>
      <w:r w:rsidR="004755E4" w:rsidRPr="0069463E">
        <w:rPr>
          <w:b/>
          <w:lang w:val="en-US"/>
        </w:rPr>
        <w:t xml:space="preserve"> and year, </w:t>
      </w:r>
      <w:r w:rsidR="0069463E" w:rsidRPr="0069463E">
        <w:rPr>
          <w:b/>
          <w:lang w:val="en-US"/>
        </w:rPr>
        <w:t>Q3</w:t>
      </w:r>
      <w:r w:rsidR="004755E4" w:rsidRPr="0069463E">
        <w:rPr>
          <w:b/>
          <w:lang w:val="en-US"/>
        </w:rPr>
        <w:t xml:space="preserve"> 2018</w:t>
      </w:r>
      <w:r w:rsidR="0069463E" w:rsidRPr="0069463E">
        <w:rPr>
          <w:b/>
          <w:lang w:val="en-US"/>
        </w:rPr>
        <w:t>*</w:t>
      </w:r>
      <w:r w:rsidR="004755E4" w:rsidRPr="0069463E">
        <w:rPr>
          <w:b/>
          <w:lang w:val="en-US"/>
        </w:rPr>
        <w:t xml:space="preserve"> </w:t>
      </w:r>
      <w:r w:rsidR="00373FCE" w:rsidRPr="0069463E">
        <w:rPr>
          <w:b/>
          <w:lang w:val="en-US"/>
        </w:rPr>
        <w:t>–</w:t>
      </w:r>
      <w:r w:rsidR="00676EF0" w:rsidRPr="0069463E">
        <w:rPr>
          <w:b/>
          <w:lang w:val="en-US"/>
        </w:rPr>
        <w:t xml:space="preserve"> </w:t>
      </w:r>
      <w:r w:rsidR="0069463E" w:rsidRPr="0069463E">
        <w:rPr>
          <w:b/>
          <w:lang w:val="en-US"/>
        </w:rPr>
        <w:t>Q1 2023</w:t>
      </w:r>
    </w:p>
    <w:p w14:paraId="5E837948" w14:textId="5D2F23F7" w:rsidR="00707481" w:rsidRPr="0069463E" w:rsidRDefault="0069463E" w:rsidP="002D510C">
      <w:pPr>
        <w:spacing w:after="60"/>
        <w:rPr>
          <w:b/>
          <w:lang w:val="en-US"/>
        </w:rPr>
      </w:pPr>
      <w:r w:rsidRPr="0069463E">
        <w:rPr>
          <w:b/>
          <w:noProof/>
        </w:rPr>
        <w:drawing>
          <wp:inline distT="0" distB="0" distL="0" distR="0" wp14:anchorId="2C8B1F94" wp14:editId="2EF119FA">
            <wp:extent cx="6348196" cy="413385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357700" cy="4140039"/>
                    </a:xfrm>
                    <a:prstGeom prst="rect">
                      <a:avLst/>
                    </a:prstGeom>
                    <a:noFill/>
                  </pic:spPr>
                </pic:pic>
              </a:graphicData>
            </a:graphic>
          </wp:inline>
        </w:drawing>
      </w:r>
    </w:p>
    <w:p w14:paraId="06A1F5D9" w14:textId="3D97F7DD" w:rsidR="00DA1943" w:rsidRPr="0069463E" w:rsidRDefault="00707481">
      <w:pPr>
        <w:rPr>
          <w:bCs/>
          <w:sz w:val="20"/>
          <w:szCs w:val="18"/>
          <w:lang w:val="en-US"/>
        </w:rPr>
      </w:pPr>
      <w:r w:rsidRPr="0069463E">
        <w:rPr>
          <w:bCs/>
          <w:sz w:val="16"/>
          <w:szCs w:val="14"/>
          <w:lang w:val="en-US"/>
        </w:rPr>
        <w:t>*Q3 2018 includes data for August and September only.</w:t>
      </w:r>
    </w:p>
    <w:p w14:paraId="7883C521" w14:textId="77777777" w:rsidR="002B5E45" w:rsidRPr="0069463E" w:rsidRDefault="002B5E45">
      <w:pPr>
        <w:spacing w:before="0" w:after="0"/>
        <w:rPr>
          <w:b/>
          <w:lang w:val="en-US"/>
        </w:rPr>
      </w:pPr>
      <w:r w:rsidRPr="0069463E">
        <w:rPr>
          <w:b/>
          <w:lang w:val="en-US"/>
        </w:rPr>
        <w:br w:type="page"/>
      </w:r>
    </w:p>
    <w:p w14:paraId="4286A085" w14:textId="14E7D760" w:rsidR="004755E4" w:rsidRPr="0069463E" w:rsidRDefault="002D5013" w:rsidP="00432E6F">
      <w:pPr>
        <w:tabs>
          <w:tab w:val="left" w:pos="935"/>
        </w:tabs>
        <w:spacing w:after="60"/>
        <w:rPr>
          <w:b/>
          <w:lang w:val="en-US"/>
        </w:rPr>
      </w:pPr>
      <w:r w:rsidRPr="0069463E">
        <w:rPr>
          <w:b/>
          <w:lang w:val="en-US"/>
        </w:rPr>
        <w:lastRenderedPageBreak/>
        <w:t>Figure 1</w:t>
      </w:r>
      <w:r w:rsidR="00491426" w:rsidRPr="0069463E">
        <w:rPr>
          <w:b/>
          <w:lang w:val="en-US"/>
        </w:rPr>
        <w:t>3</w:t>
      </w:r>
      <w:r w:rsidR="00857FEC" w:rsidRPr="0069463E">
        <w:rPr>
          <w:b/>
          <w:lang w:val="en-US"/>
        </w:rPr>
        <w:t xml:space="preserve"> </w:t>
      </w:r>
      <w:r w:rsidR="00F66711" w:rsidRPr="0069463E">
        <w:rPr>
          <w:b/>
          <w:lang w:val="en-US"/>
        </w:rPr>
        <w:t>a-b</w:t>
      </w:r>
      <w:r w:rsidR="004755E4" w:rsidRPr="0069463E">
        <w:rPr>
          <w:b/>
          <w:lang w:val="en-US"/>
        </w:rPr>
        <w:t xml:space="preserve">:  Proportion of </w:t>
      </w:r>
      <w:r w:rsidR="00F66711" w:rsidRPr="0069463E">
        <w:rPr>
          <w:b/>
          <w:lang w:val="en-US"/>
        </w:rPr>
        <w:t xml:space="preserve">Aboriginal and Torres Strait Islander </w:t>
      </w:r>
      <w:r w:rsidR="00491C90">
        <w:rPr>
          <w:b/>
          <w:lang w:val="en-US"/>
        </w:rPr>
        <w:t>clients</w:t>
      </w:r>
      <w:r w:rsidR="00491C90" w:rsidRPr="0069463E">
        <w:rPr>
          <w:b/>
          <w:lang w:val="en-US"/>
        </w:rPr>
        <w:t xml:space="preserve"> </w:t>
      </w:r>
      <w:r w:rsidR="004755E4" w:rsidRPr="0069463E">
        <w:rPr>
          <w:b/>
          <w:lang w:val="en-US"/>
        </w:rPr>
        <w:t>attending participating ACCHS who received a syphilis te</w:t>
      </w:r>
      <w:r w:rsidR="00F66711" w:rsidRPr="0069463E">
        <w:rPr>
          <w:b/>
          <w:lang w:val="en-US"/>
        </w:rPr>
        <w:t>st</w:t>
      </w:r>
      <w:r w:rsidR="00052FEA" w:rsidRPr="0069463E">
        <w:rPr>
          <w:b/>
          <w:lang w:val="en-US"/>
        </w:rPr>
        <w:t xml:space="preserve"> (</w:t>
      </w:r>
      <w:proofErr w:type="spellStart"/>
      <w:r w:rsidR="00052FEA" w:rsidRPr="0069463E">
        <w:rPr>
          <w:b/>
          <w:lang w:val="en-US"/>
        </w:rPr>
        <w:t>PoCT</w:t>
      </w:r>
      <w:proofErr w:type="spellEnd"/>
      <w:r w:rsidR="00052FEA" w:rsidRPr="0069463E">
        <w:rPr>
          <w:b/>
          <w:lang w:val="en-US"/>
        </w:rPr>
        <w:t xml:space="preserve"> and</w:t>
      </w:r>
      <w:r w:rsidR="00C03C99" w:rsidRPr="0069463E">
        <w:rPr>
          <w:b/>
          <w:lang w:val="en-US"/>
        </w:rPr>
        <w:t>/or</w:t>
      </w:r>
      <w:r w:rsidR="00052FEA" w:rsidRPr="0069463E">
        <w:rPr>
          <w:b/>
          <w:lang w:val="en-US"/>
        </w:rPr>
        <w:t xml:space="preserve"> serology)</w:t>
      </w:r>
      <w:r w:rsidR="00F66711" w:rsidRPr="0069463E">
        <w:rPr>
          <w:b/>
          <w:lang w:val="en-US"/>
        </w:rPr>
        <w:t xml:space="preserve">, </w:t>
      </w:r>
      <w:r w:rsidR="007C4A77" w:rsidRPr="0069463E">
        <w:rPr>
          <w:b/>
          <w:lang w:val="en-US"/>
        </w:rPr>
        <w:t xml:space="preserve">quarter </w:t>
      </w:r>
      <w:r w:rsidR="00F66711" w:rsidRPr="0069463E">
        <w:rPr>
          <w:b/>
          <w:lang w:val="en-US"/>
        </w:rPr>
        <w:t xml:space="preserve">and year, </w:t>
      </w:r>
      <w:r w:rsidR="0069463E" w:rsidRPr="0069463E">
        <w:rPr>
          <w:b/>
          <w:lang w:val="en-US"/>
        </w:rPr>
        <w:t>Q3 2018* – Q1 2023</w:t>
      </w:r>
      <w:r w:rsidR="00052FEA" w:rsidRPr="0069463E">
        <w:rPr>
          <w:rStyle w:val="FootnoteReference"/>
          <w:b/>
        </w:rPr>
        <w:footnoteReference w:id="19"/>
      </w:r>
      <w:r w:rsidR="00F66711" w:rsidRPr="0069463E">
        <w:rPr>
          <w:b/>
          <w:lang w:val="en-US"/>
        </w:rPr>
        <w:t xml:space="preserve"> </w:t>
      </w:r>
      <w:r w:rsidR="00C03C99" w:rsidRPr="0069463E">
        <w:rPr>
          <w:b/>
          <w:lang w:val="en-US"/>
        </w:rPr>
        <w:br/>
      </w:r>
      <w:r w:rsidR="00F66711" w:rsidRPr="0069463E">
        <w:rPr>
          <w:b/>
          <w:lang w:val="en-US"/>
        </w:rPr>
        <w:t>(a. all age groups</w:t>
      </w:r>
      <w:r w:rsidR="00432E6F" w:rsidRPr="0069463E">
        <w:rPr>
          <w:b/>
          <w:lang w:val="en-US"/>
        </w:rPr>
        <w:t xml:space="preserve"> b. target age group 15-34 years</w:t>
      </w:r>
      <w:r w:rsidR="00F66711" w:rsidRPr="0069463E">
        <w:rPr>
          <w:b/>
          <w:lang w:val="en-US"/>
        </w:rPr>
        <w:t>)</w:t>
      </w:r>
    </w:p>
    <w:p w14:paraId="178915A7" w14:textId="458C7D2C" w:rsidR="00F66711" w:rsidRPr="0069463E" w:rsidRDefault="002D510C" w:rsidP="002D510C">
      <w:pPr>
        <w:tabs>
          <w:tab w:val="left" w:pos="935"/>
        </w:tabs>
        <w:spacing w:after="60"/>
        <w:rPr>
          <w:b/>
          <w:lang w:val="en-US"/>
        </w:rPr>
      </w:pPr>
      <w:r w:rsidRPr="0069463E">
        <w:rPr>
          <w:b/>
          <w:lang w:val="en-US"/>
        </w:rPr>
        <w:t xml:space="preserve">a. </w:t>
      </w:r>
      <w:r w:rsidRPr="0069463E">
        <w:rPr>
          <w:bCs/>
          <w:lang w:val="en-US"/>
        </w:rPr>
        <w:t>All age groups</w:t>
      </w:r>
    </w:p>
    <w:p w14:paraId="2010AE0B" w14:textId="37C7B303" w:rsidR="00F66711" w:rsidRPr="0069463E" w:rsidRDefault="0069463E" w:rsidP="004755E4">
      <w:pPr>
        <w:spacing w:after="40"/>
        <w:rPr>
          <w:color w:val="BFBFBF" w:themeColor="background1" w:themeShade="BF"/>
          <w:lang w:eastAsia="en-US"/>
        </w:rPr>
      </w:pPr>
      <w:r w:rsidRPr="0069463E">
        <w:rPr>
          <w:noProof/>
          <w:color w:val="BFBFBF" w:themeColor="background1" w:themeShade="BF"/>
        </w:rPr>
        <w:drawing>
          <wp:inline distT="0" distB="0" distL="0" distR="0" wp14:anchorId="34A0C966" wp14:editId="240989E3">
            <wp:extent cx="5600700" cy="3651866"/>
            <wp:effectExtent l="0" t="0" r="0" b="635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616739" cy="3662324"/>
                    </a:xfrm>
                    <a:prstGeom prst="rect">
                      <a:avLst/>
                    </a:prstGeom>
                    <a:noFill/>
                  </pic:spPr>
                </pic:pic>
              </a:graphicData>
            </a:graphic>
          </wp:inline>
        </w:drawing>
      </w:r>
    </w:p>
    <w:p w14:paraId="1D038358" w14:textId="778D4FDA" w:rsidR="00F66711" w:rsidRPr="0069463E" w:rsidRDefault="00F66711" w:rsidP="00155CE3">
      <w:pPr>
        <w:spacing w:after="60"/>
        <w:rPr>
          <w:bCs/>
          <w:color w:val="BFBFBF" w:themeColor="background1" w:themeShade="BF"/>
          <w:lang w:eastAsia="en-US"/>
        </w:rPr>
      </w:pPr>
      <w:r w:rsidRPr="0069463E">
        <w:rPr>
          <w:b/>
          <w:lang w:eastAsia="en-US"/>
        </w:rPr>
        <w:t>b.</w:t>
      </w:r>
      <w:r w:rsidRPr="0069463E">
        <w:rPr>
          <w:b/>
          <w:color w:val="BFBFBF" w:themeColor="background1" w:themeShade="BF"/>
          <w:lang w:eastAsia="en-US"/>
        </w:rPr>
        <w:t xml:space="preserve"> </w:t>
      </w:r>
      <w:r w:rsidR="002D510C" w:rsidRPr="0069463E">
        <w:rPr>
          <w:bCs/>
          <w:lang w:val="en-US"/>
        </w:rPr>
        <w:t>Target age group (15-34 years)</w:t>
      </w:r>
    </w:p>
    <w:p w14:paraId="1B871778" w14:textId="4D9FCB1D" w:rsidR="001E7036" w:rsidRPr="0069463E" w:rsidRDefault="0069463E" w:rsidP="004755E4">
      <w:pPr>
        <w:spacing w:after="40"/>
        <w:rPr>
          <w:color w:val="BFBFBF" w:themeColor="background1" w:themeShade="BF"/>
          <w:lang w:eastAsia="en-US"/>
        </w:rPr>
      </w:pPr>
      <w:r w:rsidRPr="0069463E">
        <w:rPr>
          <w:noProof/>
          <w:color w:val="BFBFBF" w:themeColor="background1" w:themeShade="BF"/>
        </w:rPr>
        <w:drawing>
          <wp:inline distT="0" distB="0" distL="0" distR="0" wp14:anchorId="2C438457" wp14:editId="45D1F67B">
            <wp:extent cx="5648325" cy="368292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672634" cy="3698770"/>
                    </a:xfrm>
                    <a:prstGeom prst="rect">
                      <a:avLst/>
                    </a:prstGeom>
                    <a:noFill/>
                  </pic:spPr>
                </pic:pic>
              </a:graphicData>
            </a:graphic>
          </wp:inline>
        </w:drawing>
      </w:r>
    </w:p>
    <w:p w14:paraId="3B421144" w14:textId="44E7304E" w:rsidR="00B67D66" w:rsidRPr="0069463E" w:rsidRDefault="00104A5F" w:rsidP="002D510C">
      <w:pPr>
        <w:spacing w:after="60"/>
        <w:rPr>
          <w:bCs/>
          <w:sz w:val="18"/>
          <w:szCs w:val="16"/>
          <w:lang w:val="en-US"/>
        </w:rPr>
      </w:pPr>
      <w:r w:rsidRPr="0069463E">
        <w:rPr>
          <w:bCs/>
          <w:sz w:val="18"/>
          <w:szCs w:val="16"/>
          <w:lang w:val="en-US"/>
        </w:rPr>
        <w:t>*Q3 2018 includes data for August and September only.</w:t>
      </w:r>
    </w:p>
    <w:p w14:paraId="62D05525" w14:textId="6FB252D9" w:rsidR="001E6EF4" w:rsidRPr="0069463E" w:rsidRDefault="00617AAC" w:rsidP="00821C6B">
      <w:pPr>
        <w:pStyle w:val="Heading2"/>
      </w:pPr>
      <w:r w:rsidRPr="0069463E">
        <w:lastRenderedPageBreak/>
        <w:t>Methodological notes</w:t>
      </w:r>
    </w:p>
    <w:p w14:paraId="79A56FAB" w14:textId="13F85740" w:rsidR="00A45742" w:rsidRPr="0069463E" w:rsidRDefault="001E6EF4" w:rsidP="001B2E79">
      <w:pPr>
        <w:ind w:right="141"/>
        <w:rPr>
          <w:szCs w:val="24"/>
        </w:rPr>
      </w:pPr>
      <w:r w:rsidRPr="0069463E">
        <w:rPr>
          <w:szCs w:val="24"/>
        </w:rPr>
        <w:t>Data wer</w:t>
      </w:r>
      <w:r w:rsidR="00C61AEA" w:rsidRPr="0069463E">
        <w:rPr>
          <w:szCs w:val="24"/>
        </w:rPr>
        <w:t xml:space="preserve">e extracted from the NNDSS </w:t>
      </w:r>
      <w:r w:rsidR="002376B8" w:rsidRPr="0069463E">
        <w:rPr>
          <w:szCs w:val="24"/>
        </w:rPr>
        <w:t xml:space="preserve">on </w:t>
      </w:r>
      <w:r w:rsidR="0069463E" w:rsidRPr="0069463E">
        <w:rPr>
          <w:szCs w:val="24"/>
        </w:rPr>
        <w:t>13 June</w:t>
      </w:r>
      <w:r w:rsidR="002376B8" w:rsidRPr="0069463E">
        <w:rPr>
          <w:szCs w:val="24"/>
        </w:rPr>
        <w:t xml:space="preserve"> 2023</w:t>
      </w:r>
      <w:r w:rsidRPr="0069463E">
        <w:rPr>
          <w:szCs w:val="24"/>
        </w:rPr>
        <w:t xml:space="preserve">, by diagnosis date. Due to the dynamic nature of the NNDSS, data in this extract are subject to retrospective revision and may vary from data reported in published NNDSS reports and reports of notification data by states and territories. </w:t>
      </w:r>
      <w:r w:rsidR="00A45742" w:rsidRPr="0069463E">
        <w:rPr>
          <w:szCs w:val="24"/>
        </w:rPr>
        <w:t xml:space="preserve">Data are to </w:t>
      </w:r>
      <w:r w:rsidR="002376B8" w:rsidRPr="0069463E">
        <w:rPr>
          <w:szCs w:val="24"/>
        </w:rPr>
        <w:t>31 December</w:t>
      </w:r>
      <w:r w:rsidR="00C35AB8" w:rsidRPr="0069463E">
        <w:rPr>
          <w:szCs w:val="24"/>
        </w:rPr>
        <w:t xml:space="preserve"> 2022</w:t>
      </w:r>
      <w:r w:rsidR="00A45742" w:rsidRPr="0069463E">
        <w:rPr>
          <w:szCs w:val="24"/>
        </w:rPr>
        <w:t xml:space="preserve"> unless otherwise specified</w:t>
      </w:r>
      <w:r w:rsidR="005013B0" w:rsidRPr="0069463E">
        <w:rPr>
          <w:szCs w:val="24"/>
        </w:rPr>
        <w:t>.</w:t>
      </w:r>
    </w:p>
    <w:p w14:paraId="5F53C849" w14:textId="6DDC67F0" w:rsidR="005013B0" w:rsidRPr="0069463E" w:rsidRDefault="005013B0" w:rsidP="005013B0">
      <w:pPr>
        <w:rPr>
          <w:szCs w:val="22"/>
        </w:rPr>
      </w:pPr>
      <w:r w:rsidRPr="0069463E">
        <w:rPr>
          <w:szCs w:val="22"/>
        </w:rPr>
        <w:t>In general</w:t>
      </w:r>
      <w:r w:rsidR="00B6399D" w:rsidRPr="0069463E">
        <w:rPr>
          <w:szCs w:val="22"/>
        </w:rPr>
        <w:t>,</w:t>
      </w:r>
      <w:r w:rsidRPr="0069463E">
        <w:rPr>
          <w:szCs w:val="22"/>
        </w:rPr>
        <w:t xml:space="preserve"> notification data represent only a proportion of the total cases occurring in the community, that is, only those cases for which health care was sought, a test conducted and a diagnosis made, followed by a notification to health authorities. The degree of under-representation of all cases is unknown and is most likely variable by disease and jurisdiction. </w:t>
      </w:r>
    </w:p>
    <w:p w14:paraId="0D5D85BB" w14:textId="300BB55E" w:rsidR="005013B0" w:rsidRPr="0069463E" w:rsidRDefault="005013B0" w:rsidP="005013B0">
      <w:pPr>
        <w:rPr>
          <w:szCs w:val="22"/>
        </w:rPr>
      </w:pPr>
      <w:r w:rsidRPr="0069463E">
        <w:rPr>
          <w:szCs w:val="22"/>
        </w:rPr>
        <w:t xml:space="preserve">In interpreting these data it is important to note that changes in notifications over time may not solely reflect changes in disease prevalence or incidence. </w:t>
      </w:r>
      <w:r w:rsidR="00C03C99" w:rsidRPr="0069463E">
        <w:rPr>
          <w:szCs w:val="22"/>
        </w:rPr>
        <w:t>C</w:t>
      </w:r>
      <w:r w:rsidRPr="0069463E">
        <w:rPr>
          <w:szCs w:val="22"/>
        </w:rPr>
        <w:t>hanges in testing policies; screening programs including the preferential testing of high</w:t>
      </w:r>
      <w:r w:rsidR="00B6399D" w:rsidRPr="0069463E">
        <w:rPr>
          <w:szCs w:val="22"/>
        </w:rPr>
        <w:t>-</w:t>
      </w:r>
      <w:r w:rsidRPr="0069463E">
        <w:rPr>
          <w:szCs w:val="22"/>
        </w:rPr>
        <w:t>risk populations; the use of less invasive and more sensitive diagnostic tests; and periodic awareness campaigns, may influence the number of notifications that occur annually.</w:t>
      </w:r>
    </w:p>
    <w:p w14:paraId="2C37888A" w14:textId="796B26C1" w:rsidR="005013B0" w:rsidRPr="0069463E" w:rsidRDefault="005013B0" w:rsidP="005013B0">
      <w:pPr>
        <w:rPr>
          <w:rStyle w:val="Emphasis"/>
        </w:rPr>
      </w:pPr>
      <w:r w:rsidRPr="0069463E">
        <w:rPr>
          <w:rStyle w:val="Emphasis"/>
        </w:rPr>
        <w:t xml:space="preserve">Data elements </w:t>
      </w:r>
    </w:p>
    <w:p w14:paraId="0D7A4A98" w14:textId="1B892CF4" w:rsidR="008642F8" w:rsidRPr="0069463E" w:rsidRDefault="008642F8" w:rsidP="00E41B63">
      <w:pPr>
        <w:pStyle w:val="ListNumber2"/>
        <w:rPr>
          <w:szCs w:val="24"/>
        </w:rPr>
      </w:pPr>
      <w:r w:rsidRPr="0069463E">
        <w:t>‘Diagnosis year’ was used to define the period of analysis.</w:t>
      </w:r>
      <w:r w:rsidR="00C03C99" w:rsidRPr="0069463E">
        <w:t xml:space="preserve"> T</w:t>
      </w:r>
      <w:r w:rsidRPr="0069463E">
        <w:t>his date represents either the onset date or where the date of onset was not known, the earliest of the specimen collection date, the notification date, or the notification receive</w:t>
      </w:r>
      <w:r w:rsidR="002621B5" w:rsidRPr="0069463E">
        <w:t>d</w:t>
      </w:r>
      <w:r w:rsidRPr="0069463E">
        <w:t xml:space="preserve"> date.</w:t>
      </w:r>
    </w:p>
    <w:p w14:paraId="456C1F4A" w14:textId="758F4B24" w:rsidR="009B64D3" w:rsidRPr="0069463E" w:rsidRDefault="009B64D3" w:rsidP="002B5E45">
      <w:pPr>
        <w:pStyle w:val="ListNumber2"/>
        <w:spacing w:before="0" w:after="0"/>
        <w:rPr>
          <w:szCs w:val="24"/>
        </w:rPr>
      </w:pPr>
      <w:r w:rsidRPr="0069463E">
        <w:rPr>
          <w:szCs w:val="24"/>
        </w:rPr>
        <w:t xml:space="preserve">‘Residential postcode’ reported to the NNDSS was used to allocate notifications of infectious and congenital syphilis to </w:t>
      </w:r>
      <w:r w:rsidRPr="0069463E">
        <w:rPr>
          <w:i/>
          <w:szCs w:val="24"/>
        </w:rPr>
        <w:t>remoteness areas</w:t>
      </w:r>
      <w:r w:rsidRPr="0069463E">
        <w:rPr>
          <w:szCs w:val="24"/>
        </w:rPr>
        <w:t xml:space="preserve"> (as defined by the Australian Bureau of Statistics).  Where a postcode was not reported the no</w:t>
      </w:r>
      <w:r w:rsidR="00C03C99" w:rsidRPr="0069463E">
        <w:rPr>
          <w:szCs w:val="24"/>
        </w:rPr>
        <w:t>tification was excluded from remoteness area</w:t>
      </w:r>
      <w:r w:rsidRPr="0069463E">
        <w:rPr>
          <w:szCs w:val="24"/>
        </w:rPr>
        <w:t xml:space="preserve"> analysis.</w:t>
      </w:r>
    </w:p>
    <w:p w14:paraId="6A7391D3" w14:textId="7CE4E06D" w:rsidR="001B2E79" w:rsidRPr="0069463E" w:rsidRDefault="00EE7A6B" w:rsidP="002B5E45">
      <w:pPr>
        <w:pStyle w:val="ListNumber3"/>
        <w:spacing w:before="0" w:after="0"/>
        <w:rPr>
          <w:szCs w:val="24"/>
        </w:rPr>
      </w:pPr>
      <w:r w:rsidRPr="0069463E">
        <w:t>Tasmania</w:t>
      </w:r>
      <w:r w:rsidR="00853EB0" w:rsidRPr="0069463E">
        <w:t xml:space="preserve"> and Northern Territory do not have major cities as defined by the Australian Bureau of Statistics.  Tasmanian “major cities” refers to inner regional areas and in the Northern Territory refers to outer regional areas.  </w:t>
      </w:r>
    </w:p>
    <w:p w14:paraId="198A1AD3" w14:textId="2349D0B8" w:rsidR="00853EB0" w:rsidRPr="0069463E" w:rsidRDefault="00853EB0" w:rsidP="00E41B63">
      <w:pPr>
        <w:pStyle w:val="ListNumber2"/>
      </w:pPr>
      <w:r w:rsidRPr="0069463E">
        <w:t>‘Residential postcode’ usually reflects the residential location of a case at the time of testing and does not necessarily represent the place where the disease was acquired.</w:t>
      </w:r>
    </w:p>
    <w:p w14:paraId="5A64EB6A" w14:textId="06B2FC7F" w:rsidR="009B64D3" w:rsidRPr="0069463E" w:rsidRDefault="009B64D3" w:rsidP="00E41B63">
      <w:pPr>
        <w:pStyle w:val="ListNumber2"/>
        <w:rPr>
          <w:szCs w:val="24"/>
        </w:rPr>
      </w:pPr>
      <w:r w:rsidRPr="0069463E">
        <w:rPr>
          <w:szCs w:val="24"/>
        </w:rPr>
        <w:t xml:space="preserve">The </w:t>
      </w:r>
      <w:r w:rsidR="005013B0" w:rsidRPr="0069463E">
        <w:rPr>
          <w:szCs w:val="24"/>
        </w:rPr>
        <w:t>‘</w:t>
      </w:r>
      <w:r w:rsidRPr="0069463E">
        <w:rPr>
          <w:szCs w:val="24"/>
        </w:rPr>
        <w:t>population denominator</w:t>
      </w:r>
      <w:r w:rsidR="005013B0" w:rsidRPr="0069463E">
        <w:rPr>
          <w:szCs w:val="24"/>
        </w:rPr>
        <w:t>’</w:t>
      </w:r>
      <w:r w:rsidRPr="0069463E">
        <w:rPr>
          <w:szCs w:val="24"/>
        </w:rPr>
        <w:t xml:space="preserve"> </w:t>
      </w:r>
      <w:r w:rsidR="00C03C99" w:rsidRPr="0069463E">
        <w:rPr>
          <w:szCs w:val="24"/>
        </w:rPr>
        <w:t xml:space="preserve">used </w:t>
      </w:r>
      <w:r w:rsidRPr="0069463E">
        <w:rPr>
          <w:szCs w:val="24"/>
        </w:rPr>
        <w:t xml:space="preserve">to calculate remoteness area rates </w:t>
      </w:r>
      <w:r w:rsidR="005013B0" w:rsidRPr="0069463E">
        <w:rPr>
          <w:szCs w:val="24"/>
        </w:rPr>
        <w:t xml:space="preserve">and rates by sex and age </w:t>
      </w:r>
      <w:r w:rsidR="00C03C99" w:rsidRPr="0069463E">
        <w:rPr>
          <w:szCs w:val="24"/>
        </w:rPr>
        <w:t xml:space="preserve">(per 100,000 population) </w:t>
      </w:r>
      <w:r w:rsidRPr="0069463E">
        <w:rPr>
          <w:szCs w:val="24"/>
        </w:rPr>
        <w:t xml:space="preserve">was extracted from the Australian Bureau of Statistics Census Table Builder (based on 2016 Census data) on </w:t>
      </w:r>
      <w:r w:rsidR="004A7D9A" w:rsidRPr="0069463E">
        <w:rPr>
          <w:szCs w:val="24"/>
        </w:rPr>
        <w:t>23 March 2023</w:t>
      </w:r>
      <w:r w:rsidRPr="0069463E">
        <w:rPr>
          <w:szCs w:val="24"/>
        </w:rPr>
        <w:t>.</w:t>
      </w:r>
    </w:p>
    <w:p w14:paraId="5B707421" w14:textId="5BE585FF" w:rsidR="005013B0" w:rsidRPr="0069463E" w:rsidRDefault="005013B0" w:rsidP="00E41B63">
      <w:pPr>
        <w:pStyle w:val="ListNumber2"/>
        <w:rPr>
          <w:rFonts w:ascii="Calibri" w:hAnsi="Calibri"/>
          <w:szCs w:val="22"/>
          <w:lang w:val="en-US" w:eastAsia="en-US"/>
        </w:rPr>
      </w:pPr>
      <w:r w:rsidRPr="0069463E">
        <w:rPr>
          <w:rFonts w:ascii="Calibri" w:hAnsi="Calibri"/>
          <w:szCs w:val="22"/>
          <w:lang w:eastAsia="en-US"/>
        </w:rPr>
        <w:t xml:space="preserve">The determination of the </w:t>
      </w:r>
      <w:r w:rsidRPr="0069463E">
        <w:rPr>
          <w:rFonts w:ascii="Calibri" w:hAnsi="Calibri"/>
          <w:i/>
          <w:szCs w:val="22"/>
          <w:lang w:eastAsia="en-US"/>
        </w:rPr>
        <w:t>Indigenous status</w:t>
      </w:r>
      <w:r w:rsidRPr="0069463E">
        <w:rPr>
          <w:rFonts w:ascii="Calibri" w:hAnsi="Calibri"/>
          <w:szCs w:val="22"/>
          <w:lang w:eastAsia="en-US"/>
        </w:rPr>
        <w:t xml:space="preserve"> is by descent, self-identification</w:t>
      </w:r>
      <w:r w:rsidR="00B6399D" w:rsidRPr="0069463E">
        <w:rPr>
          <w:rFonts w:ascii="Calibri" w:hAnsi="Calibri"/>
          <w:szCs w:val="22"/>
          <w:lang w:eastAsia="en-US"/>
        </w:rPr>
        <w:t>,</w:t>
      </w:r>
      <w:r w:rsidRPr="0069463E">
        <w:rPr>
          <w:rFonts w:ascii="Calibri" w:hAnsi="Calibri"/>
          <w:szCs w:val="22"/>
          <w:lang w:eastAsia="en-US"/>
        </w:rPr>
        <w:t xml:space="preserve"> and community acceptance. </w:t>
      </w:r>
      <w:r w:rsidRPr="0069463E">
        <w:rPr>
          <w:rFonts w:ascii="Calibri" w:hAnsi="Calibri"/>
          <w:szCs w:val="22"/>
          <w:lang w:val="en-US" w:eastAsia="en-US"/>
        </w:rPr>
        <w:t xml:space="preserve">While </w:t>
      </w:r>
      <w:r w:rsidR="00EE7A6B" w:rsidRPr="0069463E">
        <w:rPr>
          <w:rFonts w:ascii="Calibri" w:hAnsi="Calibri"/>
          <w:szCs w:val="22"/>
          <w:lang w:val="en-US" w:eastAsia="en-US"/>
        </w:rPr>
        <w:t xml:space="preserve">completeness of </w:t>
      </w:r>
      <w:r w:rsidR="000B6496" w:rsidRPr="0069463E">
        <w:rPr>
          <w:rFonts w:ascii="Calibri" w:hAnsi="Calibri"/>
          <w:szCs w:val="22"/>
          <w:lang w:val="en-US" w:eastAsia="en-US"/>
        </w:rPr>
        <w:t xml:space="preserve">the </w:t>
      </w:r>
      <w:r w:rsidRPr="0069463E">
        <w:rPr>
          <w:rFonts w:ascii="Calibri" w:hAnsi="Calibri"/>
          <w:szCs w:val="22"/>
          <w:lang w:val="en-US" w:eastAsia="en-US"/>
        </w:rPr>
        <w:t>Indigenous status</w:t>
      </w:r>
      <w:r w:rsidR="000B6496" w:rsidRPr="0069463E">
        <w:rPr>
          <w:rFonts w:ascii="Calibri" w:hAnsi="Calibri"/>
          <w:szCs w:val="22"/>
          <w:lang w:val="en-US" w:eastAsia="en-US"/>
        </w:rPr>
        <w:t xml:space="preserve"> field</w:t>
      </w:r>
      <w:r w:rsidRPr="0069463E">
        <w:rPr>
          <w:rFonts w:ascii="Calibri" w:hAnsi="Calibri"/>
          <w:szCs w:val="22"/>
          <w:lang w:val="en-US" w:eastAsia="en-US"/>
        </w:rPr>
        <w:t xml:space="preserve"> is generally high, it should be interpreted with caution as completeness of this field varies from year to year and jurisdiction to jurisdiction. </w:t>
      </w:r>
    </w:p>
    <w:p w14:paraId="7E7FEE8E" w14:textId="16B1C3DF" w:rsidR="008642F8" w:rsidRPr="0069463E" w:rsidRDefault="00292112" w:rsidP="00E41B63">
      <w:pPr>
        <w:pStyle w:val="ListNumber2"/>
        <w:rPr>
          <w:i/>
          <w:szCs w:val="24"/>
        </w:rPr>
      </w:pPr>
      <w:r w:rsidRPr="0069463E">
        <w:rPr>
          <w:szCs w:val="24"/>
        </w:rPr>
        <w:t>‘Syphilis testing data’ ha</w:t>
      </w:r>
      <w:r w:rsidR="0080259A" w:rsidRPr="0069463E">
        <w:rPr>
          <w:szCs w:val="24"/>
        </w:rPr>
        <w:t>ve</w:t>
      </w:r>
      <w:r w:rsidRPr="0069463E">
        <w:rPr>
          <w:szCs w:val="24"/>
        </w:rPr>
        <w:t xml:space="preserve"> been provided by participating ACCHS. </w:t>
      </w:r>
      <w:r w:rsidR="00D22675" w:rsidRPr="0069463E">
        <w:t>A participating service refers to clinics currently funded by the Australian Government Department of Health</w:t>
      </w:r>
      <w:r w:rsidR="0060218D" w:rsidRPr="0069463E">
        <w:t xml:space="preserve"> and Aged Care</w:t>
      </w:r>
      <w:r w:rsidR="00D22675" w:rsidRPr="0069463E">
        <w:t xml:space="preserve"> to deliver point of care testing in syphilis outbreak regions.  Services extract data from local clinical information management systems reporting to the Australian Government Department of Health</w:t>
      </w:r>
      <w:r w:rsidR="0060218D" w:rsidRPr="0069463E">
        <w:t xml:space="preserve"> and Aged Care</w:t>
      </w:r>
      <w:r w:rsidR="00D22675" w:rsidRPr="0069463E">
        <w:t xml:space="preserve">.  Data </w:t>
      </w:r>
      <w:r w:rsidR="0080259A" w:rsidRPr="0069463E">
        <w:t>are provided for the reporting</w:t>
      </w:r>
      <w:r w:rsidR="00D22675" w:rsidRPr="0069463E">
        <w:t xml:space="preserve"> month, </w:t>
      </w:r>
      <w:r w:rsidR="0080259A" w:rsidRPr="0069463E">
        <w:t xml:space="preserve">and </w:t>
      </w:r>
      <w:r w:rsidR="00D22675" w:rsidRPr="0069463E">
        <w:t>cumulative</w:t>
      </w:r>
      <w:r w:rsidR="0080259A" w:rsidRPr="0069463E">
        <w:t>ly</w:t>
      </w:r>
      <w:r w:rsidR="00D22675" w:rsidRPr="0069463E">
        <w:t xml:space="preserve"> for the previous 12 months.  </w:t>
      </w:r>
      <w:r w:rsidR="0080259A" w:rsidRPr="0069463E">
        <w:rPr>
          <w:szCs w:val="24"/>
        </w:rPr>
        <w:t>‘Testing coverage’ is calculated using as the denominator ‘</w:t>
      </w:r>
      <w:r w:rsidR="00D22675" w:rsidRPr="0069463E">
        <w:rPr>
          <w:szCs w:val="24"/>
        </w:rPr>
        <w:t>clients attending the service</w:t>
      </w:r>
      <w:r w:rsidR="0080259A" w:rsidRPr="0069463E">
        <w:rPr>
          <w:szCs w:val="24"/>
        </w:rPr>
        <w:t>’ (a</w:t>
      </w:r>
      <w:r w:rsidR="00F61F3A">
        <w:rPr>
          <w:szCs w:val="24"/>
        </w:rPr>
        <w:t>t</w:t>
      </w:r>
      <w:r w:rsidR="0080259A" w:rsidRPr="0069463E">
        <w:rPr>
          <w:szCs w:val="24"/>
        </w:rPr>
        <w:t xml:space="preserve"> participating ACCHS) during the reporting period</w:t>
      </w:r>
      <w:r w:rsidR="00D22675" w:rsidRPr="0069463E">
        <w:rPr>
          <w:szCs w:val="24"/>
        </w:rPr>
        <w:t>.</w:t>
      </w:r>
    </w:p>
    <w:p w14:paraId="3DA840F5" w14:textId="1B53C2C2" w:rsidR="00617AAC" w:rsidRPr="0069463E" w:rsidRDefault="00617AAC" w:rsidP="001E6EF4">
      <w:pPr>
        <w:spacing w:after="40"/>
        <w:rPr>
          <w:rStyle w:val="Emphasis"/>
        </w:rPr>
      </w:pPr>
      <w:r w:rsidRPr="0069463E">
        <w:rPr>
          <w:rStyle w:val="Emphasis"/>
        </w:rPr>
        <w:t>Case definitions</w:t>
      </w:r>
    </w:p>
    <w:p w14:paraId="435495B7" w14:textId="0A4D097C" w:rsidR="003B636B" w:rsidRPr="0069463E" w:rsidRDefault="00617AAC" w:rsidP="001E6EF4">
      <w:pPr>
        <w:spacing w:after="40"/>
        <w:rPr>
          <w:rFonts w:ascii="Calibri" w:hAnsi="Calibri"/>
          <w:color w:val="0000FF"/>
          <w:szCs w:val="22"/>
          <w:u w:val="single"/>
          <w:lang w:eastAsia="en-US"/>
        </w:rPr>
      </w:pPr>
      <w:r w:rsidRPr="0069463E">
        <w:rPr>
          <w:rFonts w:ascii="Calibri" w:hAnsi="Calibri"/>
          <w:szCs w:val="22"/>
          <w:lang w:eastAsia="en-US"/>
        </w:rPr>
        <w:t xml:space="preserve">The </w:t>
      </w:r>
      <w:r w:rsidR="005D1B9E" w:rsidRPr="0069463E">
        <w:rPr>
          <w:rFonts w:ascii="Calibri" w:hAnsi="Calibri"/>
          <w:szCs w:val="22"/>
          <w:lang w:eastAsia="en-US"/>
        </w:rPr>
        <w:t xml:space="preserve">CDNA national surveillance </w:t>
      </w:r>
      <w:r w:rsidR="0080259A" w:rsidRPr="0069463E">
        <w:rPr>
          <w:rFonts w:ascii="Calibri" w:hAnsi="Calibri"/>
          <w:szCs w:val="22"/>
          <w:lang w:eastAsia="en-US"/>
        </w:rPr>
        <w:t>case definitions for infectious and congenital syphilis</w:t>
      </w:r>
      <w:r w:rsidRPr="0069463E">
        <w:rPr>
          <w:rFonts w:ascii="Calibri" w:hAnsi="Calibri"/>
          <w:szCs w:val="22"/>
          <w:lang w:eastAsia="en-US"/>
        </w:rPr>
        <w:t xml:space="preserve">, including any historical edits, are available at: </w:t>
      </w:r>
      <w:hyperlink r:id="rId33" w:history="1">
        <w:r w:rsidRPr="0069463E">
          <w:rPr>
            <w:rFonts w:ascii="Calibri" w:hAnsi="Calibri"/>
            <w:color w:val="0000FF"/>
            <w:szCs w:val="22"/>
            <w:u w:val="single"/>
            <w:lang w:eastAsia="en-US"/>
          </w:rPr>
          <w:t>https://www.health.gov.au/casedefinitions.</w:t>
        </w:r>
      </w:hyperlink>
    </w:p>
    <w:p w14:paraId="68C6EDCF" w14:textId="638DAEFE" w:rsidR="009B64D3" w:rsidRPr="0069463E" w:rsidRDefault="005D1B9E" w:rsidP="009B64D3">
      <w:pPr>
        <w:spacing w:after="40"/>
        <w:ind w:right="402"/>
        <w:rPr>
          <w:szCs w:val="24"/>
        </w:rPr>
      </w:pPr>
      <w:r w:rsidRPr="0069463E">
        <w:rPr>
          <w:szCs w:val="24"/>
        </w:rPr>
        <w:t>The outbreak case definition classifying cases reported under ‘Target 3:</w:t>
      </w:r>
      <w:r w:rsidRPr="0069463E">
        <w:t xml:space="preserve"> </w:t>
      </w:r>
      <w:r w:rsidRPr="0069463E">
        <w:rPr>
          <w:szCs w:val="24"/>
        </w:rPr>
        <w:t>Control outbreaks among Aboriginal and Torres Strait Islander peoples in Queensland, the Northern Territory, Western Australia and South Australia’ is defined</w:t>
      </w:r>
      <w:r w:rsidR="009B64D3" w:rsidRPr="0069463E">
        <w:rPr>
          <w:szCs w:val="24"/>
        </w:rPr>
        <w:t>:</w:t>
      </w:r>
    </w:p>
    <w:p w14:paraId="329E023B" w14:textId="52601A2F" w:rsidR="009B64D3" w:rsidRPr="0069463E" w:rsidRDefault="009B64D3" w:rsidP="009B64D3">
      <w:pPr>
        <w:spacing w:after="40"/>
        <w:ind w:left="720" w:right="402"/>
        <w:rPr>
          <w:szCs w:val="24"/>
        </w:rPr>
      </w:pPr>
      <w:r w:rsidRPr="0069463E">
        <w:rPr>
          <w:szCs w:val="24"/>
        </w:rPr>
        <w:t xml:space="preserve">Nationally, an infectious syphilis outbreak case is defined as: any person who is newly diagnosed with confirmed or probable infectious syphilis according to the </w:t>
      </w:r>
      <w:r w:rsidRPr="0069463E">
        <w:rPr>
          <w:rFonts w:cstheme="minorHAnsi"/>
          <w:szCs w:val="22"/>
          <w:lang w:eastAsia="en-US"/>
        </w:rPr>
        <w:t>CDNA national surveillance case definition for infectious syphilis</w:t>
      </w:r>
      <w:r w:rsidRPr="0069463E">
        <w:rPr>
          <w:rFonts w:cstheme="minorHAnsi"/>
          <w:szCs w:val="22"/>
        </w:rPr>
        <w:t>,</w:t>
      </w:r>
      <w:r w:rsidRPr="0069463E">
        <w:rPr>
          <w:szCs w:val="24"/>
        </w:rPr>
        <w:t xml:space="preserve"> </w:t>
      </w:r>
      <w:r w:rsidRPr="0069463E">
        <w:rPr>
          <w:b/>
          <w:szCs w:val="24"/>
        </w:rPr>
        <w:t>AND</w:t>
      </w:r>
      <w:r w:rsidRPr="0069463E">
        <w:rPr>
          <w:szCs w:val="24"/>
        </w:rPr>
        <w:t xml:space="preserve">, is an Aboriginal or Torres Strait Islander person who resides in any of the following outbreak declared regions as defined and documented by that jurisdiction, at or after the dates indicated: Qld - North West Hospital and Health Service area (from 1 January </w:t>
      </w:r>
      <w:r w:rsidRPr="0069463E">
        <w:rPr>
          <w:szCs w:val="24"/>
        </w:rPr>
        <w:lastRenderedPageBreak/>
        <w:t>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 (category 1 outbreak cases) OR, is a sexual contact of a confirmed outbreak case (category 2 outbreak cases)</w:t>
      </w:r>
      <w:r w:rsidR="009E528D" w:rsidRPr="0069463E">
        <w:rPr>
          <w:szCs w:val="24"/>
        </w:rPr>
        <w:t>.</w:t>
      </w:r>
    </w:p>
    <w:p w14:paraId="00A5B890" w14:textId="2431808B" w:rsidR="00617AAC" w:rsidRPr="0069463E" w:rsidRDefault="00617AAC" w:rsidP="00821C6B">
      <w:pPr>
        <w:pStyle w:val="Heading2"/>
      </w:pPr>
      <w:r w:rsidRPr="0069463E">
        <w:t>Acknowledgements</w:t>
      </w:r>
    </w:p>
    <w:p w14:paraId="2CAFC720" w14:textId="0250347E" w:rsidR="004A1BD0" w:rsidRPr="0069463E" w:rsidRDefault="004A1BD0" w:rsidP="004A1BD0">
      <w:r w:rsidRPr="0069463E">
        <w:t>We, the Department of Health</w:t>
      </w:r>
      <w:r w:rsidR="0060218D" w:rsidRPr="0069463E">
        <w:t xml:space="preserve"> and Aged Care</w:t>
      </w:r>
      <w:r w:rsidRPr="0069463E">
        <w:t xml:space="preserve">, acknowledge the Traditional Owners and Custodians of Country throughout Australia. We recognise the strength and resilience of Aboriginal and Torres Strait Islander </w:t>
      </w:r>
      <w:r w:rsidR="004A7D9A" w:rsidRPr="0069463E">
        <w:t>peoples and</w:t>
      </w:r>
      <w:r w:rsidRPr="0069463E">
        <w:t xml:space="preserve"> acknowledge and respect their continuing connections and relationships to country, rivers, land and sea. We acknowledge the ongoing contribution Aboriginal and Torres Strait Islander peoples make across the Health system and wider community. We also pay our respects to Elders past, present and future and extend that respect to all Traditional Custodians of this land.</w:t>
      </w:r>
    </w:p>
    <w:p w14:paraId="374A4E53" w14:textId="42B20C72" w:rsidR="003A21B8" w:rsidRPr="0069463E" w:rsidRDefault="00617AAC" w:rsidP="00A1799A">
      <w:pPr>
        <w:spacing w:after="120"/>
        <w:rPr>
          <w:color w:val="BFBFBF" w:themeColor="background1" w:themeShade="BF"/>
        </w:rPr>
      </w:pPr>
      <w:r w:rsidRPr="0069463E">
        <w:rPr>
          <w:szCs w:val="22"/>
        </w:rPr>
        <w:t>The Department of Health</w:t>
      </w:r>
      <w:r w:rsidR="0060218D" w:rsidRPr="0069463E">
        <w:rPr>
          <w:szCs w:val="22"/>
        </w:rPr>
        <w:t xml:space="preserve"> and Aged Care</w:t>
      </w:r>
      <w:r w:rsidRPr="0069463E">
        <w:rPr>
          <w:szCs w:val="22"/>
        </w:rPr>
        <w:t xml:space="preserve"> acknowledges the Communic</w:t>
      </w:r>
      <w:r w:rsidR="009E528D" w:rsidRPr="0069463E">
        <w:rPr>
          <w:szCs w:val="22"/>
        </w:rPr>
        <w:t>able Diseases Network Australia;</w:t>
      </w:r>
      <w:r w:rsidRPr="0069463E">
        <w:rPr>
          <w:szCs w:val="22"/>
        </w:rPr>
        <w:t xml:space="preserve"> the work of public health officers involved in the col</w:t>
      </w:r>
      <w:r w:rsidR="00145823" w:rsidRPr="0069463E">
        <w:rPr>
          <w:szCs w:val="22"/>
        </w:rPr>
        <w:t>lection of surveillance data; s</w:t>
      </w:r>
      <w:r w:rsidRPr="0069463E">
        <w:rPr>
          <w:szCs w:val="22"/>
        </w:rPr>
        <w:t>tate and territory public health communicable disease surveillance managers and data managers</w:t>
      </w:r>
      <w:r w:rsidR="00145823" w:rsidRPr="0069463E">
        <w:rPr>
          <w:szCs w:val="22"/>
        </w:rPr>
        <w:t>; participating Aboriginal Community Controlled Health Services</w:t>
      </w:r>
      <w:r w:rsidR="009E528D" w:rsidRPr="0069463E">
        <w:rPr>
          <w:szCs w:val="22"/>
        </w:rPr>
        <w:t>,</w:t>
      </w:r>
      <w:r w:rsidRPr="0069463E">
        <w:rPr>
          <w:szCs w:val="22"/>
        </w:rPr>
        <w:t xml:space="preserve"> and</w:t>
      </w:r>
      <w:r w:rsidR="009E528D" w:rsidRPr="0069463E">
        <w:rPr>
          <w:szCs w:val="22"/>
        </w:rPr>
        <w:t>;</w:t>
      </w:r>
      <w:r w:rsidRPr="0069463E">
        <w:rPr>
          <w:szCs w:val="22"/>
        </w:rPr>
        <w:t xml:space="preserve"> all public and private laboratories that support laboratory surveillance in Australia.</w:t>
      </w:r>
      <w:r w:rsidR="00145823" w:rsidRPr="0069463E">
        <w:rPr>
          <w:szCs w:val="22"/>
        </w:rPr>
        <w:t xml:space="preserve">  </w:t>
      </w:r>
    </w:p>
    <w:p w14:paraId="726C1DEF" w14:textId="622F499F" w:rsidR="005C78AB" w:rsidRPr="0069463E" w:rsidRDefault="005C78AB" w:rsidP="00821C6B">
      <w:pPr>
        <w:pStyle w:val="Heading2"/>
      </w:pPr>
      <w:r w:rsidRPr="0069463E">
        <w:t>Contact</w:t>
      </w:r>
    </w:p>
    <w:p w14:paraId="28DD5DE0" w14:textId="11C6B606" w:rsidR="00A45742" w:rsidRPr="00896068" w:rsidRDefault="005C78AB" w:rsidP="00EB1EC5">
      <w:r w:rsidRPr="0069463E">
        <w:t xml:space="preserve">For any further details about information contained in this report please contact </w:t>
      </w:r>
      <w:r w:rsidR="00BD7991" w:rsidRPr="0069463E">
        <w:t xml:space="preserve">Ms Amy Bright in the </w:t>
      </w:r>
      <w:r w:rsidRPr="0069463E">
        <w:t>Communicable Diseases Epidemiology and Surveillance Section (</w:t>
      </w:r>
      <w:hyperlink r:id="rId34" w:history="1">
        <w:r w:rsidRPr="0069463E">
          <w:rPr>
            <w:rStyle w:val="Hyperlink"/>
            <w:rFonts w:asciiTheme="minorHAnsi" w:hAnsiTheme="minorHAnsi" w:cs="Times New Roman"/>
            <w:sz w:val="22"/>
            <w:szCs w:val="20"/>
            <w:lang w:eastAsia="en-AU"/>
          </w:rPr>
          <w:t>CDESS@health.gov.au</w:t>
        </w:r>
      </w:hyperlink>
      <w:r w:rsidRPr="0069463E">
        <w:t>).</w:t>
      </w:r>
      <w:r>
        <w:t xml:space="preserve"> </w:t>
      </w:r>
      <w:bookmarkStart w:id="4" w:name="_Appendix_1"/>
      <w:bookmarkEnd w:id="4"/>
    </w:p>
    <w:sectPr w:rsidR="00A45742" w:rsidRPr="00896068" w:rsidSect="004A7D9A">
      <w:footnotePr>
        <w:numFmt w:val="lowerRoman"/>
      </w:footnotePr>
      <w:endnotePr>
        <w:numFmt w:val="decimal"/>
      </w:endnotePr>
      <w:pgSz w:w="11906" w:h="16838" w:code="9"/>
      <w:pgMar w:top="85" w:right="849" w:bottom="568" w:left="992" w:header="284" w:footer="1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E96AB1" w14:textId="77777777" w:rsidR="006B0A10" w:rsidRDefault="006B0A10"/>
  </w:endnote>
  <w:endnote w:type="continuationSeparator" w:id="0">
    <w:p w14:paraId="560B6CDA" w14:textId="77777777" w:rsidR="006B0A10" w:rsidRDefault="006B0A10">
      <w:r>
        <w:continuationSeparator/>
      </w:r>
    </w:p>
    <w:p w14:paraId="0F5BD7BE" w14:textId="77777777" w:rsidR="006B0A10" w:rsidRDefault="006B0A10"/>
  </w:endnote>
  <w:endnote w:type="continuationNotice" w:id="1">
    <w:p w14:paraId="5C28E306" w14:textId="77777777" w:rsidR="006B0A10" w:rsidRDefault="006B0A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1BE6A" w14:textId="22471A04" w:rsidR="00B10BCA" w:rsidRPr="005E58FB" w:rsidRDefault="00B10BCA" w:rsidP="003D0ABF">
    <w:pPr>
      <w:pStyle w:val="Header"/>
      <w:jc w:val="center"/>
      <w:rPr>
        <w:szCs w:val="22"/>
      </w:rPr>
    </w:pPr>
    <w:r w:rsidRPr="005E58FB">
      <w:rPr>
        <w:szCs w:val="22"/>
      </w:rPr>
      <w:t xml:space="preserve">Page </w:t>
    </w:r>
    <w:r w:rsidRPr="005E58FB">
      <w:rPr>
        <w:b/>
        <w:szCs w:val="22"/>
      </w:rPr>
      <w:fldChar w:fldCharType="begin"/>
    </w:r>
    <w:r w:rsidRPr="005E58FB">
      <w:rPr>
        <w:b/>
        <w:szCs w:val="22"/>
      </w:rPr>
      <w:instrText xml:space="preserve"> PAGE  \* Arabic  \* MERGEFORMAT </w:instrText>
    </w:r>
    <w:r w:rsidRPr="005E58FB">
      <w:rPr>
        <w:b/>
        <w:szCs w:val="22"/>
      </w:rPr>
      <w:fldChar w:fldCharType="separate"/>
    </w:r>
    <w:r w:rsidR="00F61F3A">
      <w:rPr>
        <w:b/>
        <w:noProof/>
        <w:szCs w:val="22"/>
      </w:rPr>
      <w:t>23</w:t>
    </w:r>
    <w:r w:rsidRPr="005E58FB">
      <w:rPr>
        <w:b/>
        <w:szCs w:val="22"/>
      </w:rPr>
      <w:fldChar w:fldCharType="end"/>
    </w:r>
    <w:r w:rsidRPr="005E58FB">
      <w:rPr>
        <w:szCs w:val="22"/>
      </w:rPr>
      <w:t xml:space="preserve"> of </w:t>
    </w:r>
    <w:r w:rsidRPr="005E58FB">
      <w:rPr>
        <w:b/>
        <w:szCs w:val="22"/>
      </w:rPr>
      <w:fldChar w:fldCharType="begin"/>
    </w:r>
    <w:r w:rsidRPr="005E58FB">
      <w:rPr>
        <w:b/>
        <w:szCs w:val="22"/>
      </w:rPr>
      <w:instrText xml:space="preserve"> NUMPAGES  \* Arabic  \* MERGEFORMAT </w:instrText>
    </w:r>
    <w:r w:rsidRPr="005E58FB">
      <w:rPr>
        <w:b/>
        <w:szCs w:val="22"/>
      </w:rPr>
      <w:fldChar w:fldCharType="separate"/>
    </w:r>
    <w:r w:rsidR="00F61F3A">
      <w:rPr>
        <w:b/>
        <w:noProof/>
        <w:szCs w:val="22"/>
      </w:rPr>
      <w:t>24</w:t>
    </w:r>
    <w:r w:rsidRPr="005E58FB">
      <w:rPr>
        <w:b/>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1F61FE" w14:textId="77777777" w:rsidR="006B0A10" w:rsidRDefault="006B0A10">
      <w:r>
        <w:separator/>
      </w:r>
    </w:p>
  </w:footnote>
  <w:footnote w:type="continuationSeparator" w:id="0">
    <w:p w14:paraId="1497D4B1" w14:textId="77777777" w:rsidR="006B0A10" w:rsidRDefault="006B0A10">
      <w:r>
        <w:continuationSeparator/>
      </w:r>
    </w:p>
    <w:p w14:paraId="1FC75335" w14:textId="77777777" w:rsidR="006B0A10" w:rsidRDefault="006B0A10"/>
  </w:footnote>
  <w:footnote w:type="continuationNotice" w:id="1">
    <w:p w14:paraId="0F0345DA" w14:textId="77777777" w:rsidR="006B0A10" w:rsidRDefault="006B0A10"/>
  </w:footnote>
  <w:footnote w:id="2">
    <w:p w14:paraId="54B14AFF" w14:textId="572F90EE" w:rsidR="00B10BCA" w:rsidRDefault="00B10BCA" w:rsidP="00616D13">
      <w:pPr>
        <w:pStyle w:val="FootnoteText"/>
        <w:spacing w:before="0" w:after="0"/>
        <w:ind w:right="141"/>
      </w:pPr>
      <w:r>
        <w:rPr>
          <w:rStyle w:val="FootnoteReference"/>
        </w:rPr>
        <w:footnoteRef/>
      </w:r>
      <w:r>
        <w:t xml:space="preserve"> </w:t>
      </w:r>
      <w:r w:rsidRPr="00A86D5C">
        <w:rPr>
          <w:sz w:val="16"/>
          <w:szCs w:val="16"/>
        </w:rPr>
        <w:t>The 2018-22 National STI Strategy and Aboriginal and Torres Strait Islander BBV and STI Strategy, define elimination of congenital syphilis as ‘</w:t>
      </w:r>
      <w:r w:rsidRPr="00A86D5C">
        <w:rPr>
          <w:i/>
          <w:sz w:val="16"/>
          <w:szCs w:val="16"/>
        </w:rPr>
        <w:t>no new cases of congenital syphilis nationally notified for two consecutive years</w:t>
      </w:r>
      <w:r w:rsidRPr="00A86D5C">
        <w:rPr>
          <w:sz w:val="16"/>
          <w:szCs w:val="16"/>
        </w:rPr>
        <w:t>’.</w:t>
      </w:r>
    </w:p>
  </w:footnote>
  <w:footnote w:id="3">
    <w:p w14:paraId="309702BD" w14:textId="77777777" w:rsidR="00B10BCA" w:rsidRPr="00C76BC3" w:rsidRDefault="00B10BCA" w:rsidP="00616D13">
      <w:pPr>
        <w:pStyle w:val="FootnoteText"/>
        <w:spacing w:before="0" w:after="0"/>
        <w:rPr>
          <w:lang w:val="en-US"/>
        </w:rPr>
      </w:pPr>
      <w:r w:rsidRPr="005B6B79">
        <w:rPr>
          <w:rStyle w:val="FootnoteReference"/>
          <w:sz w:val="18"/>
        </w:rPr>
        <w:footnoteRef/>
      </w:r>
      <w:r w:rsidRPr="005B6B79">
        <w:rPr>
          <w:sz w:val="18"/>
        </w:rPr>
        <w:t xml:space="preserve"> </w:t>
      </w:r>
      <w:r w:rsidRPr="00A86D5C">
        <w:rPr>
          <w:sz w:val="16"/>
          <w:szCs w:val="16"/>
        </w:rPr>
        <w:t>At the time of writing Queensland, the Northern Territory, Western Australia and South Australia were the only jurisdictions with officially declared outbreak regions.  New outbreak regions in other jurisdictions may be declared with endorsement from the CDNA, after which this target will be amended.</w:t>
      </w:r>
    </w:p>
  </w:footnote>
  <w:footnote w:id="4">
    <w:p w14:paraId="0681A2FD" w14:textId="0B268EC5" w:rsidR="00745247" w:rsidRPr="00745247" w:rsidRDefault="00745247">
      <w:pPr>
        <w:pStyle w:val="FootnoteText"/>
        <w:rPr>
          <w:sz w:val="16"/>
          <w:szCs w:val="14"/>
        </w:rPr>
      </w:pPr>
      <w:r>
        <w:rPr>
          <w:rStyle w:val="FootnoteReference"/>
        </w:rPr>
        <w:footnoteRef/>
      </w:r>
      <w:r>
        <w:t xml:space="preserve"> </w:t>
      </w:r>
      <w:r w:rsidRPr="00745247">
        <w:rPr>
          <w:sz w:val="16"/>
          <w:szCs w:val="14"/>
        </w:rPr>
        <w:t>Syphili</w:t>
      </w:r>
      <w:r>
        <w:rPr>
          <w:sz w:val="16"/>
          <w:szCs w:val="14"/>
        </w:rPr>
        <w:t>s has been nationally notifiable since 1991, however prior to 2004, syphilis cases were reported under the overarching category of syphilis (all), which was inclusive of all cases of syphilis regardless of the stage of infection. From 2004, the syphilis (all) category was redefined with cases of syphilis reported under 3 new categories:  infectious syphilis (&lt;2 years duration), unspecified syphilis (unspecified or &gt;2 years duration) and congenital syphilis (</w:t>
      </w:r>
      <w:hyperlink r:id="rId1" w:history="1">
        <w:r w:rsidRPr="00121C5A">
          <w:rPr>
            <w:rStyle w:val="Hyperlink"/>
            <w:rFonts w:asciiTheme="minorHAnsi" w:hAnsiTheme="minorHAnsi" w:cs="Times New Roman"/>
            <w:sz w:val="16"/>
            <w:szCs w:val="14"/>
            <w:lang w:eastAsia="en-AU"/>
          </w:rPr>
          <w:t>https://www.health.gov.au/resources/collections/cdna-surveillance-case-definitions</w:t>
        </w:r>
      </w:hyperlink>
      <w:r>
        <w:rPr>
          <w:sz w:val="16"/>
          <w:szCs w:val="14"/>
        </w:rPr>
        <w:t>).</w:t>
      </w:r>
    </w:p>
  </w:footnote>
  <w:footnote w:id="5">
    <w:p w14:paraId="6A75808E" w14:textId="0101FB19" w:rsidR="00B10BCA" w:rsidRDefault="00B10BCA" w:rsidP="00616D13">
      <w:pPr>
        <w:pStyle w:val="FootnoteText"/>
        <w:spacing w:before="0" w:after="0"/>
      </w:pPr>
      <w:r>
        <w:rPr>
          <w:rStyle w:val="FootnoteReference"/>
        </w:rPr>
        <w:footnoteRef/>
      </w:r>
      <w:r>
        <w:t xml:space="preserve"> </w:t>
      </w:r>
      <w:r>
        <w:rPr>
          <w:sz w:val="16"/>
        </w:rPr>
        <w:t>‘</w:t>
      </w:r>
      <w:r w:rsidRPr="003D3A57">
        <w:rPr>
          <w:sz w:val="16"/>
        </w:rPr>
        <w:t>Late diagnosis</w:t>
      </w:r>
      <w:r>
        <w:rPr>
          <w:sz w:val="16"/>
        </w:rPr>
        <w:t>’</w:t>
      </w:r>
      <w:r w:rsidRPr="003D3A57">
        <w:rPr>
          <w:sz w:val="16"/>
        </w:rPr>
        <w:t xml:space="preserve"> is defined as </w:t>
      </w:r>
      <w:r>
        <w:rPr>
          <w:sz w:val="16"/>
        </w:rPr>
        <w:t>a syphilis diagnosis</w:t>
      </w:r>
      <w:r w:rsidRPr="003D3A57">
        <w:rPr>
          <w:sz w:val="16"/>
        </w:rPr>
        <w:t xml:space="preserve"> </w:t>
      </w:r>
      <w:r>
        <w:rPr>
          <w:sz w:val="16"/>
        </w:rPr>
        <w:t>less than</w:t>
      </w:r>
      <w:r w:rsidRPr="003D3A57">
        <w:rPr>
          <w:sz w:val="16"/>
        </w:rPr>
        <w:t xml:space="preserve"> 30 days prior to delivery, at birth (day of delivery) or post birth.</w:t>
      </w:r>
    </w:p>
  </w:footnote>
  <w:footnote w:id="6">
    <w:p w14:paraId="07D993D0" w14:textId="0A48EB3C" w:rsidR="00745247" w:rsidRDefault="00745247">
      <w:pPr>
        <w:pStyle w:val="FootnoteText"/>
      </w:pPr>
      <w:r>
        <w:rPr>
          <w:rStyle w:val="FootnoteReference"/>
        </w:rPr>
        <w:footnoteRef/>
      </w:r>
      <w:r>
        <w:t xml:space="preserve"> </w:t>
      </w:r>
      <w:r w:rsidRPr="00745247">
        <w:rPr>
          <w:sz w:val="16"/>
          <w:szCs w:val="14"/>
        </w:rPr>
        <w:t>Syphili</w:t>
      </w:r>
      <w:r>
        <w:rPr>
          <w:sz w:val="16"/>
          <w:szCs w:val="14"/>
        </w:rPr>
        <w:t>s has been nationally notifiable since 1991, however prior to 2004, syphilis cases were reported under the overarching category of syphilis (all), which was inclusive of all cases of syphilis regardless of the stage of infection. From 2004, the syphilis (all) category was redefined with cases of syphilis reported under 3 new categories:  infectious syphilis (&lt;2 years duration), unspecified syphilis (unspecified or &gt;2 years duration) and congenital syphilis (</w:t>
      </w:r>
      <w:hyperlink r:id="rId2" w:history="1">
        <w:r w:rsidRPr="00121C5A">
          <w:rPr>
            <w:rStyle w:val="Hyperlink"/>
            <w:rFonts w:asciiTheme="minorHAnsi" w:hAnsiTheme="minorHAnsi" w:cs="Times New Roman"/>
            <w:sz w:val="16"/>
            <w:szCs w:val="14"/>
            <w:lang w:eastAsia="en-AU"/>
          </w:rPr>
          <w:t>https://www.health.gov.au/resources/collections/cdna-surveillance-case-definitions</w:t>
        </w:r>
      </w:hyperlink>
      <w:r>
        <w:rPr>
          <w:sz w:val="16"/>
          <w:szCs w:val="14"/>
        </w:rPr>
        <w:t>).</w:t>
      </w:r>
    </w:p>
  </w:footnote>
  <w:footnote w:id="7">
    <w:p w14:paraId="7C17CEB5" w14:textId="610291F9" w:rsidR="0010338B" w:rsidRDefault="0010338B">
      <w:pPr>
        <w:pStyle w:val="FootnoteText"/>
      </w:pPr>
      <w:r>
        <w:rPr>
          <w:rStyle w:val="FootnoteReference"/>
        </w:rPr>
        <w:footnoteRef/>
      </w:r>
      <w:r>
        <w:t xml:space="preserve"> </w:t>
      </w:r>
      <w:r w:rsidRPr="003D3A57">
        <w:rPr>
          <w:sz w:val="16"/>
        </w:rPr>
        <w:t>Totals may not equal 100% due to rounding.</w:t>
      </w:r>
    </w:p>
  </w:footnote>
  <w:footnote w:id="8">
    <w:p w14:paraId="079D991C" w14:textId="4DE5D146" w:rsidR="008107B5" w:rsidRDefault="008107B5">
      <w:pPr>
        <w:pStyle w:val="FootnoteText"/>
      </w:pPr>
      <w:r>
        <w:rPr>
          <w:rStyle w:val="FootnoteReference"/>
        </w:rPr>
        <w:footnoteRef/>
      </w:r>
      <w:r>
        <w:t xml:space="preserve"> </w:t>
      </w:r>
      <w:r w:rsidRPr="008107B5">
        <w:rPr>
          <w:sz w:val="16"/>
          <w:szCs w:val="14"/>
        </w:rPr>
        <w:t>Totals may not add up to 100% due to rounding.</w:t>
      </w:r>
    </w:p>
  </w:footnote>
  <w:footnote w:id="9">
    <w:p w14:paraId="1BC838C2" w14:textId="1F0CFFCD" w:rsidR="008107B5" w:rsidRDefault="008107B5">
      <w:pPr>
        <w:pStyle w:val="FootnoteText"/>
      </w:pPr>
      <w:r>
        <w:rPr>
          <w:rStyle w:val="FootnoteReference"/>
        </w:rPr>
        <w:footnoteRef/>
      </w:r>
      <w:r>
        <w:t xml:space="preserve"> </w:t>
      </w:r>
      <w:r w:rsidRPr="008107B5">
        <w:rPr>
          <w:sz w:val="16"/>
          <w:szCs w:val="14"/>
        </w:rPr>
        <w:t>Totals may not add up to 100% due to rounding.</w:t>
      </w:r>
    </w:p>
  </w:footnote>
  <w:footnote w:id="10">
    <w:p w14:paraId="3A13F335" w14:textId="2D320A9C" w:rsidR="00B10BCA" w:rsidRPr="003D3A57" w:rsidRDefault="00B10BCA" w:rsidP="008642F8">
      <w:pPr>
        <w:pStyle w:val="FootnoteText"/>
        <w:ind w:right="-143"/>
        <w:rPr>
          <w:sz w:val="18"/>
        </w:rPr>
      </w:pPr>
      <w:r w:rsidRPr="003D3A57">
        <w:rPr>
          <w:rStyle w:val="FootnoteReference"/>
          <w:sz w:val="16"/>
        </w:rPr>
        <w:footnoteRef/>
      </w:r>
      <w:r w:rsidRPr="003D3A57">
        <w:rPr>
          <w:sz w:val="16"/>
        </w:rPr>
        <w:t xml:space="preserve"> </w:t>
      </w:r>
      <w:r>
        <w:rPr>
          <w:sz w:val="16"/>
        </w:rPr>
        <w:t>‘</w:t>
      </w:r>
      <w:r w:rsidRPr="003D3A57">
        <w:rPr>
          <w:sz w:val="16"/>
        </w:rPr>
        <w:t>Late diagnosis</w:t>
      </w:r>
      <w:r>
        <w:rPr>
          <w:sz w:val="16"/>
        </w:rPr>
        <w:t>’</w:t>
      </w:r>
      <w:r w:rsidRPr="003D3A57">
        <w:rPr>
          <w:sz w:val="16"/>
        </w:rPr>
        <w:t xml:space="preserve"> is defined as </w:t>
      </w:r>
      <w:r>
        <w:rPr>
          <w:sz w:val="16"/>
        </w:rPr>
        <w:t>a syphilis diagnosis</w:t>
      </w:r>
      <w:r w:rsidRPr="003D3A57">
        <w:rPr>
          <w:sz w:val="16"/>
        </w:rPr>
        <w:t xml:space="preserve"> </w:t>
      </w:r>
      <w:r>
        <w:rPr>
          <w:sz w:val="16"/>
        </w:rPr>
        <w:t>less than</w:t>
      </w:r>
      <w:r w:rsidRPr="003D3A57">
        <w:rPr>
          <w:sz w:val="16"/>
        </w:rPr>
        <w:t xml:space="preserve"> 30 days prior to delivery, at birth (day of delivery) or post birth.</w:t>
      </w:r>
    </w:p>
  </w:footnote>
  <w:footnote w:id="11">
    <w:p w14:paraId="70FB9517" w14:textId="4EE34745" w:rsidR="00B10BCA" w:rsidRDefault="00B10BCA" w:rsidP="002B5E45">
      <w:pPr>
        <w:pStyle w:val="FootnoteText"/>
        <w:spacing w:before="0" w:after="0"/>
      </w:pPr>
      <w:r>
        <w:rPr>
          <w:rStyle w:val="FootnoteReference"/>
        </w:rPr>
        <w:footnoteRef/>
      </w:r>
      <w:r>
        <w:t xml:space="preserve"> </w:t>
      </w:r>
      <w:r w:rsidRPr="00710643">
        <w:rPr>
          <w:sz w:val="16"/>
        </w:rPr>
        <w:t xml:space="preserve">Outbreak cases are reported as either category 1 or category 2: category 1 cases include Aboriginal and Torres Strait Islander people residing in an outbreak declared region at the time of diagnosis, and; category 2 cases include people who are a sexual contact of a confirmed outbreak case which includes Aboriginal and Torres Strait Islander people who do not reside in an outbreak area at the time of diagnosis and non-Indigenous people regardless of where they reside. </w:t>
      </w:r>
      <w:r w:rsidRPr="00710643">
        <w:rPr>
          <w:b/>
          <w:sz w:val="16"/>
        </w:rPr>
        <w:t>All data are provisional and subject to change due to ongoing case investigation</w:t>
      </w:r>
      <w:r w:rsidRPr="00710643">
        <w:rPr>
          <w:sz w:val="16"/>
        </w:rPr>
        <w:t>.</w:t>
      </w:r>
    </w:p>
  </w:footnote>
  <w:footnote w:id="12">
    <w:p w14:paraId="619AD1E1" w14:textId="547347CF" w:rsidR="00B10BCA" w:rsidRDefault="00B10BCA" w:rsidP="002B5E45">
      <w:pPr>
        <w:pStyle w:val="FootnoteText"/>
        <w:spacing w:before="0" w:after="0"/>
      </w:pPr>
      <w:r>
        <w:rPr>
          <w:rStyle w:val="FootnoteReference"/>
        </w:rPr>
        <w:footnoteRef/>
      </w:r>
      <w:r>
        <w:t xml:space="preserve"> </w:t>
      </w:r>
      <w:hyperlink r:id="rId3" w:history="1">
        <w:r w:rsidR="00231E83" w:rsidRPr="00231E83">
          <w:rPr>
            <w:rStyle w:val="Hyperlink"/>
            <w:rFonts w:asciiTheme="minorHAnsi" w:hAnsiTheme="minorHAnsi" w:cs="Times New Roman"/>
            <w:sz w:val="16"/>
            <w:szCs w:val="16"/>
            <w:lang w:eastAsia="en-AU"/>
          </w:rPr>
          <w:t>Multijurisdictional Syphilis Outbreak Surveillance Report: February 2021</w:t>
        </w:r>
      </w:hyperlink>
    </w:p>
  </w:footnote>
  <w:footnote w:id="13">
    <w:p w14:paraId="025F7881" w14:textId="425DA307" w:rsidR="00B10BCA" w:rsidRDefault="00B10BCA" w:rsidP="00E562BE">
      <w:pPr>
        <w:pStyle w:val="FootnoteText"/>
        <w:spacing w:before="0" w:after="0"/>
      </w:pPr>
      <w:r>
        <w:rPr>
          <w:rStyle w:val="FootnoteReference"/>
        </w:rPr>
        <w:footnoteRef/>
      </w:r>
      <w:r>
        <w:t xml:space="preserve"> </w:t>
      </w:r>
      <w:r w:rsidRPr="00EE7A6B">
        <w:rPr>
          <w:sz w:val="16"/>
        </w:rPr>
        <w:t xml:space="preserve">Qld - North West Hospital and Health Service </w:t>
      </w:r>
      <w:r>
        <w:rPr>
          <w:sz w:val="16"/>
        </w:rPr>
        <w:t xml:space="preserve">(HHS) </w:t>
      </w:r>
      <w:r w:rsidRPr="00EE7A6B">
        <w:rPr>
          <w:sz w:val="16"/>
        </w:rPr>
        <w:t>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14">
    <w:p w14:paraId="26F7CA2D" w14:textId="77777777" w:rsidR="008107B5" w:rsidRDefault="008107B5" w:rsidP="00E562BE">
      <w:pPr>
        <w:pStyle w:val="FootnoteText"/>
        <w:spacing w:before="0" w:after="0"/>
      </w:pPr>
      <w:r>
        <w:rPr>
          <w:rStyle w:val="FootnoteReference"/>
        </w:rPr>
        <w:footnoteRef/>
      </w:r>
      <w:r>
        <w:t xml:space="preserve"> </w:t>
      </w:r>
      <w:r w:rsidRPr="00F03247">
        <w:rPr>
          <w:sz w:val="16"/>
          <w:szCs w:val="16"/>
        </w:rPr>
        <w:t>Aboriginal and Torres Strait Islander people who are sexual contacts of a confirmed outbreak case and reside outside an outbreak declared region at the time of diagnosis</w:t>
      </w:r>
      <w:r>
        <w:rPr>
          <w:sz w:val="16"/>
          <w:szCs w:val="16"/>
        </w:rPr>
        <w:t>.</w:t>
      </w:r>
    </w:p>
  </w:footnote>
  <w:footnote w:id="15">
    <w:p w14:paraId="0B13E00A" w14:textId="77777777" w:rsidR="008107B5" w:rsidRDefault="008107B5" w:rsidP="00B67D66">
      <w:pPr>
        <w:pStyle w:val="FootnoteText"/>
        <w:spacing w:before="0" w:after="0"/>
        <w:ind w:right="-141"/>
      </w:pPr>
      <w:r>
        <w:rPr>
          <w:rStyle w:val="FootnoteReference"/>
        </w:rPr>
        <w:footnoteRef/>
      </w:r>
      <w:r>
        <w:t xml:space="preserve"> </w:t>
      </w:r>
      <w:r w:rsidRPr="00F03247">
        <w:rPr>
          <w:sz w:val="16"/>
          <w:szCs w:val="16"/>
        </w:rPr>
        <w:t>Non-Indigenous people who are sexual contacts of a confirmed outbreak case and reside in or out of an outbreak declared region at the time of diagnosis</w:t>
      </w:r>
      <w:r>
        <w:rPr>
          <w:sz w:val="16"/>
          <w:szCs w:val="16"/>
        </w:rPr>
        <w:t>.</w:t>
      </w:r>
    </w:p>
  </w:footnote>
  <w:footnote w:id="16">
    <w:p w14:paraId="508E7DBE" w14:textId="4FA0102C" w:rsidR="00B10BCA" w:rsidRDefault="00B10BCA" w:rsidP="00E526F4">
      <w:pPr>
        <w:pStyle w:val="FootnoteText"/>
        <w:spacing w:before="0" w:after="0"/>
      </w:pPr>
      <w:r>
        <w:rPr>
          <w:rStyle w:val="FootnoteReference"/>
        </w:rPr>
        <w:footnoteRef/>
      </w:r>
      <w:r>
        <w:t xml:space="preserve"> </w:t>
      </w:r>
      <w:r w:rsidRPr="00EE7A6B">
        <w:rPr>
          <w:sz w:val="16"/>
        </w:rPr>
        <w:t xml:space="preserve">Qld - North West Hospital and Health Service </w:t>
      </w:r>
      <w:r>
        <w:rPr>
          <w:sz w:val="16"/>
        </w:rPr>
        <w:t xml:space="preserve">(HHS) </w:t>
      </w:r>
      <w:r w:rsidRPr="00EE7A6B">
        <w:rPr>
          <w:sz w:val="16"/>
        </w:rPr>
        <w:t>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17">
    <w:p w14:paraId="4860D7D2" w14:textId="47FE75E1" w:rsidR="00CB71AA" w:rsidRDefault="00CB71AA">
      <w:pPr>
        <w:pStyle w:val="FootnoteText"/>
      </w:pPr>
      <w:r>
        <w:rPr>
          <w:rStyle w:val="FootnoteReference"/>
        </w:rPr>
        <w:footnoteRef/>
      </w:r>
      <w:r>
        <w:t xml:space="preserve"> </w:t>
      </w:r>
      <w:r w:rsidRPr="008107B5">
        <w:rPr>
          <w:sz w:val="16"/>
          <w:szCs w:val="14"/>
        </w:rPr>
        <w:t>Totals may not add up to 100% due to rounding.</w:t>
      </w:r>
    </w:p>
  </w:footnote>
  <w:footnote w:id="18">
    <w:p w14:paraId="651B7E4A" w14:textId="66622268" w:rsidR="00EA4B2D" w:rsidRPr="00EA4B2D" w:rsidRDefault="00EA4B2D">
      <w:pPr>
        <w:pStyle w:val="FootnoteText"/>
        <w:rPr>
          <w:rFonts w:cstheme="minorHAnsi"/>
          <w:sz w:val="16"/>
          <w:szCs w:val="16"/>
        </w:rPr>
      </w:pPr>
      <w:r w:rsidRPr="00EA4B2D">
        <w:rPr>
          <w:rStyle w:val="FootnoteReference"/>
          <w:rFonts w:asciiTheme="minorHAnsi" w:hAnsiTheme="minorHAnsi" w:cstheme="minorHAnsi"/>
          <w:sz w:val="16"/>
          <w:szCs w:val="16"/>
        </w:rPr>
        <w:footnoteRef/>
      </w:r>
      <w:r w:rsidRPr="00EA4B2D">
        <w:rPr>
          <w:rFonts w:cstheme="minorHAnsi"/>
          <w:sz w:val="16"/>
          <w:szCs w:val="16"/>
        </w:rPr>
        <w:t xml:space="preserve"> Note these data do not include state based funded </w:t>
      </w:r>
      <w:proofErr w:type="spellStart"/>
      <w:r w:rsidRPr="00EA4B2D">
        <w:rPr>
          <w:rFonts w:cstheme="minorHAnsi"/>
          <w:sz w:val="16"/>
          <w:szCs w:val="16"/>
        </w:rPr>
        <w:t>PoCT</w:t>
      </w:r>
      <w:proofErr w:type="spellEnd"/>
      <w:r w:rsidRPr="00EA4B2D">
        <w:rPr>
          <w:rFonts w:cstheme="minorHAnsi"/>
          <w:sz w:val="16"/>
          <w:szCs w:val="16"/>
        </w:rPr>
        <w:t xml:space="preserve"> programs</w:t>
      </w:r>
    </w:p>
  </w:footnote>
  <w:footnote w:id="19">
    <w:p w14:paraId="55DF1C30" w14:textId="2577D05A" w:rsidR="00B10BCA" w:rsidRDefault="00B10BCA">
      <w:pPr>
        <w:pStyle w:val="FootnoteText"/>
      </w:pPr>
      <w:r w:rsidRPr="003D3A57">
        <w:rPr>
          <w:rStyle w:val="FootnoteReference"/>
          <w:sz w:val="18"/>
        </w:rPr>
        <w:footnoteRef/>
      </w:r>
      <w:r w:rsidRPr="003D3A57">
        <w:rPr>
          <w:sz w:val="18"/>
        </w:rPr>
        <w:t xml:space="preserve"> </w:t>
      </w:r>
      <w:r w:rsidRPr="003D3A57">
        <w:rPr>
          <w:sz w:val="16"/>
        </w:rPr>
        <w:t>Excludes testing data for individuals for whom age was not reported.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23F2A" w14:textId="2E2017BB" w:rsidR="00B10BCA" w:rsidRDefault="00767E6A" w:rsidP="008B0462">
    <w:pPr>
      <w:pStyle w:val="Header"/>
      <w:tabs>
        <w:tab w:val="clear" w:pos="8306"/>
        <w:tab w:val="left" w:pos="5274"/>
      </w:tabs>
      <w:spacing w:after="60"/>
    </w:pPr>
    <w:r>
      <w:rPr>
        <w:noProof/>
      </w:rPr>
      <w:drawing>
        <wp:inline distT="0" distB="0" distL="0" distR="0" wp14:anchorId="512D9F6E" wp14:editId="21CA04F0">
          <wp:extent cx="2656936" cy="679362"/>
          <wp:effectExtent l="0" t="0" r="0" b="6985"/>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0848" cy="688033"/>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71832A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83655D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CB25228"/>
    <w:lvl w:ilvl="0">
      <w:start w:val="1"/>
      <w:numFmt w:val="bullet"/>
      <w:pStyle w:val="ListNumber3"/>
      <w:lvlText w:val="o"/>
      <w:lvlJc w:val="left"/>
      <w:pPr>
        <w:ind w:left="926" w:hanging="360"/>
      </w:pPr>
      <w:rPr>
        <w:rFonts w:ascii="Courier New" w:hAnsi="Courier New" w:cs="Courier New" w:hint="default"/>
      </w:rPr>
    </w:lvl>
  </w:abstractNum>
  <w:abstractNum w:abstractNumId="3" w15:restartNumberingAfterBreak="0">
    <w:nsid w:val="FFFFFF7F"/>
    <w:multiLevelType w:val="singleLevel"/>
    <w:tmpl w:val="779E8EF0"/>
    <w:lvl w:ilvl="0">
      <w:start w:val="1"/>
      <w:numFmt w:val="bullet"/>
      <w:pStyle w:val="ListNumber2"/>
      <w:lvlText w:val="-"/>
      <w:lvlJc w:val="left"/>
      <w:pPr>
        <w:ind w:left="643" w:hanging="360"/>
      </w:pPr>
      <w:rPr>
        <w:rFonts w:ascii="Calibri" w:eastAsia="Times New Roman" w:hAnsi="Calibri" w:cs="Calibri" w:hint="default"/>
      </w:rPr>
    </w:lvl>
  </w:abstractNum>
  <w:abstractNum w:abstractNumId="4" w15:restartNumberingAfterBreak="0">
    <w:nsid w:val="FFFFFF80"/>
    <w:multiLevelType w:val="singleLevel"/>
    <w:tmpl w:val="B82CE0B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8"/>
    <w:multiLevelType w:val="singleLevel"/>
    <w:tmpl w:val="5770CFCE"/>
    <w:lvl w:ilvl="0">
      <w:start w:val="1"/>
      <w:numFmt w:val="decimal"/>
      <w:pStyle w:val="ListNumber"/>
      <w:lvlText w:val="%1."/>
      <w:lvlJc w:val="left"/>
      <w:pPr>
        <w:tabs>
          <w:tab w:val="num" w:pos="360"/>
        </w:tabs>
        <w:ind w:left="360" w:hanging="360"/>
      </w:pPr>
    </w:lvl>
  </w:abstractNum>
  <w:abstractNum w:abstractNumId="6" w15:restartNumberingAfterBreak="0">
    <w:nsid w:val="0B2F417A"/>
    <w:multiLevelType w:val="hybridMultilevel"/>
    <w:tmpl w:val="F308159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E1B4D74"/>
    <w:multiLevelType w:val="multilevel"/>
    <w:tmpl w:val="3412F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E405ABD"/>
    <w:multiLevelType w:val="hybridMultilevel"/>
    <w:tmpl w:val="931E7FB0"/>
    <w:lvl w:ilvl="0" w:tplc="26A636A2">
      <w:start w:val="1"/>
      <w:numFmt w:val="bullet"/>
      <w:pStyle w:val="ListBullet4"/>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AF0CC8"/>
    <w:multiLevelType w:val="hybridMultilevel"/>
    <w:tmpl w:val="24A402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849703F"/>
    <w:multiLevelType w:val="hybridMultilevel"/>
    <w:tmpl w:val="66FA09DC"/>
    <w:lvl w:ilvl="0" w:tplc="C3BC9944">
      <w:start w:val="1"/>
      <w:numFmt w:val="bullet"/>
      <w:lvlText w:val="-"/>
      <w:lvlJc w:val="left"/>
      <w:pPr>
        <w:ind w:left="720" w:hanging="360"/>
      </w:pPr>
      <w:rPr>
        <w:rFonts w:ascii="Calibri" w:eastAsia="Times New Roman"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A91A5A"/>
    <w:multiLevelType w:val="hybridMultilevel"/>
    <w:tmpl w:val="DF8225A6"/>
    <w:lvl w:ilvl="0" w:tplc="22D0F50E">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959303A"/>
    <w:multiLevelType w:val="hybridMultilevel"/>
    <w:tmpl w:val="DDA0E39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9B15EC0"/>
    <w:multiLevelType w:val="hybridMultilevel"/>
    <w:tmpl w:val="98BE4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F8D15E3"/>
    <w:multiLevelType w:val="hybridMultilevel"/>
    <w:tmpl w:val="D2CEB6DA"/>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6BA84EDB"/>
    <w:multiLevelType w:val="hybridMultilevel"/>
    <w:tmpl w:val="322AF31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0AD6D0F"/>
    <w:multiLevelType w:val="hybridMultilevel"/>
    <w:tmpl w:val="60505938"/>
    <w:lvl w:ilvl="0" w:tplc="701C5334">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3C35511"/>
    <w:multiLevelType w:val="hybridMultilevel"/>
    <w:tmpl w:val="7054D94A"/>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C1E4B7D"/>
    <w:multiLevelType w:val="hybridMultilevel"/>
    <w:tmpl w:val="7C3CB096"/>
    <w:lvl w:ilvl="0" w:tplc="68E2246E">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C3B2B32"/>
    <w:multiLevelType w:val="hybridMultilevel"/>
    <w:tmpl w:val="C6E252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C615CE6"/>
    <w:multiLevelType w:val="hybridMultilevel"/>
    <w:tmpl w:val="67F0C5FC"/>
    <w:lvl w:ilvl="0" w:tplc="C3BC9944">
      <w:start w:val="1"/>
      <w:numFmt w:val="bullet"/>
      <w:lvlText w:val="-"/>
      <w:lvlJc w:val="left"/>
      <w:pPr>
        <w:ind w:left="360" w:hanging="360"/>
      </w:pPr>
      <w:rPr>
        <w:rFonts w:ascii="Calibri" w:eastAsia="Times New Roman" w:hAnsi="Calibri" w:cs="Calibr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D1E2919"/>
    <w:multiLevelType w:val="hybridMultilevel"/>
    <w:tmpl w:val="54B4CEBA"/>
    <w:lvl w:ilvl="0" w:tplc="494EC67A">
      <w:start w:val="1"/>
      <w:numFmt w:val="lowerRoman"/>
      <w:pStyle w:val="Heading8"/>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68602772">
    <w:abstractNumId w:val="8"/>
  </w:num>
  <w:num w:numId="2" w16cid:durableId="1439252163">
    <w:abstractNumId w:val="22"/>
  </w:num>
  <w:num w:numId="3" w16cid:durableId="1100954280">
    <w:abstractNumId w:val="20"/>
  </w:num>
  <w:num w:numId="4" w16cid:durableId="669063917">
    <w:abstractNumId w:val="10"/>
  </w:num>
  <w:num w:numId="5" w16cid:durableId="1322004183">
    <w:abstractNumId w:val="16"/>
  </w:num>
  <w:num w:numId="6" w16cid:durableId="1646935364">
    <w:abstractNumId w:val="19"/>
  </w:num>
  <w:num w:numId="7" w16cid:durableId="1905412168">
    <w:abstractNumId w:val="7"/>
  </w:num>
  <w:num w:numId="8" w16cid:durableId="1011760872">
    <w:abstractNumId w:val="21"/>
  </w:num>
  <w:num w:numId="9" w16cid:durableId="1275139145">
    <w:abstractNumId w:val="15"/>
  </w:num>
  <w:num w:numId="10" w16cid:durableId="817459891">
    <w:abstractNumId w:val="9"/>
  </w:num>
  <w:num w:numId="11" w16cid:durableId="696662023">
    <w:abstractNumId w:val="18"/>
  </w:num>
  <w:num w:numId="12" w16cid:durableId="688215725">
    <w:abstractNumId w:val="13"/>
  </w:num>
  <w:num w:numId="13" w16cid:durableId="992029987">
    <w:abstractNumId w:val="12"/>
  </w:num>
  <w:num w:numId="14" w16cid:durableId="1824201854">
    <w:abstractNumId w:val="14"/>
  </w:num>
  <w:num w:numId="15" w16cid:durableId="603271170">
    <w:abstractNumId w:val="17"/>
  </w:num>
  <w:num w:numId="16" w16cid:durableId="1517426956">
    <w:abstractNumId w:val="11"/>
  </w:num>
  <w:num w:numId="17" w16cid:durableId="746734313">
    <w:abstractNumId w:val="4"/>
  </w:num>
  <w:num w:numId="18" w16cid:durableId="594441217">
    <w:abstractNumId w:val="5"/>
  </w:num>
  <w:num w:numId="19" w16cid:durableId="1758165271">
    <w:abstractNumId w:val="3"/>
  </w:num>
  <w:num w:numId="20" w16cid:durableId="85616354">
    <w:abstractNumId w:val="2"/>
  </w:num>
  <w:num w:numId="21" w16cid:durableId="1095129079">
    <w:abstractNumId w:val="1"/>
  </w:num>
  <w:num w:numId="22" w16cid:durableId="1139032462">
    <w:abstractNumId w:val="0"/>
  </w:num>
  <w:num w:numId="23" w16cid:durableId="1518233570">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trackRevisions/>
  <w:documentProtection w:edit="readOnly" w:enforcement="0"/>
  <w:defaultTabStop w:val="567"/>
  <w:displayHorizontalDrawingGridEvery w:val="0"/>
  <w:displayVerticalDrawingGridEvery w:val="0"/>
  <w:doNotUseMarginsForDrawingGridOrigin/>
  <w:noPunctuationKerning/>
  <w:characterSpacingControl w:val="doNotCompress"/>
  <w:hdrShapeDefaults>
    <o:shapedefaults v:ext="edit" spidmax="2050"/>
  </w:hdrShapeDefaults>
  <w:footnotePr>
    <w:numFmt w:val="lowerRoman"/>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XmlVersion" w:val="Empty"/>
    <w:docVar w:name="EN.InstantFormat" w:val="&lt;ENInstantFormat&gt;&lt;Enabled&gt;1&lt;/Enabled&gt;&lt;ScanUnformatted&gt;1&lt;/ScanUnformatted&gt;&lt;ScanChanges&gt;1&lt;/ScanChanges&gt;&lt;Suspended&gt;1&lt;/Suspended&gt;&lt;/ENInstantFormat&gt;"/>
    <w:docVar w:name="EN.Layout" w:val="&lt;ENLayout&gt;&lt;Style&gt;Numbered&lt;/Style&gt;&lt;LeftDelim&gt;{&lt;/LeftDelim&gt;&lt;RightDelim&gt;}&lt;/RightDelim&gt;&lt;FontName&gt;Calibri&lt;/FontName&gt;&lt;FontSize&gt;14&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vf2eve221fwdtme9pxspr9f9zz5ravx0zwar&quot;&gt;NNDSS-Converted&lt;record-ids&gt;&lt;item&gt;4820&lt;/item&gt;&lt;item&gt;5215&lt;/item&gt;&lt;item&gt;5266&lt;/item&gt;&lt;/record-ids&gt;&lt;/item&gt;&lt;/Libraries&gt;"/>
    <w:docVar w:name="OLE_LINK1" w:val="Empty"/>
    <w:docVar w:name="OLE_LINK10" w:val="Empty"/>
    <w:docVar w:name="OLE_LINK11" w:val="Empty"/>
    <w:docVar w:name="OLE_LINK12" w:val="Empty"/>
    <w:docVar w:name="OLE_LINK13" w:val="Empty"/>
    <w:docVar w:name="OLE_LINK14" w:val="Empty"/>
    <w:docVar w:name="OLE_LINK15" w:val="Empty"/>
    <w:docVar w:name="OLE_LINK2" w:val="Empty"/>
    <w:docVar w:name="OLE_LINK3" w:val="Empty"/>
    <w:docVar w:name="OLE_LINK4" w:val="Empty"/>
    <w:docVar w:name="OLE_LINK5" w:val="Empty"/>
    <w:docVar w:name="OLE_LINK6" w:val="Empty"/>
    <w:docVar w:name="OLE_LINK7" w:val="Empty"/>
    <w:docVar w:name="OLE_LINK8" w:val="Empty"/>
    <w:docVar w:name="OLE_LINK9" w:val="Empty"/>
    <w:docVar w:name="para_11" w:val="Empty"/>
    <w:docVar w:name="Start" w:val="Empty"/>
  </w:docVars>
  <w:rsids>
    <w:rsidRoot w:val="0023278D"/>
    <w:rsid w:val="000001D8"/>
    <w:rsid w:val="0000036F"/>
    <w:rsid w:val="00000825"/>
    <w:rsid w:val="00000882"/>
    <w:rsid w:val="00000EF5"/>
    <w:rsid w:val="00001060"/>
    <w:rsid w:val="00001259"/>
    <w:rsid w:val="00001575"/>
    <w:rsid w:val="000019D3"/>
    <w:rsid w:val="00002014"/>
    <w:rsid w:val="000020E9"/>
    <w:rsid w:val="00002312"/>
    <w:rsid w:val="000025B9"/>
    <w:rsid w:val="000025E3"/>
    <w:rsid w:val="00003436"/>
    <w:rsid w:val="00003516"/>
    <w:rsid w:val="0000366D"/>
    <w:rsid w:val="00003749"/>
    <w:rsid w:val="00003B2A"/>
    <w:rsid w:val="00003BB7"/>
    <w:rsid w:val="00003C3E"/>
    <w:rsid w:val="00003C7E"/>
    <w:rsid w:val="000041EC"/>
    <w:rsid w:val="0000456A"/>
    <w:rsid w:val="00004A1B"/>
    <w:rsid w:val="00004AFC"/>
    <w:rsid w:val="00004C31"/>
    <w:rsid w:val="000053F1"/>
    <w:rsid w:val="00005423"/>
    <w:rsid w:val="0000545F"/>
    <w:rsid w:val="000057CB"/>
    <w:rsid w:val="00005AB3"/>
    <w:rsid w:val="00005B56"/>
    <w:rsid w:val="00006491"/>
    <w:rsid w:val="00006564"/>
    <w:rsid w:val="0000681C"/>
    <w:rsid w:val="000068AF"/>
    <w:rsid w:val="00006C64"/>
    <w:rsid w:val="00006E4C"/>
    <w:rsid w:val="0000710E"/>
    <w:rsid w:val="000072BA"/>
    <w:rsid w:val="000072E4"/>
    <w:rsid w:val="000074E9"/>
    <w:rsid w:val="00007595"/>
    <w:rsid w:val="000076FF"/>
    <w:rsid w:val="00007CD9"/>
    <w:rsid w:val="00007DE4"/>
    <w:rsid w:val="00010344"/>
    <w:rsid w:val="0001034E"/>
    <w:rsid w:val="000109E7"/>
    <w:rsid w:val="00010CDF"/>
    <w:rsid w:val="00010ECE"/>
    <w:rsid w:val="00010FB4"/>
    <w:rsid w:val="00011295"/>
    <w:rsid w:val="000113F5"/>
    <w:rsid w:val="00011450"/>
    <w:rsid w:val="00011C0B"/>
    <w:rsid w:val="00011CD7"/>
    <w:rsid w:val="00012525"/>
    <w:rsid w:val="00012C78"/>
    <w:rsid w:val="00013054"/>
    <w:rsid w:val="000134C6"/>
    <w:rsid w:val="000136CA"/>
    <w:rsid w:val="000139C0"/>
    <w:rsid w:val="000139FC"/>
    <w:rsid w:val="00013DAB"/>
    <w:rsid w:val="00013E19"/>
    <w:rsid w:val="00013E4C"/>
    <w:rsid w:val="00014006"/>
    <w:rsid w:val="00014281"/>
    <w:rsid w:val="00014290"/>
    <w:rsid w:val="00014877"/>
    <w:rsid w:val="000149FE"/>
    <w:rsid w:val="0001556E"/>
    <w:rsid w:val="000156B3"/>
    <w:rsid w:val="0001580A"/>
    <w:rsid w:val="00015EB6"/>
    <w:rsid w:val="00016241"/>
    <w:rsid w:val="00016392"/>
    <w:rsid w:val="00016924"/>
    <w:rsid w:val="00016BB7"/>
    <w:rsid w:val="00016E3A"/>
    <w:rsid w:val="000170CD"/>
    <w:rsid w:val="000171A6"/>
    <w:rsid w:val="00017283"/>
    <w:rsid w:val="0001775B"/>
    <w:rsid w:val="00017A82"/>
    <w:rsid w:val="00017B9B"/>
    <w:rsid w:val="00017F43"/>
    <w:rsid w:val="000200B7"/>
    <w:rsid w:val="000200D7"/>
    <w:rsid w:val="00020344"/>
    <w:rsid w:val="000203E7"/>
    <w:rsid w:val="000207BF"/>
    <w:rsid w:val="00020A45"/>
    <w:rsid w:val="00020BD3"/>
    <w:rsid w:val="00020F2F"/>
    <w:rsid w:val="0002116A"/>
    <w:rsid w:val="000212AF"/>
    <w:rsid w:val="000212DF"/>
    <w:rsid w:val="00021709"/>
    <w:rsid w:val="000218E5"/>
    <w:rsid w:val="00021A96"/>
    <w:rsid w:val="00021EA7"/>
    <w:rsid w:val="00021F18"/>
    <w:rsid w:val="00021F84"/>
    <w:rsid w:val="00022093"/>
    <w:rsid w:val="0002218A"/>
    <w:rsid w:val="000221F4"/>
    <w:rsid w:val="000224C4"/>
    <w:rsid w:val="00022897"/>
    <w:rsid w:val="00022923"/>
    <w:rsid w:val="00022A9C"/>
    <w:rsid w:val="00023244"/>
    <w:rsid w:val="00023378"/>
    <w:rsid w:val="000237CB"/>
    <w:rsid w:val="00023BA6"/>
    <w:rsid w:val="00023C7D"/>
    <w:rsid w:val="00024517"/>
    <w:rsid w:val="0002457F"/>
    <w:rsid w:val="000249D1"/>
    <w:rsid w:val="00024E92"/>
    <w:rsid w:val="00024F9C"/>
    <w:rsid w:val="00025013"/>
    <w:rsid w:val="00025256"/>
    <w:rsid w:val="000254E0"/>
    <w:rsid w:val="000257C8"/>
    <w:rsid w:val="00025901"/>
    <w:rsid w:val="000260EB"/>
    <w:rsid w:val="00026AAE"/>
    <w:rsid w:val="00026F0F"/>
    <w:rsid w:val="0002704E"/>
    <w:rsid w:val="000276DF"/>
    <w:rsid w:val="000277C8"/>
    <w:rsid w:val="00027989"/>
    <w:rsid w:val="000279C2"/>
    <w:rsid w:val="00027A35"/>
    <w:rsid w:val="00027B06"/>
    <w:rsid w:val="00030840"/>
    <w:rsid w:val="00030857"/>
    <w:rsid w:val="00030A16"/>
    <w:rsid w:val="00030DB5"/>
    <w:rsid w:val="000313DE"/>
    <w:rsid w:val="00031772"/>
    <w:rsid w:val="00031A44"/>
    <w:rsid w:val="000321F5"/>
    <w:rsid w:val="0003224D"/>
    <w:rsid w:val="0003230B"/>
    <w:rsid w:val="00032513"/>
    <w:rsid w:val="00032A86"/>
    <w:rsid w:val="00032E55"/>
    <w:rsid w:val="000330EB"/>
    <w:rsid w:val="00033339"/>
    <w:rsid w:val="00033396"/>
    <w:rsid w:val="00033783"/>
    <w:rsid w:val="000337F3"/>
    <w:rsid w:val="0003394E"/>
    <w:rsid w:val="00033AA9"/>
    <w:rsid w:val="00033DF0"/>
    <w:rsid w:val="00034788"/>
    <w:rsid w:val="00034A23"/>
    <w:rsid w:val="00034DC5"/>
    <w:rsid w:val="0003556B"/>
    <w:rsid w:val="00035B7C"/>
    <w:rsid w:val="00035BD4"/>
    <w:rsid w:val="00035EE5"/>
    <w:rsid w:val="0003660E"/>
    <w:rsid w:val="00036832"/>
    <w:rsid w:val="000368DB"/>
    <w:rsid w:val="00036937"/>
    <w:rsid w:val="000369CE"/>
    <w:rsid w:val="00036AAE"/>
    <w:rsid w:val="00037027"/>
    <w:rsid w:val="00037170"/>
    <w:rsid w:val="000372DA"/>
    <w:rsid w:val="00037405"/>
    <w:rsid w:val="000377B9"/>
    <w:rsid w:val="000377E4"/>
    <w:rsid w:val="00037A57"/>
    <w:rsid w:val="00037C36"/>
    <w:rsid w:val="000405C0"/>
    <w:rsid w:val="000408EE"/>
    <w:rsid w:val="00040A66"/>
    <w:rsid w:val="00040AE1"/>
    <w:rsid w:val="00040DC3"/>
    <w:rsid w:val="00040F13"/>
    <w:rsid w:val="00040F87"/>
    <w:rsid w:val="000410BD"/>
    <w:rsid w:val="000412C7"/>
    <w:rsid w:val="000415A7"/>
    <w:rsid w:val="00041766"/>
    <w:rsid w:val="000417AD"/>
    <w:rsid w:val="00041A3C"/>
    <w:rsid w:val="00041D98"/>
    <w:rsid w:val="00042238"/>
    <w:rsid w:val="000427E4"/>
    <w:rsid w:val="0004287E"/>
    <w:rsid w:val="00042D61"/>
    <w:rsid w:val="00042F03"/>
    <w:rsid w:val="000430E4"/>
    <w:rsid w:val="000432E0"/>
    <w:rsid w:val="00043543"/>
    <w:rsid w:val="0004356F"/>
    <w:rsid w:val="0004398D"/>
    <w:rsid w:val="00043DDC"/>
    <w:rsid w:val="00043E56"/>
    <w:rsid w:val="00043EB9"/>
    <w:rsid w:val="00043EC4"/>
    <w:rsid w:val="000449AC"/>
    <w:rsid w:val="00044CBD"/>
    <w:rsid w:val="00044F7C"/>
    <w:rsid w:val="0004504C"/>
    <w:rsid w:val="0004524E"/>
    <w:rsid w:val="000453D2"/>
    <w:rsid w:val="000454C2"/>
    <w:rsid w:val="000454F6"/>
    <w:rsid w:val="000455A3"/>
    <w:rsid w:val="000457C2"/>
    <w:rsid w:val="000458CA"/>
    <w:rsid w:val="0004599C"/>
    <w:rsid w:val="00045ACA"/>
    <w:rsid w:val="00045BCC"/>
    <w:rsid w:val="00045FD3"/>
    <w:rsid w:val="00046035"/>
    <w:rsid w:val="000461D9"/>
    <w:rsid w:val="000467A1"/>
    <w:rsid w:val="00046BFC"/>
    <w:rsid w:val="00046CE0"/>
    <w:rsid w:val="00046D00"/>
    <w:rsid w:val="00047252"/>
    <w:rsid w:val="000472DB"/>
    <w:rsid w:val="000474E0"/>
    <w:rsid w:val="0004753B"/>
    <w:rsid w:val="00047803"/>
    <w:rsid w:val="0005056D"/>
    <w:rsid w:val="00050811"/>
    <w:rsid w:val="00050826"/>
    <w:rsid w:val="00050986"/>
    <w:rsid w:val="00050C0E"/>
    <w:rsid w:val="00050C69"/>
    <w:rsid w:val="00050D56"/>
    <w:rsid w:val="00050E78"/>
    <w:rsid w:val="000513F1"/>
    <w:rsid w:val="0005183E"/>
    <w:rsid w:val="00051C0A"/>
    <w:rsid w:val="00051D61"/>
    <w:rsid w:val="000521E2"/>
    <w:rsid w:val="00052410"/>
    <w:rsid w:val="00052646"/>
    <w:rsid w:val="0005270F"/>
    <w:rsid w:val="00052764"/>
    <w:rsid w:val="00052A68"/>
    <w:rsid w:val="00052E3A"/>
    <w:rsid w:val="00052EE7"/>
    <w:rsid w:val="00052FEA"/>
    <w:rsid w:val="00053130"/>
    <w:rsid w:val="00053525"/>
    <w:rsid w:val="00053553"/>
    <w:rsid w:val="00053AFB"/>
    <w:rsid w:val="00053C23"/>
    <w:rsid w:val="00053C42"/>
    <w:rsid w:val="00053C98"/>
    <w:rsid w:val="00053CCA"/>
    <w:rsid w:val="000541E2"/>
    <w:rsid w:val="000543DC"/>
    <w:rsid w:val="00054A48"/>
    <w:rsid w:val="00054A77"/>
    <w:rsid w:val="00054D69"/>
    <w:rsid w:val="00054FF1"/>
    <w:rsid w:val="000551CE"/>
    <w:rsid w:val="0005533A"/>
    <w:rsid w:val="00055545"/>
    <w:rsid w:val="000555EB"/>
    <w:rsid w:val="00055639"/>
    <w:rsid w:val="00055874"/>
    <w:rsid w:val="00055909"/>
    <w:rsid w:val="00055916"/>
    <w:rsid w:val="00055C82"/>
    <w:rsid w:val="00055F9C"/>
    <w:rsid w:val="0005651B"/>
    <w:rsid w:val="0005684B"/>
    <w:rsid w:val="00056872"/>
    <w:rsid w:val="00056888"/>
    <w:rsid w:val="00056DA3"/>
    <w:rsid w:val="000570AB"/>
    <w:rsid w:val="000574B4"/>
    <w:rsid w:val="0005755E"/>
    <w:rsid w:val="00057598"/>
    <w:rsid w:val="00057688"/>
    <w:rsid w:val="000576DB"/>
    <w:rsid w:val="0005773E"/>
    <w:rsid w:val="00057776"/>
    <w:rsid w:val="00057777"/>
    <w:rsid w:val="00057788"/>
    <w:rsid w:val="00057920"/>
    <w:rsid w:val="00057B41"/>
    <w:rsid w:val="00057B42"/>
    <w:rsid w:val="00057C2A"/>
    <w:rsid w:val="00060244"/>
    <w:rsid w:val="00060926"/>
    <w:rsid w:val="00060A9B"/>
    <w:rsid w:val="00060FB5"/>
    <w:rsid w:val="00061165"/>
    <w:rsid w:val="000611D1"/>
    <w:rsid w:val="00061396"/>
    <w:rsid w:val="000615B1"/>
    <w:rsid w:val="0006170D"/>
    <w:rsid w:val="000619EC"/>
    <w:rsid w:val="00061BB3"/>
    <w:rsid w:val="00061D90"/>
    <w:rsid w:val="00061ED4"/>
    <w:rsid w:val="00061FBB"/>
    <w:rsid w:val="00062521"/>
    <w:rsid w:val="000625F5"/>
    <w:rsid w:val="00062CB1"/>
    <w:rsid w:val="00062F88"/>
    <w:rsid w:val="00063221"/>
    <w:rsid w:val="00063448"/>
    <w:rsid w:val="00063587"/>
    <w:rsid w:val="000636D7"/>
    <w:rsid w:val="00063B2C"/>
    <w:rsid w:val="00063BA1"/>
    <w:rsid w:val="000641C2"/>
    <w:rsid w:val="000642CE"/>
    <w:rsid w:val="00064316"/>
    <w:rsid w:val="000647D1"/>
    <w:rsid w:val="00064C70"/>
    <w:rsid w:val="00064D28"/>
    <w:rsid w:val="00064DBD"/>
    <w:rsid w:val="00064DF8"/>
    <w:rsid w:val="00064F06"/>
    <w:rsid w:val="0006501D"/>
    <w:rsid w:val="00065064"/>
    <w:rsid w:val="000652C3"/>
    <w:rsid w:val="000652D5"/>
    <w:rsid w:val="00065404"/>
    <w:rsid w:val="0006543E"/>
    <w:rsid w:val="00065C11"/>
    <w:rsid w:val="00065C19"/>
    <w:rsid w:val="00065D92"/>
    <w:rsid w:val="00065E2F"/>
    <w:rsid w:val="00065F31"/>
    <w:rsid w:val="0006692B"/>
    <w:rsid w:val="00066B27"/>
    <w:rsid w:val="00066B69"/>
    <w:rsid w:val="00066DF9"/>
    <w:rsid w:val="00066E0C"/>
    <w:rsid w:val="00066E71"/>
    <w:rsid w:val="00066EC6"/>
    <w:rsid w:val="000670D3"/>
    <w:rsid w:val="00067303"/>
    <w:rsid w:val="00067404"/>
    <w:rsid w:val="000674C5"/>
    <w:rsid w:val="0006750F"/>
    <w:rsid w:val="00067C10"/>
    <w:rsid w:val="0007013F"/>
    <w:rsid w:val="000702FE"/>
    <w:rsid w:val="000706F4"/>
    <w:rsid w:val="000707AB"/>
    <w:rsid w:val="00070830"/>
    <w:rsid w:val="00070A29"/>
    <w:rsid w:val="00070CA6"/>
    <w:rsid w:val="000710DD"/>
    <w:rsid w:val="000713C9"/>
    <w:rsid w:val="00071956"/>
    <w:rsid w:val="00071AAB"/>
    <w:rsid w:val="00071E38"/>
    <w:rsid w:val="000722E4"/>
    <w:rsid w:val="000722EB"/>
    <w:rsid w:val="0007278F"/>
    <w:rsid w:val="00072BEC"/>
    <w:rsid w:val="00072C34"/>
    <w:rsid w:val="00073176"/>
    <w:rsid w:val="00073435"/>
    <w:rsid w:val="000737AB"/>
    <w:rsid w:val="00073AC2"/>
    <w:rsid w:val="00073F8B"/>
    <w:rsid w:val="000740B2"/>
    <w:rsid w:val="00074BBB"/>
    <w:rsid w:val="00074BF8"/>
    <w:rsid w:val="00074F36"/>
    <w:rsid w:val="0007527B"/>
    <w:rsid w:val="00075292"/>
    <w:rsid w:val="00075373"/>
    <w:rsid w:val="000754B5"/>
    <w:rsid w:val="0007575E"/>
    <w:rsid w:val="00075B05"/>
    <w:rsid w:val="00075B42"/>
    <w:rsid w:val="00075D8A"/>
    <w:rsid w:val="000763B7"/>
    <w:rsid w:val="000763FF"/>
    <w:rsid w:val="0007671E"/>
    <w:rsid w:val="000767F7"/>
    <w:rsid w:val="00076961"/>
    <w:rsid w:val="00076DF0"/>
    <w:rsid w:val="00077587"/>
    <w:rsid w:val="000776FB"/>
    <w:rsid w:val="00077A91"/>
    <w:rsid w:val="00077DCF"/>
    <w:rsid w:val="00080063"/>
    <w:rsid w:val="000800C8"/>
    <w:rsid w:val="000803F7"/>
    <w:rsid w:val="000804C1"/>
    <w:rsid w:val="000804E8"/>
    <w:rsid w:val="0008068E"/>
    <w:rsid w:val="000809F1"/>
    <w:rsid w:val="00081A78"/>
    <w:rsid w:val="00081B39"/>
    <w:rsid w:val="00081B7D"/>
    <w:rsid w:val="00081C5B"/>
    <w:rsid w:val="00081E89"/>
    <w:rsid w:val="00082048"/>
    <w:rsid w:val="00082529"/>
    <w:rsid w:val="00082A59"/>
    <w:rsid w:val="00082CF8"/>
    <w:rsid w:val="00083018"/>
    <w:rsid w:val="000830C3"/>
    <w:rsid w:val="0008373E"/>
    <w:rsid w:val="0008383A"/>
    <w:rsid w:val="0008386D"/>
    <w:rsid w:val="00083977"/>
    <w:rsid w:val="0008399A"/>
    <w:rsid w:val="000840C7"/>
    <w:rsid w:val="00084656"/>
    <w:rsid w:val="000848A2"/>
    <w:rsid w:val="00084913"/>
    <w:rsid w:val="00084941"/>
    <w:rsid w:val="00084999"/>
    <w:rsid w:val="00084D57"/>
    <w:rsid w:val="00084F8B"/>
    <w:rsid w:val="00085094"/>
    <w:rsid w:val="000854B7"/>
    <w:rsid w:val="000855A5"/>
    <w:rsid w:val="000857DF"/>
    <w:rsid w:val="000858CB"/>
    <w:rsid w:val="00085A65"/>
    <w:rsid w:val="00085AA1"/>
    <w:rsid w:val="00085D57"/>
    <w:rsid w:val="00085F6F"/>
    <w:rsid w:val="00085FBA"/>
    <w:rsid w:val="00086039"/>
    <w:rsid w:val="0008606F"/>
    <w:rsid w:val="000861D6"/>
    <w:rsid w:val="000862BA"/>
    <w:rsid w:val="000863E3"/>
    <w:rsid w:val="00086533"/>
    <w:rsid w:val="0008662C"/>
    <w:rsid w:val="00086631"/>
    <w:rsid w:val="0008680B"/>
    <w:rsid w:val="00086860"/>
    <w:rsid w:val="00086F23"/>
    <w:rsid w:val="00087082"/>
    <w:rsid w:val="00087340"/>
    <w:rsid w:val="00087BC8"/>
    <w:rsid w:val="00087D84"/>
    <w:rsid w:val="00090481"/>
    <w:rsid w:val="0009055C"/>
    <w:rsid w:val="0009070F"/>
    <w:rsid w:val="000907B2"/>
    <w:rsid w:val="00090A7A"/>
    <w:rsid w:val="00090A8D"/>
    <w:rsid w:val="00090DAB"/>
    <w:rsid w:val="00091042"/>
    <w:rsid w:val="000911BE"/>
    <w:rsid w:val="0009127F"/>
    <w:rsid w:val="00091285"/>
    <w:rsid w:val="0009136D"/>
    <w:rsid w:val="000914E7"/>
    <w:rsid w:val="00091A30"/>
    <w:rsid w:val="00091B41"/>
    <w:rsid w:val="00091E0A"/>
    <w:rsid w:val="00092142"/>
    <w:rsid w:val="00092475"/>
    <w:rsid w:val="0009297C"/>
    <w:rsid w:val="000931C1"/>
    <w:rsid w:val="00093315"/>
    <w:rsid w:val="0009342E"/>
    <w:rsid w:val="000935AA"/>
    <w:rsid w:val="00093980"/>
    <w:rsid w:val="000939DE"/>
    <w:rsid w:val="00093AE8"/>
    <w:rsid w:val="00093EBF"/>
    <w:rsid w:val="00093ED1"/>
    <w:rsid w:val="0009418E"/>
    <w:rsid w:val="00094352"/>
    <w:rsid w:val="00094912"/>
    <w:rsid w:val="00094B6E"/>
    <w:rsid w:val="00094F26"/>
    <w:rsid w:val="00095110"/>
    <w:rsid w:val="00095169"/>
    <w:rsid w:val="000951ED"/>
    <w:rsid w:val="0009560F"/>
    <w:rsid w:val="00095C56"/>
    <w:rsid w:val="00095E6A"/>
    <w:rsid w:val="00095ED4"/>
    <w:rsid w:val="00095F4C"/>
    <w:rsid w:val="00095FCB"/>
    <w:rsid w:val="0009602B"/>
    <w:rsid w:val="000962E0"/>
    <w:rsid w:val="000968B9"/>
    <w:rsid w:val="00096BC1"/>
    <w:rsid w:val="00096C43"/>
    <w:rsid w:val="00096E4A"/>
    <w:rsid w:val="00096E7F"/>
    <w:rsid w:val="000974FB"/>
    <w:rsid w:val="000975B6"/>
    <w:rsid w:val="0009789D"/>
    <w:rsid w:val="000A0166"/>
    <w:rsid w:val="000A01FD"/>
    <w:rsid w:val="000A07A2"/>
    <w:rsid w:val="000A0811"/>
    <w:rsid w:val="000A084F"/>
    <w:rsid w:val="000A0F9E"/>
    <w:rsid w:val="000A14F3"/>
    <w:rsid w:val="000A1743"/>
    <w:rsid w:val="000A19AE"/>
    <w:rsid w:val="000A1C3C"/>
    <w:rsid w:val="000A2E69"/>
    <w:rsid w:val="000A2F54"/>
    <w:rsid w:val="000A335A"/>
    <w:rsid w:val="000A34C2"/>
    <w:rsid w:val="000A3ABE"/>
    <w:rsid w:val="000A3C90"/>
    <w:rsid w:val="000A3E18"/>
    <w:rsid w:val="000A43D6"/>
    <w:rsid w:val="000A465C"/>
    <w:rsid w:val="000A488B"/>
    <w:rsid w:val="000A4AAB"/>
    <w:rsid w:val="000A4CE6"/>
    <w:rsid w:val="000A4F7B"/>
    <w:rsid w:val="000A5012"/>
    <w:rsid w:val="000A519F"/>
    <w:rsid w:val="000A5553"/>
    <w:rsid w:val="000A56EB"/>
    <w:rsid w:val="000A5753"/>
    <w:rsid w:val="000A5945"/>
    <w:rsid w:val="000A5AE8"/>
    <w:rsid w:val="000A601F"/>
    <w:rsid w:val="000A62D0"/>
    <w:rsid w:val="000A648C"/>
    <w:rsid w:val="000A656C"/>
    <w:rsid w:val="000A65E8"/>
    <w:rsid w:val="000A6661"/>
    <w:rsid w:val="000A6743"/>
    <w:rsid w:val="000A6A65"/>
    <w:rsid w:val="000A6B74"/>
    <w:rsid w:val="000A6E0C"/>
    <w:rsid w:val="000A6FAB"/>
    <w:rsid w:val="000A7346"/>
    <w:rsid w:val="000A74F7"/>
    <w:rsid w:val="000A772B"/>
    <w:rsid w:val="000A7BA5"/>
    <w:rsid w:val="000A7C96"/>
    <w:rsid w:val="000A7D8D"/>
    <w:rsid w:val="000B011F"/>
    <w:rsid w:val="000B02CC"/>
    <w:rsid w:val="000B02DC"/>
    <w:rsid w:val="000B0503"/>
    <w:rsid w:val="000B05E6"/>
    <w:rsid w:val="000B0C9D"/>
    <w:rsid w:val="000B12B6"/>
    <w:rsid w:val="000B17DD"/>
    <w:rsid w:val="000B1A3D"/>
    <w:rsid w:val="000B1D28"/>
    <w:rsid w:val="000B1E27"/>
    <w:rsid w:val="000B21A9"/>
    <w:rsid w:val="000B2380"/>
    <w:rsid w:val="000B24D9"/>
    <w:rsid w:val="000B2A35"/>
    <w:rsid w:val="000B2C48"/>
    <w:rsid w:val="000B2DD9"/>
    <w:rsid w:val="000B2EEC"/>
    <w:rsid w:val="000B30FE"/>
    <w:rsid w:val="000B3227"/>
    <w:rsid w:val="000B3237"/>
    <w:rsid w:val="000B3491"/>
    <w:rsid w:val="000B3673"/>
    <w:rsid w:val="000B3DF4"/>
    <w:rsid w:val="000B3F56"/>
    <w:rsid w:val="000B4114"/>
    <w:rsid w:val="000B46C2"/>
    <w:rsid w:val="000B49EC"/>
    <w:rsid w:val="000B4A75"/>
    <w:rsid w:val="000B4C38"/>
    <w:rsid w:val="000B5089"/>
    <w:rsid w:val="000B5180"/>
    <w:rsid w:val="000B5C7A"/>
    <w:rsid w:val="000B5DEB"/>
    <w:rsid w:val="000B6261"/>
    <w:rsid w:val="000B6306"/>
    <w:rsid w:val="000B6496"/>
    <w:rsid w:val="000B64E5"/>
    <w:rsid w:val="000B64F9"/>
    <w:rsid w:val="000B6502"/>
    <w:rsid w:val="000B6617"/>
    <w:rsid w:val="000B66A3"/>
    <w:rsid w:val="000B6B51"/>
    <w:rsid w:val="000B6FAD"/>
    <w:rsid w:val="000B718F"/>
    <w:rsid w:val="000B731F"/>
    <w:rsid w:val="000B7581"/>
    <w:rsid w:val="000B76B0"/>
    <w:rsid w:val="000B7DC0"/>
    <w:rsid w:val="000B7F89"/>
    <w:rsid w:val="000C025A"/>
    <w:rsid w:val="000C08C7"/>
    <w:rsid w:val="000C098A"/>
    <w:rsid w:val="000C1360"/>
    <w:rsid w:val="000C1468"/>
    <w:rsid w:val="000C1802"/>
    <w:rsid w:val="000C185E"/>
    <w:rsid w:val="000C1A1A"/>
    <w:rsid w:val="000C1A4A"/>
    <w:rsid w:val="000C1C74"/>
    <w:rsid w:val="000C2087"/>
    <w:rsid w:val="000C270B"/>
    <w:rsid w:val="000C2763"/>
    <w:rsid w:val="000C28B4"/>
    <w:rsid w:val="000C2DA5"/>
    <w:rsid w:val="000C2E00"/>
    <w:rsid w:val="000C3623"/>
    <w:rsid w:val="000C376F"/>
    <w:rsid w:val="000C39E5"/>
    <w:rsid w:val="000C3A7E"/>
    <w:rsid w:val="000C3F9B"/>
    <w:rsid w:val="000C423F"/>
    <w:rsid w:val="000C42ED"/>
    <w:rsid w:val="000C4429"/>
    <w:rsid w:val="000C4C35"/>
    <w:rsid w:val="000C5183"/>
    <w:rsid w:val="000C5226"/>
    <w:rsid w:val="000C53F5"/>
    <w:rsid w:val="000C556D"/>
    <w:rsid w:val="000C567C"/>
    <w:rsid w:val="000C5B21"/>
    <w:rsid w:val="000C5BA6"/>
    <w:rsid w:val="000C5C25"/>
    <w:rsid w:val="000C5F4A"/>
    <w:rsid w:val="000C6199"/>
    <w:rsid w:val="000C6480"/>
    <w:rsid w:val="000C66D6"/>
    <w:rsid w:val="000C68E9"/>
    <w:rsid w:val="000C6AE7"/>
    <w:rsid w:val="000C6B7A"/>
    <w:rsid w:val="000C6F61"/>
    <w:rsid w:val="000C7072"/>
    <w:rsid w:val="000C7191"/>
    <w:rsid w:val="000C727F"/>
    <w:rsid w:val="000C74E1"/>
    <w:rsid w:val="000C7C02"/>
    <w:rsid w:val="000C7C2D"/>
    <w:rsid w:val="000D014C"/>
    <w:rsid w:val="000D015B"/>
    <w:rsid w:val="000D06C3"/>
    <w:rsid w:val="000D0A1D"/>
    <w:rsid w:val="000D0AD0"/>
    <w:rsid w:val="000D0AFB"/>
    <w:rsid w:val="000D0C2D"/>
    <w:rsid w:val="000D0CCB"/>
    <w:rsid w:val="000D1056"/>
    <w:rsid w:val="000D10E3"/>
    <w:rsid w:val="000D129A"/>
    <w:rsid w:val="000D155C"/>
    <w:rsid w:val="000D1A28"/>
    <w:rsid w:val="000D1BAF"/>
    <w:rsid w:val="000D2339"/>
    <w:rsid w:val="000D25BD"/>
    <w:rsid w:val="000D266D"/>
    <w:rsid w:val="000D26F3"/>
    <w:rsid w:val="000D27F9"/>
    <w:rsid w:val="000D2935"/>
    <w:rsid w:val="000D2A8B"/>
    <w:rsid w:val="000D2F99"/>
    <w:rsid w:val="000D2F9C"/>
    <w:rsid w:val="000D304B"/>
    <w:rsid w:val="000D30E2"/>
    <w:rsid w:val="000D3331"/>
    <w:rsid w:val="000D389E"/>
    <w:rsid w:val="000D397B"/>
    <w:rsid w:val="000D3C18"/>
    <w:rsid w:val="000D3E1D"/>
    <w:rsid w:val="000D403A"/>
    <w:rsid w:val="000D42B0"/>
    <w:rsid w:val="000D42B2"/>
    <w:rsid w:val="000D4350"/>
    <w:rsid w:val="000D46A8"/>
    <w:rsid w:val="000D49E7"/>
    <w:rsid w:val="000D4C58"/>
    <w:rsid w:val="000D4F46"/>
    <w:rsid w:val="000D512C"/>
    <w:rsid w:val="000D5252"/>
    <w:rsid w:val="000D555B"/>
    <w:rsid w:val="000D614E"/>
    <w:rsid w:val="000D66FD"/>
    <w:rsid w:val="000D6D6C"/>
    <w:rsid w:val="000D6F0F"/>
    <w:rsid w:val="000D713F"/>
    <w:rsid w:val="000D7184"/>
    <w:rsid w:val="000D739F"/>
    <w:rsid w:val="000D73E8"/>
    <w:rsid w:val="000D7446"/>
    <w:rsid w:val="000D749F"/>
    <w:rsid w:val="000D77FB"/>
    <w:rsid w:val="000D79C2"/>
    <w:rsid w:val="000D7C8D"/>
    <w:rsid w:val="000D7EA3"/>
    <w:rsid w:val="000E01B7"/>
    <w:rsid w:val="000E0341"/>
    <w:rsid w:val="000E06F1"/>
    <w:rsid w:val="000E070E"/>
    <w:rsid w:val="000E095E"/>
    <w:rsid w:val="000E0F14"/>
    <w:rsid w:val="000E0F4E"/>
    <w:rsid w:val="000E0F68"/>
    <w:rsid w:val="000E10CB"/>
    <w:rsid w:val="000E1199"/>
    <w:rsid w:val="000E131E"/>
    <w:rsid w:val="000E13BF"/>
    <w:rsid w:val="000E14F1"/>
    <w:rsid w:val="000E17C3"/>
    <w:rsid w:val="000E19B5"/>
    <w:rsid w:val="000E2149"/>
    <w:rsid w:val="000E2426"/>
    <w:rsid w:val="000E26A3"/>
    <w:rsid w:val="000E26C6"/>
    <w:rsid w:val="000E2AEC"/>
    <w:rsid w:val="000E2B04"/>
    <w:rsid w:val="000E3087"/>
    <w:rsid w:val="000E33F8"/>
    <w:rsid w:val="000E3731"/>
    <w:rsid w:val="000E3740"/>
    <w:rsid w:val="000E38EC"/>
    <w:rsid w:val="000E3DCE"/>
    <w:rsid w:val="000E40CB"/>
    <w:rsid w:val="000E42D4"/>
    <w:rsid w:val="000E48A0"/>
    <w:rsid w:val="000E4AC5"/>
    <w:rsid w:val="000E4C18"/>
    <w:rsid w:val="000E4C90"/>
    <w:rsid w:val="000E4CC7"/>
    <w:rsid w:val="000E51F3"/>
    <w:rsid w:val="000E53B8"/>
    <w:rsid w:val="000E5586"/>
    <w:rsid w:val="000E558C"/>
    <w:rsid w:val="000E55FF"/>
    <w:rsid w:val="000E5E19"/>
    <w:rsid w:val="000E6149"/>
    <w:rsid w:val="000E6450"/>
    <w:rsid w:val="000E6E6D"/>
    <w:rsid w:val="000E75D2"/>
    <w:rsid w:val="000E7665"/>
    <w:rsid w:val="000E782B"/>
    <w:rsid w:val="000E79F4"/>
    <w:rsid w:val="000E7B0E"/>
    <w:rsid w:val="000E7DA9"/>
    <w:rsid w:val="000E7FCD"/>
    <w:rsid w:val="000F0474"/>
    <w:rsid w:val="000F0607"/>
    <w:rsid w:val="000F0660"/>
    <w:rsid w:val="000F06FA"/>
    <w:rsid w:val="000F0835"/>
    <w:rsid w:val="000F0AAF"/>
    <w:rsid w:val="000F0BB2"/>
    <w:rsid w:val="000F0DB5"/>
    <w:rsid w:val="000F127A"/>
    <w:rsid w:val="000F12D9"/>
    <w:rsid w:val="000F13CB"/>
    <w:rsid w:val="000F15F6"/>
    <w:rsid w:val="000F16EB"/>
    <w:rsid w:val="000F1C3C"/>
    <w:rsid w:val="000F2AE7"/>
    <w:rsid w:val="000F2B2C"/>
    <w:rsid w:val="000F2D46"/>
    <w:rsid w:val="000F305D"/>
    <w:rsid w:val="000F3304"/>
    <w:rsid w:val="000F3407"/>
    <w:rsid w:val="000F393E"/>
    <w:rsid w:val="000F3996"/>
    <w:rsid w:val="000F3F90"/>
    <w:rsid w:val="000F43B6"/>
    <w:rsid w:val="000F475F"/>
    <w:rsid w:val="000F493D"/>
    <w:rsid w:val="000F4BBF"/>
    <w:rsid w:val="000F4ECE"/>
    <w:rsid w:val="000F52FB"/>
    <w:rsid w:val="000F5302"/>
    <w:rsid w:val="000F54BB"/>
    <w:rsid w:val="000F5640"/>
    <w:rsid w:val="000F5654"/>
    <w:rsid w:val="000F599F"/>
    <w:rsid w:val="000F5CAB"/>
    <w:rsid w:val="000F63B0"/>
    <w:rsid w:val="000F675E"/>
    <w:rsid w:val="000F6D37"/>
    <w:rsid w:val="000F7183"/>
    <w:rsid w:val="000F722D"/>
    <w:rsid w:val="000F7642"/>
    <w:rsid w:val="000F77EC"/>
    <w:rsid w:val="000F7994"/>
    <w:rsid w:val="000F7CEA"/>
    <w:rsid w:val="000F7E76"/>
    <w:rsid w:val="0010044D"/>
    <w:rsid w:val="00101103"/>
    <w:rsid w:val="00101780"/>
    <w:rsid w:val="0010188B"/>
    <w:rsid w:val="00101897"/>
    <w:rsid w:val="001018C8"/>
    <w:rsid w:val="00101A98"/>
    <w:rsid w:val="00101D2F"/>
    <w:rsid w:val="00101D53"/>
    <w:rsid w:val="00101DE1"/>
    <w:rsid w:val="001022BB"/>
    <w:rsid w:val="00102AD1"/>
    <w:rsid w:val="00102E54"/>
    <w:rsid w:val="00102EE0"/>
    <w:rsid w:val="00102F8A"/>
    <w:rsid w:val="0010338B"/>
    <w:rsid w:val="001037D6"/>
    <w:rsid w:val="00103F7B"/>
    <w:rsid w:val="0010412D"/>
    <w:rsid w:val="00104364"/>
    <w:rsid w:val="00104A1C"/>
    <w:rsid w:val="00104A5F"/>
    <w:rsid w:val="00104A6E"/>
    <w:rsid w:val="0010536C"/>
    <w:rsid w:val="00105AC1"/>
    <w:rsid w:val="00105B70"/>
    <w:rsid w:val="00105F93"/>
    <w:rsid w:val="001064B0"/>
    <w:rsid w:val="00106507"/>
    <w:rsid w:val="001066E9"/>
    <w:rsid w:val="00106C51"/>
    <w:rsid w:val="00106D0D"/>
    <w:rsid w:val="00107228"/>
    <w:rsid w:val="0010753C"/>
    <w:rsid w:val="00107642"/>
    <w:rsid w:val="00107811"/>
    <w:rsid w:val="00107ECA"/>
    <w:rsid w:val="001100FF"/>
    <w:rsid w:val="001106A5"/>
    <w:rsid w:val="00110778"/>
    <w:rsid w:val="0011110D"/>
    <w:rsid w:val="0011115B"/>
    <w:rsid w:val="001111DA"/>
    <w:rsid w:val="00111620"/>
    <w:rsid w:val="0011176C"/>
    <w:rsid w:val="00111C26"/>
    <w:rsid w:val="00111CD7"/>
    <w:rsid w:val="00112132"/>
    <w:rsid w:val="00112458"/>
    <w:rsid w:val="001125AB"/>
    <w:rsid w:val="001126C0"/>
    <w:rsid w:val="00112F4D"/>
    <w:rsid w:val="001131DE"/>
    <w:rsid w:val="00113471"/>
    <w:rsid w:val="00113656"/>
    <w:rsid w:val="001136C2"/>
    <w:rsid w:val="00113A76"/>
    <w:rsid w:val="00113B6E"/>
    <w:rsid w:val="00113BA9"/>
    <w:rsid w:val="00113F7A"/>
    <w:rsid w:val="0011401A"/>
    <w:rsid w:val="00114415"/>
    <w:rsid w:val="00114688"/>
    <w:rsid w:val="00114D28"/>
    <w:rsid w:val="00114E43"/>
    <w:rsid w:val="00115159"/>
    <w:rsid w:val="001152FD"/>
    <w:rsid w:val="0011549B"/>
    <w:rsid w:val="0011564E"/>
    <w:rsid w:val="001156A3"/>
    <w:rsid w:val="00115C07"/>
    <w:rsid w:val="00115C2F"/>
    <w:rsid w:val="00115D58"/>
    <w:rsid w:val="0011610B"/>
    <w:rsid w:val="001162CE"/>
    <w:rsid w:val="00116FAC"/>
    <w:rsid w:val="00117588"/>
    <w:rsid w:val="001175B8"/>
    <w:rsid w:val="001175DA"/>
    <w:rsid w:val="001175E2"/>
    <w:rsid w:val="001178C6"/>
    <w:rsid w:val="00117B0F"/>
    <w:rsid w:val="00117E9F"/>
    <w:rsid w:val="00117F35"/>
    <w:rsid w:val="001203E2"/>
    <w:rsid w:val="001204E8"/>
    <w:rsid w:val="00120AB0"/>
    <w:rsid w:val="00122162"/>
    <w:rsid w:val="0012243A"/>
    <w:rsid w:val="0012248B"/>
    <w:rsid w:val="00122EF8"/>
    <w:rsid w:val="00123044"/>
    <w:rsid w:val="00123087"/>
    <w:rsid w:val="001232F4"/>
    <w:rsid w:val="0012351B"/>
    <w:rsid w:val="00123C83"/>
    <w:rsid w:val="00123F74"/>
    <w:rsid w:val="0012432E"/>
    <w:rsid w:val="001243E8"/>
    <w:rsid w:val="00124B83"/>
    <w:rsid w:val="00124F69"/>
    <w:rsid w:val="001255A5"/>
    <w:rsid w:val="00125678"/>
    <w:rsid w:val="001256AB"/>
    <w:rsid w:val="00125796"/>
    <w:rsid w:val="00125AD5"/>
    <w:rsid w:val="00125C0F"/>
    <w:rsid w:val="00126686"/>
    <w:rsid w:val="00126930"/>
    <w:rsid w:val="001269D1"/>
    <w:rsid w:val="00126A8B"/>
    <w:rsid w:val="00126AB7"/>
    <w:rsid w:val="00126AE8"/>
    <w:rsid w:val="00126D9D"/>
    <w:rsid w:val="00127021"/>
    <w:rsid w:val="001271CC"/>
    <w:rsid w:val="0012763F"/>
    <w:rsid w:val="0012783A"/>
    <w:rsid w:val="001278D5"/>
    <w:rsid w:val="00127DC1"/>
    <w:rsid w:val="0013086E"/>
    <w:rsid w:val="00130A90"/>
    <w:rsid w:val="00130C9F"/>
    <w:rsid w:val="001311ED"/>
    <w:rsid w:val="00131698"/>
    <w:rsid w:val="001317A2"/>
    <w:rsid w:val="0013192A"/>
    <w:rsid w:val="00131E10"/>
    <w:rsid w:val="001320D7"/>
    <w:rsid w:val="00132135"/>
    <w:rsid w:val="00132164"/>
    <w:rsid w:val="00132290"/>
    <w:rsid w:val="0013284A"/>
    <w:rsid w:val="00132A40"/>
    <w:rsid w:val="00132A70"/>
    <w:rsid w:val="00132A88"/>
    <w:rsid w:val="00132B4C"/>
    <w:rsid w:val="00132CDD"/>
    <w:rsid w:val="00132D93"/>
    <w:rsid w:val="0013344F"/>
    <w:rsid w:val="00133456"/>
    <w:rsid w:val="001334AA"/>
    <w:rsid w:val="00133542"/>
    <w:rsid w:val="001336B2"/>
    <w:rsid w:val="00133788"/>
    <w:rsid w:val="001337E8"/>
    <w:rsid w:val="00133CAE"/>
    <w:rsid w:val="00133D94"/>
    <w:rsid w:val="001340A7"/>
    <w:rsid w:val="001341B7"/>
    <w:rsid w:val="001341D2"/>
    <w:rsid w:val="00134665"/>
    <w:rsid w:val="00134734"/>
    <w:rsid w:val="00134A0B"/>
    <w:rsid w:val="00134AEE"/>
    <w:rsid w:val="00134CC0"/>
    <w:rsid w:val="001350A2"/>
    <w:rsid w:val="00135217"/>
    <w:rsid w:val="00135337"/>
    <w:rsid w:val="00135512"/>
    <w:rsid w:val="0013568C"/>
    <w:rsid w:val="001359E9"/>
    <w:rsid w:val="0013613C"/>
    <w:rsid w:val="00136315"/>
    <w:rsid w:val="001364AD"/>
    <w:rsid w:val="00136572"/>
    <w:rsid w:val="00136AAD"/>
    <w:rsid w:val="00136B33"/>
    <w:rsid w:val="00136B5D"/>
    <w:rsid w:val="001370AA"/>
    <w:rsid w:val="0013739F"/>
    <w:rsid w:val="001374BD"/>
    <w:rsid w:val="00137752"/>
    <w:rsid w:val="00137808"/>
    <w:rsid w:val="00137858"/>
    <w:rsid w:val="00137D32"/>
    <w:rsid w:val="00137EF7"/>
    <w:rsid w:val="0014030A"/>
    <w:rsid w:val="0014060F"/>
    <w:rsid w:val="00140664"/>
    <w:rsid w:val="0014089C"/>
    <w:rsid w:val="00140F5C"/>
    <w:rsid w:val="00141205"/>
    <w:rsid w:val="001415AD"/>
    <w:rsid w:val="00141C3D"/>
    <w:rsid w:val="0014205F"/>
    <w:rsid w:val="00142436"/>
    <w:rsid w:val="001428F3"/>
    <w:rsid w:val="00142A5E"/>
    <w:rsid w:val="00142B04"/>
    <w:rsid w:val="00142BEC"/>
    <w:rsid w:val="00142D08"/>
    <w:rsid w:val="00142D2D"/>
    <w:rsid w:val="001432FF"/>
    <w:rsid w:val="0014334B"/>
    <w:rsid w:val="00143699"/>
    <w:rsid w:val="00143F68"/>
    <w:rsid w:val="001442DC"/>
    <w:rsid w:val="001442E0"/>
    <w:rsid w:val="00144451"/>
    <w:rsid w:val="001446A0"/>
    <w:rsid w:val="001448F9"/>
    <w:rsid w:val="00144A9C"/>
    <w:rsid w:val="00144AEC"/>
    <w:rsid w:val="00144F45"/>
    <w:rsid w:val="00145146"/>
    <w:rsid w:val="001452CF"/>
    <w:rsid w:val="00145451"/>
    <w:rsid w:val="00145783"/>
    <w:rsid w:val="00145823"/>
    <w:rsid w:val="001459D2"/>
    <w:rsid w:val="00145AD9"/>
    <w:rsid w:val="00145B13"/>
    <w:rsid w:val="00145DE6"/>
    <w:rsid w:val="0014614C"/>
    <w:rsid w:val="001463CA"/>
    <w:rsid w:val="00146453"/>
    <w:rsid w:val="00146651"/>
    <w:rsid w:val="00146819"/>
    <w:rsid w:val="001469A8"/>
    <w:rsid w:val="00146DBF"/>
    <w:rsid w:val="001470C4"/>
    <w:rsid w:val="00147590"/>
    <w:rsid w:val="001476AB"/>
    <w:rsid w:val="001478FA"/>
    <w:rsid w:val="00147911"/>
    <w:rsid w:val="00147F64"/>
    <w:rsid w:val="00151153"/>
    <w:rsid w:val="001511C8"/>
    <w:rsid w:val="00151246"/>
    <w:rsid w:val="001517A8"/>
    <w:rsid w:val="00151908"/>
    <w:rsid w:val="00151BC7"/>
    <w:rsid w:val="00151F30"/>
    <w:rsid w:val="0015223E"/>
    <w:rsid w:val="001527F7"/>
    <w:rsid w:val="00152ACB"/>
    <w:rsid w:val="00152BEE"/>
    <w:rsid w:val="00152C64"/>
    <w:rsid w:val="0015342A"/>
    <w:rsid w:val="001534A7"/>
    <w:rsid w:val="001537D1"/>
    <w:rsid w:val="0015389A"/>
    <w:rsid w:val="00153A03"/>
    <w:rsid w:val="00153E03"/>
    <w:rsid w:val="00153E77"/>
    <w:rsid w:val="001541DB"/>
    <w:rsid w:val="001541FA"/>
    <w:rsid w:val="0015442D"/>
    <w:rsid w:val="001544D1"/>
    <w:rsid w:val="00154687"/>
    <w:rsid w:val="0015489F"/>
    <w:rsid w:val="001548D8"/>
    <w:rsid w:val="00154ACF"/>
    <w:rsid w:val="00154CD8"/>
    <w:rsid w:val="001551C2"/>
    <w:rsid w:val="00155316"/>
    <w:rsid w:val="00155493"/>
    <w:rsid w:val="0015565A"/>
    <w:rsid w:val="0015570A"/>
    <w:rsid w:val="0015590B"/>
    <w:rsid w:val="001559E6"/>
    <w:rsid w:val="00155C2F"/>
    <w:rsid w:val="00155CE3"/>
    <w:rsid w:val="00155E5F"/>
    <w:rsid w:val="00155ECD"/>
    <w:rsid w:val="001561BD"/>
    <w:rsid w:val="001562CC"/>
    <w:rsid w:val="00156E0A"/>
    <w:rsid w:val="00156FDF"/>
    <w:rsid w:val="00157072"/>
    <w:rsid w:val="001570DB"/>
    <w:rsid w:val="00157257"/>
    <w:rsid w:val="0015745E"/>
    <w:rsid w:val="001574F0"/>
    <w:rsid w:val="0015765D"/>
    <w:rsid w:val="00157981"/>
    <w:rsid w:val="00157B0B"/>
    <w:rsid w:val="00157D20"/>
    <w:rsid w:val="00157F4F"/>
    <w:rsid w:val="001602EB"/>
    <w:rsid w:val="00160588"/>
    <w:rsid w:val="00160CF3"/>
    <w:rsid w:val="00160EBB"/>
    <w:rsid w:val="0016116B"/>
    <w:rsid w:val="001611CD"/>
    <w:rsid w:val="00161488"/>
    <w:rsid w:val="00161603"/>
    <w:rsid w:val="00161CF4"/>
    <w:rsid w:val="00161D4A"/>
    <w:rsid w:val="00161FE1"/>
    <w:rsid w:val="00162059"/>
    <w:rsid w:val="0016211B"/>
    <w:rsid w:val="00162155"/>
    <w:rsid w:val="0016224F"/>
    <w:rsid w:val="001622E7"/>
    <w:rsid w:val="00162527"/>
    <w:rsid w:val="00162599"/>
    <w:rsid w:val="0016270D"/>
    <w:rsid w:val="001629FD"/>
    <w:rsid w:val="00162D9E"/>
    <w:rsid w:val="00162F96"/>
    <w:rsid w:val="001630D4"/>
    <w:rsid w:val="001639D8"/>
    <w:rsid w:val="00163A19"/>
    <w:rsid w:val="00163EE7"/>
    <w:rsid w:val="00163EF4"/>
    <w:rsid w:val="00163F8A"/>
    <w:rsid w:val="00164005"/>
    <w:rsid w:val="001642FD"/>
    <w:rsid w:val="001643CC"/>
    <w:rsid w:val="0016448D"/>
    <w:rsid w:val="00164709"/>
    <w:rsid w:val="00164BC3"/>
    <w:rsid w:val="00164CA8"/>
    <w:rsid w:val="00164F3D"/>
    <w:rsid w:val="001651FA"/>
    <w:rsid w:val="00165200"/>
    <w:rsid w:val="00165231"/>
    <w:rsid w:val="0016538F"/>
    <w:rsid w:val="0016544F"/>
    <w:rsid w:val="0016562C"/>
    <w:rsid w:val="001658DD"/>
    <w:rsid w:val="00165928"/>
    <w:rsid w:val="00165A69"/>
    <w:rsid w:val="00165AE8"/>
    <w:rsid w:val="00165BEC"/>
    <w:rsid w:val="0016610E"/>
    <w:rsid w:val="00166140"/>
    <w:rsid w:val="001661DF"/>
    <w:rsid w:val="00166EEE"/>
    <w:rsid w:val="00166F9B"/>
    <w:rsid w:val="001673D9"/>
    <w:rsid w:val="001676F1"/>
    <w:rsid w:val="00167A0A"/>
    <w:rsid w:val="00167D97"/>
    <w:rsid w:val="00170079"/>
    <w:rsid w:val="001701BA"/>
    <w:rsid w:val="00170559"/>
    <w:rsid w:val="001707B9"/>
    <w:rsid w:val="00170A43"/>
    <w:rsid w:val="00170C18"/>
    <w:rsid w:val="00170D86"/>
    <w:rsid w:val="00170F5A"/>
    <w:rsid w:val="0017174E"/>
    <w:rsid w:val="001719C9"/>
    <w:rsid w:val="001719F7"/>
    <w:rsid w:val="00171D9A"/>
    <w:rsid w:val="00171EE1"/>
    <w:rsid w:val="001723D1"/>
    <w:rsid w:val="0017257E"/>
    <w:rsid w:val="00172614"/>
    <w:rsid w:val="001729F0"/>
    <w:rsid w:val="00172CF9"/>
    <w:rsid w:val="0017305B"/>
    <w:rsid w:val="001730A9"/>
    <w:rsid w:val="001731E7"/>
    <w:rsid w:val="00173235"/>
    <w:rsid w:val="001736AC"/>
    <w:rsid w:val="00173753"/>
    <w:rsid w:val="001738E1"/>
    <w:rsid w:val="00173A7F"/>
    <w:rsid w:val="00173B56"/>
    <w:rsid w:val="00173DCE"/>
    <w:rsid w:val="00173FD8"/>
    <w:rsid w:val="001740CC"/>
    <w:rsid w:val="00174150"/>
    <w:rsid w:val="00174C12"/>
    <w:rsid w:val="001750B1"/>
    <w:rsid w:val="001750CA"/>
    <w:rsid w:val="0017558B"/>
    <w:rsid w:val="00175C25"/>
    <w:rsid w:val="00175C6D"/>
    <w:rsid w:val="001762C0"/>
    <w:rsid w:val="00176599"/>
    <w:rsid w:val="001766ED"/>
    <w:rsid w:val="00176860"/>
    <w:rsid w:val="001768A8"/>
    <w:rsid w:val="00176B5E"/>
    <w:rsid w:val="00176E10"/>
    <w:rsid w:val="00176E37"/>
    <w:rsid w:val="0017713F"/>
    <w:rsid w:val="00177277"/>
    <w:rsid w:val="00177B5B"/>
    <w:rsid w:val="00177D95"/>
    <w:rsid w:val="00177EF1"/>
    <w:rsid w:val="00177F01"/>
    <w:rsid w:val="00180032"/>
    <w:rsid w:val="00180313"/>
    <w:rsid w:val="001805BF"/>
    <w:rsid w:val="00180AB1"/>
    <w:rsid w:val="0018153D"/>
    <w:rsid w:val="001815AF"/>
    <w:rsid w:val="001816BB"/>
    <w:rsid w:val="00181BD1"/>
    <w:rsid w:val="00181D94"/>
    <w:rsid w:val="001820B5"/>
    <w:rsid w:val="001820FA"/>
    <w:rsid w:val="0018225B"/>
    <w:rsid w:val="00182281"/>
    <w:rsid w:val="0018258A"/>
    <w:rsid w:val="00182824"/>
    <w:rsid w:val="00182908"/>
    <w:rsid w:val="00182B07"/>
    <w:rsid w:val="00183023"/>
    <w:rsid w:val="0018319E"/>
    <w:rsid w:val="001834D2"/>
    <w:rsid w:val="001836F8"/>
    <w:rsid w:val="00183A58"/>
    <w:rsid w:val="00183FA3"/>
    <w:rsid w:val="00183FBD"/>
    <w:rsid w:val="00184277"/>
    <w:rsid w:val="001849A7"/>
    <w:rsid w:val="00184F3C"/>
    <w:rsid w:val="0018505C"/>
    <w:rsid w:val="00185071"/>
    <w:rsid w:val="001852AC"/>
    <w:rsid w:val="001853AB"/>
    <w:rsid w:val="00185401"/>
    <w:rsid w:val="0018556B"/>
    <w:rsid w:val="00185804"/>
    <w:rsid w:val="00185AB0"/>
    <w:rsid w:val="00185AF5"/>
    <w:rsid w:val="00185D5E"/>
    <w:rsid w:val="00185E32"/>
    <w:rsid w:val="00185EF3"/>
    <w:rsid w:val="00186346"/>
    <w:rsid w:val="0018650E"/>
    <w:rsid w:val="001865D4"/>
    <w:rsid w:val="001868BA"/>
    <w:rsid w:val="001869FF"/>
    <w:rsid w:val="001871A9"/>
    <w:rsid w:val="001875C9"/>
    <w:rsid w:val="00187A1C"/>
    <w:rsid w:val="00187F38"/>
    <w:rsid w:val="0019004E"/>
    <w:rsid w:val="001901C5"/>
    <w:rsid w:val="00190535"/>
    <w:rsid w:val="00190561"/>
    <w:rsid w:val="00190702"/>
    <w:rsid w:val="00190C90"/>
    <w:rsid w:val="00190D8C"/>
    <w:rsid w:val="00191070"/>
    <w:rsid w:val="001911AB"/>
    <w:rsid w:val="00191379"/>
    <w:rsid w:val="001916AA"/>
    <w:rsid w:val="00191A54"/>
    <w:rsid w:val="00192188"/>
    <w:rsid w:val="00192254"/>
    <w:rsid w:val="00193307"/>
    <w:rsid w:val="00193521"/>
    <w:rsid w:val="00193591"/>
    <w:rsid w:val="001937EB"/>
    <w:rsid w:val="0019384C"/>
    <w:rsid w:val="00193947"/>
    <w:rsid w:val="00193AB1"/>
    <w:rsid w:val="00193B01"/>
    <w:rsid w:val="00193C04"/>
    <w:rsid w:val="00193E75"/>
    <w:rsid w:val="0019412A"/>
    <w:rsid w:val="00194248"/>
    <w:rsid w:val="00194414"/>
    <w:rsid w:val="00194715"/>
    <w:rsid w:val="001951F9"/>
    <w:rsid w:val="0019686E"/>
    <w:rsid w:val="001968C6"/>
    <w:rsid w:val="00196DE1"/>
    <w:rsid w:val="00196ECA"/>
    <w:rsid w:val="00196FB6"/>
    <w:rsid w:val="001972C6"/>
    <w:rsid w:val="001973C6"/>
    <w:rsid w:val="00197513"/>
    <w:rsid w:val="00197642"/>
    <w:rsid w:val="00197ACD"/>
    <w:rsid w:val="00197AFC"/>
    <w:rsid w:val="00197BB9"/>
    <w:rsid w:val="00197D76"/>
    <w:rsid w:val="00197E7C"/>
    <w:rsid w:val="00197FCB"/>
    <w:rsid w:val="001A03B8"/>
    <w:rsid w:val="001A0610"/>
    <w:rsid w:val="001A0641"/>
    <w:rsid w:val="001A07E0"/>
    <w:rsid w:val="001A0DC3"/>
    <w:rsid w:val="001A10D0"/>
    <w:rsid w:val="001A12BB"/>
    <w:rsid w:val="001A162A"/>
    <w:rsid w:val="001A1644"/>
    <w:rsid w:val="001A1848"/>
    <w:rsid w:val="001A1CA8"/>
    <w:rsid w:val="001A2126"/>
    <w:rsid w:val="001A2192"/>
    <w:rsid w:val="001A2331"/>
    <w:rsid w:val="001A24AB"/>
    <w:rsid w:val="001A27FB"/>
    <w:rsid w:val="001A2B67"/>
    <w:rsid w:val="001A2C29"/>
    <w:rsid w:val="001A2D85"/>
    <w:rsid w:val="001A2E4D"/>
    <w:rsid w:val="001A2EEF"/>
    <w:rsid w:val="001A2FC5"/>
    <w:rsid w:val="001A376D"/>
    <w:rsid w:val="001A3C11"/>
    <w:rsid w:val="001A3F2C"/>
    <w:rsid w:val="001A409C"/>
    <w:rsid w:val="001A4177"/>
    <w:rsid w:val="001A419D"/>
    <w:rsid w:val="001A4317"/>
    <w:rsid w:val="001A4450"/>
    <w:rsid w:val="001A44DC"/>
    <w:rsid w:val="001A4663"/>
    <w:rsid w:val="001A49BA"/>
    <w:rsid w:val="001A49BE"/>
    <w:rsid w:val="001A4A2D"/>
    <w:rsid w:val="001A5732"/>
    <w:rsid w:val="001A58F9"/>
    <w:rsid w:val="001A5970"/>
    <w:rsid w:val="001A599E"/>
    <w:rsid w:val="001A59CC"/>
    <w:rsid w:val="001A5B9F"/>
    <w:rsid w:val="001A5F0E"/>
    <w:rsid w:val="001A5F20"/>
    <w:rsid w:val="001A60E2"/>
    <w:rsid w:val="001A69F2"/>
    <w:rsid w:val="001A6B32"/>
    <w:rsid w:val="001A6BA5"/>
    <w:rsid w:val="001A6D46"/>
    <w:rsid w:val="001A721A"/>
    <w:rsid w:val="001A74A1"/>
    <w:rsid w:val="001A75D7"/>
    <w:rsid w:val="001A7E7F"/>
    <w:rsid w:val="001B0190"/>
    <w:rsid w:val="001B023D"/>
    <w:rsid w:val="001B039C"/>
    <w:rsid w:val="001B040D"/>
    <w:rsid w:val="001B043B"/>
    <w:rsid w:val="001B053A"/>
    <w:rsid w:val="001B0737"/>
    <w:rsid w:val="001B0F81"/>
    <w:rsid w:val="001B101F"/>
    <w:rsid w:val="001B1173"/>
    <w:rsid w:val="001B1265"/>
    <w:rsid w:val="001B150D"/>
    <w:rsid w:val="001B189B"/>
    <w:rsid w:val="001B18E3"/>
    <w:rsid w:val="001B1CE1"/>
    <w:rsid w:val="001B1F39"/>
    <w:rsid w:val="001B207B"/>
    <w:rsid w:val="001B2417"/>
    <w:rsid w:val="001B2659"/>
    <w:rsid w:val="001B29CC"/>
    <w:rsid w:val="001B2BF7"/>
    <w:rsid w:val="001B2C10"/>
    <w:rsid w:val="001B2E25"/>
    <w:rsid w:val="001B2E4C"/>
    <w:rsid w:val="001B2E79"/>
    <w:rsid w:val="001B327A"/>
    <w:rsid w:val="001B3349"/>
    <w:rsid w:val="001B3635"/>
    <w:rsid w:val="001B3942"/>
    <w:rsid w:val="001B3994"/>
    <w:rsid w:val="001B3D3A"/>
    <w:rsid w:val="001B3E1A"/>
    <w:rsid w:val="001B3E66"/>
    <w:rsid w:val="001B3EC3"/>
    <w:rsid w:val="001B41E6"/>
    <w:rsid w:val="001B493D"/>
    <w:rsid w:val="001B49AF"/>
    <w:rsid w:val="001B4B02"/>
    <w:rsid w:val="001B4E5D"/>
    <w:rsid w:val="001B4FBE"/>
    <w:rsid w:val="001B5147"/>
    <w:rsid w:val="001B52C3"/>
    <w:rsid w:val="001B5415"/>
    <w:rsid w:val="001B569F"/>
    <w:rsid w:val="001B5908"/>
    <w:rsid w:val="001B5AD3"/>
    <w:rsid w:val="001B5B32"/>
    <w:rsid w:val="001B5BA9"/>
    <w:rsid w:val="001B5E98"/>
    <w:rsid w:val="001B6036"/>
    <w:rsid w:val="001B6295"/>
    <w:rsid w:val="001B6463"/>
    <w:rsid w:val="001B6488"/>
    <w:rsid w:val="001B658A"/>
    <w:rsid w:val="001B66C1"/>
    <w:rsid w:val="001B671D"/>
    <w:rsid w:val="001B7292"/>
    <w:rsid w:val="001B7736"/>
    <w:rsid w:val="001B7814"/>
    <w:rsid w:val="001B7E0D"/>
    <w:rsid w:val="001C01CA"/>
    <w:rsid w:val="001C0A6B"/>
    <w:rsid w:val="001C0E23"/>
    <w:rsid w:val="001C0F22"/>
    <w:rsid w:val="001C14B6"/>
    <w:rsid w:val="001C1626"/>
    <w:rsid w:val="001C1763"/>
    <w:rsid w:val="001C1BBE"/>
    <w:rsid w:val="001C1EAD"/>
    <w:rsid w:val="001C2175"/>
    <w:rsid w:val="001C21C7"/>
    <w:rsid w:val="001C245E"/>
    <w:rsid w:val="001C2C9B"/>
    <w:rsid w:val="001C2F3A"/>
    <w:rsid w:val="001C332E"/>
    <w:rsid w:val="001C34BF"/>
    <w:rsid w:val="001C35C8"/>
    <w:rsid w:val="001C3619"/>
    <w:rsid w:val="001C3775"/>
    <w:rsid w:val="001C395B"/>
    <w:rsid w:val="001C3AE9"/>
    <w:rsid w:val="001C3B80"/>
    <w:rsid w:val="001C3D5F"/>
    <w:rsid w:val="001C4125"/>
    <w:rsid w:val="001C435C"/>
    <w:rsid w:val="001C4799"/>
    <w:rsid w:val="001C4851"/>
    <w:rsid w:val="001C4D0D"/>
    <w:rsid w:val="001C539C"/>
    <w:rsid w:val="001C5457"/>
    <w:rsid w:val="001C5652"/>
    <w:rsid w:val="001C5759"/>
    <w:rsid w:val="001C5860"/>
    <w:rsid w:val="001C5863"/>
    <w:rsid w:val="001C5C79"/>
    <w:rsid w:val="001C5E71"/>
    <w:rsid w:val="001C60DC"/>
    <w:rsid w:val="001C6191"/>
    <w:rsid w:val="001C6320"/>
    <w:rsid w:val="001C65E4"/>
    <w:rsid w:val="001C6E1C"/>
    <w:rsid w:val="001C6EF5"/>
    <w:rsid w:val="001C722C"/>
    <w:rsid w:val="001C73B9"/>
    <w:rsid w:val="001C7615"/>
    <w:rsid w:val="001C7779"/>
    <w:rsid w:val="001C780B"/>
    <w:rsid w:val="001C79B7"/>
    <w:rsid w:val="001D01C6"/>
    <w:rsid w:val="001D01F0"/>
    <w:rsid w:val="001D0660"/>
    <w:rsid w:val="001D0947"/>
    <w:rsid w:val="001D0A87"/>
    <w:rsid w:val="001D0D9F"/>
    <w:rsid w:val="001D1187"/>
    <w:rsid w:val="001D122A"/>
    <w:rsid w:val="001D1598"/>
    <w:rsid w:val="001D16D2"/>
    <w:rsid w:val="001D1A02"/>
    <w:rsid w:val="001D1CD0"/>
    <w:rsid w:val="001D21A5"/>
    <w:rsid w:val="001D2457"/>
    <w:rsid w:val="001D2BDA"/>
    <w:rsid w:val="001D2C9A"/>
    <w:rsid w:val="001D2CB6"/>
    <w:rsid w:val="001D2CCB"/>
    <w:rsid w:val="001D34F2"/>
    <w:rsid w:val="001D3936"/>
    <w:rsid w:val="001D39DF"/>
    <w:rsid w:val="001D3AEA"/>
    <w:rsid w:val="001D3C22"/>
    <w:rsid w:val="001D3E57"/>
    <w:rsid w:val="001D3EF2"/>
    <w:rsid w:val="001D40A2"/>
    <w:rsid w:val="001D4635"/>
    <w:rsid w:val="001D48B7"/>
    <w:rsid w:val="001D4DDC"/>
    <w:rsid w:val="001D4FB7"/>
    <w:rsid w:val="001D536B"/>
    <w:rsid w:val="001D5418"/>
    <w:rsid w:val="001D5626"/>
    <w:rsid w:val="001D5A83"/>
    <w:rsid w:val="001D5B27"/>
    <w:rsid w:val="001D5B43"/>
    <w:rsid w:val="001D5FAD"/>
    <w:rsid w:val="001D608A"/>
    <w:rsid w:val="001D64B5"/>
    <w:rsid w:val="001D64FC"/>
    <w:rsid w:val="001D6689"/>
    <w:rsid w:val="001D6727"/>
    <w:rsid w:val="001D68A8"/>
    <w:rsid w:val="001D6BD8"/>
    <w:rsid w:val="001D6F70"/>
    <w:rsid w:val="001D7114"/>
    <w:rsid w:val="001D715B"/>
    <w:rsid w:val="001D7189"/>
    <w:rsid w:val="001D7477"/>
    <w:rsid w:val="001D7579"/>
    <w:rsid w:val="001D7AAB"/>
    <w:rsid w:val="001E00B4"/>
    <w:rsid w:val="001E04FA"/>
    <w:rsid w:val="001E0628"/>
    <w:rsid w:val="001E080F"/>
    <w:rsid w:val="001E0A86"/>
    <w:rsid w:val="001E0AC7"/>
    <w:rsid w:val="001E17FD"/>
    <w:rsid w:val="001E1885"/>
    <w:rsid w:val="001E1A7B"/>
    <w:rsid w:val="001E1DB8"/>
    <w:rsid w:val="001E1ED7"/>
    <w:rsid w:val="001E23F6"/>
    <w:rsid w:val="001E255C"/>
    <w:rsid w:val="001E25D3"/>
    <w:rsid w:val="001E272E"/>
    <w:rsid w:val="001E2757"/>
    <w:rsid w:val="001E27C8"/>
    <w:rsid w:val="001E2CF9"/>
    <w:rsid w:val="001E2EC4"/>
    <w:rsid w:val="001E30AF"/>
    <w:rsid w:val="001E4199"/>
    <w:rsid w:val="001E452A"/>
    <w:rsid w:val="001E479C"/>
    <w:rsid w:val="001E4A7B"/>
    <w:rsid w:val="001E4AA6"/>
    <w:rsid w:val="001E4D6D"/>
    <w:rsid w:val="001E50F6"/>
    <w:rsid w:val="001E5526"/>
    <w:rsid w:val="001E585A"/>
    <w:rsid w:val="001E5A35"/>
    <w:rsid w:val="001E6263"/>
    <w:rsid w:val="001E62E7"/>
    <w:rsid w:val="001E64E2"/>
    <w:rsid w:val="001E64ED"/>
    <w:rsid w:val="001E650E"/>
    <w:rsid w:val="001E6789"/>
    <w:rsid w:val="001E6AE4"/>
    <w:rsid w:val="001E6BF3"/>
    <w:rsid w:val="001E6D9E"/>
    <w:rsid w:val="001E6E80"/>
    <w:rsid w:val="001E6EB8"/>
    <w:rsid w:val="001E6EF4"/>
    <w:rsid w:val="001E6F0D"/>
    <w:rsid w:val="001E7036"/>
    <w:rsid w:val="001E7115"/>
    <w:rsid w:val="001E71EC"/>
    <w:rsid w:val="001E74BC"/>
    <w:rsid w:val="001E7837"/>
    <w:rsid w:val="001E794F"/>
    <w:rsid w:val="001E7B28"/>
    <w:rsid w:val="001E7BF1"/>
    <w:rsid w:val="001F0342"/>
    <w:rsid w:val="001F070D"/>
    <w:rsid w:val="001F08E6"/>
    <w:rsid w:val="001F0912"/>
    <w:rsid w:val="001F0A1B"/>
    <w:rsid w:val="001F0AA8"/>
    <w:rsid w:val="001F10C3"/>
    <w:rsid w:val="001F1259"/>
    <w:rsid w:val="001F1785"/>
    <w:rsid w:val="001F1C50"/>
    <w:rsid w:val="001F2092"/>
    <w:rsid w:val="001F249A"/>
    <w:rsid w:val="001F2942"/>
    <w:rsid w:val="001F29A0"/>
    <w:rsid w:val="001F2B92"/>
    <w:rsid w:val="001F2F82"/>
    <w:rsid w:val="001F31B3"/>
    <w:rsid w:val="001F31B5"/>
    <w:rsid w:val="001F344B"/>
    <w:rsid w:val="001F357F"/>
    <w:rsid w:val="001F35CB"/>
    <w:rsid w:val="001F3A4A"/>
    <w:rsid w:val="001F3A95"/>
    <w:rsid w:val="001F3C71"/>
    <w:rsid w:val="001F3C93"/>
    <w:rsid w:val="001F3CE9"/>
    <w:rsid w:val="001F426E"/>
    <w:rsid w:val="001F4353"/>
    <w:rsid w:val="001F470E"/>
    <w:rsid w:val="001F47CB"/>
    <w:rsid w:val="001F4D9E"/>
    <w:rsid w:val="001F5055"/>
    <w:rsid w:val="001F52AC"/>
    <w:rsid w:val="001F56B2"/>
    <w:rsid w:val="001F5A36"/>
    <w:rsid w:val="001F5D08"/>
    <w:rsid w:val="001F5D2B"/>
    <w:rsid w:val="001F5DF9"/>
    <w:rsid w:val="001F5F90"/>
    <w:rsid w:val="001F667C"/>
    <w:rsid w:val="001F66E0"/>
    <w:rsid w:val="001F6A6A"/>
    <w:rsid w:val="001F6C41"/>
    <w:rsid w:val="001F738A"/>
    <w:rsid w:val="001F76B2"/>
    <w:rsid w:val="001F7826"/>
    <w:rsid w:val="001F79E8"/>
    <w:rsid w:val="001F7ABA"/>
    <w:rsid w:val="001F7B76"/>
    <w:rsid w:val="001F7D98"/>
    <w:rsid w:val="001F7E99"/>
    <w:rsid w:val="00200167"/>
    <w:rsid w:val="00200366"/>
    <w:rsid w:val="00200547"/>
    <w:rsid w:val="00200DE1"/>
    <w:rsid w:val="00201349"/>
    <w:rsid w:val="002013DA"/>
    <w:rsid w:val="00201586"/>
    <w:rsid w:val="002019E0"/>
    <w:rsid w:val="002025B2"/>
    <w:rsid w:val="002026EC"/>
    <w:rsid w:val="0020271C"/>
    <w:rsid w:val="00202863"/>
    <w:rsid w:val="002028FB"/>
    <w:rsid w:val="00202970"/>
    <w:rsid w:val="00202BB6"/>
    <w:rsid w:val="00202D4D"/>
    <w:rsid w:val="00202D57"/>
    <w:rsid w:val="00203018"/>
    <w:rsid w:val="00203074"/>
    <w:rsid w:val="002030F2"/>
    <w:rsid w:val="00203426"/>
    <w:rsid w:val="00203FE2"/>
    <w:rsid w:val="00204579"/>
    <w:rsid w:val="002047BE"/>
    <w:rsid w:val="00204A50"/>
    <w:rsid w:val="00204AC9"/>
    <w:rsid w:val="00204DF8"/>
    <w:rsid w:val="00204DFA"/>
    <w:rsid w:val="00204F33"/>
    <w:rsid w:val="00204F78"/>
    <w:rsid w:val="00204F7C"/>
    <w:rsid w:val="00205AAB"/>
    <w:rsid w:val="00205AF5"/>
    <w:rsid w:val="002060C8"/>
    <w:rsid w:val="00206295"/>
    <w:rsid w:val="00206329"/>
    <w:rsid w:val="002063BA"/>
    <w:rsid w:val="002065EF"/>
    <w:rsid w:val="00206A3B"/>
    <w:rsid w:val="00206C73"/>
    <w:rsid w:val="00206E69"/>
    <w:rsid w:val="0020704C"/>
    <w:rsid w:val="00207283"/>
    <w:rsid w:val="002074B3"/>
    <w:rsid w:val="0020752B"/>
    <w:rsid w:val="00207596"/>
    <w:rsid w:val="00207797"/>
    <w:rsid w:val="00207B12"/>
    <w:rsid w:val="00207B94"/>
    <w:rsid w:val="00207EF4"/>
    <w:rsid w:val="00207F4A"/>
    <w:rsid w:val="00210168"/>
    <w:rsid w:val="002105F5"/>
    <w:rsid w:val="0021075F"/>
    <w:rsid w:val="002108D4"/>
    <w:rsid w:val="00210C31"/>
    <w:rsid w:val="00210CFF"/>
    <w:rsid w:val="00210FFE"/>
    <w:rsid w:val="0021130F"/>
    <w:rsid w:val="00211372"/>
    <w:rsid w:val="00211874"/>
    <w:rsid w:val="002119AF"/>
    <w:rsid w:val="00211A45"/>
    <w:rsid w:val="00211B06"/>
    <w:rsid w:val="00211CE9"/>
    <w:rsid w:val="00211D48"/>
    <w:rsid w:val="00211F76"/>
    <w:rsid w:val="002122CA"/>
    <w:rsid w:val="00212F98"/>
    <w:rsid w:val="00213136"/>
    <w:rsid w:val="002138E3"/>
    <w:rsid w:val="00213B82"/>
    <w:rsid w:val="00213CFC"/>
    <w:rsid w:val="00213D30"/>
    <w:rsid w:val="00213DC9"/>
    <w:rsid w:val="00213EE4"/>
    <w:rsid w:val="00214398"/>
    <w:rsid w:val="002143A8"/>
    <w:rsid w:val="002144E1"/>
    <w:rsid w:val="00214508"/>
    <w:rsid w:val="00214710"/>
    <w:rsid w:val="002147E4"/>
    <w:rsid w:val="002148F3"/>
    <w:rsid w:val="00214C2C"/>
    <w:rsid w:val="00214E51"/>
    <w:rsid w:val="00214EB7"/>
    <w:rsid w:val="00215069"/>
    <w:rsid w:val="0021512A"/>
    <w:rsid w:val="002151B9"/>
    <w:rsid w:val="002153FA"/>
    <w:rsid w:val="0021575D"/>
    <w:rsid w:val="00215B75"/>
    <w:rsid w:val="0021651A"/>
    <w:rsid w:val="002165AC"/>
    <w:rsid w:val="0021669C"/>
    <w:rsid w:val="00216BC8"/>
    <w:rsid w:val="00216CF2"/>
    <w:rsid w:val="00216EBA"/>
    <w:rsid w:val="0021702F"/>
    <w:rsid w:val="00217405"/>
    <w:rsid w:val="0021779A"/>
    <w:rsid w:val="00217B2B"/>
    <w:rsid w:val="00217C22"/>
    <w:rsid w:val="00217D03"/>
    <w:rsid w:val="00217E51"/>
    <w:rsid w:val="00220424"/>
    <w:rsid w:val="002205C7"/>
    <w:rsid w:val="00220732"/>
    <w:rsid w:val="00220785"/>
    <w:rsid w:val="002207F1"/>
    <w:rsid w:val="00220AD3"/>
    <w:rsid w:val="00220E38"/>
    <w:rsid w:val="00220FD9"/>
    <w:rsid w:val="00221078"/>
    <w:rsid w:val="0022113C"/>
    <w:rsid w:val="0022120E"/>
    <w:rsid w:val="00221336"/>
    <w:rsid w:val="00221748"/>
    <w:rsid w:val="00221775"/>
    <w:rsid w:val="00221BC5"/>
    <w:rsid w:val="00221DC0"/>
    <w:rsid w:val="00221E94"/>
    <w:rsid w:val="00222099"/>
    <w:rsid w:val="002225BE"/>
    <w:rsid w:val="0022262F"/>
    <w:rsid w:val="00222685"/>
    <w:rsid w:val="0022323B"/>
    <w:rsid w:val="002236B7"/>
    <w:rsid w:val="002236C9"/>
    <w:rsid w:val="002236EE"/>
    <w:rsid w:val="0022386F"/>
    <w:rsid w:val="00223EB3"/>
    <w:rsid w:val="00223F13"/>
    <w:rsid w:val="002243F2"/>
    <w:rsid w:val="002243F5"/>
    <w:rsid w:val="002248FA"/>
    <w:rsid w:val="00224968"/>
    <w:rsid w:val="002249E9"/>
    <w:rsid w:val="00224B1E"/>
    <w:rsid w:val="00224B9B"/>
    <w:rsid w:val="00224CB1"/>
    <w:rsid w:val="00224CFE"/>
    <w:rsid w:val="00224FC9"/>
    <w:rsid w:val="00225261"/>
    <w:rsid w:val="00225283"/>
    <w:rsid w:val="002252AD"/>
    <w:rsid w:val="0022545B"/>
    <w:rsid w:val="002255C8"/>
    <w:rsid w:val="00225702"/>
    <w:rsid w:val="0022579A"/>
    <w:rsid w:val="00225ADF"/>
    <w:rsid w:val="00225AEC"/>
    <w:rsid w:val="00225E35"/>
    <w:rsid w:val="002261C1"/>
    <w:rsid w:val="002263E5"/>
    <w:rsid w:val="00226530"/>
    <w:rsid w:val="002266D4"/>
    <w:rsid w:val="00226D27"/>
    <w:rsid w:val="002272ED"/>
    <w:rsid w:val="002279D1"/>
    <w:rsid w:val="0023019D"/>
    <w:rsid w:val="00230222"/>
    <w:rsid w:val="0023068E"/>
    <w:rsid w:val="0023078A"/>
    <w:rsid w:val="0023098F"/>
    <w:rsid w:val="00230F66"/>
    <w:rsid w:val="002310B3"/>
    <w:rsid w:val="002310BD"/>
    <w:rsid w:val="002310CD"/>
    <w:rsid w:val="002313FA"/>
    <w:rsid w:val="002314F2"/>
    <w:rsid w:val="002316D9"/>
    <w:rsid w:val="002318F2"/>
    <w:rsid w:val="00231933"/>
    <w:rsid w:val="00231A70"/>
    <w:rsid w:val="00231B84"/>
    <w:rsid w:val="00231E83"/>
    <w:rsid w:val="002322A6"/>
    <w:rsid w:val="0023278D"/>
    <w:rsid w:val="00232AE6"/>
    <w:rsid w:val="00232C32"/>
    <w:rsid w:val="00232E2C"/>
    <w:rsid w:val="00232E53"/>
    <w:rsid w:val="00233D43"/>
    <w:rsid w:val="0023431C"/>
    <w:rsid w:val="002344FC"/>
    <w:rsid w:val="00234661"/>
    <w:rsid w:val="002346CB"/>
    <w:rsid w:val="00234B1E"/>
    <w:rsid w:val="00234C5A"/>
    <w:rsid w:val="00234E69"/>
    <w:rsid w:val="00235802"/>
    <w:rsid w:val="00235BE1"/>
    <w:rsid w:val="002362E7"/>
    <w:rsid w:val="00236378"/>
    <w:rsid w:val="002363FF"/>
    <w:rsid w:val="002366DC"/>
    <w:rsid w:val="0023686F"/>
    <w:rsid w:val="002369DB"/>
    <w:rsid w:val="00236CEE"/>
    <w:rsid w:val="00236D3C"/>
    <w:rsid w:val="00236DF2"/>
    <w:rsid w:val="00236E9B"/>
    <w:rsid w:val="00236EF9"/>
    <w:rsid w:val="00237154"/>
    <w:rsid w:val="00237567"/>
    <w:rsid w:val="002376B8"/>
    <w:rsid w:val="00237E96"/>
    <w:rsid w:val="0024017D"/>
    <w:rsid w:val="00240466"/>
    <w:rsid w:val="0024065D"/>
    <w:rsid w:val="00240815"/>
    <w:rsid w:val="0024090A"/>
    <w:rsid w:val="00240B9B"/>
    <w:rsid w:val="00240DE0"/>
    <w:rsid w:val="0024161B"/>
    <w:rsid w:val="002417B4"/>
    <w:rsid w:val="00241B90"/>
    <w:rsid w:val="00242321"/>
    <w:rsid w:val="002424FA"/>
    <w:rsid w:val="0024273D"/>
    <w:rsid w:val="002428AE"/>
    <w:rsid w:val="00242944"/>
    <w:rsid w:val="002433DE"/>
    <w:rsid w:val="0024387B"/>
    <w:rsid w:val="0024393C"/>
    <w:rsid w:val="002439E9"/>
    <w:rsid w:val="002442B0"/>
    <w:rsid w:val="00244950"/>
    <w:rsid w:val="00244959"/>
    <w:rsid w:val="00244BB7"/>
    <w:rsid w:val="00244C7D"/>
    <w:rsid w:val="00245136"/>
    <w:rsid w:val="002457D1"/>
    <w:rsid w:val="00245E33"/>
    <w:rsid w:val="00245F67"/>
    <w:rsid w:val="00245F97"/>
    <w:rsid w:val="00245FE5"/>
    <w:rsid w:val="0024616A"/>
    <w:rsid w:val="0024617D"/>
    <w:rsid w:val="002462C2"/>
    <w:rsid w:val="002466B4"/>
    <w:rsid w:val="002468A8"/>
    <w:rsid w:val="0024691E"/>
    <w:rsid w:val="002469E8"/>
    <w:rsid w:val="00246C74"/>
    <w:rsid w:val="00246E99"/>
    <w:rsid w:val="00246FD3"/>
    <w:rsid w:val="0024796F"/>
    <w:rsid w:val="00247A45"/>
    <w:rsid w:val="00247ACD"/>
    <w:rsid w:val="00247AE2"/>
    <w:rsid w:val="00247DAF"/>
    <w:rsid w:val="00247F74"/>
    <w:rsid w:val="0025008D"/>
    <w:rsid w:val="0025025E"/>
    <w:rsid w:val="00250261"/>
    <w:rsid w:val="002504C5"/>
    <w:rsid w:val="002505DB"/>
    <w:rsid w:val="00250665"/>
    <w:rsid w:val="002506B9"/>
    <w:rsid w:val="00250855"/>
    <w:rsid w:val="00250E59"/>
    <w:rsid w:val="00250F97"/>
    <w:rsid w:val="002511C6"/>
    <w:rsid w:val="00251488"/>
    <w:rsid w:val="00251683"/>
    <w:rsid w:val="002517CD"/>
    <w:rsid w:val="00251824"/>
    <w:rsid w:val="00251CBE"/>
    <w:rsid w:val="002520AB"/>
    <w:rsid w:val="002523EC"/>
    <w:rsid w:val="002525B7"/>
    <w:rsid w:val="002526F3"/>
    <w:rsid w:val="00252A32"/>
    <w:rsid w:val="00252D4D"/>
    <w:rsid w:val="00252DE2"/>
    <w:rsid w:val="00252F5F"/>
    <w:rsid w:val="002533F2"/>
    <w:rsid w:val="0025359D"/>
    <w:rsid w:val="00253B22"/>
    <w:rsid w:val="00253F81"/>
    <w:rsid w:val="002540D8"/>
    <w:rsid w:val="00254120"/>
    <w:rsid w:val="00254332"/>
    <w:rsid w:val="0025475F"/>
    <w:rsid w:val="00254D0D"/>
    <w:rsid w:val="00254F05"/>
    <w:rsid w:val="00254F0E"/>
    <w:rsid w:val="002554C6"/>
    <w:rsid w:val="002558BF"/>
    <w:rsid w:val="002569D7"/>
    <w:rsid w:val="002569D9"/>
    <w:rsid w:val="00256A2A"/>
    <w:rsid w:val="00256B37"/>
    <w:rsid w:val="00256D5E"/>
    <w:rsid w:val="00256ED8"/>
    <w:rsid w:val="00257163"/>
    <w:rsid w:val="002577E0"/>
    <w:rsid w:val="00257831"/>
    <w:rsid w:val="0025791A"/>
    <w:rsid w:val="00257999"/>
    <w:rsid w:val="00257BE6"/>
    <w:rsid w:val="00257F64"/>
    <w:rsid w:val="002601F2"/>
    <w:rsid w:val="002602AA"/>
    <w:rsid w:val="0026034B"/>
    <w:rsid w:val="002604DD"/>
    <w:rsid w:val="00260615"/>
    <w:rsid w:val="00260939"/>
    <w:rsid w:val="00260A64"/>
    <w:rsid w:val="00260A81"/>
    <w:rsid w:val="0026104F"/>
    <w:rsid w:val="002610D7"/>
    <w:rsid w:val="00261327"/>
    <w:rsid w:val="002615BB"/>
    <w:rsid w:val="00261776"/>
    <w:rsid w:val="00261CC0"/>
    <w:rsid w:val="00261FE4"/>
    <w:rsid w:val="0026209D"/>
    <w:rsid w:val="002621B5"/>
    <w:rsid w:val="002622F4"/>
    <w:rsid w:val="00262A66"/>
    <w:rsid w:val="00262C4E"/>
    <w:rsid w:val="00262EF5"/>
    <w:rsid w:val="002630AC"/>
    <w:rsid w:val="002635B3"/>
    <w:rsid w:val="00263697"/>
    <w:rsid w:val="00263AF3"/>
    <w:rsid w:val="00263B64"/>
    <w:rsid w:val="00263F76"/>
    <w:rsid w:val="0026445B"/>
    <w:rsid w:val="00264523"/>
    <w:rsid w:val="00264609"/>
    <w:rsid w:val="00264789"/>
    <w:rsid w:val="002647F0"/>
    <w:rsid w:val="00264923"/>
    <w:rsid w:val="00264B33"/>
    <w:rsid w:val="00264C58"/>
    <w:rsid w:val="00264E41"/>
    <w:rsid w:val="0026506C"/>
    <w:rsid w:val="002657AF"/>
    <w:rsid w:val="00265A91"/>
    <w:rsid w:val="00265EDB"/>
    <w:rsid w:val="00265EDF"/>
    <w:rsid w:val="00266536"/>
    <w:rsid w:val="0026695D"/>
    <w:rsid w:val="00266AAA"/>
    <w:rsid w:val="00266D5F"/>
    <w:rsid w:val="00266D7D"/>
    <w:rsid w:val="00267048"/>
    <w:rsid w:val="00267117"/>
    <w:rsid w:val="00267233"/>
    <w:rsid w:val="002673F7"/>
    <w:rsid w:val="00267C37"/>
    <w:rsid w:val="00267C93"/>
    <w:rsid w:val="00267D95"/>
    <w:rsid w:val="00267DC7"/>
    <w:rsid w:val="00270431"/>
    <w:rsid w:val="00270440"/>
    <w:rsid w:val="002705D7"/>
    <w:rsid w:val="002706B2"/>
    <w:rsid w:val="00270A0A"/>
    <w:rsid w:val="00270F6D"/>
    <w:rsid w:val="00270FD4"/>
    <w:rsid w:val="00270FE2"/>
    <w:rsid w:val="0027151D"/>
    <w:rsid w:val="002717E8"/>
    <w:rsid w:val="00271907"/>
    <w:rsid w:val="00271C37"/>
    <w:rsid w:val="00272161"/>
    <w:rsid w:val="002721AF"/>
    <w:rsid w:val="002725BA"/>
    <w:rsid w:val="002727B9"/>
    <w:rsid w:val="00272943"/>
    <w:rsid w:val="00272C77"/>
    <w:rsid w:val="00272F44"/>
    <w:rsid w:val="002730D4"/>
    <w:rsid w:val="0027315E"/>
    <w:rsid w:val="00273186"/>
    <w:rsid w:val="0027345A"/>
    <w:rsid w:val="002736D3"/>
    <w:rsid w:val="00273BCD"/>
    <w:rsid w:val="00273F59"/>
    <w:rsid w:val="00274066"/>
    <w:rsid w:val="0027432E"/>
    <w:rsid w:val="002747A5"/>
    <w:rsid w:val="00274AF7"/>
    <w:rsid w:val="00274CFD"/>
    <w:rsid w:val="00274EF0"/>
    <w:rsid w:val="00275400"/>
    <w:rsid w:val="00275473"/>
    <w:rsid w:val="0027564E"/>
    <w:rsid w:val="00275691"/>
    <w:rsid w:val="00275713"/>
    <w:rsid w:val="00275768"/>
    <w:rsid w:val="002758C5"/>
    <w:rsid w:val="002758FF"/>
    <w:rsid w:val="00275900"/>
    <w:rsid w:val="00275AC7"/>
    <w:rsid w:val="00275F26"/>
    <w:rsid w:val="00275FA0"/>
    <w:rsid w:val="00276070"/>
    <w:rsid w:val="0027619D"/>
    <w:rsid w:val="002762E7"/>
    <w:rsid w:val="00276C2A"/>
    <w:rsid w:val="00276C6B"/>
    <w:rsid w:val="00276E61"/>
    <w:rsid w:val="0027713A"/>
    <w:rsid w:val="00277147"/>
    <w:rsid w:val="002779F9"/>
    <w:rsid w:val="00277C03"/>
    <w:rsid w:val="00277CE3"/>
    <w:rsid w:val="00277DD2"/>
    <w:rsid w:val="0028004D"/>
    <w:rsid w:val="00280070"/>
    <w:rsid w:val="00280189"/>
    <w:rsid w:val="002803CF"/>
    <w:rsid w:val="002804B1"/>
    <w:rsid w:val="0028079E"/>
    <w:rsid w:val="002807BC"/>
    <w:rsid w:val="002808BE"/>
    <w:rsid w:val="00281146"/>
    <w:rsid w:val="0028138B"/>
    <w:rsid w:val="00281444"/>
    <w:rsid w:val="00281858"/>
    <w:rsid w:val="00281D24"/>
    <w:rsid w:val="00281F8F"/>
    <w:rsid w:val="002821A6"/>
    <w:rsid w:val="0028222E"/>
    <w:rsid w:val="0028225E"/>
    <w:rsid w:val="002823CA"/>
    <w:rsid w:val="00282506"/>
    <w:rsid w:val="002825F1"/>
    <w:rsid w:val="002829C8"/>
    <w:rsid w:val="00282D9E"/>
    <w:rsid w:val="00282F59"/>
    <w:rsid w:val="00283079"/>
    <w:rsid w:val="002835A6"/>
    <w:rsid w:val="00283951"/>
    <w:rsid w:val="002839EE"/>
    <w:rsid w:val="00283AA4"/>
    <w:rsid w:val="00283BD4"/>
    <w:rsid w:val="00283E8B"/>
    <w:rsid w:val="00283FA1"/>
    <w:rsid w:val="00283FD8"/>
    <w:rsid w:val="00284184"/>
    <w:rsid w:val="002843EA"/>
    <w:rsid w:val="00284633"/>
    <w:rsid w:val="00284BE4"/>
    <w:rsid w:val="00284D3E"/>
    <w:rsid w:val="00285894"/>
    <w:rsid w:val="00285C95"/>
    <w:rsid w:val="002860B3"/>
    <w:rsid w:val="00286147"/>
    <w:rsid w:val="00286232"/>
    <w:rsid w:val="00286508"/>
    <w:rsid w:val="00286525"/>
    <w:rsid w:val="00286752"/>
    <w:rsid w:val="0028684B"/>
    <w:rsid w:val="00286C9C"/>
    <w:rsid w:val="00286F50"/>
    <w:rsid w:val="002871FF"/>
    <w:rsid w:val="00287B54"/>
    <w:rsid w:val="00287C6E"/>
    <w:rsid w:val="002901CA"/>
    <w:rsid w:val="0029045B"/>
    <w:rsid w:val="002907B0"/>
    <w:rsid w:val="0029096A"/>
    <w:rsid w:val="00290B77"/>
    <w:rsid w:val="00290FC7"/>
    <w:rsid w:val="002910B3"/>
    <w:rsid w:val="00291231"/>
    <w:rsid w:val="00291505"/>
    <w:rsid w:val="002917E3"/>
    <w:rsid w:val="00291C74"/>
    <w:rsid w:val="00291DCA"/>
    <w:rsid w:val="00292112"/>
    <w:rsid w:val="00292126"/>
    <w:rsid w:val="00292439"/>
    <w:rsid w:val="00292581"/>
    <w:rsid w:val="00292A20"/>
    <w:rsid w:val="00292B49"/>
    <w:rsid w:val="00292E23"/>
    <w:rsid w:val="002930C3"/>
    <w:rsid w:val="00293123"/>
    <w:rsid w:val="0029340D"/>
    <w:rsid w:val="002936C2"/>
    <w:rsid w:val="0029379E"/>
    <w:rsid w:val="00293B24"/>
    <w:rsid w:val="00293B9D"/>
    <w:rsid w:val="00293C76"/>
    <w:rsid w:val="00293E1B"/>
    <w:rsid w:val="0029410F"/>
    <w:rsid w:val="002941E2"/>
    <w:rsid w:val="002944E4"/>
    <w:rsid w:val="00294640"/>
    <w:rsid w:val="00294945"/>
    <w:rsid w:val="00294DF6"/>
    <w:rsid w:val="0029502D"/>
    <w:rsid w:val="00295060"/>
    <w:rsid w:val="002953D7"/>
    <w:rsid w:val="0029551F"/>
    <w:rsid w:val="00295A40"/>
    <w:rsid w:val="00295A90"/>
    <w:rsid w:val="00295AA9"/>
    <w:rsid w:val="00295BA6"/>
    <w:rsid w:val="00295BD4"/>
    <w:rsid w:val="00295E77"/>
    <w:rsid w:val="00296319"/>
    <w:rsid w:val="002965EE"/>
    <w:rsid w:val="002966FE"/>
    <w:rsid w:val="002969FC"/>
    <w:rsid w:val="00296D27"/>
    <w:rsid w:val="00296FE8"/>
    <w:rsid w:val="002A01DB"/>
    <w:rsid w:val="002A02AA"/>
    <w:rsid w:val="002A03EF"/>
    <w:rsid w:val="002A0539"/>
    <w:rsid w:val="002A098B"/>
    <w:rsid w:val="002A09E2"/>
    <w:rsid w:val="002A0BE9"/>
    <w:rsid w:val="002A0D67"/>
    <w:rsid w:val="002A0F48"/>
    <w:rsid w:val="002A0FF7"/>
    <w:rsid w:val="002A132D"/>
    <w:rsid w:val="002A1643"/>
    <w:rsid w:val="002A18C2"/>
    <w:rsid w:val="002A1D6F"/>
    <w:rsid w:val="002A1D75"/>
    <w:rsid w:val="002A1EC7"/>
    <w:rsid w:val="002A2004"/>
    <w:rsid w:val="002A271C"/>
    <w:rsid w:val="002A2828"/>
    <w:rsid w:val="002A2A78"/>
    <w:rsid w:val="002A2D80"/>
    <w:rsid w:val="002A2D97"/>
    <w:rsid w:val="002A2E95"/>
    <w:rsid w:val="002A34F4"/>
    <w:rsid w:val="002A3AF9"/>
    <w:rsid w:val="002A3B10"/>
    <w:rsid w:val="002A3CE9"/>
    <w:rsid w:val="002A3D37"/>
    <w:rsid w:val="002A3DC4"/>
    <w:rsid w:val="002A3E2A"/>
    <w:rsid w:val="002A438E"/>
    <w:rsid w:val="002A4483"/>
    <w:rsid w:val="002A4825"/>
    <w:rsid w:val="002A4937"/>
    <w:rsid w:val="002A496A"/>
    <w:rsid w:val="002A4B65"/>
    <w:rsid w:val="002A4ED6"/>
    <w:rsid w:val="002A4F12"/>
    <w:rsid w:val="002A546B"/>
    <w:rsid w:val="002A56F2"/>
    <w:rsid w:val="002A59E7"/>
    <w:rsid w:val="002A601A"/>
    <w:rsid w:val="002A6534"/>
    <w:rsid w:val="002A66FA"/>
    <w:rsid w:val="002A6994"/>
    <w:rsid w:val="002A6C28"/>
    <w:rsid w:val="002A6E9F"/>
    <w:rsid w:val="002A6EBE"/>
    <w:rsid w:val="002A7222"/>
    <w:rsid w:val="002A75ED"/>
    <w:rsid w:val="002A75FE"/>
    <w:rsid w:val="002A761C"/>
    <w:rsid w:val="002A774C"/>
    <w:rsid w:val="002A7A74"/>
    <w:rsid w:val="002A7C17"/>
    <w:rsid w:val="002A7FA9"/>
    <w:rsid w:val="002B0184"/>
    <w:rsid w:val="002B0BA2"/>
    <w:rsid w:val="002B0BDB"/>
    <w:rsid w:val="002B0E6A"/>
    <w:rsid w:val="002B0FFC"/>
    <w:rsid w:val="002B12EF"/>
    <w:rsid w:val="002B139F"/>
    <w:rsid w:val="002B1653"/>
    <w:rsid w:val="002B1AF9"/>
    <w:rsid w:val="002B1F44"/>
    <w:rsid w:val="002B202C"/>
    <w:rsid w:val="002B2BB5"/>
    <w:rsid w:val="002B2D66"/>
    <w:rsid w:val="002B3051"/>
    <w:rsid w:val="002B315C"/>
    <w:rsid w:val="002B34A0"/>
    <w:rsid w:val="002B350D"/>
    <w:rsid w:val="002B3558"/>
    <w:rsid w:val="002B38FF"/>
    <w:rsid w:val="002B3EFC"/>
    <w:rsid w:val="002B3FD2"/>
    <w:rsid w:val="002B4064"/>
    <w:rsid w:val="002B41BD"/>
    <w:rsid w:val="002B41EB"/>
    <w:rsid w:val="002B432E"/>
    <w:rsid w:val="002B4532"/>
    <w:rsid w:val="002B4698"/>
    <w:rsid w:val="002B4C96"/>
    <w:rsid w:val="002B4E83"/>
    <w:rsid w:val="002B4ECD"/>
    <w:rsid w:val="002B50D8"/>
    <w:rsid w:val="002B5158"/>
    <w:rsid w:val="002B519C"/>
    <w:rsid w:val="002B520D"/>
    <w:rsid w:val="002B5316"/>
    <w:rsid w:val="002B5731"/>
    <w:rsid w:val="002B5964"/>
    <w:rsid w:val="002B59CB"/>
    <w:rsid w:val="002B5E45"/>
    <w:rsid w:val="002B5F2C"/>
    <w:rsid w:val="002B5FF1"/>
    <w:rsid w:val="002B6076"/>
    <w:rsid w:val="002B637F"/>
    <w:rsid w:val="002B653B"/>
    <w:rsid w:val="002B67D8"/>
    <w:rsid w:val="002B680E"/>
    <w:rsid w:val="002B6AB5"/>
    <w:rsid w:val="002B6C59"/>
    <w:rsid w:val="002B6FEE"/>
    <w:rsid w:val="002B707C"/>
    <w:rsid w:val="002B7289"/>
    <w:rsid w:val="002B7367"/>
    <w:rsid w:val="002B7A01"/>
    <w:rsid w:val="002B7D87"/>
    <w:rsid w:val="002B7DB2"/>
    <w:rsid w:val="002C01B3"/>
    <w:rsid w:val="002C04C7"/>
    <w:rsid w:val="002C0528"/>
    <w:rsid w:val="002C0A68"/>
    <w:rsid w:val="002C0B79"/>
    <w:rsid w:val="002C10D2"/>
    <w:rsid w:val="002C10FE"/>
    <w:rsid w:val="002C1155"/>
    <w:rsid w:val="002C11D0"/>
    <w:rsid w:val="002C125F"/>
    <w:rsid w:val="002C1287"/>
    <w:rsid w:val="002C12B3"/>
    <w:rsid w:val="002C156B"/>
    <w:rsid w:val="002C1874"/>
    <w:rsid w:val="002C2152"/>
    <w:rsid w:val="002C2206"/>
    <w:rsid w:val="002C2495"/>
    <w:rsid w:val="002C24F8"/>
    <w:rsid w:val="002C252B"/>
    <w:rsid w:val="002C2950"/>
    <w:rsid w:val="002C2A31"/>
    <w:rsid w:val="002C2D34"/>
    <w:rsid w:val="002C2E5D"/>
    <w:rsid w:val="002C2F6D"/>
    <w:rsid w:val="002C355B"/>
    <w:rsid w:val="002C3778"/>
    <w:rsid w:val="002C38EF"/>
    <w:rsid w:val="002C391B"/>
    <w:rsid w:val="002C3C0F"/>
    <w:rsid w:val="002C3CE9"/>
    <w:rsid w:val="002C443F"/>
    <w:rsid w:val="002C462D"/>
    <w:rsid w:val="002C4AC8"/>
    <w:rsid w:val="002C50FC"/>
    <w:rsid w:val="002C51E6"/>
    <w:rsid w:val="002C5202"/>
    <w:rsid w:val="002C54EE"/>
    <w:rsid w:val="002C552D"/>
    <w:rsid w:val="002C5557"/>
    <w:rsid w:val="002C55B3"/>
    <w:rsid w:val="002C56E6"/>
    <w:rsid w:val="002C56EC"/>
    <w:rsid w:val="002C59D8"/>
    <w:rsid w:val="002C5DCB"/>
    <w:rsid w:val="002C650D"/>
    <w:rsid w:val="002C661E"/>
    <w:rsid w:val="002C6622"/>
    <w:rsid w:val="002C66A8"/>
    <w:rsid w:val="002C6FE7"/>
    <w:rsid w:val="002C7297"/>
    <w:rsid w:val="002C766E"/>
    <w:rsid w:val="002C7A48"/>
    <w:rsid w:val="002C7E93"/>
    <w:rsid w:val="002D02F2"/>
    <w:rsid w:val="002D03B5"/>
    <w:rsid w:val="002D03E6"/>
    <w:rsid w:val="002D047A"/>
    <w:rsid w:val="002D091F"/>
    <w:rsid w:val="002D0941"/>
    <w:rsid w:val="002D09BA"/>
    <w:rsid w:val="002D0CCE"/>
    <w:rsid w:val="002D0E51"/>
    <w:rsid w:val="002D0F67"/>
    <w:rsid w:val="002D126B"/>
    <w:rsid w:val="002D1507"/>
    <w:rsid w:val="002D162D"/>
    <w:rsid w:val="002D1A43"/>
    <w:rsid w:val="002D1FEC"/>
    <w:rsid w:val="002D2515"/>
    <w:rsid w:val="002D2888"/>
    <w:rsid w:val="002D2D46"/>
    <w:rsid w:val="002D2D97"/>
    <w:rsid w:val="002D2E30"/>
    <w:rsid w:val="002D3226"/>
    <w:rsid w:val="002D3237"/>
    <w:rsid w:val="002D32BA"/>
    <w:rsid w:val="002D349A"/>
    <w:rsid w:val="002D3698"/>
    <w:rsid w:val="002D39FC"/>
    <w:rsid w:val="002D3A19"/>
    <w:rsid w:val="002D40D0"/>
    <w:rsid w:val="002D412C"/>
    <w:rsid w:val="002D4193"/>
    <w:rsid w:val="002D42E6"/>
    <w:rsid w:val="002D44E0"/>
    <w:rsid w:val="002D46C7"/>
    <w:rsid w:val="002D49FB"/>
    <w:rsid w:val="002D4A79"/>
    <w:rsid w:val="002D4C4B"/>
    <w:rsid w:val="002D5013"/>
    <w:rsid w:val="002D510C"/>
    <w:rsid w:val="002D5390"/>
    <w:rsid w:val="002D53EF"/>
    <w:rsid w:val="002D5451"/>
    <w:rsid w:val="002D549E"/>
    <w:rsid w:val="002D5712"/>
    <w:rsid w:val="002D5C22"/>
    <w:rsid w:val="002D63FB"/>
    <w:rsid w:val="002D6535"/>
    <w:rsid w:val="002D6995"/>
    <w:rsid w:val="002D6F85"/>
    <w:rsid w:val="002D701F"/>
    <w:rsid w:val="002D7682"/>
    <w:rsid w:val="002D774D"/>
    <w:rsid w:val="002D7C05"/>
    <w:rsid w:val="002E023E"/>
    <w:rsid w:val="002E053C"/>
    <w:rsid w:val="002E098D"/>
    <w:rsid w:val="002E09A6"/>
    <w:rsid w:val="002E0DB0"/>
    <w:rsid w:val="002E128E"/>
    <w:rsid w:val="002E1DD7"/>
    <w:rsid w:val="002E22A7"/>
    <w:rsid w:val="002E23F6"/>
    <w:rsid w:val="002E248A"/>
    <w:rsid w:val="002E2A61"/>
    <w:rsid w:val="002E2BD8"/>
    <w:rsid w:val="002E2C17"/>
    <w:rsid w:val="002E2C5B"/>
    <w:rsid w:val="002E2D82"/>
    <w:rsid w:val="002E2E7D"/>
    <w:rsid w:val="002E322C"/>
    <w:rsid w:val="002E3434"/>
    <w:rsid w:val="002E34E6"/>
    <w:rsid w:val="002E3515"/>
    <w:rsid w:val="002E38CE"/>
    <w:rsid w:val="002E3AEA"/>
    <w:rsid w:val="002E3B7A"/>
    <w:rsid w:val="002E3DE4"/>
    <w:rsid w:val="002E402A"/>
    <w:rsid w:val="002E486A"/>
    <w:rsid w:val="002E48ED"/>
    <w:rsid w:val="002E4EF0"/>
    <w:rsid w:val="002E556C"/>
    <w:rsid w:val="002E5705"/>
    <w:rsid w:val="002E5CCC"/>
    <w:rsid w:val="002E6680"/>
    <w:rsid w:val="002E67E8"/>
    <w:rsid w:val="002E6AEA"/>
    <w:rsid w:val="002E6D13"/>
    <w:rsid w:val="002E6D91"/>
    <w:rsid w:val="002E70CD"/>
    <w:rsid w:val="002E7134"/>
    <w:rsid w:val="002E7A0F"/>
    <w:rsid w:val="002E7A84"/>
    <w:rsid w:val="002E7B14"/>
    <w:rsid w:val="002E7B18"/>
    <w:rsid w:val="002E7E09"/>
    <w:rsid w:val="002F0B98"/>
    <w:rsid w:val="002F0E4A"/>
    <w:rsid w:val="002F0F0D"/>
    <w:rsid w:val="002F12E0"/>
    <w:rsid w:val="002F1453"/>
    <w:rsid w:val="002F194B"/>
    <w:rsid w:val="002F1B7C"/>
    <w:rsid w:val="002F1B8A"/>
    <w:rsid w:val="002F2304"/>
    <w:rsid w:val="002F233A"/>
    <w:rsid w:val="002F255F"/>
    <w:rsid w:val="002F2723"/>
    <w:rsid w:val="002F2B37"/>
    <w:rsid w:val="002F2B40"/>
    <w:rsid w:val="002F2BC1"/>
    <w:rsid w:val="002F2DA7"/>
    <w:rsid w:val="002F2DBD"/>
    <w:rsid w:val="002F2DF9"/>
    <w:rsid w:val="002F2FD2"/>
    <w:rsid w:val="002F3029"/>
    <w:rsid w:val="002F3210"/>
    <w:rsid w:val="002F323C"/>
    <w:rsid w:val="002F32CE"/>
    <w:rsid w:val="002F3685"/>
    <w:rsid w:val="002F396F"/>
    <w:rsid w:val="002F4427"/>
    <w:rsid w:val="002F4453"/>
    <w:rsid w:val="002F4671"/>
    <w:rsid w:val="002F49CD"/>
    <w:rsid w:val="002F4A1E"/>
    <w:rsid w:val="002F4EFC"/>
    <w:rsid w:val="002F4F80"/>
    <w:rsid w:val="002F558A"/>
    <w:rsid w:val="002F5640"/>
    <w:rsid w:val="002F5694"/>
    <w:rsid w:val="002F58E3"/>
    <w:rsid w:val="002F596E"/>
    <w:rsid w:val="002F5BFB"/>
    <w:rsid w:val="002F5CA4"/>
    <w:rsid w:val="002F6316"/>
    <w:rsid w:val="002F655F"/>
    <w:rsid w:val="002F6AA1"/>
    <w:rsid w:val="002F6F93"/>
    <w:rsid w:val="002F72D7"/>
    <w:rsid w:val="002F743A"/>
    <w:rsid w:val="002F7928"/>
    <w:rsid w:val="002F7AA5"/>
    <w:rsid w:val="002F7AE1"/>
    <w:rsid w:val="002F7B13"/>
    <w:rsid w:val="0030017F"/>
    <w:rsid w:val="00300214"/>
    <w:rsid w:val="0030029D"/>
    <w:rsid w:val="003007DC"/>
    <w:rsid w:val="0030085C"/>
    <w:rsid w:val="00300BB1"/>
    <w:rsid w:val="00300BDF"/>
    <w:rsid w:val="00300EFD"/>
    <w:rsid w:val="0030100E"/>
    <w:rsid w:val="0030122F"/>
    <w:rsid w:val="00301338"/>
    <w:rsid w:val="0030147C"/>
    <w:rsid w:val="003014A4"/>
    <w:rsid w:val="00301776"/>
    <w:rsid w:val="00301787"/>
    <w:rsid w:val="00301CD8"/>
    <w:rsid w:val="0030212D"/>
    <w:rsid w:val="0030245B"/>
    <w:rsid w:val="00302849"/>
    <w:rsid w:val="0030316D"/>
    <w:rsid w:val="0030317C"/>
    <w:rsid w:val="003031FB"/>
    <w:rsid w:val="003035AC"/>
    <w:rsid w:val="00303676"/>
    <w:rsid w:val="00303718"/>
    <w:rsid w:val="00303942"/>
    <w:rsid w:val="00303966"/>
    <w:rsid w:val="00303A79"/>
    <w:rsid w:val="00303C42"/>
    <w:rsid w:val="00303DD8"/>
    <w:rsid w:val="00303FCD"/>
    <w:rsid w:val="00304193"/>
    <w:rsid w:val="00304340"/>
    <w:rsid w:val="003044CE"/>
    <w:rsid w:val="003047B1"/>
    <w:rsid w:val="003047F2"/>
    <w:rsid w:val="00304B9C"/>
    <w:rsid w:val="0030501B"/>
    <w:rsid w:val="003057F9"/>
    <w:rsid w:val="00305876"/>
    <w:rsid w:val="00305A33"/>
    <w:rsid w:val="00305E4E"/>
    <w:rsid w:val="003064A2"/>
    <w:rsid w:val="00306507"/>
    <w:rsid w:val="003067F0"/>
    <w:rsid w:val="00306CB0"/>
    <w:rsid w:val="00306CE0"/>
    <w:rsid w:val="00307377"/>
    <w:rsid w:val="00307721"/>
    <w:rsid w:val="00307737"/>
    <w:rsid w:val="0031014C"/>
    <w:rsid w:val="003103AF"/>
    <w:rsid w:val="003103C0"/>
    <w:rsid w:val="003106E9"/>
    <w:rsid w:val="003108CE"/>
    <w:rsid w:val="00310C0A"/>
    <w:rsid w:val="00310CEA"/>
    <w:rsid w:val="00310DDA"/>
    <w:rsid w:val="00310DF5"/>
    <w:rsid w:val="00310EC7"/>
    <w:rsid w:val="0031100F"/>
    <w:rsid w:val="003111A5"/>
    <w:rsid w:val="00311262"/>
    <w:rsid w:val="00311304"/>
    <w:rsid w:val="003115AF"/>
    <w:rsid w:val="00311AB3"/>
    <w:rsid w:val="00311E13"/>
    <w:rsid w:val="003122B1"/>
    <w:rsid w:val="003125B3"/>
    <w:rsid w:val="00312675"/>
    <w:rsid w:val="00312E71"/>
    <w:rsid w:val="00312FCF"/>
    <w:rsid w:val="00313157"/>
    <w:rsid w:val="0031325C"/>
    <w:rsid w:val="00313444"/>
    <w:rsid w:val="003134C0"/>
    <w:rsid w:val="00313656"/>
    <w:rsid w:val="00313799"/>
    <w:rsid w:val="003139BB"/>
    <w:rsid w:val="00313A89"/>
    <w:rsid w:val="00313D8C"/>
    <w:rsid w:val="003140CB"/>
    <w:rsid w:val="0031432B"/>
    <w:rsid w:val="00314391"/>
    <w:rsid w:val="00314B41"/>
    <w:rsid w:val="00314C96"/>
    <w:rsid w:val="00314EDF"/>
    <w:rsid w:val="00315011"/>
    <w:rsid w:val="00315494"/>
    <w:rsid w:val="00315522"/>
    <w:rsid w:val="0031568E"/>
    <w:rsid w:val="003157CC"/>
    <w:rsid w:val="0031582B"/>
    <w:rsid w:val="00315E66"/>
    <w:rsid w:val="00315FF1"/>
    <w:rsid w:val="0031618E"/>
    <w:rsid w:val="003161D5"/>
    <w:rsid w:val="003164DE"/>
    <w:rsid w:val="0031678A"/>
    <w:rsid w:val="00316E4D"/>
    <w:rsid w:val="0031707B"/>
    <w:rsid w:val="003170A6"/>
    <w:rsid w:val="003172F6"/>
    <w:rsid w:val="00317642"/>
    <w:rsid w:val="00317652"/>
    <w:rsid w:val="0031770B"/>
    <w:rsid w:val="00317A38"/>
    <w:rsid w:val="00317C1E"/>
    <w:rsid w:val="003203C1"/>
    <w:rsid w:val="003203FB"/>
    <w:rsid w:val="003209FC"/>
    <w:rsid w:val="00320A00"/>
    <w:rsid w:val="00320FB5"/>
    <w:rsid w:val="00321063"/>
    <w:rsid w:val="00321275"/>
    <w:rsid w:val="003214D2"/>
    <w:rsid w:val="003215F2"/>
    <w:rsid w:val="0032162F"/>
    <w:rsid w:val="00321992"/>
    <w:rsid w:val="00321D7C"/>
    <w:rsid w:val="00321E5C"/>
    <w:rsid w:val="00321E94"/>
    <w:rsid w:val="00321F6D"/>
    <w:rsid w:val="003222EA"/>
    <w:rsid w:val="00322713"/>
    <w:rsid w:val="00322925"/>
    <w:rsid w:val="0032299E"/>
    <w:rsid w:val="003229C6"/>
    <w:rsid w:val="00322B26"/>
    <w:rsid w:val="00322BF2"/>
    <w:rsid w:val="003232C3"/>
    <w:rsid w:val="003234A9"/>
    <w:rsid w:val="0032360B"/>
    <w:rsid w:val="00323C3D"/>
    <w:rsid w:val="003243B3"/>
    <w:rsid w:val="0032483B"/>
    <w:rsid w:val="003249CB"/>
    <w:rsid w:val="003249EF"/>
    <w:rsid w:val="00324EC4"/>
    <w:rsid w:val="00324F41"/>
    <w:rsid w:val="003252F7"/>
    <w:rsid w:val="003253A2"/>
    <w:rsid w:val="00325B1F"/>
    <w:rsid w:val="0032699F"/>
    <w:rsid w:val="00326A52"/>
    <w:rsid w:val="00326AC6"/>
    <w:rsid w:val="00326DB2"/>
    <w:rsid w:val="00326E8A"/>
    <w:rsid w:val="0032719E"/>
    <w:rsid w:val="00327299"/>
    <w:rsid w:val="003275D9"/>
    <w:rsid w:val="003279AD"/>
    <w:rsid w:val="00327C77"/>
    <w:rsid w:val="00327F3F"/>
    <w:rsid w:val="00327FDD"/>
    <w:rsid w:val="00330139"/>
    <w:rsid w:val="003302A0"/>
    <w:rsid w:val="00330625"/>
    <w:rsid w:val="00330678"/>
    <w:rsid w:val="00330B4F"/>
    <w:rsid w:val="00331368"/>
    <w:rsid w:val="003313E4"/>
    <w:rsid w:val="003313F0"/>
    <w:rsid w:val="0033193A"/>
    <w:rsid w:val="00331DB6"/>
    <w:rsid w:val="00331E14"/>
    <w:rsid w:val="00331FA3"/>
    <w:rsid w:val="003324B2"/>
    <w:rsid w:val="0033266A"/>
    <w:rsid w:val="00332758"/>
    <w:rsid w:val="003329F2"/>
    <w:rsid w:val="00332BCC"/>
    <w:rsid w:val="00332E2C"/>
    <w:rsid w:val="003333CE"/>
    <w:rsid w:val="00333AA2"/>
    <w:rsid w:val="00333E96"/>
    <w:rsid w:val="00333FF9"/>
    <w:rsid w:val="003343CB"/>
    <w:rsid w:val="0033498C"/>
    <w:rsid w:val="00334C02"/>
    <w:rsid w:val="00334DE1"/>
    <w:rsid w:val="00334EAB"/>
    <w:rsid w:val="00335173"/>
    <w:rsid w:val="003359C0"/>
    <w:rsid w:val="00335B4D"/>
    <w:rsid w:val="00335C6C"/>
    <w:rsid w:val="00335DFF"/>
    <w:rsid w:val="0033644A"/>
    <w:rsid w:val="003364FD"/>
    <w:rsid w:val="003368B1"/>
    <w:rsid w:val="00336A6E"/>
    <w:rsid w:val="00336D1D"/>
    <w:rsid w:val="00336DD2"/>
    <w:rsid w:val="00336E5A"/>
    <w:rsid w:val="00336F9F"/>
    <w:rsid w:val="00336FAB"/>
    <w:rsid w:val="003371FF"/>
    <w:rsid w:val="00337307"/>
    <w:rsid w:val="003376CC"/>
    <w:rsid w:val="003376ED"/>
    <w:rsid w:val="0033793C"/>
    <w:rsid w:val="00337BA9"/>
    <w:rsid w:val="00337CDC"/>
    <w:rsid w:val="0034001D"/>
    <w:rsid w:val="0034034E"/>
    <w:rsid w:val="003405A6"/>
    <w:rsid w:val="00340954"/>
    <w:rsid w:val="00340CB8"/>
    <w:rsid w:val="00341763"/>
    <w:rsid w:val="003417E1"/>
    <w:rsid w:val="00341A66"/>
    <w:rsid w:val="00341DE8"/>
    <w:rsid w:val="00342179"/>
    <w:rsid w:val="003424AD"/>
    <w:rsid w:val="003426E7"/>
    <w:rsid w:val="00342710"/>
    <w:rsid w:val="0034274A"/>
    <w:rsid w:val="003427C7"/>
    <w:rsid w:val="00342C9E"/>
    <w:rsid w:val="00342E33"/>
    <w:rsid w:val="00342FC5"/>
    <w:rsid w:val="0034342A"/>
    <w:rsid w:val="0034354D"/>
    <w:rsid w:val="003436A0"/>
    <w:rsid w:val="0034372E"/>
    <w:rsid w:val="00343806"/>
    <w:rsid w:val="0034383C"/>
    <w:rsid w:val="003445C1"/>
    <w:rsid w:val="00344814"/>
    <w:rsid w:val="003448FD"/>
    <w:rsid w:val="00344A14"/>
    <w:rsid w:val="00344B51"/>
    <w:rsid w:val="0034509B"/>
    <w:rsid w:val="003451C6"/>
    <w:rsid w:val="003456B2"/>
    <w:rsid w:val="00345CCD"/>
    <w:rsid w:val="00345D92"/>
    <w:rsid w:val="0034601A"/>
    <w:rsid w:val="003461EA"/>
    <w:rsid w:val="0034642A"/>
    <w:rsid w:val="00346587"/>
    <w:rsid w:val="00346594"/>
    <w:rsid w:val="003465DA"/>
    <w:rsid w:val="00346626"/>
    <w:rsid w:val="00346836"/>
    <w:rsid w:val="00346A12"/>
    <w:rsid w:val="00347577"/>
    <w:rsid w:val="00347B11"/>
    <w:rsid w:val="0035035F"/>
    <w:rsid w:val="003503D4"/>
    <w:rsid w:val="00350404"/>
    <w:rsid w:val="00350651"/>
    <w:rsid w:val="003507CE"/>
    <w:rsid w:val="00350AF1"/>
    <w:rsid w:val="00350F9F"/>
    <w:rsid w:val="003510DE"/>
    <w:rsid w:val="00351113"/>
    <w:rsid w:val="003512F3"/>
    <w:rsid w:val="00351553"/>
    <w:rsid w:val="003516F0"/>
    <w:rsid w:val="00351AC8"/>
    <w:rsid w:val="00351BCE"/>
    <w:rsid w:val="00351BE7"/>
    <w:rsid w:val="00351E11"/>
    <w:rsid w:val="00351F66"/>
    <w:rsid w:val="00352274"/>
    <w:rsid w:val="00352902"/>
    <w:rsid w:val="00352A1E"/>
    <w:rsid w:val="00352DE1"/>
    <w:rsid w:val="0035369E"/>
    <w:rsid w:val="003537BC"/>
    <w:rsid w:val="003539D6"/>
    <w:rsid w:val="00353B1C"/>
    <w:rsid w:val="00353E18"/>
    <w:rsid w:val="00354012"/>
    <w:rsid w:val="0035408E"/>
    <w:rsid w:val="00354234"/>
    <w:rsid w:val="0035479D"/>
    <w:rsid w:val="00355445"/>
    <w:rsid w:val="0035550B"/>
    <w:rsid w:val="003555DD"/>
    <w:rsid w:val="00355652"/>
    <w:rsid w:val="00355A94"/>
    <w:rsid w:val="00355D9C"/>
    <w:rsid w:val="00355DA4"/>
    <w:rsid w:val="00355F41"/>
    <w:rsid w:val="003561B8"/>
    <w:rsid w:val="0035637B"/>
    <w:rsid w:val="003565A3"/>
    <w:rsid w:val="003567E1"/>
    <w:rsid w:val="00356989"/>
    <w:rsid w:val="00356B44"/>
    <w:rsid w:val="00356BF2"/>
    <w:rsid w:val="00357158"/>
    <w:rsid w:val="00357297"/>
    <w:rsid w:val="00357996"/>
    <w:rsid w:val="00357A6B"/>
    <w:rsid w:val="00360185"/>
    <w:rsid w:val="003606CE"/>
    <w:rsid w:val="00360A2C"/>
    <w:rsid w:val="00360AB4"/>
    <w:rsid w:val="00360D01"/>
    <w:rsid w:val="00360E30"/>
    <w:rsid w:val="00361111"/>
    <w:rsid w:val="003612CB"/>
    <w:rsid w:val="0036156E"/>
    <w:rsid w:val="003619BA"/>
    <w:rsid w:val="00361BFD"/>
    <w:rsid w:val="00361D8C"/>
    <w:rsid w:val="003620A3"/>
    <w:rsid w:val="003623E6"/>
    <w:rsid w:val="003624D2"/>
    <w:rsid w:val="0036289A"/>
    <w:rsid w:val="00362C90"/>
    <w:rsid w:val="00362D33"/>
    <w:rsid w:val="00363169"/>
    <w:rsid w:val="003632DC"/>
    <w:rsid w:val="00363A17"/>
    <w:rsid w:val="00363BB9"/>
    <w:rsid w:val="00364C16"/>
    <w:rsid w:val="00364DEA"/>
    <w:rsid w:val="00364DF8"/>
    <w:rsid w:val="003652A5"/>
    <w:rsid w:val="00365A1C"/>
    <w:rsid w:val="00365C32"/>
    <w:rsid w:val="00365E8E"/>
    <w:rsid w:val="003665D8"/>
    <w:rsid w:val="003666E6"/>
    <w:rsid w:val="0036685E"/>
    <w:rsid w:val="00366BB4"/>
    <w:rsid w:val="00366EDA"/>
    <w:rsid w:val="00367081"/>
    <w:rsid w:val="00367364"/>
    <w:rsid w:val="003674DB"/>
    <w:rsid w:val="00367A32"/>
    <w:rsid w:val="00367BD5"/>
    <w:rsid w:val="00367CCC"/>
    <w:rsid w:val="00370605"/>
    <w:rsid w:val="003709B6"/>
    <w:rsid w:val="003709ED"/>
    <w:rsid w:val="00370C61"/>
    <w:rsid w:val="003712CD"/>
    <w:rsid w:val="00371822"/>
    <w:rsid w:val="00371A98"/>
    <w:rsid w:val="00371BA2"/>
    <w:rsid w:val="00371D54"/>
    <w:rsid w:val="00371E78"/>
    <w:rsid w:val="003721F5"/>
    <w:rsid w:val="003725D9"/>
    <w:rsid w:val="0037297A"/>
    <w:rsid w:val="00372AFE"/>
    <w:rsid w:val="003733E2"/>
    <w:rsid w:val="0037369F"/>
    <w:rsid w:val="00373BE5"/>
    <w:rsid w:val="00373EA7"/>
    <w:rsid w:val="00373FCE"/>
    <w:rsid w:val="00374027"/>
    <w:rsid w:val="00374257"/>
    <w:rsid w:val="0037439F"/>
    <w:rsid w:val="0037446B"/>
    <w:rsid w:val="0037456E"/>
    <w:rsid w:val="003746DA"/>
    <w:rsid w:val="003748F6"/>
    <w:rsid w:val="00374A2A"/>
    <w:rsid w:val="00374C53"/>
    <w:rsid w:val="00374CFF"/>
    <w:rsid w:val="00374D4A"/>
    <w:rsid w:val="00374EEF"/>
    <w:rsid w:val="003750C4"/>
    <w:rsid w:val="0037537B"/>
    <w:rsid w:val="003755E6"/>
    <w:rsid w:val="00375670"/>
    <w:rsid w:val="003756EB"/>
    <w:rsid w:val="003757B9"/>
    <w:rsid w:val="00375D04"/>
    <w:rsid w:val="003763BB"/>
    <w:rsid w:val="00377003"/>
    <w:rsid w:val="003772C8"/>
    <w:rsid w:val="0037734D"/>
    <w:rsid w:val="003773CF"/>
    <w:rsid w:val="00377433"/>
    <w:rsid w:val="00377830"/>
    <w:rsid w:val="00377837"/>
    <w:rsid w:val="003778CD"/>
    <w:rsid w:val="0037794E"/>
    <w:rsid w:val="0037798E"/>
    <w:rsid w:val="00377E0F"/>
    <w:rsid w:val="0038021B"/>
    <w:rsid w:val="00380C05"/>
    <w:rsid w:val="00380C2C"/>
    <w:rsid w:val="00380E59"/>
    <w:rsid w:val="00381002"/>
    <w:rsid w:val="0038101A"/>
    <w:rsid w:val="00381753"/>
    <w:rsid w:val="0038178A"/>
    <w:rsid w:val="003817A4"/>
    <w:rsid w:val="00381A96"/>
    <w:rsid w:val="00381C85"/>
    <w:rsid w:val="0038207A"/>
    <w:rsid w:val="003820D5"/>
    <w:rsid w:val="003821F4"/>
    <w:rsid w:val="003825D2"/>
    <w:rsid w:val="003826B7"/>
    <w:rsid w:val="00382C4F"/>
    <w:rsid w:val="00382CE4"/>
    <w:rsid w:val="00382D60"/>
    <w:rsid w:val="00382F21"/>
    <w:rsid w:val="003834CE"/>
    <w:rsid w:val="003836CC"/>
    <w:rsid w:val="00383DE9"/>
    <w:rsid w:val="00383FB2"/>
    <w:rsid w:val="00384705"/>
    <w:rsid w:val="003849CD"/>
    <w:rsid w:val="00384E77"/>
    <w:rsid w:val="00385079"/>
    <w:rsid w:val="003853AF"/>
    <w:rsid w:val="00385565"/>
    <w:rsid w:val="00385634"/>
    <w:rsid w:val="0038570D"/>
    <w:rsid w:val="00385716"/>
    <w:rsid w:val="00385A32"/>
    <w:rsid w:val="00385C7D"/>
    <w:rsid w:val="00385D3B"/>
    <w:rsid w:val="00386682"/>
    <w:rsid w:val="00386878"/>
    <w:rsid w:val="00386892"/>
    <w:rsid w:val="00387484"/>
    <w:rsid w:val="00387A64"/>
    <w:rsid w:val="00387B3F"/>
    <w:rsid w:val="00387D6C"/>
    <w:rsid w:val="00387D9D"/>
    <w:rsid w:val="00390293"/>
    <w:rsid w:val="0039058E"/>
    <w:rsid w:val="00390661"/>
    <w:rsid w:val="00390D24"/>
    <w:rsid w:val="00390EF5"/>
    <w:rsid w:val="00391056"/>
    <w:rsid w:val="00391573"/>
    <w:rsid w:val="00391814"/>
    <w:rsid w:val="003919D4"/>
    <w:rsid w:val="00391AC3"/>
    <w:rsid w:val="00391F0B"/>
    <w:rsid w:val="00392096"/>
    <w:rsid w:val="0039232C"/>
    <w:rsid w:val="0039262D"/>
    <w:rsid w:val="00392662"/>
    <w:rsid w:val="00392872"/>
    <w:rsid w:val="00392A9C"/>
    <w:rsid w:val="00393078"/>
    <w:rsid w:val="003935A1"/>
    <w:rsid w:val="00393602"/>
    <w:rsid w:val="00393CC7"/>
    <w:rsid w:val="00393D6F"/>
    <w:rsid w:val="0039406E"/>
    <w:rsid w:val="003948AA"/>
    <w:rsid w:val="00394C05"/>
    <w:rsid w:val="00394ECF"/>
    <w:rsid w:val="00395463"/>
    <w:rsid w:val="00395753"/>
    <w:rsid w:val="003958BD"/>
    <w:rsid w:val="00395FCF"/>
    <w:rsid w:val="00396045"/>
    <w:rsid w:val="00396CBB"/>
    <w:rsid w:val="0039725D"/>
    <w:rsid w:val="003972BE"/>
    <w:rsid w:val="00397C6E"/>
    <w:rsid w:val="003A07CB"/>
    <w:rsid w:val="003A08D5"/>
    <w:rsid w:val="003A093E"/>
    <w:rsid w:val="003A0E7C"/>
    <w:rsid w:val="003A1A77"/>
    <w:rsid w:val="003A1DD5"/>
    <w:rsid w:val="003A20AE"/>
    <w:rsid w:val="003A21B8"/>
    <w:rsid w:val="003A2205"/>
    <w:rsid w:val="003A228C"/>
    <w:rsid w:val="003A22DF"/>
    <w:rsid w:val="003A2845"/>
    <w:rsid w:val="003A2913"/>
    <w:rsid w:val="003A2CD9"/>
    <w:rsid w:val="003A2CE0"/>
    <w:rsid w:val="003A2EB1"/>
    <w:rsid w:val="003A2F27"/>
    <w:rsid w:val="003A319C"/>
    <w:rsid w:val="003A3330"/>
    <w:rsid w:val="003A3D6E"/>
    <w:rsid w:val="003A4679"/>
    <w:rsid w:val="003A485A"/>
    <w:rsid w:val="003A486B"/>
    <w:rsid w:val="003A4A49"/>
    <w:rsid w:val="003A4A5D"/>
    <w:rsid w:val="003A5126"/>
    <w:rsid w:val="003A535A"/>
    <w:rsid w:val="003A598A"/>
    <w:rsid w:val="003A5ADE"/>
    <w:rsid w:val="003A607C"/>
    <w:rsid w:val="003A60CD"/>
    <w:rsid w:val="003A620B"/>
    <w:rsid w:val="003A63F0"/>
    <w:rsid w:val="003A64D2"/>
    <w:rsid w:val="003A6AB9"/>
    <w:rsid w:val="003A6B80"/>
    <w:rsid w:val="003A6C30"/>
    <w:rsid w:val="003A7371"/>
    <w:rsid w:val="003A752C"/>
    <w:rsid w:val="003A793B"/>
    <w:rsid w:val="003A79CE"/>
    <w:rsid w:val="003B01F2"/>
    <w:rsid w:val="003B0646"/>
    <w:rsid w:val="003B06C3"/>
    <w:rsid w:val="003B08F4"/>
    <w:rsid w:val="003B09A0"/>
    <w:rsid w:val="003B1049"/>
    <w:rsid w:val="003B1796"/>
    <w:rsid w:val="003B1ADB"/>
    <w:rsid w:val="003B1CF2"/>
    <w:rsid w:val="003B1DBF"/>
    <w:rsid w:val="003B1F0A"/>
    <w:rsid w:val="003B1F2D"/>
    <w:rsid w:val="003B226B"/>
    <w:rsid w:val="003B2C1A"/>
    <w:rsid w:val="003B2CD9"/>
    <w:rsid w:val="003B34CB"/>
    <w:rsid w:val="003B4204"/>
    <w:rsid w:val="003B428B"/>
    <w:rsid w:val="003B42F6"/>
    <w:rsid w:val="003B4616"/>
    <w:rsid w:val="003B4768"/>
    <w:rsid w:val="003B49C4"/>
    <w:rsid w:val="003B4A12"/>
    <w:rsid w:val="003B5352"/>
    <w:rsid w:val="003B5DAC"/>
    <w:rsid w:val="003B636B"/>
    <w:rsid w:val="003B6AED"/>
    <w:rsid w:val="003B736B"/>
    <w:rsid w:val="003B73F7"/>
    <w:rsid w:val="003B75EB"/>
    <w:rsid w:val="003B7665"/>
    <w:rsid w:val="003B79B2"/>
    <w:rsid w:val="003B7A26"/>
    <w:rsid w:val="003B7A92"/>
    <w:rsid w:val="003B7AE0"/>
    <w:rsid w:val="003C0228"/>
    <w:rsid w:val="003C0363"/>
    <w:rsid w:val="003C06A3"/>
    <w:rsid w:val="003C07CE"/>
    <w:rsid w:val="003C0AFF"/>
    <w:rsid w:val="003C0D42"/>
    <w:rsid w:val="003C0F35"/>
    <w:rsid w:val="003C12E5"/>
    <w:rsid w:val="003C1671"/>
    <w:rsid w:val="003C16DB"/>
    <w:rsid w:val="003C1840"/>
    <w:rsid w:val="003C1841"/>
    <w:rsid w:val="003C18C9"/>
    <w:rsid w:val="003C1AF6"/>
    <w:rsid w:val="003C1B4D"/>
    <w:rsid w:val="003C1B8D"/>
    <w:rsid w:val="003C1C5F"/>
    <w:rsid w:val="003C1EC7"/>
    <w:rsid w:val="003C25E2"/>
    <w:rsid w:val="003C27D5"/>
    <w:rsid w:val="003C2891"/>
    <w:rsid w:val="003C2899"/>
    <w:rsid w:val="003C2A52"/>
    <w:rsid w:val="003C2AEF"/>
    <w:rsid w:val="003C2BB0"/>
    <w:rsid w:val="003C2DC9"/>
    <w:rsid w:val="003C2FBF"/>
    <w:rsid w:val="003C34B9"/>
    <w:rsid w:val="003C34FA"/>
    <w:rsid w:val="003C3881"/>
    <w:rsid w:val="003C4453"/>
    <w:rsid w:val="003C4ABA"/>
    <w:rsid w:val="003C4DB5"/>
    <w:rsid w:val="003C5016"/>
    <w:rsid w:val="003C5022"/>
    <w:rsid w:val="003C5B43"/>
    <w:rsid w:val="003C5BA5"/>
    <w:rsid w:val="003C5BD5"/>
    <w:rsid w:val="003C5C61"/>
    <w:rsid w:val="003C5DED"/>
    <w:rsid w:val="003C5F9A"/>
    <w:rsid w:val="003C616C"/>
    <w:rsid w:val="003C62D8"/>
    <w:rsid w:val="003C636C"/>
    <w:rsid w:val="003C643B"/>
    <w:rsid w:val="003C67E6"/>
    <w:rsid w:val="003C6A54"/>
    <w:rsid w:val="003C6AE8"/>
    <w:rsid w:val="003C6DF1"/>
    <w:rsid w:val="003C6EF8"/>
    <w:rsid w:val="003C6F8B"/>
    <w:rsid w:val="003C71DB"/>
    <w:rsid w:val="003C72D2"/>
    <w:rsid w:val="003C73F6"/>
    <w:rsid w:val="003C7444"/>
    <w:rsid w:val="003C747D"/>
    <w:rsid w:val="003C77C6"/>
    <w:rsid w:val="003C7829"/>
    <w:rsid w:val="003C7983"/>
    <w:rsid w:val="003C7A61"/>
    <w:rsid w:val="003C7BCB"/>
    <w:rsid w:val="003C7C8A"/>
    <w:rsid w:val="003C7F06"/>
    <w:rsid w:val="003D0ABF"/>
    <w:rsid w:val="003D1779"/>
    <w:rsid w:val="003D1788"/>
    <w:rsid w:val="003D193F"/>
    <w:rsid w:val="003D1D66"/>
    <w:rsid w:val="003D1DF0"/>
    <w:rsid w:val="003D1F9F"/>
    <w:rsid w:val="003D2141"/>
    <w:rsid w:val="003D2317"/>
    <w:rsid w:val="003D253F"/>
    <w:rsid w:val="003D2683"/>
    <w:rsid w:val="003D26ED"/>
    <w:rsid w:val="003D278A"/>
    <w:rsid w:val="003D28FE"/>
    <w:rsid w:val="003D29F6"/>
    <w:rsid w:val="003D2B6C"/>
    <w:rsid w:val="003D3018"/>
    <w:rsid w:val="003D32AF"/>
    <w:rsid w:val="003D37E3"/>
    <w:rsid w:val="003D38CA"/>
    <w:rsid w:val="003D3A57"/>
    <w:rsid w:val="003D3C86"/>
    <w:rsid w:val="003D3D6B"/>
    <w:rsid w:val="003D3EAE"/>
    <w:rsid w:val="003D4220"/>
    <w:rsid w:val="003D44A3"/>
    <w:rsid w:val="003D46B7"/>
    <w:rsid w:val="003D47B9"/>
    <w:rsid w:val="003D4834"/>
    <w:rsid w:val="003D4B45"/>
    <w:rsid w:val="003D4EDC"/>
    <w:rsid w:val="003D54AC"/>
    <w:rsid w:val="003D55D6"/>
    <w:rsid w:val="003D56F7"/>
    <w:rsid w:val="003D58B5"/>
    <w:rsid w:val="003D59FE"/>
    <w:rsid w:val="003D5C46"/>
    <w:rsid w:val="003D5DBD"/>
    <w:rsid w:val="003D5DCD"/>
    <w:rsid w:val="003D61E3"/>
    <w:rsid w:val="003D6275"/>
    <w:rsid w:val="003D6294"/>
    <w:rsid w:val="003D6408"/>
    <w:rsid w:val="003D660A"/>
    <w:rsid w:val="003D6860"/>
    <w:rsid w:val="003D6D69"/>
    <w:rsid w:val="003D6DC2"/>
    <w:rsid w:val="003D6E72"/>
    <w:rsid w:val="003D6F55"/>
    <w:rsid w:val="003D732D"/>
    <w:rsid w:val="003D7332"/>
    <w:rsid w:val="003D7819"/>
    <w:rsid w:val="003D7B96"/>
    <w:rsid w:val="003D7BFA"/>
    <w:rsid w:val="003D7FF8"/>
    <w:rsid w:val="003E048B"/>
    <w:rsid w:val="003E0698"/>
    <w:rsid w:val="003E078D"/>
    <w:rsid w:val="003E08BF"/>
    <w:rsid w:val="003E0953"/>
    <w:rsid w:val="003E13E8"/>
    <w:rsid w:val="003E17D3"/>
    <w:rsid w:val="003E1D34"/>
    <w:rsid w:val="003E1FD6"/>
    <w:rsid w:val="003E2336"/>
    <w:rsid w:val="003E2662"/>
    <w:rsid w:val="003E293F"/>
    <w:rsid w:val="003E2954"/>
    <w:rsid w:val="003E2B71"/>
    <w:rsid w:val="003E2CA2"/>
    <w:rsid w:val="003E2D11"/>
    <w:rsid w:val="003E391C"/>
    <w:rsid w:val="003E3956"/>
    <w:rsid w:val="003E3CA9"/>
    <w:rsid w:val="003E46EE"/>
    <w:rsid w:val="003E511C"/>
    <w:rsid w:val="003E566C"/>
    <w:rsid w:val="003E59D4"/>
    <w:rsid w:val="003E5AC0"/>
    <w:rsid w:val="003E5BC9"/>
    <w:rsid w:val="003E5BCC"/>
    <w:rsid w:val="003E5E60"/>
    <w:rsid w:val="003E6177"/>
    <w:rsid w:val="003E62B3"/>
    <w:rsid w:val="003E668B"/>
    <w:rsid w:val="003E68A3"/>
    <w:rsid w:val="003E693A"/>
    <w:rsid w:val="003E69EB"/>
    <w:rsid w:val="003E69F5"/>
    <w:rsid w:val="003E6B30"/>
    <w:rsid w:val="003E72C3"/>
    <w:rsid w:val="003E7486"/>
    <w:rsid w:val="003E7641"/>
    <w:rsid w:val="003E7985"/>
    <w:rsid w:val="003F032F"/>
    <w:rsid w:val="003F060A"/>
    <w:rsid w:val="003F0C02"/>
    <w:rsid w:val="003F106A"/>
    <w:rsid w:val="003F10BA"/>
    <w:rsid w:val="003F125D"/>
    <w:rsid w:val="003F176F"/>
    <w:rsid w:val="003F1C4D"/>
    <w:rsid w:val="003F1C71"/>
    <w:rsid w:val="003F1E47"/>
    <w:rsid w:val="003F20CF"/>
    <w:rsid w:val="003F21DC"/>
    <w:rsid w:val="003F2548"/>
    <w:rsid w:val="003F2C84"/>
    <w:rsid w:val="003F2CF8"/>
    <w:rsid w:val="003F2F08"/>
    <w:rsid w:val="003F2FFD"/>
    <w:rsid w:val="003F3102"/>
    <w:rsid w:val="003F3382"/>
    <w:rsid w:val="003F352C"/>
    <w:rsid w:val="003F35E2"/>
    <w:rsid w:val="003F3B63"/>
    <w:rsid w:val="003F3EA0"/>
    <w:rsid w:val="003F3EF8"/>
    <w:rsid w:val="003F403D"/>
    <w:rsid w:val="003F4041"/>
    <w:rsid w:val="003F40AA"/>
    <w:rsid w:val="003F41FC"/>
    <w:rsid w:val="003F426A"/>
    <w:rsid w:val="003F4492"/>
    <w:rsid w:val="003F4899"/>
    <w:rsid w:val="003F4C97"/>
    <w:rsid w:val="003F4E5B"/>
    <w:rsid w:val="003F520D"/>
    <w:rsid w:val="003F5292"/>
    <w:rsid w:val="003F5317"/>
    <w:rsid w:val="003F5499"/>
    <w:rsid w:val="003F55D7"/>
    <w:rsid w:val="003F5BD3"/>
    <w:rsid w:val="003F5FEA"/>
    <w:rsid w:val="003F6071"/>
    <w:rsid w:val="003F60E5"/>
    <w:rsid w:val="003F6127"/>
    <w:rsid w:val="003F61F1"/>
    <w:rsid w:val="003F6862"/>
    <w:rsid w:val="003F6A62"/>
    <w:rsid w:val="003F6BA7"/>
    <w:rsid w:val="003F7286"/>
    <w:rsid w:val="003F78F7"/>
    <w:rsid w:val="003F7AC3"/>
    <w:rsid w:val="003F7B7D"/>
    <w:rsid w:val="003F7D2A"/>
    <w:rsid w:val="003F7F9F"/>
    <w:rsid w:val="00400156"/>
    <w:rsid w:val="00400199"/>
    <w:rsid w:val="004001F3"/>
    <w:rsid w:val="004003AA"/>
    <w:rsid w:val="004003F2"/>
    <w:rsid w:val="0040065C"/>
    <w:rsid w:val="00400773"/>
    <w:rsid w:val="00400A59"/>
    <w:rsid w:val="00400D1C"/>
    <w:rsid w:val="00400E97"/>
    <w:rsid w:val="00400F47"/>
    <w:rsid w:val="004012F8"/>
    <w:rsid w:val="00401508"/>
    <w:rsid w:val="00401573"/>
    <w:rsid w:val="00401764"/>
    <w:rsid w:val="00401A7C"/>
    <w:rsid w:val="00401BAE"/>
    <w:rsid w:val="004020FD"/>
    <w:rsid w:val="004025B8"/>
    <w:rsid w:val="00402796"/>
    <w:rsid w:val="0040291D"/>
    <w:rsid w:val="004029BA"/>
    <w:rsid w:val="00402E12"/>
    <w:rsid w:val="00402F22"/>
    <w:rsid w:val="00402FD2"/>
    <w:rsid w:val="0040341A"/>
    <w:rsid w:val="00403703"/>
    <w:rsid w:val="004037CE"/>
    <w:rsid w:val="0040382E"/>
    <w:rsid w:val="0040384C"/>
    <w:rsid w:val="00403A58"/>
    <w:rsid w:val="00403B68"/>
    <w:rsid w:val="00404032"/>
    <w:rsid w:val="00404102"/>
    <w:rsid w:val="0040443C"/>
    <w:rsid w:val="004047AE"/>
    <w:rsid w:val="00404C15"/>
    <w:rsid w:val="00404EEA"/>
    <w:rsid w:val="00404F78"/>
    <w:rsid w:val="00405286"/>
    <w:rsid w:val="00405320"/>
    <w:rsid w:val="00405B7C"/>
    <w:rsid w:val="00406522"/>
    <w:rsid w:val="00406789"/>
    <w:rsid w:val="0040694B"/>
    <w:rsid w:val="004069A5"/>
    <w:rsid w:val="00406E5F"/>
    <w:rsid w:val="00406E67"/>
    <w:rsid w:val="00406F0F"/>
    <w:rsid w:val="004075E1"/>
    <w:rsid w:val="00407769"/>
    <w:rsid w:val="0040790A"/>
    <w:rsid w:val="0041002F"/>
    <w:rsid w:val="0041008C"/>
    <w:rsid w:val="00410090"/>
    <w:rsid w:val="00410486"/>
    <w:rsid w:val="004104B1"/>
    <w:rsid w:val="004109F6"/>
    <w:rsid w:val="0041103F"/>
    <w:rsid w:val="00411197"/>
    <w:rsid w:val="0041121B"/>
    <w:rsid w:val="00411A3A"/>
    <w:rsid w:val="00411D29"/>
    <w:rsid w:val="00411F18"/>
    <w:rsid w:val="0041249C"/>
    <w:rsid w:val="004126F7"/>
    <w:rsid w:val="004128D5"/>
    <w:rsid w:val="0041296D"/>
    <w:rsid w:val="00412B27"/>
    <w:rsid w:val="00412C6B"/>
    <w:rsid w:val="004131C4"/>
    <w:rsid w:val="00413A78"/>
    <w:rsid w:val="00413A7C"/>
    <w:rsid w:val="00413A96"/>
    <w:rsid w:val="00413F7D"/>
    <w:rsid w:val="0041406E"/>
    <w:rsid w:val="004142E8"/>
    <w:rsid w:val="00414317"/>
    <w:rsid w:val="00414487"/>
    <w:rsid w:val="0041464F"/>
    <w:rsid w:val="00414E5E"/>
    <w:rsid w:val="00415159"/>
    <w:rsid w:val="00415368"/>
    <w:rsid w:val="0041560F"/>
    <w:rsid w:val="00415E68"/>
    <w:rsid w:val="00415EBF"/>
    <w:rsid w:val="00415F7F"/>
    <w:rsid w:val="00416508"/>
    <w:rsid w:val="0041662D"/>
    <w:rsid w:val="004168A5"/>
    <w:rsid w:val="00416ADE"/>
    <w:rsid w:val="00416CF6"/>
    <w:rsid w:val="0041730A"/>
    <w:rsid w:val="00417479"/>
    <w:rsid w:val="00417838"/>
    <w:rsid w:val="00417878"/>
    <w:rsid w:val="00417A1D"/>
    <w:rsid w:val="00417D9D"/>
    <w:rsid w:val="00417E57"/>
    <w:rsid w:val="0042005A"/>
    <w:rsid w:val="0042021D"/>
    <w:rsid w:val="004202C2"/>
    <w:rsid w:val="00420BD6"/>
    <w:rsid w:val="00420E2B"/>
    <w:rsid w:val="004213FE"/>
    <w:rsid w:val="00421AD0"/>
    <w:rsid w:val="00421C06"/>
    <w:rsid w:val="00421D68"/>
    <w:rsid w:val="00421F5D"/>
    <w:rsid w:val="004221B8"/>
    <w:rsid w:val="004221DE"/>
    <w:rsid w:val="004225C2"/>
    <w:rsid w:val="00422708"/>
    <w:rsid w:val="00422F79"/>
    <w:rsid w:val="00422FFF"/>
    <w:rsid w:val="00423871"/>
    <w:rsid w:val="00423ACF"/>
    <w:rsid w:val="00423DFD"/>
    <w:rsid w:val="00423E07"/>
    <w:rsid w:val="00423FA7"/>
    <w:rsid w:val="0042414C"/>
    <w:rsid w:val="00424301"/>
    <w:rsid w:val="00424A72"/>
    <w:rsid w:val="00424B71"/>
    <w:rsid w:val="00425720"/>
    <w:rsid w:val="00425A0F"/>
    <w:rsid w:val="0042623C"/>
    <w:rsid w:val="00426CF8"/>
    <w:rsid w:val="00426D27"/>
    <w:rsid w:val="004277D0"/>
    <w:rsid w:val="00427BE4"/>
    <w:rsid w:val="00427BFE"/>
    <w:rsid w:val="00427F79"/>
    <w:rsid w:val="004303C8"/>
    <w:rsid w:val="00430490"/>
    <w:rsid w:val="004304B2"/>
    <w:rsid w:val="004309C8"/>
    <w:rsid w:val="00430C21"/>
    <w:rsid w:val="00430CDD"/>
    <w:rsid w:val="004319D1"/>
    <w:rsid w:val="00431C64"/>
    <w:rsid w:val="00431E00"/>
    <w:rsid w:val="00431FF7"/>
    <w:rsid w:val="00432261"/>
    <w:rsid w:val="0043234F"/>
    <w:rsid w:val="0043247D"/>
    <w:rsid w:val="00432827"/>
    <w:rsid w:val="00432957"/>
    <w:rsid w:val="00432A7E"/>
    <w:rsid w:val="00432E1A"/>
    <w:rsid w:val="00432E6F"/>
    <w:rsid w:val="004331F5"/>
    <w:rsid w:val="004333AE"/>
    <w:rsid w:val="004333E2"/>
    <w:rsid w:val="00433542"/>
    <w:rsid w:val="004336B0"/>
    <w:rsid w:val="004336BB"/>
    <w:rsid w:val="00433745"/>
    <w:rsid w:val="004338A9"/>
    <w:rsid w:val="00433B49"/>
    <w:rsid w:val="00433CD7"/>
    <w:rsid w:val="00434524"/>
    <w:rsid w:val="004345A1"/>
    <w:rsid w:val="00434B7C"/>
    <w:rsid w:val="00434C1B"/>
    <w:rsid w:val="00434E3B"/>
    <w:rsid w:val="00435504"/>
    <w:rsid w:val="00435574"/>
    <w:rsid w:val="00435615"/>
    <w:rsid w:val="00435D51"/>
    <w:rsid w:val="00436292"/>
    <w:rsid w:val="004364DB"/>
    <w:rsid w:val="004367BC"/>
    <w:rsid w:val="004368F3"/>
    <w:rsid w:val="004369B2"/>
    <w:rsid w:val="00436BED"/>
    <w:rsid w:val="00437543"/>
    <w:rsid w:val="004377EB"/>
    <w:rsid w:val="00437F1A"/>
    <w:rsid w:val="004403B8"/>
    <w:rsid w:val="004403C7"/>
    <w:rsid w:val="004408C0"/>
    <w:rsid w:val="00440AE9"/>
    <w:rsid w:val="00440DA4"/>
    <w:rsid w:val="00440FCD"/>
    <w:rsid w:val="0044155A"/>
    <w:rsid w:val="004415FF"/>
    <w:rsid w:val="00441EA1"/>
    <w:rsid w:val="004420CC"/>
    <w:rsid w:val="0044222E"/>
    <w:rsid w:val="004425B2"/>
    <w:rsid w:val="004426E2"/>
    <w:rsid w:val="0044274D"/>
    <w:rsid w:val="00442C1C"/>
    <w:rsid w:val="0044322E"/>
    <w:rsid w:val="004433E1"/>
    <w:rsid w:val="0044382D"/>
    <w:rsid w:val="00443B27"/>
    <w:rsid w:val="00443BA0"/>
    <w:rsid w:val="00443CBD"/>
    <w:rsid w:val="0044400B"/>
    <w:rsid w:val="004440C9"/>
    <w:rsid w:val="004442B0"/>
    <w:rsid w:val="004442D6"/>
    <w:rsid w:val="004443B9"/>
    <w:rsid w:val="004443BA"/>
    <w:rsid w:val="004443FE"/>
    <w:rsid w:val="00444984"/>
    <w:rsid w:val="00444BB5"/>
    <w:rsid w:val="00445103"/>
    <w:rsid w:val="00445334"/>
    <w:rsid w:val="00445938"/>
    <w:rsid w:val="00445B4B"/>
    <w:rsid w:val="00445BB8"/>
    <w:rsid w:val="00445F5B"/>
    <w:rsid w:val="00446109"/>
    <w:rsid w:val="004462B7"/>
    <w:rsid w:val="0044644F"/>
    <w:rsid w:val="00446DFC"/>
    <w:rsid w:val="00446FBF"/>
    <w:rsid w:val="00447001"/>
    <w:rsid w:val="004471A7"/>
    <w:rsid w:val="004474BA"/>
    <w:rsid w:val="004475E5"/>
    <w:rsid w:val="004476A1"/>
    <w:rsid w:val="004478E1"/>
    <w:rsid w:val="00447D55"/>
    <w:rsid w:val="0045030A"/>
    <w:rsid w:val="004503ED"/>
    <w:rsid w:val="004506FE"/>
    <w:rsid w:val="00450FC5"/>
    <w:rsid w:val="00451363"/>
    <w:rsid w:val="004515D7"/>
    <w:rsid w:val="00451751"/>
    <w:rsid w:val="00451784"/>
    <w:rsid w:val="0045181C"/>
    <w:rsid w:val="00451D1D"/>
    <w:rsid w:val="00451DD0"/>
    <w:rsid w:val="004522B9"/>
    <w:rsid w:val="004523BB"/>
    <w:rsid w:val="00452B1C"/>
    <w:rsid w:val="00452C4E"/>
    <w:rsid w:val="00452D8A"/>
    <w:rsid w:val="00452E76"/>
    <w:rsid w:val="00452E79"/>
    <w:rsid w:val="00453348"/>
    <w:rsid w:val="004537D3"/>
    <w:rsid w:val="00453849"/>
    <w:rsid w:val="00454004"/>
    <w:rsid w:val="00454044"/>
    <w:rsid w:val="0045416F"/>
    <w:rsid w:val="00454180"/>
    <w:rsid w:val="00454237"/>
    <w:rsid w:val="0045423B"/>
    <w:rsid w:val="004543AB"/>
    <w:rsid w:val="004545E6"/>
    <w:rsid w:val="0045467F"/>
    <w:rsid w:val="00454748"/>
    <w:rsid w:val="00454999"/>
    <w:rsid w:val="00454D40"/>
    <w:rsid w:val="00455218"/>
    <w:rsid w:val="004553FD"/>
    <w:rsid w:val="00455803"/>
    <w:rsid w:val="00455F4D"/>
    <w:rsid w:val="00455F68"/>
    <w:rsid w:val="00455F8B"/>
    <w:rsid w:val="004561D0"/>
    <w:rsid w:val="00456275"/>
    <w:rsid w:val="00456432"/>
    <w:rsid w:val="004565DC"/>
    <w:rsid w:val="004566E0"/>
    <w:rsid w:val="0045695F"/>
    <w:rsid w:val="00456A21"/>
    <w:rsid w:val="00457160"/>
    <w:rsid w:val="0045727D"/>
    <w:rsid w:val="0045729F"/>
    <w:rsid w:val="004572EF"/>
    <w:rsid w:val="0045730A"/>
    <w:rsid w:val="00457569"/>
    <w:rsid w:val="0045776B"/>
    <w:rsid w:val="004578E9"/>
    <w:rsid w:val="00457CC6"/>
    <w:rsid w:val="00457E39"/>
    <w:rsid w:val="00457FA8"/>
    <w:rsid w:val="004600AE"/>
    <w:rsid w:val="0046100B"/>
    <w:rsid w:val="004614BA"/>
    <w:rsid w:val="004617FE"/>
    <w:rsid w:val="00461A1E"/>
    <w:rsid w:val="00461A2C"/>
    <w:rsid w:val="00461B84"/>
    <w:rsid w:val="00461BBA"/>
    <w:rsid w:val="00461ECE"/>
    <w:rsid w:val="00462202"/>
    <w:rsid w:val="004628F8"/>
    <w:rsid w:val="00462980"/>
    <w:rsid w:val="00462A29"/>
    <w:rsid w:val="00462C8C"/>
    <w:rsid w:val="00462C91"/>
    <w:rsid w:val="00462CA7"/>
    <w:rsid w:val="00462FBB"/>
    <w:rsid w:val="004634F2"/>
    <w:rsid w:val="00463809"/>
    <w:rsid w:val="00463BAC"/>
    <w:rsid w:val="00463C2A"/>
    <w:rsid w:val="00463D98"/>
    <w:rsid w:val="00463E82"/>
    <w:rsid w:val="00463FEF"/>
    <w:rsid w:val="004641E2"/>
    <w:rsid w:val="00464215"/>
    <w:rsid w:val="004642CC"/>
    <w:rsid w:val="0046438C"/>
    <w:rsid w:val="00464A73"/>
    <w:rsid w:val="00464BDA"/>
    <w:rsid w:val="004657BB"/>
    <w:rsid w:val="0046598B"/>
    <w:rsid w:val="00466119"/>
    <w:rsid w:val="004663D1"/>
    <w:rsid w:val="0046654A"/>
    <w:rsid w:val="00466AC0"/>
    <w:rsid w:val="00466E90"/>
    <w:rsid w:val="00466F9A"/>
    <w:rsid w:val="004670D7"/>
    <w:rsid w:val="0046725A"/>
    <w:rsid w:val="00467314"/>
    <w:rsid w:val="004674A0"/>
    <w:rsid w:val="0046766F"/>
    <w:rsid w:val="0046780C"/>
    <w:rsid w:val="00467C35"/>
    <w:rsid w:val="00467C78"/>
    <w:rsid w:val="00467CAB"/>
    <w:rsid w:val="00467EED"/>
    <w:rsid w:val="00467F7D"/>
    <w:rsid w:val="00470995"/>
    <w:rsid w:val="004709C9"/>
    <w:rsid w:val="00470DF2"/>
    <w:rsid w:val="00470F7C"/>
    <w:rsid w:val="00471003"/>
    <w:rsid w:val="00471135"/>
    <w:rsid w:val="00471A3D"/>
    <w:rsid w:val="00471A97"/>
    <w:rsid w:val="00471ACF"/>
    <w:rsid w:val="00471CCC"/>
    <w:rsid w:val="00471F62"/>
    <w:rsid w:val="0047229D"/>
    <w:rsid w:val="004723AF"/>
    <w:rsid w:val="0047290E"/>
    <w:rsid w:val="00472A65"/>
    <w:rsid w:val="00473033"/>
    <w:rsid w:val="004734C1"/>
    <w:rsid w:val="004737ED"/>
    <w:rsid w:val="00473917"/>
    <w:rsid w:val="00473A78"/>
    <w:rsid w:val="00473FD3"/>
    <w:rsid w:val="00474544"/>
    <w:rsid w:val="004746D4"/>
    <w:rsid w:val="00474728"/>
    <w:rsid w:val="00474CC9"/>
    <w:rsid w:val="00474D94"/>
    <w:rsid w:val="004752B0"/>
    <w:rsid w:val="004755E4"/>
    <w:rsid w:val="00475736"/>
    <w:rsid w:val="004758A1"/>
    <w:rsid w:val="0047592E"/>
    <w:rsid w:val="00475CAB"/>
    <w:rsid w:val="00475CDD"/>
    <w:rsid w:val="0047643A"/>
    <w:rsid w:val="004765D4"/>
    <w:rsid w:val="00476744"/>
    <w:rsid w:val="00476896"/>
    <w:rsid w:val="00476900"/>
    <w:rsid w:val="00476C6F"/>
    <w:rsid w:val="00476D92"/>
    <w:rsid w:val="00477679"/>
    <w:rsid w:val="0047783B"/>
    <w:rsid w:val="00477A15"/>
    <w:rsid w:val="00480299"/>
    <w:rsid w:val="00480404"/>
    <w:rsid w:val="0048078E"/>
    <w:rsid w:val="00480863"/>
    <w:rsid w:val="00480908"/>
    <w:rsid w:val="004809F0"/>
    <w:rsid w:val="0048100A"/>
    <w:rsid w:val="00481062"/>
    <w:rsid w:val="004811D9"/>
    <w:rsid w:val="00481351"/>
    <w:rsid w:val="0048158C"/>
    <w:rsid w:val="00481BD1"/>
    <w:rsid w:val="00481D30"/>
    <w:rsid w:val="00481D82"/>
    <w:rsid w:val="0048208F"/>
    <w:rsid w:val="00482197"/>
    <w:rsid w:val="004823BA"/>
    <w:rsid w:val="004823EA"/>
    <w:rsid w:val="00482AC0"/>
    <w:rsid w:val="00482AC9"/>
    <w:rsid w:val="00482BA8"/>
    <w:rsid w:val="00482C8E"/>
    <w:rsid w:val="00482F38"/>
    <w:rsid w:val="004833D8"/>
    <w:rsid w:val="00483433"/>
    <w:rsid w:val="00483467"/>
    <w:rsid w:val="004838D4"/>
    <w:rsid w:val="00483D57"/>
    <w:rsid w:val="00483DE4"/>
    <w:rsid w:val="004841DE"/>
    <w:rsid w:val="004844D0"/>
    <w:rsid w:val="00484948"/>
    <w:rsid w:val="00484A4A"/>
    <w:rsid w:val="004854F6"/>
    <w:rsid w:val="004855B9"/>
    <w:rsid w:val="004856DD"/>
    <w:rsid w:val="00485819"/>
    <w:rsid w:val="00485AF8"/>
    <w:rsid w:val="00485B46"/>
    <w:rsid w:val="00485D70"/>
    <w:rsid w:val="00485F85"/>
    <w:rsid w:val="004865B5"/>
    <w:rsid w:val="004865B8"/>
    <w:rsid w:val="004866BA"/>
    <w:rsid w:val="0048672D"/>
    <w:rsid w:val="00486823"/>
    <w:rsid w:val="00486D86"/>
    <w:rsid w:val="004873AE"/>
    <w:rsid w:val="004873F9"/>
    <w:rsid w:val="00487602"/>
    <w:rsid w:val="004877BE"/>
    <w:rsid w:val="0048796D"/>
    <w:rsid w:val="0049038A"/>
    <w:rsid w:val="00490517"/>
    <w:rsid w:val="004907F5"/>
    <w:rsid w:val="00490980"/>
    <w:rsid w:val="0049098E"/>
    <w:rsid w:val="00490A26"/>
    <w:rsid w:val="00490ACA"/>
    <w:rsid w:val="00491167"/>
    <w:rsid w:val="00491376"/>
    <w:rsid w:val="004913B2"/>
    <w:rsid w:val="00491426"/>
    <w:rsid w:val="00491579"/>
    <w:rsid w:val="004917FE"/>
    <w:rsid w:val="00491B3F"/>
    <w:rsid w:val="00491C90"/>
    <w:rsid w:val="00491E94"/>
    <w:rsid w:val="00492554"/>
    <w:rsid w:val="004925FE"/>
    <w:rsid w:val="00492CED"/>
    <w:rsid w:val="00492E75"/>
    <w:rsid w:val="00492F40"/>
    <w:rsid w:val="0049327D"/>
    <w:rsid w:val="00493363"/>
    <w:rsid w:val="004933B6"/>
    <w:rsid w:val="004935C7"/>
    <w:rsid w:val="004939CE"/>
    <w:rsid w:val="00493A08"/>
    <w:rsid w:val="00493D95"/>
    <w:rsid w:val="00493F9C"/>
    <w:rsid w:val="0049404D"/>
    <w:rsid w:val="00494134"/>
    <w:rsid w:val="0049470E"/>
    <w:rsid w:val="00494B2B"/>
    <w:rsid w:val="0049541B"/>
    <w:rsid w:val="00495A37"/>
    <w:rsid w:val="004960C7"/>
    <w:rsid w:val="00496388"/>
    <w:rsid w:val="004965D4"/>
    <w:rsid w:val="0049660D"/>
    <w:rsid w:val="00496CCB"/>
    <w:rsid w:val="00496D12"/>
    <w:rsid w:val="00496FC1"/>
    <w:rsid w:val="00497301"/>
    <w:rsid w:val="004978CC"/>
    <w:rsid w:val="004A043E"/>
    <w:rsid w:val="004A0B8B"/>
    <w:rsid w:val="004A0F9E"/>
    <w:rsid w:val="004A11CB"/>
    <w:rsid w:val="004A161F"/>
    <w:rsid w:val="004A16F9"/>
    <w:rsid w:val="004A19CE"/>
    <w:rsid w:val="004A1BD0"/>
    <w:rsid w:val="004A1C46"/>
    <w:rsid w:val="004A1D39"/>
    <w:rsid w:val="004A1D3C"/>
    <w:rsid w:val="004A1EFB"/>
    <w:rsid w:val="004A1F61"/>
    <w:rsid w:val="004A2498"/>
    <w:rsid w:val="004A26F9"/>
    <w:rsid w:val="004A2869"/>
    <w:rsid w:val="004A2949"/>
    <w:rsid w:val="004A29F1"/>
    <w:rsid w:val="004A2BC5"/>
    <w:rsid w:val="004A2BFF"/>
    <w:rsid w:val="004A2F21"/>
    <w:rsid w:val="004A30A8"/>
    <w:rsid w:val="004A354F"/>
    <w:rsid w:val="004A3834"/>
    <w:rsid w:val="004A38CC"/>
    <w:rsid w:val="004A3A60"/>
    <w:rsid w:val="004A3B0A"/>
    <w:rsid w:val="004A3C12"/>
    <w:rsid w:val="004A3C96"/>
    <w:rsid w:val="004A3CCA"/>
    <w:rsid w:val="004A3E99"/>
    <w:rsid w:val="004A3FBA"/>
    <w:rsid w:val="004A422F"/>
    <w:rsid w:val="004A46DE"/>
    <w:rsid w:val="004A48FF"/>
    <w:rsid w:val="004A548F"/>
    <w:rsid w:val="004A55F4"/>
    <w:rsid w:val="004A57B2"/>
    <w:rsid w:val="004A57F1"/>
    <w:rsid w:val="004A5897"/>
    <w:rsid w:val="004A5D4D"/>
    <w:rsid w:val="004A6734"/>
    <w:rsid w:val="004A67AF"/>
    <w:rsid w:val="004A6807"/>
    <w:rsid w:val="004A69A3"/>
    <w:rsid w:val="004A6A80"/>
    <w:rsid w:val="004A6CEA"/>
    <w:rsid w:val="004A72AD"/>
    <w:rsid w:val="004A72E2"/>
    <w:rsid w:val="004A73FE"/>
    <w:rsid w:val="004A762A"/>
    <w:rsid w:val="004A77AB"/>
    <w:rsid w:val="004A7BE4"/>
    <w:rsid w:val="004A7D9A"/>
    <w:rsid w:val="004A7FAF"/>
    <w:rsid w:val="004B00F7"/>
    <w:rsid w:val="004B0104"/>
    <w:rsid w:val="004B0278"/>
    <w:rsid w:val="004B0548"/>
    <w:rsid w:val="004B0BFC"/>
    <w:rsid w:val="004B0E2B"/>
    <w:rsid w:val="004B1413"/>
    <w:rsid w:val="004B160C"/>
    <w:rsid w:val="004B16BB"/>
    <w:rsid w:val="004B1AA8"/>
    <w:rsid w:val="004B1BCB"/>
    <w:rsid w:val="004B2719"/>
    <w:rsid w:val="004B2B68"/>
    <w:rsid w:val="004B2C7B"/>
    <w:rsid w:val="004B2D5A"/>
    <w:rsid w:val="004B2F1E"/>
    <w:rsid w:val="004B3370"/>
    <w:rsid w:val="004B3673"/>
    <w:rsid w:val="004B3A77"/>
    <w:rsid w:val="004B3F32"/>
    <w:rsid w:val="004B42A3"/>
    <w:rsid w:val="004B43B3"/>
    <w:rsid w:val="004B447E"/>
    <w:rsid w:val="004B4505"/>
    <w:rsid w:val="004B45C4"/>
    <w:rsid w:val="004B464E"/>
    <w:rsid w:val="004B4809"/>
    <w:rsid w:val="004B510F"/>
    <w:rsid w:val="004B52AF"/>
    <w:rsid w:val="004B547C"/>
    <w:rsid w:val="004B54A1"/>
    <w:rsid w:val="004B552B"/>
    <w:rsid w:val="004B5601"/>
    <w:rsid w:val="004B576E"/>
    <w:rsid w:val="004B5811"/>
    <w:rsid w:val="004B5C61"/>
    <w:rsid w:val="004B5E3B"/>
    <w:rsid w:val="004B5F19"/>
    <w:rsid w:val="004B5F82"/>
    <w:rsid w:val="004B5FEC"/>
    <w:rsid w:val="004B613A"/>
    <w:rsid w:val="004B61F8"/>
    <w:rsid w:val="004B6C8E"/>
    <w:rsid w:val="004B6DDF"/>
    <w:rsid w:val="004B6E0C"/>
    <w:rsid w:val="004B71D1"/>
    <w:rsid w:val="004B7262"/>
    <w:rsid w:val="004B79BA"/>
    <w:rsid w:val="004B7DBD"/>
    <w:rsid w:val="004C047A"/>
    <w:rsid w:val="004C0A60"/>
    <w:rsid w:val="004C0B5D"/>
    <w:rsid w:val="004C0E39"/>
    <w:rsid w:val="004C0F1B"/>
    <w:rsid w:val="004C1550"/>
    <w:rsid w:val="004C1726"/>
    <w:rsid w:val="004C189C"/>
    <w:rsid w:val="004C1A6D"/>
    <w:rsid w:val="004C1D9F"/>
    <w:rsid w:val="004C1EDF"/>
    <w:rsid w:val="004C2178"/>
    <w:rsid w:val="004C2798"/>
    <w:rsid w:val="004C2BF9"/>
    <w:rsid w:val="004C2CA5"/>
    <w:rsid w:val="004C2D87"/>
    <w:rsid w:val="004C2EB3"/>
    <w:rsid w:val="004C2F7B"/>
    <w:rsid w:val="004C3584"/>
    <w:rsid w:val="004C3615"/>
    <w:rsid w:val="004C3B30"/>
    <w:rsid w:val="004C3B85"/>
    <w:rsid w:val="004C3D95"/>
    <w:rsid w:val="004C42F9"/>
    <w:rsid w:val="004C4B77"/>
    <w:rsid w:val="004C4C45"/>
    <w:rsid w:val="004C4D56"/>
    <w:rsid w:val="004C4D8E"/>
    <w:rsid w:val="004C4DD0"/>
    <w:rsid w:val="004C5087"/>
    <w:rsid w:val="004C52E7"/>
    <w:rsid w:val="004C5358"/>
    <w:rsid w:val="004C5429"/>
    <w:rsid w:val="004C5613"/>
    <w:rsid w:val="004C56B3"/>
    <w:rsid w:val="004C5A2C"/>
    <w:rsid w:val="004C5B4C"/>
    <w:rsid w:val="004C5CC3"/>
    <w:rsid w:val="004C5DE5"/>
    <w:rsid w:val="004C5EFC"/>
    <w:rsid w:val="004C609B"/>
    <w:rsid w:val="004C616B"/>
    <w:rsid w:val="004C675B"/>
    <w:rsid w:val="004C6828"/>
    <w:rsid w:val="004C6877"/>
    <w:rsid w:val="004C7034"/>
    <w:rsid w:val="004C70F0"/>
    <w:rsid w:val="004C710A"/>
    <w:rsid w:val="004C74D6"/>
    <w:rsid w:val="004C7B0F"/>
    <w:rsid w:val="004C7B94"/>
    <w:rsid w:val="004C7CE8"/>
    <w:rsid w:val="004C7DED"/>
    <w:rsid w:val="004D01CE"/>
    <w:rsid w:val="004D07DB"/>
    <w:rsid w:val="004D0E01"/>
    <w:rsid w:val="004D1369"/>
    <w:rsid w:val="004D1743"/>
    <w:rsid w:val="004D1A46"/>
    <w:rsid w:val="004D1E45"/>
    <w:rsid w:val="004D1F0A"/>
    <w:rsid w:val="004D1F86"/>
    <w:rsid w:val="004D21C8"/>
    <w:rsid w:val="004D259E"/>
    <w:rsid w:val="004D2785"/>
    <w:rsid w:val="004D2A62"/>
    <w:rsid w:val="004D2AE6"/>
    <w:rsid w:val="004D2F7B"/>
    <w:rsid w:val="004D3143"/>
    <w:rsid w:val="004D3420"/>
    <w:rsid w:val="004D360F"/>
    <w:rsid w:val="004D3B3C"/>
    <w:rsid w:val="004D3B65"/>
    <w:rsid w:val="004D3C54"/>
    <w:rsid w:val="004D3FAF"/>
    <w:rsid w:val="004D478B"/>
    <w:rsid w:val="004D49A6"/>
    <w:rsid w:val="004D4C63"/>
    <w:rsid w:val="004D4EE5"/>
    <w:rsid w:val="004D5010"/>
    <w:rsid w:val="004D5302"/>
    <w:rsid w:val="004D57BC"/>
    <w:rsid w:val="004D5AA8"/>
    <w:rsid w:val="004D5C3C"/>
    <w:rsid w:val="004D5C5A"/>
    <w:rsid w:val="004D6380"/>
    <w:rsid w:val="004D644B"/>
    <w:rsid w:val="004D65F3"/>
    <w:rsid w:val="004D677C"/>
    <w:rsid w:val="004D686F"/>
    <w:rsid w:val="004D69E9"/>
    <w:rsid w:val="004D6AC3"/>
    <w:rsid w:val="004D6FF2"/>
    <w:rsid w:val="004D71C6"/>
    <w:rsid w:val="004D7250"/>
    <w:rsid w:val="004D7320"/>
    <w:rsid w:val="004D74E3"/>
    <w:rsid w:val="004D7BD9"/>
    <w:rsid w:val="004D7F47"/>
    <w:rsid w:val="004E0187"/>
    <w:rsid w:val="004E0257"/>
    <w:rsid w:val="004E0350"/>
    <w:rsid w:val="004E087A"/>
    <w:rsid w:val="004E0E68"/>
    <w:rsid w:val="004E0F57"/>
    <w:rsid w:val="004E1183"/>
    <w:rsid w:val="004E11A9"/>
    <w:rsid w:val="004E16D6"/>
    <w:rsid w:val="004E1AA6"/>
    <w:rsid w:val="004E1BBF"/>
    <w:rsid w:val="004E1F3F"/>
    <w:rsid w:val="004E21CE"/>
    <w:rsid w:val="004E22EE"/>
    <w:rsid w:val="004E25BF"/>
    <w:rsid w:val="004E291D"/>
    <w:rsid w:val="004E2A0B"/>
    <w:rsid w:val="004E2ECB"/>
    <w:rsid w:val="004E314C"/>
    <w:rsid w:val="004E3436"/>
    <w:rsid w:val="004E37BC"/>
    <w:rsid w:val="004E38AE"/>
    <w:rsid w:val="004E3A45"/>
    <w:rsid w:val="004E3A50"/>
    <w:rsid w:val="004E3B17"/>
    <w:rsid w:val="004E3E1A"/>
    <w:rsid w:val="004E416E"/>
    <w:rsid w:val="004E4760"/>
    <w:rsid w:val="004E47F6"/>
    <w:rsid w:val="004E485D"/>
    <w:rsid w:val="004E4F1D"/>
    <w:rsid w:val="004E503C"/>
    <w:rsid w:val="004E538B"/>
    <w:rsid w:val="004E543B"/>
    <w:rsid w:val="004E55C8"/>
    <w:rsid w:val="004E59F9"/>
    <w:rsid w:val="004E5A3C"/>
    <w:rsid w:val="004E5A75"/>
    <w:rsid w:val="004E5C6E"/>
    <w:rsid w:val="004E5CC6"/>
    <w:rsid w:val="004E5FE6"/>
    <w:rsid w:val="004E6005"/>
    <w:rsid w:val="004E61D2"/>
    <w:rsid w:val="004E6733"/>
    <w:rsid w:val="004E6DAB"/>
    <w:rsid w:val="004E6E54"/>
    <w:rsid w:val="004E7012"/>
    <w:rsid w:val="004E7301"/>
    <w:rsid w:val="004E734E"/>
    <w:rsid w:val="004E7502"/>
    <w:rsid w:val="004E786D"/>
    <w:rsid w:val="004E7A8E"/>
    <w:rsid w:val="004E7C5C"/>
    <w:rsid w:val="004E7C6C"/>
    <w:rsid w:val="004E7C71"/>
    <w:rsid w:val="004E7FF9"/>
    <w:rsid w:val="004F013E"/>
    <w:rsid w:val="004F0230"/>
    <w:rsid w:val="004F031E"/>
    <w:rsid w:val="004F038B"/>
    <w:rsid w:val="004F05BE"/>
    <w:rsid w:val="004F0CE1"/>
    <w:rsid w:val="004F137B"/>
    <w:rsid w:val="004F1579"/>
    <w:rsid w:val="004F1C03"/>
    <w:rsid w:val="004F1C6E"/>
    <w:rsid w:val="004F1CDB"/>
    <w:rsid w:val="004F1D2F"/>
    <w:rsid w:val="004F1F0A"/>
    <w:rsid w:val="004F296D"/>
    <w:rsid w:val="004F2A84"/>
    <w:rsid w:val="004F2BE2"/>
    <w:rsid w:val="004F2CFE"/>
    <w:rsid w:val="004F2D1C"/>
    <w:rsid w:val="004F2D5E"/>
    <w:rsid w:val="004F305B"/>
    <w:rsid w:val="004F30E8"/>
    <w:rsid w:val="004F361B"/>
    <w:rsid w:val="004F3637"/>
    <w:rsid w:val="004F398D"/>
    <w:rsid w:val="004F3B8C"/>
    <w:rsid w:val="004F3DD4"/>
    <w:rsid w:val="004F4910"/>
    <w:rsid w:val="004F4A01"/>
    <w:rsid w:val="004F4E45"/>
    <w:rsid w:val="004F4EB2"/>
    <w:rsid w:val="004F4FC2"/>
    <w:rsid w:val="004F5251"/>
    <w:rsid w:val="004F583D"/>
    <w:rsid w:val="004F5B89"/>
    <w:rsid w:val="004F5BAC"/>
    <w:rsid w:val="004F5C09"/>
    <w:rsid w:val="004F5EDF"/>
    <w:rsid w:val="004F608B"/>
    <w:rsid w:val="004F60B1"/>
    <w:rsid w:val="004F63A2"/>
    <w:rsid w:val="004F6564"/>
    <w:rsid w:val="004F65B0"/>
    <w:rsid w:val="004F6669"/>
    <w:rsid w:val="004F667D"/>
    <w:rsid w:val="004F6881"/>
    <w:rsid w:val="004F69A0"/>
    <w:rsid w:val="004F6EB9"/>
    <w:rsid w:val="004F702E"/>
    <w:rsid w:val="004F75FF"/>
    <w:rsid w:val="004F7922"/>
    <w:rsid w:val="004F795D"/>
    <w:rsid w:val="004F79A1"/>
    <w:rsid w:val="004F7A63"/>
    <w:rsid w:val="004F7B32"/>
    <w:rsid w:val="004F7B72"/>
    <w:rsid w:val="004F7CC8"/>
    <w:rsid w:val="004F7F56"/>
    <w:rsid w:val="00500402"/>
    <w:rsid w:val="00500455"/>
    <w:rsid w:val="005005C3"/>
    <w:rsid w:val="00500659"/>
    <w:rsid w:val="00500754"/>
    <w:rsid w:val="005008F8"/>
    <w:rsid w:val="00500942"/>
    <w:rsid w:val="00500E4D"/>
    <w:rsid w:val="005011C1"/>
    <w:rsid w:val="00501336"/>
    <w:rsid w:val="005013B0"/>
    <w:rsid w:val="0050145F"/>
    <w:rsid w:val="0050150B"/>
    <w:rsid w:val="005015EA"/>
    <w:rsid w:val="00501675"/>
    <w:rsid w:val="00501937"/>
    <w:rsid w:val="0050198C"/>
    <w:rsid w:val="00501A3C"/>
    <w:rsid w:val="00501B4E"/>
    <w:rsid w:val="00502333"/>
    <w:rsid w:val="0050233E"/>
    <w:rsid w:val="00502729"/>
    <w:rsid w:val="00502730"/>
    <w:rsid w:val="005027D6"/>
    <w:rsid w:val="005029E6"/>
    <w:rsid w:val="00503A40"/>
    <w:rsid w:val="00504809"/>
    <w:rsid w:val="0050517B"/>
    <w:rsid w:val="005055B1"/>
    <w:rsid w:val="00505821"/>
    <w:rsid w:val="00505BD3"/>
    <w:rsid w:val="0050608C"/>
    <w:rsid w:val="0050640C"/>
    <w:rsid w:val="005067E2"/>
    <w:rsid w:val="005069A9"/>
    <w:rsid w:val="00506AD1"/>
    <w:rsid w:val="00506C26"/>
    <w:rsid w:val="00507421"/>
    <w:rsid w:val="005079E9"/>
    <w:rsid w:val="00507C4F"/>
    <w:rsid w:val="0051043F"/>
    <w:rsid w:val="005105C2"/>
    <w:rsid w:val="00510880"/>
    <w:rsid w:val="00510AD7"/>
    <w:rsid w:val="00510B28"/>
    <w:rsid w:val="00510BDA"/>
    <w:rsid w:val="00510C78"/>
    <w:rsid w:val="00510C7B"/>
    <w:rsid w:val="00510EC8"/>
    <w:rsid w:val="005117D9"/>
    <w:rsid w:val="0051180B"/>
    <w:rsid w:val="00511AB7"/>
    <w:rsid w:val="00511B15"/>
    <w:rsid w:val="00511E6C"/>
    <w:rsid w:val="00511E99"/>
    <w:rsid w:val="00511FA9"/>
    <w:rsid w:val="005129BA"/>
    <w:rsid w:val="00512F0B"/>
    <w:rsid w:val="00512F44"/>
    <w:rsid w:val="00512F69"/>
    <w:rsid w:val="0051305E"/>
    <w:rsid w:val="005136AA"/>
    <w:rsid w:val="00513CA1"/>
    <w:rsid w:val="005141B5"/>
    <w:rsid w:val="005144DF"/>
    <w:rsid w:val="005146FE"/>
    <w:rsid w:val="005147F0"/>
    <w:rsid w:val="00514A03"/>
    <w:rsid w:val="00514C9D"/>
    <w:rsid w:val="00514EE9"/>
    <w:rsid w:val="00515132"/>
    <w:rsid w:val="005151A9"/>
    <w:rsid w:val="00515342"/>
    <w:rsid w:val="005153B3"/>
    <w:rsid w:val="00515401"/>
    <w:rsid w:val="0051559A"/>
    <w:rsid w:val="00515771"/>
    <w:rsid w:val="00515773"/>
    <w:rsid w:val="005159BD"/>
    <w:rsid w:val="00515A17"/>
    <w:rsid w:val="00515B2D"/>
    <w:rsid w:val="00515C83"/>
    <w:rsid w:val="00515E6D"/>
    <w:rsid w:val="005162F0"/>
    <w:rsid w:val="005163FF"/>
    <w:rsid w:val="00516CEF"/>
    <w:rsid w:val="00516E12"/>
    <w:rsid w:val="00517543"/>
    <w:rsid w:val="00517B72"/>
    <w:rsid w:val="00517C95"/>
    <w:rsid w:val="00517CD5"/>
    <w:rsid w:val="00517ED4"/>
    <w:rsid w:val="00520791"/>
    <w:rsid w:val="005208F5"/>
    <w:rsid w:val="00520C87"/>
    <w:rsid w:val="00520EF5"/>
    <w:rsid w:val="00520F24"/>
    <w:rsid w:val="00520F97"/>
    <w:rsid w:val="00521645"/>
    <w:rsid w:val="00521B60"/>
    <w:rsid w:val="00521BBA"/>
    <w:rsid w:val="00521E8F"/>
    <w:rsid w:val="00522484"/>
    <w:rsid w:val="005224B4"/>
    <w:rsid w:val="005226BD"/>
    <w:rsid w:val="00522D79"/>
    <w:rsid w:val="00522F1B"/>
    <w:rsid w:val="00523747"/>
    <w:rsid w:val="00523818"/>
    <w:rsid w:val="00523B72"/>
    <w:rsid w:val="00523F78"/>
    <w:rsid w:val="00524E57"/>
    <w:rsid w:val="00525427"/>
    <w:rsid w:val="00525806"/>
    <w:rsid w:val="005258FF"/>
    <w:rsid w:val="00525A26"/>
    <w:rsid w:val="0052619D"/>
    <w:rsid w:val="005264B2"/>
    <w:rsid w:val="005267C1"/>
    <w:rsid w:val="005268A2"/>
    <w:rsid w:val="005269C2"/>
    <w:rsid w:val="00526BDA"/>
    <w:rsid w:val="00526C38"/>
    <w:rsid w:val="005271C2"/>
    <w:rsid w:val="00527476"/>
    <w:rsid w:val="005278A9"/>
    <w:rsid w:val="00527D32"/>
    <w:rsid w:val="00527E18"/>
    <w:rsid w:val="005306C6"/>
    <w:rsid w:val="00530700"/>
    <w:rsid w:val="0053080C"/>
    <w:rsid w:val="00530B35"/>
    <w:rsid w:val="00530F47"/>
    <w:rsid w:val="00531056"/>
    <w:rsid w:val="00531818"/>
    <w:rsid w:val="0053183D"/>
    <w:rsid w:val="00531DF7"/>
    <w:rsid w:val="00531E03"/>
    <w:rsid w:val="00531F09"/>
    <w:rsid w:val="00531F6A"/>
    <w:rsid w:val="00532314"/>
    <w:rsid w:val="00532860"/>
    <w:rsid w:val="00532BFE"/>
    <w:rsid w:val="00532D10"/>
    <w:rsid w:val="00532DB5"/>
    <w:rsid w:val="00532ECE"/>
    <w:rsid w:val="005332C5"/>
    <w:rsid w:val="0053353C"/>
    <w:rsid w:val="00533584"/>
    <w:rsid w:val="0053374B"/>
    <w:rsid w:val="00533B53"/>
    <w:rsid w:val="00533B9A"/>
    <w:rsid w:val="00533DBF"/>
    <w:rsid w:val="00533DFB"/>
    <w:rsid w:val="00534067"/>
    <w:rsid w:val="0053429C"/>
    <w:rsid w:val="00534C22"/>
    <w:rsid w:val="00534DC5"/>
    <w:rsid w:val="00535A0F"/>
    <w:rsid w:val="00535A14"/>
    <w:rsid w:val="00535A48"/>
    <w:rsid w:val="00535B02"/>
    <w:rsid w:val="00535BD5"/>
    <w:rsid w:val="005363C6"/>
    <w:rsid w:val="00536A82"/>
    <w:rsid w:val="0053700C"/>
    <w:rsid w:val="00537223"/>
    <w:rsid w:val="00537663"/>
    <w:rsid w:val="00537B09"/>
    <w:rsid w:val="00537CFC"/>
    <w:rsid w:val="00537EC7"/>
    <w:rsid w:val="00540089"/>
    <w:rsid w:val="00540113"/>
    <w:rsid w:val="005404BC"/>
    <w:rsid w:val="0054066B"/>
    <w:rsid w:val="00540711"/>
    <w:rsid w:val="00540A32"/>
    <w:rsid w:val="00540CA2"/>
    <w:rsid w:val="00540F0B"/>
    <w:rsid w:val="00541013"/>
    <w:rsid w:val="00541249"/>
    <w:rsid w:val="00541945"/>
    <w:rsid w:val="00541B4B"/>
    <w:rsid w:val="00541BB1"/>
    <w:rsid w:val="00541CB4"/>
    <w:rsid w:val="00541DD2"/>
    <w:rsid w:val="00541DFD"/>
    <w:rsid w:val="00541E0D"/>
    <w:rsid w:val="0054232A"/>
    <w:rsid w:val="00542573"/>
    <w:rsid w:val="005425FC"/>
    <w:rsid w:val="0054269E"/>
    <w:rsid w:val="005426FB"/>
    <w:rsid w:val="00542845"/>
    <w:rsid w:val="00542880"/>
    <w:rsid w:val="00542B79"/>
    <w:rsid w:val="00542C0A"/>
    <w:rsid w:val="00542E0F"/>
    <w:rsid w:val="0054341D"/>
    <w:rsid w:val="00543618"/>
    <w:rsid w:val="005436A9"/>
    <w:rsid w:val="005436FA"/>
    <w:rsid w:val="00543760"/>
    <w:rsid w:val="00543A07"/>
    <w:rsid w:val="00543B98"/>
    <w:rsid w:val="00543BCF"/>
    <w:rsid w:val="00543C76"/>
    <w:rsid w:val="00543E59"/>
    <w:rsid w:val="00543FCC"/>
    <w:rsid w:val="00544223"/>
    <w:rsid w:val="00544331"/>
    <w:rsid w:val="005444DC"/>
    <w:rsid w:val="00544612"/>
    <w:rsid w:val="00544656"/>
    <w:rsid w:val="0054468B"/>
    <w:rsid w:val="00544B15"/>
    <w:rsid w:val="00544BDD"/>
    <w:rsid w:val="00544E67"/>
    <w:rsid w:val="00544F59"/>
    <w:rsid w:val="005450B7"/>
    <w:rsid w:val="005454C9"/>
    <w:rsid w:val="005456C7"/>
    <w:rsid w:val="0054576B"/>
    <w:rsid w:val="00545B15"/>
    <w:rsid w:val="00545C1E"/>
    <w:rsid w:val="00545E9B"/>
    <w:rsid w:val="00545FFF"/>
    <w:rsid w:val="0054629A"/>
    <w:rsid w:val="00546353"/>
    <w:rsid w:val="0054638E"/>
    <w:rsid w:val="00547391"/>
    <w:rsid w:val="00547426"/>
    <w:rsid w:val="00547784"/>
    <w:rsid w:val="00547CF5"/>
    <w:rsid w:val="005501DA"/>
    <w:rsid w:val="00550222"/>
    <w:rsid w:val="00550249"/>
    <w:rsid w:val="00550292"/>
    <w:rsid w:val="00550417"/>
    <w:rsid w:val="00550706"/>
    <w:rsid w:val="00550737"/>
    <w:rsid w:val="005507D5"/>
    <w:rsid w:val="00550CC4"/>
    <w:rsid w:val="00550D26"/>
    <w:rsid w:val="00550FC0"/>
    <w:rsid w:val="0055116A"/>
    <w:rsid w:val="00551181"/>
    <w:rsid w:val="00551B90"/>
    <w:rsid w:val="00551C49"/>
    <w:rsid w:val="00552964"/>
    <w:rsid w:val="00552A13"/>
    <w:rsid w:val="0055354E"/>
    <w:rsid w:val="00553606"/>
    <w:rsid w:val="005539F7"/>
    <w:rsid w:val="00553EF8"/>
    <w:rsid w:val="00554038"/>
    <w:rsid w:val="0055415A"/>
    <w:rsid w:val="00554468"/>
    <w:rsid w:val="00554554"/>
    <w:rsid w:val="00554993"/>
    <w:rsid w:val="00554B29"/>
    <w:rsid w:val="00554B7C"/>
    <w:rsid w:val="00554D2F"/>
    <w:rsid w:val="0055509D"/>
    <w:rsid w:val="00555258"/>
    <w:rsid w:val="00555468"/>
    <w:rsid w:val="00555917"/>
    <w:rsid w:val="005559E2"/>
    <w:rsid w:val="00556058"/>
    <w:rsid w:val="005561D0"/>
    <w:rsid w:val="00556428"/>
    <w:rsid w:val="005566B0"/>
    <w:rsid w:val="0055670B"/>
    <w:rsid w:val="00556AEB"/>
    <w:rsid w:val="00557D91"/>
    <w:rsid w:val="00560254"/>
    <w:rsid w:val="00560293"/>
    <w:rsid w:val="0056039F"/>
    <w:rsid w:val="0056040B"/>
    <w:rsid w:val="005606FA"/>
    <w:rsid w:val="00560788"/>
    <w:rsid w:val="00560864"/>
    <w:rsid w:val="00560A1A"/>
    <w:rsid w:val="00560A4C"/>
    <w:rsid w:val="00560AC9"/>
    <w:rsid w:val="00560F4B"/>
    <w:rsid w:val="00561161"/>
    <w:rsid w:val="00561379"/>
    <w:rsid w:val="0056159D"/>
    <w:rsid w:val="005620AC"/>
    <w:rsid w:val="0056259C"/>
    <w:rsid w:val="005628AE"/>
    <w:rsid w:val="00562B80"/>
    <w:rsid w:val="00562BD7"/>
    <w:rsid w:val="005635FA"/>
    <w:rsid w:val="00563662"/>
    <w:rsid w:val="00563670"/>
    <w:rsid w:val="005636FB"/>
    <w:rsid w:val="00563749"/>
    <w:rsid w:val="00563B51"/>
    <w:rsid w:val="00563E78"/>
    <w:rsid w:val="0056401D"/>
    <w:rsid w:val="005645AC"/>
    <w:rsid w:val="005646B9"/>
    <w:rsid w:val="005646C8"/>
    <w:rsid w:val="005647FC"/>
    <w:rsid w:val="00564800"/>
    <w:rsid w:val="00564C17"/>
    <w:rsid w:val="00564CC8"/>
    <w:rsid w:val="00564D93"/>
    <w:rsid w:val="005650E7"/>
    <w:rsid w:val="0056516F"/>
    <w:rsid w:val="005654FA"/>
    <w:rsid w:val="00565687"/>
    <w:rsid w:val="0056568C"/>
    <w:rsid w:val="00565B17"/>
    <w:rsid w:val="00565D6C"/>
    <w:rsid w:val="00565DC5"/>
    <w:rsid w:val="00565F0A"/>
    <w:rsid w:val="0056611E"/>
    <w:rsid w:val="0056634F"/>
    <w:rsid w:val="005663D4"/>
    <w:rsid w:val="005664F2"/>
    <w:rsid w:val="005668CF"/>
    <w:rsid w:val="00566990"/>
    <w:rsid w:val="00566B10"/>
    <w:rsid w:val="00567515"/>
    <w:rsid w:val="00567D77"/>
    <w:rsid w:val="00567D7B"/>
    <w:rsid w:val="00570621"/>
    <w:rsid w:val="00570F87"/>
    <w:rsid w:val="00571010"/>
    <w:rsid w:val="00571011"/>
    <w:rsid w:val="00571074"/>
    <w:rsid w:val="00571883"/>
    <w:rsid w:val="0057196E"/>
    <w:rsid w:val="00571A8A"/>
    <w:rsid w:val="00571DBD"/>
    <w:rsid w:val="00571ECC"/>
    <w:rsid w:val="005720E8"/>
    <w:rsid w:val="0057227E"/>
    <w:rsid w:val="00572506"/>
    <w:rsid w:val="00572777"/>
    <w:rsid w:val="00572812"/>
    <w:rsid w:val="00572D53"/>
    <w:rsid w:val="00572E62"/>
    <w:rsid w:val="005730AA"/>
    <w:rsid w:val="005730F7"/>
    <w:rsid w:val="00573187"/>
    <w:rsid w:val="005738EE"/>
    <w:rsid w:val="00573A66"/>
    <w:rsid w:val="00573ADF"/>
    <w:rsid w:val="00573D41"/>
    <w:rsid w:val="00574374"/>
    <w:rsid w:val="00574379"/>
    <w:rsid w:val="00574493"/>
    <w:rsid w:val="00574546"/>
    <w:rsid w:val="00574A31"/>
    <w:rsid w:val="00574E6D"/>
    <w:rsid w:val="005754B5"/>
    <w:rsid w:val="00575952"/>
    <w:rsid w:val="00575A9C"/>
    <w:rsid w:val="00575C19"/>
    <w:rsid w:val="00575DF5"/>
    <w:rsid w:val="00576178"/>
    <w:rsid w:val="00576AAD"/>
    <w:rsid w:val="00576C54"/>
    <w:rsid w:val="00576C7B"/>
    <w:rsid w:val="00576CD8"/>
    <w:rsid w:val="00576D8D"/>
    <w:rsid w:val="00576FD0"/>
    <w:rsid w:val="00577073"/>
    <w:rsid w:val="0057734F"/>
    <w:rsid w:val="00577669"/>
    <w:rsid w:val="005777E7"/>
    <w:rsid w:val="00577802"/>
    <w:rsid w:val="00577CFC"/>
    <w:rsid w:val="00580059"/>
    <w:rsid w:val="00580104"/>
    <w:rsid w:val="00580350"/>
    <w:rsid w:val="00580387"/>
    <w:rsid w:val="005806FF"/>
    <w:rsid w:val="00580C6A"/>
    <w:rsid w:val="00581313"/>
    <w:rsid w:val="005813C1"/>
    <w:rsid w:val="005814FA"/>
    <w:rsid w:val="00581892"/>
    <w:rsid w:val="00581D96"/>
    <w:rsid w:val="00581EF3"/>
    <w:rsid w:val="00581F29"/>
    <w:rsid w:val="00582328"/>
    <w:rsid w:val="00582380"/>
    <w:rsid w:val="005823E6"/>
    <w:rsid w:val="005831DD"/>
    <w:rsid w:val="005834E3"/>
    <w:rsid w:val="0058365B"/>
    <w:rsid w:val="00583BBC"/>
    <w:rsid w:val="00583D5C"/>
    <w:rsid w:val="00583F6B"/>
    <w:rsid w:val="005841C4"/>
    <w:rsid w:val="0058481A"/>
    <w:rsid w:val="00584F2D"/>
    <w:rsid w:val="0058527B"/>
    <w:rsid w:val="0058540A"/>
    <w:rsid w:val="00585DD9"/>
    <w:rsid w:val="00585E80"/>
    <w:rsid w:val="00585F04"/>
    <w:rsid w:val="005860B4"/>
    <w:rsid w:val="00586431"/>
    <w:rsid w:val="00586562"/>
    <w:rsid w:val="005865CD"/>
    <w:rsid w:val="005866DB"/>
    <w:rsid w:val="00586997"/>
    <w:rsid w:val="00586A73"/>
    <w:rsid w:val="00586BD2"/>
    <w:rsid w:val="00586C22"/>
    <w:rsid w:val="00586D74"/>
    <w:rsid w:val="00586F2B"/>
    <w:rsid w:val="00586F3F"/>
    <w:rsid w:val="005872D2"/>
    <w:rsid w:val="00587497"/>
    <w:rsid w:val="005879F4"/>
    <w:rsid w:val="00587AC5"/>
    <w:rsid w:val="00587F09"/>
    <w:rsid w:val="00587F74"/>
    <w:rsid w:val="00587FAF"/>
    <w:rsid w:val="005906B5"/>
    <w:rsid w:val="00590766"/>
    <w:rsid w:val="00591273"/>
    <w:rsid w:val="005916A4"/>
    <w:rsid w:val="00591754"/>
    <w:rsid w:val="00591BC9"/>
    <w:rsid w:val="00591E34"/>
    <w:rsid w:val="0059234D"/>
    <w:rsid w:val="0059274D"/>
    <w:rsid w:val="00592A55"/>
    <w:rsid w:val="00593654"/>
    <w:rsid w:val="00593A3D"/>
    <w:rsid w:val="00593B22"/>
    <w:rsid w:val="00593CA3"/>
    <w:rsid w:val="00593FFA"/>
    <w:rsid w:val="00594468"/>
    <w:rsid w:val="005944D7"/>
    <w:rsid w:val="005944E9"/>
    <w:rsid w:val="00594870"/>
    <w:rsid w:val="00594A0D"/>
    <w:rsid w:val="00594B3B"/>
    <w:rsid w:val="00595632"/>
    <w:rsid w:val="0059575D"/>
    <w:rsid w:val="00595981"/>
    <w:rsid w:val="00595A2D"/>
    <w:rsid w:val="00595B6A"/>
    <w:rsid w:val="00595C80"/>
    <w:rsid w:val="00595E8D"/>
    <w:rsid w:val="00595F15"/>
    <w:rsid w:val="00595FC4"/>
    <w:rsid w:val="00596281"/>
    <w:rsid w:val="0059648F"/>
    <w:rsid w:val="00596513"/>
    <w:rsid w:val="005966A2"/>
    <w:rsid w:val="00596B63"/>
    <w:rsid w:val="00596C3D"/>
    <w:rsid w:val="00596F0C"/>
    <w:rsid w:val="0059724D"/>
    <w:rsid w:val="005975B7"/>
    <w:rsid w:val="005977D6"/>
    <w:rsid w:val="00597950"/>
    <w:rsid w:val="00597C95"/>
    <w:rsid w:val="00597D27"/>
    <w:rsid w:val="00597ED1"/>
    <w:rsid w:val="00597F0D"/>
    <w:rsid w:val="005A0484"/>
    <w:rsid w:val="005A049E"/>
    <w:rsid w:val="005A0E94"/>
    <w:rsid w:val="005A0F88"/>
    <w:rsid w:val="005A0FED"/>
    <w:rsid w:val="005A13AC"/>
    <w:rsid w:val="005A1405"/>
    <w:rsid w:val="005A1685"/>
    <w:rsid w:val="005A174D"/>
    <w:rsid w:val="005A1875"/>
    <w:rsid w:val="005A1A74"/>
    <w:rsid w:val="005A1B68"/>
    <w:rsid w:val="005A1E98"/>
    <w:rsid w:val="005A20B1"/>
    <w:rsid w:val="005A25BD"/>
    <w:rsid w:val="005A265F"/>
    <w:rsid w:val="005A2994"/>
    <w:rsid w:val="005A2BEA"/>
    <w:rsid w:val="005A2FD0"/>
    <w:rsid w:val="005A30F9"/>
    <w:rsid w:val="005A3524"/>
    <w:rsid w:val="005A36F6"/>
    <w:rsid w:val="005A3A8C"/>
    <w:rsid w:val="005A40B3"/>
    <w:rsid w:val="005A40DA"/>
    <w:rsid w:val="005A4338"/>
    <w:rsid w:val="005A4596"/>
    <w:rsid w:val="005A4DF6"/>
    <w:rsid w:val="005A5355"/>
    <w:rsid w:val="005A5379"/>
    <w:rsid w:val="005A588B"/>
    <w:rsid w:val="005A59D7"/>
    <w:rsid w:val="005A5C37"/>
    <w:rsid w:val="005A5ED6"/>
    <w:rsid w:val="005A5FF2"/>
    <w:rsid w:val="005A6063"/>
    <w:rsid w:val="005A6103"/>
    <w:rsid w:val="005A6133"/>
    <w:rsid w:val="005A63D9"/>
    <w:rsid w:val="005A64D9"/>
    <w:rsid w:val="005A68C8"/>
    <w:rsid w:val="005A6A24"/>
    <w:rsid w:val="005A6B08"/>
    <w:rsid w:val="005A6EA2"/>
    <w:rsid w:val="005A7001"/>
    <w:rsid w:val="005A722B"/>
    <w:rsid w:val="005A728D"/>
    <w:rsid w:val="005A798D"/>
    <w:rsid w:val="005A7998"/>
    <w:rsid w:val="005A7E32"/>
    <w:rsid w:val="005B0076"/>
    <w:rsid w:val="005B00F4"/>
    <w:rsid w:val="005B02DD"/>
    <w:rsid w:val="005B02F4"/>
    <w:rsid w:val="005B0850"/>
    <w:rsid w:val="005B088D"/>
    <w:rsid w:val="005B0A7C"/>
    <w:rsid w:val="005B0A97"/>
    <w:rsid w:val="005B1139"/>
    <w:rsid w:val="005B144D"/>
    <w:rsid w:val="005B1580"/>
    <w:rsid w:val="005B17BC"/>
    <w:rsid w:val="005B192E"/>
    <w:rsid w:val="005B1B92"/>
    <w:rsid w:val="005B1BCC"/>
    <w:rsid w:val="005B204F"/>
    <w:rsid w:val="005B23E3"/>
    <w:rsid w:val="005B277F"/>
    <w:rsid w:val="005B28A4"/>
    <w:rsid w:val="005B2925"/>
    <w:rsid w:val="005B29B7"/>
    <w:rsid w:val="005B29BF"/>
    <w:rsid w:val="005B2B5C"/>
    <w:rsid w:val="005B2D69"/>
    <w:rsid w:val="005B3036"/>
    <w:rsid w:val="005B3392"/>
    <w:rsid w:val="005B3439"/>
    <w:rsid w:val="005B3704"/>
    <w:rsid w:val="005B3AC0"/>
    <w:rsid w:val="005B3B36"/>
    <w:rsid w:val="005B3F27"/>
    <w:rsid w:val="005B4357"/>
    <w:rsid w:val="005B4595"/>
    <w:rsid w:val="005B46AC"/>
    <w:rsid w:val="005B47B1"/>
    <w:rsid w:val="005B4A1D"/>
    <w:rsid w:val="005B4E29"/>
    <w:rsid w:val="005B4E35"/>
    <w:rsid w:val="005B5043"/>
    <w:rsid w:val="005B520F"/>
    <w:rsid w:val="005B54B8"/>
    <w:rsid w:val="005B56CA"/>
    <w:rsid w:val="005B593A"/>
    <w:rsid w:val="005B59BB"/>
    <w:rsid w:val="005B5D32"/>
    <w:rsid w:val="005B60A3"/>
    <w:rsid w:val="005B63F0"/>
    <w:rsid w:val="005B648A"/>
    <w:rsid w:val="005B66C4"/>
    <w:rsid w:val="005B6F6E"/>
    <w:rsid w:val="005B76AB"/>
    <w:rsid w:val="005B777F"/>
    <w:rsid w:val="005B77A8"/>
    <w:rsid w:val="005B7AB7"/>
    <w:rsid w:val="005B7ABE"/>
    <w:rsid w:val="005B7D12"/>
    <w:rsid w:val="005B7D2C"/>
    <w:rsid w:val="005B7F98"/>
    <w:rsid w:val="005C02F8"/>
    <w:rsid w:val="005C0769"/>
    <w:rsid w:val="005C07ED"/>
    <w:rsid w:val="005C08F7"/>
    <w:rsid w:val="005C0D9D"/>
    <w:rsid w:val="005C0F10"/>
    <w:rsid w:val="005C105F"/>
    <w:rsid w:val="005C10DF"/>
    <w:rsid w:val="005C136E"/>
    <w:rsid w:val="005C14A2"/>
    <w:rsid w:val="005C16C2"/>
    <w:rsid w:val="005C1815"/>
    <w:rsid w:val="005C1A41"/>
    <w:rsid w:val="005C1E44"/>
    <w:rsid w:val="005C20EF"/>
    <w:rsid w:val="005C2165"/>
    <w:rsid w:val="005C24AB"/>
    <w:rsid w:val="005C29A0"/>
    <w:rsid w:val="005C2F06"/>
    <w:rsid w:val="005C2F90"/>
    <w:rsid w:val="005C388A"/>
    <w:rsid w:val="005C3EB1"/>
    <w:rsid w:val="005C4002"/>
    <w:rsid w:val="005C421D"/>
    <w:rsid w:val="005C4421"/>
    <w:rsid w:val="005C4B8E"/>
    <w:rsid w:val="005C5532"/>
    <w:rsid w:val="005C560C"/>
    <w:rsid w:val="005C570A"/>
    <w:rsid w:val="005C58D2"/>
    <w:rsid w:val="005C59E2"/>
    <w:rsid w:val="005C5A07"/>
    <w:rsid w:val="005C5AA0"/>
    <w:rsid w:val="005C63E6"/>
    <w:rsid w:val="005C6408"/>
    <w:rsid w:val="005C6E57"/>
    <w:rsid w:val="005C72E8"/>
    <w:rsid w:val="005C780F"/>
    <w:rsid w:val="005C783F"/>
    <w:rsid w:val="005C78AB"/>
    <w:rsid w:val="005C794E"/>
    <w:rsid w:val="005C7BC0"/>
    <w:rsid w:val="005C7E4B"/>
    <w:rsid w:val="005D0954"/>
    <w:rsid w:val="005D09CA"/>
    <w:rsid w:val="005D0AF7"/>
    <w:rsid w:val="005D0BB8"/>
    <w:rsid w:val="005D0CCB"/>
    <w:rsid w:val="005D103D"/>
    <w:rsid w:val="005D10E9"/>
    <w:rsid w:val="005D121C"/>
    <w:rsid w:val="005D1489"/>
    <w:rsid w:val="005D16B9"/>
    <w:rsid w:val="005D1ACC"/>
    <w:rsid w:val="005D1AFF"/>
    <w:rsid w:val="005D1B9E"/>
    <w:rsid w:val="005D2096"/>
    <w:rsid w:val="005D20D5"/>
    <w:rsid w:val="005D2968"/>
    <w:rsid w:val="005D2B49"/>
    <w:rsid w:val="005D2D5A"/>
    <w:rsid w:val="005D2F05"/>
    <w:rsid w:val="005D35E9"/>
    <w:rsid w:val="005D3627"/>
    <w:rsid w:val="005D3727"/>
    <w:rsid w:val="005D3760"/>
    <w:rsid w:val="005D38C2"/>
    <w:rsid w:val="005D3CAE"/>
    <w:rsid w:val="005D3F14"/>
    <w:rsid w:val="005D40D9"/>
    <w:rsid w:val="005D448A"/>
    <w:rsid w:val="005D44D2"/>
    <w:rsid w:val="005D48F1"/>
    <w:rsid w:val="005D49C2"/>
    <w:rsid w:val="005D4A23"/>
    <w:rsid w:val="005D4C96"/>
    <w:rsid w:val="005D4E35"/>
    <w:rsid w:val="005D4E74"/>
    <w:rsid w:val="005D500A"/>
    <w:rsid w:val="005D504B"/>
    <w:rsid w:val="005D508D"/>
    <w:rsid w:val="005D5A0C"/>
    <w:rsid w:val="005D5A8F"/>
    <w:rsid w:val="005D5B2F"/>
    <w:rsid w:val="005D5C75"/>
    <w:rsid w:val="005D6028"/>
    <w:rsid w:val="005D6097"/>
    <w:rsid w:val="005D629E"/>
    <w:rsid w:val="005D6303"/>
    <w:rsid w:val="005D6959"/>
    <w:rsid w:val="005D7A13"/>
    <w:rsid w:val="005D7CC3"/>
    <w:rsid w:val="005D7CF0"/>
    <w:rsid w:val="005D7ED0"/>
    <w:rsid w:val="005E00EF"/>
    <w:rsid w:val="005E0397"/>
    <w:rsid w:val="005E05AF"/>
    <w:rsid w:val="005E07CA"/>
    <w:rsid w:val="005E0816"/>
    <w:rsid w:val="005E0C03"/>
    <w:rsid w:val="005E0EAB"/>
    <w:rsid w:val="005E0EF7"/>
    <w:rsid w:val="005E1473"/>
    <w:rsid w:val="005E14FE"/>
    <w:rsid w:val="005E1C53"/>
    <w:rsid w:val="005E1D24"/>
    <w:rsid w:val="005E1F1A"/>
    <w:rsid w:val="005E2234"/>
    <w:rsid w:val="005E246A"/>
    <w:rsid w:val="005E253C"/>
    <w:rsid w:val="005E28E9"/>
    <w:rsid w:val="005E292D"/>
    <w:rsid w:val="005E2BD8"/>
    <w:rsid w:val="005E3094"/>
    <w:rsid w:val="005E3116"/>
    <w:rsid w:val="005E3329"/>
    <w:rsid w:val="005E3369"/>
    <w:rsid w:val="005E3377"/>
    <w:rsid w:val="005E34BF"/>
    <w:rsid w:val="005E34D7"/>
    <w:rsid w:val="005E37F0"/>
    <w:rsid w:val="005E3C9C"/>
    <w:rsid w:val="005E3DD9"/>
    <w:rsid w:val="005E415F"/>
    <w:rsid w:val="005E4210"/>
    <w:rsid w:val="005E441D"/>
    <w:rsid w:val="005E459F"/>
    <w:rsid w:val="005E45CC"/>
    <w:rsid w:val="005E461A"/>
    <w:rsid w:val="005E4CB4"/>
    <w:rsid w:val="005E4F92"/>
    <w:rsid w:val="005E4FDF"/>
    <w:rsid w:val="005E5265"/>
    <w:rsid w:val="005E52F9"/>
    <w:rsid w:val="005E553E"/>
    <w:rsid w:val="005E5659"/>
    <w:rsid w:val="005E58FB"/>
    <w:rsid w:val="005E5EF1"/>
    <w:rsid w:val="005E6B99"/>
    <w:rsid w:val="005E6E8D"/>
    <w:rsid w:val="005E706A"/>
    <w:rsid w:val="005E71D5"/>
    <w:rsid w:val="005E7213"/>
    <w:rsid w:val="005E766B"/>
    <w:rsid w:val="005E7766"/>
    <w:rsid w:val="005E78BA"/>
    <w:rsid w:val="005E7B9F"/>
    <w:rsid w:val="005E7E47"/>
    <w:rsid w:val="005F02C3"/>
    <w:rsid w:val="005F0661"/>
    <w:rsid w:val="005F0662"/>
    <w:rsid w:val="005F0666"/>
    <w:rsid w:val="005F08DF"/>
    <w:rsid w:val="005F100B"/>
    <w:rsid w:val="005F1053"/>
    <w:rsid w:val="005F1219"/>
    <w:rsid w:val="005F1387"/>
    <w:rsid w:val="005F1480"/>
    <w:rsid w:val="005F1671"/>
    <w:rsid w:val="005F1793"/>
    <w:rsid w:val="005F17F8"/>
    <w:rsid w:val="005F1811"/>
    <w:rsid w:val="005F1AA4"/>
    <w:rsid w:val="005F1B2A"/>
    <w:rsid w:val="005F1D06"/>
    <w:rsid w:val="005F1E8A"/>
    <w:rsid w:val="005F1F70"/>
    <w:rsid w:val="005F22B1"/>
    <w:rsid w:val="005F24BB"/>
    <w:rsid w:val="005F275E"/>
    <w:rsid w:val="005F2CA4"/>
    <w:rsid w:val="005F2CE3"/>
    <w:rsid w:val="005F2F33"/>
    <w:rsid w:val="005F363D"/>
    <w:rsid w:val="005F39A1"/>
    <w:rsid w:val="005F3EF1"/>
    <w:rsid w:val="005F3F06"/>
    <w:rsid w:val="005F42B5"/>
    <w:rsid w:val="005F43E6"/>
    <w:rsid w:val="005F4623"/>
    <w:rsid w:val="005F4724"/>
    <w:rsid w:val="005F476F"/>
    <w:rsid w:val="005F4D23"/>
    <w:rsid w:val="005F4F4D"/>
    <w:rsid w:val="005F509B"/>
    <w:rsid w:val="005F50EB"/>
    <w:rsid w:val="005F5545"/>
    <w:rsid w:val="005F5560"/>
    <w:rsid w:val="005F5B5F"/>
    <w:rsid w:val="005F5BFD"/>
    <w:rsid w:val="005F5E02"/>
    <w:rsid w:val="005F5E47"/>
    <w:rsid w:val="005F5EF7"/>
    <w:rsid w:val="005F616B"/>
    <w:rsid w:val="005F61DD"/>
    <w:rsid w:val="005F6936"/>
    <w:rsid w:val="005F6ABF"/>
    <w:rsid w:val="005F6C7C"/>
    <w:rsid w:val="005F713D"/>
    <w:rsid w:val="005F7325"/>
    <w:rsid w:val="005F7799"/>
    <w:rsid w:val="005F79AD"/>
    <w:rsid w:val="00600BC4"/>
    <w:rsid w:val="00600D99"/>
    <w:rsid w:val="00600E45"/>
    <w:rsid w:val="00600EF3"/>
    <w:rsid w:val="0060190A"/>
    <w:rsid w:val="00601A4D"/>
    <w:rsid w:val="00601A7B"/>
    <w:rsid w:val="00601C14"/>
    <w:rsid w:val="00601E12"/>
    <w:rsid w:val="0060218D"/>
    <w:rsid w:val="00602593"/>
    <w:rsid w:val="00602760"/>
    <w:rsid w:val="00602A69"/>
    <w:rsid w:val="006032BB"/>
    <w:rsid w:val="006034EF"/>
    <w:rsid w:val="00603A13"/>
    <w:rsid w:val="00603A99"/>
    <w:rsid w:val="00603C83"/>
    <w:rsid w:val="00603E8B"/>
    <w:rsid w:val="00603EF4"/>
    <w:rsid w:val="00604186"/>
    <w:rsid w:val="0060479F"/>
    <w:rsid w:val="00604855"/>
    <w:rsid w:val="00604A45"/>
    <w:rsid w:val="00604A71"/>
    <w:rsid w:val="00604EC4"/>
    <w:rsid w:val="0060507F"/>
    <w:rsid w:val="00605113"/>
    <w:rsid w:val="00605359"/>
    <w:rsid w:val="0060538F"/>
    <w:rsid w:val="00605F37"/>
    <w:rsid w:val="00605FDB"/>
    <w:rsid w:val="00606531"/>
    <w:rsid w:val="006065CD"/>
    <w:rsid w:val="00606657"/>
    <w:rsid w:val="00606D26"/>
    <w:rsid w:val="0060719C"/>
    <w:rsid w:val="006071ED"/>
    <w:rsid w:val="00607445"/>
    <w:rsid w:val="00607832"/>
    <w:rsid w:val="00607A7C"/>
    <w:rsid w:val="00607AF4"/>
    <w:rsid w:val="00607B94"/>
    <w:rsid w:val="006103BB"/>
    <w:rsid w:val="00610513"/>
    <w:rsid w:val="00610525"/>
    <w:rsid w:val="006108B1"/>
    <w:rsid w:val="00610BAD"/>
    <w:rsid w:val="00610F2D"/>
    <w:rsid w:val="00611076"/>
    <w:rsid w:val="00611193"/>
    <w:rsid w:val="00611954"/>
    <w:rsid w:val="00611F1C"/>
    <w:rsid w:val="006121C9"/>
    <w:rsid w:val="0061239E"/>
    <w:rsid w:val="0061249B"/>
    <w:rsid w:val="006125AE"/>
    <w:rsid w:val="00612714"/>
    <w:rsid w:val="00612C43"/>
    <w:rsid w:val="0061308D"/>
    <w:rsid w:val="0061331F"/>
    <w:rsid w:val="0061335F"/>
    <w:rsid w:val="006138AD"/>
    <w:rsid w:val="00613B45"/>
    <w:rsid w:val="00613CB2"/>
    <w:rsid w:val="00613ECF"/>
    <w:rsid w:val="0061496A"/>
    <w:rsid w:val="00614D7F"/>
    <w:rsid w:val="006150A9"/>
    <w:rsid w:val="00615498"/>
    <w:rsid w:val="00615929"/>
    <w:rsid w:val="00615979"/>
    <w:rsid w:val="00615991"/>
    <w:rsid w:val="00615D97"/>
    <w:rsid w:val="006161CD"/>
    <w:rsid w:val="00616256"/>
    <w:rsid w:val="006162F2"/>
    <w:rsid w:val="0061644E"/>
    <w:rsid w:val="006164B4"/>
    <w:rsid w:val="006169B8"/>
    <w:rsid w:val="00616BCC"/>
    <w:rsid w:val="00616D11"/>
    <w:rsid w:val="00616D13"/>
    <w:rsid w:val="00616D4A"/>
    <w:rsid w:val="00616DB3"/>
    <w:rsid w:val="00616DC8"/>
    <w:rsid w:val="00617489"/>
    <w:rsid w:val="00617750"/>
    <w:rsid w:val="00617AAC"/>
    <w:rsid w:val="006200DD"/>
    <w:rsid w:val="0062064D"/>
    <w:rsid w:val="0062071A"/>
    <w:rsid w:val="006207B6"/>
    <w:rsid w:val="00620B25"/>
    <w:rsid w:val="00620F3A"/>
    <w:rsid w:val="0062175F"/>
    <w:rsid w:val="00621846"/>
    <w:rsid w:val="006219C9"/>
    <w:rsid w:val="006221B5"/>
    <w:rsid w:val="006221B7"/>
    <w:rsid w:val="00622425"/>
    <w:rsid w:val="00622488"/>
    <w:rsid w:val="00622865"/>
    <w:rsid w:val="0062289A"/>
    <w:rsid w:val="00622CCC"/>
    <w:rsid w:val="00622D11"/>
    <w:rsid w:val="00622E61"/>
    <w:rsid w:val="00622E83"/>
    <w:rsid w:val="00622F16"/>
    <w:rsid w:val="0062344E"/>
    <w:rsid w:val="00623A0C"/>
    <w:rsid w:val="00623B6B"/>
    <w:rsid w:val="00623C37"/>
    <w:rsid w:val="00623CC6"/>
    <w:rsid w:val="00623CD3"/>
    <w:rsid w:val="00624307"/>
    <w:rsid w:val="00624467"/>
    <w:rsid w:val="00624BDA"/>
    <w:rsid w:val="00624D5C"/>
    <w:rsid w:val="00624DE1"/>
    <w:rsid w:val="006252B7"/>
    <w:rsid w:val="006254E1"/>
    <w:rsid w:val="00625566"/>
    <w:rsid w:val="00625973"/>
    <w:rsid w:val="00625AB8"/>
    <w:rsid w:val="00625AF5"/>
    <w:rsid w:val="00625CDB"/>
    <w:rsid w:val="00625DC5"/>
    <w:rsid w:val="00625EC3"/>
    <w:rsid w:val="006263D6"/>
    <w:rsid w:val="00626831"/>
    <w:rsid w:val="00626DD3"/>
    <w:rsid w:val="00626E82"/>
    <w:rsid w:val="00626FA8"/>
    <w:rsid w:val="0062734D"/>
    <w:rsid w:val="006274CB"/>
    <w:rsid w:val="00627A1F"/>
    <w:rsid w:val="00627B7E"/>
    <w:rsid w:val="00627BC2"/>
    <w:rsid w:val="00627D32"/>
    <w:rsid w:val="00630142"/>
    <w:rsid w:val="0063035C"/>
    <w:rsid w:val="00630426"/>
    <w:rsid w:val="0063043C"/>
    <w:rsid w:val="006304EF"/>
    <w:rsid w:val="006304F1"/>
    <w:rsid w:val="00630CEF"/>
    <w:rsid w:val="00630D7D"/>
    <w:rsid w:val="00630D8B"/>
    <w:rsid w:val="00631090"/>
    <w:rsid w:val="006310AE"/>
    <w:rsid w:val="0063184F"/>
    <w:rsid w:val="006319ED"/>
    <w:rsid w:val="00631BD6"/>
    <w:rsid w:val="00631C8F"/>
    <w:rsid w:val="00631D53"/>
    <w:rsid w:val="00632106"/>
    <w:rsid w:val="006322E9"/>
    <w:rsid w:val="00633051"/>
    <w:rsid w:val="006335F5"/>
    <w:rsid w:val="00633A6C"/>
    <w:rsid w:val="00633BAA"/>
    <w:rsid w:val="00633D63"/>
    <w:rsid w:val="00634595"/>
    <w:rsid w:val="006346A2"/>
    <w:rsid w:val="00634B7A"/>
    <w:rsid w:val="00634BCA"/>
    <w:rsid w:val="00635046"/>
    <w:rsid w:val="00635493"/>
    <w:rsid w:val="00635699"/>
    <w:rsid w:val="00635775"/>
    <w:rsid w:val="006357E2"/>
    <w:rsid w:val="00635D22"/>
    <w:rsid w:val="00635E3E"/>
    <w:rsid w:val="00635F41"/>
    <w:rsid w:val="00636AB3"/>
    <w:rsid w:val="00636B27"/>
    <w:rsid w:val="00636F58"/>
    <w:rsid w:val="00637043"/>
    <w:rsid w:val="00637181"/>
    <w:rsid w:val="00637387"/>
    <w:rsid w:val="006373AF"/>
    <w:rsid w:val="00637452"/>
    <w:rsid w:val="00637484"/>
    <w:rsid w:val="00637E0C"/>
    <w:rsid w:val="00637F39"/>
    <w:rsid w:val="0064026D"/>
    <w:rsid w:val="006402AC"/>
    <w:rsid w:val="00640300"/>
    <w:rsid w:val="006405E9"/>
    <w:rsid w:val="0064085A"/>
    <w:rsid w:val="00640C11"/>
    <w:rsid w:val="00640C89"/>
    <w:rsid w:val="00640CCD"/>
    <w:rsid w:val="00640F2E"/>
    <w:rsid w:val="006411FF"/>
    <w:rsid w:val="0064126A"/>
    <w:rsid w:val="006412F8"/>
    <w:rsid w:val="00641883"/>
    <w:rsid w:val="00641AEE"/>
    <w:rsid w:val="00641EA0"/>
    <w:rsid w:val="006420CE"/>
    <w:rsid w:val="006423FF"/>
    <w:rsid w:val="00642495"/>
    <w:rsid w:val="00642B8E"/>
    <w:rsid w:val="00642C8E"/>
    <w:rsid w:val="00642D98"/>
    <w:rsid w:val="006430BE"/>
    <w:rsid w:val="006431C1"/>
    <w:rsid w:val="0064329E"/>
    <w:rsid w:val="006432F6"/>
    <w:rsid w:val="006435AF"/>
    <w:rsid w:val="006437E2"/>
    <w:rsid w:val="00643942"/>
    <w:rsid w:val="00643C40"/>
    <w:rsid w:val="006440AC"/>
    <w:rsid w:val="0064465B"/>
    <w:rsid w:val="006447F5"/>
    <w:rsid w:val="00644894"/>
    <w:rsid w:val="00644A6C"/>
    <w:rsid w:val="00644CFE"/>
    <w:rsid w:val="00644DF2"/>
    <w:rsid w:val="00644FE1"/>
    <w:rsid w:val="00645138"/>
    <w:rsid w:val="0064548C"/>
    <w:rsid w:val="0064572B"/>
    <w:rsid w:val="00645900"/>
    <w:rsid w:val="00645BEB"/>
    <w:rsid w:val="00645DBD"/>
    <w:rsid w:val="0064624F"/>
    <w:rsid w:val="0064625B"/>
    <w:rsid w:val="00646360"/>
    <w:rsid w:val="006467B7"/>
    <w:rsid w:val="00646869"/>
    <w:rsid w:val="0064694B"/>
    <w:rsid w:val="0064696F"/>
    <w:rsid w:val="00646993"/>
    <w:rsid w:val="006469C2"/>
    <w:rsid w:val="00646EA8"/>
    <w:rsid w:val="006471DE"/>
    <w:rsid w:val="0064729B"/>
    <w:rsid w:val="00647313"/>
    <w:rsid w:val="00647DF3"/>
    <w:rsid w:val="006501B5"/>
    <w:rsid w:val="00650812"/>
    <w:rsid w:val="00650951"/>
    <w:rsid w:val="00650DBA"/>
    <w:rsid w:val="006510B4"/>
    <w:rsid w:val="006510BC"/>
    <w:rsid w:val="0065155B"/>
    <w:rsid w:val="00651BA6"/>
    <w:rsid w:val="0065238B"/>
    <w:rsid w:val="00652A0B"/>
    <w:rsid w:val="00652A8E"/>
    <w:rsid w:val="00652E14"/>
    <w:rsid w:val="0065336F"/>
    <w:rsid w:val="0065347B"/>
    <w:rsid w:val="0065354E"/>
    <w:rsid w:val="00653845"/>
    <w:rsid w:val="00653BC5"/>
    <w:rsid w:val="00653FD6"/>
    <w:rsid w:val="00654161"/>
    <w:rsid w:val="0065438E"/>
    <w:rsid w:val="0065448F"/>
    <w:rsid w:val="006545E0"/>
    <w:rsid w:val="00654825"/>
    <w:rsid w:val="00654A33"/>
    <w:rsid w:val="00654E5D"/>
    <w:rsid w:val="00654F48"/>
    <w:rsid w:val="00655279"/>
    <w:rsid w:val="00655347"/>
    <w:rsid w:val="006558A4"/>
    <w:rsid w:val="00655BFD"/>
    <w:rsid w:val="00655CD3"/>
    <w:rsid w:val="00655F4D"/>
    <w:rsid w:val="00655FFF"/>
    <w:rsid w:val="006560A7"/>
    <w:rsid w:val="006561C5"/>
    <w:rsid w:val="006562D8"/>
    <w:rsid w:val="00656642"/>
    <w:rsid w:val="006566B7"/>
    <w:rsid w:val="0065678D"/>
    <w:rsid w:val="0065680F"/>
    <w:rsid w:val="00656816"/>
    <w:rsid w:val="00656929"/>
    <w:rsid w:val="00656B22"/>
    <w:rsid w:val="006574E4"/>
    <w:rsid w:val="006577D3"/>
    <w:rsid w:val="00657A55"/>
    <w:rsid w:val="00657E91"/>
    <w:rsid w:val="00657EA6"/>
    <w:rsid w:val="00660502"/>
    <w:rsid w:val="00660A43"/>
    <w:rsid w:val="00660F99"/>
    <w:rsid w:val="006612D6"/>
    <w:rsid w:val="00661631"/>
    <w:rsid w:val="00661E60"/>
    <w:rsid w:val="00661FB2"/>
    <w:rsid w:val="006625CF"/>
    <w:rsid w:val="00662645"/>
    <w:rsid w:val="00662672"/>
    <w:rsid w:val="006626B2"/>
    <w:rsid w:val="00662754"/>
    <w:rsid w:val="006630FE"/>
    <w:rsid w:val="0066362C"/>
    <w:rsid w:val="00663AEE"/>
    <w:rsid w:val="00663B38"/>
    <w:rsid w:val="00663B67"/>
    <w:rsid w:val="00663B8F"/>
    <w:rsid w:val="00663C39"/>
    <w:rsid w:val="00663D10"/>
    <w:rsid w:val="00663EB3"/>
    <w:rsid w:val="00663EE2"/>
    <w:rsid w:val="006642BF"/>
    <w:rsid w:val="0066490C"/>
    <w:rsid w:val="00664D46"/>
    <w:rsid w:val="006654F7"/>
    <w:rsid w:val="006657BE"/>
    <w:rsid w:val="0066584A"/>
    <w:rsid w:val="0066607B"/>
    <w:rsid w:val="006660F2"/>
    <w:rsid w:val="006664A1"/>
    <w:rsid w:val="006668DC"/>
    <w:rsid w:val="00666AE4"/>
    <w:rsid w:val="00666C53"/>
    <w:rsid w:val="00666D09"/>
    <w:rsid w:val="00666E95"/>
    <w:rsid w:val="00666FB8"/>
    <w:rsid w:val="00667137"/>
    <w:rsid w:val="0066714E"/>
    <w:rsid w:val="006672F1"/>
    <w:rsid w:val="00667456"/>
    <w:rsid w:val="006674E5"/>
    <w:rsid w:val="006676CD"/>
    <w:rsid w:val="00667E2E"/>
    <w:rsid w:val="0067016E"/>
    <w:rsid w:val="006701AA"/>
    <w:rsid w:val="0067032F"/>
    <w:rsid w:val="006707F9"/>
    <w:rsid w:val="00670A9A"/>
    <w:rsid w:val="00670D7F"/>
    <w:rsid w:val="0067122B"/>
    <w:rsid w:val="0067127C"/>
    <w:rsid w:val="00671800"/>
    <w:rsid w:val="0067198C"/>
    <w:rsid w:val="00671AF6"/>
    <w:rsid w:val="00671CCE"/>
    <w:rsid w:val="006724E3"/>
    <w:rsid w:val="0067269E"/>
    <w:rsid w:val="006729D7"/>
    <w:rsid w:val="00673387"/>
    <w:rsid w:val="006733BA"/>
    <w:rsid w:val="0067369C"/>
    <w:rsid w:val="00673859"/>
    <w:rsid w:val="00673D5E"/>
    <w:rsid w:val="00674346"/>
    <w:rsid w:val="00674A15"/>
    <w:rsid w:val="00674B08"/>
    <w:rsid w:val="00674F3E"/>
    <w:rsid w:val="00675531"/>
    <w:rsid w:val="00675C3F"/>
    <w:rsid w:val="0067612E"/>
    <w:rsid w:val="00676B63"/>
    <w:rsid w:val="00676C0A"/>
    <w:rsid w:val="00676EC3"/>
    <w:rsid w:val="00676EF0"/>
    <w:rsid w:val="00676F3B"/>
    <w:rsid w:val="00677111"/>
    <w:rsid w:val="0067745C"/>
    <w:rsid w:val="006774EE"/>
    <w:rsid w:val="00677555"/>
    <w:rsid w:val="006775AE"/>
    <w:rsid w:val="00677646"/>
    <w:rsid w:val="0067775F"/>
    <w:rsid w:val="00677A45"/>
    <w:rsid w:val="00677FDC"/>
    <w:rsid w:val="0068018D"/>
    <w:rsid w:val="006801FC"/>
    <w:rsid w:val="00680BED"/>
    <w:rsid w:val="00680C48"/>
    <w:rsid w:val="00680ECC"/>
    <w:rsid w:val="00681122"/>
    <w:rsid w:val="0068121F"/>
    <w:rsid w:val="0068152C"/>
    <w:rsid w:val="00681A83"/>
    <w:rsid w:val="00682284"/>
    <w:rsid w:val="0068258A"/>
    <w:rsid w:val="0068282C"/>
    <w:rsid w:val="006829B0"/>
    <w:rsid w:val="006829BA"/>
    <w:rsid w:val="006829E1"/>
    <w:rsid w:val="00682C0E"/>
    <w:rsid w:val="00682D17"/>
    <w:rsid w:val="0068343C"/>
    <w:rsid w:val="00683669"/>
    <w:rsid w:val="00683787"/>
    <w:rsid w:val="00683C47"/>
    <w:rsid w:val="00683D49"/>
    <w:rsid w:val="00684051"/>
    <w:rsid w:val="006841DF"/>
    <w:rsid w:val="00684337"/>
    <w:rsid w:val="00684440"/>
    <w:rsid w:val="006844D4"/>
    <w:rsid w:val="006844D7"/>
    <w:rsid w:val="00684501"/>
    <w:rsid w:val="00684658"/>
    <w:rsid w:val="006849FC"/>
    <w:rsid w:val="00684AF3"/>
    <w:rsid w:val="00684CC7"/>
    <w:rsid w:val="006850AA"/>
    <w:rsid w:val="006850B1"/>
    <w:rsid w:val="00685548"/>
    <w:rsid w:val="00685819"/>
    <w:rsid w:val="00685BD0"/>
    <w:rsid w:val="00685D20"/>
    <w:rsid w:val="00685D6A"/>
    <w:rsid w:val="00685E5B"/>
    <w:rsid w:val="00686188"/>
    <w:rsid w:val="00686519"/>
    <w:rsid w:val="0068672A"/>
    <w:rsid w:val="0068695E"/>
    <w:rsid w:val="00686D10"/>
    <w:rsid w:val="006872F7"/>
    <w:rsid w:val="0068734D"/>
    <w:rsid w:val="006879B3"/>
    <w:rsid w:val="00687B38"/>
    <w:rsid w:val="00687D6D"/>
    <w:rsid w:val="00687D81"/>
    <w:rsid w:val="00690405"/>
    <w:rsid w:val="006907A8"/>
    <w:rsid w:val="0069089D"/>
    <w:rsid w:val="00690989"/>
    <w:rsid w:val="00690CC4"/>
    <w:rsid w:val="00690DC3"/>
    <w:rsid w:val="00690EB7"/>
    <w:rsid w:val="00690F2C"/>
    <w:rsid w:val="00690FDE"/>
    <w:rsid w:val="006914AE"/>
    <w:rsid w:val="00691606"/>
    <w:rsid w:val="006916D6"/>
    <w:rsid w:val="006919DA"/>
    <w:rsid w:val="00691BC3"/>
    <w:rsid w:val="00691C40"/>
    <w:rsid w:val="00691E4A"/>
    <w:rsid w:val="00692024"/>
    <w:rsid w:val="0069207E"/>
    <w:rsid w:val="00692140"/>
    <w:rsid w:val="006922E6"/>
    <w:rsid w:val="00692469"/>
    <w:rsid w:val="006925C7"/>
    <w:rsid w:val="00692945"/>
    <w:rsid w:val="00692C54"/>
    <w:rsid w:val="00693062"/>
    <w:rsid w:val="00693363"/>
    <w:rsid w:val="0069362A"/>
    <w:rsid w:val="00693A2D"/>
    <w:rsid w:val="00693BED"/>
    <w:rsid w:val="00693F3A"/>
    <w:rsid w:val="0069421F"/>
    <w:rsid w:val="006944FF"/>
    <w:rsid w:val="0069463A"/>
    <w:rsid w:val="0069463E"/>
    <w:rsid w:val="006949A9"/>
    <w:rsid w:val="00694E49"/>
    <w:rsid w:val="0069513C"/>
    <w:rsid w:val="00695338"/>
    <w:rsid w:val="0069539A"/>
    <w:rsid w:val="00695466"/>
    <w:rsid w:val="006954E6"/>
    <w:rsid w:val="00695601"/>
    <w:rsid w:val="00695D0C"/>
    <w:rsid w:val="00695EF5"/>
    <w:rsid w:val="0069629A"/>
    <w:rsid w:val="00696432"/>
    <w:rsid w:val="00696885"/>
    <w:rsid w:val="00696DB3"/>
    <w:rsid w:val="00696E48"/>
    <w:rsid w:val="00696F2E"/>
    <w:rsid w:val="00696F32"/>
    <w:rsid w:val="00697197"/>
    <w:rsid w:val="00697213"/>
    <w:rsid w:val="00697869"/>
    <w:rsid w:val="00697953"/>
    <w:rsid w:val="00697A8D"/>
    <w:rsid w:val="00697BBF"/>
    <w:rsid w:val="00697CCE"/>
    <w:rsid w:val="00697D3B"/>
    <w:rsid w:val="006A0185"/>
    <w:rsid w:val="006A09BC"/>
    <w:rsid w:val="006A12A6"/>
    <w:rsid w:val="006A1544"/>
    <w:rsid w:val="006A16BD"/>
    <w:rsid w:val="006A17E3"/>
    <w:rsid w:val="006A18AF"/>
    <w:rsid w:val="006A1A78"/>
    <w:rsid w:val="006A1A99"/>
    <w:rsid w:val="006A1BF3"/>
    <w:rsid w:val="006A1F88"/>
    <w:rsid w:val="006A1F9A"/>
    <w:rsid w:val="006A207B"/>
    <w:rsid w:val="006A20DB"/>
    <w:rsid w:val="006A25D7"/>
    <w:rsid w:val="006A27B5"/>
    <w:rsid w:val="006A2EFC"/>
    <w:rsid w:val="006A302E"/>
    <w:rsid w:val="006A30D8"/>
    <w:rsid w:val="006A343E"/>
    <w:rsid w:val="006A365B"/>
    <w:rsid w:val="006A389D"/>
    <w:rsid w:val="006A3C51"/>
    <w:rsid w:val="006A41B8"/>
    <w:rsid w:val="006A4635"/>
    <w:rsid w:val="006A4ED3"/>
    <w:rsid w:val="006A5149"/>
    <w:rsid w:val="006A527F"/>
    <w:rsid w:val="006A5459"/>
    <w:rsid w:val="006A5520"/>
    <w:rsid w:val="006A5580"/>
    <w:rsid w:val="006A572D"/>
    <w:rsid w:val="006A5919"/>
    <w:rsid w:val="006A5C38"/>
    <w:rsid w:val="006A610A"/>
    <w:rsid w:val="006A61D8"/>
    <w:rsid w:val="006A6547"/>
    <w:rsid w:val="006A6576"/>
    <w:rsid w:val="006A661A"/>
    <w:rsid w:val="006A6873"/>
    <w:rsid w:val="006A69E3"/>
    <w:rsid w:val="006A6D16"/>
    <w:rsid w:val="006A7048"/>
    <w:rsid w:val="006A7694"/>
    <w:rsid w:val="006A7844"/>
    <w:rsid w:val="006A7D3A"/>
    <w:rsid w:val="006A7F56"/>
    <w:rsid w:val="006A7FCF"/>
    <w:rsid w:val="006B0377"/>
    <w:rsid w:val="006B086B"/>
    <w:rsid w:val="006B0A10"/>
    <w:rsid w:val="006B0B2E"/>
    <w:rsid w:val="006B0CD6"/>
    <w:rsid w:val="006B0D64"/>
    <w:rsid w:val="006B0FFB"/>
    <w:rsid w:val="006B11E4"/>
    <w:rsid w:val="006B1233"/>
    <w:rsid w:val="006B14BF"/>
    <w:rsid w:val="006B193A"/>
    <w:rsid w:val="006B1C61"/>
    <w:rsid w:val="006B1CAD"/>
    <w:rsid w:val="006B1D4F"/>
    <w:rsid w:val="006B2355"/>
    <w:rsid w:val="006B24A1"/>
    <w:rsid w:val="006B25C8"/>
    <w:rsid w:val="006B2698"/>
    <w:rsid w:val="006B2A46"/>
    <w:rsid w:val="006B3002"/>
    <w:rsid w:val="006B3343"/>
    <w:rsid w:val="006B3421"/>
    <w:rsid w:val="006B3668"/>
    <w:rsid w:val="006B4BF5"/>
    <w:rsid w:val="006B5599"/>
    <w:rsid w:val="006B59F2"/>
    <w:rsid w:val="006B5ABB"/>
    <w:rsid w:val="006B5F12"/>
    <w:rsid w:val="006B5FF2"/>
    <w:rsid w:val="006B60A6"/>
    <w:rsid w:val="006B6857"/>
    <w:rsid w:val="006B6861"/>
    <w:rsid w:val="006B69C6"/>
    <w:rsid w:val="006B705C"/>
    <w:rsid w:val="006B70D4"/>
    <w:rsid w:val="006B731B"/>
    <w:rsid w:val="006B77AA"/>
    <w:rsid w:val="006B7F45"/>
    <w:rsid w:val="006C0097"/>
    <w:rsid w:val="006C0326"/>
    <w:rsid w:val="006C0E7F"/>
    <w:rsid w:val="006C158C"/>
    <w:rsid w:val="006C19CD"/>
    <w:rsid w:val="006C1A7F"/>
    <w:rsid w:val="006C1FD5"/>
    <w:rsid w:val="006C209D"/>
    <w:rsid w:val="006C2518"/>
    <w:rsid w:val="006C27B9"/>
    <w:rsid w:val="006C2E3B"/>
    <w:rsid w:val="006C30B4"/>
    <w:rsid w:val="006C3186"/>
    <w:rsid w:val="006C32CC"/>
    <w:rsid w:val="006C3428"/>
    <w:rsid w:val="006C3594"/>
    <w:rsid w:val="006C364A"/>
    <w:rsid w:val="006C3651"/>
    <w:rsid w:val="006C39CD"/>
    <w:rsid w:val="006C3B09"/>
    <w:rsid w:val="006C3F19"/>
    <w:rsid w:val="006C4236"/>
    <w:rsid w:val="006C42C3"/>
    <w:rsid w:val="006C432C"/>
    <w:rsid w:val="006C4626"/>
    <w:rsid w:val="006C46EC"/>
    <w:rsid w:val="006C48E2"/>
    <w:rsid w:val="006C4954"/>
    <w:rsid w:val="006C4C11"/>
    <w:rsid w:val="006C4C41"/>
    <w:rsid w:val="006C4C46"/>
    <w:rsid w:val="006C4F0B"/>
    <w:rsid w:val="006C4FDD"/>
    <w:rsid w:val="006C515B"/>
    <w:rsid w:val="006C5171"/>
    <w:rsid w:val="006C5361"/>
    <w:rsid w:val="006C54EE"/>
    <w:rsid w:val="006C5576"/>
    <w:rsid w:val="006C59AE"/>
    <w:rsid w:val="006C5A6E"/>
    <w:rsid w:val="006C5ABE"/>
    <w:rsid w:val="006C5E71"/>
    <w:rsid w:val="006C6143"/>
    <w:rsid w:val="006C6319"/>
    <w:rsid w:val="006C6586"/>
    <w:rsid w:val="006C65F5"/>
    <w:rsid w:val="006C660F"/>
    <w:rsid w:val="006C669C"/>
    <w:rsid w:val="006C66C7"/>
    <w:rsid w:val="006C680E"/>
    <w:rsid w:val="006C6AAC"/>
    <w:rsid w:val="006C6BB9"/>
    <w:rsid w:val="006C7085"/>
    <w:rsid w:val="006C7345"/>
    <w:rsid w:val="006C75FF"/>
    <w:rsid w:val="006C7772"/>
    <w:rsid w:val="006C7DA6"/>
    <w:rsid w:val="006C7E0C"/>
    <w:rsid w:val="006C7E29"/>
    <w:rsid w:val="006C7FBE"/>
    <w:rsid w:val="006D0367"/>
    <w:rsid w:val="006D0472"/>
    <w:rsid w:val="006D05B1"/>
    <w:rsid w:val="006D05F5"/>
    <w:rsid w:val="006D07AA"/>
    <w:rsid w:val="006D0A33"/>
    <w:rsid w:val="006D0A59"/>
    <w:rsid w:val="006D0AA9"/>
    <w:rsid w:val="006D0BB5"/>
    <w:rsid w:val="006D0C5B"/>
    <w:rsid w:val="006D167E"/>
    <w:rsid w:val="006D1B7B"/>
    <w:rsid w:val="006D223A"/>
    <w:rsid w:val="006D2241"/>
    <w:rsid w:val="006D234E"/>
    <w:rsid w:val="006D24C8"/>
    <w:rsid w:val="006D24E3"/>
    <w:rsid w:val="006D2C60"/>
    <w:rsid w:val="006D2D24"/>
    <w:rsid w:val="006D2D31"/>
    <w:rsid w:val="006D32DE"/>
    <w:rsid w:val="006D3644"/>
    <w:rsid w:val="006D37EA"/>
    <w:rsid w:val="006D393A"/>
    <w:rsid w:val="006D3B26"/>
    <w:rsid w:val="006D3C2A"/>
    <w:rsid w:val="006D3E7D"/>
    <w:rsid w:val="006D3F05"/>
    <w:rsid w:val="006D417C"/>
    <w:rsid w:val="006D4790"/>
    <w:rsid w:val="006D47F8"/>
    <w:rsid w:val="006D49BC"/>
    <w:rsid w:val="006D4B15"/>
    <w:rsid w:val="006D4B32"/>
    <w:rsid w:val="006D54F5"/>
    <w:rsid w:val="006D556F"/>
    <w:rsid w:val="006D55CB"/>
    <w:rsid w:val="006D5673"/>
    <w:rsid w:val="006D5C2F"/>
    <w:rsid w:val="006D6138"/>
    <w:rsid w:val="006D6217"/>
    <w:rsid w:val="006D624A"/>
    <w:rsid w:val="006D65FC"/>
    <w:rsid w:val="006D6B0B"/>
    <w:rsid w:val="006D6FB0"/>
    <w:rsid w:val="006D6FBD"/>
    <w:rsid w:val="006D70B2"/>
    <w:rsid w:val="006D70CE"/>
    <w:rsid w:val="006D7272"/>
    <w:rsid w:val="006D73AA"/>
    <w:rsid w:val="006D76AF"/>
    <w:rsid w:val="006D786D"/>
    <w:rsid w:val="006D7BA5"/>
    <w:rsid w:val="006D7C34"/>
    <w:rsid w:val="006D7E08"/>
    <w:rsid w:val="006E03BD"/>
    <w:rsid w:val="006E0452"/>
    <w:rsid w:val="006E07D6"/>
    <w:rsid w:val="006E09EA"/>
    <w:rsid w:val="006E0CD9"/>
    <w:rsid w:val="006E1084"/>
    <w:rsid w:val="006E10DA"/>
    <w:rsid w:val="006E18E5"/>
    <w:rsid w:val="006E1943"/>
    <w:rsid w:val="006E1D7C"/>
    <w:rsid w:val="006E1F3F"/>
    <w:rsid w:val="006E21CD"/>
    <w:rsid w:val="006E24C6"/>
    <w:rsid w:val="006E2BBE"/>
    <w:rsid w:val="006E2C71"/>
    <w:rsid w:val="006E2ED1"/>
    <w:rsid w:val="006E3012"/>
    <w:rsid w:val="006E38D6"/>
    <w:rsid w:val="006E3950"/>
    <w:rsid w:val="006E3BA4"/>
    <w:rsid w:val="006E3C89"/>
    <w:rsid w:val="006E3E2A"/>
    <w:rsid w:val="006E4065"/>
    <w:rsid w:val="006E4300"/>
    <w:rsid w:val="006E4351"/>
    <w:rsid w:val="006E4449"/>
    <w:rsid w:val="006E451C"/>
    <w:rsid w:val="006E4C7C"/>
    <w:rsid w:val="006E4CA2"/>
    <w:rsid w:val="006E50B7"/>
    <w:rsid w:val="006E56EE"/>
    <w:rsid w:val="006E573E"/>
    <w:rsid w:val="006E5EA5"/>
    <w:rsid w:val="006E5F39"/>
    <w:rsid w:val="006E61EE"/>
    <w:rsid w:val="006E6219"/>
    <w:rsid w:val="006E62C2"/>
    <w:rsid w:val="006E64C2"/>
    <w:rsid w:val="006E6C51"/>
    <w:rsid w:val="006E6CEB"/>
    <w:rsid w:val="006E7694"/>
    <w:rsid w:val="006E7937"/>
    <w:rsid w:val="006E79DC"/>
    <w:rsid w:val="006E7B56"/>
    <w:rsid w:val="006E7D0C"/>
    <w:rsid w:val="006E7EB0"/>
    <w:rsid w:val="006F0275"/>
    <w:rsid w:val="006F02B0"/>
    <w:rsid w:val="006F0587"/>
    <w:rsid w:val="006F0620"/>
    <w:rsid w:val="006F0974"/>
    <w:rsid w:val="006F0D57"/>
    <w:rsid w:val="006F0D98"/>
    <w:rsid w:val="006F0E48"/>
    <w:rsid w:val="006F1003"/>
    <w:rsid w:val="006F100C"/>
    <w:rsid w:val="006F13C7"/>
    <w:rsid w:val="006F15CC"/>
    <w:rsid w:val="006F15D8"/>
    <w:rsid w:val="006F19BC"/>
    <w:rsid w:val="006F1A06"/>
    <w:rsid w:val="006F1B03"/>
    <w:rsid w:val="006F1F71"/>
    <w:rsid w:val="006F2331"/>
    <w:rsid w:val="006F23AE"/>
    <w:rsid w:val="006F2527"/>
    <w:rsid w:val="006F2CB0"/>
    <w:rsid w:val="006F2E69"/>
    <w:rsid w:val="006F2E90"/>
    <w:rsid w:val="006F306D"/>
    <w:rsid w:val="006F3ADD"/>
    <w:rsid w:val="006F3BBD"/>
    <w:rsid w:val="006F3E63"/>
    <w:rsid w:val="006F3ED2"/>
    <w:rsid w:val="006F436D"/>
    <w:rsid w:val="006F438B"/>
    <w:rsid w:val="006F44C6"/>
    <w:rsid w:val="006F471B"/>
    <w:rsid w:val="006F4D6B"/>
    <w:rsid w:val="006F4F28"/>
    <w:rsid w:val="006F5087"/>
    <w:rsid w:val="006F5152"/>
    <w:rsid w:val="006F53AE"/>
    <w:rsid w:val="006F557A"/>
    <w:rsid w:val="006F5712"/>
    <w:rsid w:val="006F58EA"/>
    <w:rsid w:val="006F5920"/>
    <w:rsid w:val="006F5A6D"/>
    <w:rsid w:val="006F5C0A"/>
    <w:rsid w:val="006F5C91"/>
    <w:rsid w:val="006F6370"/>
    <w:rsid w:val="006F68BC"/>
    <w:rsid w:val="006F6912"/>
    <w:rsid w:val="006F6DF8"/>
    <w:rsid w:val="006F700F"/>
    <w:rsid w:val="006F704E"/>
    <w:rsid w:val="00700101"/>
    <w:rsid w:val="007001FF"/>
    <w:rsid w:val="007002F0"/>
    <w:rsid w:val="007006BC"/>
    <w:rsid w:val="00700C0F"/>
    <w:rsid w:val="00700E15"/>
    <w:rsid w:val="00700F07"/>
    <w:rsid w:val="007016E4"/>
    <w:rsid w:val="007018B0"/>
    <w:rsid w:val="0070202A"/>
    <w:rsid w:val="00702148"/>
    <w:rsid w:val="00702205"/>
    <w:rsid w:val="007026D7"/>
    <w:rsid w:val="0070282F"/>
    <w:rsid w:val="00702CB4"/>
    <w:rsid w:val="007032F1"/>
    <w:rsid w:val="0070338B"/>
    <w:rsid w:val="00703464"/>
    <w:rsid w:val="00703582"/>
    <w:rsid w:val="007035FC"/>
    <w:rsid w:val="0070360F"/>
    <w:rsid w:val="00703638"/>
    <w:rsid w:val="00703A27"/>
    <w:rsid w:val="00703C56"/>
    <w:rsid w:val="007042AD"/>
    <w:rsid w:val="007043A2"/>
    <w:rsid w:val="00704A67"/>
    <w:rsid w:val="00704C0E"/>
    <w:rsid w:val="00704D23"/>
    <w:rsid w:val="00704DAB"/>
    <w:rsid w:val="00705041"/>
    <w:rsid w:val="007052DC"/>
    <w:rsid w:val="007052EB"/>
    <w:rsid w:val="007053E9"/>
    <w:rsid w:val="007054D2"/>
    <w:rsid w:val="007055EC"/>
    <w:rsid w:val="00705838"/>
    <w:rsid w:val="00705864"/>
    <w:rsid w:val="00705D01"/>
    <w:rsid w:val="00705E99"/>
    <w:rsid w:val="00705F25"/>
    <w:rsid w:val="007060CD"/>
    <w:rsid w:val="007065E9"/>
    <w:rsid w:val="0070685E"/>
    <w:rsid w:val="00706B76"/>
    <w:rsid w:val="00707481"/>
    <w:rsid w:val="007077F8"/>
    <w:rsid w:val="00707C49"/>
    <w:rsid w:val="00707C63"/>
    <w:rsid w:val="00707E64"/>
    <w:rsid w:val="00707EF8"/>
    <w:rsid w:val="0071003C"/>
    <w:rsid w:val="00710643"/>
    <w:rsid w:val="007106BE"/>
    <w:rsid w:val="00710F57"/>
    <w:rsid w:val="00711217"/>
    <w:rsid w:val="00711AA0"/>
    <w:rsid w:val="007121C7"/>
    <w:rsid w:val="00712592"/>
    <w:rsid w:val="00712686"/>
    <w:rsid w:val="0071283C"/>
    <w:rsid w:val="00712E4C"/>
    <w:rsid w:val="00712FA8"/>
    <w:rsid w:val="00712FE9"/>
    <w:rsid w:val="00713237"/>
    <w:rsid w:val="007133D8"/>
    <w:rsid w:val="00713DAB"/>
    <w:rsid w:val="007145A8"/>
    <w:rsid w:val="0071473F"/>
    <w:rsid w:val="00714804"/>
    <w:rsid w:val="00714A73"/>
    <w:rsid w:val="00714D3C"/>
    <w:rsid w:val="00714E19"/>
    <w:rsid w:val="00714E44"/>
    <w:rsid w:val="00714EDD"/>
    <w:rsid w:val="007151CB"/>
    <w:rsid w:val="00715287"/>
    <w:rsid w:val="00715326"/>
    <w:rsid w:val="00715716"/>
    <w:rsid w:val="00715848"/>
    <w:rsid w:val="0071589B"/>
    <w:rsid w:val="00715B1E"/>
    <w:rsid w:val="00715C6E"/>
    <w:rsid w:val="00715D92"/>
    <w:rsid w:val="007161AE"/>
    <w:rsid w:val="007161F6"/>
    <w:rsid w:val="00716215"/>
    <w:rsid w:val="00716A67"/>
    <w:rsid w:val="00716E4F"/>
    <w:rsid w:val="00717121"/>
    <w:rsid w:val="007176B6"/>
    <w:rsid w:val="007178D3"/>
    <w:rsid w:val="00717BC0"/>
    <w:rsid w:val="00717C2E"/>
    <w:rsid w:val="00717D51"/>
    <w:rsid w:val="00717F6C"/>
    <w:rsid w:val="00720904"/>
    <w:rsid w:val="007211B3"/>
    <w:rsid w:val="00721343"/>
    <w:rsid w:val="00721493"/>
    <w:rsid w:val="00721570"/>
    <w:rsid w:val="0072162C"/>
    <w:rsid w:val="00721631"/>
    <w:rsid w:val="00721725"/>
    <w:rsid w:val="007217D6"/>
    <w:rsid w:val="007217F7"/>
    <w:rsid w:val="00721983"/>
    <w:rsid w:val="00721B28"/>
    <w:rsid w:val="00721C0D"/>
    <w:rsid w:val="00721C37"/>
    <w:rsid w:val="00721D0D"/>
    <w:rsid w:val="00721F19"/>
    <w:rsid w:val="00722036"/>
    <w:rsid w:val="0072228C"/>
    <w:rsid w:val="007222CA"/>
    <w:rsid w:val="0072280D"/>
    <w:rsid w:val="007228D9"/>
    <w:rsid w:val="00722DF5"/>
    <w:rsid w:val="00723095"/>
    <w:rsid w:val="0072318D"/>
    <w:rsid w:val="00723585"/>
    <w:rsid w:val="0072367F"/>
    <w:rsid w:val="007236BF"/>
    <w:rsid w:val="007237D7"/>
    <w:rsid w:val="00723BA3"/>
    <w:rsid w:val="00723E1A"/>
    <w:rsid w:val="00724143"/>
    <w:rsid w:val="0072421B"/>
    <w:rsid w:val="0072457F"/>
    <w:rsid w:val="00724EB1"/>
    <w:rsid w:val="007252B2"/>
    <w:rsid w:val="0072568D"/>
    <w:rsid w:val="0072576D"/>
    <w:rsid w:val="00725791"/>
    <w:rsid w:val="007258BC"/>
    <w:rsid w:val="00726288"/>
    <w:rsid w:val="007263FE"/>
    <w:rsid w:val="00726411"/>
    <w:rsid w:val="007267F4"/>
    <w:rsid w:val="0072699A"/>
    <w:rsid w:val="00726A0D"/>
    <w:rsid w:val="00726A1D"/>
    <w:rsid w:val="00726AC7"/>
    <w:rsid w:val="007277F9"/>
    <w:rsid w:val="00727B66"/>
    <w:rsid w:val="00727D88"/>
    <w:rsid w:val="00727F50"/>
    <w:rsid w:val="007301F9"/>
    <w:rsid w:val="007303C1"/>
    <w:rsid w:val="00730BD5"/>
    <w:rsid w:val="00730D07"/>
    <w:rsid w:val="00730DEB"/>
    <w:rsid w:val="00730FF1"/>
    <w:rsid w:val="00731357"/>
    <w:rsid w:val="00731910"/>
    <w:rsid w:val="00731AB1"/>
    <w:rsid w:val="00731D9A"/>
    <w:rsid w:val="00731F06"/>
    <w:rsid w:val="00732006"/>
    <w:rsid w:val="007323E1"/>
    <w:rsid w:val="0073245D"/>
    <w:rsid w:val="007326C6"/>
    <w:rsid w:val="00732A2E"/>
    <w:rsid w:val="00732B3A"/>
    <w:rsid w:val="00732B6F"/>
    <w:rsid w:val="00732C95"/>
    <w:rsid w:val="00732E28"/>
    <w:rsid w:val="00732F90"/>
    <w:rsid w:val="0073303A"/>
    <w:rsid w:val="007332E3"/>
    <w:rsid w:val="007336ED"/>
    <w:rsid w:val="00733CA2"/>
    <w:rsid w:val="0073411F"/>
    <w:rsid w:val="0073439E"/>
    <w:rsid w:val="007343C9"/>
    <w:rsid w:val="0073440B"/>
    <w:rsid w:val="007344B0"/>
    <w:rsid w:val="0073460A"/>
    <w:rsid w:val="00734907"/>
    <w:rsid w:val="00734A9C"/>
    <w:rsid w:val="00734AD8"/>
    <w:rsid w:val="0073514B"/>
    <w:rsid w:val="00735168"/>
    <w:rsid w:val="0073524F"/>
    <w:rsid w:val="00735258"/>
    <w:rsid w:val="007357FF"/>
    <w:rsid w:val="00735A33"/>
    <w:rsid w:val="00735A45"/>
    <w:rsid w:val="00735E1F"/>
    <w:rsid w:val="007365BE"/>
    <w:rsid w:val="00736630"/>
    <w:rsid w:val="00736AC4"/>
    <w:rsid w:val="00736CDC"/>
    <w:rsid w:val="00737162"/>
    <w:rsid w:val="007372DA"/>
    <w:rsid w:val="007373C4"/>
    <w:rsid w:val="00737531"/>
    <w:rsid w:val="007377F3"/>
    <w:rsid w:val="007379E7"/>
    <w:rsid w:val="00737AB9"/>
    <w:rsid w:val="00737B10"/>
    <w:rsid w:val="007403E4"/>
    <w:rsid w:val="007405A1"/>
    <w:rsid w:val="007406C9"/>
    <w:rsid w:val="00740AF4"/>
    <w:rsid w:val="00740F38"/>
    <w:rsid w:val="007413BA"/>
    <w:rsid w:val="007418ED"/>
    <w:rsid w:val="00741BEE"/>
    <w:rsid w:val="00742162"/>
    <w:rsid w:val="00742285"/>
    <w:rsid w:val="007425B0"/>
    <w:rsid w:val="0074269B"/>
    <w:rsid w:val="0074276C"/>
    <w:rsid w:val="0074290A"/>
    <w:rsid w:val="00743001"/>
    <w:rsid w:val="00743071"/>
    <w:rsid w:val="00743416"/>
    <w:rsid w:val="00743B82"/>
    <w:rsid w:val="00743C23"/>
    <w:rsid w:val="007440DF"/>
    <w:rsid w:val="0074446A"/>
    <w:rsid w:val="00744868"/>
    <w:rsid w:val="00744961"/>
    <w:rsid w:val="007449DD"/>
    <w:rsid w:val="00744ABD"/>
    <w:rsid w:val="00744AD6"/>
    <w:rsid w:val="007450ED"/>
    <w:rsid w:val="00745247"/>
    <w:rsid w:val="007453F4"/>
    <w:rsid w:val="00745594"/>
    <w:rsid w:val="00745631"/>
    <w:rsid w:val="0074579C"/>
    <w:rsid w:val="007458F0"/>
    <w:rsid w:val="00745948"/>
    <w:rsid w:val="00746010"/>
    <w:rsid w:val="007460FE"/>
    <w:rsid w:val="00746179"/>
    <w:rsid w:val="00746379"/>
    <w:rsid w:val="00746392"/>
    <w:rsid w:val="007468FE"/>
    <w:rsid w:val="00746BED"/>
    <w:rsid w:val="00746E58"/>
    <w:rsid w:val="007470FE"/>
    <w:rsid w:val="00747300"/>
    <w:rsid w:val="00747560"/>
    <w:rsid w:val="007475BC"/>
    <w:rsid w:val="007477EA"/>
    <w:rsid w:val="00747816"/>
    <w:rsid w:val="00747ADD"/>
    <w:rsid w:val="00747D0C"/>
    <w:rsid w:val="00747FA3"/>
    <w:rsid w:val="0075018A"/>
    <w:rsid w:val="00750393"/>
    <w:rsid w:val="00750497"/>
    <w:rsid w:val="007507D0"/>
    <w:rsid w:val="00750838"/>
    <w:rsid w:val="00750B21"/>
    <w:rsid w:val="0075100F"/>
    <w:rsid w:val="00751084"/>
    <w:rsid w:val="0075117F"/>
    <w:rsid w:val="00751485"/>
    <w:rsid w:val="00751486"/>
    <w:rsid w:val="0075191C"/>
    <w:rsid w:val="00751D1B"/>
    <w:rsid w:val="00752151"/>
    <w:rsid w:val="00752786"/>
    <w:rsid w:val="007528AB"/>
    <w:rsid w:val="0075296B"/>
    <w:rsid w:val="00752AA0"/>
    <w:rsid w:val="00752B34"/>
    <w:rsid w:val="00752C17"/>
    <w:rsid w:val="0075325B"/>
    <w:rsid w:val="0075345D"/>
    <w:rsid w:val="007535AE"/>
    <w:rsid w:val="00753BC6"/>
    <w:rsid w:val="00753CE3"/>
    <w:rsid w:val="00753DDE"/>
    <w:rsid w:val="00754686"/>
    <w:rsid w:val="00754796"/>
    <w:rsid w:val="007548A2"/>
    <w:rsid w:val="00754D79"/>
    <w:rsid w:val="00754F2D"/>
    <w:rsid w:val="00754F5D"/>
    <w:rsid w:val="0075512E"/>
    <w:rsid w:val="007553D0"/>
    <w:rsid w:val="007554CD"/>
    <w:rsid w:val="00755B1B"/>
    <w:rsid w:val="00755D14"/>
    <w:rsid w:val="00755EEF"/>
    <w:rsid w:val="007561CE"/>
    <w:rsid w:val="0075624C"/>
    <w:rsid w:val="0075639F"/>
    <w:rsid w:val="007565D1"/>
    <w:rsid w:val="00756D7D"/>
    <w:rsid w:val="00756DA2"/>
    <w:rsid w:val="007572D8"/>
    <w:rsid w:val="007573B1"/>
    <w:rsid w:val="00757678"/>
    <w:rsid w:val="00757B44"/>
    <w:rsid w:val="00757C1B"/>
    <w:rsid w:val="00757E75"/>
    <w:rsid w:val="00757ED3"/>
    <w:rsid w:val="00757F69"/>
    <w:rsid w:val="00760181"/>
    <w:rsid w:val="007608F6"/>
    <w:rsid w:val="00761050"/>
    <w:rsid w:val="00761166"/>
    <w:rsid w:val="007611DE"/>
    <w:rsid w:val="007612E3"/>
    <w:rsid w:val="00761462"/>
    <w:rsid w:val="00761528"/>
    <w:rsid w:val="007616DF"/>
    <w:rsid w:val="007618EA"/>
    <w:rsid w:val="0076194D"/>
    <w:rsid w:val="00761C50"/>
    <w:rsid w:val="00761C58"/>
    <w:rsid w:val="00761F67"/>
    <w:rsid w:val="00762160"/>
    <w:rsid w:val="00762630"/>
    <w:rsid w:val="007627F5"/>
    <w:rsid w:val="00762CB5"/>
    <w:rsid w:val="00762D09"/>
    <w:rsid w:val="00762F99"/>
    <w:rsid w:val="00763765"/>
    <w:rsid w:val="00763911"/>
    <w:rsid w:val="007639A9"/>
    <w:rsid w:val="00763B1F"/>
    <w:rsid w:val="00763D5D"/>
    <w:rsid w:val="007641E8"/>
    <w:rsid w:val="0076429B"/>
    <w:rsid w:val="0076453D"/>
    <w:rsid w:val="0076464E"/>
    <w:rsid w:val="00764836"/>
    <w:rsid w:val="00764994"/>
    <w:rsid w:val="00764A75"/>
    <w:rsid w:val="00764AD0"/>
    <w:rsid w:val="00764B00"/>
    <w:rsid w:val="0076501A"/>
    <w:rsid w:val="007650CB"/>
    <w:rsid w:val="00765439"/>
    <w:rsid w:val="00765518"/>
    <w:rsid w:val="00765582"/>
    <w:rsid w:val="007655F3"/>
    <w:rsid w:val="007655F6"/>
    <w:rsid w:val="0076572D"/>
    <w:rsid w:val="007658BA"/>
    <w:rsid w:val="007658F8"/>
    <w:rsid w:val="00765D62"/>
    <w:rsid w:val="00765F11"/>
    <w:rsid w:val="00766343"/>
    <w:rsid w:val="007664A9"/>
    <w:rsid w:val="00766D7B"/>
    <w:rsid w:val="00766E32"/>
    <w:rsid w:val="00767319"/>
    <w:rsid w:val="00767517"/>
    <w:rsid w:val="007675BC"/>
    <w:rsid w:val="007675E8"/>
    <w:rsid w:val="007677B9"/>
    <w:rsid w:val="007678D1"/>
    <w:rsid w:val="00767A18"/>
    <w:rsid w:val="00767ADF"/>
    <w:rsid w:val="00767D55"/>
    <w:rsid w:val="00767E6A"/>
    <w:rsid w:val="00767EF8"/>
    <w:rsid w:val="00767F7A"/>
    <w:rsid w:val="00770245"/>
    <w:rsid w:val="0077058C"/>
    <w:rsid w:val="007708BC"/>
    <w:rsid w:val="0077091D"/>
    <w:rsid w:val="00770F69"/>
    <w:rsid w:val="00770FF0"/>
    <w:rsid w:val="0077122C"/>
    <w:rsid w:val="00771271"/>
    <w:rsid w:val="007713B6"/>
    <w:rsid w:val="007716C9"/>
    <w:rsid w:val="00771827"/>
    <w:rsid w:val="00771884"/>
    <w:rsid w:val="00771DC4"/>
    <w:rsid w:val="00771E08"/>
    <w:rsid w:val="0077210B"/>
    <w:rsid w:val="00772923"/>
    <w:rsid w:val="00772AC7"/>
    <w:rsid w:val="00772F2A"/>
    <w:rsid w:val="00772FCE"/>
    <w:rsid w:val="00773279"/>
    <w:rsid w:val="007736C9"/>
    <w:rsid w:val="0077377B"/>
    <w:rsid w:val="0077395D"/>
    <w:rsid w:val="00773C27"/>
    <w:rsid w:val="00773D85"/>
    <w:rsid w:val="00773DB2"/>
    <w:rsid w:val="00774317"/>
    <w:rsid w:val="00774480"/>
    <w:rsid w:val="00774580"/>
    <w:rsid w:val="007748D7"/>
    <w:rsid w:val="00774960"/>
    <w:rsid w:val="00774A86"/>
    <w:rsid w:val="00774AFD"/>
    <w:rsid w:val="00774DE5"/>
    <w:rsid w:val="00774F6C"/>
    <w:rsid w:val="00775217"/>
    <w:rsid w:val="00775551"/>
    <w:rsid w:val="00775790"/>
    <w:rsid w:val="00775DAB"/>
    <w:rsid w:val="007761A4"/>
    <w:rsid w:val="007763C7"/>
    <w:rsid w:val="00776488"/>
    <w:rsid w:val="007769CD"/>
    <w:rsid w:val="00776D8A"/>
    <w:rsid w:val="00777069"/>
    <w:rsid w:val="007771D2"/>
    <w:rsid w:val="00777347"/>
    <w:rsid w:val="007773A9"/>
    <w:rsid w:val="007773C9"/>
    <w:rsid w:val="00777411"/>
    <w:rsid w:val="00777634"/>
    <w:rsid w:val="00777B2F"/>
    <w:rsid w:val="00777BD9"/>
    <w:rsid w:val="00777C2C"/>
    <w:rsid w:val="00777D06"/>
    <w:rsid w:val="00780432"/>
    <w:rsid w:val="007805BE"/>
    <w:rsid w:val="00780753"/>
    <w:rsid w:val="007807E4"/>
    <w:rsid w:val="00780E03"/>
    <w:rsid w:val="00780F56"/>
    <w:rsid w:val="007813B0"/>
    <w:rsid w:val="0078148E"/>
    <w:rsid w:val="00781566"/>
    <w:rsid w:val="0078172B"/>
    <w:rsid w:val="007818D3"/>
    <w:rsid w:val="007819EA"/>
    <w:rsid w:val="00781A9E"/>
    <w:rsid w:val="00781B19"/>
    <w:rsid w:val="00781BC4"/>
    <w:rsid w:val="00781C75"/>
    <w:rsid w:val="00781D6D"/>
    <w:rsid w:val="0078220A"/>
    <w:rsid w:val="00782514"/>
    <w:rsid w:val="00782776"/>
    <w:rsid w:val="007827B8"/>
    <w:rsid w:val="007835EA"/>
    <w:rsid w:val="0078360E"/>
    <w:rsid w:val="0078363C"/>
    <w:rsid w:val="007836AE"/>
    <w:rsid w:val="00783843"/>
    <w:rsid w:val="00783B81"/>
    <w:rsid w:val="00783D01"/>
    <w:rsid w:val="007842AA"/>
    <w:rsid w:val="00784381"/>
    <w:rsid w:val="007845B9"/>
    <w:rsid w:val="0078484A"/>
    <w:rsid w:val="00784D12"/>
    <w:rsid w:val="00784E2B"/>
    <w:rsid w:val="00785016"/>
    <w:rsid w:val="00785063"/>
    <w:rsid w:val="00785154"/>
    <w:rsid w:val="00785285"/>
    <w:rsid w:val="007853B8"/>
    <w:rsid w:val="007857DE"/>
    <w:rsid w:val="007859F7"/>
    <w:rsid w:val="00785DAC"/>
    <w:rsid w:val="007860C4"/>
    <w:rsid w:val="007861C9"/>
    <w:rsid w:val="00786433"/>
    <w:rsid w:val="007864CB"/>
    <w:rsid w:val="0078653A"/>
    <w:rsid w:val="00786803"/>
    <w:rsid w:val="007868B8"/>
    <w:rsid w:val="00786CFA"/>
    <w:rsid w:val="00787538"/>
    <w:rsid w:val="00787683"/>
    <w:rsid w:val="00787986"/>
    <w:rsid w:val="0079008E"/>
    <w:rsid w:val="00790489"/>
    <w:rsid w:val="00790743"/>
    <w:rsid w:val="00790A3E"/>
    <w:rsid w:val="007912B2"/>
    <w:rsid w:val="00791565"/>
    <w:rsid w:val="0079177B"/>
    <w:rsid w:val="007917C5"/>
    <w:rsid w:val="0079209D"/>
    <w:rsid w:val="00792111"/>
    <w:rsid w:val="00792184"/>
    <w:rsid w:val="00792533"/>
    <w:rsid w:val="0079257B"/>
    <w:rsid w:val="007927C0"/>
    <w:rsid w:val="007927EB"/>
    <w:rsid w:val="00792928"/>
    <w:rsid w:val="00793035"/>
    <w:rsid w:val="007931CE"/>
    <w:rsid w:val="00793650"/>
    <w:rsid w:val="007937EA"/>
    <w:rsid w:val="00793DB4"/>
    <w:rsid w:val="00793F12"/>
    <w:rsid w:val="007940A1"/>
    <w:rsid w:val="0079427F"/>
    <w:rsid w:val="007945D5"/>
    <w:rsid w:val="00794A0E"/>
    <w:rsid w:val="00794ABF"/>
    <w:rsid w:val="00794EA2"/>
    <w:rsid w:val="007951A6"/>
    <w:rsid w:val="007951F0"/>
    <w:rsid w:val="007954D9"/>
    <w:rsid w:val="00795545"/>
    <w:rsid w:val="00795674"/>
    <w:rsid w:val="00795B5F"/>
    <w:rsid w:val="00795D9C"/>
    <w:rsid w:val="00795DFF"/>
    <w:rsid w:val="00796083"/>
    <w:rsid w:val="007964D9"/>
    <w:rsid w:val="0079673F"/>
    <w:rsid w:val="00796758"/>
    <w:rsid w:val="00796977"/>
    <w:rsid w:val="00796C8A"/>
    <w:rsid w:val="00797204"/>
    <w:rsid w:val="00797287"/>
    <w:rsid w:val="0079770C"/>
    <w:rsid w:val="007977B3"/>
    <w:rsid w:val="00797C60"/>
    <w:rsid w:val="00797DE9"/>
    <w:rsid w:val="007A0439"/>
    <w:rsid w:val="007A050A"/>
    <w:rsid w:val="007A05A9"/>
    <w:rsid w:val="007A05D2"/>
    <w:rsid w:val="007A07C4"/>
    <w:rsid w:val="007A095A"/>
    <w:rsid w:val="007A0F90"/>
    <w:rsid w:val="007A121F"/>
    <w:rsid w:val="007A136F"/>
    <w:rsid w:val="007A152B"/>
    <w:rsid w:val="007A155B"/>
    <w:rsid w:val="007A168D"/>
    <w:rsid w:val="007A16EA"/>
    <w:rsid w:val="007A1B3F"/>
    <w:rsid w:val="007A1D14"/>
    <w:rsid w:val="007A1E9F"/>
    <w:rsid w:val="007A22A1"/>
    <w:rsid w:val="007A24C1"/>
    <w:rsid w:val="007A26DE"/>
    <w:rsid w:val="007A297A"/>
    <w:rsid w:val="007A2B65"/>
    <w:rsid w:val="007A2B75"/>
    <w:rsid w:val="007A2BDC"/>
    <w:rsid w:val="007A2C2D"/>
    <w:rsid w:val="007A2DF0"/>
    <w:rsid w:val="007A2E52"/>
    <w:rsid w:val="007A322C"/>
    <w:rsid w:val="007A32F9"/>
    <w:rsid w:val="007A345A"/>
    <w:rsid w:val="007A3526"/>
    <w:rsid w:val="007A36DD"/>
    <w:rsid w:val="007A3895"/>
    <w:rsid w:val="007A3ABB"/>
    <w:rsid w:val="007A3BFE"/>
    <w:rsid w:val="007A3CC4"/>
    <w:rsid w:val="007A3CFD"/>
    <w:rsid w:val="007A3E5A"/>
    <w:rsid w:val="007A3EDF"/>
    <w:rsid w:val="007A3F3D"/>
    <w:rsid w:val="007A4041"/>
    <w:rsid w:val="007A42E1"/>
    <w:rsid w:val="007A434B"/>
    <w:rsid w:val="007A45C9"/>
    <w:rsid w:val="007A495C"/>
    <w:rsid w:val="007A4ADF"/>
    <w:rsid w:val="007A4DCB"/>
    <w:rsid w:val="007A4FDC"/>
    <w:rsid w:val="007A572C"/>
    <w:rsid w:val="007A5A34"/>
    <w:rsid w:val="007A5AAA"/>
    <w:rsid w:val="007A5BF7"/>
    <w:rsid w:val="007A5FCE"/>
    <w:rsid w:val="007A610D"/>
    <w:rsid w:val="007A6463"/>
    <w:rsid w:val="007A6507"/>
    <w:rsid w:val="007A678C"/>
    <w:rsid w:val="007A68F4"/>
    <w:rsid w:val="007A6A11"/>
    <w:rsid w:val="007A6A8B"/>
    <w:rsid w:val="007A6BB7"/>
    <w:rsid w:val="007A6D16"/>
    <w:rsid w:val="007A6E6B"/>
    <w:rsid w:val="007A7090"/>
    <w:rsid w:val="007A7210"/>
    <w:rsid w:val="007A73E3"/>
    <w:rsid w:val="007A7545"/>
    <w:rsid w:val="007A77CC"/>
    <w:rsid w:val="007A7BB8"/>
    <w:rsid w:val="007A7D7E"/>
    <w:rsid w:val="007A7DA1"/>
    <w:rsid w:val="007A7E28"/>
    <w:rsid w:val="007A7F58"/>
    <w:rsid w:val="007B02B6"/>
    <w:rsid w:val="007B036C"/>
    <w:rsid w:val="007B09C1"/>
    <w:rsid w:val="007B0C68"/>
    <w:rsid w:val="007B0D32"/>
    <w:rsid w:val="007B0D82"/>
    <w:rsid w:val="007B1155"/>
    <w:rsid w:val="007B138D"/>
    <w:rsid w:val="007B13C5"/>
    <w:rsid w:val="007B158B"/>
    <w:rsid w:val="007B19C9"/>
    <w:rsid w:val="007B1EE8"/>
    <w:rsid w:val="007B2145"/>
    <w:rsid w:val="007B229E"/>
    <w:rsid w:val="007B2375"/>
    <w:rsid w:val="007B290E"/>
    <w:rsid w:val="007B31D2"/>
    <w:rsid w:val="007B322D"/>
    <w:rsid w:val="007B3369"/>
    <w:rsid w:val="007B3386"/>
    <w:rsid w:val="007B364E"/>
    <w:rsid w:val="007B36D6"/>
    <w:rsid w:val="007B37DF"/>
    <w:rsid w:val="007B4172"/>
    <w:rsid w:val="007B4395"/>
    <w:rsid w:val="007B4C9C"/>
    <w:rsid w:val="007B5390"/>
    <w:rsid w:val="007B54E3"/>
    <w:rsid w:val="007B572E"/>
    <w:rsid w:val="007B5776"/>
    <w:rsid w:val="007B581D"/>
    <w:rsid w:val="007B584E"/>
    <w:rsid w:val="007B5979"/>
    <w:rsid w:val="007B5C6E"/>
    <w:rsid w:val="007B5F56"/>
    <w:rsid w:val="007B6DCF"/>
    <w:rsid w:val="007B6FE3"/>
    <w:rsid w:val="007B700A"/>
    <w:rsid w:val="007B718A"/>
    <w:rsid w:val="007B736B"/>
    <w:rsid w:val="007B73F4"/>
    <w:rsid w:val="007B749E"/>
    <w:rsid w:val="007B7517"/>
    <w:rsid w:val="007B76AA"/>
    <w:rsid w:val="007B786D"/>
    <w:rsid w:val="007B7B17"/>
    <w:rsid w:val="007B7B74"/>
    <w:rsid w:val="007B7FAA"/>
    <w:rsid w:val="007C06A2"/>
    <w:rsid w:val="007C07BA"/>
    <w:rsid w:val="007C0910"/>
    <w:rsid w:val="007C09B2"/>
    <w:rsid w:val="007C0E21"/>
    <w:rsid w:val="007C1816"/>
    <w:rsid w:val="007C1D67"/>
    <w:rsid w:val="007C21A0"/>
    <w:rsid w:val="007C236F"/>
    <w:rsid w:val="007C25C5"/>
    <w:rsid w:val="007C274E"/>
    <w:rsid w:val="007C281F"/>
    <w:rsid w:val="007C2972"/>
    <w:rsid w:val="007C29FD"/>
    <w:rsid w:val="007C2B52"/>
    <w:rsid w:val="007C2B56"/>
    <w:rsid w:val="007C2C61"/>
    <w:rsid w:val="007C2EBF"/>
    <w:rsid w:val="007C2FCC"/>
    <w:rsid w:val="007C30E3"/>
    <w:rsid w:val="007C3172"/>
    <w:rsid w:val="007C3185"/>
    <w:rsid w:val="007C3300"/>
    <w:rsid w:val="007C3325"/>
    <w:rsid w:val="007C33C1"/>
    <w:rsid w:val="007C36BF"/>
    <w:rsid w:val="007C3787"/>
    <w:rsid w:val="007C379B"/>
    <w:rsid w:val="007C3CA3"/>
    <w:rsid w:val="007C3D62"/>
    <w:rsid w:val="007C405D"/>
    <w:rsid w:val="007C4101"/>
    <w:rsid w:val="007C4105"/>
    <w:rsid w:val="007C433F"/>
    <w:rsid w:val="007C438C"/>
    <w:rsid w:val="007C47A2"/>
    <w:rsid w:val="007C49B1"/>
    <w:rsid w:val="007C4A77"/>
    <w:rsid w:val="007C5029"/>
    <w:rsid w:val="007C52EB"/>
    <w:rsid w:val="007C58E6"/>
    <w:rsid w:val="007C5D06"/>
    <w:rsid w:val="007C5F7D"/>
    <w:rsid w:val="007C6069"/>
    <w:rsid w:val="007C612D"/>
    <w:rsid w:val="007C6C33"/>
    <w:rsid w:val="007C6DBB"/>
    <w:rsid w:val="007C6EDD"/>
    <w:rsid w:val="007C6FA4"/>
    <w:rsid w:val="007C726B"/>
    <w:rsid w:val="007C72D3"/>
    <w:rsid w:val="007C750C"/>
    <w:rsid w:val="007C77DD"/>
    <w:rsid w:val="007C7CF7"/>
    <w:rsid w:val="007C7D9B"/>
    <w:rsid w:val="007D030B"/>
    <w:rsid w:val="007D0338"/>
    <w:rsid w:val="007D0449"/>
    <w:rsid w:val="007D06A8"/>
    <w:rsid w:val="007D07D2"/>
    <w:rsid w:val="007D0A5D"/>
    <w:rsid w:val="007D0A95"/>
    <w:rsid w:val="007D123C"/>
    <w:rsid w:val="007D14D8"/>
    <w:rsid w:val="007D16A8"/>
    <w:rsid w:val="007D18D6"/>
    <w:rsid w:val="007D1B48"/>
    <w:rsid w:val="007D1BC0"/>
    <w:rsid w:val="007D1D65"/>
    <w:rsid w:val="007D1EBB"/>
    <w:rsid w:val="007D1F03"/>
    <w:rsid w:val="007D2A32"/>
    <w:rsid w:val="007D2A84"/>
    <w:rsid w:val="007D2B08"/>
    <w:rsid w:val="007D2D10"/>
    <w:rsid w:val="007D2DDB"/>
    <w:rsid w:val="007D2E63"/>
    <w:rsid w:val="007D2FE7"/>
    <w:rsid w:val="007D323C"/>
    <w:rsid w:val="007D3390"/>
    <w:rsid w:val="007D3412"/>
    <w:rsid w:val="007D373E"/>
    <w:rsid w:val="007D39F8"/>
    <w:rsid w:val="007D3A23"/>
    <w:rsid w:val="007D3AA0"/>
    <w:rsid w:val="007D3FA2"/>
    <w:rsid w:val="007D413F"/>
    <w:rsid w:val="007D43EB"/>
    <w:rsid w:val="007D44C8"/>
    <w:rsid w:val="007D4619"/>
    <w:rsid w:val="007D4910"/>
    <w:rsid w:val="007D4B93"/>
    <w:rsid w:val="007D51A2"/>
    <w:rsid w:val="007D5242"/>
    <w:rsid w:val="007D5731"/>
    <w:rsid w:val="007D5809"/>
    <w:rsid w:val="007D5A73"/>
    <w:rsid w:val="007D5B22"/>
    <w:rsid w:val="007D6056"/>
    <w:rsid w:val="007D62FE"/>
    <w:rsid w:val="007D69BE"/>
    <w:rsid w:val="007D6AF2"/>
    <w:rsid w:val="007D6C38"/>
    <w:rsid w:val="007D6C9B"/>
    <w:rsid w:val="007D6CF1"/>
    <w:rsid w:val="007D6F62"/>
    <w:rsid w:val="007D701D"/>
    <w:rsid w:val="007D7162"/>
    <w:rsid w:val="007D7532"/>
    <w:rsid w:val="007D756E"/>
    <w:rsid w:val="007D7607"/>
    <w:rsid w:val="007D78C1"/>
    <w:rsid w:val="007D7AE7"/>
    <w:rsid w:val="007D7C93"/>
    <w:rsid w:val="007D7FC2"/>
    <w:rsid w:val="007E03AE"/>
    <w:rsid w:val="007E050C"/>
    <w:rsid w:val="007E088E"/>
    <w:rsid w:val="007E08D4"/>
    <w:rsid w:val="007E0C0E"/>
    <w:rsid w:val="007E0C5D"/>
    <w:rsid w:val="007E0D43"/>
    <w:rsid w:val="007E11A3"/>
    <w:rsid w:val="007E153A"/>
    <w:rsid w:val="007E1681"/>
    <w:rsid w:val="007E1A15"/>
    <w:rsid w:val="007E1C93"/>
    <w:rsid w:val="007E1D45"/>
    <w:rsid w:val="007E1F03"/>
    <w:rsid w:val="007E1F98"/>
    <w:rsid w:val="007E3653"/>
    <w:rsid w:val="007E3773"/>
    <w:rsid w:val="007E3A01"/>
    <w:rsid w:val="007E3A40"/>
    <w:rsid w:val="007E3ADE"/>
    <w:rsid w:val="007E3DB2"/>
    <w:rsid w:val="007E3FA2"/>
    <w:rsid w:val="007E3FAA"/>
    <w:rsid w:val="007E4136"/>
    <w:rsid w:val="007E43F3"/>
    <w:rsid w:val="007E4409"/>
    <w:rsid w:val="007E4493"/>
    <w:rsid w:val="007E4600"/>
    <w:rsid w:val="007E4B86"/>
    <w:rsid w:val="007E4C17"/>
    <w:rsid w:val="007E4D9E"/>
    <w:rsid w:val="007E4FD0"/>
    <w:rsid w:val="007E5122"/>
    <w:rsid w:val="007E520E"/>
    <w:rsid w:val="007E5273"/>
    <w:rsid w:val="007E5680"/>
    <w:rsid w:val="007E5700"/>
    <w:rsid w:val="007E59A3"/>
    <w:rsid w:val="007E6080"/>
    <w:rsid w:val="007E63E9"/>
    <w:rsid w:val="007E6481"/>
    <w:rsid w:val="007E6C9C"/>
    <w:rsid w:val="007E6D97"/>
    <w:rsid w:val="007E6EC1"/>
    <w:rsid w:val="007E6F48"/>
    <w:rsid w:val="007E70BF"/>
    <w:rsid w:val="007E70D9"/>
    <w:rsid w:val="007E7317"/>
    <w:rsid w:val="007E75A1"/>
    <w:rsid w:val="007E75FB"/>
    <w:rsid w:val="007E7881"/>
    <w:rsid w:val="007E7AB2"/>
    <w:rsid w:val="007E7D57"/>
    <w:rsid w:val="007E7ED4"/>
    <w:rsid w:val="007E7FC0"/>
    <w:rsid w:val="007F0234"/>
    <w:rsid w:val="007F0407"/>
    <w:rsid w:val="007F0531"/>
    <w:rsid w:val="007F0628"/>
    <w:rsid w:val="007F0D83"/>
    <w:rsid w:val="007F0E13"/>
    <w:rsid w:val="007F13B6"/>
    <w:rsid w:val="007F1AD0"/>
    <w:rsid w:val="007F1D1A"/>
    <w:rsid w:val="007F1D80"/>
    <w:rsid w:val="007F1E84"/>
    <w:rsid w:val="007F1EA8"/>
    <w:rsid w:val="007F209E"/>
    <w:rsid w:val="007F227D"/>
    <w:rsid w:val="007F22D3"/>
    <w:rsid w:val="007F2A32"/>
    <w:rsid w:val="007F3159"/>
    <w:rsid w:val="007F3430"/>
    <w:rsid w:val="007F34BE"/>
    <w:rsid w:val="007F36CD"/>
    <w:rsid w:val="007F3770"/>
    <w:rsid w:val="007F3CB1"/>
    <w:rsid w:val="007F3EC4"/>
    <w:rsid w:val="007F4036"/>
    <w:rsid w:val="007F4120"/>
    <w:rsid w:val="007F43CF"/>
    <w:rsid w:val="007F4905"/>
    <w:rsid w:val="007F4E89"/>
    <w:rsid w:val="007F5152"/>
    <w:rsid w:val="007F5168"/>
    <w:rsid w:val="007F5292"/>
    <w:rsid w:val="007F5938"/>
    <w:rsid w:val="007F5A20"/>
    <w:rsid w:val="007F5ABA"/>
    <w:rsid w:val="007F5B78"/>
    <w:rsid w:val="007F5C32"/>
    <w:rsid w:val="007F5FB3"/>
    <w:rsid w:val="007F6116"/>
    <w:rsid w:val="007F63D5"/>
    <w:rsid w:val="007F6720"/>
    <w:rsid w:val="007F6B6D"/>
    <w:rsid w:val="007F6BB4"/>
    <w:rsid w:val="007F7255"/>
    <w:rsid w:val="007F77F4"/>
    <w:rsid w:val="007F781C"/>
    <w:rsid w:val="007F7855"/>
    <w:rsid w:val="007F7AB9"/>
    <w:rsid w:val="007F7AC1"/>
    <w:rsid w:val="007F7CDA"/>
    <w:rsid w:val="007F7D48"/>
    <w:rsid w:val="008004A7"/>
    <w:rsid w:val="008006E2"/>
    <w:rsid w:val="00800786"/>
    <w:rsid w:val="0080091A"/>
    <w:rsid w:val="00800973"/>
    <w:rsid w:val="00800B83"/>
    <w:rsid w:val="00800FC6"/>
    <w:rsid w:val="0080182D"/>
    <w:rsid w:val="00801867"/>
    <w:rsid w:val="008020D0"/>
    <w:rsid w:val="0080243B"/>
    <w:rsid w:val="00802581"/>
    <w:rsid w:val="0080259A"/>
    <w:rsid w:val="00802FB1"/>
    <w:rsid w:val="008031DC"/>
    <w:rsid w:val="00803508"/>
    <w:rsid w:val="008035B6"/>
    <w:rsid w:val="00803A0D"/>
    <w:rsid w:val="00803E87"/>
    <w:rsid w:val="00803FE8"/>
    <w:rsid w:val="0080419C"/>
    <w:rsid w:val="0080427B"/>
    <w:rsid w:val="00804364"/>
    <w:rsid w:val="00804482"/>
    <w:rsid w:val="00804672"/>
    <w:rsid w:val="00804892"/>
    <w:rsid w:val="00804E56"/>
    <w:rsid w:val="00804F55"/>
    <w:rsid w:val="00804FB1"/>
    <w:rsid w:val="00805256"/>
    <w:rsid w:val="00805300"/>
    <w:rsid w:val="0080542C"/>
    <w:rsid w:val="00805611"/>
    <w:rsid w:val="0080561E"/>
    <w:rsid w:val="00805651"/>
    <w:rsid w:val="00805758"/>
    <w:rsid w:val="008058A1"/>
    <w:rsid w:val="008058C4"/>
    <w:rsid w:val="00805A5D"/>
    <w:rsid w:val="00805F4B"/>
    <w:rsid w:val="00805F52"/>
    <w:rsid w:val="00806179"/>
    <w:rsid w:val="00806FD3"/>
    <w:rsid w:val="00807048"/>
    <w:rsid w:val="008074D4"/>
    <w:rsid w:val="00807673"/>
    <w:rsid w:val="008076AB"/>
    <w:rsid w:val="00807A24"/>
    <w:rsid w:val="00807A2A"/>
    <w:rsid w:val="00807E7B"/>
    <w:rsid w:val="008107B5"/>
    <w:rsid w:val="008108AD"/>
    <w:rsid w:val="00810F57"/>
    <w:rsid w:val="008111D8"/>
    <w:rsid w:val="008112F8"/>
    <w:rsid w:val="00811393"/>
    <w:rsid w:val="00811779"/>
    <w:rsid w:val="00811893"/>
    <w:rsid w:val="00811ACA"/>
    <w:rsid w:val="00811D2A"/>
    <w:rsid w:val="00812217"/>
    <w:rsid w:val="00812384"/>
    <w:rsid w:val="008125F0"/>
    <w:rsid w:val="008127F5"/>
    <w:rsid w:val="0081284B"/>
    <w:rsid w:val="00812D84"/>
    <w:rsid w:val="008130DB"/>
    <w:rsid w:val="0081330A"/>
    <w:rsid w:val="00813474"/>
    <w:rsid w:val="0081361F"/>
    <w:rsid w:val="00813651"/>
    <w:rsid w:val="008136F1"/>
    <w:rsid w:val="00813979"/>
    <w:rsid w:val="00813A80"/>
    <w:rsid w:val="00813B10"/>
    <w:rsid w:val="00813B86"/>
    <w:rsid w:val="00813D33"/>
    <w:rsid w:val="00813FE9"/>
    <w:rsid w:val="008144FA"/>
    <w:rsid w:val="0081498E"/>
    <w:rsid w:val="00814C97"/>
    <w:rsid w:val="00814F7A"/>
    <w:rsid w:val="00815023"/>
    <w:rsid w:val="00815245"/>
    <w:rsid w:val="0081526D"/>
    <w:rsid w:val="0081552D"/>
    <w:rsid w:val="00815700"/>
    <w:rsid w:val="00815978"/>
    <w:rsid w:val="008159CB"/>
    <w:rsid w:val="00815C18"/>
    <w:rsid w:val="00815DE0"/>
    <w:rsid w:val="00815DFE"/>
    <w:rsid w:val="00815E7C"/>
    <w:rsid w:val="00815FED"/>
    <w:rsid w:val="00816303"/>
    <w:rsid w:val="0081636E"/>
    <w:rsid w:val="008163AD"/>
    <w:rsid w:val="00816504"/>
    <w:rsid w:val="00816571"/>
    <w:rsid w:val="008165CD"/>
    <w:rsid w:val="00816BB6"/>
    <w:rsid w:val="00816BB8"/>
    <w:rsid w:val="00816FF7"/>
    <w:rsid w:val="008172FC"/>
    <w:rsid w:val="0081734F"/>
    <w:rsid w:val="008173FE"/>
    <w:rsid w:val="00817414"/>
    <w:rsid w:val="0081747D"/>
    <w:rsid w:val="008174B0"/>
    <w:rsid w:val="008175AE"/>
    <w:rsid w:val="00817D4C"/>
    <w:rsid w:val="00817F90"/>
    <w:rsid w:val="0082001D"/>
    <w:rsid w:val="0082011E"/>
    <w:rsid w:val="00820410"/>
    <w:rsid w:val="00820417"/>
    <w:rsid w:val="00820437"/>
    <w:rsid w:val="00820514"/>
    <w:rsid w:val="00820F41"/>
    <w:rsid w:val="008212D0"/>
    <w:rsid w:val="008213EA"/>
    <w:rsid w:val="008216E2"/>
    <w:rsid w:val="00821980"/>
    <w:rsid w:val="00821C6B"/>
    <w:rsid w:val="00821D0B"/>
    <w:rsid w:val="00821F6E"/>
    <w:rsid w:val="00822130"/>
    <w:rsid w:val="008221FE"/>
    <w:rsid w:val="00822236"/>
    <w:rsid w:val="0082263C"/>
    <w:rsid w:val="008226F0"/>
    <w:rsid w:val="008227E3"/>
    <w:rsid w:val="00822BF9"/>
    <w:rsid w:val="00822E3F"/>
    <w:rsid w:val="00823179"/>
    <w:rsid w:val="008234D1"/>
    <w:rsid w:val="008238B7"/>
    <w:rsid w:val="00823956"/>
    <w:rsid w:val="00823B3D"/>
    <w:rsid w:val="00823BB3"/>
    <w:rsid w:val="00823CE4"/>
    <w:rsid w:val="00823EB0"/>
    <w:rsid w:val="00823FBC"/>
    <w:rsid w:val="00823FC4"/>
    <w:rsid w:val="008245F9"/>
    <w:rsid w:val="00824ADB"/>
    <w:rsid w:val="00824AE2"/>
    <w:rsid w:val="00824CEC"/>
    <w:rsid w:val="00824D3E"/>
    <w:rsid w:val="00824E99"/>
    <w:rsid w:val="00825058"/>
    <w:rsid w:val="00825179"/>
    <w:rsid w:val="008251FF"/>
    <w:rsid w:val="00825418"/>
    <w:rsid w:val="008255DC"/>
    <w:rsid w:val="0082573D"/>
    <w:rsid w:val="00825CCF"/>
    <w:rsid w:val="00825DA7"/>
    <w:rsid w:val="00825F6D"/>
    <w:rsid w:val="00825FDE"/>
    <w:rsid w:val="00826122"/>
    <w:rsid w:val="0082662E"/>
    <w:rsid w:val="008267B6"/>
    <w:rsid w:val="00827034"/>
    <w:rsid w:val="0082727B"/>
    <w:rsid w:val="00827870"/>
    <w:rsid w:val="00827D1E"/>
    <w:rsid w:val="0083011A"/>
    <w:rsid w:val="008302CE"/>
    <w:rsid w:val="008307F2"/>
    <w:rsid w:val="008308FD"/>
    <w:rsid w:val="00830AE4"/>
    <w:rsid w:val="00830BD2"/>
    <w:rsid w:val="00830C90"/>
    <w:rsid w:val="00830D6F"/>
    <w:rsid w:val="008314DE"/>
    <w:rsid w:val="0083152F"/>
    <w:rsid w:val="00831578"/>
    <w:rsid w:val="00831A64"/>
    <w:rsid w:val="00831DA6"/>
    <w:rsid w:val="00832412"/>
    <w:rsid w:val="0083294A"/>
    <w:rsid w:val="00832BEB"/>
    <w:rsid w:val="00832E0D"/>
    <w:rsid w:val="00832E31"/>
    <w:rsid w:val="00832FB6"/>
    <w:rsid w:val="0083370C"/>
    <w:rsid w:val="0083381C"/>
    <w:rsid w:val="008338B0"/>
    <w:rsid w:val="008342C0"/>
    <w:rsid w:val="0083433B"/>
    <w:rsid w:val="00834884"/>
    <w:rsid w:val="008348EC"/>
    <w:rsid w:val="00834A4C"/>
    <w:rsid w:val="00834ABC"/>
    <w:rsid w:val="00834E00"/>
    <w:rsid w:val="0083507A"/>
    <w:rsid w:val="0083508A"/>
    <w:rsid w:val="00835376"/>
    <w:rsid w:val="00835508"/>
    <w:rsid w:val="0083586C"/>
    <w:rsid w:val="00835DE3"/>
    <w:rsid w:val="00835F21"/>
    <w:rsid w:val="008360A7"/>
    <w:rsid w:val="00836591"/>
    <w:rsid w:val="008366E2"/>
    <w:rsid w:val="00836AB6"/>
    <w:rsid w:val="00836BCD"/>
    <w:rsid w:val="00836E39"/>
    <w:rsid w:val="00836E93"/>
    <w:rsid w:val="00836ED4"/>
    <w:rsid w:val="00836F93"/>
    <w:rsid w:val="00836FE6"/>
    <w:rsid w:val="008374D9"/>
    <w:rsid w:val="0083760C"/>
    <w:rsid w:val="0083781D"/>
    <w:rsid w:val="00837973"/>
    <w:rsid w:val="00837B09"/>
    <w:rsid w:val="00840139"/>
    <w:rsid w:val="0084018A"/>
    <w:rsid w:val="00840322"/>
    <w:rsid w:val="0084085F"/>
    <w:rsid w:val="00840ADE"/>
    <w:rsid w:val="00840D4A"/>
    <w:rsid w:val="00840F24"/>
    <w:rsid w:val="00841162"/>
    <w:rsid w:val="00841218"/>
    <w:rsid w:val="0084151F"/>
    <w:rsid w:val="00841782"/>
    <w:rsid w:val="00841D67"/>
    <w:rsid w:val="00841DB4"/>
    <w:rsid w:val="00841EF3"/>
    <w:rsid w:val="008424EA"/>
    <w:rsid w:val="00842733"/>
    <w:rsid w:val="00842918"/>
    <w:rsid w:val="00842D34"/>
    <w:rsid w:val="00842D7A"/>
    <w:rsid w:val="00842F9D"/>
    <w:rsid w:val="008430A1"/>
    <w:rsid w:val="008432BA"/>
    <w:rsid w:val="008433F6"/>
    <w:rsid w:val="0084370A"/>
    <w:rsid w:val="00843879"/>
    <w:rsid w:val="00843A40"/>
    <w:rsid w:val="00843E30"/>
    <w:rsid w:val="00844015"/>
    <w:rsid w:val="008441C8"/>
    <w:rsid w:val="008446B0"/>
    <w:rsid w:val="008448A3"/>
    <w:rsid w:val="00844A67"/>
    <w:rsid w:val="00844C58"/>
    <w:rsid w:val="00844F1F"/>
    <w:rsid w:val="00844F5D"/>
    <w:rsid w:val="00845307"/>
    <w:rsid w:val="0084538D"/>
    <w:rsid w:val="0084558E"/>
    <w:rsid w:val="00845594"/>
    <w:rsid w:val="008456EA"/>
    <w:rsid w:val="00845846"/>
    <w:rsid w:val="008458A8"/>
    <w:rsid w:val="00845C4F"/>
    <w:rsid w:val="00845D01"/>
    <w:rsid w:val="00845F56"/>
    <w:rsid w:val="0084609F"/>
    <w:rsid w:val="008460CA"/>
    <w:rsid w:val="00846356"/>
    <w:rsid w:val="00846994"/>
    <w:rsid w:val="00846B23"/>
    <w:rsid w:val="00846C40"/>
    <w:rsid w:val="00846D11"/>
    <w:rsid w:val="00846E3A"/>
    <w:rsid w:val="0084704A"/>
    <w:rsid w:val="00847461"/>
    <w:rsid w:val="00847681"/>
    <w:rsid w:val="00847A07"/>
    <w:rsid w:val="0085068C"/>
    <w:rsid w:val="00850702"/>
    <w:rsid w:val="00850783"/>
    <w:rsid w:val="00850E72"/>
    <w:rsid w:val="00851031"/>
    <w:rsid w:val="008513A5"/>
    <w:rsid w:val="008514C1"/>
    <w:rsid w:val="0085155D"/>
    <w:rsid w:val="0085170A"/>
    <w:rsid w:val="00851B10"/>
    <w:rsid w:val="00851B29"/>
    <w:rsid w:val="00851BEA"/>
    <w:rsid w:val="00851EED"/>
    <w:rsid w:val="00851F09"/>
    <w:rsid w:val="00851FB1"/>
    <w:rsid w:val="00852659"/>
    <w:rsid w:val="008527DA"/>
    <w:rsid w:val="00852CEA"/>
    <w:rsid w:val="00852E9E"/>
    <w:rsid w:val="00852EFF"/>
    <w:rsid w:val="00852F4E"/>
    <w:rsid w:val="00853147"/>
    <w:rsid w:val="0085391A"/>
    <w:rsid w:val="0085393D"/>
    <w:rsid w:val="00853E4B"/>
    <w:rsid w:val="00853E9D"/>
    <w:rsid w:val="00853EB0"/>
    <w:rsid w:val="0085402B"/>
    <w:rsid w:val="0085403F"/>
    <w:rsid w:val="00854068"/>
    <w:rsid w:val="00854176"/>
    <w:rsid w:val="00854259"/>
    <w:rsid w:val="0085469B"/>
    <w:rsid w:val="008546CA"/>
    <w:rsid w:val="00854B2F"/>
    <w:rsid w:val="00855091"/>
    <w:rsid w:val="00855563"/>
    <w:rsid w:val="008556A0"/>
    <w:rsid w:val="008556B6"/>
    <w:rsid w:val="008557BD"/>
    <w:rsid w:val="00855800"/>
    <w:rsid w:val="00855892"/>
    <w:rsid w:val="00855B01"/>
    <w:rsid w:val="0085630E"/>
    <w:rsid w:val="00856774"/>
    <w:rsid w:val="0085697A"/>
    <w:rsid w:val="00856F72"/>
    <w:rsid w:val="00856F73"/>
    <w:rsid w:val="00857110"/>
    <w:rsid w:val="008575D2"/>
    <w:rsid w:val="00857647"/>
    <w:rsid w:val="008577C3"/>
    <w:rsid w:val="00857A24"/>
    <w:rsid w:val="00857A26"/>
    <w:rsid w:val="00857EE1"/>
    <w:rsid w:val="00857FEC"/>
    <w:rsid w:val="00860510"/>
    <w:rsid w:val="00860A6D"/>
    <w:rsid w:val="008612B0"/>
    <w:rsid w:val="0086155E"/>
    <w:rsid w:val="008615DF"/>
    <w:rsid w:val="008619CC"/>
    <w:rsid w:val="00861CE8"/>
    <w:rsid w:val="00861EFB"/>
    <w:rsid w:val="00861F08"/>
    <w:rsid w:val="0086219F"/>
    <w:rsid w:val="008625D8"/>
    <w:rsid w:val="0086265B"/>
    <w:rsid w:val="008626A3"/>
    <w:rsid w:val="008627CC"/>
    <w:rsid w:val="00862B7E"/>
    <w:rsid w:val="00862B80"/>
    <w:rsid w:val="00862D89"/>
    <w:rsid w:val="00862FAF"/>
    <w:rsid w:val="008633E0"/>
    <w:rsid w:val="00863B6C"/>
    <w:rsid w:val="00863BCE"/>
    <w:rsid w:val="00863F2C"/>
    <w:rsid w:val="00863FB4"/>
    <w:rsid w:val="0086412B"/>
    <w:rsid w:val="008642D6"/>
    <w:rsid w:val="008642F8"/>
    <w:rsid w:val="00864398"/>
    <w:rsid w:val="008643F8"/>
    <w:rsid w:val="00864464"/>
    <w:rsid w:val="00864B86"/>
    <w:rsid w:val="00864D16"/>
    <w:rsid w:val="00864E40"/>
    <w:rsid w:val="00864F7E"/>
    <w:rsid w:val="00865357"/>
    <w:rsid w:val="008656BB"/>
    <w:rsid w:val="00865BB7"/>
    <w:rsid w:val="008662CE"/>
    <w:rsid w:val="00866653"/>
    <w:rsid w:val="00866666"/>
    <w:rsid w:val="00866744"/>
    <w:rsid w:val="008667C7"/>
    <w:rsid w:val="00866B33"/>
    <w:rsid w:val="008672B8"/>
    <w:rsid w:val="00867419"/>
    <w:rsid w:val="00867902"/>
    <w:rsid w:val="008679C1"/>
    <w:rsid w:val="00867E9F"/>
    <w:rsid w:val="008700F1"/>
    <w:rsid w:val="008707CE"/>
    <w:rsid w:val="00871263"/>
    <w:rsid w:val="008714C5"/>
    <w:rsid w:val="00871581"/>
    <w:rsid w:val="00871767"/>
    <w:rsid w:val="00871E5A"/>
    <w:rsid w:val="00872511"/>
    <w:rsid w:val="008725C9"/>
    <w:rsid w:val="00872895"/>
    <w:rsid w:val="00872AB6"/>
    <w:rsid w:val="00872B37"/>
    <w:rsid w:val="00872BF9"/>
    <w:rsid w:val="00872DF3"/>
    <w:rsid w:val="0087324C"/>
    <w:rsid w:val="008732EE"/>
    <w:rsid w:val="00873A8A"/>
    <w:rsid w:val="00873B0B"/>
    <w:rsid w:val="00873D26"/>
    <w:rsid w:val="00873E49"/>
    <w:rsid w:val="00873E6F"/>
    <w:rsid w:val="008740D9"/>
    <w:rsid w:val="00874899"/>
    <w:rsid w:val="00874D2B"/>
    <w:rsid w:val="008752B8"/>
    <w:rsid w:val="00875581"/>
    <w:rsid w:val="008756AB"/>
    <w:rsid w:val="00875B78"/>
    <w:rsid w:val="00875BF6"/>
    <w:rsid w:val="00875C37"/>
    <w:rsid w:val="00875E93"/>
    <w:rsid w:val="00875EC1"/>
    <w:rsid w:val="008761AE"/>
    <w:rsid w:val="00876448"/>
    <w:rsid w:val="0087645C"/>
    <w:rsid w:val="00876AEE"/>
    <w:rsid w:val="00876C2D"/>
    <w:rsid w:val="00876CD5"/>
    <w:rsid w:val="00876FBF"/>
    <w:rsid w:val="0087722F"/>
    <w:rsid w:val="008774A6"/>
    <w:rsid w:val="00877678"/>
    <w:rsid w:val="00877A46"/>
    <w:rsid w:val="00877F55"/>
    <w:rsid w:val="0088002B"/>
    <w:rsid w:val="0088003E"/>
    <w:rsid w:val="0088040B"/>
    <w:rsid w:val="008806FF"/>
    <w:rsid w:val="0088088B"/>
    <w:rsid w:val="00880ACB"/>
    <w:rsid w:val="00880FC7"/>
    <w:rsid w:val="0088121C"/>
    <w:rsid w:val="00881282"/>
    <w:rsid w:val="0088137E"/>
    <w:rsid w:val="00881458"/>
    <w:rsid w:val="00881568"/>
    <w:rsid w:val="00881592"/>
    <w:rsid w:val="00881603"/>
    <w:rsid w:val="008817A2"/>
    <w:rsid w:val="00881BB7"/>
    <w:rsid w:val="00881BF6"/>
    <w:rsid w:val="00881EB3"/>
    <w:rsid w:val="0088201C"/>
    <w:rsid w:val="0088246C"/>
    <w:rsid w:val="00882C61"/>
    <w:rsid w:val="00882C68"/>
    <w:rsid w:val="00882D08"/>
    <w:rsid w:val="00882F47"/>
    <w:rsid w:val="008832AD"/>
    <w:rsid w:val="00883353"/>
    <w:rsid w:val="008834EB"/>
    <w:rsid w:val="00883667"/>
    <w:rsid w:val="008837B6"/>
    <w:rsid w:val="008838E8"/>
    <w:rsid w:val="00883923"/>
    <w:rsid w:val="00883AAF"/>
    <w:rsid w:val="00883BCF"/>
    <w:rsid w:val="00884AD8"/>
    <w:rsid w:val="00884C8E"/>
    <w:rsid w:val="00884CB0"/>
    <w:rsid w:val="008850DD"/>
    <w:rsid w:val="008855FD"/>
    <w:rsid w:val="0088578A"/>
    <w:rsid w:val="00885A04"/>
    <w:rsid w:val="00885BE1"/>
    <w:rsid w:val="00885BEC"/>
    <w:rsid w:val="00885C5A"/>
    <w:rsid w:val="00885CA6"/>
    <w:rsid w:val="00885D30"/>
    <w:rsid w:val="0088664A"/>
    <w:rsid w:val="0088691C"/>
    <w:rsid w:val="00886AE7"/>
    <w:rsid w:val="00886FE6"/>
    <w:rsid w:val="008871C8"/>
    <w:rsid w:val="0088742B"/>
    <w:rsid w:val="0088767C"/>
    <w:rsid w:val="008877FA"/>
    <w:rsid w:val="00887852"/>
    <w:rsid w:val="00887C50"/>
    <w:rsid w:val="00887C55"/>
    <w:rsid w:val="00887E7A"/>
    <w:rsid w:val="0089002F"/>
    <w:rsid w:val="00890098"/>
    <w:rsid w:val="00890683"/>
    <w:rsid w:val="00890882"/>
    <w:rsid w:val="00890F08"/>
    <w:rsid w:val="008911AE"/>
    <w:rsid w:val="008911CE"/>
    <w:rsid w:val="008912F1"/>
    <w:rsid w:val="00891A95"/>
    <w:rsid w:val="00891DD4"/>
    <w:rsid w:val="00891DD5"/>
    <w:rsid w:val="00891FE5"/>
    <w:rsid w:val="008920C1"/>
    <w:rsid w:val="008921B6"/>
    <w:rsid w:val="008922E2"/>
    <w:rsid w:val="00892373"/>
    <w:rsid w:val="0089241B"/>
    <w:rsid w:val="00892AA0"/>
    <w:rsid w:val="00892E27"/>
    <w:rsid w:val="00892F1B"/>
    <w:rsid w:val="00892F6D"/>
    <w:rsid w:val="008932C5"/>
    <w:rsid w:val="00893358"/>
    <w:rsid w:val="00893431"/>
    <w:rsid w:val="008935D7"/>
    <w:rsid w:val="0089364C"/>
    <w:rsid w:val="008936A7"/>
    <w:rsid w:val="008936B5"/>
    <w:rsid w:val="00893988"/>
    <w:rsid w:val="008939FF"/>
    <w:rsid w:val="00893D26"/>
    <w:rsid w:val="00893DD3"/>
    <w:rsid w:val="0089400D"/>
    <w:rsid w:val="0089411D"/>
    <w:rsid w:val="008945F1"/>
    <w:rsid w:val="00894607"/>
    <w:rsid w:val="00894740"/>
    <w:rsid w:val="00894848"/>
    <w:rsid w:val="008955F6"/>
    <w:rsid w:val="0089575D"/>
    <w:rsid w:val="008958B7"/>
    <w:rsid w:val="00895AF9"/>
    <w:rsid w:val="00896068"/>
    <w:rsid w:val="008966DB"/>
    <w:rsid w:val="00896754"/>
    <w:rsid w:val="00896B33"/>
    <w:rsid w:val="00897189"/>
    <w:rsid w:val="008971E4"/>
    <w:rsid w:val="0089768E"/>
    <w:rsid w:val="00897BAB"/>
    <w:rsid w:val="008A01CC"/>
    <w:rsid w:val="008A05C2"/>
    <w:rsid w:val="008A06C7"/>
    <w:rsid w:val="008A08E8"/>
    <w:rsid w:val="008A0A72"/>
    <w:rsid w:val="008A0E38"/>
    <w:rsid w:val="008A1159"/>
    <w:rsid w:val="008A1416"/>
    <w:rsid w:val="008A173C"/>
    <w:rsid w:val="008A19AE"/>
    <w:rsid w:val="008A1B2E"/>
    <w:rsid w:val="008A1C71"/>
    <w:rsid w:val="008A1F41"/>
    <w:rsid w:val="008A2380"/>
    <w:rsid w:val="008A2772"/>
    <w:rsid w:val="008A2C47"/>
    <w:rsid w:val="008A2C57"/>
    <w:rsid w:val="008A2D2A"/>
    <w:rsid w:val="008A2D4C"/>
    <w:rsid w:val="008A2E1B"/>
    <w:rsid w:val="008A2FCE"/>
    <w:rsid w:val="008A3078"/>
    <w:rsid w:val="008A3147"/>
    <w:rsid w:val="008A364C"/>
    <w:rsid w:val="008A36B3"/>
    <w:rsid w:val="008A3782"/>
    <w:rsid w:val="008A393D"/>
    <w:rsid w:val="008A3EA2"/>
    <w:rsid w:val="008A4760"/>
    <w:rsid w:val="008A47C7"/>
    <w:rsid w:val="008A4812"/>
    <w:rsid w:val="008A4846"/>
    <w:rsid w:val="008A48F5"/>
    <w:rsid w:val="008A49F9"/>
    <w:rsid w:val="008A4ABD"/>
    <w:rsid w:val="008A4FC6"/>
    <w:rsid w:val="008A5438"/>
    <w:rsid w:val="008A59BA"/>
    <w:rsid w:val="008A5CEE"/>
    <w:rsid w:val="008A5D34"/>
    <w:rsid w:val="008A5EBA"/>
    <w:rsid w:val="008A5FDA"/>
    <w:rsid w:val="008A63FA"/>
    <w:rsid w:val="008A6614"/>
    <w:rsid w:val="008A666A"/>
    <w:rsid w:val="008A6A2D"/>
    <w:rsid w:val="008A6C55"/>
    <w:rsid w:val="008A6E95"/>
    <w:rsid w:val="008A7BFB"/>
    <w:rsid w:val="008B0462"/>
    <w:rsid w:val="008B058C"/>
    <w:rsid w:val="008B08A2"/>
    <w:rsid w:val="008B0989"/>
    <w:rsid w:val="008B09B0"/>
    <w:rsid w:val="008B0C86"/>
    <w:rsid w:val="008B0DBB"/>
    <w:rsid w:val="008B0FD1"/>
    <w:rsid w:val="008B1233"/>
    <w:rsid w:val="008B1326"/>
    <w:rsid w:val="008B1377"/>
    <w:rsid w:val="008B1712"/>
    <w:rsid w:val="008B173E"/>
    <w:rsid w:val="008B17E1"/>
    <w:rsid w:val="008B1D19"/>
    <w:rsid w:val="008B2216"/>
    <w:rsid w:val="008B2671"/>
    <w:rsid w:val="008B2E68"/>
    <w:rsid w:val="008B3C79"/>
    <w:rsid w:val="008B4141"/>
    <w:rsid w:val="008B42E6"/>
    <w:rsid w:val="008B4ADC"/>
    <w:rsid w:val="008B4B83"/>
    <w:rsid w:val="008B4BF0"/>
    <w:rsid w:val="008B4D3D"/>
    <w:rsid w:val="008B50C7"/>
    <w:rsid w:val="008B526E"/>
    <w:rsid w:val="008B547C"/>
    <w:rsid w:val="008B57C2"/>
    <w:rsid w:val="008B5CB5"/>
    <w:rsid w:val="008B6628"/>
    <w:rsid w:val="008B680C"/>
    <w:rsid w:val="008B6927"/>
    <w:rsid w:val="008B7099"/>
    <w:rsid w:val="008B724E"/>
    <w:rsid w:val="008B769A"/>
    <w:rsid w:val="008B7C92"/>
    <w:rsid w:val="008B7E3D"/>
    <w:rsid w:val="008C0534"/>
    <w:rsid w:val="008C0577"/>
    <w:rsid w:val="008C060E"/>
    <w:rsid w:val="008C0A3A"/>
    <w:rsid w:val="008C0A7A"/>
    <w:rsid w:val="008C0C19"/>
    <w:rsid w:val="008C131E"/>
    <w:rsid w:val="008C13D6"/>
    <w:rsid w:val="008C16CF"/>
    <w:rsid w:val="008C17C9"/>
    <w:rsid w:val="008C190F"/>
    <w:rsid w:val="008C1965"/>
    <w:rsid w:val="008C1AD2"/>
    <w:rsid w:val="008C1DD5"/>
    <w:rsid w:val="008C1FF2"/>
    <w:rsid w:val="008C22FC"/>
    <w:rsid w:val="008C2915"/>
    <w:rsid w:val="008C2A16"/>
    <w:rsid w:val="008C2D23"/>
    <w:rsid w:val="008C2E3B"/>
    <w:rsid w:val="008C2FA9"/>
    <w:rsid w:val="008C326B"/>
    <w:rsid w:val="008C3B88"/>
    <w:rsid w:val="008C3F49"/>
    <w:rsid w:val="008C43EF"/>
    <w:rsid w:val="008C4489"/>
    <w:rsid w:val="008C44F2"/>
    <w:rsid w:val="008C45E2"/>
    <w:rsid w:val="008C4CB3"/>
    <w:rsid w:val="008C4D2C"/>
    <w:rsid w:val="008C4E84"/>
    <w:rsid w:val="008C5299"/>
    <w:rsid w:val="008C558D"/>
    <w:rsid w:val="008C58D1"/>
    <w:rsid w:val="008C5967"/>
    <w:rsid w:val="008C60C0"/>
    <w:rsid w:val="008C622B"/>
    <w:rsid w:val="008C66F9"/>
    <w:rsid w:val="008C6BFA"/>
    <w:rsid w:val="008C6C0A"/>
    <w:rsid w:val="008C6C4C"/>
    <w:rsid w:val="008C70B8"/>
    <w:rsid w:val="008C73BC"/>
    <w:rsid w:val="008C76C9"/>
    <w:rsid w:val="008C7998"/>
    <w:rsid w:val="008C7B96"/>
    <w:rsid w:val="008C7C1F"/>
    <w:rsid w:val="008C7F33"/>
    <w:rsid w:val="008D0520"/>
    <w:rsid w:val="008D0A59"/>
    <w:rsid w:val="008D0B62"/>
    <w:rsid w:val="008D0DFB"/>
    <w:rsid w:val="008D0F03"/>
    <w:rsid w:val="008D1233"/>
    <w:rsid w:val="008D165E"/>
    <w:rsid w:val="008D17C7"/>
    <w:rsid w:val="008D1E4E"/>
    <w:rsid w:val="008D1F36"/>
    <w:rsid w:val="008D20A9"/>
    <w:rsid w:val="008D24DF"/>
    <w:rsid w:val="008D25F8"/>
    <w:rsid w:val="008D267F"/>
    <w:rsid w:val="008D2A6F"/>
    <w:rsid w:val="008D2C05"/>
    <w:rsid w:val="008D2CC4"/>
    <w:rsid w:val="008D2EA2"/>
    <w:rsid w:val="008D3156"/>
    <w:rsid w:val="008D31CE"/>
    <w:rsid w:val="008D37DC"/>
    <w:rsid w:val="008D387C"/>
    <w:rsid w:val="008D3AF6"/>
    <w:rsid w:val="008D4083"/>
    <w:rsid w:val="008D43FE"/>
    <w:rsid w:val="008D4439"/>
    <w:rsid w:val="008D480B"/>
    <w:rsid w:val="008D4A5D"/>
    <w:rsid w:val="008D4BB1"/>
    <w:rsid w:val="008D4C61"/>
    <w:rsid w:val="008D4CDD"/>
    <w:rsid w:val="008D4D1C"/>
    <w:rsid w:val="008D4D2A"/>
    <w:rsid w:val="008D51E7"/>
    <w:rsid w:val="008D5750"/>
    <w:rsid w:val="008D5A57"/>
    <w:rsid w:val="008D6184"/>
    <w:rsid w:val="008D6386"/>
    <w:rsid w:val="008D69E4"/>
    <w:rsid w:val="008D6ACC"/>
    <w:rsid w:val="008D6C51"/>
    <w:rsid w:val="008D7081"/>
    <w:rsid w:val="008D7524"/>
    <w:rsid w:val="008D7565"/>
    <w:rsid w:val="008D7BD7"/>
    <w:rsid w:val="008D7C06"/>
    <w:rsid w:val="008E003C"/>
    <w:rsid w:val="008E0081"/>
    <w:rsid w:val="008E0184"/>
    <w:rsid w:val="008E01BF"/>
    <w:rsid w:val="008E02A0"/>
    <w:rsid w:val="008E0BA3"/>
    <w:rsid w:val="008E0D76"/>
    <w:rsid w:val="008E0F8B"/>
    <w:rsid w:val="008E1A3E"/>
    <w:rsid w:val="008E1F98"/>
    <w:rsid w:val="008E2108"/>
    <w:rsid w:val="008E246F"/>
    <w:rsid w:val="008E27EA"/>
    <w:rsid w:val="008E294D"/>
    <w:rsid w:val="008E2B18"/>
    <w:rsid w:val="008E2EE7"/>
    <w:rsid w:val="008E3443"/>
    <w:rsid w:val="008E377E"/>
    <w:rsid w:val="008E39E0"/>
    <w:rsid w:val="008E3D2F"/>
    <w:rsid w:val="008E3FA2"/>
    <w:rsid w:val="008E44E9"/>
    <w:rsid w:val="008E4682"/>
    <w:rsid w:val="008E4A7D"/>
    <w:rsid w:val="008E5513"/>
    <w:rsid w:val="008E56E4"/>
    <w:rsid w:val="008E5772"/>
    <w:rsid w:val="008E5B98"/>
    <w:rsid w:val="008E5F5C"/>
    <w:rsid w:val="008E6345"/>
    <w:rsid w:val="008E6380"/>
    <w:rsid w:val="008E63E4"/>
    <w:rsid w:val="008E6C03"/>
    <w:rsid w:val="008E6DA2"/>
    <w:rsid w:val="008E7B88"/>
    <w:rsid w:val="008F0085"/>
    <w:rsid w:val="008F00B4"/>
    <w:rsid w:val="008F025A"/>
    <w:rsid w:val="008F03DD"/>
    <w:rsid w:val="008F0A56"/>
    <w:rsid w:val="008F0E14"/>
    <w:rsid w:val="008F0EF0"/>
    <w:rsid w:val="008F12CB"/>
    <w:rsid w:val="008F1316"/>
    <w:rsid w:val="008F13E6"/>
    <w:rsid w:val="008F1CE7"/>
    <w:rsid w:val="008F1E94"/>
    <w:rsid w:val="008F223C"/>
    <w:rsid w:val="008F22EB"/>
    <w:rsid w:val="008F2391"/>
    <w:rsid w:val="008F26A3"/>
    <w:rsid w:val="008F26A9"/>
    <w:rsid w:val="008F2A57"/>
    <w:rsid w:val="008F3794"/>
    <w:rsid w:val="008F3B8F"/>
    <w:rsid w:val="008F3BD5"/>
    <w:rsid w:val="008F3D4E"/>
    <w:rsid w:val="008F3FF1"/>
    <w:rsid w:val="008F4251"/>
    <w:rsid w:val="008F43D2"/>
    <w:rsid w:val="008F4407"/>
    <w:rsid w:val="008F4653"/>
    <w:rsid w:val="008F4A33"/>
    <w:rsid w:val="008F4B8E"/>
    <w:rsid w:val="008F4BEA"/>
    <w:rsid w:val="008F4C05"/>
    <w:rsid w:val="008F4C8F"/>
    <w:rsid w:val="008F4E90"/>
    <w:rsid w:val="008F5201"/>
    <w:rsid w:val="008F553B"/>
    <w:rsid w:val="008F59AF"/>
    <w:rsid w:val="008F5E17"/>
    <w:rsid w:val="008F61B2"/>
    <w:rsid w:val="008F622B"/>
    <w:rsid w:val="008F63A2"/>
    <w:rsid w:val="008F6612"/>
    <w:rsid w:val="008F6A23"/>
    <w:rsid w:val="008F6BE2"/>
    <w:rsid w:val="008F6D7B"/>
    <w:rsid w:val="008F6D97"/>
    <w:rsid w:val="008F6F60"/>
    <w:rsid w:val="008F7096"/>
    <w:rsid w:val="008F7227"/>
    <w:rsid w:val="008F7288"/>
    <w:rsid w:val="008F7C14"/>
    <w:rsid w:val="008F7C6B"/>
    <w:rsid w:val="009004F6"/>
    <w:rsid w:val="0090060C"/>
    <w:rsid w:val="00900731"/>
    <w:rsid w:val="00900B08"/>
    <w:rsid w:val="00900BBD"/>
    <w:rsid w:val="00900E88"/>
    <w:rsid w:val="00900FCE"/>
    <w:rsid w:val="009010F6"/>
    <w:rsid w:val="009011AD"/>
    <w:rsid w:val="009012A2"/>
    <w:rsid w:val="009014A2"/>
    <w:rsid w:val="009023FB"/>
    <w:rsid w:val="009024A7"/>
    <w:rsid w:val="00902719"/>
    <w:rsid w:val="00902B99"/>
    <w:rsid w:val="00902BFD"/>
    <w:rsid w:val="00902CAD"/>
    <w:rsid w:val="00902F51"/>
    <w:rsid w:val="009030EB"/>
    <w:rsid w:val="00903237"/>
    <w:rsid w:val="0090328F"/>
    <w:rsid w:val="00903364"/>
    <w:rsid w:val="009036F8"/>
    <w:rsid w:val="0090373D"/>
    <w:rsid w:val="0090389C"/>
    <w:rsid w:val="00903978"/>
    <w:rsid w:val="00904015"/>
    <w:rsid w:val="0090404A"/>
    <w:rsid w:val="0090455B"/>
    <w:rsid w:val="00904B18"/>
    <w:rsid w:val="00904B35"/>
    <w:rsid w:val="00904B6B"/>
    <w:rsid w:val="00904B71"/>
    <w:rsid w:val="00904EFB"/>
    <w:rsid w:val="00904FA6"/>
    <w:rsid w:val="0090570D"/>
    <w:rsid w:val="0090588B"/>
    <w:rsid w:val="00905C11"/>
    <w:rsid w:val="00905EE4"/>
    <w:rsid w:val="00905FA2"/>
    <w:rsid w:val="0090649B"/>
    <w:rsid w:val="0090663C"/>
    <w:rsid w:val="00906CCE"/>
    <w:rsid w:val="0090700A"/>
    <w:rsid w:val="009073BA"/>
    <w:rsid w:val="009075B4"/>
    <w:rsid w:val="009075E3"/>
    <w:rsid w:val="00907B13"/>
    <w:rsid w:val="00907BE7"/>
    <w:rsid w:val="00910016"/>
    <w:rsid w:val="009100B6"/>
    <w:rsid w:val="00910437"/>
    <w:rsid w:val="00910722"/>
    <w:rsid w:val="00910BCA"/>
    <w:rsid w:val="00911054"/>
    <w:rsid w:val="009110D7"/>
    <w:rsid w:val="00911377"/>
    <w:rsid w:val="00911B67"/>
    <w:rsid w:val="009123A2"/>
    <w:rsid w:val="0091278E"/>
    <w:rsid w:val="00912959"/>
    <w:rsid w:val="00912C77"/>
    <w:rsid w:val="009132F7"/>
    <w:rsid w:val="0091359C"/>
    <w:rsid w:val="009135AA"/>
    <w:rsid w:val="00913665"/>
    <w:rsid w:val="00913BC5"/>
    <w:rsid w:val="009141BA"/>
    <w:rsid w:val="009145B8"/>
    <w:rsid w:val="0091479E"/>
    <w:rsid w:val="0091483E"/>
    <w:rsid w:val="00914F87"/>
    <w:rsid w:val="00915032"/>
    <w:rsid w:val="0091548C"/>
    <w:rsid w:val="00915949"/>
    <w:rsid w:val="00915C51"/>
    <w:rsid w:val="00915E83"/>
    <w:rsid w:val="00916460"/>
    <w:rsid w:val="00916510"/>
    <w:rsid w:val="00916C90"/>
    <w:rsid w:val="00916D7F"/>
    <w:rsid w:val="00916D8B"/>
    <w:rsid w:val="00916E5A"/>
    <w:rsid w:val="009178D2"/>
    <w:rsid w:val="00917CF6"/>
    <w:rsid w:val="00917E49"/>
    <w:rsid w:val="00917F76"/>
    <w:rsid w:val="00917F9E"/>
    <w:rsid w:val="00920126"/>
    <w:rsid w:val="00920AB2"/>
    <w:rsid w:val="00920BC6"/>
    <w:rsid w:val="00920D71"/>
    <w:rsid w:val="00920EA5"/>
    <w:rsid w:val="009217AE"/>
    <w:rsid w:val="009217B5"/>
    <w:rsid w:val="009218A0"/>
    <w:rsid w:val="00921B12"/>
    <w:rsid w:val="00921B73"/>
    <w:rsid w:val="00921BD9"/>
    <w:rsid w:val="00921C82"/>
    <w:rsid w:val="00921E45"/>
    <w:rsid w:val="00921E74"/>
    <w:rsid w:val="00921F53"/>
    <w:rsid w:val="00922275"/>
    <w:rsid w:val="00922318"/>
    <w:rsid w:val="0092277F"/>
    <w:rsid w:val="00922784"/>
    <w:rsid w:val="00922798"/>
    <w:rsid w:val="00922935"/>
    <w:rsid w:val="00922EC4"/>
    <w:rsid w:val="00922FDC"/>
    <w:rsid w:val="00923178"/>
    <w:rsid w:val="00923373"/>
    <w:rsid w:val="009235AF"/>
    <w:rsid w:val="009237C4"/>
    <w:rsid w:val="009237E1"/>
    <w:rsid w:val="009239C7"/>
    <w:rsid w:val="00923B21"/>
    <w:rsid w:val="00923E50"/>
    <w:rsid w:val="00923F61"/>
    <w:rsid w:val="009241D5"/>
    <w:rsid w:val="0092421E"/>
    <w:rsid w:val="00924512"/>
    <w:rsid w:val="00924B71"/>
    <w:rsid w:val="00924D34"/>
    <w:rsid w:val="00925235"/>
    <w:rsid w:val="0092525F"/>
    <w:rsid w:val="009255AA"/>
    <w:rsid w:val="00925634"/>
    <w:rsid w:val="009257A0"/>
    <w:rsid w:val="0092592B"/>
    <w:rsid w:val="00925AF4"/>
    <w:rsid w:val="00925B3D"/>
    <w:rsid w:val="00926156"/>
    <w:rsid w:val="00926164"/>
    <w:rsid w:val="0092637C"/>
    <w:rsid w:val="0092639D"/>
    <w:rsid w:val="00926651"/>
    <w:rsid w:val="00926811"/>
    <w:rsid w:val="00926A58"/>
    <w:rsid w:val="00926AF5"/>
    <w:rsid w:val="00926BDD"/>
    <w:rsid w:val="00926F26"/>
    <w:rsid w:val="00926F90"/>
    <w:rsid w:val="00926FB5"/>
    <w:rsid w:val="009270C4"/>
    <w:rsid w:val="009272E0"/>
    <w:rsid w:val="009274D0"/>
    <w:rsid w:val="00927751"/>
    <w:rsid w:val="009277F3"/>
    <w:rsid w:val="00927834"/>
    <w:rsid w:val="00927B87"/>
    <w:rsid w:val="00927C88"/>
    <w:rsid w:val="00927DD1"/>
    <w:rsid w:val="00927F02"/>
    <w:rsid w:val="00930148"/>
    <w:rsid w:val="00930213"/>
    <w:rsid w:val="0093029B"/>
    <w:rsid w:val="009303C5"/>
    <w:rsid w:val="009304B2"/>
    <w:rsid w:val="009304BC"/>
    <w:rsid w:val="009304E0"/>
    <w:rsid w:val="00930726"/>
    <w:rsid w:val="00930F3A"/>
    <w:rsid w:val="0093111A"/>
    <w:rsid w:val="009311D4"/>
    <w:rsid w:val="0093153E"/>
    <w:rsid w:val="00931A65"/>
    <w:rsid w:val="00931D41"/>
    <w:rsid w:val="00931EF0"/>
    <w:rsid w:val="0093200A"/>
    <w:rsid w:val="0093234E"/>
    <w:rsid w:val="009325A6"/>
    <w:rsid w:val="009326C1"/>
    <w:rsid w:val="00932BDE"/>
    <w:rsid w:val="00932D17"/>
    <w:rsid w:val="00932D35"/>
    <w:rsid w:val="00932E26"/>
    <w:rsid w:val="009330DB"/>
    <w:rsid w:val="009332F9"/>
    <w:rsid w:val="00933308"/>
    <w:rsid w:val="00933AB7"/>
    <w:rsid w:val="00933BEC"/>
    <w:rsid w:val="00934113"/>
    <w:rsid w:val="009343C1"/>
    <w:rsid w:val="00934476"/>
    <w:rsid w:val="009345A0"/>
    <w:rsid w:val="0093460A"/>
    <w:rsid w:val="00934767"/>
    <w:rsid w:val="0093481C"/>
    <w:rsid w:val="00934A84"/>
    <w:rsid w:val="00935310"/>
    <w:rsid w:val="0093570B"/>
    <w:rsid w:val="009359C4"/>
    <w:rsid w:val="00936274"/>
    <w:rsid w:val="00936297"/>
    <w:rsid w:val="009366B9"/>
    <w:rsid w:val="009366ED"/>
    <w:rsid w:val="00936CE2"/>
    <w:rsid w:val="00936EBB"/>
    <w:rsid w:val="00936F03"/>
    <w:rsid w:val="0093715D"/>
    <w:rsid w:val="0093725D"/>
    <w:rsid w:val="009378AD"/>
    <w:rsid w:val="009379AB"/>
    <w:rsid w:val="00937C2A"/>
    <w:rsid w:val="00937C36"/>
    <w:rsid w:val="00937D5B"/>
    <w:rsid w:val="00937EAC"/>
    <w:rsid w:val="00940137"/>
    <w:rsid w:val="0094014D"/>
    <w:rsid w:val="00940869"/>
    <w:rsid w:val="00940B3B"/>
    <w:rsid w:val="00940EC9"/>
    <w:rsid w:val="00940EE2"/>
    <w:rsid w:val="00940EE4"/>
    <w:rsid w:val="0094154B"/>
    <w:rsid w:val="009417ED"/>
    <w:rsid w:val="009418DE"/>
    <w:rsid w:val="00941BBB"/>
    <w:rsid w:val="00941EA5"/>
    <w:rsid w:val="00942120"/>
    <w:rsid w:val="009424A2"/>
    <w:rsid w:val="009424CB"/>
    <w:rsid w:val="0094250E"/>
    <w:rsid w:val="0094314E"/>
    <w:rsid w:val="00943784"/>
    <w:rsid w:val="0094395F"/>
    <w:rsid w:val="00943C2C"/>
    <w:rsid w:val="0094419A"/>
    <w:rsid w:val="009441F5"/>
    <w:rsid w:val="009443B4"/>
    <w:rsid w:val="00944657"/>
    <w:rsid w:val="009449F3"/>
    <w:rsid w:val="00944B8D"/>
    <w:rsid w:val="00944CAB"/>
    <w:rsid w:val="009452E9"/>
    <w:rsid w:val="009455BD"/>
    <w:rsid w:val="009457B0"/>
    <w:rsid w:val="00945F5E"/>
    <w:rsid w:val="009460A4"/>
    <w:rsid w:val="009461CD"/>
    <w:rsid w:val="0094636E"/>
    <w:rsid w:val="0094661F"/>
    <w:rsid w:val="009467E6"/>
    <w:rsid w:val="00946A84"/>
    <w:rsid w:val="00946CA6"/>
    <w:rsid w:val="00947531"/>
    <w:rsid w:val="00947A21"/>
    <w:rsid w:val="00947EDA"/>
    <w:rsid w:val="00950409"/>
    <w:rsid w:val="0095045A"/>
    <w:rsid w:val="00950A7F"/>
    <w:rsid w:val="00950AE9"/>
    <w:rsid w:val="00950D4E"/>
    <w:rsid w:val="009514BE"/>
    <w:rsid w:val="00951780"/>
    <w:rsid w:val="00951D3C"/>
    <w:rsid w:val="00951E36"/>
    <w:rsid w:val="00951ED3"/>
    <w:rsid w:val="0095206F"/>
    <w:rsid w:val="0095266A"/>
    <w:rsid w:val="009526C9"/>
    <w:rsid w:val="009527FE"/>
    <w:rsid w:val="00952B4D"/>
    <w:rsid w:val="00952C42"/>
    <w:rsid w:val="00953015"/>
    <w:rsid w:val="009532A5"/>
    <w:rsid w:val="00953319"/>
    <w:rsid w:val="00953356"/>
    <w:rsid w:val="00953380"/>
    <w:rsid w:val="00953AE1"/>
    <w:rsid w:val="00953D04"/>
    <w:rsid w:val="00953D4E"/>
    <w:rsid w:val="009540AE"/>
    <w:rsid w:val="00954225"/>
    <w:rsid w:val="00954E44"/>
    <w:rsid w:val="00954ED6"/>
    <w:rsid w:val="00955698"/>
    <w:rsid w:val="00955847"/>
    <w:rsid w:val="00955AD7"/>
    <w:rsid w:val="00955BA7"/>
    <w:rsid w:val="00955BBB"/>
    <w:rsid w:val="00955D1E"/>
    <w:rsid w:val="00955E6F"/>
    <w:rsid w:val="00955EB7"/>
    <w:rsid w:val="009560D6"/>
    <w:rsid w:val="0095643F"/>
    <w:rsid w:val="009567AC"/>
    <w:rsid w:val="00956BB0"/>
    <w:rsid w:val="00956FB3"/>
    <w:rsid w:val="00957225"/>
    <w:rsid w:val="00957607"/>
    <w:rsid w:val="00957723"/>
    <w:rsid w:val="009578D0"/>
    <w:rsid w:val="00957B12"/>
    <w:rsid w:val="00957ECC"/>
    <w:rsid w:val="00960124"/>
    <w:rsid w:val="009607F7"/>
    <w:rsid w:val="009609BB"/>
    <w:rsid w:val="00960F8B"/>
    <w:rsid w:val="00961292"/>
    <w:rsid w:val="00961359"/>
    <w:rsid w:val="00961399"/>
    <w:rsid w:val="00961516"/>
    <w:rsid w:val="009615CD"/>
    <w:rsid w:val="0096163B"/>
    <w:rsid w:val="00961A97"/>
    <w:rsid w:val="00961CA7"/>
    <w:rsid w:val="00962311"/>
    <w:rsid w:val="009623AB"/>
    <w:rsid w:val="009625A5"/>
    <w:rsid w:val="00962884"/>
    <w:rsid w:val="009628A8"/>
    <w:rsid w:val="0096291F"/>
    <w:rsid w:val="00962F1A"/>
    <w:rsid w:val="0096312E"/>
    <w:rsid w:val="00963457"/>
    <w:rsid w:val="0096348F"/>
    <w:rsid w:val="0096350C"/>
    <w:rsid w:val="00963D05"/>
    <w:rsid w:val="00964190"/>
    <w:rsid w:val="00964235"/>
    <w:rsid w:val="009642A6"/>
    <w:rsid w:val="00964470"/>
    <w:rsid w:val="00964519"/>
    <w:rsid w:val="0096452F"/>
    <w:rsid w:val="00964548"/>
    <w:rsid w:val="00964800"/>
    <w:rsid w:val="00964E4C"/>
    <w:rsid w:val="009652F3"/>
    <w:rsid w:val="00965562"/>
    <w:rsid w:val="009655B6"/>
    <w:rsid w:val="00965C51"/>
    <w:rsid w:val="009664B0"/>
    <w:rsid w:val="009664F5"/>
    <w:rsid w:val="009665A9"/>
    <w:rsid w:val="00966A79"/>
    <w:rsid w:val="00966B86"/>
    <w:rsid w:val="009671B5"/>
    <w:rsid w:val="009674D1"/>
    <w:rsid w:val="00967753"/>
    <w:rsid w:val="00967D86"/>
    <w:rsid w:val="00967F76"/>
    <w:rsid w:val="00970003"/>
    <w:rsid w:val="009707ED"/>
    <w:rsid w:val="00970AB3"/>
    <w:rsid w:val="00970C6B"/>
    <w:rsid w:val="00970C6C"/>
    <w:rsid w:val="009718CC"/>
    <w:rsid w:val="009719EF"/>
    <w:rsid w:val="00971AEF"/>
    <w:rsid w:val="00971C6C"/>
    <w:rsid w:val="00971E10"/>
    <w:rsid w:val="00971E90"/>
    <w:rsid w:val="00972318"/>
    <w:rsid w:val="00972519"/>
    <w:rsid w:val="00972770"/>
    <w:rsid w:val="00973142"/>
    <w:rsid w:val="009735C6"/>
    <w:rsid w:val="00973B5A"/>
    <w:rsid w:val="009741DE"/>
    <w:rsid w:val="0097460B"/>
    <w:rsid w:val="009747B9"/>
    <w:rsid w:val="00974B07"/>
    <w:rsid w:val="00974D03"/>
    <w:rsid w:val="00974D41"/>
    <w:rsid w:val="0097508F"/>
    <w:rsid w:val="0097524F"/>
    <w:rsid w:val="009752D8"/>
    <w:rsid w:val="0097565C"/>
    <w:rsid w:val="009759CE"/>
    <w:rsid w:val="009759D4"/>
    <w:rsid w:val="00975F62"/>
    <w:rsid w:val="00976239"/>
    <w:rsid w:val="0097637B"/>
    <w:rsid w:val="00976AD6"/>
    <w:rsid w:val="00976C6C"/>
    <w:rsid w:val="00976D70"/>
    <w:rsid w:val="0097711C"/>
    <w:rsid w:val="009772F1"/>
    <w:rsid w:val="00977503"/>
    <w:rsid w:val="009776D0"/>
    <w:rsid w:val="00977773"/>
    <w:rsid w:val="009777D6"/>
    <w:rsid w:val="009777F7"/>
    <w:rsid w:val="009778CC"/>
    <w:rsid w:val="00977EF0"/>
    <w:rsid w:val="00980247"/>
    <w:rsid w:val="009805E1"/>
    <w:rsid w:val="00980623"/>
    <w:rsid w:val="009806F5"/>
    <w:rsid w:val="0098079B"/>
    <w:rsid w:val="00980902"/>
    <w:rsid w:val="00981071"/>
    <w:rsid w:val="009811AE"/>
    <w:rsid w:val="009814AF"/>
    <w:rsid w:val="0098171E"/>
    <w:rsid w:val="009817AE"/>
    <w:rsid w:val="009819BD"/>
    <w:rsid w:val="00981ECC"/>
    <w:rsid w:val="009821F7"/>
    <w:rsid w:val="009834C8"/>
    <w:rsid w:val="00983503"/>
    <w:rsid w:val="00983AB3"/>
    <w:rsid w:val="00983D65"/>
    <w:rsid w:val="00983F56"/>
    <w:rsid w:val="0098438C"/>
    <w:rsid w:val="009844AF"/>
    <w:rsid w:val="0098486E"/>
    <w:rsid w:val="00984B5B"/>
    <w:rsid w:val="00984F40"/>
    <w:rsid w:val="00985287"/>
    <w:rsid w:val="009854C3"/>
    <w:rsid w:val="009857C7"/>
    <w:rsid w:val="00985A3D"/>
    <w:rsid w:val="00985BAD"/>
    <w:rsid w:val="00985CDB"/>
    <w:rsid w:val="0098643A"/>
    <w:rsid w:val="00986461"/>
    <w:rsid w:val="009866BB"/>
    <w:rsid w:val="00986DA8"/>
    <w:rsid w:val="00986DF5"/>
    <w:rsid w:val="009873C1"/>
    <w:rsid w:val="0098772B"/>
    <w:rsid w:val="009879A7"/>
    <w:rsid w:val="00987B79"/>
    <w:rsid w:val="00987C8C"/>
    <w:rsid w:val="00987CD6"/>
    <w:rsid w:val="00987DCB"/>
    <w:rsid w:val="00987DDB"/>
    <w:rsid w:val="00987FEA"/>
    <w:rsid w:val="0099044C"/>
    <w:rsid w:val="009905A0"/>
    <w:rsid w:val="00990CB3"/>
    <w:rsid w:val="009913C9"/>
    <w:rsid w:val="00991448"/>
    <w:rsid w:val="00991450"/>
    <w:rsid w:val="00991598"/>
    <w:rsid w:val="009915E3"/>
    <w:rsid w:val="009917D3"/>
    <w:rsid w:val="00991BB5"/>
    <w:rsid w:val="00991D58"/>
    <w:rsid w:val="00991E8E"/>
    <w:rsid w:val="009920FD"/>
    <w:rsid w:val="00992279"/>
    <w:rsid w:val="009922C0"/>
    <w:rsid w:val="009924A9"/>
    <w:rsid w:val="0099285F"/>
    <w:rsid w:val="009928A8"/>
    <w:rsid w:val="00992C00"/>
    <w:rsid w:val="00992E8B"/>
    <w:rsid w:val="00992FFA"/>
    <w:rsid w:val="00993239"/>
    <w:rsid w:val="0099360E"/>
    <w:rsid w:val="00993700"/>
    <w:rsid w:val="009937AE"/>
    <w:rsid w:val="0099390E"/>
    <w:rsid w:val="00993BA8"/>
    <w:rsid w:val="00993F55"/>
    <w:rsid w:val="009940EC"/>
    <w:rsid w:val="009940F2"/>
    <w:rsid w:val="00994219"/>
    <w:rsid w:val="0099421F"/>
    <w:rsid w:val="00994597"/>
    <w:rsid w:val="009946C3"/>
    <w:rsid w:val="00994BDA"/>
    <w:rsid w:val="00994E13"/>
    <w:rsid w:val="0099548B"/>
    <w:rsid w:val="0099558B"/>
    <w:rsid w:val="00995663"/>
    <w:rsid w:val="00995BF2"/>
    <w:rsid w:val="00995C6C"/>
    <w:rsid w:val="00996464"/>
    <w:rsid w:val="009966BB"/>
    <w:rsid w:val="00996714"/>
    <w:rsid w:val="009967B7"/>
    <w:rsid w:val="0099681A"/>
    <w:rsid w:val="00996999"/>
    <w:rsid w:val="00996AC7"/>
    <w:rsid w:val="00996B09"/>
    <w:rsid w:val="00996CF9"/>
    <w:rsid w:val="009972A9"/>
    <w:rsid w:val="00997558"/>
    <w:rsid w:val="0099771E"/>
    <w:rsid w:val="009979FA"/>
    <w:rsid w:val="00997B43"/>
    <w:rsid w:val="00997B73"/>
    <w:rsid w:val="009A048E"/>
    <w:rsid w:val="009A095B"/>
    <w:rsid w:val="009A0A84"/>
    <w:rsid w:val="009A0BF1"/>
    <w:rsid w:val="009A0D0C"/>
    <w:rsid w:val="009A15DE"/>
    <w:rsid w:val="009A165C"/>
    <w:rsid w:val="009A1AC0"/>
    <w:rsid w:val="009A1BE2"/>
    <w:rsid w:val="009A1CFD"/>
    <w:rsid w:val="009A1F8B"/>
    <w:rsid w:val="009A202B"/>
    <w:rsid w:val="009A205F"/>
    <w:rsid w:val="009A2164"/>
    <w:rsid w:val="009A24F2"/>
    <w:rsid w:val="009A25B6"/>
    <w:rsid w:val="009A2939"/>
    <w:rsid w:val="009A29B3"/>
    <w:rsid w:val="009A29E3"/>
    <w:rsid w:val="009A313C"/>
    <w:rsid w:val="009A3616"/>
    <w:rsid w:val="009A383B"/>
    <w:rsid w:val="009A3B11"/>
    <w:rsid w:val="009A3D2C"/>
    <w:rsid w:val="009A4014"/>
    <w:rsid w:val="009A407E"/>
    <w:rsid w:val="009A421E"/>
    <w:rsid w:val="009A4408"/>
    <w:rsid w:val="009A477F"/>
    <w:rsid w:val="009A48B2"/>
    <w:rsid w:val="009A490F"/>
    <w:rsid w:val="009A49F6"/>
    <w:rsid w:val="009A4CDF"/>
    <w:rsid w:val="009A4F4E"/>
    <w:rsid w:val="009A5178"/>
    <w:rsid w:val="009A530F"/>
    <w:rsid w:val="009A533F"/>
    <w:rsid w:val="009A5949"/>
    <w:rsid w:val="009A5999"/>
    <w:rsid w:val="009A5DA6"/>
    <w:rsid w:val="009A5E37"/>
    <w:rsid w:val="009A601E"/>
    <w:rsid w:val="009A62E3"/>
    <w:rsid w:val="009A6681"/>
    <w:rsid w:val="009A6774"/>
    <w:rsid w:val="009A6B51"/>
    <w:rsid w:val="009A6DE0"/>
    <w:rsid w:val="009A703E"/>
    <w:rsid w:val="009A72D0"/>
    <w:rsid w:val="009A7969"/>
    <w:rsid w:val="009A798F"/>
    <w:rsid w:val="009A7CCD"/>
    <w:rsid w:val="009A7ED4"/>
    <w:rsid w:val="009A7FB3"/>
    <w:rsid w:val="009B03B1"/>
    <w:rsid w:val="009B050E"/>
    <w:rsid w:val="009B051F"/>
    <w:rsid w:val="009B0977"/>
    <w:rsid w:val="009B0AAF"/>
    <w:rsid w:val="009B0FE9"/>
    <w:rsid w:val="009B1A2C"/>
    <w:rsid w:val="009B1E0C"/>
    <w:rsid w:val="009B1E82"/>
    <w:rsid w:val="009B1EFB"/>
    <w:rsid w:val="009B27A5"/>
    <w:rsid w:val="009B27BF"/>
    <w:rsid w:val="009B2883"/>
    <w:rsid w:val="009B28CA"/>
    <w:rsid w:val="009B2CB7"/>
    <w:rsid w:val="009B2DE3"/>
    <w:rsid w:val="009B3042"/>
    <w:rsid w:val="009B3082"/>
    <w:rsid w:val="009B32A2"/>
    <w:rsid w:val="009B3347"/>
    <w:rsid w:val="009B3682"/>
    <w:rsid w:val="009B3806"/>
    <w:rsid w:val="009B3891"/>
    <w:rsid w:val="009B395F"/>
    <w:rsid w:val="009B3AB6"/>
    <w:rsid w:val="009B3E32"/>
    <w:rsid w:val="009B3F0B"/>
    <w:rsid w:val="009B3FDE"/>
    <w:rsid w:val="009B43E1"/>
    <w:rsid w:val="009B4435"/>
    <w:rsid w:val="009B46B9"/>
    <w:rsid w:val="009B4821"/>
    <w:rsid w:val="009B4A58"/>
    <w:rsid w:val="009B4B51"/>
    <w:rsid w:val="009B4D0E"/>
    <w:rsid w:val="009B4D2F"/>
    <w:rsid w:val="009B4FD4"/>
    <w:rsid w:val="009B5B41"/>
    <w:rsid w:val="009B5B54"/>
    <w:rsid w:val="009B5DB5"/>
    <w:rsid w:val="009B5F21"/>
    <w:rsid w:val="009B6066"/>
    <w:rsid w:val="009B647D"/>
    <w:rsid w:val="009B64D3"/>
    <w:rsid w:val="009B66BA"/>
    <w:rsid w:val="009B68DF"/>
    <w:rsid w:val="009B6A50"/>
    <w:rsid w:val="009B6A76"/>
    <w:rsid w:val="009B6BBC"/>
    <w:rsid w:val="009B7127"/>
    <w:rsid w:val="009B75A7"/>
    <w:rsid w:val="009B78A1"/>
    <w:rsid w:val="009B7AB8"/>
    <w:rsid w:val="009C0165"/>
    <w:rsid w:val="009C044C"/>
    <w:rsid w:val="009C07BE"/>
    <w:rsid w:val="009C0D47"/>
    <w:rsid w:val="009C0D69"/>
    <w:rsid w:val="009C0DAE"/>
    <w:rsid w:val="009C0DFB"/>
    <w:rsid w:val="009C0EC1"/>
    <w:rsid w:val="009C1A2D"/>
    <w:rsid w:val="009C1B0B"/>
    <w:rsid w:val="009C1BC2"/>
    <w:rsid w:val="009C1D3E"/>
    <w:rsid w:val="009C2449"/>
    <w:rsid w:val="009C2612"/>
    <w:rsid w:val="009C27AA"/>
    <w:rsid w:val="009C2B04"/>
    <w:rsid w:val="009C2EF6"/>
    <w:rsid w:val="009C2F62"/>
    <w:rsid w:val="009C3359"/>
    <w:rsid w:val="009C341B"/>
    <w:rsid w:val="009C342C"/>
    <w:rsid w:val="009C399B"/>
    <w:rsid w:val="009C3C9C"/>
    <w:rsid w:val="009C3DA5"/>
    <w:rsid w:val="009C4781"/>
    <w:rsid w:val="009C482F"/>
    <w:rsid w:val="009C4A5C"/>
    <w:rsid w:val="009C4B48"/>
    <w:rsid w:val="009C5250"/>
    <w:rsid w:val="009C573B"/>
    <w:rsid w:val="009C5759"/>
    <w:rsid w:val="009C595F"/>
    <w:rsid w:val="009C5F7B"/>
    <w:rsid w:val="009C6664"/>
    <w:rsid w:val="009C6D95"/>
    <w:rsid w:val="009C7A0C"/>
    <w:rsid w:val="009C7B35"/>
    <w:rsid w:val="009C7C17"/>
    <w:rsid w:val="009D03AB"/>
    <w:rsid w:val="009D03BF"/>
    <w:rsid w:val="009D0481"/>
    <w:rsid w:val="009D07D6"/>
    <w:rsid w:val="009D0A23"/>
    <w:rsid w:val="009D0B1E"/>
    <w:rsid w:val="009D0B6E"/>
    <w:rsid w:val="009D0C77"/>
    <w:rsid w:val="009D11DD"/>
    <w:rsid w:val="009D1239"/>
    <w:rsid w:val="009D14C8"/>
    <w:rsid w:val="009D1950"/>
    <w:rsid w:val="009D197F"/>
    <w:rsid w:val="009D1B34"/>
    <w:rsid w:val="009D1BAE"/>
    <w:rsid w:val="009D1C43"/>
    <w:rsid w:val="009D1E6D"/>
    <w:rsid w:val="009D222D"/>
    <w:rsid w:val="009D23C9"/>
    <w:rsid w:val="009D293A"/>
    <w:rsid w:val="009D29EF"/>
    <w:rsid w:val="009D2BFD"/>
    <w:rsid w:val="009D2E92"/>
    <w:rsid w:val="009D2F8F"/>
    <w:rsid w:val="009D3359"/>
    <w:rsid w:val="009D3672"/>
    <w:rsid w:val="009D3B49"/>
    <w:rsid w:val="009D3C00"/>
    <w:rsid w:val="009D3E49"/>
    <w:rsid w:val="009D3E7F"/>
    <w:rsid w:val="009D4116"/>
    <w:rsid w:val="009D42C4"/>
    <w:rsid w:val="009D4381"/>
    <w:rsid w:val="009D43C0"/>
    <w:rsid w:val="009D4550"/>
    <w:rsid w:val="009D461D"/>
    <w:rsid w:val="009D48E6"/>
    <w:rsid w:val="009D4AB5"/>
    <w:rsid w:val="009D4CD9"/>
    <w:rsid w:val="009D5106"/>
    <w:rsid w:val="009D5251"/>
    <w:rsid w:val="009D53DF"/>
    <w:rsid w:val="009D5564"/>
    <w:rsid w:val="009D59E6"/>
    <w:rsid w:val="009D5A52"/>
    <w:rsid w:val="009D5D62"/>
    <w:rsid w:val="009D5EEF"/>
    <w:rsid w:val="009D5F1D"/>
    <w:rsid w:val="009D5F35"/>
    <w:rsid w:val="009D6395"/>
    <w:rsid w:val="009D6565"/>
    <w:rsid w:val="009D69F7"/>
    <w:rsid w:val="009D6F58"/>
    <w:rsid w:val="009D7128"/>
    <w:rsid w:val="009D76FC"/>
    <w:rsid w:val="009D77BF"/>
    <w:rsid w:val="009D7985"/>
    <w:rsid w:val="009E0088"/>
    <w:rsid w:val="009E0280"/>
    <w:rsid w:val="009E0449"/>
    <w:rsid w:val="009E057B"/>
    <w:rsid w:val="009E07D3"/>
    <w:rsid w:val="009E0A52"/>
    <w:rsid w:val="009E0CA0"/>
    <w:rsid w:val="009E0D9E"/>
    <w:rsid w:val="009E0F4E"/>
    <w:rsid w:val="009E10B5"/>
    <w:rsid w:val="009E130A"/>
    <w:rsid w:val="009E138A"/>
    <w:rsid w:val="009E13DE"/>
    <w:rsid w:val="009E1F70"/>
    <w:rsid w:val="009E1FBB"/>
    <w:rsid w:val="009E24B8"/>
    <w:rsid w:val="009E24FE"/>
    <w:rsid w:val="009E2C5C"/>
    <w:rsid w:val="009E2D2B"/>
    <w:rsid w:val="009E2E6F"/>
    <w:rsid w:val="009E2F56"/>
    <w:rsid w:val="009E3019"/>
    <w:rsid w:val="009E306F"/>
    <w:rsid w:val="009E320D"/>
    <w:rsid w:val="009E3507"/>
    <w:rsid w:val="009E3947"/>
    <w:rsid w:val="009E3C60"/>
    <w:rsid w:val="009E3E09"/>
    <w:rsid w:val="009E3EA9"/>
    <w:rsid w:val="009E4012"/>
    <w:rsid w:val="009E4338"/>
    <w:rsid w:val="009E433E"/>
    <w:rsid w:val="009E4453"/>
    <w:rsid w:val="009E45AD"/>
    <w:rsid w:val="009E4601"/>
    <w:rsid w:val="009E49D8"/>
    <w:rsid w:val="009E4D7C"/>
    <w:rsid w:val="009E528D"/>
    <w:rsid w:val="009E52B7"/>
    <w:rsid w:val="009E53AB"/>
    <w:rsid w:val="009E5419"/>
    <w:rsid w:val="009E640D"/>
    <w:rsid w:val="009E66FF"/>
    <w:rsid w:val="009E6804"/>
    <w:rsid w:val="009E69C8"/>
    <w:rsid w:val="009E7342"/>
    <w:rsid w:val="009E74F1"/>
    <w:rsid w:val="009E76D8"/>
    <w:rsid w:val="009E793B"/>
    <w:rsid w:val="009E7B14"/>
    <w:rsid w:val="009E7E7E"/>
    <w:rsid w:val="009F013F"/>
    <w:rsid w:val="009F01D0"/>
    <w:rsid w:val="009F0203"/>
    <w:rsid w:val="009F0B4F"/>
    <w:rsid w:val="009F11AC"/>
    <w:rsid w:val="009F1297"/>
    <w:rsid w:val="009F1380"/>
    <w:rsid w:val="009F13CC"/>
    <w:rsid w:val="009F1465"/>
    <w:rsid w:val="009F1771"/>
    <w:rsid w:val="009F1786"/>
    <w:rsid w:val="009F1CD7"/>
    <w:rsid w:val="009F226B"/>
    <w:rsid w:val="009F25C3"/>
    <w:rsid w:val="009F2949"/>
    <w:rsid w:val="009F297A"/>
    <w:rsid w:val="009F29D4"/>
    <w:rsid w:val="009F2A7B"/>
    <w:rsid w:val="009F2AAD"/>
    <w:rsid w:val="009F2CDC"/>
    <w:rsid w:val="009F32E9"/>
    <w:rsid w:val="009F350C"/>
    <w:rsid w:val="009F36DD"/>
    <w:rsid w:val="009F374A"/>
    <w:rsid w:val="009F3937"/>
    <w:rsid w:val="009F3A7D"/>
    <w:rsid w:val="009F3F1D"/>
    <w:rsid w:val="009F42F0"/>
    <w:rsid w:val="009F43FE"/>
    <w:rsid w:val="009F46F1"/>
    <w:rsid w:val="009F4898"/>
    <w:rsid w:val="009F4944"/>
    <w:rsid w:val="009F4B9F"/>
    <w:rsid w:val="009F4CBB"/>
    <w:rsid w:val="009F4F24"/>
    <w:rsid w:val="009F4F2D"/>
    <w:rsid w:val="009F4F85"/>
    <w:rsid w:val="009F5091"/>
    <w:rsid w:val="009F51F7"/>
    <w:rsid w:val="009F5545"/>
    <w:rsid w:val="009F558C"/>
    <w:rsid w:val="009F5740"/>
    <w:rsid w:val="009F59C7"/>
    <w:rsid w:val="009F5A3C"/>
    <w:rsid w:val="009F62EC"/>
    <w:rsid w:val="009F6323"/>
    <w:rsid w:val="009F6658"/>
    <w:rsid w:val="009F674B"/>
    <w:rsid w:val="009F68B7"/>
    <w:rsid w:val="009F6BB4"/>
    <w:rsid w:val="009F6CC6"/>
    <w:rsid w:val="009F702C"/>
    <w:rsid w:val="009F7903"/>
    <w:rsid w:val="009F7933"/>
    <w:rsid w:val="009F7ABA"/>
    <w:rsid w:val="009F7C71"/>
    <w:rsid w:val="009F7DFC"/>
    <w:rsid w:val="00A005AC"/>
    <w:rsid w:val="00A005FD"/>
    <w:rsid w:val="00A00993"/>
    <w:rsid w:val="00A009EB"/>
    <w:rsid w:val="00A00AA6"/>
    <w:rsid w:val="00A00C71"/>
    <w:rsid w:val="00A00C72"/>
    <w:rsid w:val="00A00D73"/>
    <w:rsid w:val="00A00DCF"/>
    <w:rsid w:val="00A00E87"/>
    <w:rsid w:val="00A0136C"/>
    <w:rsid w:val="00A013C7"/>
    <w:rsid w:val="00A01423"/>
    <w:rsid w:val="00A014FA"/>
    <w:rsid w:val="00A01581"/>
    <w:rsid w:val="00A016AA"/>
    <w:rsid w:val="00A01842"/>
    <w:rsid w:val="00A01BC3"/>
    <w:rsid w:val="00A01EA5"/>
    <w:rsid w:val="00A0245D"/>
    <w:rsid w:val="00A02646"/>
    <w:rsid w:val="00A02708"/>
    <w:rsid w:val="00A027CB"/>
    <w:rsid w:val="00A02B68"/>
    <w:rsid w:val="00A02F86"/>
    <w:rsid w:val="00A02F97"/>
    <w:rsid w:val="00A030D0"/>
    <w:rsid w:val="00A030F3"/>
    <w:rsid w:val="00A031D0"/>
    <w:rsid w:val="00A04019"/>
    <w:rsid w:val="00A04134"/>
    <w:rsid w:val="00A04203"/>
    <w:rsid w:val="00A04842"/>
    <w:rsid w:val="00A04C2E"/>
    <w:rsid w:val="00A04DC6"/>
    <w:rsid w:val="00A04EC7"/>
    <w:rsid w:val="00A051B8"/>
    <w:rsid w:val="00A05434"/>
    <w:rsid w:val="00A055C6"/>
    <w:rsid w:val="00A056F5"/>
    <w:rsid w:val="00A0584A"/>
    <w:rsid w:val="00A062DD"/>
    <w:rsid w:val="00A0637C"/>
    <w:rsid w:val="00A06396"/>
    <w:rsid w:val="00A063F0"/>
    <w:rsid w:val="00A0643B"/>
    <w:rsid w:val="00A0692F"/>
    <w:rsid w:val="00A06DDC"/>
    <w:rsid w:val="00A06E3F"/>
    <w:rsid w:val="00A06EAC"/>
    <w:rsid w:val="00A0716B"/>
    <w:rsid w:val="00A0736B"/>
    <w:rsid w:val="00A0768B"/>
    <w:rsid w:val="00A07C11"/>
    <w:rsid w:val="00A07EBB"/>
    <w:rsid w:val="00A1005F"/>
    <w:rsid w:val="00A100B1"/>
    <w:rsid w:val="00A101DE"/>
    <w:rsid w:val="00A1051A"/>
    <w:rsid w:val="00A1068E"/>
    <w:rsid w:val="00A10C5A"/>
    <w:rsid w:val="00A10C84"/>
    <w:rsid w:val="00A10E4E"/>
    <w:rsid w:val="00A10EE6"/>
    <w:rsid w:val="00A11693"/>
    <w:rsid w:val="00A11BBB"/>
    <w:rsid w:val="00A1219F"/>
    <w:rsid w:val="00A1237B"/>
    <w:rsid w:val="00A12766"/>
    <w:rsid w:val="00A127C8"/>
    <w:rsid w:val="00A1293F"/>
    <w:rsid w:val="00A12C35"/>
    <w:rsid w:val="00A12CAD"/>
    <w:rsid w:val="00A12D1F"/>
    <w:rsid w:val="00A12DAD"/>
    <w:rsid w:val="00A12F5E"/>
    <w:rsid w:val="00A12F9B"/>
    <w:rsid w:val="00A130EA"/>
    <w:rsid w:val="00A130F0"/>
    <w:rsid w:val="00A1328B"/>
    <w:rsid w:val="00A1359E"/>
    <w:rsid w:val="00A137A9"/>
    <w:rsid w:val="00A1388B"/>
    <w:rsid w:val="00A13DA2"/>
    <w:rsid w:val="00A14090"/>
    <w:rsid w:val="00A14149"/>
    <w:rsid w:val="00A14506"/>
    <w:rsid w:val="00A14735"/>
    <w:rsid w:val="00A14AC3"/>
    <w:rsid w:val="00A14BEC"/>
    <w:rsid w:val="00A14E17"/>
    <w:rsid w:val="00A14E21"/>
    <w:rsid w:val="00A14E41"/>
    <w:rsid w:val="00A153D8"/>
    <w:rsid w:val="00A15B76"/>
    <w:rsid w:val="00A15BDC"/>
    <w:rsid w:val="00A15EB8"/>
    <w:rsid w:val="00A15F3E"/>
    <w:rsid w:val="00A163B1"/>
    <w:rsid w:val="00A1648C"/>
    <w:rsid w:val="00A1686A"/>
    <w:rsid w:val="00A16ACC"/>
    <w:rsid w:val="00A16E83"/>
    <w:rsid w:val="00A17543"/>
    <w:rsid w:val="00A1755C"/>
    <w:rsid w:val="00A175DA"/>
    <w:rsid w:val="00A177A3"/>
    <w:rsid w:val="00A177F0"/>
    <w:rsid w:val="00A1799A"/>
    <w:rsid w:val="00A17AB3"/>
    <w:rsid w:val="00A17AE9"/>
    <w:rsid w:val="00A20070"/>
    <w:rsid w:val="00A2021B"/>
    <w:rsid w:val="00A204EA"/>
    <w:rsid w:val="00A20540"/>
    <w:rsid w:val="00A205A8"/>
    <w:rsid w:val="00A205B1"/>
    <w:rsid w:val="00A208BA"/>
    <w:rsid w:val="00A209FE"/>
    <w:rsid w:val="00A20F9A"/>
    <w:rsid w:val="00A2132F"/>
    <w:rsid w:val="00A21556"/>
    <w:rsid w:val="00A216AD"/>
    <w:rsid w:val="00A21EE2"/>
    <w:rsid w:val="00A22135"/>
    <w:rsid w:val="00A2226C"/>
    <w:rsid w:val="00A22308"/>
    <w:rsid w:val="00A224AF"/>
    <w:rsid w:val="00A22623"/>
    <w:rsid w:val="00A2268E"/>
    <w:rsid w:val="00A22878"/>
    <w:rsid w:val="00A22AC5"/>
    <w:rsid w:val="00A22B4E"/>
    <w:rsid w:val="00A22B81"/>
    <w:rsid w:val="00A22BB7"/>
    <w:rsid w:val="00A23007"/>
    <w:rsid w:val="00A23D3E"/>
    <w:rsid w:val="00A23DD8"/>
    <w:rsid w:val="00A24334"/>
    <w:rsid w:val="00A24E42"/>
    <w:rsid w:val="00A2580F"/>
    <w:rsid w:val="00A25820"/>
    <w:rsid w:val="00A25913"/>
    <w:rsid w:val="00A259D5"/>
    <w:rsid w:val="00A25A8C"/>
    <w:rsid w:val="00A26086"/>
    <w:rsid w:val="00A2648B"/>
    <w:rsid w:val="00A26732"/>
    <w:rsid w:val="00A26B5B"/>
    <w:rsid w:val="00A27996"/>
    <w:rsid w:val="00A27BC8"/>
    <w:rsid w:val="00A27C9C"/>
    <w:rsid w:val="00A27E0E"/>
    <w:rsid w:val="00A30044"/>
    <w:rsid w:val="00A302E5"/>
    <w:rsid w:val="00A307B7"/>
    <w:rsid w:val="00A30810"/>
    <w:rsid w:val="00A308E1"/>
    <w:rsid w:val="00A30901"/>
    <w:rsid w:val="00A311D7"/>
    <w:rsid w:val="00A312B0"/>
    <w:rsid w:val="00A3179F"/>
    <w:rsid w:val="00A31BC9"/>
    <w:rsid w:val="00A31C91"/>
    <w:rsid w:val="00A31D23"/>
    <w:rsid w:val="00A31F72"/>
    <w:rsid w:val="00A32001"/>
    <w:rsid w:val="00A32178"/>
    <w:rsid w:val="00A323FA"/>
    <w:rsid w:val="00A324DD"/>
    <w:rsid w:val="00A326AC"/>
    <w:rsid w:val="00A32997"/>
    <w:rsid w:val="00A329F6"/>
    <w:rsid w:val="00A32B72"/>
    <w:rsid w:val="00A33080"/>
    <w:rsid w:val="00A33464"/>
    <w:rsid w:val="00A33893"/>
    <w:rsid w:val="00A33B25"/>
    <w:rsid w:val="00A33B87"/>
    <w:rsid w:val="00A33E8D"/>
    <w:rsid w:val="00A344BE"/>
    <w:rsid w:val="00A344C7"/>
    <w:rsid w:val="00A345A4"/>
    <w:rsid w:val="00A348DD"/>
    <w:rsid w:val="00A348E4"/>
    <w:rsid w:val="00A34C13"/>
    <w:rsid w:val="00A34FBF"/>
    <w:rsid w:val="00A355F5"/>
    <w:rsid w:val="00A3598A"/>
    <w:rsid w:val="00A35A97"/>
    <w:rsid w:val="00A360D2"/>
    <w:rsid w:val="00A361B7"/>
    <w:rsid w:val="00A367F6"/>
    <w:rsid w:val="00A3724A"/>
    <w:rsid w:val="00A3767D"/>
    <w:rsid w:val="00A37867"/>
    <w:rsid w:val="00A37896"/>
    <w:rsid w:val="00A37969"/>
    <w:rsid w:val="00A37E50"/>
    <w:rsid w:val="00A37F47"/>
    <w:rsid w:val="00A400E9"/>
    <w:rsid w:val="00A4013C"/>
    <w:rsid w:val="00A4014C"/>
    <w:rsid w:val="00A4014E"/>
    <w:rsid w:val="00A40308"/>
    <w:rsid w:val="00A40792"/>
    <w:rsid w:val="00A40993"/>
    <w:rsid w:val="00A40A7E"/>
    <w:rsid w:val="00A40DA2"/>
    <w:rsid w:val="00A40EB5"/>
    <w:rsid w:val="00A41379"/>
    <w:rsid w:val="00A416BB"/>
    <w:rsid w:val="00A4183A"/>
    <w:rsid w:val="00A41A34"/>
    <w:rsid w:val="00A41C81"/>
    <w:rsid w:val="00A42019"/>
    <w:rsid w:val="00A42296"/>
    <w:rsid w:val="00A42BE9"/>
    <w:rsid w:val="00A42C63"/>
    <w:rsid w:val="00A42F8B"/>
    <w:rsid w:val="00A43650"/>
    <w:rsid w:val="00A436DF"/>
    <w:rsid w:val="00A43739"/>
    <w:rsid w:val="00A439E6"/>
    <w:rsid w:val="00A43AAD"/>
    <w:rsid w:val="00A43E53"/>
    <w:rsid w:val="00A43F4C"/>
    <w:rsid w:val="00A44291"/>
    <w:rsid w:val="00A44397"/>
    <w:rsid w:val="00A44B7D"/>
    <w:rsid w:val="00A44D40"/>
    <w:rsid w:val="00A44DD8"/>
    <w:rsid w:val="00A44F0D"/>
    <w:rsid w:val="00A451D6"/>
    <w:rsid w:val="00A455A3"/>
    <w:rsid w:val="00A45600"/>
    <w:rsid w:val="00A45742"/>
    <w:rsid w:val="00A45901"/>
    <w:rsid w:val="00A459D2"/>
    <w:rsid w:val="00A45ADE"/>
    <w:rsid w:val="00A45B1A"/>
    <w:rsid w:val="00A45D83"/>
    <w:rsid w:val="00A46001"/>
    <w:rsid w:val="00A4603F"/>
    <w:rsid w:val="00A460D5"/>
    <w:rsid w:val="00A46233"/>
    <w:rsid w:val="00A4641A"/>
    <w:rsid w:val="00A46C87"/>
    <w:rsid w:val="00A46E21"/>
    <w:rsid w:val="00A46E2A"/>
    <w:rsid w:val="00A472A1"/>
    <w:rsid w:val="00A47358"/>
    <w:rsid w:val="00A474CF"/>
    <w:rsid w:val="00A479D6"/>
    <w:rsid w:val="00A47C0C"/>
    <w:rsid w:val="00A47D93"/>
    <w:rsid w:val="00A502D3"/>
    <w:rsid w:val="00A50490"/>
    <w:rsid w:val="00A508F4"/>
    <w:rsid w:val="00A5120B"/>
    <w:rsid w:val="00A51755"/>
    <w:rsid w:val="00A518C8"/>
    <w:rsid w:val="00A51B8F"/>
    <w:rsid w:val="00A51BBC"/>
    <w:rsid w:val="00A51C45"/>
    <w:rsid w:val="00A5215C"/>
    <w:rsid w:val="00A525FB"/>
    <w:rsid w:val="00A5262D"/>
    <w:rsid w:val="00A52746"/>
    <w:rsid w:val="00A5280F"/>
    <w:rsid w:val="00A52884"/>
    <w:rsid w:val="00A52A28"/>
    <w:rsid w:val="00A52E8C"/>
    <w:rsid w:val="00A52E98"/>
    <w:rsid w:val="00A52FCE"/>
    <w:rsid w:val="00A52FFD"/>
    <w:rsid w:val="00A53BE4"/>
    <w:rsid w:val="00A53D8F"/>
    <w:rsid w:val="00A54219"/>
    <w:rsid w:val="00A54243"/>
    <w:rsid w:val="00A54523"/>
    <w:rsid w:val="00A5463A"/>
    <w:rsid w:val="00A54A6A"/>
    <w:rsid w:val="00A554D1"/>
    <w:rsid w:val="00A55518"/>
    <w:rsid w:val="00A56189"/>
    <w:rsid w:val="00A56368"/>
    <w:rsid w:val="00A564BB"/>
    <w:rsid w:val="00A56598"/>
    <w:rsid w:val="00A56B00"/>
    <w:rsid w:val="00A57023"/>
    <w:rsid w:val="00A570DF"/>
    <w:rsid w:val="00A57184"/>
    <w:rsid w:val="00A5718F"/>
    <w:rsid w:val="00A572AA"/>
    <w:rsid w:val="00A57486"/>
    <w:rsid w:val="00A57884"/>
    <w:rsid w:val="00A57B97"/>
    <w:rsid w:val="00A57E54"/>
    <w:rsid w:val="00A57F0D"/>
    <w:rsid w:val="00A57F22"/>
    <w:rsid w:val="00A60484"/>
    <w:rsid w:val="00A6049B"/>
    <w:rsid w:val="00A606DD"/>
    <w:rsid w:val="00A608FE"/>
    <w:rsid w:val="00A613C6"/>
    <w:rsid w:val="00A61574"/>
    <w:rsid w:val="00A618B4"/>
    <w:rsid w:val="00A61B18"/>
    <w:rsid w:val="00A61B1B"/>
    <w:rsid w:val="00A61D3D"/>
    <w:rsid w:val="00A61F8C"/>
    <w:rsid w:val="00A62064"/>
    <w:rsid w:val="00A62506"/>
    <w:rsid w:val="00A62597"/>
    <w:rsid w:val="00A62662"/>
    <w:rsid w:val="00A62958"/>
    <w:rsid w:val="00A62F24"/>
    <w:rsid w:val="00A63283"/>
    <w:rsid w:val="00A633FA"/>
    <w:rsid w:val="00A63A81"/>
    <w:rsid w:val="00A63DAC"/>
    <w:rsid w:val="00A63DCE"/>
    <w:rsid w:val="00A64195"/>
    <w:rsid w:val="00A647E0"/>
    <w:rsid w:val="00A64ADE"/>
    <w:rsid w:val="00A6566E"/>
    <w:rsid w:val="00A65A56"/>
    <w:rsid w:val="00A65B70"/>
    <w:rsid w:val="00A65BBD"/>
    <w:rsid w:val="00A65C49"/>
    <w:rsid w:val="00A65CFE"/>
    <w:rsid w:val="00A6626C"/>
    <w:rsid w:val="00A662E5"/>
    <w:rsid w:val="00A66435"/>
    <w:rsid w:val="00A66529"/>
    <w:rsid w:val="00A66588"/>
    <w:rsid w:val="00A66A64"/>
    <w:rsid w:val="00A6758E"/>
    <w:rsid w:val="00A67741"/>
    <w:rsid w:val="00A678E2"/>
    <w:rsid w:val="00A67B42"/>
    <w:rsid w:val="00A67B51"/>
    <w:rsid w:val="00A67F63"/>
    <w:rsid w:val="00A700A6"/>
    <w:rsid w:val="00A700C2"/>
    <w:rsid w:val="00A70514"/>
    <w:rsid w:val="00A7072F"/>
    <w:rsid w:val="00A709F8"/>
    <w:rsid w:val="00A70A74"/>
    <w:rsid w:val="00A70F73"/>
    <w:rsid w:val="00A71449"/>
    <w:rsid w:val="00A715AB"/>
    <w:rsid w:val="00A716E0"/>
    <w:rsid w:val="00A718F2"/>
    <w:rsid w:val="00A719A0"/>
    <w:rsid w:val="00A71EB1"/>
    <w:rsid w:val="00A723A4"/>
    <w:rsid w:val="00A72408"/>
    <w:rsid w:val="00A725D4"/>
    <w:rsid w:val="00A72723"/>
    <w:rsid w:val="00A72968"/>
    <w:rsid w:val="00A72B3F"/>
    <w:rsid w:val="00A730C0"/>
    <w:rsid w:val="00A73102"/>
    <w:rsid w:val="00A7322E"/>
    <w:rsid w:val="00A73298"/>
    <w:rsid w:val="00A733F7"/>
    <w:rsid w:val="00A73961"/>
    <w:rsid w:val="00A73ABB"/>
    <w:rsid w:val="00A73B43"/>
    <w:rsid w:val="00A73C67"/>
    <w:rsid w:val="00A73CAB"/>
    <w:rsid w:val="00A73DFE"/>
    <w:rsid w:val="00A74533"/>
    <w:rsid w:val="00A74550"/>
    <w:rsid w:val="00A748DE"/>
    <w:rsid w:val="00A7494C"/>
    <w:rsid w:val="00A74C4A"/>
    <w:rsid w:val="00A74CDB"/>
    <w:rsid w:val="00A74D0E"/>
    <w:rsid w:val="00A74F98"/>
    <w:rsid w:val="00A75383"/>
    <w:rsid w:val="00A756E2"/>
    <w:rsid w:val="00A75AC9"/>
    <w:rsid w:val="00A7660D"/>
    <w:rsid w:val="00A766C6"/>
    <w:rsid w:val="00A7681D"/>
    <w:rsid w:val="00A76871"/>
    <w:rsid w:val="00A76E98"/>
    <w:rsid w:val="00A76FA4"/>
    <w:rsid w:val="00A7725B"/>
    <w:rsid w:val="00A7728C"/>
    <w:rsid w:val="00A7758E"/>
    <w:rsid w:val="00A77B2C"/>
    <w:rsid w:val="00A77C69"/>
    <w:rsid w:val="00A80258"/>
    <w:rsid w:val="00A81207"/>
    <w:rsid w:val="00A81919"/>
    <w:rsid w:val="00A81927"/>
    <w:rsid w:val="00A81ED2"/>
    <w:rsid w:val="00A81F2F"/>
    <w:rsid w:val="00A81FEE"/>
    <w:rsid w:val="00A8207B"/>
    <w:rsid w:val="00A8232D"/>
    <w:rsid w:val="00A825E1"/>
    <w:rsid w:val="00A82643"/>
    <w:rsid w:val="00A82BAD"/>
    <w:rsid w:val="00A82FE1"/>
    <w:rsid w:val="00A832CD"/>
    <w:rsid w:val="00A833B3"/>
    <w:rsid w:val="00A8341D"/>
    <w:rsid w:val="00A835C8"/>
    <w:rsid w:val="00A83854"/>
    <w:rsid w:val="00A839FB"/>
    <w:rsid w:val="00A83DC1"/>
    <w:rsid w:val="00A83EE5"/>
    <w:rsid w:val="00A841A6"/>
    <w:rsid w:val="00A84804"/>
    <w:rsid w:val="00A848E9"/>
    <w:rsid w:val="00A8493C"/>
    <w:rsid w:val="00A85238"/>
    <w:rsid w:val="00A853F4"/>
    <w:rsid w:val="00A8545C"/>
    <w:rsid w:val="00A855AF"/>
    <w:rsid w:val="00A85970"/>
    <w:rsid w:val="00A859CA"/>
    <w:rsid w:val="00A85C4F"/>
    <w:rsid w:val="00A86202"/>
    <w:rsid w:val="00A86231"/>
    <w:rsid w:val="00A867A4"/>
    <w:rsid w:val="00A86A1D"/>
    <w:rsid w:val="00A86C77"/>
    <w:rsid w:val="00A86D4D"/>
    <w:rsid w:val="00A86D5C"/>
    <w:rsid w:val="00A87146"/>
    <w:rsid w:val="00A8735D"/>
    <w:rsid w:val="00A874D2"/>
    <w:rsid w:val="00A87E03"/>
    <w:rsid w:val="00A87F90"/>
    <w:rsid w:val="00A87FB0"/>
    <w:rsid w:val="00A87FBA"/>
    <w:rsid w:val="00A901D2"/>
    <w:rsid w:val="00A9077E"/>
    <w:rsid w:val="00A90A3D"/>
    <w:rsid w:val="00A90A76"/>
    <w:rsid w:val="00A90A8E"/>
    <w:rsid w:val="00A90BBE"/>
    <w:rsid w:val="00A90C83"/>
    <w:rsid w:val="00A90D03"/>
    <w:rsid w:val="00A90DB0"/>
    <w:rsid w:val="00A90EB5"/>
    <w:rsid w:val="00A90F18"/>
    <w:rsid w:val="00A91469"/>
    <w:rsid w:val="00A916D1"/>
    <w:rsid w:val="00A91954"/>
    <w:rsid w:val="00A91B41"/>
    <w:rsid w:val="00A91C77"/>
    <w:rsid w:val="00A9214F"/>
    <w:rsid w:val="00A928B9"/>
    <w:rsid w:val="00A92D5F"/>
    <w:rsid w:val="00A9341E"/>
    <w:rsid w:val="00A935BA"/>
    <w:rsid w:val="00A938EA"/>
    <w:rsid w:val="00A9398D"/>
    <w:rsid w:val="00A93AE4"/>
    <w:rsid w:val="00A943A2"/>
    <w:rsid w:val="00A944CA"/>
    <w:rsid w:val="00A946E1"/>
    <w:rsid w:val="00A94E0B"/>
    <w:rsid w:val="00A94E16"/>
    <w:rsid w:val="00A94FE6"/>
    <w:rsid w:val="00A95264"/>
    <w:rsid w:val="00A9529C"/>
    <w:rsid w:val="00A958C6"/>
    <w:rsid w:val="00A95AED"/>
    <w:rsid w:val="00A95C11"/>
    <w:rsid w:val="00A96401"/>
    <w:rsid w:val="00A96621"/>
    <w:rsid w:val="00A96AEB"/>
    <w:rsid w:val="00A972D7"/>
    <w:rsid w:val="00A97418"/>
    <w:rsid w:val="00A976FC"/>
    <w:rsid w:val="00A97AB6"/>
    <w:rsid w:val="00A97BFA"/>
    <w:rsid w:val="00A97D14"/>
    <w:rsid w:val="00A97E8F"/>
    <w:rsid w:val="00A97F02"/>
    <w:rsid w:val="00AA006E"/>
    <w:rsid w:val="00AA02A1"/>
    <w:rsid w:val="00AA03E2"/>
    <w:rsid w:val="00AA0423"/>
    <w:rsid w:val="00AA0456"/>
    <w:rsid w:val="00AA09F4"/>
    <w:rsid w:val="00AA0AEB"/>
    <w:rsid w:val="00AA0AEC"/>
    <w:rsid w:val="00AA0F91"/>
    <w:rsid w:val="00AA11B0"/>
    <w:rsid w:val="00AA1490"/>
    <w:rsid w:val="00AA153A"/>
    <w:rsid w:val="00AA1633"/>
    <w:rsid w:val="00AA186A"/>
    <w:rsid w:val="00AA1C35"/>
    <w:rsid w:val="00AA1E85"/>
    <w:rsid w:val="00AA2050"/>
    <w:rsid w:val="00AA225E"/>
    <w:rsid w:val="00AA2313"/>
    <w:rsid w:val="00AA24BA"/>
    <w:rsid w:val="00AA2631"/>
    <w:rsid w:val="00AA2BEB"/>
    <w:rsid w:val="00AA2C13"/>
    <w:rsid w:val="00AA2C4F"/>
    <w:rsid w:val="00AA2DE1"/>
    <w:rsid w:val="00AA2F69"/>
    <w:rsid w:val="00AA3278"/>
    <w:rsid w:val="00AA3554"/>
    <w:rsid w:val="00AA362D"/>
    <w:rsid w:val="00AA3689"/>
    <w:rsid w:val="00AA44B5"/>
    <w:rsid w:val="00AA4569"/>
    <w:rsid w:val="00AA45EA"/>
    <w:rsid w:val="00AA46F7"/>
    <w:rsid w:val="00AA476F"/>
    <w:rsid w:val="00AA55E6"/>
    <w:rsid w:val="00AA5680"/>
    <w:rsid w:val="00AA56C5"/>
    <w:rsid w:val="00AA5746"/>
    <w:rsid w:val="00AA5E05"/>
    <w:rsid w:val="00AA5F34"/>
    <w:rsid w:val="00AA6364"/>
    <w:rsid w:val="00AA666E"/>
    <w:rsid w:val="00AA6698"/>
    <w:rsid w:val="00AA66D3"/>
    <w:rsid w:val="00AA678B"/>
    <w:rsid w:val="00AA6CA9"/>
    <w:rsid w:val="00AA6D90"/>
    <w:rsid w:val="00AA741F"/>
    <w:rsid w:val="00AA75A3"/>
    <w:rsid w:val="00AA77D2"/>
    <w:rsid w:val="00AA792F"/>
    <w:rsid w:val="00AA7D38"/>
    <w:rsid w:val="00AA7D50"/>
    <w:rsid w:val="00AB00F1"/>
    <w:rsid w:val="00AB0192"/>
    <w:rsid w:val="00AB0377"/>
    <w:rsid w:val="00AB0A90"/>
    <w:rsid w:val="00AB0D54"/>
    <w:rsid w:val="00AB0E34"/>
    <w:rsid w:val="00AB0FBD"/>
    <w:rsid w:val="00AB0FFD"/>
    <w:rsid w:val="00AB12E7"/>
    <w:rsid w:val="00AB139E"/>
    <w:rsid w:val="00AB163F"/>
    <w:rsid w:val="00AB1892"/>
    <w:rsid w:val="00AB1CDA"/>
    <w:rsid w:val="00AB2447"/>
    <w:rsid w:val="00AB257A"/>
    <w:rsid w:val="00AB267E"/>
    <w:rsid w:val="00AB2CD0"/>
    <w:rsid w:val="00AB2E49"/>
    <w:rsid w:val="00AB3060"/>
    <w:rsid w:val="00AB343D"/>
    <w:rsid w:val="00AB3635"/>
    <w:rsid w:val="00AB3665"/>
    <w:rsid w:val="00AB3B72"/>
    <w:rsid w:val="00AB3D43"/>
    <w:rsid w:val="00AB3FCC"/>
    <w:rsid w:val="00AB417C"/>
    <w:rsid w:val="00AB42C0"/>
    <w:rsid w:val="00AB4318"/>
    <w:rsid w:val="00AB43B9"/>
    <w:rsid w:val="00AB44C8"/>
    <w:rsid w:val="00AB458F"/>
    <w:rsid w:val="00AB4663"/>
    <w:rsid w:val="00AB4798"/>
    <w:rsid w:val="00AB494F"/>
    <w:rsid w:val="00AB4A5D"/>
    <w:rsid w:val="00AB4F92"/>
    <w:rsid w:val="00AB4FC6"/>
    <w:rsid w:val="00AB59BA"/>
    <w:rsid w:val="00AB5B27"/>
    <w:rsid w:val="00AB5D0C"/>
    <w:rsid w:val="00AB5E08"/>
    <w:rsid w:val="00AB60AF"/>
    <w:rsid w:val="00AB6154"/>
    <w:rsid w:val="00AB6392"/>
    <w:rsid w:val="00AB6931"/>
    <w:rsid w:val="00AB6BF2"/>
    <w:rsid w:val="00AB6E9D"/>
    <w:rsid w:val="00AB76FC"/>
    <w:rsid w:val="00AB77BE"/>
    <w:rsid w:val="00AB7CA2"/>
    <w:rsid w:val="00AB7E60"/>
    <w:rsid w:val="00AB7E90"/>
    <w:rsid w:val="00AC017A"/>
    <w:rsid w:val="00AC01CB"/>
    <w:rsid w:val="00AC0541"/>
    <w:rsid w:val="00AC0837"/>
    <w:rsid w:val="00AC097A"/>
    <w:rsid w:val="00AC0BB4"/>
    <w:rsid w:val="00AC0E77"/>
    <w:rsid w:val="00AC0E9D"/>
    <w:rsid w:val="00AC1155"/>
    <w:rsid w:val="00AC1257"/>
    <w:rsid w:val="00AC129D"/>
    <w:rsid w:val="00AC12CE"/>
    <w:rsid w:val="00AC148B"/>
    <w:rsid w:val="00AC186C"/>
    <w:rsid w:val="00AC1886"/>
    <w:rsid w:val="00AC1A17"/>
    <w:rsid w:val="00AC1DBE"/>
    <w:rsid w:val="00AC26D8"/>
    <w:rsid w:val="00AC2714"/>
    <w:rsid w:val="00AC2BB5"/>
    <w:rsid w:val="00AC2DF3"/>
    <w:rsid w:val="00AC371C"/>
    <w:rsid w:val="00AC39CF"/>
    <w:rsid w:val="00AC3A7C"/>
    <w:rsid w:val="00AC3D4B"/>
    <w:rsid w:val="00AC42F6"/>
    <w:rsid w:val="00AC4383"/>
    <w:rsid w:val="00AC43E5"/>
    <w:rsid w:val="00AC44DE"/>
    <w:rsid w:val="00AC516C"/>
    <w:rsid w:val="00AC561D"/>
    <w:rsid w:val="00AC5F74"/>
    <w:rsid w:val="00AC65A9"/>
    <w:rsid w:val="00AC6E4B"/>
    <w:rsid w:val="00AC73A2"/>
    <w:rsid w:val="00AC73B5"/>
    <w:rsid w:val="00AC74E7"/>
    <w:rsid w:val="00AC78E8"/>
    <w:rsid w:val="00AC7905"/>
    <w:rsid w:val="00AC7960"/>
    <w:rsid w:val="00AC7E33"/>
    <w:rsid w:val="00AC7E7D"/>
    <w:rsid w:val="00AC7EB2"/>
    <w:rsid w:val="00AD0192"/>
    <w:rsid w:val="00AD020D"/>
    <w:rsid w:val="00AD021B"/>
    <w:rsid w:val="00AD0352"/>
    <w:rsid w:val="00AD061E"/>
    <w:rsid w:val="00AD1029"/>
    <w:rsid w:val="00AD1348"/>
    <w:rsid w:val="00AD1538"/>
    <w:rsid w:val="00AD167F"/>
    <w:rsid w:val="00AD17DB"/>
    <w:rsid w:val="00AD1933"/>
    <w:rsid w:val="00AD194F"/>
    <w:rsid w:val="00AD19FA"/>
    <w:rsid w:val="00AD1A81"/>
    <w:rsid w:val="00AD1B8E"/>
    <w:rsid w:val="00AD1D7F"/>
    <w:rsid w:val="00AD2053"/>
    <w:rsid w:val="00AD2081"/>
    <w:rsid w:val="00AD212F"/>
    <w:rsid w:val="00AD2232"/>
    <w:rsid w:val="00AD2424"/>
    <w:rsid w:val="00AD24CE"/>
    <w:rsid w:val="00AD24E2"/>
    <w:rsid w:val="00AD24F1"/>
    <w:rsid w:val="00AD2D99"/>
    <w:rsid w:val="00AD3384"/>
    <w:rsid w:val="00AD34D9"/>
    <w:rsid w:val="00AD376B"/>
    <w:rsid w:val="00AD386F"/>
    <w:rsid w:val="00AD387D"/>
    <w:rsid w:val="00AD3AB6"/>
    <w:rsid w:val="00AD3F87"/>
    <w:rsid w:val="00AD45A9"/>
    <w:rsid w:val="00AD489C"/>
    <w:rsid w:val="00AD493E"/>
    <w:rsid w:val="00AD4A4E"/>
    <w:rsid w:val="00AD4ACA"/>
    <w:rsid w:val="00AD4C8F"/>
    <w:rsid w:val="00AD4E56"/>
    <w:rsid w:val="00AD4EE3"/>
    <w:rsid w:val="00AD5110"/>
    <w:rsid w:val="00AD5377"/>
    <w:rsid w:val="00AD5625"/>
    <w:rsid w:val="00AD5BD7"/>
    <w:rsid w:val="00AD626B"/>
    <w:rsid w:val="00AD6348"/>
    <w:rsid w:val="00AD6690"/>
    <w:rsid w:val="00AD670A"/>
    <w:rsid w:val="00AD6CB6"/>
    <w:rsid w:val="00AD6ECC"/>
    <w:rsid w:val="00AD7432"/>
    <w:rsid w:val="00AD7C94"/>
    <w:rsid w:val="00AD7D2F"/>
    <w:rsid w:val="00AE008A"/>
    <w:rsid w:val="00AE00CA"/>
    <w:rsid w:val="00AE0300"/>
    <w:rsid w:val="00AE055E"/>
    <w:rsid w:val="00AE08F5"/>
    <w:rsid w:val="00AE0A1F"/>
    <w:rsid w:val="00AE0AB6"/>
    <w:rsid w:val="00AE1325"/>
    <w:rsid w:val="00AE14D3"/>
    <w:rsid w:val="00AE176F"/>
    <w:rsid w:val="00AE1BE6"/>
    <w:rsid w:val="00AE1D01"/>
    <w:rsid w:val="00AE1F95"/>
    <w:rsid w:val="00AE201D"/>
    <w:rsid w:val="00AE210A"/>
    <w:rsid w:val="00AE29A8"/>
    <w:rsid w:val="00AE2FCC"/>
    <w:rsid w:val="00AE3462"/>
    <w:rsid w:val="00AE3590"/>
    <w:rsid w:val="00AE3BC3"/>
    <w:rsid w:val="00AE414D"/>
    <w:rsid w:val="00AE429A"/>
    <w:rsid w:val="00AE436E"/>
    <w:rsid w:val="00AE4396"/>
    <w:rsid w:val="00AE43D0"/>
    <w:rsid w:val="00AE4683"/>
    <w:rsid w:val="00AE47B3"/>
    <w:rsid w:val="00AE4B2F"/>
    <w:rsid w:val="00AE530E"/>
    <w:rsid w:val="00AE550D"/>
    <w:rsid w:val="00AE5B21"/>
    <w:rsid w:val="00AE600E"/>
    <w:rsid w:val="00AE6119"/>
    <w:rsid w:val="00AE670F"/>
    <w:rsid w:val="00AE6829"/>
    <w:rsid w:val="00AE6A2A"/>
    <w:rsid w:val="00AE6DDF"/>
    <w:rsid w:val="00AE6DE0"/>
    <w:rsid w:val="00AE6E44"/>
    <w:rsid w:val="00AE6E63"/>
    <w:rsid w:val="00AE7003"/>
    <w:rsid w:val="00AE716C"/>
    <w:rsid w:val="00AE71DB"/>
    <w:rsid w:val="00AE731B"/>
    <w:rsid w:val="00AE747A"/>
    <w:rsid w:val="00AE748A"/>
    <w:rsid w:val="00AE763F"/>
    <w:rsid w:val="00AE76C6"/>
    <w:rsid w:val="00AE7751"/>
    <w:rsid w:val="00AE7800"/>
    <w:rsid w:val="00AE7A65"/>
    <w:rsid w:val="00AE7D40"/>
    <w:rsid w:val="00AE7D86"/>
    <w:rsid w:val="00AE7D95"/>
    <w:rsid w:val="00AF020E"/>
    <w:rsid w:val="00AF071D"/>
    <w:rsid w:val="00AF0869"/>
    <w:rsid w:val="00AF095C"/>
    <w:rsid w:val="00AF0A5D"/>
    <w:rsid w:val="00AF0CE7"/>
    <w:rsid w:val="00AF0F7D"/>
    <w:rsid w:val="00AF10B3"/>
    <w:rsid w:val="00AF116D"/>
    <w:rsid w:val="00AF1403"/>
    <w:rsid w:val="00AF1422"/>
    <w:rsid w:val="00AF144A"/>
    <w:rsid w:val="00AF14BE"/>
    <w:rsid w:val="00AF15FD"/>
    <w:rsid w:val="00AF1960"/>
    <w:rsid w:val="00AF1BF1"/>
    <w:rsid w:val="00AF1FF0"/>
    <w:rsid w:val="00AF271E"/>
    <w:rsid w:val="00AF27F0"/>
    <w:rsid w:val="00AF2963"/>
    <w:rsid w:val="00AF2A50"/>
    <w:rsid w:val="00AF2B5D"/>
    <w:rsid w:val="00AF2C5C"/>
    <w:rsid w:val="00AF2D98"/>
    <w:rsid w:val="00AF2E08"/>
    <w:rsid w:val="00AF2EE1"/>
    <w:rsid w:val="00AF30DF"/>
    <w:rsid w:val="00AF33F7"/>
    <w:rsid w:val="00AF3FC4"/>
    <w:rsid w:val="00AF4158"/>
    <w:rsid w:val="00AF4329"/>
    <w:rsid w:val="00AF4364"/>
    <w:rsid w:val="00AF4866"/>
    <w:rsid w:val="00AF4AD7"/>
    <w:rsid w:val="00AF4AFB"/>
    <w:rsid w:val="00AF4E60"/>
    <w:rsid w:val="00AF4FFC"/>
    <w:rsid w:val="00AF501D"/>
    <w:rsid w:val="00AF505E"/>
    <w:rsid w:val="00AF5437"/>
    <w:rsid w:val="00AF5756"/>
    <w:rsid w:val="00AF5960"/>
    <w:rsid w:val="00AF597F"/>
    <w:rsid w:val="00AF5A64"/>
    <w:rsid w:val="00AF60AB"/>
    <w:rsid w:val="00AF6653"/>
    <w:rsid w:val="00AF6847"/>
    <w:rsid w:val="00AF6AD6"/>
    <w:rsid w:val="00AF6CB7"/>
    <w:rsid w:val="00AF6D10"/>
    <w:rsid w:val="00AF6ECA"/>
    <w:rsid w:val="00AF711E"/>
    <w:rsid w:val="00AF7146"/>
    <w:rsid w:val="00AF744A"/>
    <w:rsid w:val="00AF7B0E"/>
    <w:rsid w:val="00AF7B34"/>
    <w:rsid w:val="00AF7B35"/>
    <w:rsid w:val="00AF7C2B"/>
    <w:rsid w:val="00AF7F21"/>
    <w:rsid w:val="00B000CA"/>
    <w:rsid w:val="00B002A4"/>
    <w:rsid w:val="00B002A5"/>
    <w:rsid w:val="00B00665"/>
    <w:rsid w:val="00B01073"/>
    <w:rsid w:val="00B010D7"/>
    <w:rsid w:val="00B01C2F"/>
    <w:rsid w:val="00B01F1C"/>
    <w:rsid w:val="00B0204B"/>
    <w:rsid w:val="00B0204F"/>
    <w:rsid w:val="00B02144"/>
    <w:rsid w:val="00B02411"/>
    <w:rsid w:val="00B0250B"/>
    <w:rsid w:val="00B025B3"/>
    <w:rsid w:val="00B027F9"/>
    <w:rsid w:val="00B02A56"/>
    <w:rsid w:val="00B02C4A"/>
    <w:rsid w:val="00B02D53"/>
    <w:rsid w:val="00B02E93"/>
    <w:rsid w:val="00B0364F"/>
    <w:rsid w:val="00B038A3"/>
    <w:rsid w:val="00B038D3"/>
    <w:rsid w:val="00B03E7C"/>
    <w:rsid w:val="00B03EEC"/>
    <w:rsid w:val="00B0418B"/>
    <w:rsid w:val="00B04268"/>
    <w:rsid w:val="00B0489C"/>
    <w:rsid w:val="00B04980"/>
    <w:rsid w:val="00B04B7B"/>
    <w:rsid w:val="00B04E3B"/>
    <w:rsid w:val="00B04E47"/>
    <w:rsid w:val="00B05148"/>
    <w:rsid w:val="00B05267"/>
    <w:rsid w:val="00B05346"/>
    <w:rsid w:val="00B0542A"/>
    <w:rsid w:val="00B058A7"/>
    <w:rsid w:val="00B0591B"/>
    <w:rsid w:val="00B0596A"/>
    <w:rsid w:val="00B05B12"/>
    <w:rsid w:val="00B05B83"/>
    <w:rsid w:val="00B05FF6"/>
    <w:rsid w:val="00B060F1"/>
    <w:rsid w:val="00B061D3"/>
    <w:rsid w:val="00B063F9"/>
    <w:rsid w:val="00B064DD"/>
    <w:rsid w:val="00B06565"/>
    <w:rsid w:val="00B06ACF"/>
    <w:rsid w:val="00B06D23"/>
    <w:rsid w:val="00B075EE"/>
    <w:rsid w:val="00B07A62"/>
    <w:rsid w:val="00B07AA0"/>
    <w:rsid w:val="00B07AB5"/>
    <w:rsid w:val="00B07B36"/>
    <w:rsid w:val="00B07CF2"/>
    <w:rsid w:val="00B07F2E"/>
    <w:rsid w:val="00B1016F"/>
    <w:rsid w:val="00B10210"/>
    <w:rsid w:val="00B109D6"/>
    <w:rsid w:val="00B10B88"/>
    <w:rsid w:val="00B10BCA"/>
    <w:rsid w:val="00B10C40"/>
    <w:rsid w:val="00B10E5B"/>
    <w:rsid w:val="00B11015"/>
    <w:rsid w:val="00B110F1"/>
    <w:rsid w:val="00B110FF"/>
    <w:rsid w:val="00B111BB"/>
    <w:rsid w:val="00B1128C"/>
    <w:rsid w:val="00B11290"/>
    <w:rsid w:val="00B113D3"/>
    <w:rsid w:val="00B11463"/>
    <w:rsid w:val="00B118DE"/>
    <w:rsid w:val="00B11EAC"/>
    <w:rsid w:val="00B11EF3"/>
    <w:rsid w:val="00B12AE6"/>
    <w:rsid w:val="00B12B08"/>
    <w:rsid w:val="00B12C3F"/>
    <w:rsid w:val="00B12CE6"/>
    <w:rsid w:val="00B12D85"/>
    <w:rsid w:val="00B12DF3"/>
    <w:rsid w:val="00B12E33"/>
    <w:rsid w:val="00B12E9C"/>
    <w:rsid w:val="00B13504"/>
    <w:rsid w:val="00B13A62"/>
    <w:rsid w:val="00B13CCF"/>
    <w:rsid w:val="00B13EC4"/>
    <w:rsid w:val="00B14018"/>
    <w:rsid w:val="00B1411A"/>
    <w:rsid w:val="00B14519"/>
    <w:rsid w:val="00B149CE"/>
    <w:rsid w:val="00B149E5"/>
    <w:rsid w:val="00B15029"/>
    <w:rsid w:val="00B1513E"/>
    <w:rsid w:val="00B151A3"/>
    <w:rsid w:val="00B15509"/>
    <w:rsid w:val="00B1592E"/>
    <w:rsid w:val="00B15AE9"/>
    <w:rsid w:val="00B16164"/>
    <w:rsid w:val="00B161BC"/>
    <w:rsid w:val="00B165F8"/>
    <w:rsid w:val="00B1663A"/>
    <w:rsid w:val="00B167B7"/>
    <w:rsid w:val="00B1688F"/>
    <w:rsid w:val="00B16BBE"/>
    <w:rsid w:val="00B172C1"/>
    <w:rsid w:val="00B17545"/>
    <w:rsid w:val="00B1781B"/>
    <w:rsid w:val="00B178B8"/>
    <w:rsid w:val="00B17B44"/>
    <w:rsid w:val="00B17C3B"/>
    <w:rsid w:val="00B2015C"/>
    <w:rsid w:val="00B202A6"/>
    <w:rsid w:val="00B20687"/>
    <w:rsid w:val="00B20696"/>
    <w:rsid w:val="00B20D7E"/>
    <w:rsid w:val="00B20F73"/>
    <w:rsid w:val="00B21714"/>
    <w:rsid w:val="00B21A92"/>
    <w:rsid w:val="00B21EC9"/>
    <w:rsid w:val="00B22076"/>
    <w:rsid w:val="00B222C9"/>
    <w:rsid w:val="00B225A2"/>
    <w:rsid w:val="00B226F1"/>
    <w:rsid w:val="00B2275A"/>
    <w:rsid w:val="00B22A6B"/>
    <w:rsid w:val="00B22EBD"/>
    <w:rsid w:val="00B2338D"/>
    <w:rsid w:val="00B233F9"/>
    <w:rsid w:val="00B235D6"/>
    <w:rsid w:val="00B236A6"/>
    <w:rsid w:val="00B23874"/>
    <w:rsid w:val="00B238C0"/>
    <w:rsid w:val="00B23D6C"/>
    <w:rsid w:val="00B24054"/>
    <w:rsid w:val="00B242D9"/>
    <w:rsid w:val="00B2436A"/>
    <w:rsid w:val="00B244D6"/>
    <w:rsid w:val="00B248A1"/>
    <w:rsid w:val="00B249E0"/>
    <w:rsid w:val="00B24BA7"/>
    <w:rsid w:val="00B24D5A"/>
    <w:rsid w:val="00B25223"/>
    <w:rsid w:val="00B2527C"/>
    <w:rsid w:val="00B2554C"/>
    <w:rsid w:val="00B255E4"/>
    <w:rsid w:val="00B256A1"/>
    <w:rsid w:val="00B256D4"/>
    <w:rsid w:val="00B25B55"/>
    <w:rsid w:val="00B25D14"/>
    <w:rsid w:val="00B25E57"/>
    <w:rsid w:val="00B260A4"/>
    <w:rsid w:val="00B260BA"/>
    <w:rsid w:val="00B2679F"/>
    <w:rsid w:val="00B26B92"/>
    <w:rsid w:val="00B26F4A"/>
    <w:rsid w:val="00B27154"/>
    <w:rsid w:val="00B27580"/>
    <w:rsid w:val="00B2781B"/>
    <w:rsid w:val="00B278A1"/>
    <w:rsid w:val="00B2791D"/>
    <w:rsid w:val="00B27CC2"/>
    <w:rsid w:val="00B27D76"/>
    <w:rsid w:val="00B305B5"/>
    <w:rsid w:val="00B305C8"/>
    <w:rsid w:val="00B3078D"/>
    <w:rsid w:val="00B30A2F"/>
    <w:rsid w:val="00B30AAE"/>
    <w:rsid w:val="00B30AF0"/>
    <w:rsid w:val="00B30C0E"/>
    <w:rsid w:val="00B30F83"/>
    <w:rsid w:val="00B30FA7"/>
    <w:rsid w:val="00B3109B"/>
    <w:rsid w:val="00B3118D"/>
    <w:rsid w:val="00B31559"/>
    <w:rsid w:val="00B3169A"/>
    <w:rsid w:val="00B31814"/>
    <w:rsid w:val="00B31A29"/>
    <w:rsid w:val="00B31A57"/>
    <w:rsid w:val="00B32049"/>
    <w:rsid w:val="00B32683"/>
    <w:rsid w:val="00B32D24"/>
    <w:rsid w:val="00B3301E"/>
    <w:rsid w:val="00B3321D"/>
    <w:rsid w:val="00B3355C"/>
    <w:rsid w:val="00B3379D"/>
    <w:rsid w:val="00B3394C"/>
    <w:rsid w:val="00B33A16"/>
    <w:rsid w:val="00B33D4B"/>
    <w:rsid w:val="00B341B0"/>
    <w:rsid w:val="00B3434E"/>
    <w:rsid w:val="00B345C2"/>
    <w:rsid w:val="00B34871"/>
    <w:rsid w:val="00B349BE"/>
    <w:rsid w:val="00B349E1"/>
    <w:rsid w:val="00B358F3"/>
    <w:rsid w:val="00B35AD7"/>
    <w:rsid w:val="00B35B4C"/>
    <w:rsid w:val="00B35B58"/>
    <w:rsid w:val="00B35CCD"/>
    <w:rsid w:val="00B36179"/>
    <w:rsid w:val="00B361E7"/>
    <w:rsid w:val="00B36530"/>
    <w:rsid w:val="00B36639"/>
    <w:rsid w:val="00B370A5"/>
    <w:rsid w:val="00B37221"/>
    <w:rsid w:val="00B37746"/>
    <w:rsid w:val="00B37A29"/>
    <w:rsid w:val="00B37F68"/>
    <w:rsid w:val="00B4021D"/>
    <w:rsid w:val="00B40358"/>
    <w:rsid w:val="00B4067C"/>
    <w:rsid w:val="00B40CAB"/>
    <w:rsid w:val="00B40DE8"/>
    <w:rsid w:val="00B40E0A"/>
    <w:rsid w:val="00B40EAE"/>
    <w:rsid w:val="00B40EB7"/>
    <w:rsid w:val="00B41146"/>
    <w:rsid w:val="00B4156B"/>
    <w:rsid w:val="00B417A6"/>
    <w:rsid w:val="00B41DF1"/>
    <w:rsid w:val="00B41E5B"/>
    <w:rsid w:val="00B41E8C"/>
    <w:rsid w:val="00B4268E"/>
    <w:rsid w:val="00B4282F"/>
    <w:rsid w:val="00B42AFE"/>
    <w:rsid w:val="00B42B40"/>
    <w:rsid w:val="00B42B98"/>
    <w:rsid w:val="00B42BD0"/>
    <w:rsid w:val="00B42D60"/>
    <w:rsid w:val="00B43046"/>
    <w:rsid w:val="00B434CF"/>
    <w:rsid w:val="00B435A0"/>
    <w:rsid w:val="00B43673"/>
    <w:rsid w:val="00B436E0"/>
    <w:rsid w:val="00B438B3"/>
    <w:rsid w:val="00B43954"/>
    <w:rsid w:val="00B443DC"/>
    <w:rsid w:val="00B443DE"/>
    <w:rsid w:val="00B44490"/>
    <w:rsid w:val="00B445CC"/>
    <w:rsid w:val="00B44716"/>
    <w:rsid w:val="00B45271"/>
    <w:rsid w:val="00B45311"/>
    <w:rsid w:val="00B45461"/>
    <w:rsid w:val="00B457F8"/>
    <w:rsid w:val="00B459C1"/>
    <w:rsid w:val="00B45F14"/>
    <w:rsid w:val="00B4601A"/>
    <w:rsid w:val="00B462AB"/>
    <w:rsid w:val="00B46B8B"/>
    <w:rsid w:val="00B46DA4"/>
    <w:rsid w:val="00B46DDF"/>
    <w:rsid w:val="00B46DFE"/>
    <w:rsid w:val="00B46E17"/>
    <w:rsid w:val="00B46F49"/>
    <w:rsid w:val="00B4710E"/>
    <w:rsid w:val="00B475B3"/>
    <w:rsid w:val="00B476FE"/>
    <w:rsid w:val="00B50149"/>
    <w:rsid w:val="00B501E8"/>
    <w:rsid w:val="00B50493"/>
    <w:rsid w:val="00B50613"/>
    <w:rsid w:val="00B50F3A"/>
    <w:rsid w:val="00B51024"/>
    <w:rsid w:val="00B511D4"/>
    <w:rsid w:val="00B516B6"/>
    <w:rsid w:val="00B516E8"/>
    <w:rsid w:val="00B51946"/>
    <w:rsid w:val="00B51CE3"/>
    <w:rsid w:val="00B51DB2"/>
    <w:rsid w:val="00B51EA1"/>
    <w:rsid w:val="00B52153"/>
    <w:rsid w:val="00B521F3"/>
    <w:rsid w:val="00B5221C"/>
    <w:rsid w:val="00B525F0"/>
    <w:rsid w:val="00B52B9B"/>
    <w:rsid w:val="00B52C0F"/>
    <w:rsid w:val="00B52E7F"/>
    <w:rsid w:val="00B52F98"/>
    <w:rsid w:val="00B5384D"/>
    <w:rsid w:val="00B538EF"/>
    <w:rsid w:val="00B53CF1"/>
    <w:rsid w:val="00B53E88"/>
    <w:rsid w:val="00B540C4"/>
    <w:rsid w:val="00B54632"/>
    <w:rsid w:val="00B54772"/>
    <w:rsid w:val="00B5477E"/>
    <w:rsid w:val="00B5493F"/>
    <w:rsid w:val="00B54AB4"/>
    <w:rsid w:val="00B54EA7"/>
    <w:rsid w:val="00B5500C"/>
    <w:rsid w:val="00B55244"/>
    <w:rsid w:val="00B553FB"/>
    <w:rsid w:val="00B55553"/>
    <w:rsid w:val="00B55632"/>
    <w:rsid w:val="00B5565E"/>
    <w:rsid w:val="00B5579C"/>
    <w:rsid w:val="00B55836"/>
    <w:rsid w:val="00B55B14"/>
    <w:rsid w:val="00B55B27"/>
    <w:rsid w:val="00B56334"/>
    <w:rsid w:val="00B56349"/>
    <w:rsid w:val="00B5637A"/>
    <w:rsid w:val="00B56774"/>
    <w:rsid w:val="00B56A76"/>
    <w:rsid w:val="00B56F00"/>
    <w:rsid w:val="00B57166"/>
    <w:rsid w:val="00B5734F"/>
    <w:rsid w:val="00B57445"/>
    <w:rsid w:val="00B5769B"/>
    <w:rsid w:val="00B577CF"/>
    <w:rsid w:val="00B57923"/>
    <w:rsid w:val="00B57C2E"/>
    <w:rsid w:val="00B57C57"/>
    <w:rsid w:val="00B57F91"/>
    <w:rsid w:val="00B603EA"/>
    <w:rsid w:val="00B60858"/>
    <w:rsid w:val="00B608F0"/>
    <w:rsid w:val="00B60E2E"/>
    <w:rsid w:val="00B61B97"/>
    <w:rsid w:val="00B621D0"/>
    <w:rsid w:val="00B62311"/>
    <w:rsid w:val="00B62313"/>
    <w:rsid w:val="00B62525"/>
    <w:rsid w:val="00B627E9"/>
    <w:rsid w:val="00B62F4F"/>
    <w:rsid w:val="00B632AB"/>
    <w:rsid w:val="00B63682"/>
    <w:rsid w:val="00B6399D"/>
    <w:rsid w:val="00B63A6E"/>
    <w:rsid w:val="00B63ABC"/>
    <w:rsid w:val="00B63E62"/>
    <w:rsid w:val="00B64142"/>
    <w:rsid w:val="00B64156"/>
    <w:rsid w:val="00B646F8"/>
    <w:rsid w:val="00B648E5"/>
    <w:rsid w:val="00B64C0A"/>
    <w:rsid w:val="00B64EA4"/>
    <w:rsid w:val="00B65109"/>
    <w:rsid w:val="00B65545"/>
    <w:rsid w:val="00B656A8"/>
    <w:rsid w:val="00B65804"/>
    <w:rsid w:val="00B65933"/>
    <w:rsid w:val="00B65D22"/>
    <w:rsid w:val="00B6615D"/>
    <w:rsid w:val="00B669C0"/>
    <w:rsid w:val="00B66A2F"/>
    <w:rsid w:val="00B66B6B"/>
    <w:rsid w:val="00B66FEA"/>
    <w:rsid w:val="00B67242"/>
    <w:rsid w:val="00B672BB"/>
    <w:rsid w:val="00B674CD"/>
    <w:rsid w:val="00B677E1"/>
    <w:rsid w:val="00B67D66"/>
    <w:rsid w:val="00B70115"/>
    <w:rsid w:val="00B7024B"/>
    <w:rsid w:val="00B7026A"/>
    <w:rsid w:val="00B704A8"/>
    <w:rsid w:val="00B7083F"/>
    <w:rsid w:val="00B708CB"/>
    <w:rsid w:val="00B7097F"/>
    <w:rsid w:val="00B70AB6"/>
    <w:rsid w:val="00B70BA4"/>
    <w:rsid w:val="00B70C21"/>
    <w:rsid w:val="00B70F05"/>
    <w:rsid w:val="00B70F25"/>
    <w:rsid w:val="00B717AB"/>
    <w:rsid w:val="00B7187E"/>
    <w:rsid w:val="00B71C01"/>
    <w:rsid w:val="00B71C99"/>
    <w:rsid w:val="00B71EC7"/>
    <w:rsid w:val="00B71FAB"/>
    <w:rsid w:val="00B72973"/>
    <w:rsid w:val="00B72BFF"/>
    <w:rsid w:val="00B72F9D"/>
    <w:rsid w:val="00B731EB"/>
    <w:rsid w:val="00B73A30"/>
    <w:rsid w:val="00B73D2C"/>
    <w:rsid w:val="00B740B6"/>
    <w:rsid w:val="00B74114"/>
    <w:rsid w:val="00B74958"/>
    <w:rsid w:val="00B74BAB"/>
    <w:rsid w:val="00B74DFE"/>
    <w:rsid w:val="00B751E3"/>
    <w:rsid w:val="00B75208"/>
    <w:rsid w:val="00B75577"/>
    <w:rsid w:val="00B75977"/>
    <w:rsid w:val="00B75CAD"/>
    <w:rsid w:val="00B75DF3"/>
    <w:rsid w:val="00B75E02"/>
    <w:rsid w:val="00B76127"/>
    <w:rsid w:val="00B761E0"/>
    <w:rsid w:val="00B76CA9"/>
    <w:rsid w:val="00B76EA0"/>
    <w:rsid w:val="00B76EF4"/>
    <w:rsid w:val="00B7709D"/>
    <w:rsid w:val="00B7715C"/>
    <w:rsid w:val="00B772B9"/>
    <w:rsid w:val="00B772CD"/>
    <w:rsid w:val="00B775EA"/>
    <w:rsid w:val="00B77D55"/>
    <w:rsid w:val="00B77DCE"/>
    <w:rsid w:val="00B77E92"/>
    <w:rsid w:val="00B77F06"/>
    <w:rsid w:val="00B80299"/>
    <w:rsid w:val="00B80322"/>
    <w:rsid w:val="00B807F0"/>
    <w:rsid w:val="00B808AD"/>
    <w:rsid w:val="00B80917"/>
    <w:rsid w:val="00B8099D"/>
    <w:rsid w:val="00B80A34"/>
    <w:rsid w:val="00B80B02"/>
    <w:rsid w:val="00B80F74"/>
    <w:rsid w:val="00B8137D"/>
    <w:rsid w:val="00B81452"/>
    <w:rsid w:val="00B818E9"/>
    <w:rsid w:val="00B81F91"/>
    <w:rsid w:val="00B82074"/>
    <w:rsid w:val="00B82316"/>
    <w:rsid w:val="00B82878"/>
    <w:rsid w:val="00B83334"/>
    <w:rsid w:val="00B8358C"/>
    <w:rsid w:val="00B835F7"/>
    <w:rsid w:val="00B83728"/>
    <w:rsid w:val="00B83956"/>
    <w:rsid w:val="00B83E57"/>
    <w:rsid w:val="00B841F4"/>
    <w:rsid w:val="00B8447F"/>
    <w:rsid w:val="00B84964"/>
    <w:rsid w:val="00B849DE"/>
    <w:rsid w:val="00B84C90"/>
    <w:rsid w:val="00B84E56"/>
    <w:rsid w:val="00B84F2D"/>
    <w:rsid w:val="00B85107"/>
    <w:rsid w:val="00B85156"/>
    <w:rsid w:val="00B853C7"/>
    <w:rsid w:val="00B85554"/>
    <w:rsid w:val="00B855F1"/>
    <w:rsid w:val="00B857C5"/>
    <w:rsid w:val="00B85F68"/>
    <w:rsid w:val="00B85FD4"/>
    <w:rsid w:val="00B86861"/>
    <w:rsid w:val="00B86CBF"/>
    <w:rsid w:val="00B86EC5"/>
    <w:rsid w:val="00B86F92"/>
    <w:rsid w:val="00B86FCC"/>
    <w:rsid w:val="00B87194"/>
    <w:rsid w:val="00B878C3"/>
    <w:rsid w:val="00B87FDE"/>
    <w:rsid w:val="00B902AF"/>
    <w:rsid w:val="00B904A1"/>
    <w:rsid w:val="00B90522"/>
    <w:rsid w:val="00B908C8"/>
    <w:rsid w:val="00B91014"/>
    <w:rsid w:val="00B9101E"/>
    <w:rsid w:val="00B911E3"/>
    <w:rsid w:val="00B914F7"/>
    <w:rsid w:val="00B917E4"/>
    <w:rsid w:val="00B918E1"/>
    <w:rsid w:val="00B91BD9"/>
    <w:rsid w:val="00B9200F"/>
    <w:rsid w:val="00B92369"/>
    <w:rsid w:val="00B926EC"/>
    <w:rsid w:val="00B9277F"/>
    <w:rsid w:val="00B928FE"/>
    <w:rsid w:val="00B92B2E"/>
    <w:rsid w:val="00B92B34"/>
    <w:rsid w:val="00B93035"/>
    <w:rsid w:val="00B93292"/>
    <w:rsid w:val="00B93583"/>
    <w:rsid w:val="00B93832"/>
    <w:rsid w:val="00B93AC8"/>
    <w:rsid w:val="00B93B30"/>
    <w:rsid w:val="00B93D3E"/>
    <w:rsid w:val="00B93DF1"/>
    <w:rsid w:val="00B93EF3"/>
    <w:rsid w:val="00B9431C"/>
    <w:rsid w:val="00B94519"/>
    <w:rsid w:val="00B948A6"/>
    <w:rsid w:val="00B94C91"/>
    <w:rsid w:val="00B94D0C"/>
    <w:rsid w:val="00B94D6F"/>
    <w:rsid w:val="00B94E8D"/>
    <w:rsid w:val="00B94EEB"/>
    <w:rsid w:val="00B95136"/>
    <w:rsid w:val="00B9573A"/>
    <w:rsid w:val="00B95984"/>
    <w:rsid w:val="00B95A3E"/>
    <w:rsid w:val="00B95FFA"/>
    <w:rsid w:val="00B96614"/>
    <w:rsid w:val="00B9685E"/>
    <w:rsid w:val="00B97E67"/>
    <w:rsid w:val="00BA016C"/>
    <w:rsid w:val="00BA0474"/>
    <w:rsid w:val="00BA04A8"/>
    <w:rsid w:val="00BA075B"/>
    <w:rsid w:val="00BA0959"/>
    <w:rsid w:val="00BA09E7"/>
    <w:rsid w:val="00BA0D77"/>
    <w:rsid w:val="00BA0D79"/>
    <w:rsid w:val="00BA0DC3"/>
    <w:rsid w:val="00BA13A4"/>
    <w:rsid w:val="00BA1551"/>
    <w:rsid w:val="00BA1696"/>
    <w:rsid w:val="00BA1707"/>
    <w:rsid w:val="00BA1812"/>
    <w:rsid w:val="00BA191E"/>
    <w:rsid w:val="00BA1962"/>
    <w:rsid w:val="00BA19BE"/>
    <w:rsid w:val="00BA21DC"/>
    <w:rsid w:val="00BA21E3"/>
    <w:rsid w:val="00BA24A6"/>
    <w:rsid w:val="00BA24D2"/>
    <w:rsid w:val="00BA285E"/>
    <w:rsid w:val="00BA29F7"/>
    <w:rsid w:val="00BA2CA6"/>
    <w:rsid w:val="00BA2F1D"/>
    <w:rsid w:val="00BA344E"/>
    <w:rsid w:val="00BA34D1"/>
    <w:rsid w:val="00BA34EA"/>
    <w:rsid w:val="00BA3654"/>
    <w:rsid w:val="00BA3B11"/>
    <w:rsid w:val="00BA3C11"/>
    <w:rsid w:val="00BA3D11"/>
    <w:rsid w:val="00BA3F7E"/>
    <w:rsid w:val="00BA400A"/>
    <w:rsid w:val="00BA408B"/>
    <w:rsid w:val="00BA4146"/>
    <w:rsid w:val="00BA447B"/>
    <w:rsid w:val="00BA449D"/>
    <w:rsid w:val="00BA4825"/>
    <w:rsid w:val="00BA489F"/>
    <w:rsid w:val="00BA4DD6"/>
    <w:rsid w:val="00BA510D"/>
    <w:rsid w:val="00BA529C"/>
    <w:rsid w:val="00BA56EB"/>
    <w:rsid w:val="00BA5B34"/>
    <w:rsid w:val="00BA5D1F"/>
    <w:rsid w:val="00BA5D93"/>
    <w:rsid w:val="00BA62B3"/>
    <w:rsid w:val="00BA63BB"/>
    <w:rsid w:val="00BA6721"/>
    <w:rsid w:val="00BA68A9"/>
    <w:rsid w:val="00BA6AA7"/>
    <w:rsid w:val="00BA6B67"/>
    <w:rsid w:val="00BA6CA4"/>
    <w:rsid w:val="00BA74F5"/>
    <w:rsid w:val="00BA74FC"/>
    <w:rsid w:val="00BA776A"/>
    <w:rsid w:val="00BA7C23"/>
    <w:rsid w:val="00BB01A9"/>
    <w:rsid w:val="00BB0548"/>
    <w:rsid w:val="00BB05CD"/>
    <w:rsid w:val="00BB074C"/>
    <w:rsid w:val="00BB0A70"/>
    <w:rsid w:val="00BB0C2A"/>
    <w:rsid w:val="00BB0FBC"/>
    <w:rsid w:val="00BB109A"/>
    <w:rsid w:val="00BB1498"/>
    <w:rsid w:val="00BB14A5"/>
    <w:rsid w:val="00BB14BC"/>
    <w:rsid w:val="00BB18F7"/>
    <w:rsid w:val="00BB2552"/>
    <w:rsid w:val="00BB25C3"/>
    <w:rsid w:val="00BB25FD"/>
    <w:rsid w:val="00BB2726"/>
    <w:rsid w:val="00BB27FE"/>
    <w:rsid w:val="00BB2821"/>
    <w:rsid w:val="00BB287E"/>
    <w:rsid w:val="00BB28DA"/>
    <w:rsid w:val="00BB2A03"/>
    <w:rsid w:val="00BB2BA6"/>
    <w:rsid w:val="00BB2C2A"/>
    <w:rsid w:val="00BB2DCE"/>
    <w:rsid w:val="00BB3DCD"/>
    <w:rsid w:val="00BB3E3D"/>
    <w:rsid w:val="00BB4324"/>
    <w:rsid w:val="00BB44DA"/>
    <w:rsid w:val="00BB4920"/>
    <w:rsid w:val="00BB494E"/>
    <w:rsid w:val="00BB4A5C"/>
    <w:rsid w:val="00BB4B6D"/>
    <w:rsid w:val="00BB4B7B"/>
    <w:rsid w:val="00BB4BEC"/>
    <w:rsid w:val="00BB4C76"/>
    <w:rsid w:val="00BB4E1B"/>
    <w:rsid w:val="00BB57BD"/>
    <w:rsid w:val="00BB58AA"/>
    <w:rsid w:val="00BB621C"/>
    <w:rsid w:val="00BB6299"/>
    <w:rsid w:val="00BB6AB4"/>
    <w:rsid w:val="00BB764E"/>
    <w:rsid w:val="00BB77C3"/>
    <w:rsid w:val="00BB7864"/>
    <w:rsid w:val="00BB7981"/>
    <w:rsid w:val="00BB7999"/>
    <w:rsid w:val="00BC0137"/>
    <w:rsid w:val="00BC0389"/>
    <w:rsid w:val="00BC060A"/>
    <w:rsid w:val="00BC0A1C"/>
    <w:rsid w:val="00BC0C43"/>
    <w:rsid w:val="00BC16CE"/>
    <w:rsid w:val="00BC19ED"/>
    <w:rsid w:val="00BC1B4D"/>
    <w:rsid w:val="00BC1C19"/>
    <w:rsid w:val="00BC1C8D"/>
    <w:rsid w:val="00BC2158"/>
    <w:rsid w:val="00BC217C"/>
    <w:rsid w:val="00BC21C0"/>
    <w:rsid w:val="00BC23A4"/>
    <w:rsid w:val="00BC2863"/>
    <w:rsid w:val="00BC2D79"/>
    <w:rsid w:val="00BC31E1"/>
    <w:rsid w:val="00BC3384"/>
    <w:rsid w:val="00BC34C3"/>
    <w:rsid w:val="00BC37C8"/>
    <w:rsid w:val="00BC3821"/>
    <w:rsid w:val="00BC3A1B"/>
    <w:rsid w:val="00BC3D78"/>
    <w:rsid w:val="00BC3FFE"/>
    <w:rsid w:val="00BC40FD"/>
    <w:rsid w:val="00BC4761"/>
    <w:rsid w:val="00BC481C"/>
    <w:rsid w:val="00BC485F"/>
    <w:rsid w:val="00BC48B5"/>
    <w:rsid w:val="00BC490C"/>
    <w:rsid w:val="00BC4CC2"/>
    <w:rsid w:val="00BC4DFC"/>
    <w:rsid w:val="00BC4F67"/>
    <w:rsid w:val="00BC57C6"/>
    <w:rsid w:val="00BC5B21"/>
    <w:rsid w:val="00BC5D1E"/>
    <w:rsid w:val="00BC6168"/>
    <w:rsid w:val="00BC61E2"/>
    <w:rsid w:val="00BC6470"/>
    <w:rsid w:val="00BC682A"/>
    <w:rsid w:val="00BC694F"/>
    <w:rsid w:val="00BC6D9D"/>
    <w:rsid w:val="00BC7FEF"/>
    <w:rsid w:val="00BD03B0"/>
    <w:rsid w:val="00BD0875"/>
    <w:rsid w:val="00BD0905"/>
    <w:rsid w:val="00BD0D3D"/>
    <w:rsid w:val="00BD0EDF"/>
    <w:rsid w:val="00BD1268"/>
    <w:rsid w:val="00BD1A79"/>
    <w:rsid w:val="00BD1DEB"/>
    <w:rsid w:val="00BD20AE"/>
    <w:rsid w:val="00BD2378"/>
    <w:rsid w:val="00BD243A"/>
    <w:rsid w:val="00BD2795"/>
    <w:rsid w:val="00BD2896"/>
    <w:rsid w:val="00BD29E8"/>
    <w:rsid w:val="00BD2B39"/>
    <w:rsid w:val="00BD30D1"/>
    <w:rsid w:val="00BD32E8"/>
    <w:rsid w:val="00BD3567"/>
    <w:rsid w:val="00BD363E"/>
    <w:rsid w:val="00BD36F3"/>
    <w:rsid w:val="00BD3736"/>
    <w:rsid w:val="00BD3A2C"/>
    <w:rsid w:val="00BD3AB2"/>
    <w:rsid w:val="00BD3F0D"/>
    <w:rsid w:val="00BD429F"/>
    <w:rsid w:val="00BD47FE"/>
    <w:rsid w:val="00BD4BB0"/>
    <w:rsid w:val="00BD4C1E"/>
    <w:rsid w:val="00BD4F01"/>
    <w:rsid w:val="00BD51D0"/>
    <w:rsid w:val="00BD5BB1"/>
    <w:rsid w:val="00BD61A2"/>
    <w:rsid w:val="00BD6263"/>
    <w:rsid w:val="00BD6365"/>
    <w:rsid w:val="00BD68B7"/>
    <w:rsid w:val="00BD69B6"/>
    <w:rsid w:val="00BD6FED"/>
    <w:rsid w:val="00BD7352"/>
    <w:rsid w:val="00BD7991"/>
    <w:rsid w:val="00BD7B62"/>
    <w:rsid w:val="00BD7D61"/>
    <w:rsid w:val="00BD7E86"/>
    <w:rsid w:val="00BD7FB2"/>
    <w:rsid w:val="00BE01B0"/>
    <w:rsid w:val="00BE0291"/>
    <w:rsid w:val="00BE05D4"/>
    <w:rsid w:val="00BE0C0B"/>
    <w:rsid w:val="00BE0D3E"/>
    <w:rsid w:val="00BE0E64"/>
    <w:rsid w:val="00BE0EEA"/>
    <w:rsid w:val="00BE0F91"/>
    <w:rsid w:val="00BE13C6"/>
    <w:rsid w:val="00BE14F8"/>
    <w:rsid w:val="00BE1655"/>
    <w:rsid w:val="00BE1678"/>
    <w:rsid w:val="00BE16A5"/>
    <w:rsid w:val="00BE1D91"/>
    <w:rsid w:val="00BE1E13"/>
    <w:rsid w:val="00BE1F41"/>
    <w:rsid w:val="00BE2095"/>
    <w:rsid w:val="00BE2398"/>
    <w:rsid w:val="00BE2423"/>
    <w:rsid w:val="00BE286C"/>
    <w:rsid w:val="00BE28BE"/>
    <w:rsid w:val="00BE28EC"/>
    <w:rsid w:val="00BE2AA3"/>
    <w:rsid w:val="00BE2D49"/>
    <w:rsid w:val="00BE33F9"/>
    <w:rsid w:val="00BE340E"/>
    <w:rsid w:val="00BE3476"/>
    <w:rsid w:val="00BE3612"/>
    <w:rsid w:val="00BE382A"/>
    <w:rsid w:val="00BE3EBC"/>
    <w:rsid w:val="00BE40E1"/>
    <w:rsid w:val="00BE4252"/>
    <w:rsid w:val="00BE449D"/>
    <w:rsid w:val="00BE4535"/>
    <w:rsid w:val="00BE4FA6"/>
    <w:rsid w:val="00BE506F"/>
    <w:rsid w:val="00BE5299"/>
    <w:rsid w:val="00BE5696"/>
    <w:rsid w:val="00BE58E9"/>
    <w:rsid w:val="00BE619C"/>
    <w:rsid w:val="00BE627C"/>
    <w:rsid w:val="00BE6305"/>
    <w:rsid w:val="00BE63F8"/>
    <w:rsid w:val="00BE66C5"/>
    <w:rsid w:val="00BE6A94"/>
    <w:rsid w:val="00BE6B8E"/>
    <w:rsid w:val="00BE6C0F"/>
    <w:rsid w:val="00BE7316"/>
    <w:rsid w:val="00BE783B"/>
    <w:rsid w:val="00BF0003"/>
    <w:rsid w:val="00BF01ED"/>
    <w:rsid w:val="00BF036A"/>
    <w:rsid w:val="00BF046B"/>
    <w:rsid w:val="00BF0493"/>
    <w:rsid w:val="00BF0742"/>
    <w:rsid w:val="00BF0E58"/>
    <w:rsid w:val="00BF1470"/>
    <w:rsid w:val="00BF1682"/>
    <w:rsid w:val="00BF1B5E"/>
    <w:rsid w:val="00BF1C2A"/>
    <w:rsid w:val="00BF2194"/>
    <w:rsid w:val="00BF245F"/>
    <w:rsid w:val="00BF2AD5"/>
    <w:rsid w:val="00BF2B24"/>
    <w:rsid w:val="00BF3368"/>
    <w:rsid w:val="00BF34B8"/>
    <w:rsid w:val="00BF36A5"/>
    <w:rsid w:val="00BF3B89"/>
    <w:rsid w:val="00BF3BF0"/>
    <w:rsid w:val="00BF3D75"/>
    <w:rsid w:val="00BF422D"/>
    <w:rsid w:val="00BF459B"/>
    <w:rsid w:val="00BF4841"/>
    <w:rsid w:val="00BF4EF6"/>
    <w:rsid w:val="00BF4F84"/>
    <w:rsid w:val="00BF511B"/>
    <w:rsid w:val="00BF5132"/>
    <w:rsid w:val="00BF5203"/>
    <w:rsid w:val="00BF534F"/>
    <w:rsid w:val="00BF53C9"/>
    <w:rsid w:val="00BF5611"/>
    <w:rsid w:val="00BF5A12"/>
    <w:rsid w:val="00BF5C6B"/>
    <w:rsid w:val="00BF5D76"/>
    <w:rsid w:val="00BF61BB"/>
    <w:rsid w:val="00BF61C1"/>
    <w:rsid w:val="00BF65F1"/>
    <w:rsid w:val="00BF68F8"/>
    <w:rsid w:val="00BF6958"/>
    <w:rsid w:val="00BF696B"/>
    <w:rsid w:val="00BF6A3E"/>
    <w:rsid w:val="00BF6ACD"/>
    <w:rsid w:val="00BF6C31"/>
    <w:rsid w:val="00BF6F14"/>
    <w:rsid w:val="00BF7166"/>
    <w:rsid w:val="00BF7474"/>
    <w:rsid w:val="00BF74E4"/>
    <w:rsid w:val="00BF7586"/>
    <w:rsid w:val="00BF75F5"/>
    <w:rsid w:val="00BF789F"/>
    <w:rsid w:val="00BF7C96"/>
    <w:rsid w:val="00BF7F75"/>
    <w:rsid w:val="00C00242"/>
    <w:rsid w:val="00C00308"/>
    <w:rsid w:val="00C0050D"/>
    <w:rsid w:val="00C00620"/>
    <w:rsid w:val="00C0120B"/>
    <w:rsid w:val="00C014E7"/>
    <w:rsid w:val="00C015F0"/>
    <w:rsid w:val="00C01750"/>
    <w:rsid w:val="00C01B4B"/>
    <w:rsid w:val="00C01CCA"/>
    <w:rsid w:val="00C01D82"/>
    <w:rsid w:val="00C01F31"/>
    <w:rsid w:val="00C0236B"/>
    <w:rsid w:val="00C027A9"/>
    <w:rsid w:val="00C028AF"/>
    <w:rsid w:val="00C0296B"/>
    <w:rsid w:val="00C03118"/>
    <w:rsid w:val="00C03171"/>
    <w:rsid w:val="00C032D1"/>
    <w:rsid w:val="00C034A0"/>
    <w:rsid w:val="00C03582"/>
    <w:rsid w:val="00C03BF5"/>
    <w:rsid w:val="00C03C99"/>
    <w:rsid w:val="00C03D64"/>
    <w:rsid w:val="00C045E3"/>
    <w:rsid w:val="00C04884"/>
    <w:rsid w:val="00C04E5E"/>
    <w:rsid w:val="00C05120"/>
    <w:rsid w:val="00C051D1"/>
    <w:rsid w:val="00C05668"/>
    <w:rsid w:val="00C05886"/>
    <w:rsid w:val="00C05AA1"/>
    <w:rsid w:val="00C0624A"/>
    <w:rsid w:val="00C063B6"/>
    <w:rsid w:val="00C06778"/>
    <w:rsid w:val="00C0678D"/>
    <w:rsid w:val="00C0679F"/>
    <w:rsid w:val="00C06C43"/>
    <w:rsid w:val="00C06CF6"/>
    <w:rsid w:val="00C06D5D"/>
    <w:rsid w:val="00C0727B"/>
    <w:rsid w:val="00C0787E"/>
    <w:rsid w:val="00C07B21"/>
    <w:rsid w:val="00C102B9"/>
    <w:rsid w:val="00C10706"/>
    <w:rsid w:val="00C108E9"/>
    <w:rsid w:val="00C10911"/>
    <w:rsid w:val="00C10B73"/>
    <w:rsid w:val="00C10D4B"/>
    <w:rsid w:val="00C11113"/>
    <w:rsid w:val="00C11F3F"/>
    <w:rsid w:val="00C12224"/>
    <w:rsid w:val="00C12331"/>
    <w:rsid w:val="00C12540"/>
    <w:rsid w:val="00C12594"/>
    <w:rsid w:val="00C12677"/>
    <w:rsid w:val="00C126C5"/>
    <w:rsid w:val="00C12897"/>
    <w:rsid w:val="00C12912"/>
    <w:rsid w:val="00C12A14"/>
    <w:rsid w:val="00C12B4E"/>
    <w:rsid w:val="00C12ECA"/>
    <w:rsid w:val="00C13111"/>
    <w:rsid w:val="00C13802"/>
    <w:rsid w:val="00C13C38"/>
    <w:rsid w:val="00C13FF1"/>
    <w:rsid w:val="00C1470C"/>
    <w:rsid w:val="00C14721"/>
    <w:rsid w:val="00C14C34"/>
    <w:rsid w:val="00C14D31"/>
    <w:rsid w:val="00C14EA3"/>
    <w:rsid w:val="00C14EE7"/>
    <w:rsid w:val="00C151A9"/>
    <w:rsid w:val="00C1527D"/>
    <w:rsid w:val="00C156C8"/>
    <w:rsid w:val="00C15804"/>
    <w:rsid w:val="00C159F6"/>
    <w:rsid w:val="00C15C3A"/>
    <w:rsid w:val="00C15CDE"/>
    <w:rsid w:val="00C15DE2"/>
    <w:rsid w:val="00C15E47"/>
    <w:rsid w:val="00C15EB6"/>
    <w:rsid w:val="00C15F14"/>
    <w:rsid w:val="00C15FB3"/>
    <w:rsid w:val="00C16243"/>
    <w:rsid w:val="00C164A0"/>
    <w:rsid w:val="00C165D3"/>
    <w:rsid w:val="00C1677B"/>
    <w:rsid w:val="00C1682D"/>
    <w:rsid w:val="00C168B2"/>
    <w:rsid w:val="00C169E8"/>
    <w:rsid w:val="00C16ADF"/>
    <w:rsid w:val="00C16C63"/>
    <w:rsid w:val="00C16F2E"/>
    <w:rsid w:val="00C16FF6"/>
    <w:rsid w:val="00C175AA"/>
    <w:rsid w:val="00C1786C"/>
    <w:rsid w:val="00C179E7"/>
    <w:rsid w:val="00C17FAA"/>
    <w:rsid w:val="00C20384"/>
    <w:rsid w:val="00C2084F"/>
    <w:rsid w:val="00C2087D"/>
    <w:rsid w:val="00C20A76"/>
    <w:rsid w:val="00C20B22"/>
    <w:rsid w:val="00C20BC7"/>
    <w:rsid w:val="00C20CFE"/>
    <w:rsid w:val="00C20EB7"/>
    <w:rsid w:val="00C21003"/>
    <w:rsid w:val="00C211A0"/>
    <w:rsid w:val="00C21628"/>
    <w:rsid w:val="00C21BDD"/>
    <w:rsid w:val="00C21E28"/>
    <w:rsid w:val="00C22266"/>
    <w:rsid w:val="00C22552"/>
    <w:rsid w:val="00C2283F"/>
    <w:rsid w:val="00C229C0"/>
    <w:rsid w:val="00C22BB0"/>
    <w:rsid w:val="00C22C04"/>
    <w:rsid w:val="00C230F3"/>
    <w:rsid w:val="00C234BB"/>
    <w:rsid w:val="00C23541"/>
    <w:rsid w:val="00C236C2"/>
    <w:rsid w:val="00C23A70"/>
    <w:rsid w:val="00C2418E"/>
    <w:rsid w:val="00C2426B"/>
    <w:rsid w:val="00C24537"/>
    <w:rsid w:val="00C245F4"/>
    <w:rsid w:val="00C24808"/>
    <w:rsid w:val="00C24AA2"/>
    <w:rsid w:val="00C25ADC"/>
    <w:rsid w:val="00C26134"/>
    <w:rsid w:val="00C264B2"/>
    <w:rsid w:val="00C26668"/>
    <w:rsid w:val="00C26921"/>
    <w:rsid w:val="00C26AC1"/>
    <w:rsid w:val="00C26C42"/>
    <w:rsid w:val="00C26E0F"/>
    <w:rsid w:val="00C26EE2"/>
    <w:rsid w:val="00C26FD3"/>
    <w:rsid w:val="00C2730B"/>
    <w:rsid w:val="00C274DD"/>
    <w:rsid w:val="00C27565"/>
    <w:rsid w:val="00C277A7"/>
    <w:rsid w:val="00C27C12"/>
    <w:rsid w:val="00C27EA5"/>
    <w:rsid w:val="00C27F2C"/>
    <w:rsid w:val="00C30395"/>
    <w:rsid w:val="00C304AB"/>
    <w:rsid w:val="00C30654"/>
    <w:rsid w:val="00C308F9"/>
    <w:rsid w:val="00C30BBD"/>
    <w:rsid w:val="00C3109E"/>
    <w:rsid w:val="00C31227"/>
    <w:rsid w:val="00C312FE"/>
    <w:rsid w:val="00C31503"/>
    <w:rsid w:val="00C318AE"/>
    <w:rsid w:val="00C31B10"/>
    <w:rsid w:val="00C31D57"/>
    <w:rsid w:val="00C322C1"/>
    <w:rsid w:val="00C323E4"/>
    <w:rsid w:val="00C32E2B"/>
    <w:rsid w:val="00C330C4"/>
    <w:rsid w:val="00C331CF"/>
    <w:rsid w:val="00C332A3"/>
    <w:rsid w:val="00C33360"/>
    <w:rsid w:val="00C33464"/>
    <w:rsid w:val="00C335C6"/>
    <w:rsid w:val="00C33757"/>
    <w:rsid w:val="00C33965"/>
    <w:rsid w:val="00C33E0D"/>
    <w:rsid w:val="00C34069"/>
    <w:rsid w:val="00C34340"/>
    <w:rsid w:val="00C34458"/>
    <w:rsid w:val="00C34C90"/>
    <w:rsid w:val="00C34D34"/>
    <w:rsid w:val="00C34D93"/>
    <w:rsid w:val="00C34DCC"/>
    <w:rsid w:val="00C35645"/>
    <w:rsid w:val="00C35AB8"/>
    <w:rsid w:val="00C35AD1"/>
    <w:rsid w:val="00C35C10"/>
    <w:rsid w:val="00C35CAF"/>
    <w:rsid w:val="00C3611F"/>
    <w:rsid w:val="00C361A8"/>
    <w:rsid w:val="00C362C3"/>
    <w:rsid w:val="00C363FA"/>
    <w:rsid w:val="00C36606"/>
    <w:rsid w:val="00C36742"/>
    <w:rsid w:val="00C3676D"/>
    <w:rsid w:val="00C36912"/>
    <w:rsid w:val="00C3703A"/>
    <w:rsid w:val="00C3710E"/>
    <w:rsid w:val="00C37347"/>
    <w:rsid w:val="00C37451"/>
    <w:rsid w:val="00C37508"/>
    <w:rsid w:val="00C37595"/>
    <w:rsid w:val="00C3763B"/>
    <w:rsid w:val="00C37B8F"/>
    <w:rsid w:val="00C37CEC"/>
    <w:rsid w:val="00C37E00"/>
    <w:rsid w:val="00C401CE"/>
    <w:rsid w:val="00C401E9"/>
    <w:rsid w:val="00C40241"/>
    <w:rsid w:val="00C40317"/>
    <w:rsid w:val="00C403B6"/>
    <w:rsid w:val="00C40648"/>
    <w:rsid w:val="00C4076C"/>
    <w:rsid w:val="00C41090"/>
    <w:rsid w:val="00C41158"/>
    <w:rsid w:val="00C4115C"/>
    <w:rsid w:val="00C41306"/>
    <w:rsid w:val="00C41607"/>
    <w:rsid w:val="00C417C6"/>
    <w:rsid w:val="00C41B7F"/>
    <w:rsid w:val="00C41CAA"/>
    <w:rsid w:val="00C42004"/>
    <w:rsid w:val="00C4229B"/>
    <w:rsid w:val="00C422C7"/>
    <w:rsid w:val="00C42A81"/>
    <w:rsid w:val="00C42F22"/>
    <w:rsid w:val="00C42F2A"/>
    <w:rsid w:val="00C432B5"/>
    <w:rsid w:val="00C43845"/>
    <w:rsid w:val="00C43D59"/>
    <w:rsid w:val="00C43E62"/>
    <w:rsid w:val="00C43FAF"/>
    <w:rsid w:val="00C443BB"/>
    <w:rsid w:val="00C4454E"/>
    <w:rsid w:val="00C4474A"/>
    <w:rsid w:val="00C44C3C"/>
    <w:rsid w:val="00C44FE5"/>
    <w:rsid w:val="00C4532A"/>
    <w:rsid w:val="00C45526"/>
    <w:rsid w:val="00C45719"/>
    <w:rsid w:val="00C45AA8"/>
    <w:rsid w:val="00C45BB1"/>
    <w:rsid w:val="00C45DA4"/>
    <w:rsid w:val="00C46112"/>
    <w:rsid w:val="00C463D4"/>
    <w:rsid w:val="00C46594"/>
    <w:rsid w:val="00C46669"/>
    <w:rsid w:val="00C4688D"/>
    <w:rsid w:val="00C46A0A"/>
    <w:rsid w:val="00C46A86"/>
    <w:rsid w:val="00C46FD8"/>
    <w:rsid w:val="00C471F4"/>
    <w:rsid w:val="00C4763D"/>
    <w:rsid w:val="00C47998"/>
    <w:rsid w:val="00C47BB4"/>
    <w:rsid w:val="00C47E6D"/>
    <w:rsid w:val="00C47F2A"/>
    <w:rsid w:val="00C5005F"/>
    <w:rsid w:val="00C50145"/>
    <w:rsid w:val="00C50462"/>
    <w:rsid w:val="00C5081D"/>
    <w:rsid w:val="00C508E6"/>
    <w:rsid w:val="00C50C43"/>
    <w:rsid w:val="00C50EF6"/>
    <w:rsid w:val="00C50F6E"/>
    <w:rsid w:val="00C510DA"/>
    <w:rsid w:val="00C5114E"/>
    <w:rsid w:val="00C5115C"/>
    <w:rsid w:val="00C513A9"/>
    <w:rsid w:val="00C513C4"/>
    <w:rsid w:val="00C513DB"/>
    <w:rsid w:val="00C5181D"/>
    <w:rsid w:val="00C51AF9"/>
    <w:rsid w:val="00C51B1F"/>
    <w:rsid w:val="00C51D2D"/>
    <w:rsid w:val="00C51DC4"/>
    <w:rsid w:val="00C52248"/>
    <w:rsid w:val="00C5224E"/>
    <w:rsid w:val="00C52508"/>
    <w:rsid w:val="00C52617"/>
    <w:rsid w:val="00C52846"/>
    <w:rsid w:val="00C52973"/>
    <w:rsid w:val="00C52975"/>
    <w:rsid w:val="00C52B0D"/>
    <w:rsid w:val="00C52C27"/>
    <w:rsid w:val="00C52EA0"/>
    <w:rsid w:val="00C53299"/>
    <w:rsid w:val="00C53507"/>
    <w:rsid w:val="00C5360E"/>
    <w:rsid w:val="00C53DA1"/>
    <w:rsid w:val="00C53EC8"/>
    <w:rsid w:val="00C54018"/>
    <w:rsid w:val="00C5477A"/>
    <w:rsid w:val="00C54793"/>
    <w:rsid w:val="00C54841"/>
    <w:rsid w:val="00C54E57"/>
    <w:rsid w:val="00C54EF6"/>
    <w:rsid w:val="00C5528D"/>
    <w:rsid w:val="00C55475"/>
    <w:rsid w:val="00C55817"/>
    <w:rsid w:val="00C55998"/>
    <w:rsid w:val="00C55BB4"/>
    <w:rsid w:val="00C55C03"/>
    <w:rsid w:val="00C561EB"/>
    <w:rsid w:val="00C56376"/>
    <w:rsid w:val="00C5656C"/>
    <w:rsid w:val="00C566E2"/>
    <w:rsid w:val="00C566FE"/>
    <w:rsid w:val="00C56A48"/>
    <w:rsid w:val="00C56DF8"/>
    <w:rsid w:val="00C56F91"/>
    <w:rsid w:val="00C57293"/>
    <w:rsid w:val="00C572B2"/>
    <w:rsid w:val="00C573A9"/>
    <w:rsid w:val="00C57414"/>
    <w:rsid w:val="00C57D9C"/>
    <w:rsid w:val="00C57E6D"/>
    <w:rsid w:val="00C600AC"/>
    <w:rsid w:val="00C60174"/>
    <w:rsid w:val="00C60BF6"/>
    <w:rsid w:val="00C611D1"/>
    <w:rsid w:val="00C613DF"/>
    <w:rsid w:val="00C61484"/>
    <w:rsid w:val="00C614A9"/>
    <w:rsid w:val="00C61526"/>
    <w:rsid w:val="00C61AEA"/>
    <w:rsid w:val="00C61AFE"/>
    <w:rsid w:val="00C61D52"/>
    <w:rsid w:val="00C61E63"/>
    <w:rsid w:val="00C62032"/>
    <w:rsid w:val="00C62077"/>
    <w:rsid w:val="00C622A9"/>
    <w:rsid w:val="00C62320"/>
    <w:rsid w:val="00C625DF"/>
    <w:rsid w:val="00C6270C"/>
    <w:rsid w:val="00C62C3A"/>
    <w:rsid w:val="00C630AA"/>
    <w:rsid w:val="00C63322"/>
    <w:rsid w:val="00C63399"/>
    <w:rsid w:val="00C6351D"/>
    <w:rsid w:val="00C638DB"/>
    <w:rsid w:val="00C639BA"/>
    <w:rsid w:val="00C63E51"/>
    <w:rsid w:val="00C63E92"/>
    <w:rsid w:val="00C64577"/>
    <w:rsid w:val="00C645B1"/>
    <w:rsid w:val="00C64933"/>
    <w:rsid w:val="00C64D2C"/>
    <w:rsid w:val="00C64D75"/>
    <w:rsid w:val="00C64D79"/>
    <w:rsid w:val="00C64F3E"/>
    <w:rsid w:val="00C65AE3"/>
    <w:rsid w:val="00C65B2A"/>
    <w:rsid w:val="00C65FC9"/>
    <w:rsid w:val="00C662A2"/>
    <w:rsid w:val="00C6689D"/>
    <w:rsid w:val="00C66BB0"/>
    <w:rsid w:val="00C66D32"/>
    <w:rsid w:val="00C66E66"/>
    <w:rsid w:val="00C670AD"/>
    <w:rsid w:val="00C674B6"/>
    <w:rsid w:val="00C676DE"/>
    <w:rsid w:val="00C67AC3"/>
    <w:rsid w:val="00C67DB5"/>
    <w:rsid w:val="00C700EB"/>
    <w:rsid w:val="00C705E8"/>
    <w:rsid w:val="00C706FC"/>
    <w:rsid w:val="00C707EF"/>
    <w:rsid w:val="00C70922"/>
    <w:rsid w:val="00C71681"/>
    <w:rsid w:val="00C7225F"/>
    <w:rsid w:val="00C724F0"/>
    <w:rsid w:val="00C728CD"/>
    <w:rsid w:val="00C72B95"/>
    <w:rsid w:val="00C72BA1"/>
    <w:rsid w:val="00C72E2F"/>
    <w:rsid w:val="00C72ED2"/>
    <w:rsid w:val="00C73130"/>
    <w:rsid w:val="00C73240"/>
    <w:rsid w:val="00C7355B"/>
    <w:rsid w:val="00C73D1A"/>
    <w:rsid w:val="00C7493C"/>
    <w:rsid w:val="00C74B05"/>
    <w:rsid w:val="00C74E38"/>
    <w:rsid w:val="00C74F66"/>
    <w:rsid w:val="00C74FD4"/>
    <w:rsid w:val="00C7504A"/>
    <w:rsid w:val="00C753FD"/>
    <w:rsid w:val="00C7546A"/>
    <w:rsid w:val="00C756F9"/>
    <w:rsid w:val="00C75DAD"/>
    <w:rsid w:val="00C76501"/>
    <w:rsid w:val="00C7671B"/>
    <w:rsid w:val="00C7679A"/>
    <w:rsid w:val="00C76980"/>
    <w:rsid w:val="00C76A90"/>
    <w:rsid w:val="00C76E3E"/>
    <w:rsid w:val="00C7721A"/>
    <w:rsid w:val="00C7748A"/>
    <w:rsid w:val="00C774FD"/>
    <w:rsid w:val="00C77537"/>
    <w:rsid w:val="00C776C5"/>
    <w:rsid w:val="00C77992"/>
    <w:rsid w:val="00C779B6"/>
    <w:rsid w:val="00C77DBD"/>
    <w:rsid w:val="00C77E4B"/>
    <w:rsid w:val="00C802DF"/>
    <w:rsid w:val="00C802E1"/>
    <w:rsid w:val="00C8074B"/>
    <w:rsid w:val="00C80965"/>
    <w:rsid w:val="00C80ED3"/>
    <w:rsid w:val="00C811B7"/>
    <w:rsid w:val="00C8146A"/>
    <w:rsid w:val="00C816F8"/>
    <w:rsid w:val="00C819A0"/>
    <w:rsid w:val="00C81A6F"/>
    <w:rsid w:val="00C81AD4"/>
    <w:rsid w:val="00C81E2C"/>
    <w:rsid w:val="00C8223B"/>
    <w:rsid w:val="00C82501"/>
    <w:rsid w:val="00C828B6"/>
    <w:rsid w:val="00C82971"/>
    <w:rsid w:val="00C829D1"/>
    <w:rsid w:val="00C8304F"/>
    <w:rsid w:val="00C835B1"/>
    <w:rsid w:val="00C8387C"/>
    <w:rsid w:val="00C83E70"/>
    <w:rsid w:val="00C83EF4"/>
    <w:rsid w:val="00C83FE0"/>
    <w:rsid w:val="00C840A5"/>
    <w:rsid w:val="00C842C1"/>
    <w:rsid w:val="00C84461"/>
    <w:rsid w:val="00C84884"/>
    <w:rsid w:val="00C848A3"/>
    <w:rsid w:val="00C84A0E"/>
    <w:rsid w:val="00C84A89"/>
    <w:rsid w:val="00C84E4C"/>
    <w:rsid w:val="00C85960"/>
    <w:rsid w:val="00C85A30"/>
    <w:rsid w:val="00C85F4B"/>
    <w:rsid w:val="00C860A9"/>
    <w:rsid w:val="00C8634A"/>
    <w:rsid w:val="00C868DC"/>
    <w:rsid w:val="00C86C33"/>
    <w:rsid w:val="00C87473"/>
    <w:rsid w:val="00C87497"/>
    <w:rsid w:val="00C876A0"/>
    <w:rsid w:val="00C87704"/>
    <w:rsid w:val="00C8775E"/>
    <w:rsid w:val="00C87F0D"/>
    <w:rsid w:val="00C9005A"/>
    <w:rsid w:val="00C90481"/>
    <w:rsid w:val="00C90768"/>
    <w:rsid w:val="00C9085B"/>
    <w:rsid w:val="00C90B19"/>
    <w:rsid w:val="00C90DCD"/>
    <w:rsid w:val="00C91027"/>
    <w:rsid w:val="00C91109"/>
    <w:rsid w:val="00C91383"/>
    <w:rsid w:val="00C91845"/>
    <w:rsid w:val="00C91876"/>
    <w:rsid w:val="00C91A1F"/>
    <w:rsid w:val="00C91EC4"/>
    <w:rsid w:val="00C92446"/>
    <w:rsid w:val="00C92614"/>
    <w:rsid w:val="00C92B77"/>
    <w:rsid w:val="00C930DC"/>
    <w:rsid w:val="00C931D3"/>
    <w:rsid w:val="00C93329"/>
    <w:rsid w:val="00C93B58"/>
    <w:rsid w:val="00C93E9C"/>
    <w:rsid w:val="00C94191"/>
    <w:rsid w:val="00C9429A"/>
    <w:rsid w:val="00C94786"/>
    <w:rsid w:val="00C94849"/>
    <w:rsid w:val="00C94859"/>
    <w:rsid w:val="00C948F2"/>
    <w:rsid w:val="00C94ADA"/>
    <w:rsid w:val="00C94D55"/>
    <w:rsid w:val="00C9561D"/>
    <w:rsid w:val="00C9569F"/>
    <w:rsid w:val="00C95A0A"/>
    <w:rsid w:val="00C95A49"/>
    <w:rsid w:val="00C95BA2"/>
    <w:rsid w:val="00C95C10"/>
    <w:rsid w:val="00C964DD"/>
    <w:rsid w:val="00C96729"/>
    <w:rsid w:val="00C96AA5"/>
    <w:rsid w:val="00C96CDF"/>
    <w:rsid w:val="00C970FE"/>
    <w:rsid w:val="00C97182"/>
    <w:rsid w:val="00C97276"/>
    <w:rsid w:val="00C97839"/>
    <w:rsid w:val="00C97ADD"/>
    <w:rsid w:val="00C97B4D"/>
    <w:rsid w:val="00C97CA6"/>
    <w:rsid w:val="00C97F5C"/>
    <w:rsid w:val="00CA009D"/>
    <w:rsid w:val="00CA030A"/>
    <w:rsid w:val="00CA0541"/>
    <w:rsid w:val="00CA0654"/>
    <w:rsid w:val="00CA0A66"/>
    <w:rsid w:val="00CA0B4B"/>
    <w:rsid w:val="00CA0D3B"/>
    <w:rsid w:val="00CA0E59"/>
    <w:rsid w:val="00CA0E79"/>
    <w:rsid w:val="00CA10AC"/>
    <w:rsid w:val="00CA13F6"/>
    <w:rsid w:val="00CA16EA"/>
    <w:rsid w:val="00CA18AC"/>
    <w:rsid w:val="00CA18B4"/>
    <w:rsid w:val="00CA1F12"/>
    <w:rsid w:val="00CA1FD6"/>
    <w:rsid w:val="00CA2768"/>
    <w:rsid w:val="00CA27A0"/>
    <w:rsid w:val="00CA2916"/>
    <w:rsid w:val="00CA2920"/>
    <w:rsid w:val="00CA2A78"/>
    <w:rsid w:val="00CA31CD"/>
    <w:rsid w:val="00CA36E2"/>
    <w:rsid w:val="00CA44D7"/>
    <w:rsid w:val="00CA4541"/>
    <w:rsid w:val="00CA499E"/>
    <w:rsid w:val="00CA4BC0"/>
    <w:rsid w:val="00CA4BF8"/>
    <w:rsid w:val="00CA4F72"/>
    <w:rsid w:val="00CA5059"/>
    <w:rsid w:val="00CA59C7"/>
    <w:rsid w:val="00CA5B3C"/>
    <w:rsid w:val="00CA6204"/>
    <w:rsid w:val="00CA64A6"/>
    <w:rsid w:val="00CA69E7"/>
    <w:rsid w:val="00CA6A37"/>
    <w:rsid w:val="00CA6F75"/>
    <w:rsid w:val="00CA6FC4"/>
    <w:rsid w:val="00CA70EB"/>
    <w:rsid w:val="00CA72F6"/>
    <w:rsid w:val="00CA750D"/>
    <w:rsid w:val="00CA7787"/>
    <w:rsid w:val="00CA79E4"/>
    <w:rsid w:val="00CA7B59"/>
    <w:rsid w:val="00CA7CF9"/>
    <w:rsid w:val="00CA7FE3"/>
    <w:rsid w:val="00CB05DD"/>
    <w:rsid w:val="00CB0A74"/>
    <w:rsid w:val="00CB0BBE"/>
    <w:rsid w:val="00CB0FC5"/>
    <w:rsid w:val="00CB1062"/>
    <w:rsid w:val="00CB1088"/>
    <w:rsid w:val="00CB13D9"/>
    <w:rsid w:val="00CB1900"/>
    <w:rsid w:val="00CB197A"/>
    <w:rsid w:val="00CB1A13"/>
    <w:rsid w:val="00CB1B6B"/>
    <w:rsid w:val="00CB2215"/>
    <w:rsid w:val="00CB239D"/>
    <w:rsid w:val="00CB266A"/>
    <w:rsid w:val="00CB2C2B"/>
    <w:rsid w:val="00CB2DB9"/>
    <w:rsid w:val="00CB2F32"/>
    <w:rsid w:val="00CB30BB"/>
    <w:rsid w:val="00CB32E9"/>
    <w:rsid w:val="00CB37D9"/>
    <w:rsid w:val="00CB382B"/>
    <w:rsid w:val="00CB3919"/>
    <w:rsid w:val="00CB3BA8"/>
    <w:rsid w:val="00CB3C1E"/>
    <w:rsid w:val="00CB4067"/>
    <w:rsid w:val="00CB4931"/>
    <w:rsid w:val="00CB497F"/>
    <w:rsid w:val="00CB4C03"/>
    <w:rsid w:val="00CB4D0B"/>
    <w:rsid w:val="00CB5354"/>
    <w:rsid w:val="00CB54DE"/>
    <w:rsid w:val="00CB560E"/>
    <w:rsid w:val="00CB560F"/>
    <w:rsid w:val="00CB5801"/>
    <w:rsid w:val="00CB5860"/>
    <w:rsid w:val="00CB59DE"/>
    <w:rsid w:val="00CB5D77"/>
    <w:rsid w:val="00CB5EA1"/>
    <w:rsid w:val="00CB603F"/>
    <w:rsid w:val="00CB6395"/>
    <w:rsid w:val="00CB63A9"/>
    <w:rsid w:val="00CB64B1"/>
    <w:rsid w:val="00CB67FF"/>
    <w:rsid w:val="00CB682A"/>
    <w:rsid w:val="00CB6ADB"/>
    <w:rsid w:val="00CB6D48"/>
    <w:rsid w:val="00CB6F21"/>
    <w:rsid w:val="00CB6FBE"/>
    <w:rsid w:val="00CB71AA"/>
    <w:rsid w:val="00CB7240"/>
    <w:rsid w:val="00CB72B4"/>
    <w:rsid w:val="00CB756D"/>
    <w:rsid w:val="00CB7665"/>
    <w:rsid w:val="00CB7794"/>
    <w:rsid w:val="00CB78F9"/>
    <w:rsid w:val="00CB795A"/>
    <w:rsid w:val="00CB79C3"/>
    <w:rsid w:val="00CB7A49"/>
    <w:rsid w:val="00CB7AB7"/>
    <w:rsid w:val="00CB7AEE"/>
    <w:rsid w:val="00CB7D4D"/>
    <w:rsid w:val="00CC0034"/>
    <w:rsid w:val="00CC059D"/>
    <w:rsid w:val="00CC05C8"/>
    <w:rsid w:val="00CC0A75"/>
    <w:rsid w:val="00CC0C65"/>
    <w:rsid w:val="00CC0E90"/>
    <w:rsid w:val="00CC0EB2"/>
    <w:rsid w:val="00CC105B"/>
    <w:rsid w:val="00CC11E9"/>
    <w:rsid w:val="00CC143A"/>
    <w:rsid w:val="00CC15D8"/>
    <w:rsid w:val="00CC15F4"/>
    <w:rsid w:val="00CC19E0"/>
    <w:rsid w:val="00CC1A5A"/>
    <w:rsid w:val="00CC1EDB"/>
    <w:rsid w:val="00CC1F5A"/>
    <w:rsid w:val="00CC1FE1"/>
    <w:rsid w:val="00CC25CF"/>
    <w:rsid w:val="00CC2A41"/>
    <w:rsid w:val="00CC2AB0"/>
    <w:rsid w:val="00CC2C14"/>
    <w:rsid w:val="00CC3525"/>
    <w:rsid w:val="00CC379F"/>
    <w:rsid w:val="00CC39E3"/>
    <w:rsid w:val="00CC3C65"/>
    <w:rsid w:val="00CC3DD5"/>
    <w:rsid w:val="00CC40E7"/>
    <w:rsid w:val="00CC413A"/>
    <w:rsid w:val="00CC41A6"/>
    <w:rsid w:val="00CC423C"/>
    <w:rsid w:val="00CC4704"/>
    <w:rsid w:val="00CC4733"/>
    <w:rsid w:val="00CC4B1F"/>
    <w:rsid w:val="00CC4C71"/>
    <w:rsid w:val="00CC4FD7"/>
    <w:rsid w:val="00CC56F3"/>
    <w:rsid w:val="00CC5929"/>
    <w:rsid w:val="00CC59BC"/>
    <w:rsid w:val="00CC5C2E"/>
    <w:rsid w:val="00CC5EF8"/>
    <w:rsid w:val="00CC5FB1"/>
    <w:rsid w:val="00CC6052"/>
    <w:rsid w:val="00CC66CC"/>
    <w:rsid w:val="00CC6B83"/>
    <w:rsid w:val="00CC6BE4"/>
    <w:rsid w:val="00CC71C7"/>
    <w:rsid w:val="00CC760B"/>
    <w:rsid w:val="00CC7B49"/>
    <w:rsid w:val="00CD008C"/>
    <w:rsid w:val="00CD016C"/>
    <w:rsid w:val="00CD0200"/>
    <w:rsid w:val="00CD0389"/>
    <w:rsid w:val="00CD0724"/>
    <w:rsid w:val="00CD088F"/>
    <w:rsid w:val="00CD08B9"/>
    <w:rsid w:val="00CD0E55"/>
    <w:rsid w:val="00CD0FF0"/>
    <w:rsid w:val="00CD12B3"/>
    <w:rsid w:val="00CD16AD"/>
    <w:rsid w:val="00CD1721"/>
    <w:rsid w:val="00CD1AA2"/>
    <w:rsid w:val="00CD1D70"/>
    <w:rsid w:val="00CD1E82"/>
    <w:rsid w:val="00CD228B"/>
    <w:rsid w:val="00CD279A"/>
    <w:rsid w:val="00CD32DA"/>
    <w:rsid w:val="00CD3BD6"/>
    <w:rsid w:val="00CD4434"/>
    <w:rsid w:val="00CD47FD"/>
    <w:rsid w:val="00CD49BD"/>
    <w:rsid w:val="00CD4C0C"/>
    <w:rsid w:val="00CD4DF4"/>
    <w:rsid w:val="00CD4E24"/>
    <w:rsid w:val="00CD5177"/>
    <w:rsid w:val="00CD52BD"/>
    <w:rsid w:val="00CD5348"/>
    <w:rsid w:val="00CD55BB"/>
    <w:rsid w:val="00CD5789"/>
    <w:rsid w:val="00CD5911"/>
    <w:rsid w:val="00CD5927"/>
    <w:rsid w:val="00CD5AE5"/>
    <w:rsid w:val="00CD5D75"/>
    <w:rsid w:val="00CD5FC3"/>
    <w:rsid w:val="00CD64D8"/>
    <w:rsid w:val="00CD6730"/>
    <w:rsid w:val="00CD69EF"/>
    <w:rsid w:val="00CD7083"/>
    <w:rsid w:val="00CD7177"/>
    <w:rsid w:val="00CD79F3"/>
    <w:rsid w:val="00CE0362"/>
    <w:rsid w:val="00CE041A"/>
    <w:rsid w:val="00CE0AC9"/>
    <w:rsid w:val="00CE0EB1"/>
    <w:rsid w:val="00CE14CF"/>
    <w:rsid w:val="00CE15A5"/>
    <w:rsid w:val="00CE1739"/>
    <w:rsid w:val="00CE1B38"/>
    <w:rsid w:val="00CE1DF8"/>
    <w:rsid w:val="00CE233E"/>
    <w:rsid w:val="00CE25BC"/>
    <w:rsid w:val="00CE272B"/>
    <w:rsid w:val="00CE28E1"/>
    <w:rsid w:val="00CE29F9"/>
    <w:rsid w:val="00CE2B3C"/>
    <w:rsid w:val="00CE2E3E"/>
    <w:rsid w:val="00CE3024"/>
    <w:rsid w:val="00CE3145"/>
    <w:rsid w:val="00CE31F5"/>
    <w:rsid w:val="00CE3574"/>
    <w:rsid w:val="00CE395A"/>
    <w:rsid w:val="00CE3B73"/>
    <w:rsid w:val="00CE3E8B"/>
    <w:rsid w:val="00CE42D4"/>
    <w:rsid w:val="00CE436F"/>
    <w:rsid w:val="00CE47AB"/>
    <w:rsid w:val="00CE4B09"/>
    <w:rsid w:val="00CE53C5"/>
    <w:rsid w:val="00CE583A"/>
    <w:rsid w:val="00CE5B70"/>
    <w:rsid w:val="00CE61E4"/>
    <w:rsid w:val="00CE6365"/>
    <w:rsid w:val="00CE638D"/>
    <w:rsid w:val="00CE6BA0"/>
    <w:rsid w:val="00CE6C4F"/>
    <w:rsid w:val="00CE6F71"/>
    <w:rsid w:val="00CE6FF9"/>
    <w:rsid w:val="00CE7199"/>
    <w:rsid w:val="00CE71AF"/>
    <w:rsid w:val="00CE71F9"/>
    <w:rsid w:val="00CE73C1"/>
    <w:rsid w:val="00CE7620"/>
    <w:rsid w:val="00CE7646"/>
    <w:rsid w:val="00CE772A"/>
    <w:rsid w:val="00CE77F5"/>
    <w:rsid w:val="00CE7894"/>
    <w:rsid w:val="00CE78A7"/>
    <w:rsid w:val="00CE792D"/>
    <w:rsid w:val="00CE7C84"/>
    <w:rsid w:val="00CF04E1"/>
    <w:rsid w:val="00CF065C"/>
    <w:rsid w:val="00CF0A06"/>
    <w:rsid w:val="00CF0C25"/>
    <w:rsid w:val="00CF0F37"/>
    <w:rsid w:val="00CF1764"/>
    <w:rsid w:val="00CF1941"/>
    <w:rsid w:val="00CF1A7F"/>
    <w:rsid w:val="00CF1EAA"/>
    <w:rsid w:val="00CF1ECD"/>
    <w:rsid w:val="00CF1F4E"/>
    <w:rsid w:val="00CF261B"/>
    <w:rsid w:val="00CF264D"/>
    <w:rsid w:val="00CF2684"/>
    <w:rsid w:val="00CF26DE"/>
    <w:rsid w:val="00CF29A4"/>
    <w:rsid w:val="00CF2AC2"/>
    <w:rsid w:val="00CF2DBA"/>
    <w:rsid w:val="00CF3191"/>
    <w:rsid w:val="00CF31B4"/>
    <w:rsid w:val="00CF329F"/>
    <w:rsid w:val="00CF331B"/>
    <w:rsid w:val="00CF3AC6"/>
    <w:rsid w:val="00CF411B"/>
    <w:rsid w:val="00CF435D"/>
    <w:rsid w:val="00CF45E1"/>
    <w:rsid w:val="00CF4929"/>
    <w:rsid w:val="00CF4AFB"/>
    <w:rsid w:val="00CF4B06"/>
    <w:rsid w:val="00CF52C3"/>
    <w:rsid w:val="00CF5476"/>
    <w:rsid w:val="00CF5492"/>
    <w:rsid w:val="00CF59A9"/>
    <w:rsid w:val="00CF5A91"/>
    <w:rsid w:val="00CF5B97"/>
    <w:rsid w:val="00CF5F14"/>
    <w:rsid w:val="00CF64E5"/>
    <w:rsid w:val="00CF6C6E"/>
    <w:rsid w:val="00CF7496"/>
    <w:rsid w:val="00CF76C9"/>
    <w:rsid w:val="00CF773D"/>
    <w:rsid w:val="00CF79C0"/>
    <w:rsid w:val="00D00213"/>
    <w:rsid w:val="00D0032E"/>
    <w:rsid w:val="00D004C2"/>
    <w:rsid w:val="00D005FA"/>
    <w:rsid w:val="00D009EC"/>
    <w:rsid w:val="00D00A1D"/>
    <w:rsid w:val="00D00A81"/>
    <w:rsid w:val="00D012CF"/>
    <w:rsid w:val="00D01B64"/>
    <w:rsid w:val="00D01CC3"/>
    <w:rsid w:val="00D01ED2"/>
    <w:rsid w:val="00D02098"/>
    <w:rsid w:val="00D02484"/>
    <w:rsid w:val="00D02843"/>
    <w:rsid w:val="00D02954"/>
    <w:rsid w:val="00D02A9C"/>
    <w:rsid w:val="00D032F0"/>
    <w:rsid w:val="00D0334A"/>
    <w:rsid w:val="00D034AB"/>
    <w:rsid w:val="00D037FB"/>
    <w:rsid w:val="00D039B6"/>
    <w:rsid w:val="00D03A04"/>
    <w:rsid w:val="00D03BC3"/>
    <w:rsid w:val="00D03C2B"/>
    <w:rsid w:val="00D0434E"/>
    <w:rsid w:val="00D0452E"/>
    <w:rsid w:val="00D0468D"/>
    <w:rsid w:val="00D04891"/>
    <w:rsid w:val="00D051A4"/>
    <w:rsid w:val="00D0529B"/>
    <w:rsid w:val="00D0569A"/>
    <w:rsid w:val="00D05746"/>
    <w:rsid w:val="00D057FD"/>
    <w:rsid w:val="00D05BB3"/>
    <w:rsid w:val="00D05DD9"/>
    <w:rsid w:val="00D05E19"/>
    <w:rsid w:val="00D05E71"/>
    <w:rsid w:val="00D05F13"/>
    <w:rsid w:val="00D05F1D"/>
    <w:rsid w:val="00D05F37"/>
    <w:rsid w:val="00D063FF"/>
    <w:rsid w:val="00D069F2"/>
    <w:rsid w:val="00D06D8E"/>
    <w:rsid w:val="00D072E3"/>
    <w:rsid w:val="00D10309"/>
    <w:rsid w:val="00D105C0"/>
    <w:rsid w:val="00D107F3"/>
    <w:rsid w:val="00D10C33"/>
    <w:rsid w:val="00D10CD0"/>
    <w:rsid w:val="00D10D18"/>
    <w:rsid w:val="00D111F1"/>
    <w:rsid w:val="00D1132E"/>
    <w:rsid w:val="00D115CB"/>
    <w:rsid w:val="00D11763"/>
    <w:rsid w:val="00D1176C"/>
    <w:rsid w:val="00D11772"/>
    <w:rsid w:val="00D1252F"/>
    <w:rsid w:val="00D12875"/>
    <w:rsid w:val="00D12948"/>
    <w:rsid w:val="00D129A4"/>
    <w:rsid w:val="00D12AC8"/>
    <w:rsid w:val="00D12C33"/>
    <w:rsid w:val="00D130FB"/>
    <w:rsid w:val="00D132AC"/>
    <w:rsid w:val="00D1331A"/>
    <w:rsid w:val="00D13AC9"/>
    <w:rsid w:val="00D13B98"/>
    <w:rsid w:val="00D13E85"/>
    <w:rsid w:val="00D13F4D"/>
    <w:rsid w:val="00D140E8"/>
    <w:rsid w:val="00D140FF"/>
    <w:rsid w:val="00D14182"/>
    <w:rsid w:val="00D141C0"/>
    <w:rsid w:val="00D14203"/>
    <w:rsid w:val="00D1420A"/>
    <w:rsid w:val="00D1451B"/>
    <w:rsid w:val="00D149CA"/>
    <w:rsid w:val="00D149D1"/>
    <w:rsid w:val="00D14E88"/>
    <w:rsid w:val="00D14F7E"/>
    <w:rsid w:val="00D1565E"/>
    <w:rsid w:val="00D15E7C"/>
    <w:rsid w:val="00D15FEE"/>
    <w:rsid w:val="00D163E8"/>
    <w:rsid w:val="00D1662E"/>
    <w:rsid w:val="00D166E7"/>
    <w:rsid w:val="00D16752"/>
    <w:rsid w:val="00D169F9"/>
    <w:rsid w:val="00D16A69"/>
    <w:rsid w:val="00D16DB0"/>
    <w:rsid w:val="00D16F6F"/>
    <w:rsid w:val="00D16F8E"/>
    <w:rsid w:val="00D16FF7"/>
    <w:rsid w:val="00D17130"/>
    <w:rsid w:val="00D17161"/>
    <w:rsid w:val="00D17737"/>
    <w:rsid w:val="00D17744"/>
    <w:rsid w:val="00D17E8B"/>
    <w:rsid w:val="00D17F4E"/>
    <w:rsid w:val="00D17F79"/>
    <w:rsid w:val="00D202AC"/>
    <w:rsid w:val="00D206D7"/>
    <w:rsid w:val="00D20783"/>
    <w:rsid w:val="00D20A28"/>
    <w:rsid w:val="00D20A31"/>
    <w:rsid w:val="00D20AA2"/>
    <w:rsid w:val="00D20AB5"/>
    <w:rsid w:val="00D212C2"/>
    <w:rsid w:val="00D21541"/>
    <w:rsid w:val="00D215A1"/>
    <w:rsid w:val="00D21618"/>
    <w:rsid w:val="00D21B56"/>
    <w:rsid w:val="00D21B88"/>
    <w:rsid w:val="00D21F9E"/>
    <w:rsid w:val="00D223C2"/>
    <w:rsid w:val="00D22675"/>
    <w:rsid w:val="00D22927"/>
    <w:rsid w:val="00D22BB8"/>
    <w:rsid w:val="00D22C0C"/>
    <w:rsid w:val="00D22F57"/>
    <w:rsid w:val="00D230C7"/>
    <w:rsid w:val="00D2315A"/>
    <w:rsid w:val="00D2347A"/>
    <w:rsid w:val="00D235C8"/>
    <w:rsid w:val="00D23829"/>
    <w:rsid w:val="00D238AE"/>
    <w:rsid w:val="00D23984"/>
    <w:rsid w:val="00D23BE3"/>
    <w:rsid w:val="00D23DAB"/>
    <w:rsid w:val="00D24272"/>
    <w:rsid w:val="00D24611"/>
    <w:rsid w:val="00D24851"/>
    <w:rsid w:val="00D24ABE"/>
    <w:rsid w:val="00D24FEF"/>
    <w:rsid w:val="00D251BC"/>
    <w:rsid w:val="00D2553E"/>
    <w:rsid w:val="00D25741"/>
    <w:rsid w:val="00D25903"/>
    <w:rsid w:val="00D25BDE"/>
    <w:rsid w:val="00D25CC9"/>
    <w:rsid w:val="00D26276"/>
    <w:rsid w:val="00D262E9"/>
    <w:rsid w:val="00D2646D"/>
    <w:rsid w:val="00D26C57"/>
    <w:rsid w:val="00D273B9"/>
    <w:rsid w:val="00D273E4"/>
    <w:rsid w:val="00D27591"/>
    <w:rsid w:val="00D27847"/>
    <w:rsid w:val="00D27B1A"/>
    <w:rsid w:val="00D27BDD"/>
    <w:rsid w:val="00D27C93"/>
    <w:rsid w:val="00D306BC"/>
    <w:rsid w:val="00D31030"/>
    <w:rsid w:val="00D31652"/>
    <w:rsid w:val="00D31715"/>
    <w:rsid w:val="00D32586"/>
    <w:rsid w:val="00D325E7"/>
    <w:rsid w:val="00D32774"/>
    <w:rsid w:val="00D3294E"/>
    <w:rsid w:val="00D32BC5"/>
    <w:rsid w:val="00D32EAE"/>
    <w:rsid w:val="00D32FBA"/>
    <w:rsid w:val="00D33087"/>
    <w:rsid w:val="00D333D1"/>
    <w:rsid w:val="00D337E6"/>
    <w:rsid w:val="00D33906"/>
    <w:rsid w:val="00D33C8B"/>
    <w:rsid w:val="00D33D00"/>
    <w:rsid w:val="00D34324"/>
    <w:rsid w:val="00D34448"/>
    <w:rsid w:val="00D34D2E"/>
    <w:rsid w:val="00D34DAA"/>
    <w:rsid w:val="00D3520F"/>
    <w:rsid w:val="00D354CE"/>
    <w:rsid w:val="00D356CB"/>
    <w:rsid w:val="00D357E4"/>
    <w:rsid w:val="00D35963"/>
    <w:rsid w:val="00D35B88"/>
    <w:rsid w:val="00D35BB6"/>
    <w:rsid w:val="00D35F58"/>
    <w:rsid w:val="00D369A9"/>
    <w:rsid w:val="00D369AC"/>
    <w:rsid w:val="00D36BA8"/>
    <w:rsid w:val="00D36E2B"/>
    <w:rsid w:val="00D36E31"/>
    <w:rsid w:val="00D36E8F"/>
    <w:rsid w:val="00D370D0"/>
    <w:rsid w:val="00D37654"/>
    <w:rsid w:val="00D376A3"/>
    <w:rsid w:val="00D37ADE"/>
    <w:rsid w:val="00D37EE6"/>
    <w:rsid w:val="00D4012F"/>
    <w:rsid w:val="00D40132"/>
    <w:rsid w:val="00D40173"/>
    <w:rsid w:val="00D401E2"/>
    <w:rsid w:val="00D40448"/>
    <w:rsid w:val="00D409C2"/>
    <w:rsid w:val="00D40D94"/>
    <w:rsid w:val="00D4113D"/>
    <w:rsid w:val="00D415C9"/>
    <w:rsid w:val="00D41772"/>
    <w:rsid w:val="00D41845"/>
    <w:rsid w:val="00D419F1"/>
    <w:rsid w:val="00D41BB3"/>
    <w:rsid w:val="00D421C6"/>
    <w:rsid w:val="00D42207"/>
    <w:rsid w:val="00D422DF"/>
    <w:rsid w:val="00D42573"/>
    <w:rsid w:val="00D4290C"/>
    <w:rsid w:val="00D42A03"/>
    <w:rsid w:val="00D42BC8"/>
    <w:rsid w:val="00D42BF3"/>
    <w:rsid w:val="00D4314D"/>
    <w:rsid w:val="00D43271"/>
    <w:rsid w:val="00D43523"/>
    <w:rsid w:val="00D43648"/>
    <w:rsid w:val="00D43709"/>
    <w:rsid w:val="00D43731"/>
    <w:rsid w:val="00D43CC3"/>
    <w:rsid w:val="00D43DAF"/>
    <w:rsid w:val="00D43F6C"/>
    <w:rsid w:val="00D4426F"/>
    <w:rsid w:val="00D443D2"/>
    <w:rsid w:val="00D4473B"/>
    <w:rsid w:val="00D44A74"/>
    <w:rsid w:val="00D44F78"/>
    <w:rsid w:val="00D45142"/>
    <w:rsid w:val="00D4533B"/>
    <w:rsid w:val="00D457B8"/>
    <w:rsid w:val="00D46070"/>
    <w:rsid w:val="00D46128"/>
    <w:rsid w:val="00D461F5"/>
    <w:rsid w:val="00D46407"/>
    <w:rsid w:val="00D46AE6"/>
    <w:rsid w:val="00D46D35"/>
    <w:rsid w:val="00D46DEA"/>
    <w:rsid w:val="00D46F47"/>
    <w:rsid w:val="00D4714F"/>
    <w:rsid w:val="00D47579"/>
    <w:rsid w:val="00D47814"/>
    <w:rsid w:val="00D47A3E"/>
    <w:rsid w:val="00D47CD6"/>
    <w:rsid w:val="00D47FEB"/>
    <w:rsid w:val="00D500A9"/>
    <w:rsid w:val="00D50128"/>
    <w:rsid w:val="00D50419"/>
    <w:rsid w:val="00D5053A"/>
    <w:rsid w:val="00D50CFC"/>
    <w:rsid w:val="00D50DE5"/>
    <w:rsid w:val="00D50EA9"/>
    <w:rsid w:val="00D510D7"/>
    <w:rsid w:val="00D51113"/>
    <w:rsid w:val="00D5125A"/>
    <w:rsid w:val="00D51311"/>
    <w:rsid w:val="00D51367"/>
    <w:rsid w:val="00D51564"/>
    <w:rsid w:val="00D51785"/>
    <w:rsid w:val="00D519CB"/>
    <w:rsid w:val="00D51A74"/>
    <w:rsid w:val="00D51AE7"/>
    <w:rsid w:val="00D51D31"/>
    <w:rsid w:val="00D51D34"/>
    <w:rsid w:val="00D51EF1"/>
    <w:rsid w:val="00D52040"/>
    <w:rsid w:val="00D52105"/>
    <w:rsid w:val="00D522C8"/>
    <w:rsid w:val="00D52484"/>
    <w:rsid w:val="00D52922"/>
    <w:rsid w:val="00D52A23"/>
    <w:rsid w:val="00D52A8D"/>
    <w:rsid w:val="00D52BA1"/>
    <w:rsid w:val="00D52C65"/>
    <w:rsid w:val="00D52CFB"/>
    <w:rsid w:val="00D52E1F"/>
    <w:rsid w:val="00D53176"/>
    <w:rsid w:val="00D53303"/>
    <w:rsid w:val="00D53365"/>
    <w:rsid w:val="00D53387"/>
    <w:rsid w:val="00D5345D"/>
    <w:rsid w:val="00D53641"/>
    <w:rsid w:val="00D53956"/>
    <w:rsid w:val="00D539C3"/>
    <w:rsid w:val="00D53C06"/>
    <w:rsid w:val="00D54071"/>
    <w:rsid w:val="00D54179"/>
    <w:rsid w:val="00D548F4"/>
    <w:rsid w:val="00D54B9E"/>
    <w:rsid w:val="00D54F5D"/>
    <w:rsid w:val="00D5529A"/>
    <w:rsid w:val="00D55337"/>
    <w:rsid w:val="00D5578F"/>
    <w:rsid w:val="00D5579F"/>
    <w:rsid w:val="00D55920"/>
    <w:rsid w:val="00D559E7"/>
    <w:rsid w:val="00D55D1F"/>
    <w:rsid w:val="00D55D36"/>
    <w:rsid w:val="00D55EB2"/>
    <w:rsid w:val="00D55EED"/>
    <w:rsid w:val="00D55F70"/>
    <w:rsid w:val="00D5623F"/>
    <w:rsid w:val="00D562BC"/>
    <w:rsid w:val="00D56553"/>
    <w:rsid w:val="00D56569"/>
    <w:rsid w:val="00D56882"/>
    <w:rsid w:val="00D568A3"/>
    <w:rsid w:val="00D56A87"/>
    <w:rsid w:val="00D56C2D"/>
    <w:rsid w:val="00D5729F"/>
    <w:rsid w:val="00D5758F"/>
    <w:rsid w:val="00D57784"/>
    <w:rsid w:val="00D577C3"/>
    <w:rsid w:val="00D57824"/>
    <w:rsid w:val="00D57ABD"/>
    <w:rsid w:val="00D57BB4"/>
    <w:rsid w:val="00D57DEB"/>
    <w:rsid w:val="00D57FDA"/>
    <w:rsid w:val="00D60871"/>
    <w:rsid w:val="00D609A7"/>
    <w:rsid w:val="00D60B0A"/>
    <w:rsid w:val="00D6107F"/>
    <w:rsid w:val="00D61356"/>
    <w:rsid w:val="00D613BD"/>
    <w:rsid w:val="00D61BFC"/>
    <w:rsid w:val="00D62017"/>
    <w:rsid w:val="00D6203D"/>
    <w:rsid w:val="00D62078"/>
    <w:rsid w:val="00D620B4"/>
    <w:rsid w:val="00D6241B"/>
    <w:rsid w:val="00D627DC"/>
    <w:rsid w:val="00D62D74"/>
    <w:rsid w:val="00D63683"/>
    <w:rsid w:val="00D63838"/>
    <w:rsid w:val="00D63D75"/>
    <w:rsid w:val="00D63DB5"/>
    <w:rsid w:val="00D640DD"/>
    <w:rsid w:val="00D640EA"/>
    <w:rsid w:val="00D644AF"/>
    <w:rsid w:val="00D6472C"/>
    <w:rsid w:val="00D64C9E"/>
    <w:rsid w:val="00D64F69"/>
    <w:rsid w:val="00D653F9"/>
    <w:rsid w:val="00D655AF"/>
    <w:rsid w:val="00D65678"/>
    <w:rsid w:val="00D65A9F"/>
    <w:rsid w:val="00D65C9D"/>
    <w:rsid w:val="00D65DBB"/>
    <w:rsid w:val="00D65F20"/>
    <w:rsid w:val="00D661CF"/>
    <w:rsid w:val="00D6632B"/>
    <w:rsid w:val="00D665BA"/>
    <w:rsid w:val="00D6666C"/>
    <w:rsid w:val="00D6678E"/>
    <w:rsid w:val="00D669F0"/>
    <w:rsid w:val="00D66B5C"/>
    <w:rsid w:val="00D66E1B"/>
    <w:rsid w:val="00D679AC"/>
    <w:rsid w:val="00D67A33"/>
    <w:rsid w:val="00D67BC7"/>
    <w:rsid w:val="00D67D60"/>
    <w:rsid w:val="00D67DF6"/>
    <w:rsid w:val="00D701C7"/>
    <w:rsid w:val="00D70878"/>
    <w:rsid w:val="00D708B4"/>
    <w:rsid w:val="00D70933"/>
    <w:rsid w:val="00D70D69"/>
    <w:rsid w:val="00D70E0E"/>
    <w:rsid w:val="00D7142F"/>
    <w:rsid w:val="00D71BCB"/>
    <w:rsid w:val="00D71CF5"/>
    <w:rsid w:val="00D71CFF"/>
    <w:rsid w:val="00D7203C"/>
    <w:rsid w:val="00D7203E"/>
    <w:rsid w:val="00D72CFE"/>
    <w:rsid w:val="00D72E8A"/>
    <w:rsid w:val="00D73231"/>
    <w:rsid w:val="00D732AF"/>
    <w:rsid w:val="00D73613"/>
    <w:rsid w:val="00D73857"/>
    <w:rsid w:val="00D73CE4"/>
    <w:rsid w:val="00D74333"/>
    <w:rsid w:val="00D7435C"/>
    <w:rsid w:val="00D74463"/>
    <w:rsid w:val="00D74772"/>
    <w:rsid w:val="00D74F72"/>
    <w:rsid w:val="00D75040"/>
    <w:rsid w:val="00D7504A"/>
    <w:rsid w:val="00D7562D"/>
    <w:rsid w:val="00D7626A"/>
    <w:rsid w:val="00D76292"/>
    <w:rsid w:val="00D7654A"/>
    <w:rsid w:val="00D768F5"/>
    <w:rsid w:val="00D76B90"/>
    <w:rsid w:val="00D76C7A"/>
    <w:rsid w:val="00D7710B"/>
    <w:rsid w:val="00D7722B"/>
    <w:rsid w:val="00D775CA"/>
    <w:rsid w:val="00D776C7"/>
    <w:rsid w:val="00D77C73"/>
    <w:rsid w:val="00D77E62"/>
    <w:rsid w:val="00D77F80"/>
    <w:rsid w:val="00D80000"/>
    <w:rsid w:val="00D80A20"/>
    <w:rsid w:val="00D80A45"/>
    <w:rsid w:val="00D80A4B"/>
    <w:rsid w:val="00D80BB4"/>
    <w:rsid w:val="00D80DF7"/>
    <w:rsid w:val="00D8109F"/>
    <w:rsid w:val="00D810BB"/>
    <w:rsid w:val="00D810FA"/>
    <w:rsid w:val="00D812A8"/>
    <w:rsid w:val="00D81317"/>
    <w:rsid w:val="00D813A7"/>
    <w:rsid w:val="00D8150F"/>
    <w:rsid w:val="00D81B45"/>
    <w:rsid w:val="00D81C0D"/>
    <w:rsid w:val="00D8214F"/>
    <w:rsid w:val="00D82169"/>
    <w:rsid w:val="00D824D2"/>
    <w:rsid w:val="00D825E6"/>
    <w:rsid w:val="00D82A02"/>
    <w:rsid w:val="00D82A7F"/>
    <w:rsid w:val="00D82B0E"/>
    <w:rsid w:val="00D82D1C"/>
    <w:rsid w:val="00D83197"/>
    <w:rsid w:val="00D83373"/>
    <w:rsid w:val="00D83858"/>
    <w:rsid w:val="00D83999"/>
    <w:rsid w:val="00D83B25"/>
    <w:rsid w:val="00D83B2E"/>
    <w:rsid w:val="00D83BCB"/>
    <w:rsid w:val="00D84770"/>
    <w:rsid w:val="00D8483B"/>
    <w:rsid w:val="00D84A39"/>
    <w:rsid w:val="00D84DC4"/>
    <w:rsid w:val="00D85084"/>
    <w:rsid w:val="00D852F4"/>
    <w:rsid w:val="00D85719"/>
    <w:rsid w:val="00D85C75"/>
    <w:rsid w:val="00D861D8"/>
    <w:rsid w:val="00D862FE"/>
    <w:rsid w:val="00D8637D"/>
    <w:rsid w:val="00D864D0"/>
    <w:rsid w:val="00D8686B"/>
    <w:rsid w:val="00D870B2"/>
    <w:rsid w:val="00D8722D"/>
    <w:rsid w:val="00D875AE"/>
    <w:rsid w:val="00D87A03"/>
    <w:rsid w:val="00D87B43"/>
    <w:rsid w:val="00D87D08"/>
    <w:rsid w:val="00D900FB"/>
    <w:rsid w:val="00D90902"/>
    <w:rsid w:val="00D90CB4"/>
    <w:rsid w:val="00D90FFB"/>
    <w:rsid w:val="00D91120"/>
    <w:rsid w:val="00D911DB"/>
    <w:rsid w:val="00D91399"/>
    <w:rsid w:val="00D919D9"/>
    <w:rsid w:val="00D919E9"/>
    <w:rsid w:val="00D91C70"/>
    <w:rsid w:val="00D91F32"/>
    <w:rsid w:val="00D9208A"/>
    <w:rsid w:val="00D92948"/>
    <w:rsid w:val="00D92BDF"/>
    <w:rsid w:val="00D92E97"/>
    <w:rsid w:val="00D93375"/>
    <w:rsid w:val="00D9362D"/>
    <w:rsid w:val="00D93700"/>
    <w:rsid w:val="00D93758"/>
    <w:rsid w:val="00D93962"/>
    <w:rsid w:val="00D939AE"/>
    <w:rsid w:val="00D93AF4"/>
    <w:rsid w:val="00D93B3D"/>
    <w:rsid w:val="00D93CC6"/>
    <w:rsid w:val="00D93CD5"/>
    <w:rsid w:val="00D93E12"/>
    <w:rsid w:val="00D94075"/>
    <w:rsid w:val="00D94285"/>
    <w:rsid w:val="00D9430A"/>
    <w:rsid w:val="00D946C5"/>
    <w:rsid w:val="00D94A9E"/>
    <w:rsid w:val="00D9521D"/>
    <w:rsid w:val="00D953A6"/>
    <w:rsid w:val="00D953FA"/>
    <w:rsid w:val="00D95425"/>
    <w:rsid w:val="00D955E6"/>
    <w:rsid w:val="00D958C3"/>
    <w:rsid w:val="00D95A86"/>
    <w:rsid w:val="00D963CA"/>
    <w:rsid w:val="00D9645E"/>
    <w:rsid w:val="00D96BBD"/>
    <w:rsid w:val="00D96C24"/>
    <w:rsid w:val="00D96F5B"/>
    <w:rsid w:val="00D972B5"/>
    <w:rsid w:val="00D97BAF"/>
    <w:rsid w:val="00D97DD4"/>
    <w:rsid w:val="00DA0411"/>
    <w:rsid w:val="00DA041C"/>
    <w:rsid w:val="00DA0637"/>
    <w:rsid w:val="00DA07AE"/>
    <w:rsid w:val="00DA08C5"/>
    <w:rsid w:val="00DA0ADD"/>
    <w:rsid w:val="00DA0D51"/>
    <w:rsid w:val="00DA0F36"/>
    <w:rsid w:val="00DA0F97"/>
    <w:rsid w:val="00DA1228"/>
    <w:rsid w:val="00DA1371"/>
    <w:rsid w:val="00DA156C"/>
    <w:rsid w:val="00DA180F"/>
    <w:rsid w:val="00DA1942"/>
    <w:rsid w:val="00DA1943"/>
    <w:rsid w:val="00DA1B18"/>
    <w:rsid w:val="00DA1CFB"/>
    <w:rsid w:val="00DA1E70"/>
    <w:rsid w:val="00DA22AC"/>
    <w:rsid w:val="00DA2432"/>
    <w:rsid w:val="00DA2823"/>
    <w:rsid w:val="00DA2F22"/>
    <w:rsid w:val="00DA3445"/>
    <w:rsid w:val="00DA3793"/>
    <w:rsid w:val="00DA3B05"/>
    <w:rsid w:val="00DA3BD8"/>
    <w:rsid w:val="00DA3DF0"/>
    <w:rsid w:val="00DA3F58"/>
    <w:rsid w:val="00DA3F81"/>
    <w:rsid w:val="00DA463A"/>
    <w:rsid w:val="00DA46F7"/>
    <w:rsid w:val="00DA4A55"/>
    <w:rsid w:val="00DA4ED3"/>
    <w:rsid w:val="00DA5145"/>
    <w:rsid w:val="00DA5EBD"/>
    <w:rsid w:val="00DA5EF0"/>
    <w:rsid w:val="00DA5FFA"/>
    <w:rsid w:val="00DA61EA"/>
    <w:rsid w:val="00DA6396"/>
    <w:rsid w:val="00DA6D4A"/>
    <w:rsid w:val="00DA70EA"/>
    <w:rsid w:val="00DA7196"/>
    <w:rsid w:val="00DA7735"/>
    <w:rsid w:val="00DA7841"/>
    <w:rsid w:val="00DA788E"/>
    <w:rsid w:val="00DA7961"/>
    <w:rsid w:val="00DA79A4"/>
    <w:rsid w:val="00DA7A69"/>
    <w:rsid w:val="00DA7BCD"/>
    <w:rsid w:val="00DB0052"/>
    <w:rsid w:val="00DB0426"/>
    <w:rsid w:val="00DB05D0"/>
    <w:rsid w:val="00DB0A68"/>
    <w:rsid w:val="00DB0BBF"/>
    <w:rsid w:val="00DB0D43"/>
    <w:rsid w:val="00DB0D67"/>
    <w:rsid w:val="00DB1247"/>
    <w:rsid w:val="00DB12E2"/>
    <w:rsid w:val="00DB163A"/>
    <w:rsid w:val="00DB16AB"/>
    <w:rsid w:val="00DB18E7"/>
    <w:rsid w:val="00DB1CC6"/>
    <w:rsid w:val="00DB1CFF"/>
    <w:rsid w:val="00DB1D00"/>
    <w:rsid w:val="00DB1E57"/>
    <w:rsid w:val="00DB1F7F"/>
    <w:rsid w:val="00DB21CF"/>
    <w:rsid w:val="00DB2425"/>
    <w:rsid w:val="00DB253B"/>
    <w:rsid w:val="00DB27CD"/>
    <w:rsid w:val="00DB28E6"/>
    <w:rsid w:val="00DB28E8"/>
    <w:rsid w:val="00DB2B4C"/>
    <w:rsid w:val="00DB368B"/>
    <w:rsid w:val="00DB3A42"/>
    <w:rsid w:val="00DB466B"/>
    <w:rsid w:val="00DB466C"/>
    <w:rsid w:val="00DB48BE"/>
    <w:rsid w:val="00DB4980"/>
    <w:rsid w:val="00DB4E65"/>
    <w:rsid w:val="00DB503F"/>
    <w:rsid w:val="00DB5106"/>
    <w:rsid w:val="00DB54ED"/>
    <w:rsid w:val="00DB5572"/>
    <w:rsid w:val="00DB58F5"/>
    <w:rsid w:val="00DB5BA2"/>
    <w:rsid w:val="00DB5D8E"/>
    <w:rsid w:val="00DB6527"/>
    <w:rsid w:val="00DB666E"/>
    <w:rsid w:val="00DB680E"/>
    <w:rsid w:val="00DB6A93"/>
    <w:rsid w:val="00DB71BA"/>
    <w:rsid w:val="00DB72AD"/>
    <w:rsid w:val="00DB736D"/>
    <w:rsid w:val="00DB73B1"/>
    <w:rsid w:val="00DB78FA"/>
    <w:rsid w:val="00DB7DE6"/>
    <w:rsid w:val="00DC05D7"/>
    <w:rsid w:val="00DC0B94"/>
    <w:rsid w:val="00DC130A"/>
    <w:rsid w:val="00DC147B"/>
    <w:rsid w:val="00DC266A"/>
    <w:rsid w:val="00DC279A"/>
    <w:rsid w:val="00DC2B7E"/>
    <w:rsid w:val="00DC2C19"/>
    <w:rsid w:val="00DC31AF"/>
    <w:rsid w:val="00DC31B2"/>
    <w:rsid w:val="00DC35BD"/>
    <w:rsid w:val="00DC3619"/>
    <w:rsid w:val="00DC3709"/>
    <w:rsid w:val="00DC3A26"/>
    <w:rsid w:val="00DC3F02"/>
    <w:rsid w:val="00DC4070"/>
    <w:rsid w:val="00DC4427"/>
    <w:rsid w:val="00DC47E2"/>
    <w:rsid w:val="00DC4A98"/>
    <w:rsid w:val="00DC4B64"/>
    <w:rsid w:val="00DC4D3F"/>
    <w:rsid w:val="00DC4E76"/>
    <w:rsid w:val="00DC5015"/>
    <w:rsid w:val="00DC5400"/>
    <w:rsid w:val="00DC5581"/>
    <w:rsid w:val="00DC5902"/>
    <w:rsid w:val="00DC5CAB"/>
    <w:rsid w:val="00DC5F4B"/>
    <w:rsid w:val="00DC6086"/>
    <w:rsid w:val="00DC61A7"/>
    <w:rsid w:val="00DC6411"/>
    <w:rsid w:val="00DC6717"/>
    <w:rsid w:val="00DC681B"/>
    <w:rsid w:val="00DC6E4F"/>
    <w:rsid w:val="00DC7250"/>
    <w:rsid w:val="00DC7386"/>
    <w:rsid w:val="00DC7857"/>
    <w:rsid w:val="00DC7BB8"/>
    <w:rsid w:val="00DC7BEC"/>
    <w:rsid w:val="00DC7D4B"/>
    <w:rsid w:val="00DC7D65"/>
    <w:rsid w:val="00DD0196"/>
    <w:rsid w:val="00DD050F"/>
    <w:rsid w:val="00DD0742"/>
    <w:rsid w:val="00DD0753"/>
    <w:rsid w:val="00DD07F3"/>
    <w:rsid w:val="00DD088E"/>
    <w:rsid w:val="00DD0A66"/>
    <w:rsid w:val="00DD0BC8"/>
    <w:rsid w:val="00DD1293"/>
    <w:rsid w:val="00DD2268"/>
    <w:rsid w:val="00DD2476"/>
    <w:rsid w:val="00DD256D"/>
    <w:rsid w:val="00DD26D2"/>
    <w:rsid w:val="00DD2721"/>
    <w:rsid w:val="00DD2B19"/>
    <w:rsid w:val="00DD2D65"/>
    <w:rsid w:val="00DD2D8D"/>
    <w:rsid w:val="00DD324D"/>
    <w:rsid w:val="00DD3343"/>
    <w:rsid w:val="00DD34BF"/>
    <w:rsid w:val="00DD3562"/>
    <w:rsid w:val="00DD3658"/>
    <w:rsid w:val="00DD37B3"/>
    <w:rsid w:val="00DD386C"/>
    <w:rsid w:val="00DD39EE"/>
    <w:rsid w:val="00DD3CEF"/>
    <w:rsid w:val="00DD3E15"/>
    <w:rsid w:val="00DD3FCB"/>
    <w:rsid w:val="00DD3FF3"/>
    <w:rsid w:val="00DD459F"/>
    <w:rsid w:val="00DD4A82"/>
    <w:rsid w:val="00DD4FA5"/>
    <w:rsid w:val="00DD4FDB"/>
    <w:rsid w:val="00DD4FED"/>
    <w:rsid w:val="00DD5BC9"/>
    <w:rsid w:val="00DD5CC7"/>
    <w:rsid w:val="00DD5D3B"/>
    <w:rsid w:val="00DD5DDC"/>
    <w:rsid w:val="00DD6259"/>
    <w:rsid w:val="00DD667D"/>
    <w:rsid w:val="00DD68B0"/>
    <w:rsid w:val="00DD6C8F"/>
    <w:rsid w:val="00DD6FCF"/>
    <w:rsid w:val="00DD6FF4"/>
    <w:rsid w:val="00DD7332"/>
    <w:rsid w:val="00DD7471"/>
    <w:rsid w:val="00DD74AA"/>
    <w:rsid w:val="00DD74DE"/>
    <w:rsid w:val="00DD75AD"/>
    <w:rsid w:val="00DD76C8"/>
    <w:rsid w:val="00DD77F8"/>
    <w:rsid w:val="00DD7918"/>
    <w:rsid w:val="00DD7B84"/>
    <w:rsid w:val="00DE01D0"/>
    <w:rsid w:val="00DE04AD"/>
    <w:rsid w:val="00DE0992"/>
    <w:rsid w:val="00DE09AB"/>
    <w:rsid w:val="00DE09F7"/>
    <w:rsid w:val="00DE0A3E"/>
    <w:rsid w:val="00DE0EE5"/>
    <w:rsid w:val="00DE0FF5"/>
    <w:rsid w:val="00DE111A"/>
    <w:rsid w:val="00DE12C4"/>
    <w:rsid w:val="00DE1350"/>
    <w:rsid w:val="00DE1634"/>
    <w:rsid w:val="00DE1BD5"/>
    <w:rsid w:val="00DE20D2"/>
    <w:rsid w:val="00DE2F12"/>
    <w:rsid w:val="00DE304E"/>
    <w:rsid w:val="00DE36A7"/>
    <w:rsid w:val="00DE37AD"/>
    <w:rsid w:val="00DE38B8"/>
    <w:rsid w:val="00DE399C"/>
    <w:rsid w:val="00DE419E"/>
    <w:rsid w:val="00DE45C4"/>
    <w:rsid w:val="00DE4DA9"/>
    <w:rsid w:val="00DE501A"/>
    <w:rsid w:val="00DE51C8"/>
    <w:rsid w:val="00DE53AE"/>
    <w:rsid w:val="00DE54B9"/>
    <w:rsid w:val="00DE54D1"/>
    <w:rsid w:val="00DE55DE"/>
    <w:rsid w:val="00DE566B"/>
    <w:rsid w:val="00DE56F9"/>
    <w:rsid w:val="00DE5923"/>
    <w:rsid w:val="00DE5A7D"/>
    <w:rsid w:val="00DE65F1"/>
    <w:rsid w:val="00DE687B"/>
    <w:rsid w:val="00DE69F1"/>
    <w:rsid w:val="00DE6AB8"/>
    <w:rsid w:val="00DE6F75"/>
    <w:rsid w:val="00DE7208"/>
    <w:rsid w:val="00DE722C"/>
    <w:rsid w:val="00DE7278"/>
    <w:rsid w:val="00DE75DF"/>
    <w:rsid w:val="00DE76FB"/>
    <w:rsid w:val="00DE7A02"/>
    <w:rsid w:val="00DF01D9"/>
    <w:rsid w:val="00DF02F0"/>
    <w:rsid w:val="00DF0598"/>
    <w:rsid w:val="00DF05AB"/>
    <w:rsid w:val="00DF0743"/>
    <w:rsid w:val="00DF0D3F"/>
    <w:rsid w:val="00DF0F65"/>
    <w:rsid w:val="00DF11B7"/>
    <w:rsid w:val="00DF1431"/>
    <w:rsid w:val="00DF1643"/>
    <w:rsid w:val="00DF17DD"/>
    <w:rsid w:val="00DF1ACE"/>
    <w:rsid w:val="00DF20DE"/>
    <w:rsid w:val="00DF23BA"/>
    <w:rsid w:val="00DF2590"/>
    <w:rsid w:val="00DF259B"/>
    <w:rsid w:val="00DF2634"/>
    <w:rsid w:val="00DF2694"/>
    <w:rsid w:val="00DF27BA"/>
    <w:rsid w:val="00DF2944"/>
    <w:rsid w:val="00DF294E"/>
    <w:rsid w:val="00DF2A67"/>
    <w:rsid w:val="00DF2ADA"/>
    <w:rsid w:val="00DF3422"/>
    <w:rsid w:val="00DF397B"/>
    <w:rsid w:val="00DF39F2"/>
    <w:rsid w:val="00DF3B85"/>
    <w:rsid w:val="00DF3DAD"/>
    <w:rsid w:val="00DF4322"/>
    <w:rsid w:val="00DF4439"/>
    <w:rsid w:val="00DF4750"/>
    <w:rsid w:val="00DF491E"/>
    <w:rsid w:val="00DF4A46"/>
    <w:rsid w:val="00DF4AA2"/>
    <w:rsid w:val="00DF4FFB"/>
    <w:rsid w:val="00DF520C"/>
    <w:rsid w:val="00DF564A"/>
    <w:rsid w:val="00DF5A91"/>
    <w:rsid w:val="00DF60CD"/>
    <w:rsid w:val="00DF6212"/>
    <w:rsid w:val="00DF637F"/>
    <w:rsid w:val="00DF6693"/>
    <w:rsid w:val="00DF6707"/>
    <w:rsid w:val="00DF695E"/>
    <w:rsid w:val="00DF69AA"/>
    <w:rsid w:val="00DF6B1C"/>
    <w:rsid w:val="00DF6B82"/>
    <w:rsid w:val="00DF6BDD"/>
    <w:rsid w:val="00DF6D7B"/>
    <w:rsid w:val="00DF6E38"/>
    <w:rsid w:val="00DF73C6"/>
    <w:rsid w:val="00DF7619"/>
    <w:rsid w:val="00DF7959"/>
    <w:rsid w:val="00DF7C91"/>
    <w:rsid w:val="00DF7CAA"/>
    <w:rsid w:val="00DF7E28"/>
    <w:rsid w:val="00E0015A"/>
    <w:rsid w:val="00E00176"/>
    <w:rsid w:val="00E003C1"/>
    <w:rsid w:val="00E00412"/>
    <w:rsid w:val="00E00752"/>
    <w:rsid w:val="00E00AB5"/>
    <w:rsid w:val="00E00F00"/>
    <w:rsid w:val="00E01169"/>
    <w:rsid w:val="00E012FD"/>
    <w:rsid w:val="00E0149F"/>
    <w:rsid w:val="00E01D8F"/>
    <w:rsid w:val="00E020CB"/>
    <w:rsid w:val="00E0228E"/>
    <w:rsid w:val="00E026FC"/>
    <w:rsid w:val="00E0278B"/>
    <w:rsid w:val="00E031F0"/>
    <w:rsid w:val="00E03238"/>
    <w:rsid w:val="00E033FA"/>
    <w:rsid w:val="00E03A33"/>
    <w:rsid w:val="00E03B2B"/>
    <w:rsid w:val="00E03B7C"/>
    <w:rsid w:val="00E03BA0"/>
    <w:rsid w:val="00E03BB2"/>
    <w:rsid w:val="00E03F80"/>
    <w:rsid w:val="00E042FE"/>
    <w:rsid w:val="00E04662"/>
    <w:rsid w:val="00E0526D"/>
    <w:rsid w:val="00E05BD5"/>
    <w:rsid w:val="00E05DCB"/>
    <w:rsid w:val="00E06065"/>
    <w:rsid w:val="00E0608C"/>
    <w:rsid w:val="00E06341"/>
    <w:rsid w:val="00E06503"/>
    <w:rsid w:val="00E06E4A"/>
    <w:rsid w:val="00E071E2"/>
    <w:rsid w:val="00E07283"/>
    <w:rsid w:val="00E0732C"/>
    <w:rsid w:val="00E07399"/>
    <w:rsid w:val="00E07DED"/>
    <w:rsid w:val="00E103B7"/>
    <w:rsid w:val="00E104C1"/>
    <w:rsid w:val="00E10831"/>
    <w:rsid w:val="00E10AC2"/>
    <w:rsid w:val="00E10C3C"/>
    <w:rsid w:val="00E1112D"/>
    <w:rsid w:val="00E111A4"/>
    <w:rsid w:val="00E11514"/>
    <w:rsid w:val="00E117CD"/>
    <w:rsid w:val="00E119D2"/>
    <w:rsid w:val="00E11D1E"/>
    <w:rsid w:val="00E11F38"/>
    <w:rsid w:val="00E12041"/>
    <w:rsid w:val="00E123B6"/>
    <w:rsid w:val="00E123D3"/>
    <w:rsid w:val="00E12719"/>
    <w:rsid w:val="00E12827"/>
    <w:rsid w:val="00E129B5"/>
    <w:rsid w:val="00E129EC"/>
    <w:rsid w:val="00E12A34"/>
    <w:rsid w:val="00E12D54"/>
    <w:rsid w:val="00E12E22"/>
    <w:rsid w:val="00E133C9"/>
    <w:rsid w:val="00E13A70"/>
    <w:rsid w:val="00E13B79"/>
    <w:rsid w:val="00E13E26"/>
    <w:rsid w:val="00E13EC6"/>
    <w:rsid w:val="00E14056"/>
    <w:rsid w:val="00E141EF"/>
    <w:rsid w:val="00E14CA0"/>
    <w:rsid w:val="00E14D4C"/>
    <w:rsid w:val="00E14DBD"/>
    <w:rsid w:val="00E155C4"/>
    <w:rsid w:val="00E15D69"/>
    <w:rsid w:val="00E15F5F"/>
    <w:rsid w:val="00E16214"/>
    <w:rsid w:val="00E16334"/>
    <w:rsid w:val="00E164A7"/>
    <w:rsid w:val="00E1672A"/>
    <w:rsid w:val="00E168F7"/>
    <w:rsid w:val="00E169E3"/>
    <w:rsid w:val="00E16B37"/>
    <w:rsid w:val="00E16D3F"/>
    <w:rsid w:val="00E17925"/>
    <w:rsid w:val="00E179BC"/>
    <w:rsid w:val="00E179BD"/>
    <w:rsid w:val="00E20397"/>
    <w:rsid w:val="00E20BC6"/>
    <w:rsid w:val="00E20C20"/>
    <w:rsid w:val="00E20D9F"/>
    <w:rsid w:val="00E212A4"/>
    <w:rsid w:val="00E21464"/>
    <w:rsid w:val="00E21E20"/>
    <w:rsid w:val="00E21E29"/>
    <w:rsid w:val="00E221B2"/>
    <w:rsid w:val="00E221B3"/>
    <w:rsid w:val="00E22545"/>
    <w:rsid w:val="00E2285E"/>
    <w:rsid w:val="00E22AF1"/>
    <w:rsid w:val="00E22B64"/>
    <w:rsid w:val="00E22BA2"/>
    <w:rsid w:val="00E22F28"/>
    <w:rsid w:val="00E23190"/>
    <w:rsid w:val="00E237E0"/>
    <w:rsid w:val="00E23921"/>
    <w:rsid w:val="00E23CA6"/>
    <w:rsid w:val="00E23D42"/>
    <w:rsid w:val="00E23E70"/>
    <w:rsid w:val="00E23E9F"/>
    <w:rsid w:val="00E24050"/>
    <w:rsid w:val="00E240C7"/>
    <w:rsid w:val="00E241AA"/>
    <w:rsid w:val="00E2426A"/>
    <w:rsid w:val="00E2429E"/>
    <w:rsid w:val="00E2436E"/>
    <w:rsid w:val="00E2443E"/>
    <w:rsid w:val="00E24445"/>
    <w:rsid w:val="00E24644"/>
    <w:rsid w:val="00E24A58"/>
    <w:rsid w:val="00E24A79"/>
    <w:rsid w:val="00E24C32"/>
    <w:rsid w:val="00E24F0D"/>
    <w:rsid w:val="00E25124"/>
    <w:rsid w:val="00E25190"/>
    <w:rsid w:val="00E255BA"/>
    <w:rsid w:val="00E25712"/>
    <w:rsid w:val="00E25842"/>
    <w:rsid w:val="00E25935"/>
    <w:rsid w:val="00E25DE5"/>
    <w:rsid w:val="00E25FAE"/>
    <w:rsid w:val="00E262C6"/>
    <w:rsid w:val="00E2734A"/>
    <w:rsid w:val="00E2783D"/>
    <w:rsid w:val="00E27D3C"/>
    <w:rsid w:val="00E3073B"/>
    <w:rsid w:val="00E30792"/>
    <w:rsid w:val="00E30C21"/>
    <w:rsid w:val="00E30CCF"/>
    <w:rsid w:val="00E30D1D"/>
    <w:rsid w:val="00E30E61"/>
    <w:rsid w:val="00E30E97"/>
    <w:rsid w:val="00E30F2D"/>
    <w:rsid w:val="00E313C0"/>
    <w:rsid w:val="00E31733"/>
    <w:rsid w:val="00E317CA"/>
    <w:rsid w:val="00E3194A"/>
    <w:rsid w:val="00E31EB3"/>
    <w:rsid w:val="00E3213D"/>
    <w:rsid w:val="00E3275F"/>
    <w:rsid w:val="00E328B2"/>
    <w:rsid w:val="00E3292C"/>
    <w:rsid w:val="00E329B4"/>
    <w:rsid w:val="00E32A4A"/>
    <w:rsid w:val="00E32E70"/>
    <w:rsid w:val="00E32F06"/>
    <w:rsid w:val="00E33344"/>
    <w:rsid w:val="00E3382A"/>
    <w:rsid w:val="00E338D7"/>
    <w:rsid w:val="00E33AA3"/>
    <w:rsid w:val="00E33EAB"/>
    <w:rsid w:val="00E3411A"/>
    <w:rsid w:val="00E341B4"/>
    <w:rsid w:val="00E34262"/>
    <w:rsid w:val="00E3459D"/>
    <w:rsid w:val="00E34854"/>
    <w:rsid w:val="00E3489F"/>
    <w:rsid w:val="00E34E32"/>
    <w:rsid w:val="00E35078"/>
    <w:rsid w:val="00E351FB"/>
    <w:rsid w:val="00E3526A"/>
    <w:rsid w:val="00E3568D"/>
    <w:rsid w:val="00E35954"/>
    <w:rsid w:val="00E35B5A"/>
    <w:rsid w:val="00E35BDF"/>
    <w:rsid w:val="00E35D28"/>
    <w:rsid w:val="00E36261"/>
    <w:rsid w:val="00E3647E"/>
    <w:rsid w:val="00E3681D"/>
    <w:rsid w:val="00E36849"/>
    <w:rsid w:val="00E36B33"/>
    <w:rsid w:val="00E36B67"/>
    <w:rsid w:val="00E36FCB"/>
    <w:rsid w:val="00E37475"/>
    <w:rsid w:val="00E37564"/>
    <w:rsid w:val="00E37598"/>
    <w:rsid w:val="00E379F6"/>
    <w:rsid w:val="00E37DE9"/>
    <w:rsid w:val="00E400EF"/>
    <w:rsid w:val="00E40258"/>
    <w:rsid w:val="00E407AB"/>
    <w:rsid w:val="00E40887"/>
    <w:rsid w:val="00E40B10"/>
    <w:rsid w:val="00E41096"/>
    <w:rsid w:val="00E410D1"/>
    <w:rsid w:val="00E4125B"/>
    <w:rsid w:val="00E41296"/>
    <w:rsid w:val="00E41B63"/>
    <w:rsid w:val="00E41CFA"/>
    <w:rsid w:val="00E41D7C"/>
    <w:rsid w:val="00E422B2"/>
    <w:rsid w:val="00E422D8"/>
    <w:rsid w:val="00E4240A"/>
    <w:rsid w:val="00E42609"/>
    <w:rsid w:val="00E42C18"/>
    <w:rsid w:val="00E42C20"/>
    <w:rsid w:val="00E42D5D"/>
    <w:rsid w:val="00E42DB1"/>
    <w:rsid w:val="00E42E6B"/>
    <w:rsid w:val="00E43093"/>
    <w:rsid w:val="00E436EC"/>
    <w:rsid w:val="00E43928"/>
    <w:rsid w:val="00E439F2"/>
    <w:rsid w:val="00E43CA0"/>
    <w:rsid w:val="00E43D0D"/>
    <w:rsid w:val="00E43D68"/>
    <w:rsid w:val="00E43E22"/>
    <w:rsid w:val="00E43E79"/>
    <w:rsid w:val="00E44277"/>
    <w:rsid w:val="00E4429E"/>
    <w:rsid w:val="00E44305"/>
    <w:rsid w:val="00E445C1"/>
    <w:rsid w:val="00E44BC6"/>
    <w:rsid w:val="00E44E16"/>
    <w:rsid w:val="00E4520D"/>
    <w:rsid w:val="00E4521F"/>
    <w:rsid w:val="00E4539B"/>
    <w:rsid w:val="00E45608"/>
    <w:rsid w:val="00E45852"/>
    <w:rsid w:val="00E461B4"/>
    <w:rsid w:val="00E465A8"/>
    <w:rsid w:val="00E46867"/>
    <w:rsid w:val="00E46A23"/>
    <w:rsid w:val="00E46A4A"/>
    <w:rsid w:val="00E46CC3"/>
    <w:rsid w:val="00E47435"/>
    <w:rsid w:val="00E478AE"/>
    <w:rsid w:val="00E47A73"/>
    <w:rsid w:val="00E47CD4"/>
    <w:rsid w:val="00E47D78"/>
    <w:rsid w:val="00E47EB3"/>
    <w:rsid w:val="00E50759"/>
    <w:rsid w:val="00E509C4"/>
    <w:rsid w:val="00E509F2"/>
    <w:rsid w:val="00E50C72"/>
    <w:rsid w:val="00E50DA5"/>
    <w:rsid w:val="00E51110"/>
    <w:rsid w:val="00E511CC"/>
    <w:rsid w:val="00E51479"/>
    <w:rsid w:val="00E51497"/>
    <w:rsid w:val="00E515FC"/>
    <w:rsid w:val="00E51B9D"/>
    <w:rsid w:val="00E51C83"/>
    <w:rsid w:val="00E51FDE"/>
    <w:rsid w:val="00E52162"/>
    <w:rsid w:val="00E5232E"/>
    <w:rsid w:val="00E5235C"/>
    <w:rsid w:val="00E5269D"/>
    <w:rsid w:val="00E526F4"/>
    <w:rsid w:val="00E5276E"/>
    <w:rsid w:val="00E5284F"/>
    <w:rsid w:val="00E53332"/>
    <w:rsid w:val="00E534DD"/>
    <w:rsid w:val="00E53571"/>
    <w:rsid w:val="00E535A9"/>
    <w:rsid w:val="00E53724"/>
    <w:rsid w:val="00E537AB"/>
    <w:rsid w:val="00E53AEC"/>
    <w:rsid w:val="00E53AFE"/>
    <w:rsid w:val="00E53F01"/>
    <w:rsid w:val="00E547CB"/>
    <w:rsid w:val="00E54955"/>
    <w:rsid w:val="00E54A87"/>
    <w:rsid w:val="00E54B7F"/>
    <w:rsid w:val="00E54FA2"/>
    <w:rsid w:val="00E557D2"/>
    <w:rsid w:val="00E558AF"/>
    <w:rsid w:val="00E55A1A"/>
    <w:rsid w:val="00E55C46"/>
    <w:rsid w:val="00E55F04"/>
    <w:rsid w:val="00E55FF1"/>
    <w:rsid w:val="00E5607F"/>
    <w:rsid w:val="00E56129"/>
    <w:rsid w:val="00E56295"/>
    <w:rsid w:val="00E562BE"/>
    <w:rsid w:val="00E562CA"/>
    <w:rsid w:val="00E5634D"/>
    <w:rsid w:val="00E563E9"/>
    <w:rsid w:val="00E56905"/>
    <w:rsid w:val="00E56923"/>
    <w:rsid w:val="00E56AB5"/>
    <w:rsid w:val="00E56D2C"/>
    <w:rsid w:val="00E56D7C"/>
    <w:rsid w:val="00E56FFD"/>
    <w:rsid w:val="00E570F2"/>
    <w:rsid w:val="00E57185"/>
    <w:rsid w:val="00E5726A"/>
    <w:rsid w:val="00E574C2"/>
    <w:rsid w:val="00E57BB9"/>
    <w:rsid w:val="00E57E12"/>
    <w:rsid w:val="00E6023C"/>
    <w:rsid w:val="00E603B6"/>
    <w:rsid w:val="00E60C64"/>
    <w:rsid w:val="00E60D59"/>
    <w:rsid w:val="00E60D91"/>
    <w:rsid w:val="00E60DF3"/>
    <w:rsid w:val="00E61376"/>
    <w:rsid w:val="00E61514"/>
    <w:rsid w:val="00E6191E"/>
    <w:rsid w:val="00E61BA8"/>
    <w:rsid w:val="00E61BF3"/>
    <w:rsid w:val="00E61CCF"/>
    <w:rsid w:val="00E62192"/>
    <w:rsid w:val="00E62AE4"/>
    <w:rsid w:val="00E62EB7"/>
    <w:rsid w:val="00E6327E"/>
    <w:rsid w:val="00E63501"/>
    <w:rsid w:val="00E635F6"/>
    <w:rsid w:val="00E637BE"/>
    <w:rsid w:val="00E639E6"/>
    <w:rsid w:val="00E63A6B"/>
    <w:rsid w:val="00E63D2D"/>
    <w:rsid w:val="00E64400"/>
    <w:rsid w:val="00E644C1"/>
    <w:rsid w:val="00E647A5"/>
    <w:rsid w:val="00E647BE"/>
    <w:rsid w:val="00E64A8B"/>
    <w:rsid w:val="00E64CCA"/>
    <w:rsid w:val="00E64DB1"/>
    <w:rsid w:val="00E64E9A"/>
    <w:rsid w:val="00E64EDC"/>
    <w:rsid w:val="00E64F95"/>
    <w:rsid w:val="00E652FD"/>
    <w:rsid w:val="00E65315"/>
    <w:rsid w:val="00E65B6F"/>
    <w:rsid w:val="00E65CD8"/>
    <w:rsid w:val="00E65F0D"/>
    <w:rsid w:val="00E6613D"/>
    <w:rsid w:val="00E6690C"/>
    <w:rsid w:val="00E66949"/>
    <w:rsid w:val="00E66B4F"/>
    <w:rsid w:val="00E66F4F"/>
    <w:rsid w:val="00E6749D"/>
    <w:rsid w:val="00E675B2"/>
    <w:rsid w:val="00E6783F"/>
    <w:rsid w:val="00E678BB"/>
    <w:rsid w:val="00E67D5A"/>
    <w:rsid w:val="00E70045"/>
    <w:rsid w:val="00E70357"/>
    <w:rsid w:val="00E707D6"/>
    <w:rsid w:val="00E70805"/>
    <w:rsid w:val="00E7090C"/>
    <w:rsid w:val="00E70B03"/>
    <w:rsid w:val="00E70BCE"/>
    <w:rsid w:val="00E7106B"/>
    <w:rsid w:val="00E714C6"/>
    <w:rsid w:val="00E714D3"/>
    <w:rsid w:val="00E71720"/>
    <w:rsid w:val="00E719E8"/>
    <w:rsid w:val="00E721D3"/>
    <w:rsid w:val="00E722F6"/>
    <w:rsid w:val="00E724BC"/>
    <w:rsid w:val="00E7253E"/>
    <w:rsid w:val="00E72740"/>
    <w:rsid w:val="00E727FE"/>
    <w:rsid w:val="00E72A0A"/>
    <w:rsid w:val="00E72A37"/>
    <w:rsid w:val="00E72F09"/>
    <w:rsid w:val="00E72FA2"/>
    <w:rsid w:val="00E733AD"/>
    <w:rsid w:val="00E739F5"/>
    <w:rsid w:val="00E73C4D"/>
    <w:rsid w:val="00E73D5E"/>
    <w:rsid w:val="00E73DA1"/>
    <w:rsid w:val="00E73E23"/>
    <w:rsid w:val="00E73FA8"/>
    <w:rsid w:val="00E742F6"/>
    <w:rsid w:val="00E7460A"/>
    <w:rsid w:val="00E746F6"/>
    <w:rsid w:val="00E747FD"/>
    <w:rsid w:val="00E748DB"/>
    <w:rsid w:val="00E749EC"/>
    <w:rsid w:val="00E74AB0"/>
    <w:rsid w:val="00E74E4C"/>
    <w:rsid w:val="00E74E78"/>
    <w:rsid w:val="00E75279"/>
    <w:rsid w:val="00E753A1"/>
    <w:rsid w:val="00E75AB8"/>
    <w:rsid w:val="00E75D93"/>
    <w:rsid w:val="00E75F18"/>
    <w:rsid w:val="00E75FC8"/>
    <w:rsid w:val="00E761BB"/>
    <w:rsid w:val="00E76A37"/>
    <w:rsid w:val="00E76A62"/>
    <w:rsid w:val="00E76AD3"/>
    <w:rsid w:val="00E77977"/>
    <w:rsid w:val="00E803D6"/>
    <w:rsid w:val="00E8051A"/>
    <w:rsid w:val="00E80605"/>
    <w:rsid w:val="00E8071F"/>
    <w:rsid w:val="00E807F8"/>
    <w:rsid w:val="00E80A4B"/>
    <w:rsid w:val="00E80AAE"/>
    <w:rsid w:val="00E80B8F"/>
    <w:rsid w:val="00E80F94"/>
    <w:rsid w:val="00E814CA"/>
    <w:rsid w:val="00E81C22"/>
    <w:rsid w:val="00E81CFD"/>
    <w:rsid w:val="00E81EC3"/>
    <w:rsid w:val="00E81F1E"/>
    <w:rsid w:val="00E82119"/>
    <w:rsid w:val="00E822C0"/>
    <w:rsid w:val="00E82380"/>
    <w:rsid w:val="00E82468"/>
    <w:rsid w:val="00E82AD3"/>
    <w:rsid w:val="00E82F06"/>
    <w:rsid w:val="00E833D7"/>
    <w:rsid w:val="00E83805"/>
    <w:rsid w:val="00E838B4"/>
    <w:rsid w:val="00E83A71"/>
    <w:rsid w:val="00E83D9A"/>
    <w:rsid w:val="00E83DA1"/>
    <w:rsid w:val="00E83EED"/>
    <w:rsid w:val="00E83F72"/>
    <w:rsid w:val="00E83FD4"/>
    <w:rsid w:val="00E83FFC"/>
    <w:rsid w:val="00E8458F"/>
    <w:rsid w:val="00E8484B"/>
    <w:rsid w:val="00E853EA"/>
    <w:rsid w:val="00E854B6"/>
    <w:rsid w:val="00E85860"/>
    <w:rsid w:val="00E858FB"/>
    <w:rsid w:val="00E85DD0"/>
    <w:rsid w:val="00E85EEA"/>
    <w:rsid w:val="00E86628"/>
    <w:rsid w:val="00E86B19"/>
    <w:rsid w:val="00E86EB3"/>
    <w:rsid w:val="00E87005"/>
    <w:rsid w:val="00E873F8"/>
    <w:rsid w:val="00E87478"/>
    <w:rsid w:val="00E87AA4"/>
    <w:rsid w:val="00E87B63"/>
    <w:rsid w:val="00E906F5"/>
    <w:rsid w:val="00E9090C"/>
    <w:rsid w:val="00E90959"/>
    <w:rsid w:val="00E90B27"/>
    <w:rsid w:val="00E90D10"/>
    <w:rsid w:val="00E90D36"/>
    <w:rsid w:val="00E90E4A"/>
    <w:rsid w:val="00E915FC"/>
    <w:rsid w:val="00E9169B"/>
    <w:rsid w:val="00E91BDF"/>
    <w:rsid w:val="00E91C80"/>
    <w:rsid w:val="00E91CFC"/>
    <w:rsid w:val="00E92032"/>
    <w:rsid w:val="00E920CB"/>
    <w:rsid w:val="00E92605"/>
    <w:rsid w:val="00E928E1"/>
    <w:rsid w:val="00E929C0"/>
    <w:rsid w:val="00E929D3"/>
    <w:rsid w:val="00E92D9E"/>
    <w:rsid w:val="00E92E0C"/>
    <w:rsid w:val="00E9317B"/>
    <w:rsid w:val="00E937CA"/>
    <w:rsid w:val="00E93D97"/>
    <w:rsid w:val="00E94009"/>
    <w:rsid w:val="00E943AC"/>
    <w:rsid w:val="00E945B8"/>
    <w:rsid w:val="00E946D9"/>
    <w:rsid w:val="00E94989"/>
    <w:rsid w:val="00E94B8F"/>
    <w:rsid w:val="00E94E42"/>
    <w:rsid w:val="00E95032"/>
    <w:rsid w:val="00E95491"/>
    <w:rsid w:val="00E95A38"/>
    <w:rsid w:val="00E95AB6"/>
    <w:rsid w:val="00E95E4D"/>
    <w:rsid w:val="00E96196"/>
    <w:rsid w:val="00E961DF"/>
    <w:rsid w:val="00E9660F"/>
    <w:rsid w:val="00E966F3"/>
    <w:rsid w:val="00E96BB3"/>
    <w:rsid w:val="00E971C4"/>
    <w:rsid w:val="00E971ED"/>
    <w:rsid w:val="00E9733E"/>
    <w:rsid w:val="00E973A8"/>
    <w:rsid w:val="00E973BC"/>
    <w:rsid w:val="00E97775"/>
    <w:rsid w:val="00E97C04"/>
    <w:rsid w:val="00E97DAB"/>
    <w:rsid w:val="00EA05D9"/>
    <w:rsid w:val="00EA0633"/>
    <w:rsid w:val="00EA0759"/>
    <w:rsid w:val="00EA0B4D"/>
    <w:rsid w:val="00EA1088"/>
    <w:rsid w:val="00EA174E"/>
    <w:rsid w:val="00EA18C1"/>
    <w:rsid w:val="00EA1924"/>
    <w:rsid w:val="00EA19AE"/>
    <w:rsid w:val="00EA2818"/>
    <w:rsid w:val="00EA293E"/>
    <w:rsid w:val="00EA2944"/>
    <w:rsid w:val="00EA296F"/>
    <w:rsid w:val="00EA2BEA"/>
    <w:rsid w:val="00EA2C32"/>
    <w:rsid w:val="00EA2D4B"/>
    <w:rsid w:val="00EA3176"/>
    <w:rsid w:val="00EA33F2"/>
    <w:rsid w:val="00EA3514"/>
    <w:rsid w:val="00EA3612"/>
    <w:rsid w:val="00EA3A64"/>
    <w:rsid w:val="00EA3BAC"/>
    <w:rsid w:val="00EA3CB2"/>
    <w:rsid w:val="00EA3D88"/>
    <w:rsid w:val="00EA3DE5"/>
    <w:rsid w:val="00EA3F0C"/>
    <w:rsid w:val="00EA408E"/>
    <w:rsid w:val="00EA4145"/>
    <w:rsid w:val="00EA4203"/>
    <w:rsid w:val="00EA4238"/>
    <w:rsid w:val="00EA4495"/>
    <w:rsid w:val="00EA493C"/>
    <w:rsid w:val="00EA4B2D"/>
    <w:rsid w:val="00EA4EB2"/>
    <w:rsid w:val="00EA4F1D"/>
    <w:rsid w:val="00EA505B"/>
    <w:rsid w:val="00EA51D9"/>
    <w:rsid w:val="00EA5257"/>
    <w:rsid w:val="00EA5275"/>
    <w:rsid w:val="00EA5690"/>
    <w:rsid w:val="00EA5A6F"/>
    <w:rsid w:val="00EA5D61"/>
    <w:rsid w:val="00EA5D9B"/>
    <w:rsid w:val="00EA658D"/>
    <w:rsid w:val="00EA660A"/>
    <w:rsid w:val="00EA6D32"/>
    <w:rsid w:val="00EA6DD5"/>
    <w:rsid w:val="00EA6EC0"/>
    <w:rsid w:val="00EA6F67"/>
    <w:rsid w:val="00EA74A3"/>
    <w:rsid w:val="00EA77A0"/>
    <w:rsid w:val="00EA789D"/>
    <w:rsid w:val="00EA795E"/>
    <w:rsid w:val="00EA7AE0"/>
    <w:rsid w:val="00EA7FCA"/>
    <w:rsid w:val="00EB004A"/>
    <w:rsid w:val="00EB01B4"/>
    <w:rsid w:val="00EB029A"/>
    <w:rsid w:val="00EB0418"/>
    <w:rsid w:val="00EB0827"/>
    <w:rsid w:val="00EB08B7"/>
    <w:rsid w:val="00EB0944"/>
    <w:rsid w:val="00EB0A2B"/>
    <w:rsid w:val="00EB0A85"/>
    <w:rsid w:val="00EB1057"/>
    <w:rsid w:val="00EB127C"/>
    <w:rsid w:val="00EB1304"/>
    <w:rsid w:val="00EB141D"/>
    <w:rsid w:val="00EB142D"/>
    <w:rsid w:val="00EB188B"/>
    <w:rsid w:val="00EB1C2B"/>
    <w:rsid w:val="00EB1D28"/>
    <w:rsid w:val="00EB1EC5"/>
    <w:rsid w:val="00EB2313"/>
    <w:rsid w:val="00EB2343"/>
    <w:rsid w:val="00EB248A"/>
    <w:rsid w:val="00EB2678"/>
    <w:rsid w:val="00EB2888"/>
    <w:rsid w:val="00EB2D8B"/>
    <w:rsid w:val="00EB2DCB"/>
    <w:rsid w:val="00EB2F52"/>
    <w:rsid w:val="00EB336E"/>
    <w:rsid w:val="00EB37B8"/>
    <w:rsid w:val="00EB37C9"/>
    <w:rsid w:val="00EB390B"/>
    <w:rsid w:val="00EB4731"/>
    <w:rsid w:val="00EB4B25"/>
    <w:rsid w:val="00EB4FD8"/>
    <w:rsid w:val="00EB55B4"/>
    <w:rsid w:val="00EB55B7"/>
    <w:rsid w:val="00EB5984"/>
    <w:rsid w:val="00EB599D"/>
    <w:rsid w:val="00EB5B07"/>
    <w:rsid w:val="00EB5DDC"/>
    <w:rsid w:val="00EB5F3F"/>
    <w:rsid w:val="00EB62FC"/>
    <w:rsid w:val="00EB6360"/>
    <w:rsid w:val="00EB6784"/>
    <w:rsid w:val="00EB69DE"/>
    <w:rsid w:val="00EB6F0A"/>
    <w:rsid w:val="00EB6F57"/>
    <w:rsid w:val="00EB710E"/>
    <w:rsid w:val="00EB727C"/>
    <w:rsid w:val="00EB758C"/>
    <w:rsid w:val="00EB7BBE"/>
    <w:rsid w:val="00EC0019"/>
    <w:rsid w:val="00EC02A9"/>
    <w:rsid w:val="00EC02D0"/>
    <w:rsid w:val="00EC04CE"/>
    <w:rsid w:val="00EC09F1"/>
    <w:rsid w:val="00EC0EEB"/>
    <w:rsid w:val="00EC162C"/>
    <w:rsid w:val="00EC1B58"/>
    <w:rsid w:val="00EC1BD4"/>
    <w:rsid w:val="00EC1D22"/>
    <w:rsid w:val="00EC238E"/>
    <w:rsid w:val="00EC240C"/>
    <w:rsid w:val="00EC265C"/>
    <w:rsid w:val="00EC2887"/>
    <w:rsid w:val="00EC2BCB"/>
    <w:rsid w:val="00EC2EF7"/>
    <w:rsid w:val="00EC3016"/>
    <w:rsid w:val="00EC3169"/>
    <w:rsid w:val="00EC3435"/>
    <w:rsid w:val="00EC34CD"/>
    <w:rsid w:val="00EC3971"/>
    <w:rsid w:val="00EC3AD3"/>
    <w:rsid w:val="00EC3AF0"/>
    <w:rsid w:val="00EC3D78"/>
    <w:rsid w:val="00EC3EB8"/>
    <w:rsid w:val="00EC3F8B"/>
    <w:rsid w:val="00EC41C5"/>
    <w:rsid w:val="00EC42C8"/>
    <w:rsid w:val="00EC4441"/>
    <w:rsid w:val="00EC44C3"/>
    <w:rsid w:val="00EC467F"/>
    <w:rsid w:val="00EC4BA5"/>
    <w:rsid w:val="00EC4EF8"/>
    <w:rsid w:val="00EC501A"/>
    <w:rsid w:val="00EC56B0"/>
    <w:rsid w:val="00EC572F"/>
    <w:rsid w:val="00EC5F07"/>
    <w:rsid w:val="00EC5F3F"/>
    <w:rsid w:val="00EC651C"/>
    <w:rsid w:val="00EC6531"/>
    <w:rsid w:val="00EC6704"/>
    <w:rsid w:val="00EC6924"/>
    <w:rsid w:val="00EC6D52"/>
    <w:rsid w:val="00EC6FC9"/>
    <w:rsid w:val="00EC77F2"/>
    <w:rsid w:val="00EC7A02"/>
    <w:rsid w:val="00EC7B3E"/>
    <w:rsid w:val="00ED01B2"/>
    <w:rsid w:val="00ED0701"/>
    <w:rsid w:val="00ED0A42"/>
    <w:rsid w:val="00ED0EB1"/>
    <w:rsid w:val="00ED159A"/>
    <w:rsid w:val="00ED168D"/>
    <w:rsid w:val="00ED16BF"/>
    <w:rsid w:val="00ED1935"/>
    <w:rsid w:val="00ED1B47"/>
    <w:rsid w:val="00ED22BB"/>
    <w:rsid w:val="00ED23B3"/>
    <w:rsid w:val="00ED269A"/>
    <w:rsid w:val="00ED2D3D"/>
    <w:rsid w:val="00ED2E25"/>
    <w:rsid w:val="00ED2E34"/>
    <w:rsid w:val="00ED2EA8"/>
    <w:rsid w:val="00ED31AB"/>
    <w:rsid w:val="00ED34A7"/>
    <w:rsid w:val="00ED3BDB"/>
    <w:rsid w:val="00ED3C4D"/>
    <w:rsid w:val="00ED3E7D"/>
    <w:rsid w:val="00ED3EF2"/>
    <w:rsid w:val="00ED4084"/>
    <w:rsid w:val="00ED430D"/>
    <w:rsid w:val="00ED452A"/>
    <w:rsid w:val="00ED482D"/>
    <w:rsid w:val="00ED4B74"/>
    <w:rsid w:val="00ED4C04"/>
    <w:rsid w:val="00ED4F85"/>
    <w:rsid w:val="00ED50FB"/>
    <w:rsid w:val="00ED526C"/>
    <w:rsid w:val="00ED54A6"/>
    <w:rsid w:val="00ED5788"/>
    <w:rsid w:val="00ED59B2"/>
    <w:rsid w:val="00ED5A95"/>
    <w:rsid w:val="00ED5D59"/>
    <w:rsid w:val="00ED5D99"/>
    <w:rsid w:val="00ED63C7"/>
    <w:rsid w:val="00ED64BF"/>
    <w:rsid w:val="00ED64D2"/>
    <w:rsid w:val="00ED660F"/>
    <w:rsid w:val="00ED6616"/>
    <w:rsid w:val="00ED6B7B"/>
    <w:rsid w:val="00ED6FD4"/>
    <w:rsid w:val="00ED70E8"/>
    <w:rsid w:val="00ED72A8"/>
    <w:rsid w:val="00ED7788"/>
    <w:rsid w:val="00ED78D8"/>
    <w:rsid w:val="00ED7BC2"/>
    <w:rsid w:val="00ED7C78"/>
    <w:rsid w:val="00EE03A1"/>
    <w:rsid w:val="00EE0483"/>
    <w:rsid w:val="00EE0649"/>
    <w:rsid w:val="00EE06AB"/>
    <w:rsid w:val="00EE0ED6"/>
    <w:rsid w:val="00EE1029"/>
    <w:rsid w:val="00EE10DC"/>
    <w:rsid w:val="00EE1170"/>
    <w:rsid w:val="00EE13A1"/>
    <w:rsid w:val="00EE1884"/>
    <w:rsid w:val="00EE1C2B"/>
    <w:rsid w:val="00EE1D7C"/>
    <w:rsid w:val="00EE20DE"/>
    <w:rsid w:val="00EE212B"/>
    <w:rsid w:val="00EE240E"/>
    <w:rsid w:val="00EE283C"/>
    <w:rsid w:val="00EE285A"/>
    <w:rsid w:val="00EE2CDA"/>
    <w:rsid w:val="00EE2D82"/>
    <w:rsid w:val="00EE3147"/>
    <w:rsid w:val="00EE32D9"/>
    <w:rsid w:val="00EE3305"/>
    <w:rsid w:val="00EE344D"/>
    <w:rsid w:val="00EE357B"/>
    <w:rsid w:val="00EE39D1"/>
    <w:rsid w:val="00EE3B46"/>
    <w:rsid w:val="00EE3CCE"/>
    <w:rsid w:val="00EE3D5E"/>
    <w:rsid w:val="00EE3D72"/>
    <w:rsid w:val="00EE3EFE"/>
    <w:rsid w:val="00EE3F25"/>
    <w:rsid w:val="00EE45A2"/>
    <w:rsid w:val="00EE4B00"/>
    <w:rsid w:val="00EE4BE8"/>
    <w:rsid w:val="00EE546B"/>
    <w:rsid w:val="00EE5796"/>
    <w:rsid w:val="00EE58E8"/>
    <w:rsid w:val="00EE5ADC"/>
    <w:rsid w:val="00EE5DE5"/>
    <w:rsid w:val="00EE6200"/>
    <w:rsid w:val="00EE64A3"/>
    <w:rsid w:val="00EE66CB"/>
    <w:rsid w:val="00EE673C"/>
    <w:rsid w:val="00EE678B"/>
    <w:rsid w:val="00EE68B1"/>
    <w:rsid w:val="00EE6D41"/>
    <w:rsid w:val="00EE6DFE"/>
    <w:rsid w:val="00EE6FC3"/>
    <w:rsid w:val="00EE7409"/>
    <w:rsid w:val="00EE757A"/>
    <w:rsid w:val="00EE76F6"/>
    <w:rsid w:val="00EE7702"/>
    <w:rsid w:val="00EE7708"/>
    <w:rsid w:val="00EE7878"/>
    <w:rsid w:val="00EE79C1"/>
    <w:rsid w:val="00EE7A6B"/>
    <w:rsid w:val="00EE7AD1"/>
    <w:rsid w:val="00EE7F77"/>
    <w:rsid w:val="00EF0240"/>
    <w:rsid w:val="00EF0432"/>
    <w:rsid w:val="00EF0641"/>
    <w:rsid w:val="00EF15E6"/>
    <w:rsid w:val="00EF179D"/>
    <w:rsid w:val="00EF183C"/>
    <w:rsid w:val="00EF1854"/>
    <w:rsid w:val="00EF1884"/>
    <w:rsid w:val="00EF192F"/>
    <w:rsid w:val="00EF1A22"/>
    <w:rsid w:val="00EF1C9A"/>
    <w:rsid w:val="00EF1EC2"/>
    <w:rsid w:val="00EF1F33"/>
    <w:rsid w:val="00EF1FC1"/>
    <w:rsid w:val="00EF21F3"/>
    <w:rsid w:val="00EF23A2"/>
    <w:rsid w:val="00EF2414"/>
    <w:rsid w:val="00EF241B"/>
    <w:rsid w:val="00EF280D"/>
    <w:rsid w:val="00EF2E10"/>
    <w:rsid w:val="00EF2EF2"/>
    <w:rsid w:val="00EF330D"/>
    <w:rsid w:val="00EF382B"/>
    <w:rsid w:val="00EF397E"/>
    <w:rsid w:val="00EF3DAA"/>
    <w:rsid w:val="00EF3FD2"/>
    <w:rsid w:val="00EF4306"/>
    <w:rsid w:val="00EF4385"/>
    <w:rsid w:val="00EF458C"/>
    <w:rsid w:val="00EF4611"/>
    <w:rsid w:val="00EF472D"/>
    <w:rsid w:val="00EF492A"/>
    <w:rsid w:val="00EF5186"/>
    <w:rsid w:val="00EF53C3"/>
    <w:rsid w:val="00EF53C9"/>
    <w:rsid w:val="00EF57E8"/>
    <w:rsid w:val="00EF5AE1"/>
    <w:rsid w:val="00EF5C61"/>
    <w:rsid w:val="00EF5C66"/>
    <w:rsid w:val="00EF5DD1"/>
    <w:rsid w:val="00EF62DC"/>
    <w:rsid w:val="00EF6A6E"/>
    <w:rsid w:val="00EF7096"/>
    <w:rsid w:val="00EF7256"/>
    <w:rsid w:val="00EF74AD"/>
    <w:rsid w:val="00EF74BA"/>
    <w:rsid w:val="00EF773F"/>
    <w:rsid w:val="00EF7BFB"/>
    <w:rsid w:val="00EF7F44"/>
    <w:rsid w:val="00F001D8"/>
    <w:rsid w:val="00F007B2"/>
    <w:rsid w:val="00F00AA1"/>
    <w:rsid w:val="00F00B87"/>
    <w:rsid w:val="00F00F83"/>
    <w:rsid w:val="00F00F8B"/>
    <w:rsid w:val="00F01460"/>
    <w:rsid w:val="00F01467"/>
    <w:rsid w:val="00F0147A"/>
    <w:rsid w:val="00F0149E"/>
    <w:rsid w:val="00F018A7"/>
    <w:rsid w:val="00F01D1F"/>
    <w:rsid w:val="00F01DDF"/>
    <w:rsid w:val="00F02219"/>
    <w:rsid w:val="00F02441"/>
    <w:rsid w:val="00F025EF"/>
    <w:rsid w:val="00F02856"/>
    <w:rsid w:val="00F02963"/>
    <w:rsid w:val="00F02E58"/>
    <w:rsid w:val="00F03806"/>
    <w:rsid w:val="00F03858"/>
    <w:rsid w:val="00F03E47"/>
    <w:rsid w:val="00F04041"/>
    <w:rsid w:val="00F0429C"/>
    <w:rsid w:val="00F047E7"/>
    <w:rsid w:val="00F047EA"/>
    <w:rsid w:val="00F054CA"/>
    <w:rsid w:val="00F05846"/>
    <w:rsid w:val="00F059B7"/>
    <w:rsid w:val="00F05AA7"/>
    <w:rsid w:val="00F05B8C"/>
    <w:rsid w:val="00F05F82"/>
    <w:rsid w:val="00F060DE"/>
    <w:rsid w:val="00F06569"/>
    <w:rsid w:val="00F078F1"/>
    <w:rsid w:val="00F0790A"/>
    <w:rsid w:val="00F0793C"/>
    <w:rsid w:val="00F07CF4"/>
    <w:rsid w:val="00F10094"/>
    <w:rsid w:val="00F103A9"/>
    <w:rsid w:val="00F10596"/>
    <w:rsid w:val="00F10814"/>
    <w:rsid w:val="00F10B03"/>
    <w:rsid w:val="00F1113B"/>
    <w:rsid w:val="00F11215"/>
    <w:rsid w:val="00F11654"/>
    <w:rsid w:val="00F1169D"/>
    <w:rsid w:val="00F11B9B"/>
    <w:rsid w:val="00F120A6"/>
    <w:rsid w:val="00F12391"/>
    <w:rsid w:val="00F123EB"/>
    <w:rsid w:val="00F12452"/>
    <w:rsid w:val="00F12456"/>
    <w:rsid w:val="00F12C90"/>
    <w:rsid w:val="00F12C91"/>
    <w:rsid w:val="00F12D78"/>
    <w:rsid w:val="00F12E23"/>
    <w:rsid w:val="00F12FF4"/>
    <w:rsid w:val="00F1305C"/>
    <w:rsid w:val="00F130BD"/>
    <w:rsid w:val="00F13175"/>
    <w:rsid w:val="00F13371"/>
    <w:rsid w:val="00F13399"/>
    <w:rsid w:val="00F13B7B"/>
    <w:rsid w:val="00F13D38"/>
    <w:rsid w:val="00F13E7C"/>
    <w:rsid w:val="00F14085"/>
    <w:rsid w:val="00F1421E"/>
    <w:rsid w:val="00F14390"/>
    <w:rsid w:val="00F152B5"/>
    <w:rsid w:val="00F1543C"/>
    <w:rsid w:val="00F158B5"/>
    <w:rsid w:val="00F15F58"/>
    <w:rsid w:val="00F15FA1"/>
    <w:rsid w:val="00F165E1"/>
    <w:rsid w:val="00F166BB"/>
    <w:rsid w:val="00F1681D"/>
    <w:rsid w:val="00F16E35"/>
    <w:rsid w:val="00F16E57"/>
    <w:rsid w:val="00F16F11"/>
    <w:rsid w:val="00F16F9A"/>
    <w:rsid w:val="00F17A72"/>
    <w:rsid w:val="00F17DAE"/>
    <w:rsid w:val="00F17FD7"/>
    <w:rsid w:val="00F200B7"/>
    <w:rsid w:val="00F20115"/>
    <w:rsid w:val="00F202A5"/>
    <w:rsid w:val="00F20304"/>
    <w:rsid w:val="00F20410"/>
    <w:rsid w:val="00F2083B"/>
    <w:rsid w:val="00F20B7A"/>
    <w:rsid w:val="00F2170F"/>
    <w:rsid w:val="00F21839"/>
    <w:rsid w:val="00F21DAF"/>
    <w:rsid w:val="00F21E9D"/>
    <w:rsid w:val="00F2249C"/>
    <w:rsid w:val="00F225EE"/>
    <w:rsid w:val="00F2276D"/>
    <w:rsid w:val="00F228A9"/>
    <w:rsid w:val="00F22A90"/>
    <w:rsid w:val="00F22B64"/>
    <w:rsid w:val="00F22D5F"/>
    <w:rsid w:val="00F22DE1"/>
    <w:rsid w:val="00F23485"/>
    <w:rsid w:val="00F2376A"/>
    <w:rsid w:val="00F239CE"/>
    <w:rsid w:val="00F23A37"/>
    <w:rsid w:val="00F23A59"/>
    <w:rsid w:val="00F2445D"/>
    <w:rsid w:val="00F24609"/>
    <w:rsid w:val="00F24A1D"/>
    <w:rsid w:val="00F24A70"/>
    <w:rsid w:val="00F24D5A"/>
    <w:rsid w:val="00F24E57"/>
    <w:rsid w:val="00F25302"/>
    <w:rsid w:val="00F254CD"/>
    <w:rsid w:val="00F254E0"/>
    <w:rsid w:val="00F25585"/>
    <w:rsid w:val="00F25756"/>
    <w:rsid w:val="00F257A7"/>
    <w:rsid w:val="00F25C5A"/>
    <w:rsid w:val="00F25C79"/>
    <w:rsid w:val="00F25E4F"/>
    <w:rsid w:val="00F260AC"/>
    <w:rsid w:val="00F2644A"/>
    <w:rsid w:val="00F2672E"/>
    <w:rsid w:val="00F2698C"/>
    <w:rsid w:val="00F26BF8"/>
    <w:rsid w:val="00F27578"/>
    <w:rsid w:val="00F3008C"/>
    <w:rsid w:val="00F30321"/>
    <w:rsid w:val="00F3033F"/>
    <w:rsid w:val="00F3076F"/>
    <w:rsid w:val="00F309AE"/>
    <w:rsid w:val="00F30BDE"/>
    <w:rsid w:val="00F30C2F"/>
    <w:rsid w:val="00F30F3D"/>
    <w:rsid w:val="00F3115F"/>
    <w:rsid w:val="00F3149C"/>
    <w:rsid w:val="00F31639"/>
    <w:rsid w:val="00F31706"/>
    <w:rsid w:val="00F32345"/>
    <w:rsid w:val="00F325AF"/>
    <w:rsid w:val="00F3277B"/>
    <w:rsid w:val="00F329D0"/>
    <w:rsid w:val="00F32A17"/>
    <w:rsid w:val="00F32A4A"/>
    <w:rsid w:val="00F32B57"/>
    <w:rsid w:val="00F32B7F"/>
    <w:rsid w:val="00F32F58"/>
    <w:rsid w:val="00F3377D"/>
    <w:rsid w:val="00F337B0"/>
    <w:rsid w:val="00F337DA"/>
    <w:rsid w:val="00F339FB"/>
    <w:rsid w:val="00F33B76"/>
    <w:rsid w:val="00F342A1"/>
    <w:rsid w:val="00F3435D"/>
    <w:rsid w:val="00F3437E"/>
    <w:rsid w:val="00F3446A"/>
    <w:rsid w:val="00F34604"/>
    <w:rsid w:val="00F3470B"/>
    <w:rsid w:val="00F347DD"/>
    <w:rsid w:val="00F34A05"/>
    <w:rsid w:val="00F34B1E"/>
    <w:rsid w:val="00F34D51"/>
    <w:rsid w:val="00F34E98"/>
    <w:rsid w:val="00F34E9F"/>
    <w:rsid w:val="00F34EE4"/>
    <w:rsid w:val="00F35024"/>
    <w:rsid w:val="00F3521E"/>
    <w:rsid w:val="00F35501"/>
    <w:rsid w:val="00F35F1C"/>
    <w:rsid w:val="00F35FB3"/>
    <w:rsid w:val="00F365F3"/>
    <w:rsid w:val="00F36785"/>
    <w:rsid w:val="00F36B7A"/>
    <w:rsid w:val="00F36F6A"/>
    <w:rsid w:val="00F372E5"/>
    <w:rsid w:val="00F373DF"/>
    <w:rsid w:val="00F3773D"/>
    <w:rsid w:val="00F37780"/>
    <w:rsid w:val="00F37783"/>
    <w:rsid w:val="00F37B28"/>
    <w:rsid w:val="00F37F27"/>
    <w:rsid w:val="00F401E8"/>
    <w:rsid w:val="00F408BA"/>
    <w:rsid w:val="00F40B78"/>
    <w:rsid w:val="00F40FCC"/>
    <w:rsid w:val="00F411D4"/>
    <w:rsid w:val="00F41576"/>
    <w:rsid w:val="00F41CE7"/>
    <w:rsid w:val="00F424B1"/>
    <w:rsid w:val="00F4250B"/>
    <w:rsid w:val="00F4276F"/>
    <w:rsid w:val="00F42A4B"/>
    <w:rsid w:val="00F42BC1"/>
    <w:rsid w:val="00F42C16"/>
    <w:rsid w:val="00F42D1F"/>
    <w:rsid w:val="00F42E83"/>
    <w:rsid w:val="00F43561"/>
    <w:rsid w:val="00F44684"/>
    <w:rsid w:val="00F44787"/>
    <w:rsid w:val="00F447B9"/>
    <w:rsid w:val="00F44845"/>
    <w:rsid w:val="00F44AC6"/>
    <w:rsid w:val="00F44BD1"/>
    <w:rsid w:val="00F44DA1"/>
    <w:rsid w:val="00F451A9"/>
    <w:rsid w:val="00F4553D"/>
    <w:rsid w:val="00F459C9"/>
    <w:rsid w:val="00F459FA"/>
    <w:rsid w:val="00F45B9E"/>
    <w:rsid w:val="00F45E6D"/>
    <w:rsid w:val="00F4648C"/>
    <w:rsid w:val="00F468DE"/>
    <w:rsid w:val="00F46964"/>
    <w:rsid w:val="00F46AE8"/>
    <w:rsid w:val="00F46F43"/>
    <w:rsid w:val="00F46F9B"/>
    <w:rsid w:val="00F470E1"/>
    <w:rsid w:val="00F47192"/>
    <w:rsid w:val="00F47230"/>
    <w:rsid w:val="00F4746A"/>
    <w:rsid w:val="00F4769B"/>
    <w:rsid w:val="00F47F0E"/>
    <w:rsid w:val="00F47F71"/>
    <w:rsid w:val="00F50313"/>
    <w:rsid w:val="00F50615"/>
    <w:rsid w:val="00F50636"/>
    <w:rsid w:val="00F50736"/>
    <w:rsid w:val="00F50ACE"/>
    <w:rsid w:val="00F50B1A"/>
    <w:rsid w:val="00F50C36"/>
    <w:rsid w:val="00F50C6B"/>
    <w:rsid w:val="00F50E50"/>
    <w:rsid w:val="00F50E98"/>
    <w:rsid w:val="00F513E3"/>
    <w:rsid w:val="00F5190C"/>
    <w:rsid w:val="00F51BFB"/>
    <w:rsid w:val="00F51D2A"/>
    <w:rsid w:val="00F52948"/>
    <w:rsid w:val="00F52BD0"/>
    <w:rsid w:val="00F52E7E"/>
    <w:rsid w:val="00F53674"/>
    <w:rsid w:val="00F5369A"/>
    <w:rsid w:val="00F539E6"/>
    <w:rsid w:val="00F53B4C"/>
    <w:rsid w:val="00F53CE9"/>
    <w:rsid w:val="00F542AE"/>
    <w:rsid w:val="00F545A8"/>
    <w:rsid w:val="00F54628"/>
    <w:rsid w:val="00F548A4"/>
    <w:rsid w:val="00F548D1"/>
    <w:rsid w:val="00F54BFF"/>
    <w:rsid w:val="00F54CA8"/>
    <w:rsid w:val="00F54D85"/>
    <w:rsid w:val="00F54EC5"/>
    <w:rsid w:val="00F55021"/>
    <w:rsid w:val="00F5504A"/>
    <w:rsid w:val="00F5524B"/>
    <w:rsid w:val="00F552B6"/>
    <w:rsid w:val="00F55977"/>
    <w:rsid w:val="00F559AE"/>
    <w:rsid w:val="00F55AD2"/>
    <w:rsid w:val="00F55CC1"/>
    <w:rsid w:val="00F55FB9"/>
    <w:rsid w:val="00F560C9"/>
    <w:rsid w:val="00F56152"/>
    <w:rsid w:val="00F569E3"/>
    <w:rsid w:val="00F56B34"/>
    <w:rsid w:val="00F56FD1"/>
    <w:rsid w:val="00F57522"/>
    <w:rsid w:val="00F57CD5"/>
    <w:rsid w:val="00F57E28"/>
    <w:rsid w:val="00F601AF"/>
    <w:rsid w:val="00F6034E"/>
    <w:rsid w:val="00F60C4A"/>
    <w:rsid w:val="00F60D36"/>
    <w:rsid w:val="00F60E33"/>
    <w:rsid w:val="00F611E9"/>
    <w:rsid w:val="00F61412"/>
    <w:rsid w:val="00F614AA"/>
    <w:rsid w:val="00F6151A"/>
    <w:rsid w:val="00F6152D"/>
    <w:rsid w:val="00F61F3A"/>
    <w:rsid w:val="00F6200D"/>
    <w:rsid w:val="00F6205E"/>
    <w:rsid w:val="00F623C1"/>
    <w:rsid w:val="00F62463"/>
    <w:rsid w:val="00F629E8"/>
    <w:rsid w:val="00F62CF1"/>
    <w:rsid w:val="00F631A9"/>
    <w:rsid w:val="00F634E1"/>
    <w:rsid w:val="00F6363B"/>
    <w:rsid w:val="00F639A5"/>
    <w:rsid w:val="00F63C65"/>
    <w:rsid w:val="00F6465D"/>
    <w:rsid w:val="00F6470B"/>
    <w:rsid w:val="00F649DF"/>
    <w:rsid w:val="00F64DBF"/>
    <w:rsid w:val="00F64E0A"/>
    <w:rsid w:val="00F64F86"/>
    <w:rsid w:val="00F65278"/>
    <w:rsid w:val="00F65389"/>
    <w:rsid w:val="00F6557C"/>
    <w:rsid w:val="00F656D6"/>
    <w:rsid w:val="00F65789"/>
    <w:rsid w:val="00F657E8"/>
    <w:rsid w:val="00F65A5A"/>
    <w:rsid w:val="00F65A78"/>
    <w:rsid w:val="00F65AEE"/>
    <w:rsid w:val="00F65B89"/>
    <w:rsid w:val="00F65BE8"/>
    <w:rsid w:val="00F65CB7"/>
    <w:rsid w:val="00F65DA8"/>
    <w:rsid w:val="00F65F17"/>
    <w:rsid w:val="00F65F8A"/>
    <w:rsid w:val="00F664A2"/>
    <w:rsid w:val="00F66711"/>
    <w:rsid w:val="00F6675D"/>
    <w:rsid w:val="00F669AF"/>
    <w:rsid w:val="00F66C05"/>
    <w:rsid w:val="00F6727E"/>
    <w:rsid w:val="00F67537"/>
    <w:rsid w:val="00F67666"/>
    <w:rsid w:val="00F678A0"/>
    <w:rsid w:val="00F67946"/>
    <w:rsid w:val="00F679E3"/>
    <w:rsid w:val="00F67A10"/>
    <w:rsid w:val="00F67CBB"/>
    <w:rsid w:val="00F67D63"/>
    <w:rsid w:val="00F67DFA"/>
    <w:rsid w:val="00F67E0C"/>
    <w:rsid w:val="00F67ED0"/>
    <w:rsid w:val="00F67F2A"/>
    <w:rsid w:val="00F7007D"/>
    <w:rsid w:val="00F701D7"/>
    <w:rsid w:val="00F70732"/>
    <w:rsid w:val="00F70B43"/>
    <w:rsid w:val="00F70CD5"/>
    <w:rsid w:val="00F70FC6"/>
    <w:rsid w:val="00F711C7"/>
    <w:rsid w:val="00F71D0D"/>
    <w:rsid w:val="00F71E78"/>
    <w:rsid w:val="00F71F25"/>
    <w:rsid w:val="00F7221C"/>
    <w:rsid w:val="00F72342"/>
    <w:rsid w:val="00F72951"/>
    <w:rsid w:val="00F72C1B"/>
    <w:rsid w:val="00F72F88"/>
    <w:rsid w:val="00F7307A"/>
    <w:rsid w:val="00F730E4"/>
    <w:rsid w:val="00F731D5"/>
    <w:rsid w:val="00F7332C"/>
    <w:rsid w:val="00F735F8"/>
    <w:rsid w:val="00F73674"/>
    <w:rsid w:val="00F739EB"/>
    <w:rsid w:val="00F73C7F"/>
    <w:rsid w:val="00F741A6"/>
    <w:rsid w:val="00F7431A"/>
    <w:rsid w:val="00F750EA"/>
    <w:rsid w:val="00F75117"/>
    <w:rsid w:val="00F75364"/>
    <w:rsid w:val="00F75A10"/>
    <w:rsid w:val="00F75D78"/>
    <w:rsid w:val="00F75F21"/>
    <w:rsid w:val="00F75FF1"/>
    <w:rsid w:val="00F76119"/>
    <w:rsid w:val="00F7615C"/>
    <w:rsid w:val="00F76885"/>
    <w:rsid w:val="00F7691B"/>
    <w:rsid w:val="00F76A49"/>
    <w:rsid w:val="00F76AB6"/>
    <w:rsid w:val="00F76C76"/>
    <w:rsid w:val="00F76D76"/>
    <w:rsid w:val="00F76E5C"/>
    <w:rsid w:val="00F77094"/>
    <w:rsid w:val="00F7714E"/>
    <w:rsid w:val="00F7727F"/>
    <w:rsid w:val="00F77537"/>
    <w:rsid w:val="00F7787E"/>
    <w:rsid w:val="00F77AE6"/>
    <w:rsid w:val="00F77C00"/>
    <w:rsid w:val="00F77C80"/>
    <w:rsid w:val="00F77D8F"/>
    <w:rsid w:val="00F77EA5"/>
    <w:rsid w:val="00F77EB8"/>
    <w:rsid w:val="00F80FAA"/>
    <w:rsid w:val="00F814D8"/>
    <w:rsid w:val="00F815CF"/>
    <w:rsid w:val="00F8189B"/>
    <w:rsid w:val="00F81918"/>
    <w:rsid w:val="00F81D85"/>
    <w:rsid w:val="00F82390"/>
    <w:rsid w:val="00F82D8A"/>
    <w:rsid w:val="00F83006"/>
    <w:rsid w:val="00F830BE"/>
    <w:rsid w:val="00F83249"/>
    <w:rsid w:val="00F8344D"/>
    <w:rsid w:val="00F83908"/>
    <w:rsid w:val="00F83B04"/>
    <w:rsid w:val="00F8409E"/>
    <w:rsid w:val="00F841F9"/>
    <w:rsid w:val="00F84363"/>
    <w:rsid w:val="00F84BF4"/>
    <w:rsid w:val="00F84EAF"/>
    <w:rsid w:val="00F8531C"/>
    <w:rsid w:val="00F85547"/>
    <w:rsid w:val="00F855B0"/>
    <w:rsid w:val="00F856A1"/>
    <w:rsid w:val="00F868E6"/>
    <w:rsid w:val="00F86F6F"/>
    <w:rsid w:val="00F86F88"/>
    <w:rsid w:val="00F86FB8"/>
    <w:rsid w:val="00F877F3"/>
    <w:rsid w:val="00F8792A"/>
    <w:rsid w:val="00F87D6C"/>
    <w:rsid w:val="00F87F2C"/>
    <w:rsid w:val="00F90045"/>
    <w:rsid w:val="00F9028C"/>
    <w:rsid w:val="00F9052C"/>
    <w:rsid w:val="00F9057A"/>
    <w:rsid w:val="00F9062C"/>
    <w:rsid w:val="00F908CD"/>
    <w:rsid w:val="00F9098D"/>
    <w:rsid w:val="00F909E7"/>
    <w:rsid w:val="00F90C3F"/>
    <w:rsid w:val="00F90CC9"/>
    <w:rsid w:val="00F910E8"/>
    <w:rsid w:val="00F913B8"/>
    <w:rsid w:val="00F914C8"/>
    <w:rsid w:val="00F915CF"/>
    <w:rsid w:val="00F91939"/>
    <w:rsid w:val="00F91988"/>
    <w:rsid w:val="00F91BBB"/>
    <w:rsid w:val="00F91F68"/>
    <w:rsid w:val="00F92248"/>
    <w:rsid w:val="00F922EA"/>
    <w:rsid w:val="00F9232F"/>
    <w:rsid w:val="00F923E8"/>
    <w:rsid w:val="00F92583"/>
    <w:rsid w:val="00F92747"/>
    <w:rsid w:val="00F928F5"/>
    <w:rsid w:val="00F92CA4"/>
    <w:rsid w:val="00F93091"/>
    <w:rsid w:val="00F9321F"/>
    <w:rsid w:val="00F93416"/>
    <w:rsid w:val="00F93462"/>
    <w:rsid w:val="00F936D6"/>
    <w:rsid w:val="00F9370D"/>
    <w:rsid w:val="00F93775"/>
    <w:rsid w:val="00F938B9"/>
    <w:rsid w:val="00F93961"/>
    <w:rsid w:val="00F9428E"/>
    <w:rsid w:val="00F94374"/>
    <w:rsid w:val="00F94454"/>
    <w:rsid w:val="00F944BC"/>
    <w:rsid w:val="00F94C6B"/>
    <w:rsid w:val="00F94EFF"/>
    <w:rsid w:val="00F954A6"/>
    <w:rsid w:val="00F955CA"/>
    <w:rsid w:val="00F95659"/>
    <w:rsid w:val="00F959E6"/>
    <w:rsid w:val="00F95B34"/>
    <w:rsid w:val="00F95D95"/>
    <w:rsid w:val="00F95EAE"/>
    <w:rsid w:val="00F961A0"/>
    <w:rsid w:val="00F967EF"/>
    <w:rsid w:val="00F969F8"/>
    <w:rsid w:val="00F96EAD"/>
    <w:rsid w:val="00F975C4"/>
    <w:rsid w:val="00F977EF"/>
    <w:rsid w:val="00F97E22"/>
    <w:rsid w:val="00FA004C"/>
    <w:rsid w:val="00FA00B2"/>
    <w:rsid w:val="00FA0422"/>
    <w:rsid w:val="00FA04F9"/>
    <w:rsid w:val="00FA054F"/>
    <w:rsid w:val="00FA0CA3"/>
    <w:rsid w:val="00FA0DA4"/>
    <w:rsid w:val="00FA0DFA"/>
    <w:rsid w:val="00FA0E7D"/>
    <w:rsid w:val="00FA0F5E"/>
    <w:rsid w:val="00FA0F89"/>
    <w:rsid w:val="00FA10E0"/>
    <w:rsid w:val="00FA10E3"/>
    <w:rsid w:val="00FA11AD"/>
    <w:rsid w:val="00FA1435"/>
    <w:rsid w:val="00FA167F"/>
    <w:rsid w:val="00FA16A4"/>
    <w:rsid w:val="00FA181D"/>
    <w:rsid w:val="00FA1AE7"/>
    <w:rsid w:val="00FA1BDC"/>
    <w:rsid w:val="00FA1C17"/>
    <w:rsid w:val="00FA21E6"/>
    <w:rsid w:val="00FA2439"/>
    <w:rsid w:val="00FA2B1E"/>
    <w:rsid w:val="00FA2EC7"/>
    <w:rsid w:val="00FA2F84"/>
    <w:rsid w:val="00FA31F3"/>
    <w:rsid w:val="00FA33CD"/>
    <w:rsid w:val="00FA3799"/>
    <w:rsid w:val="00FA3A31"/>
    <w:rsid w:val="00FA3B69"/>
    <w:rsid w:val="00FA3EFF"/>
    <w:rsid w:val="00FA43A1"/>
    <w:rsid w:val="00FA4A51"/>
    <w:rsid w:val="00FA4BD8"/>
    <w:rsid w:val="00FA4C8F"/>
    <w:rsid w:val="00FA4FA9"/>
    <w:rsid w:val="00FA4FF9"/>
    <w:rsid w:val="00FA5316"/>
    <w:rsid w:val="00FA585A"/>
    <w:rsid w:val="00FA59E4"/>
    <w:rsid w:val="00FA5BD1"/>
    <w:rsid w:val="00FA5EAE"/>
    <w:rsid w:val="00FA5F30"/>
    <w:rsid w:val="00FA5F76"/>
    <w:rsid w:val="00FA60B0"/>
    <w:rsid w:val="00FA60CF"/>
    <w:rsid w:val="00FA6693"/>
    <w:rsid w:val="00FA66A9"/>
    <w:rsid w:val="00FA6738"/>
    <w:rsid w:val="00FA67EE"/>
    <w:rsid w:val="00FA6A53"/>
    <w:rsid w:val="00FA6F2B"/>
    <w:rsid w:val="00FA7027"/>
    <w:rsid w:val="00FA70AD"/>
    <w:rsid w:val="00FA7368"/>
    <w:rsid w:val="00FA758B"/>
    <w:rsid w:val="00FA77C1"/>
    <w:rsid w:val="00FA7B88"/>
    <w:rsid w:val="00FA7BFE"/>
    <w:rsid w:val="00FB03AE"/>
    <w:rsid w:val="00FB043F"/>
    <w:rsid w:val="00FB0977"/>
    <w:rsid w:val="00FB0AAC"/>
    <w:rsid w:val="00FB0AD7"/>
    <w:rsid w:val="00FB0D0F"/>
    <w:rsid w:val="00FB0D24"/>
    <w:rsid w:val="00FB0DE2"/>
    <w:rsid w:val="00FB0EB8"/>
    <w:rsid w:val="00FB13F7"/>
    <w:rsid w:val="00FB1C4E"/>
    <w:rsid w:val="00FB1DB6"/>
    <w:rsid w:val="00FB1FF7"/>
    <w:rsid w:val="00FB241E"/>
    <w:rsid w:val="00FB2702"/>
    <w:rsid w:val="00FB2857"/>
    <w:rsid w:val="00FB28D8"/>
    <w:rsid w:val="00FB2A1D"/>
    <w:rsid w:val="00FB2B20"/>
    <w:rsid w:val="00FB2CA5"/>
    <w:rsid w:val="00FB2D5B"/>
    <w:rsid w:val="00FB2DDE"/>
    <w:rsid w:val="00FB2F59"/>
    <w:rsid w:val="00FB30CB"/>
    <w:rsid w:val="00FB31DF"/>
    <w:rsid w:val="00FB32EA"/>
    <w:rsid w:val="00FB339E"/>
    <w:rsid w:val="00FB3700"/>
    <w:rsid w:val="00FB3949"/>
    <w:rsid w:val="00FB3969"/>
    <w:rsid w:val="00FB39C4"/>
    <w:rsid w:val="00FB3DAB"/>
    <w:rsid w:val="00FB459D"/>
    <w:rsid w:val="00FB45D1"/>
    <w:rsid w:val="00FB45E1"/>
    <w:rsid w:val="00FB483F"/>
    <w:rsid w:val="00FB4B71"/>
    <w:rsid w:val="00FB4D57"/>
    <w:rsid w:val="00FB4EFF"/>
    <w:rsid w:val="00FB53E6"/>
    <w:rsid w:val="00FB541C"/>
    <w:rsid w:val="00FB5547"/>
    <w:rsid w:val="00FB5B49"/>
    <w:rsid w:val="00FB5DAA"/>
    <w:rsid w:val="00FB5E9F"/>
    <w:rsid w:val="00FB6027"/>
    <w:rsid w:val="00FB64C6"/>
    <w:rsid w:val="00FB6FB6"/>
    <w:rsid w:val="00FB7166"/>
    <w:rsid w:val="00FB74E9"/>
    <w:rsid w:val="00FB76D8"/>
    <w:rsid w:val="00FB7A79"/>
    <w:rsid w:val="00FB7B71"/>
    <w:rsid w:val="00FB7DB4"/>
    <w:rsid w:val="00FB7F0F"/>
    <w:rsid w:val="00FB7F81"/>
    <w:rsid w:val="00FC00C0"/>
    <w:rsid w:val="00FC0946"/>
    <w:rsid w:val="00FC0AC4"/>
    <w:rsid w:val="00FC0C50"/>
    <w:rsid w:val="00FC0EC3"/>
    <w:rsid w:val="00FC12EA"/>
    <w:rsid w:val="00FC208B"/>
    <w:rsid w:val="00FC21B3"/>
    <w:rsid w:val="00FC23CA"/>
    <w:rsid w:val="00FC2749"/>
    <w:rsid w:val="00FC27B0"/>
    <w:rsid w:val="00FC28EB"/>
    <w:rsid w:val="00FC2AA3"/>
    <w:rsid w:val="00FC2D21"/>
    <w:rsid w:val="00FC2DBD"/>
    <w:rsid w:val="00FC3A47"/>
    <w:rsid w:val="00FC3A68"/>
    <w:rsid w:val="00FC4334"/>
    <w:rsid w:val="00FC4577"/>
    <w:rsid w:val="00FC4953"/>
    <w:rsid w:val="00FC4A68"/>
    <w:rsid w:val="00FC4B7A"/>
    <w:rsid w:val="00FC4E77"/>
    <w:rsid w:val="00FC4FE4"/>
    <w:rsid w:val="00FC5059"/>
    <w:rsid w:val="00FC543A"/>
    <w:rsid w:val="00FC548B"/>
    <w:rsid w:val="00FC567B"/>
    <w:rsid w:val="00FC594D"/>
    <w:rsid w:val="00FC5EAC"/>
    <w:rsid w:val="00FC5EF4"/>
    <w:rsid w:val="00FC5F02"/>
    <w:rsid w:val="00FC5F1D"/>
    <w:rsid w:val="00FC5FE8"/>
    <w:rsid w:val="00FC6B7C"/>
    <w:rsid w:val="00FC6F56"/>
    <w:rsid w:val="00FC71F2"/>
    <w:rsid w:val="00FC73A0"/>
    <w:rsid w:val="00FC76FB"/>
    <w:rsid w:val="00FC7847"/>
    <w:rsid w:val="00FC784D"/>
    <w:rsid w:val="00FC7886"/>
    <w:rsid w:val="00FC799B"/>
    <w:rsid w:val="00FC7ADE"/>
    <w:rsid w:val="00FC7AF9"/>
    <w:rsid w:val="00FD0974"/>
    <w:rsid w:val="00FD09DF"/>
    <w:rsid w:val="00FD0F26"/>
    <w:rsid w:val="00FD1159"/>
    <w:rsid w:val="00FD128D"/>
    <w:rsid w:val="00FD16E2"/>
    <w:rsid w:val="00FD1B04"/>
    <w:rsid w:val="00FD1B18"/>
    <w:rsid w:val="00FD1BCA"/>
    <w:rsid w:val="00FD1C99"/>
    <w:rsid w:val="00FD1FE4"/>
    <w:rsid w:val="00FD20E0"/>
    <w:rsid w:val="00FD2178"/>
    <w:rsid w:val="00FD25B5"/>
    <w:rsid w:val="00FD265B"/>
    <w:rsid w:val="00FD2781"/>
    <w:rsid w:val="00FD2946"/>
    <w:rsid w:val="00FD2D09"/>
    <w:rsid w:val="00FD2E61"/>
    <w:rsid w:val="00FD2FE3"/>
    <w:rsid w:val="00FD3532"/>
    <w:rsid w:val="00FD3825"/>
    <w:rsid w:val="00FD38BC"/>
    <w:rsid w:val="00FD3F3A"/>
    <w:rsid w:val="00FD40B2"/>
    <w:rsid w:val="00FD4915"/>
    <w:rsid w:val="00FD4974"/>
    <w:rsid w:val="00FD4D32"/>
    <w:rsid w:val="00FD4FBE"/>
    <w:rsid w:val="00FD54C6"/>
    <w:rsid w:val="00FD5700"/>
    <w:rsid w:val="00FD572D"/>
    <w:rsid w:val="00FD5863"/>
    <w:rsid w:val="00FD60A0"/>
    <w:rsid w:val="00FD633F"/>
    <w:rsid w:val="00FD6746"/>
    <w:rsid w:val="00FD6844"/>
    <w:rsid w:val="00FD6C4A"/>
    <w:rsid w:val="00FD6CAB"/>
    <w:rsid w:val="00FD6D81"/>
    <w:rsid w:val="00FD6E56"/>
    <w:rsid w:val="00FD7292"/>
    <w:rsid w:val="00FD77D1"/>
    <w:rsid w:val="00FD7889"/>
    <w:rsid w:val="00FD7A63"/>
    <w:rsid w:val="00FD7B32"/>
    <w:rsid w:val="00FD7FEC"/>
    <w:rsid w:val="00FE024B"/>
    <w:rsid w:val="00FE03B4"/>
    <w:rsid w:val="00FE06FD"/>
    <w:rsid w:val="00FE0EFF"/>
    <w:rsid w:val="00FE0F15"/>
    <w:rsid w:val="00FE188D"/>
    <w:rsid w:val="00FE1D94"/>
    <w:rsid w:val="00FE1EE8"/>
    <w:rsid w:val="00FE1EFF"/>
    <w:rsid w:val="00FE213B"/>
    <w:rsid w:val="00FE221E"/>
    <w:rsid w:val="00FE2889"/>
    <w:rsid w:val="00FE2A10"/>
    <w:rsid w:val="00FE2D4E"/>
    <w:rsid w:val="00FE3190"/>
    <w:rsid w:val="00FE31DD"/>
    <w:rsid w:val="00FE3492"/>
    <w:rsid w:val="00FE35DF"/>
    <w:rsid w:val="00FE3A30"/>
    <w:rsid w:val="00FE3CC5"/>
    <w:rsid w:val="00FE3D4C"/>
    <w:rsid w:val="00FE3E4B"/>
    <w:rsid w:val="00FE41A6"/>
    <w:rsid w:val="00FE41BA"/>
    <w:rsid w:val="00FE43C7"/>
    <w:rsid w:val="00FE45A0"/>
    <w:rsid w:val="00FE464A"/>
    <w:rsid w:val="00FE4733"/>
    <w:rsid w:val="00FE4B67"/>
    <w:rsid w:val="00FE4BD5"/>
    <w:rsid w:val="00FE4CE1"/>
    <w:rsid w:val="00FE4D27"/>
    <w:rsid w:val="00FE5A26"/>
    <w:rsid w:val="00FE5AD2"/>
    <w:rsid w:val="00FE5BD3"/>
    <w:rsid w:val="00FE61A5"/>
    <w:rsid w:val="00FE65AC"/>
    <w:rsid w:val="00FE6D8D"/>
    <w:rsid w:val="00FE716A"/>
    <w:rsid w:val="00FE7224"/>
    <w:rsid w:val="00FE7349"/>
    <w:rsid w:val="00FE76CE"/>
    <w:rsid w:val="00FE7A8B"/>
    <w:rsid w:val="00FE7F8F"/>
    <w:rsid w:val="00FF01C8"/>
    <w:rsid w:val="00FF0363"/>
    <w:rsid w:val="00FF0364"/>
    <w:rsid w:val="00FF0CF4"/>
    <w:rsid w:val="00FF114A"/>
    <w:rsid w:val="00FF11DE"/>
    <w:rsid w:val="00FF1631"/>
    <w:rsid w:val="00FF1CC2"/>
    <w:rsid w:val="00FF1E2C"/>
    <w:rsid w:val="00FF2159"/>
    <w:rsid w:val="00FF2294"/>
    <w:rsid w:val="00FF25BC"/>
    <w:rsid w:val="00FF2A22"/>
    <w:rsid w:val="00FF2BCE"/>
    <w:rsid w:val="00FF2CE8"/>
    <w:rsid w:val="00FF2D56"/>
    <w:rsid w:val="00FF2E1E"/>
    <w:rsid w:val="00FF3006"/>
    <w:rsid w:val="00FF34F4"/>
    <w:rsid w:val="00FF371B"/>
    <w:rsid w:val="00FF383E"/>
    <w:rsid w:val="00FF3B80"/>
    <w:rsid w:val="00FF401A"/>
    <w:rsid w:val="00FF426E"/>
    <w:rsid w:val="00FF433C"/>
    <w:rsid w:val="00FF4BED"/>
    <w:rsid w:val="00FF4D0D"/>
    <w:rsid w:val="00FF4D21"/>
    <w:rsid w:val="00FF4EEF"/>
    <w:rsid w:val="00FF4EF5"/>
    <w:rsid w:val="00FF553F"/>
    <w:rsid w:val="00FF5863"/>
    <w:rsid w:val="00FF5B31"/>
    <w:rsid w:val="00FF5BA7"/>
    <w:rsid w:val="00FF5BF3"/>
    <w:rsid w:val="00FF5DA9"/>
    <w:rsid w:val="00FF5DFB"/>
    <w:rsid w:val="00FF5E9E"/>
    <w:rsid w:val="00FF5ED1"/>
    <w:rsid w:val="00FF5EDC"/>
    <w:rsid w:val="00FF5F2E"/>
    <w:rsid w:val="00FF61AB"/>
    <w:rsid w:val="00FF61F5"/>
    <w:rsid w:val="00FF6489"/>
    <w:rsid w:val="00FF649C"/>
    <w:rsid w:val="00FF67CF"/>
    <w:rsid w:val="00FF68FB"/>
    <w:rsid w:val="00FF69E7"/>
    <w:rsid w:val="00FF70EB"/>
    <w:rsid w:val="00FF75A9"/>
    <w:rsid w:val="00FF784B"/>
    <w:rsid w:val="00FF7906"/>
    <w:rsid w:val="00FF7AA1"/>
    <w:rsid w:val="00FF7F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8ECD32"/>
  <w15:docId w15:val="{5E061F8A-D690-4629-8609-3E0EAF34D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99" w:unhideWhenUsed="1"/>
    <w:lsdException w:name="annotation text" w:locked="1" w:semiHidden="1" w:unhideWhenUsed="1"/>
    <w:lsdException w:name="header" w:locked="1" w:semiHidden="1" w:uiPriority="99"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99"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qFormat="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0BDB"/>
    <w:pPr>
      <w:spacing w:before="60" w:after="240"/>
    </w:pPr>
    <w:rPr>
      <w:rFonts w:asciiTheme="minorHAnsi" w:hAnsiTheme="minorHAnsi"/>
      <w:sz w:val="22"/>
    </w:rPr>
  </w:style>
  <w:style w:type="paragraph" w:styleId="Heading1">
    <w:name w:val="heading 1"/>
    <w:basedOn w:val="Normal"/>
    <w:next w:val="Normal"/>
    <w:link w:val="Heading1Char"/>
    <w:autoRedefine/>
    <w:qFormat/>
    <w:rsid w:val="00563670"/>
    <w:pPr>
      <w:keepNext/>
      <w:tabs>
        <w:tab w:val="left" w:pos="6301"/>
      </w:tabs>
      <w:spacing w:after="60"/>
      <w:jc w:val="right"/>
      <w:outlineLvl w:val="0"/>
    </w:pPr>
    <w:rPr>
      <w:rFonts w:cs="Arial"/>
      <w:b/>
      <w:caps/>
      <w:color w:val="000000" w:themeColor="text1"/>
      <w:sz w:val="24"/>
      <w:szCs w:val="28"/>
    </w:rPr>
  </w:style>
  <w:style w:type="paragraph" w:styleId="Heading2">
    <w:name w:val="heading 2"/>
    <w:basedOn w:val="BodyText"/>
    <w:next w:val="Normal"/>
    <w:link w:val="Heading2Char"/>
    <w:autoRedefine/>
    <w:qFormat/>
    <w:rsid w:val="00821C6B"/>
    <w:pPr>
      <w:shd w:val="clear" w:color="auto" w:fill="365F91" w:themeFill="accent1" w:themeFillShade="BF"/>
      <w:spacing w:after="60"/>
      <w:jc w:val="center"/>
      <w:outlineLvl w:val="1"/>
    </w:pPr>
    <w:rPr>
      <w:b/>
      <w:color w:val="FFFFFF" w:themeColor="background1"/>
      <w:sz w:val="28"/>
      <w:szCs w:val="28"/>
    </w:rPr>
  </w:style>
  <w:style w:type="paragraph" w:styleId="Heading3">
    <w:name w:val="heading 3"/>
    <w:basedOn w:val="Normal"/>
    <w:next w:val="Normal"/>
    <w:link w:val="Heading3Char"/>
    <w:autoRedefine/>
    <w:qFormat/>
    <w:rsid w:val="00821C6B"/>
    <w:pPr>
      <w:keepNext/>
      <w:shd w:val="clear" w:color="auto" w:fill="FFFFFF" w:themeFill="background1"/>
      <w:spacing w:before="120" w:after="120"/>
      <w:ind w:right="142"/>
      <w:outlineLvl w:val="2"/>
    </w:pPr>
    <w:rPr>
      <w:rFonts w:cs="Arial"/>
      <w:b/>
      <w:i/>
      <w:sz w:val="24"/>
      <w:szCs w:val="24"/>
      <w:lang w:eastAsia="en-US"/>
    </w:rPr>
  </w:style>
  <w:style w:type="paragraph" w:styleId="Heading4">
    <w:name w:val="heading 4"/>
    <w:basedOn w:val="Normal"/>
    <w:next w:val="Normal"/>
    <w:link w:val="Heading4Char"/>
    <w:autoRedefine/>
    <w:qFormat/>
    <w:locked/>
    <w:rsid w:val="008E1A3E"/>
    <w:pPr>
      <w:keepNext/>
      <w:shd w:val="clear" w:color="auto" w:fill="2846A4"/>
      <w:spacing w:after="60"/>
      <w:outlineLvl w:val="3"/>
    </w:pPr>
    <w:rPr>
      <w:rFonts w:cstheme="minorHAnsi"/>
      <w:b/>
      <w:color w:val="FFFFFF" w:themeColor="background1"/>
      <w:sz w:val="24"/>
      <w:szCs w:val="22"/>
    </w:rPr>
  </w:style>
  <w:style w:type="paragraph" w:styleId="Heading5">
    <w:name w:val="heading 5"/>
    <w:aliases w:val="Figure heading"/>
    <w:basedOn w:val="Normal"/>
    <w:next w:val="Normal"/>
    <w:link w:val="Heading5Char"/>
    <w:autoRedefine/>
    <w:locked/>
    <w:rsid w:val="00CA6204"/>
    <w:pPr>
      <w:keepNext/>
      <w:ind w:left="1134" w:right="284" w:hanging="1134"/>
      <w:outlineLvl w:val="4"/>
    </w:pPr>
    <w:rPr>
      <w:rFonts w:cs="Arial"/>
      <w:b/>
    </w:rPr>
  </w:style>
  <w:style w:type="paragraph" w:styleId="Heading6">
    <w:name w:val="heading 6"/>
    <w:basedOn w:val="Heading5"/>
    <w:next w:val="Normal"/>
    <w:link w:val="Heading6Char"/>
    <w:autoRedefine/>
    <w:qFormat/>
    <w:locked/>
    <w:rsid w:val="00407769"/>
    <w:pPr>
      <w:spacing w:before="120"/>
      <w:outlineLvl w:val="5"/>
    </w:pPr>
    <w:rPr>
      <w:rFonts w:cstheme="minorHAnsi"/>
      <w:bCs/>
    </w:rPr>
  </w:style>
  <w:style w:type="paragraph" w:styleId="Heading7">
    <w:name w:val="heading 7"/>
    <w:aliases w:val="Footnote"/>
    <w:basedOn w:val="Normal"/>
    <w:next w:val="Normal"/>
    <w:link w:val="Heading7Char1"/>
    <w:autoRedefine/>
    <w:qFormat/>
    <w:locked/>
    <w:rsid w:val="00BB621C"/>
    <w:pPr>
      <w:ind w:left="709" w:hanging="709"/>
      <w:jc w:val="right"/>
      <w:outlineLvl w:val="6"/>
    </w:pPr>
    <w:rPr>
      <w:rFonts w:cs="Arial"/>
      <w:sz w:val="16"/>
      <w:szCs w:val="16"/>
    </w:rPr>
  </w:style>
  <w:style w:type="paragraph" w:styleId="Heading8">
    <w:name w:val="heading 8"/>
    <w:basedOn w:val="BodyText"/>
    <w:next w:val="Normal"/>
    <w:link w:val="Heading8Char"/>
    <w:autoRedefine/>
    <w:qFormat/>
    <w:locked/>
    <w:rsid w:val="00B04268"/>
    <w:pPr>
      <w:keepNext/>
      <w:numPr>
        <w:numId w:val="2"/>
      </w:numPr>
      <w:ind w:left="284" w:hanging="284"/>
      <w:outlineLvl w:val="7"/>
    </w:pPr>
    <w:rPr>
      <w:b/>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563670"/>
    <w:rPr>
      <w:rFonts w:asciiTheme="minorHAnsi" w:hAnsiTheme="minorHAnsi" w:cs="Arial"/>
      <w:b/>
      <w:caps/>
      <w:color w:val="000000" w:themeColor="text1"/>
      <w:sz w:val="24"/>
      <w:szCs w:val="28"/>
    </w:rPr>
  </w:style>
  <w:style w:type="paragraph" w:styleId="BodyText">
    <w:name w:val="Body Text"/>
    <w:basedOn w:val="Normal"/>
    <w:link w:val="BodyTextChar"/>
    <w:rsid w:val="000D5252"/>
    <w:pPr>
      <w:autoSpaceDE w:val="0"/>
      <w:autoSpaceDN w:val="0"/>
      <w:adjustRightInd w:val="0"/>
    </w:pPr>
    <w:rPr>
      <w:rFonts w:cs="Arial"/>
      <w:szCs w:val="22"/>
      <w:lang w:eastAsia="en-US"/>
    </w:rPr>
  </w:style>
  <w:style w:type="character" w:customStyle="1" w:styleId="BodyTextChar">
    <w:name w:val="Body Text Char"/>
    <w:link w:val="BodyText"/>
    <w:locked/>
    <w:rsid w:val="00DB5BA2"/>
    <w:rPr>
      <w:rFonts w:cs="Times New Roman"/>
      <w:sz w:val="20"/>
      <w:szCs w:val="20"/>
      <w:lang w:val="en-AU" w:eastAsia="en-AU"/>
    </w:rPr>
  </w:style>
  <w:style w:type="character" w:customStyle="1" w:styleId="Heading2Char">
    <w:name w:val="Heading 2 Char"/>
    <w:link w:val="Heading2"/>
    <w:locked/>
    <w:rsid w:val="00821C6B"/>
    <w:rPr>
      <w:rFonts w:asciiTheme="minorHAnsi" w:hAnsiTheme="minorHAnsi" w:cs="Arial"/>
      <w:b/>
      <w:color w:val="FFFFFF" w:themeColor="background1"/>
      <w:sz w:val="28"/>
      <w:szCs w:val="28"/>
      <w:shd w:val="clear" w:color="auto" w:fill="365F91" w:themeFill="accent1" w:themeFillShade="BF"/>
      <w:lang w:eastAsia="en-US"/>
    </w:rPr>
  </w:style>
  <w:style w:type="character" w:customStyle="1" w:styleId="Heading3Char">
    <w:name w:val="Heading 3 Char"/>
    <w:link w:val="Heading3"/>
    <w:locked/>
    <w:rsid w:val="00821C6B"/>
    <w:rPr>
      <w:rFonts w:asciiTheme="minorHAnsi" w:hAnsiTheme="minorHAnsi" w:cs="Arial"/>
      <w:b/>
      <w:i/>
      <w:sz w:val="24"/>
      <w:szCs w:val="24"/>
      <w:shd w:val="clear" w:color="auto" w:fill="FFFFFF" w:themeFill="background1"/>
      <w:lang w:eastAsia="en-US"/>
    </w:rPr>
  </w:style>
  <w:style w:type="character" w:customStyle="1" w:styleId="Heading4Char">
    <w:name w:val="Heading 4 Char"/>
    <w:link w:val="Heading4"/>
    <w:locked/>
    <w:rsid w:val="008E1A3E"/>
    <w:rPr>
      <w:rFonts w:asciiTheme="minorHAnsi" w:hAnsiTheme="minorHAnsi" w:cstheme="minorHAnsi"/>
      <w:b/>
      <w:color w:val="FFFFFF" w:themeColor="background1"/>
      <w:sz w:val="24"/>
      <w:szCs w:val="22"/>
      <w:shd w:val="clear" w:color="auto" w:fill="2846A4"/>
    </w:rPr>
  </w:style>
  <w:style w:type="character" w:customStyle="1" w:styleId="Heading5Char">
    <w:name w:val="Heading 5 Char"/>
    <w:aliases w:val="Figure heading Char"/>
    <w:link w:val="Heading5"/>
    <w:locked/>
    <w:rsid w:val="00CA6204"/>
    <w:rPr>
      <w:rFonts w:ascii="Arial" w:hAnsi="Arial" w:cs="Arial"/>
      <w:b/>
    </w:rPr>
  </w:style>
  <w:style w:type="character" w:customStyle="1" w:styleId="Heading6Char">
    <w:name w:val="Heading 6 Char"/>
    <w:link w:val="Heading6"/>
    <w:locked/>
    <w:rsid w:val="00407769"/>
    <w:rPr>
      <w:rFonts w:asciiTheme="minorHAnsi" w:hAnsiTheme="minorHAnsi" w:cstheme="minorHAnsi"/>
      <w:b/>
      <w:bCs/>
      <w:sz w:val="22"/>
    </w:rPr>
  </w:style>
  <w:style w:type="character" w:customStyle="1" w:styleId="Heading7Char1">
    <w:name w:val="Heading 7 Char1"/>
    <w:aliases w:val="Footnote Char1"/>
    <w:link w:val="Heading7"/>
    <w:locked/>
    <w:rsid w:val="00BB621C"/>
    <w:rPr>
      <w:rFonts w:asciiTheme="minorHAnsi" w:hAnsiTheme="minorHAnsi" w:cs="Arial"/>
      <w:sz w:val="16"/>
      <w:szCs w:val="16"/>
    </w:rPr>
  </w:style>
  <w:style w:type="character" w:customStyle="1" w:styleId="Heading8Char">
    <w:name w:val="Heading 8 Char"/>
    <w:link w:val="Heading8"/>
    <w:locked/>
    <w:rsid w:val="00B04268"/>
    <w:rPr>
      <w:rFonts w:asciiTheme="minorHAnsi" w:hAnsiTheme="minorHAnsi" w:cs="Arial"/>
      <w:b/>
      <w:szCs w:val="24"/>
      <w:lang w:eastAsia="en-US"/>
    </w:rPr>
  </w:style>
  <w:style w:type="character" w:customStyle="1" w:styleId="Heading7Char">
    <w:name w:val="Heading 7 Char"/>
    <w:aliases w:val="Footnote Char"/>
    <w:semiHidden/>
    <w:locked/>
    <w:rsid w:val="007A610D"/>
    <w:rPr>
      <w:rFonts w:ascii="Calibri" w:hAnsi="Calibri" w:cs="Times New Roman"/>
      <w:sz w:val="24"/>
      <w:szCs w:val="24"/>
      <w:lang w:val="en-AU" w:eastAsia="en-AU"/>
    </w:rPr>
  </w:style>
  <w:style w:type="paragraph" w:styleId="BalloonText">
    <w:name w:val="Balloon Text"/>
    <w:basedOn w:val="Normal"/>
    <w:link w:val="BalloonTextChar"/>
    <w:semiHidden/>
    <w:rsid w:val="00FE5AD2"/>
    <w:rPr>
      <w:rFonts w:ascii="Tahoma" w:hAnsi="Tahoma" w:cs="Tahoma"/>
      <w:sz w:val="16"/>
      <w:szCs w:val="16"/>
    </w:rPr>
  </w:style>
  <w:style w:type="character" w:customStyle="1" w:styleId="BalloonTextChar">
    <w:name w:val="Balloon Text Char"/>
    <w:link w:val="BalloonText"/>
    <w:semiHidden/>
    <w:locked/>
    <w:rsid w:val="00C21BDD"/>
    <w:rPr>
      <w:rFonts w:cs="Times New Roman"/>
      <w:sz w:val="2"/>
      <w:lang w:val="en-AU" w:eastAsia="en-AU"/>
    </w:rPr>
  </w:style>
  <w:style w:type="paragraph" w:customStyle="1" w:styleId="CharCharCharCharCharCharChar">
    <w:name w:val="Char Char Char Char Char Char Char"/>
    <w:basedOn w:val="Normal"/>
    <w:rsid w:val="00FE5AD2"/>
    <w:rPr>
      <w:rFonts w:cs="Arial"/>
      <w:color w:val="000000"/>
      <w:szCs w:val="22"/>
      <w:lang w:eastAsia="en-US"/>
    </w:rPr>
  </w:style>
  <w:style w:type="paragraph" w:styleId="TOC1">
    <w:name w:val="toc 1"/>
    <w:aliases w:val="TOC FluReport"/>
    <w:basedOn w:val="Normal"/>
    <w:next w:val="Heading3"/>
    <w:autoRedefine/>
    <w:semiHidden/>
    <w:rsid w:val="00FE5AD2"/>
    <w:rPr>
      <w:rFonts w:ascii="Calibri" w:hAnsi="Calibri"/>
      <w:b/>
    </w:rPr>
  </w:style>
  <w:style w:type="character" w:styleId="Hyperlink">
    <w:name w:val="Hyperlink"/>
    <w:aliases w:val="Hyperlink - small"/>
    <w:qFormat/>
    <w:rsid w:val="00BF046B"/>
    <w:rPr>
      <w:rFonts w:ascii="Arial" w:hAnsi="Arial" w:cs="Arial"/>
      <w:color w:val="0000FF"/>
      <w:sz w:val="18"/>
      <w:szCs w:val="22"/>
      <w:u w:val="single"/>
      <w:lang w:eastAsia="en-US"/>
    </w:rPr>
  </w:style>
  <w:style w:type="paragraph" w:styleId="TOC2">
    <w:name w:val="toc 2"/>
    <w:basedOn w:val="Normal"/>
    <w:next w:val="Normal"/>
    <w:autoRedefine/>
    <w:semiHidden/>
    <w:rsid w:val="00FE5AD2"/>
    <w:pPr>
      <w:ind w:left="240"/>
    </w:pPr>
    <w:rPr>
      <w:rFonts w:ascii="Calibri" w:hAnsi="Calibri"/>
      <w:b/>
    </w:rPr>
  </w:style>
  <w:style w:type="paragraph" w:styleId="TOC3">
    <w:name w:val="toc 3"/>
    <w:basedOn w:val="Normal"/>
    <w:next w:val="Normal"/>
    <w:autoRedefine/>
    <w:semiHidden/>
    <w:rsid w:val="00FE5AD2"/>
    <w:pPr>
      <w:ind w:left="480"/>
    </w:pPr>
    <w:rPr>
      <w:rFonts w:ascii="Calibri" w:hAnsi="Calibri"/>
    </w:rPr>
  </w:style>
  <w:style w:type="paragraph" w:styleId="Footer">
    <w:name w:val="footer"/>
    <w:basedOn w:val="Normal"/>
    <w:link w:val="FooterChar"/>
    <w:rsid w:val="00FE5AD2"/>
    <w:pPr>
      <w:tabs>
        <w:tab w:val="center" w:pos="4153"/>
        <w:tab w:val="right" w:pos="8306"/>
      </w:tabs>
    </w:pPr>
  </w:style>
  <w:style w:type="character" w:customStyle="1" w:styleId="FooterChar">
    <w:name w:val="Footer Char"/>
    <w:link w:val="Footer"/>
    <w:locked/>
    <w:rsid w:val="00C21BDD"/>
    <w:rPr>
      <w:rFonts w:cs="Times New Roman"/>
      <w:sz w:val="24"/>
      <w:lang w:val="en-AU" w:eastAsia="en-AU"/>
    </w:rPr>
  </w:style>
  <w:style w:type="character" w:styleId="PageNumber">
    <w:name w:val="page number"/>
    <w:rsid w:val="00FE5AD2"/>
    <w:rPr>
      <w:rFonts w:ascii="Arial" w:hAnsi="Arial" w:cs="Arial"/>
      <w:sz w:val="22"/>
      <w:szCs w:val="22"/>
      <w:lang w:val="en-AU" w:eastAsia="en-US" w:bidi="ar-SA"/>
    </w:rPr>
  </w:style>
  <w:style w:type="paragraph" w:styleId="Header">
    <w:name w:val="header"/>
    <w:basedOn w:val="Normal"/>
    <w:link w:val="HeaderChar"/>
    <w:uiPriority w:val="99"/>
    <w:rsid w:val="00FE5AD2"/>
    <w:pPr>
      <w:tabs>
        <w:tab w:val="center" w:pos="4153"/>
        <w:tab w:val="right" w:pos="8306"/>
      </w:tabs>
    </w:pPr>
  </w:style>
  <w:style w:type="character" w:customStyle="1" w:styleId="HeaderChar">
    <w:name w:val="Header Char"/>
    <w:link w:val="Header"/>
    <w:uiPriority w:val="99"/>
    <w:locked/>
    <w:rsid w:val="00C21BDD"/>
    <w:rPr>
      <w:rFonts w:cs="Times New Roman"/>
      <w:sz w:val="24"/>
      <w:lang w:val="en-AU" w:eastAsia="en-AU"/>
    </w:rPr>
  </w:style>
  <w:style w:type="table" w:styleId="TableGrid">
    <w:name w:val="Table Grid"/>
    <w:basedOn w:val="TableNormal"/>
    <w:rsid w:val="00FE5AD2"/>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276070"/>
    <w:pPr>
      <w:keepNext/>
      <w:spacing w:before="120"/>
    </w:pPr>
    <w:rPr>
      <w:b/>
      <w:bCs/>
    </w:rPr>
  </w:style>
  <w:style w:type="paragraph" w:styleId="EndnoteText">
    <w:name w:val="endnote text"/>
    <w:basedOn w:val="Normal"/>
    <w:link w:val="EndnoteTextChar"/>
    <w:semiHidden/>
    <w:rsid w:val="00FC5FE8"/>
    <w:pPr>
      <w:tabs>
        <w:tab w:val="left" w:pos="340"/>
      </w:tabs>
      <w:spacing w:after="120"/>
      <w:ind w:left="340" w:hanging="340"/>
    </w:pPr>
  </w:style>
  <w:style w:type="character" w:customStyle="1" w:styleId="EndnoteTextChar">
    <w:name w:val="Endnote Text Char"/>
    <w:link w:val="EndnoteText"/>
    <w:semiHidden/>
    <w:locked/>
    <w:rsid w:val="00FC5FE8"/>
    <w:rPr>
      <w:rFonts w:ascii="Arial" w:hAnsi="Arial" w:cs="Arial"/>
      <w:sz w:val="22"/>
      <w:szCs w:val="22"/>
      <w:lang w:val="en-AU" w:eastAsia="en-AU" w:bidi="ar-SA"/>
    </w:rPr>
  </w:style>
  <w:style w:type="paragraph" w:styleId="TableofFigures">
    <w:name w:val="table of figures"/>
    <w:basedOn w:val="Normal"/>
    <w:next w:val="Normal"/>
    <w:semiHidden/>
    <w:rsid w:val="00287B54"/>
    <w:pPr>
      <w:jc w:val="center"/>
    </w:pPr>
    <w:rPr>
      <w:rFonts w:ascii="Calibri" w:hAnsi="Calibri"/>
    </w:rPr>
  </w:style>
  <w:style w:type="character" w:styleId="EndnoteReference">
    <w:name w:val="endnote reference"/>
    <w:semiHidden/>
    <w:rsid w:val="00CA0E79"/>
    <w:rPr>
      <w:rFonts w:ascii="Arial" w:hAnsi="Arial" w:cs="Arial"/>
      <w:sz w:val="22"/>
      <w:szCs w:val="22"/>
      <w:vertAlign w:val="baseline"/>
      <w:lang w:val="en-AU" w:eastAsia="en-US" w:bidi="ar-SA"/>
    </w:rPr>
  </w:style>
  <w:style w:type="paragraph" w:styleId="FootnoteText">
    <w:name w:val="footnote text"/>
    <w:basedOn w:val="Normal"/>
    <w:link w:val="FootnoteTextChar"/>
    <w:uiPriority w:val="99"/>
    <w:rsid w:val="00964800"/>
    <w:pPr>
      <w:spacing w:after="60"/>
    </w:pPr>
  </w:style>
  <w:style w:type="character" w:customStyle="1" w:styleId="FootnoteTextChar">
    <w:name w:val="Footnote Text Char"/>
    <w:link w:val="FootnoteText"/>
    <w:uiPriority w:val="99"/>
    <w:locked/>
    <w:rsid w:val="00964800"/>
    <w:rPr>
      <w:rFonts w:asciiTheme="minorHAnsi" w:hAnsiTheme="minorHAnsi"/>
      <w:sz w:val="22"/>
    </w:rPr>
  </w:style>
  <w:style w:type="character" w:styleId="FootnoteReference">
    <w:name w:val="footnote reference"/>
    <w:uiPriority w:val="99"/>
    <w:rsid w:val="00FE5AD2"/>
    <w:rPr>
      <w:rFonts w:ascii="Arial" w:hAnsi="Arial" w:cs="Arial"/>
      <w:sz w:val="22"/>
      <w:szCs w:val="22"/>
      <w:vertAlign w:val="superscript"/>
      <w:lang w:val="en-AU" w:eastAsia="en-US" w:bidi="ar-SA"/>
    </w:rPr>
  </w:style>
  <w:style w:type="character" w:styleId="FollowedHyperlink">
    <w:name w:val="FollowedHyperlink"/>
    <w:rsid w:val="00FE5AD2"/>
    <w:rPr>
      <w:rFonts w:ascii="Arial" w:hAnsi="Arial" w:cs="Arial"/>
      <w:color w:val="008080"/>
      <w:sz w:val="22"/>
      <w:szCs w:val="22"/>
      <w:u w:val="single"/>
      <w:lang w:val="en-AU" w:eastAsia="en-US" w:bidi="ar-SA"/>
    </w:rPr>
  </w:style>
  <w:style w:type="paragraph" w:styleId="TOC4">
    <w:name w:val="toc 4"/>
    <w:basedOn w:val="Normal"/>
    <w:next w:val="Normal"/>
    <w:autoRedefine/>
    <w:semiHidden/>
    <w:rsid w:val="00FE5AD2"/>
    <w:pPr>
      <w:ind w:left="720"/>
    </w:pPr>
    <w:rPr>
      <w:rFonts w:ascii="Calibri" w:hAnsi="Calibri"/>
    </w:rPr>
  </w:style>
  <w:style w:type="paragraph" w:customStyle="1" w:styleId="aligncenter1">
    <w:name w:val="aligncenter1"/>
    <w:basedOn w:val="Normal"/>
    <w:rsid w:val="00FE5AD2"/>
    <w:pPr>
      <w:spacing w:after="81"/>
      <w:jc w:val="center"/>
    </w:pPr>
    <w:rPr>
      <w:rFonts w:ascii="Verdana" w:hAnsi="Verdana"/>
      <w:color w:val="464646"/>
      <w:szCs w:val="24"/>
      <w:lang w:val="en-US" w:eastAsia="en-US"/>
    </w:rPr>
  </w:style>
  <w:style w:type="paragraph" w:styleId="NormalWeb">
    <w:name w:val="Normal (Web)"/>
    <w:basedOn w:val="Normal"/>
    <w:uiPriority w:val="99"/>
    <w:rsid w:val="00FE5AD2"/>
    <w:pPr>
      <w:spacing w:before="100" w:beforeAutospacing="1" w:after="100" w:afterAutospacing="1"/>
    </w:pPr>
    <w:rPr>
      <w:szCs w:val="24"/>
      <w:lang w:val="en-US" w:eastAsia="en-US"/>
    </w:rPr>
  </w:style>
  <w:style w:type="character" w:customStyle="1" w:styleId="normalchar">
    <w:name w:val="normal_char"/>
    <w:rsid w:val="00FE5AD2"/>
    <w:rPr>
      <w:rFonts w:ascii="Arial" w:hAnsi="Arial" w:cs="Arial"/>
      <w:color w:val="auto"/>
      <w:sz w:val="22"/>
      <w:szCs w:val="22"/>
      <w:lang w:val="en-AU" w:eastAsia="en-US" w:bidi="ar-SA"/>
    </w:rPr>
  </w:style>
  <w:style w:type="character" w:customStyle="1" w:styleId="titre1">
    <w:name w:val="titre1"/>
    <w:rsid w:val="00FE5AD2"/>
    <w:rPr>
      <w:rFonts w:ascii="Arial" w:hAnsi="Arial" w:cs="Arial"/>
      <w:b/>
      <w:bCs/>
      <w:color w:val="9E0B0E"/>
      <w:sz w:val="23"/>
      <w:szCs w:val="23"/>
      <w:lang w:val="en-AU" w:eastAsia="en-US" w:bidi="ar-SA"/>
    </w:rPr>
  </w:style>
  <w:style w:type="paragraph" w:customStyle="1" w:styleId="CharCharChar">
    <w:name w:val="Char Char Char"/>
    <w:basedOn w:val="Normal"/>
    <w:rsid w:val="00FE5AD2"/>
    <w:rPr>
      <w:rFonts w:cs="Arial"/>
      <w:szCs w:val="22"/>
      <w:lang w:eastAsia="en-US"/>
    </w:rPr>
  </w:style>
  <w:style w:type="character" w:styleId="CommentReference">
    <w:name w:val="annotation reference"/>
    <w:semiHidden/>
    <w:rsid w:val="00FE5AD2"/>
    <w:rPr>
      <w:rFonts w:ascii="Arial" w:hAnsi="Arial" w:cs="Arial"/>
      <w:sz w:val="16"/>
      <w:szCs w:val="16"/>
      <w:lang w:val="en-AU" w:eastAsia="en-US" w:bidi="ar-SA"/>
    </w:rPr>
  </w:style>
  <w:style w:type="paragraph" w:styleId="CommentText">
    <w:name w:val="annotation text"/>
    <w:basedOn w:val="Normal"/>
    <w:link w:val="CommentTextChar"/>
    <w:semiHidden/>
    <w:rsid w:val="00FE5AD2"/>
  </w:style>
  <w:style w:type="character" w:customStyle="1" w:styleId="CommentTextChar">
    <w:name w:val="Comment Text Char"/>
    <w:link w:val="CommentText"/>
    <w:semiHidden/>
    <w:locked/>
    <w:rsid w:val="00C21BDD"/>
    <w:rPr>
      <w:rFonts w:cs="Times New Roman"/>
      <w:lang w:val="en-AU" w:eastAsia="en-AU"/>
    </w:rPr>
  </w:style>
  <w:style w:type="paragraph" w:styleId="CommentSubject">
    <w:name w:val="annotation subject"/>
    <w:basedOn w:val="CommentText"/>
    <w:next w:val="CommentText"/>
    <w:link w:val="CommentSubjectChar"/>
    <w:semiHidden/>
    <w:rsid w:val="00FE5AD2"/>
    <w:rPr>
      <w:b/>
      <w:bCs/>
    </w:rPr>
  </w:style>
  <w:style w:type="character" w:customStyle="1" w:styleId="CommentSubjectChar">
    <w:name w:val="Comment Subject Char"/>
    <w:link w:val="CommentSubject"/>
    <w:semiHidden/>
    <w:locked/>
    <w:rsid w:val="00C21BDD"/>
    <w:rPr>
      <w:rFonts w:cs="Times New Roman"/>
      <w:b/>
      <w:bCs/>
      <w:lang w:val="en-AU" w:eastAsia="en-AU"/>
    </w:rPr>
  </w:style>
  <w:style w:type="paragraph" w:styleId="BodyText2">
    <w:name w:val="Body Text 2"/>
    <w:basedOn w:val="Normal"/>
    <w:link w:val="BodyText2Char"/>
    <w:rsid w:val="00FE5AD2"/>
    <w:pPr>
      <w:spacing w:after="120" w:line="480" w:lineRule="auto"/>
    </w:pPr>
    <w:rPr>
      <w:szCs w:val="24"/>
    </w:rPr>
  </w:style>
  <w:style w:type="character" w:customStyle="1" w:styleId="BodyText2Char">
    <w:name w:val="Body Text 2 Char"/>
    <w:link w:val="BodyText2"/>
    <w:locked/>
    <w:rsid w:val="00C21BDD"/>
    <w:rPr>
      <w:rFonts w:cs="Times New Roman"/>
      <w:sz w:val="24"/>
      <w:lang w:val="en-AU" w:eastAsia="en-AU"/>
    </w:rPr>
  </w:style>
  <w:style w:type="paragraph" w:customStyle="1" w:styleId="DefaultParagraphFontPara">
    <w:name w:val="Default Paragraph Font Para"/>
    <w:basedOn w:val="Normal"/>
    <w:rsid w:val="003D29F6"/>
    <w:pPr>
      <w:spacing w:after="60"/>
    </w:pPr>
    <w:rPr>
      <w:rFonts w:cs="Arial"/>
      <w:szCs w:val="22"/>
      <w:lang w:eastAsia="en-US"/>
    </w:rPr>
  </w:style>
  <w:style w:type="paragraph" w:customStyle="1" w:styleId="CharCharChar1Char">
    <w:name w:val="Char Char Char1 Char"/>
    <w:basedOn w:val="Normal"/>
    <w:rsid w:val="00395753"/>
    <w:rPr>
      <w:rFonts w:cs="Arial"/>
      <w:szCs w:val="22"/>
      <w:lang w:eastAsia="en-US"/>
    </w:rPr>
  </w:style>
  <w:style w:type="paragraph" w:customStyle="1" w:styleId="Char">
    <w:name w:val="Char"/>
    <w:basedOn w:val="Normal"/>
    <w:rsid w:val="004A3CCA"/>
    <w:rPr>
      <w:lang w:eastAsia="en-US"/>
    </w:rPr>
  </w:style>
  <w:style w:type="paragraph" w:customStyle="1" w:styleId="body">
    <w:name w:val="body"/>
    <w:basedOn w:val="Normal"/>
    <w:rsid w:val="006E24C6"/>
    <w:pPr>
      <w:spacing w:before="100" w:beforeAutospacing="1" w:after="100" w:afterAutospacing="1" w:line="312" w:lineRule="auto"/>
    </w:pPr>
    <w:rPr>
      <w:rFonts w:ascii="Verdana" w:hAnsi="Verdana"/>
      <w:color w:val="000000"/>
      <w:lang w:val="en-US" w:eastAsia="en-US"/>
    </w:rPr>
  </w:style>
  <w:style w:type="paragraph" w:styleId="Title">
    <w:name w:val="Title"/>
    <w:basedOn w:val="Normal"/>
    <w:link w:val="TitleChar"/>
    <w:qFormat/>
    <w:rsid w:val="004A29F1"/>
    <w:pPr>
      <w:jc w:val="center"/>
    </w:pPr>
    <w:rPr>
      <w:b/>
      <w:lang w:eastAsia="en-US"/>
    </w:rPr>
  </w:style>
  <w:style w:type="character" w:customStyle="1" w:styleId="TitleChar">
    <w:name w:val="Title Char"/>
    <w:link w:val="Title"/>
    <w:locked/>
    <w:rsid w:val="00C21BDD"/>
    <w:rPr>
      <w:rFonts w:ascii="Cambria" w:hAnsi="Cambria" w:cs="Times New Roman"/>
      <w:b/>
      <w:bCs/>
      <w:kern w:val="28"/>
      <w:sz w:val="32"/>
      <w:szCs w:val="32"/>
      <w:lang w:val="en-AU" w:eastAsia="en-AU"/>
    </w:rPr>
  </w:style>
  <w:style w:type="paragraph" w:customStyle="1" w:styleId="Default">
    <w:name w:val="Default"/>
    <w:rsid w:val="00C00308"/>
    <w:pPr>
      <w:autoSpaceDE w:val="0"/>
      <w:autoSpaceDN w:val="0"/>
      <w:adjustRightInd w:val="0"/>
    </w:pPr>
    <w:rPr>
      <w:rFonts w:ascii="Arial" w:hAnsi="Arial" w:cs="Arial"/>
      <w:color w:val="000000"/>
      <w:sz w:val="24"/>
      <w:szCs w:val="24"/>
      <w:lang w:val="en-US" w:eastAsia="en-US"/>
    </w:rPr>
  </w:style>
  <w:style w:type="paragraph" w:styleId="DocumentMap">
    <w:name w:val="Document Map"/>
    <w:basedOn w:val="Normal"/>
    <w:link w:val="DocumentMapChar"/>
    <w:semiHidden/>
    <w:rsid w:val="00C513C4"/>
    <w:pPr>
      <w:shd w:val="clear" w:color="auto" w:fill="000080"/>
    </w:pPr>
    <w:rPr>
      <w:rFonts w:ascii="Tahoma" w:hAnsi="Tahoma" w:cs="Tahoma"/>
    </w:rPr>
  </w:style>
  <w:style w:type="character" w:customStyle="1" w:styleId="DocumentMapChar">
    <w:name w:val="Document Map Char"/>
    <w:link w:val="DocumentMap"/>
    <w:semiHidden/>
    <w:locked/>
    <w:rsid w:val="00C21BDD"/>
    <w:rPr>
      <w:rFonts w:cs="Times New Roman"/>
      <w:sz w:val="2"/>
      <w:lang w:val="en-AU" w:eastAsia="en-AU"/>
    </w:rPr>
  </w:style>
  <w:style w:type="paragraph" w:styleId="ListBullet">
    <w:name w:val="List Bullet"/>
    <w:basedOn w:val="Normal"/>
    <w:rsid w:val="000D5252"/>
    <w:pPr>
      <w:tabs>
        <w:tab w:val="num" w:pos="720"/>
      </w:tabs>
      <w:spacing w:after="60"/>
      <w:ind w:left="720" w:right="28" w:hanging="360"/>
    </w:pPr>
    <w:rPr>
      <w:rFonts w:cs="Arial"/>
      <w:szCs w:val="22"/>
    </w:rPr>
  </w:style>
  <w:style w:type="paragraph" w:styleId="ListBullet2">
    <w:name w:val="List Bullet 2"/>
    <w:basedOn w:val="Normal"/>
    <w:rsid w:val="000D5252"/>
    <w:pPr>
      <w:tabs>
        <w:tab w:val="left" w:pos="993"/>
        <w:tab w:val="num" w:pos="1800"/>
      </w:tabs>
      <w:spacing w:after="60"/>
      <w:ind w:left="1800" w:right="28" w:hanging="360"/>
    </w:pPr>
    <w:rPr>
      <w:rFonts w:cs="Arial"/>
      <w:szCs w:val="22"/>
    </w:rPr>
  </w:style>
  <w:style w:type="paragraph" w:styleId="ListBullet3">
    <w:name w:val="List Bullet 3"/>
    <w:basedOn w:val="Normal"/>
    <w:rsid w:val="000D5252"/>
    <w:pPr>
      <w:tabs>
        <w:tab w:val="left" w:pos="993"/>
        <w:tab w:val="num" w:pos="2040"/>
      </w:tabs>
      <w:spacing w:after="60"/>
      <w:ind w:left="2040" w:right="28" w:hanging="360"/>
    </w:pPr>
    <w:rPr>
      <w:rFonts w:cs="Arial"/>
      <w:szCs w:val="22"/>
    </w:rPr>
  </w:style>
  <w:style w:type="paragraph" w:styleId="ListContinue2">
    <w:name w:val="List Continue 2"/>
    <w:basedOn w:val="Normal"/>
    <w:locked/>
    <w:rsid w:val="00374C53"/>
    <w:pPr>
      <w:spacing w:after="120"/>
      <w:ind w:left="566"/>
    </w:pPr>
  </w:style>
  <w:style w:type="paragraph" w:styleId="HTMLPreformatted">
    <w:name w:val="HTML Preformatted"/>
    <w:basedOn w:val="Normal"/>
    <w:link w:val="HTMLPreformattedChar"/>
    <w:locked/>
    <w:rsid w:val="00240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lang w:eastAsia="en-US"/>
    </w:rPr>
  </w:style>
  <w:style w:type="paragraph" w:customStyle="1" w:styleId="CharCharCharCharCharCharCharCharCharCharCharCharCharChar">
    <w:name w:val="Char Char Char Char Char Char Char Char Char Char Char Char Char Char"/>
    <w:basedOn w:val="Normal"/>
    <w:rsid w:val="004D1F0A"/>
    <w:rPr>
      <w:rFonts w:cs="Arial"/>
      <w:szCs w:val="22"/>
      <w:lang w:eastAsia="en-US"/>
    </w:rPr>
  </w:style>
  <w:style w:type="character" w:styleId="Emphasis">
    <w:name w:val="Emphasis"/>
    <w:uiPriority w:val="20"/>
    <w:qFormat/>
    <w:locked/>
    <w:rsid w:val="006C4FDD"/>
    <w:rPr>
      <w:i/>
      <w:iCs/>
    </w:rPr>
  </w:style>
  <w:style w:type="paragraph" w:styleId="ListBullet4">
    <w:name w:val="List Bullet 4"/>
    <w:basedOn w:val="BodyText"/>
    <w:locked/>
    <w:rsid w:val="00931EF0"/>
    <w:pPr>
      <w:numPr>
        <w:numId w:val="1"/>
      </w:numPr>
    </w:pPr>
    <w:rPr>
      <w:color w:val="000000"/>
      <w:sz w:val="18"/>
      <w:szCs w:val="18"/>
    </w:rPr>
  </w:style>
  <w:style w:type="paragraph" w:styleId="Quote">
    <w:name w:val="Quote"/>
    <w:basedOn w:val="Normal"/>
    <w:next w:val="Normal"/>
    <w:link w:val="QuoteChar"/>
    <w:uiPriority w:val="29"/>
    <w:qFormat/>
    <w:rsid w:val="00DF6707"/>
    <w:rPr>
      <w:rFonts w:cs="Arial"/>
      <w:b/>
      <w:bCs/>
      <w:i/>
      <w:iCs/>
      <w:szCs w:val="22"/>
    </w:rPr>
  </w:style>
  <w:style w:type="character" w:customStyle="1" w:styleId="QuoteChar">
    <w:name w:val="Quote Char"/>
    <w:basedOn w:val="DefaultParagraphFont"/>
    <w:link w:val="Quote"/>
    <w:uiPriority w:val="29"/>
    <w:rsid w:val="00DF6707"/>
    <w:rPr>
      <w:rFonts w:ascii="Arial" w:hAnsi="Arial" w:cs="Arial"/>
      <w:b/>
      <w:bCs/>
      <w:i/>
      <w:iCs/>
      <w:sz w:val="22"/>
      <w:szCs w:val="22"/>
    </w:rPr>
  </w:style>
  <w:style w:type="paragraph" w:styleId="Salutation">
    <w:name w:val="Salutation"/>
    <w:aliases w:val="Notes"/>
    <w:basedOn w:val="BodyText"/>
    <w:next w:val="Normal"/>
    <w:link w:val="SalutationChar"/>
    <w:autoRedefine/>
    <w:qFormat/>
    <w:locked/>
    <w:rsid w:val="00C26EE2"/>
    <w:pPr>
      <w:jc w:val="both"/>
    </w:pPr>
    <w:rPr>
      <w:b/>
    </w:rPr>
  </w:style>
  <w:style w:type="character" w:customStyle="1" w:styleId="SalutationChar">
    <w:name w:val="Salutation Char"/>
    <w:aliases w:val="Notes Char"/>
    <w:basedOn w:val="DefaultParagraphFont"/>
    <w:link w:val="Salutation"/>
    <w:rsid w:val="00C26EE2"/>
    <w:rPr>
      <w:rFonts w:asciiTheme="minorHAnsi" w:hAnsiTheme="minorHAnsi" w:cs="Arial"/>
      <w:b/>
      <w:sz w:val="22"/>
      <w:szCs w:val="22"/>
      <w:lang w:eastAsia="en-US"/>
    </w:rPr>
  </w:style>
  <w:style w:type="paragraph" w:styleId="ListParagraph">
    <w:name w:val="List Paragraph"/>
    <w:aliases w:val="Bullet point,Bullet text,Bulleted Para,Bullets,CV text,Dot pt,F5 List Paragraph,FooterText,L,List Paragraph1,List Paragraph11,List Paragraph111,List Paragraph2,Medium Grid 1 - Accent 21,NFP GP Bulleted List,Recommendation,NAST Quote,列"/>
    <w:basedOn w:val="Normal"/>
    <w:link w:val="ListParagraphChar"/>
    <w:uiPriority w:val="34"/>
    <w:qFormat/>
    <w:rsid w:val="009C7B35"/>
    <w:pPr>
      <w:ind w:left="720"/>
      <w:contextualSpacing/>
    </w:pPr>
  </w:style>
  <w:style w:type="character" w:styleId="Strong">
    <w:name w:val="Strong"/>
    <w:basedOn w:val="DefaultParagraphFont"/>
    <w:uiPriority w:val="22"/>
    <w:qFormat/>
    <w:locked/>
    <w:rsid w:val="00AE47B3"/>
    <w:rPr>
      <w:rFonts w:asciiTheme="minorHAnsi" w:hAnsiTheme="minorHAnsi"/>
      <w:b/>
      <w:bCs/>
      <w:sz w:val="22"/>
    </w:rPr>
  </w:style>
  <w:style w:type="paragraph" w:styleId="Revision">
    <w:name w:val="Revision"/>
    <w:hidden/>
    <w:uiPriority w:val="99"/>
    <w:semiHidden/>
    <w:rsid w:val="006C32CC"/>
    <w:rPr>
      <w:rFonts w:asciiTheme="minorHAnsi" w:hAnsiTheme="minorHAnsi"/>
      <w:sz w:val="22"/>
    </w:rPr>
  </w:style>
  <w:style w:type="character" w:customStyle="1" w:styleId="apple-converted-space">
    <w:name w:val="apple-converted-space"/>
    <w:rsid w:val="000F43B6"/>
  </w:style>
  <w:style w:type="character" w:customStyle="1" w:styleId="st1">
    <w:name w:val="st1"/>
    <w:basedOn w:val="DefaultParagraphFont"/>
    <w:rsid w:val="008F4251"/>
  </w:style>
  <w:style w:type="character" w:customStyle="1" w:styleId="HTMLPreformattedChar">
    <w:name w:val="HTML Preformatted Char"/>
    <w:basedOn w:val="DefaultParagraphFont"/>
    <w:link w:val="HTMLPreformatted"/>
    <w:rsid w:val="00C01750"/>
    <w:rPr>
      <w:rFonts w:ascii="Courier New" w:eastAsia="Courier New" w:hAnsi="Courier New" w:cs="Courier New"/>
      <w:sz w:val="22"/>
      <w:lang w:eastAsia="en-US"/>
    </w:rPr>
  </w:style>
  <w:style w:type="character" w:customStyle="1" w:styleId="ListParagraphChar">
    <w:name w:val="List Paragraph Char"/>
    <w:aliases w:val="Bullet point Char,Bullet text Char,Bulleted Para Char,Bullets Char,CV text Char,Dot pt Char,F5 List Paragraph Char,FooterText Char,L Char,List Paragraph1 Char,List Paragraph11 Char,List Paragraph111 Char,List Paragraph2 Char,列 Char"/>
    <w:basedOn w:val="DefaultParagraphFont"/>
    <w:link w:val="ListParagraph"/>
    <w:uiPriority w:val="34"/>
    <w:qFormat/>
    <w:rsid w:val="00616256"/>
    <w:rPr>
      <w:rFonts w:asciiTheme="minorHAnsi" w:hAnsiTheme="minorHAnsi"/>
      <w:sz w:val="22"/>
    </w:rPr>
  </w:style>
  <w:style w:type="table" w:customStyle="1" w:styleId="TableGrid12">
    <w:name w:val="Table Grid12"/>
    <w:basedOn w:val="TableNormal"/>
    <w:next w:val="TableGrid"/>
    <w:uiPriority w:val="59"/>
    <w:rsid w:val="00B445C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231E83"/>
    <w:rPr>
      <w:color w:val="605E5C"/>
      <w:shd w:val="clear" w:color="auto" w:fill="E1DFDD"/>
    </w:rPr>
  </w:style>
  <w:style w:type="paragraph" w:styleId="ListNumber">
    <w:name w:val="List Number"/>
    <w:basedOn w:val="Normal"/>
    <w:locked/>
    <w:rsid w:val="00964800"/>
    <w:pPr>
      <w:numPr>
        <w:numId w:val="18"/>
      </w:numPr>
      <w:spacing w:after="60"/>
      <w:ind w:left="924" w:hanging="357"/>
      <w:contextualSpacing/>
    </w:pPr>
  </w:style>
  <w:style w:type="paragraph" w:styleId="ListNumber2">
    <w:name w:val="List Number 2"/>
    <w:basedOn w:val="Normal"/>
    <w:unhideWhenUsed/>
    <w:locked/>
    <w:rsid w:val="00964800"/>
    <w:pPr>
      <w:numPr>
        <w:numId w:val="19"/>
      </w:numPr>
      <w:spacing w:after="60"/>
      <w:ind w:left="641" w:hanging="357"/>
      <w:contextualSpacing/>
    </w:pPr>
  </w:style>
  <w:style w:type="paragraph" w:styleId="ListNumber3">
    <w:name w:val="List Number 3"/>
    <w:basedOn w:val="Normal"/>
    <w:unhideWhenUsed/>
    <w:locked/>
    <w:rsid w:val="00EB1EC5"/>
    <w:pPr>
      <w:numPr>
        <w:numId w:val="20"/>
      </w:numPr>
      <w:ind w:left="1378" w:hanging="357"/>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single" w:sz="6" w:space="0" w:color="C6D6E4"/>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single" w:sz="6" w:space="0" w:color="C6D6E4"/>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single" w:sz="4" w:space="0" w:color="C6D6E4"/>
            <w:left w:val="none" w:sz="0" w:space="0" w:color="auto"/>
            <w:bottom w:val="none" w:sz="0" w:space="0" w:color="auto"/>
            <w:right w:val="none" w:sz="0" w:space="0" w:color="auto"/>
          </w:divBdr>
          <w:divsChild>
            <w:div w:id="32">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single" w:sz="6" w:space="0" w:color="C6D6E4"/>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single" w:sz="6" w:space="0" w:color="C6D6E4"/>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7604830">
      <w:bodyDiv w:val="1"/>
      <w:marLeft w:val="0"/>
      <w:marRight w:val="0"/>
      <w:marTop w:val="0"/>
      <w:marBottom w:val="0"/>
      <w:divBdr>
        <w:top w:val="none" w:sz="0" w:space="0" w:color="auto"/>
        <w:left w:val="none" w:sz="0" w:space="0" w:color="auto"/>
        <w:bottom w:val="none" w:sz="0" w:space="0" w:color="auto"/>
        <w:right w:val="none" w:sz="0" w:space="0" w:color="auto"/>
      </w:divBdr>
    </w:div>
    <w:div w:id="12534759">
      <w:bodyDiv w:val="1"/>
      <w:marLeft w:val="0"/>
      <w:marRight w:val="0"/>
      <w:marTop w:val="0"/>
      <w:marBottom w:val="0"/>
      <w:divBdr>
        <w:top w:val="none" w:sz="0" w:space="0" w:color="auto"/>
        <w:left w:val="none" w:sz="0" w:space="0" w:color="auto"/>
        <w:bottom w:val="none" w:sz="0" w:space="0" w:color="auto"/>
        <w:right w:val="none" w:sz="0" w:space="0" w:color="auto"/>
      </w:divBdr>
    </w:div>
    <w:div w:id="93408496">
      <w:bodyDiv w:val="1"/>
      <w:marLeft w:val="0"/>
      <w:marRight w:val="0"/>
      <w:marTop w:val="0"/>
      <w:marBottom w:val="0"/>
      <w:divBdr>
        <w:top w:val="none" w:sz="0" w:space="0" w:color="auto"/>
        <w:left w:val="none" w:sz="0" w:space="0" w:color="auto"/>
        <w:bottom w:val="none" w:sz="0" w:space="0" w:color="auto"/>
        <w:right w:val="none" w:sz="0" w:space="0" w:color="auto"/>
      </w:divBdr>
    </w:div>
    <w:div w:id="96602099">
      <w:bodyDiv w:val="1"/>
      <w:marLeft w:val="4"/>
      <w:marRight w:val="4"/>
      <w:marTop w:val="4"/>
      <w:marBottom w:val="4"/>
      <w:divBdr>
        <w:top w:val="none" w:sz="0" w:space="0" w:color="auto"/>
        <w:left w:val="none" w:sz="0" w:space="0" w:color="auto"/>
        <w:bottom w:val="none" w:sz="0" w:space="0" w:color="auto"/>
        <w:right w:val="none" w:sz="0" w:space="0" w:color="auto"/>
      </w:divBdr>
      <w:divsChild>
        <w:div w:id="962997628">
          <w:marLeft w:val="0"/>
          <w:marRight w:val="0"/>
          <w:marTop w:val="0"/>
          <w:marBottom w:val="0"/>
          <w:divBdr>
            <w:top w:val="none" w:sz="0" w:space="0" w:color="auto"/>
            <w:left w:val="none" w:sz="0" w:space="0" w:color="auto"/>
            <w:bottom w:val="none" w:sz="0" w:space="0" w:color="auto"/>
            <w:right w:val="none" w:sz="0" w:space="0" w:color="auto"/>
          </w:divBdr>
          <w:divsChild>
            <w:div w:id="250510867">
              <w:marLeft w:val="0"/>
              <w:marRight w:val="0"/>
              <w:marTop w:val="0"/>
              <w:marBottom w:val="0"/>
              <w:divBdr>
                <w:top w:val="none" w:sz="0" w:space="0" w:color="auto"/>
                <w:left w:val="none" w:sz="0" w:space="0" w:color="auto"/>
                <w:bottom w:val="none" w:sz="0" w:space="0" w:color="auto"/>
                <w:right w:val="none" w:sz="0" w:space="0" w:color="auto"/>
              </w:divBdr>
              <w:divsChild>
                <w:div w:id="722362979">
                  <w:marLeft w:val="0"/>
                  <w:marRight w:val="0"/>
                  <w:marTop w:val="0"/>
                  <w:marBottom w:val="180"/>
                  <w:divBdr>
                    <w:top w:val="none" w:sz="0" w:space="0" w:color="auto"/>
                    <w:left w:val="none" w:sz="0" w:space="0" w:color="auto"/>
                    <w:bottom w:val="none" w:sz="0" w:space="0" w:color="auto"/>
                    <w:right w:val="none" w:sz="0" w:space="0" w:color="auto"/>
                  </w:divBdr>
                  <w:divsChild>
                    <w:div w:id="1298145694">
                      <w:marLeft w:val="0"/>
                      <w:marRight w:val="0"/>
                      <w:marTop w:val="0"/>
                      <w:marBottom w:val="0"/>
                      <w:divBdr>
                        <w:top w:val="none" w:sz="0" w:space="0" w:color="auto"/>
                        <w:left w:val="none" w:sz="0" w:space="0" w:color="auto"/>
                        <w:bottom w:val="none" w:sz="0" w:space="0" w:color="auto"/>
                        <w:right w:val="none" w:sz="0" w:space="0" w:color="auto"/>
                      </w:divBdr>
                      <w:divsChild>
                        <w:div w:id="1212183375">
                          <w:marLeft w:val="0"/>
                          <w:marRight w:val="0"/>
                          <w:marTop w:val="150"/>
                          <w:marBottom w:val="0"/>
                          <w:divBdr>
                            <w:top w:val="none" w:sz="0" w:space="0" w:color="auto"/>
                            <w:left w:val="none" w:sz="0" w:space="0" w:color="auto"/>
                            <w:bottom w:val="none" w:sz="0" w:space="0" w:color="auto"/>
                            <w:right w:val="none" w:sz="0" w:space="0" w:color="auto"/>
                          </w:divBdr>
                          <w:divsChild>
                            <w:div w:id="791754017">
                              <w:marLeft w:val="0"/>
                              <w:marRight w:val="0"/>
                              <w:marTop w:val="0"/>
                              <w:marBottom w:val="0"/>
                              <w:divBdr>
                                <w:top w:val="none" w:sz="0" w:space="0" w:color="auto"/>
                                <w:left w:val="none" w:sz="0" w:space="0" w:color="auto"/>
                                <w:bottom w:val="none" w:sz="0" w:space="0" w:color="auto"/>
                                <w:right w:val="none" w:sz="0" w:space="0" w:color="auto"/>
                              </w:divBdr>
                              <w:divsChild>
                                <w:div w:id="65484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238565">
      <w:bodyDiv w:val="1"/>
      <w:marLeft w:val="0"/>
      <w:marRight w:val="0"/>
      <w:marTop w:val="0"/>
      <w:marBottom w:val="0"/>
      <w:divBdr>
        <w:top w:val="none" w:sz="0" w:space="0" w:color="auto"/>
        <w:left w:val="none" w:sz="0" w:space="0" w:color="auto"/>
        <w:bottom w:val="none" w:sz="0" w:space="0" w:color="auto"/>
        <w:right w:val="none" w:sz="0" w:space="0" w:color="auto"/>
      </w:divBdr>
    </w:div>
    <w:div w:id="157968226">
      <w:bodyDiv w:val="1"/>
      <w:marLeft w:val="0"/>
      <w:marRight w:val="0"/>
      <w:marTop w:val="0"/>
      <w:marBottom w:val="0"/>
      <w:divBdr>
        <w:top w:val="none" w:sz="0" w:space="0" w:color="auto"/>
        <w:left w:val="none" w:sz="0" w:space="0" w:color="auto"/>
        <w:bottom w:val="none" w:sz="0" w:space="0" w:color="auto"/>
        <w:right w:val="none" w:sz="0" w:space="0" w:color="auto"/>
      </w:divBdr>
    </w:div>
    <w:div w:id="203560226">
      <w:bodyDiv w:val="1"/>
      <w:marLeft w:val="0"/>
      <w:marRight w:val="0"/>
      <w:marTop w:val="0"/>
      <w:marBottom w:val="0"/>
      <w:divBdr>
        <w:top w:val="none" w:sz="0" w:space="0" w:color="auto"/>
        <w:left w:val="none" w:sz="0" w:space="0" w:color="auto"/>
        <w:bottom w:val="none" w:sz="0" w:space="0" w:color="auto"/>
        <w:right w:val="none" w:sz="0" w:space="0" w:color="auto"/>
      </w:divBdr>
    </w:div>
    <w:div w:id="239483282">
      <w:bodyDiv w:val="1"/>
      <w:marLeft w:val="0"/>
      <w:marRight w:val="0"/>
      <w:marTop w:val="0"/>
      <w:marBottom w:val="0"/>
      <w:divBdr>
        <w:top w:val="none" w:sz="0" w:space="0" w:color="auto"/>
        <w:left w:val="none" w:sz="0" w:space="0" w:color="auto"/>
        <w:bottom w:val="none" w:sz="0" w:space="0" w:color="auto"/>
        <w:right w:val="none" w:sz="0" w:space="0" w:color="auto"/>
      </w:divBdr>
      <w:divsChild>
        <w:div w:id="2043944419">
          <w:marLeft w:val="0"/>
          <w:marRight w:val="0"/>
          <w:marTop w:val="0"/>
          <w:marBottom w:val="0"/>
          <w:divBdr>
            <w:top w:val="none" w:sz="0" w:space="0" w:color="auto"/>
            <w:left w:val="none" w:sz="0" w:space="0" w:color="auto"/>
            <w:bottom w:val="none" w:sz="0" w:space="0" w:color="auto"/>
            <w:right w:val="none" w:sz="0" w:space="0" w:color="auto"/>
          </w:divBdr>
          <w:divsChild>
            <w:div w:id="126387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152254">
      <w:bodyDiv w:val="1"/>
      <w:marLeft w:val="0"/>
      <w:marRight w:val="0"/>
      <w:marTop w:val="0"/>
      <w:marBottom w:val="0"/>
      <w:divBdr>
        <w:top w:val="none" w:sz="0" w:space="0" w:color="auto"/>
        <w:left w:val="none" w:sz="0" w:space="0" w:color="auto"/>
        <w:bottom w:val="none" w:sz="0" w:space="0" w:color="auto"/>
        <w:right w:val="none" w:sz="0" w:space="0" w:color="auto"/>
      </w:divBdr>
    </w:div>
    <w:div w:id="386733508">
      <w:bodyDiv w:val="1"/>
      <w:marLeft w:val="0"/>
      <w:marRight w:val="0"/>
      <w:marTop w:val="0"/>
      <w:marBottom w:val="0"/>
      <w:divBdr>
        <w:top w:val="none" w:sz="0" w:space="0" w:color="auto"/>
        <w:left w:val="none" w:sz="0" w:space="0" w:color="auto"/>
        <w:bottom w:val="none" w:sz="0" w:space="0" w:color="auto"/>
        <w:right w:val="none" w:sz="0" w:space="0" w:color="auto"/>
      </w:divBdr>
    </w:div>
    <w:div w:id="395785124">
      <w:bodyDiv w:val="1"/>
      <w:marLeft w:val="0"/>
      <w:marRight w:val="0"/>
      <w:marTop w:val="0"/>
      <w:marBottom w:val="0"/>
      <w:divBdr>
        <w:top w:val="none" w:sz="0" w:space="0" w:color="auto"/>
        <w:left w:val="none" w:sz="0" w:space="0" w:color="auto"/>
        <w:bottom w:val="none" w:sz="0" w:space="0" w:color="auto"/>
        <w:right w:val="none" w:sz="0" w:space="0" w:color="auto"/>
      </w:divBdr>
      <w:divsChild>
        <w:div w:id="1883250494">
          <w:marLeft w:val="0"/>
          <w:marRight w:val="0"/>
          <w:marTop w:val="0"/>
          <w:marBottom w:val="0"/>
          <w:divBdr>
            <w:top w:val="none" w:sz="0" w:space="0" w:color="auto"/>
            <w:left w:val="none" w:sz="0" w:space="0" w:color="auto"/>
            <w:bottom w:val="none" w:sz="0" w:space="0" w:color="auto"/>
            <w:right w:val="none" w:sz="0" w:space="0" w:color="auto"/>
          </w:divBdr>
        </w:div>
      </w:divsChild>
    </w:div>
    <w:div w:id="399987788">
      <w:bodyDiv w:val="1"/>
      <w:marLeft w:val="0"/>
      <w:marRight w:val="0"/>
      <w:marTop w:val="0"/>
      <w:marBottom w:val="0"/>
      <w:divBdr>
        <w:top w:val="none" w:sz="0" w:space="0" w:color="auto"/>
        <w:left w:val="none" w:sz="0" w:space="0" w:color="auto"/>
        <w:bottom w:val="none" w:sz="0" w:space="0" w:color="auto"/>
        <w:right w:val="none" w:sz="0" w:space="0" w:color="auto"/>
      </w:divBdr>
    </w:div>
    <w:div w:id="429009972">
      <w:bodyDiv w:val="1"/>
      <w:marLeft w:val="0"/>
      <w:marRight w:val="0"/>
      <w:marTop w:val="0"/>
      <w:marBottom w:val="0"/>
      <w:divBdr>
        <w:top w:val="none" w:sz="0" w:space="0" w:color="auto"/>
        <w:left w:val="none" w:sz="0" w:space="0" w:color="auto"/>
        <w:bottom w:val="none" w:sz="0" w:space="0" w:color="auto"/>
        <w:right w:val="none" w:sz="0" w:space="0" w:color="auto"/>
      </w:divBdr>
    </w:div>
    <w:div w:id="449591403">
      <w:bodyDiv w:val="1"/>
      <w:marLeft w:val="0"/>
      <w:marRight w:val="0"/>
      <w:marTop w:val="0"/>
      <w:marBottom w:val="0"/>
      <w:divBdr>
        <w:top w:val="none" w:sz="0" w:space="0" w:color="auto"/>
        <w:left w:val="none" w:sz="0" w:space="0" w:color="auto"/>
        <w:bottom w:val="none" w:sz="0" w:space="0" w:color="auto"/>
        <w:right w:val="none" w:sz="0" w:space="0" w:color="auto"/>
      </w:divBdr>
      <w:divsChild>
        <w:div w:id="77680229">
          <w:marLeft w:val="0"/>
          <w:marRight w:val="0"/>
          <w:marTop w:val="0"/>
          <w:marBottom w:val="0"/>
          <w:divBdr>
            <w:top w:val="none" w:sz="0" w:space="0" w:color="auto"/>
            <w:left w:val="none" w:sz="0" w:space="0" w:color="auto"/>
            <w:bottom w:val="none" w:sz="0" w:space="0" w:color="auto"/>
            <w:right w:val="none" w:sz="0" w:space="0" w:color="auto"/>
          </w:divBdr>
          <w:divsChild>
            <w:div w:id="1377464912">
              <w:marLeft w:val="0"/>
              <w:marRight w:val="0"/>
              <w:marTop w:val="0"/>
              <w:marBottom w:val="0"/>
              <w:divBdr>
                <w:top w:val="none" w:sz="0" w:space="0" w:color="auto"/>
                <w:left w:val="none" w:sz="0" w:space="0" w:color="auto"/>
                <w:bottom w:val="none" w:sz="0" w:space="0" w:color="auto"/>
                <w:right w:val="none" w:sz="0" w:space="0" w:color="auto"/>
              </w:divBdr>
              <w:divsChild>
                <w:div w:id="129173446">
                  <w:marLeft w:val="0"/>
                  <w:marRight w:val="0"/>
                  <w:marTop w:val="0"/>
                  <w:marBottom w:val="0"/>
                  <w:divBdr>
                    <w:top w:val="none" w:sz="0" w:space="0" w:color="auto"/>
                    <w:left w:val="none" w:sz="0" w:space="0" w:color="auto"/>
                    <w:bottom w:val="none" w:sz="0" w:space="0" w:color="auto"/>
                    <w:right w:val="none" w:sz="0" w:space="0" w:color="auto"/>
                  </w:divBdr>
                  <w:divsChild>
                    <w:div w:id="224609181">
                      <w:marLeft w:val="0"/>
                      <w:marRight w:val="0"/>
                      <w:marTop w:val="0"/>
                      <w:marBottom w:val="0"/>
                      <w:divBdr>
                        <w:top w:val="none" w:sz="0" w:space="0" w:color="auto"/>
                        <w:left w:val="none" w:sz="0" w:space="0" w:color="auto"/>
                        <w:bottom w:val="none" w:sz="0" w:space="0" w:color="auto"/>
                        <w:right w:val="none" w:sz="0" w:space="0" w:color="auto"/>
                      </w:divBdr>
                      <w:divsChild>
                        <w:div w:id="147868210">
                          <w:marLeft w:val="0"/>
                          <w:marRight w:val="0"/>
                          <w:marTop w:val="0"/>
                          <w:marBottom w:val="0"/>
                          <w:divBdr>
                            <w:top w:val="none" w:sz="0" w:space="0" w:color="auto"/>
                            <w:left w:val="none" w:sz="0" w:space="0" w:color="auto"/>
                            <w:bottom w:val="none" w:sz="0" w:space="0" w:color="auto"/>
                            <w:right w:val="none" w:sz="0" w:space="0" w:color="auto"/>
                          </w:divBdr>
                          <w:divsChild>
                            <w:div w:id="719020473">
                              <w:marLeft w:val="0"/>
                              <w:marRight w:val="0"/>
                              <w:marTop w:val="0"/>
                              <w:marBottom w:val="0"/>
                              <w:divBdr>
                                <w:top w:val="none" w:sz="0" w:space="0" w:color="auto"/>
                                <w:left w:val="none" w:sz="0" w:space="0" w:color="auto"/>
                                <w:bottom w:val="none" w:sz="0" w:space="0" w:color="auto"/>
                                <w:right w:val="none" w:sz="0" w:space="0" w:color="auto"/>
                              </w:divBdr>
                              <w:divsChild>
                                <w:div w:id="2114202645">
                                  <w:marLeft w:val="0"/>
                                  <w:marRight w:val="0"/>
                                  <w:marTop w:val="0"/>
                                  <w:marBottom w:val="0"/>
                                  <w:divBdr>
                                    <w:top w:val="none" w:sz="0" w:space="0" w:color="auto"/>
                                    <w:left w:val="none" w:sz="0" w:space="0" w:color="auto"/>
                                    <w:bottom w:val="none" w:sz="0" w:space="0" w:color="auto"/>
                                    <w:right w:val="none" w:sz="0" w:space="0" w:color="auto"/>
                                  </w:divBdr>
                                  <w:divsChild>
                                    <w:div w:id="6036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30194820">
      <w:bodyDiv w:val="1"/>
      <w:marLeft w:val="0"/>
      <w:marRight w:val="0"/>
      <w:marTop w:val="0"/>
      <w:marBottom w:val="0"/>
      <w:divBdr>
        <w:top w:val="none" w:sz="0" w:space="0" w:color="auto"/>
        <w:left w:val="none" w:sz="0" w:space="0" w:color="auto"/>
        <w:bottom w:val="none" w:sz="0" w:space="0" w:color="auto"/>
        <w:right w:val="none" w:sz="0" w:space="0" w:color="auto"/>
      </w:divBdr>
    </w:div>
    <w:div w:id="554775807">
      <w:bodyDiv w:val="1"/>
      <w:marLeft w:val="0"/>
      <w:marRight w:val="0"/>
      <w:marTop w:val="0"/>
      <w:marBottom w:val="0"/>
      <w:divBdr>
        <w:top w:val="none" w:sz="0" w:space="0" w:color="auto"/>
        <w:left w:val="none" w:sz="0" w:space="0" w:color="auto"/>
        <w:bottom w:val="none" w:sz="0" w:space="0" w:color="auto"/>
        <w:right w:val="none" w:sz="0" w:space="0" w:color="auto"/>
      </w:divBdr>
    </w:div>
    <w:div w:id="585461081">
      <w:bodyDiv w:val="1"/>
      <w:marLeft w:val="0"/>
      <w:marRight w:val="0"/>
      <w:marTop w:val="0"/>
      <w:marBottom w:val="0"/>
      <w:divBdr>
        <w:top w:val="none" w:sz="0" w:space="0" w:color="auto"/>
        <w:left w:val="none" w:sz="0" w:space="0" w:color="auto"/>
        <w:bottom w:val="none" w:sz="0" w:space="0" w:color="auto"/>
        <w:right w:val="none" w:sz="0" w:space="0" w:color="auto"/>
      </w:divBdr>
    </w:div>
    <w:div w:id="597906717">
      <w:bodyDiv w:val="1"/>
      <w:marLeft w:val="0"/>
      <w:marRight w:val="0"/>
      <w:marTop w:val="0"/>
      <w:marBottom w:val="0"/>
      <w:divBdr>
        <w:top w:val="none" w:sz="0" w:space="0" w:color="auto"/>
        <w:left w:val="none" w:sz="0" w:space="0" w:color="auto"/>
        <w:bottom w:val="none" w:sz="0" w:space="0" w:color="auto"/>
        <w:right w:val="none" w:sz="0" w:space="0" w:color="auto"/>
      </w:divBdr>
    </w:div>
    <w:div w:id="658655835">
      <w:bodyDiv w:val="1"/>
      <w:marLeft w:val="0"/>
      <w:marRight w:val="0"/>
      <w:marTop w:val="0"/>
      <w:marBottom w:val="0"/>
      <w:divBdr>
        <w:top w:val="none" w:sz="0" w:space="0" w:color="auto"/>
        <w:left w:val="none" w:sz="0" w:space="0" w:color="auto"/>
        <w:bottom w:val="none" w:sz="0" w:space="0" w:color="auto"/>
        <w:right w:val="none" w:sz="0" w:space="0" w:color="auto"/>
      </w:divBdr>
    </w:div>
    <w:div w:id="682635308">
      <w:bodyDiv w:val="1"/>
      <w:marLeft w:val="0"/>
      <w:marRight w:val="0"/>
      <w:marTop w:val="0"/>
      <w:marBottom w:val="0"/>
      <w:divBdr>
        <w:top w:val="none" w:sz="0" w:space="0" w:color="auto"/>
        <w:left w:val="none" w:sz="0" w:space="0" w:color="auto"/>
        <w:bottom w:val="none" w:sz="0" w:space="0" w:color="auto"/>
        <w:right w:val="none" w:sz="0" w:space="0" w:color="auto"/>
      </w:divBdr>
    </w:div>
    <w:div w:id="703604896">
      <w:bodyDiv w:val="1"/>
      <w:marLeft w:val="0"/>
      <w:marRight w:val="0"/>
      <w:marTop w:val="0"/>
      <w:marBottom w:val="0"/>
      <w:divBdr>
        <w:top w:val="none" w:sz="0" w:space="0" w:color="auto"/>
        <w:left w:val="none" w:sz="0" w:space="0" w:color="auto"/>
        <w:bottom w:val="none" w:sz="0" w:space="0" w:color="auto"/>
        <w:right w:val="none" w:sz="0" w:space="0" w:color="auto"/>
      </w:divBdr>
    </w:div>
    <w:div w:id="749081843">
      <w:bodyDiv w:val="1"/>
      <w:marLeft w:val="0"/>
      <w:marRight w:val="0"/>
      <w:marTop w:val="0"/>
      <w:marBottom w:val="0"/>
      <w:divBdr>
        <w:top w:val="none" w:sz="0" w:space="0" w:color="auto"/>
        <w:left w:val="none" w:sz="0" w:space="0" w:color="auto"/>
        <w:bottom w:val="none" w:sz="0" w:space="0" w:color="auto"/>
        <w:right w:val="none" w:sz="0" w:space="0" w:color="auto"/>
      </w:divBdr>
      <w:divsChild>
        <w:div w:id="308944636">
          <w:marLeft w:val="0"/>
          <w:marRight w:val="0"/>
          <w:marTop w:val="0"/>
          <w:marBottom w:val="0"/>
          <w:divBdr>
            <w:top w:val="none" w:sz="0" w:space="0" w:color="auto"/>
            <w:left w:val="none" w:sz="0" w:space="0" w:color="auto"/>
            <w:bottom w:val="none" w:sz="0" w:space="0" w:color="auto"/>
            <w:right w:val="none" w:sz="0" w:space="0" w:color="auto"/>
          </w:divBdr>
          <w:divsChild>
            <w:div w:id="11199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625626">
      <w:bodyDiv w:val="1"/>
      <w:marLeft w:val="0"/>
      <w:marRight w:val="0"/>
      <w:marTop w:val="0"/>
      <w:marBottom w:val="0"/>
      <w:divBdr>
        <w:top w:val="none" w:sz="0" w:space="0" w:color="auto"/>
        <w:left w:val="none" w:sz="0" w:space="0" w:color="auto"/>
        <w:bottom w:val="none" w:sz="0" w:space="0" w:color="auto"/>
        <w:right w:val="none" w:sz="0" w:space="0" w:color="auto"/>
      </w:divBdr>
      <w:divsChild>
        <w:div w:id="403334059">
          <w:marLeft w:val="0"/>
          <w:marRight w:val="0"/>
          <w:marTop w:val="0"/>
          <w:marBottom w:val="0"/>
          <w:divBdr>
            <w:top w:val="none" w:sz="0" w:space="0" w:color="auto"/>
            <w:left w:val="none" w:sz="0" w:space="0" w:color="auto"/>
            <w:bottom w:val="none" w:sz="0" w:space="0" w:color="auto"/>
            <w:right w:val="none" w:sz="0" w:space="0" w:color="auto"/>
          </w:divBdr>
          <w:divsChild>
            <w:div w:id="777483326">
              <w:marLeft w:val="0"/>
              <w:marRight w:val="0"/>
              <w:marTop w:val="0"/>
              <w:marBottom w:val="0"/>
              <w:divBdr>
                <w:top w:val="none" w:sz="0" w:space="0" w:color="auto"/>
                <w:left w:val="none" w:sz="0" w:space="0" w:color="auto"/>
                <w:bottom w:val="none" w:sz="0" w:space="0" w:color="auto"/>
                <w:right w:val="none" w:sz="0" w:space="0" w:color="auto"/>
              </w:divBdr>
              <w:divsChild>
                <w:div w:id="1293369676">
                  <w:marLeft w:val="0"/>
                  <w:marRight w:val="0"/>
                  <w:marTop w:val="0"/>
                  <w:marBottom w:val="0"/>
                  <w:divBdr>
                    <w:top w:val="none" w:sz="0" w:space="0" w:color="auto"/>
                    <w:left w:val="none" w:sz="0" w:space="0" w:color="auto"/>
                    <w:bottom w:val="none" w:sz="0" w:space="0" w:color="auto"/>
                    <w:right w:val="none" w:sz="0" w:space="0" w:color="auto"/>
                  </w:divBdr>
                  <w:divsChild>
                    <w:div w:id="1505824661">
                      <w:marLeft w:val="0"/>
                      <w:marRight w:val="0"/>
                      <w:marTop w:val="0"/>
                      <w:marBottom w:val="0"/>
                      <w:divBdr>
                        <w:top w:val="none" w:sz="0" w:space="0" w:color="auto"/>
                        <w:left w:val="none" w:sz="0" w:space="0" w:color="auto"/>
                        <w:bottom w:val="none" w:sz="0" w:space="0" w:color="auto"/>
                        <w:right w:val="none" w:sz="0" w:space="0" w:color="auto"/>
                      </w:divBdr>
                      <w:divsChild>
                        <w:div w:id="120575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9593328">
      <w:bodyDiv w:val="1"/>
      <w:marLeft w:val="0"/>
      <w:marRight w:val="0"/>
      <w:marTop w:val="0"/>
      <w:marBottom w:val="0"/>
      <w:divBdr>
        <w:top w:val="none" w:sz="0" w:space="0" w:color="auto"/>
        <w:left w:val="none" w:sz="0" w:space="0" w:color="auto"/>
        <w:bottom w:val="none" w:sz="0" w:space="0" w:color="auto"/>
        <w:right w:val="none" w:sz="0" w:space="0" w:color="auto"/>
      </w:divBdr>
    </w:div>
    <w:div w:id="828718194">
      <w:bodyDiv w:val="1"/>
      <w:marLeft w:val="0"/>
      <w:marRight w:val="0"/>
      <w:marTop w:val="0"/>
      <w:marBottom w:val="0"/>
      <w:divBdr>
        <w:top w:val="none" w:sz="0" w:space="0" w:color="auto"/>
        <w:left w:val="none" w:sz="0" w:space="0" w:color="auto"/>
        <w:bottom w:val="none" w:sz="0" w:space="0" w:color="auto"/>
        <w:right w:val="none" w:sz="0" w:space="0" w:color="auto"/>
      </w:divBdr>
    </w:div>
    <w:div w:id="847715310">
      <w:bodyDiv w:val="1"/>
      <w:marLeft w:val="0"/>
      <w:marRight w:val="0"/>
      <w:marTop w:val="0"/>
      <w:marBottom w:val="0"/>
      <w:divBdr>
        <w:top w:val="none" w:sz="0" w:space="0" w:color="auto"/>
        <w:left w:val="none" w:sz="0" w:space="0" w:color="auto"/>
        <w:bottom w:val="none" w:sz="0" w:space="0" w:color="auto"/>
        <w:right w:val="none" w:sz="0" w:space="0" w:color="auto"/>
      </w:divBdr>
    </w:div>
    <w:div w:id="905341722">
      <w:bodyDiv w:val="1"/>
      <w:marLeft w:val="0"/>
      <w:marRight w:val="0"/>
      <w:marTop w:val="0"/>
      <w:marBottom w:val="0"/>
      <w:divBdr>
        <w:top w:val="none" w:sz="0" w:space="0" w:color="auto"/>
        <w:left w:val="none" w:sz="0" w:space="0" w:color="auto"/>
        <w:bottom w:val="none" w:sz="0" w:space="0" w:color="auto"/>
        <w:right w:val="none" w:sz="0" w:space="0" w:color="auto"/>
      </w:divBdr>
      <w:divsChild>
        <w:div w:id="2114857738">
          <w:marLeft w:val="0"/>
          <w:marRight w:val="0"/>
          <w:marTop w:val="0"/>
          <w:marBottom w:val="0"/>
          <w:divBdr>
            <w:top w:val="none" w:sz="0" w:space="0" w:color="auto"/>
            <w:left w:val="none" w:sz="0" w:space="0" w:color="auto"/>
            <w:bottom w:val="none" w:sz="0" w:space="0" w:color="auto"/>
            <w:right w:val="none" w:sz="0" w:space="0" w:color="auto"/>
          </w:divBdr>
          <w:divsChild>
            <w:div w:id="715810823">
              <w:marLeft w:val="0"/>
              <w:marRight w:val="0"/>
              <w:marTop w:val="0"/>
              <w:marBottom w:val="0"/>
              <w:divBdr>
                <w:top w:val="none" w:sz="0" w:space="0" w:color="auto"/>
                <w:left w:val="none" w:sz="0" w:space="0" w:color="auto"/>
                <w:bottom w:val="none" w:sz="0" w:space="0" w:color="auto"/>
                <w:right w:val="none" w:sz="0" w:space="0" w:color="auto"/>
              </w:divBdr>
              <w:divsChild>
                <w:div w:id="220141591">
                  <w:marLeft w:val="0"/>
                  <w:marRight w:val="0"/>
                  <w:marTop w:val="0"/>
                  <w:marBottom w:val="0"/>
                  <w:divBdr>
                    <w:top w:val="none" w:sz="0" w:space="0" w:color="auto"/>
                    <w:left w:val="none" w:sz="0" w:space="0" w:color="auto"/>
                    <w:bottom w:val="none" w:sz="0" w:space="0" w:color="auto"/>
                    <w:right w:val="none" w:sz="0" w:space="0" w:color="auto"/>
                  </w:divBdr>
                  <w:divsChild>
                    <w:div w:id="1724058091">
                      <w:marLeft w:val="0"/>
                      <w:marRight w:val="0"/>
                      <w:marTop w:val="0"/>
                      <w:marBottom w:val="0"/>
                      <w:divBdr>
                        <w:top w:val="none" w:sz="0" w:space="0" w:color="auto"/>
                        <w:left w:val="none" w:sz="0" w:space="0" w:color="auto"/>
                        <w:bottom w:val="none" w:sz="0" w:space="0" w:color="auto"/>
                        <w:right w:val="none" w:sz="0" w:space="0" w:color="auto"/>
                      </w:divBdr>
                      <w:divsChild>
                        <w:div w:id="64042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6498972">
      <w:bodyDiv w:val="1"/>
      <w:marLeft w:val="0"/>
      <w:marRight w:val="0"/>
      <w:marTop w:val="0"/>
      <w:marBottom w:val="0"/>
      <w:divBdr>
        <w:top w:val="none" w:sz="0" w:space="0" w:color="auto"/>
        <w:left w:val="none" w:sz="0" w:space="0" w:color="auto"/>
        <w:bottom w:val="none" w:sz="0" w:space="0" w:color="auto"/>
        <w:right w:val="none" w:sz="0" w:space="0" w:color="auto"/>
      </w:divBdr>
      <w:divsChild>
        <w:div w:id="1164853637">
          <w:marLeft w:val="0"/>
          <w:marRight w:val="0"/>
          <w:marTop w:val="0"/>
          <w:marBottom w:val="0"/>
          <w:divBdr>
            <w:top w:val="none" w:sz="0" w:space="0" w:color="auto"/>
            <w:left w:val="none" w:sz="0" w:space="0" w:color="auto"/>
            <w:bottom w:val="none" w:sz="0" w:space="0" w:color="auto"/>
            <w:right w:val="none" w:sz="0" w:space="0" w:color="auto"/>
          </w:divBdr>
          <w:divsChild>
            <w:div w:id="802187476">
              <w:marLeft w:val="0"/>
              <w:marRight w:val="0"/>
              <w:marTop w:val="0"/>
              <w:marBottom w:val="0"/>
              <w:divBdr>
                <w:top w:val="none" w:sz="0" w:space="0" w:color="auto"/>
                <w:left w:val="none" w:sz="0" w:space="0" w:color="auto"/>
                <w:bottom w:val="none" w:sz="0" w:space="0" w:color="auto"/>
                <w:right w:val="none" w:sz="0" w:space="0" w:color="auto"/>
              </w:divBdr>
              <w:divsChild>
                <w:div w:id="1487816150">
                  <w:marLeft w:val="0"/>
                  <w:marRight w:val="0"/>
                  <w:marTop w:val="0"/>
                  <w:marBottom w:val="0"/>
                  <w:divBdr>
                    <w:top w:val="none" w:sz="0" w:space="0" w:color="auto"/>
                    <w:left w:val="none" w:sz="0" w:space="0" w:color="auto"/>
                    <w:bottom w:val="none" w:sz="0" w:space="0" w:color="auto"/>
                    <w:right w:val="none" w:sz="0" w:space="0" w:color="auto"/>
                  </w:divBdr>
                  <w:divsChild>
                    <w:div w:id="1971787029">
                      <w:marLeft w:val="0"/>
                      <w:marRight w:val="0"/>
                      <w:marTop w:val="0"/>
                      <w:marBottom w:val="0"/>
                      <w:divBdr>
                        <w:top w:val="none" w:sz="0" w:space="0" w:color="auto"/>
                        <w:left w:val="none" w:sz="0" w:space="0" w:color="auto"/>
                        <w:bottom w:val="none" w:sz="0" w:space="0" w:color="auto"/>
                        <w:right w:val="none" w:sz="0" w:space="0" w:color="auto"/>
                      </w:divBdr>
                      <w:divsChild>
                        <w:div w:id="178226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1041152">
      <w:bodyDiv w:val="1"/>
      <w:marLeft w:val="0"/>
      <w:marRight w:val="0"/>
      <w:marTop w:val="0"/>
      <w:marBottom w:val="0"/>
      <w:divBdr>
        <w:top w:val="none" w:sz="0" w:space="0" w:color="auto"/>
        <w:left w:val="none" w:sz="0" w:space="0" w:color="auto"/>
        <w:bottom w:val="none" w:sz="0" w:space="0" w:color="auto"/>
        <w:right w:val="none" w:sz="0" w:space="0" w:color="auto"/>
      </w:divBdr>
    </w:div>
    <w:div w:id="949166561">
      <w:bodyDiv w:val="1"/>
      <w:marLeft w:val="0"/>
      <w:marRight w:val="0"/>
      <w:marTop w:val="0"/>
      <w:marBottom w:val="0"/>
      <w:divBdr>
        <w:top w:val="none" w:sz="0" w:space="0" w:color="auto"/>
        <w:left w:val="none" w:sz="0" w:space="0" w:color="auto"/>
        <w:bottom w:val="none" w:sz="0" w:space="0" w:color="auto"/>
        <w:right w:val="none" w:sz="0" w:space="0" w:color="auto"/>
      </w:divBdr>
    </w:div>
    <w:div w:id="960377347">
      <w:bodyDiv w:val="1"/>
      <w:marLeft w:val="0"/>
      <w:marRight w:val="0"/>
      <w:marTop w:val="0"/>
      <w:marBottom w:val="0"/>
      <w:divBdr>
        <w:top w:val="none" w:sz="0" w:space="0" w:color="auto"/>
        <w:left w:val="none" w:sz="0" w:space="0" w:color="auto"/>
        <w:bottom w:val="none" w:sz="0" w:space="0" w:color="auto"/>
        <w:right w:val="none" w:sz="0" w:space="0" w:color="auto"/>
      </w:divBdr>
    </w:div>
    <w:div w:id="1006396578">
      <w:bodyDiv w:val="1"/>
      <w:marLeft w:val="0"/>
      <w:marRight w:val="0"/>
      <w:marTop w:val="0"/>
      <w:marBottom w:val="0"/>
      <w:divBdr>
        <w:top w:val="none" w:sz="0" w:space="0" w:color="auto"/>
        <w:left w:val="none" w:sz="0" w:space="0" w:color="auto"/>
        <w:bottom w:val="none" w:sz="0" w:space="0" w:color="auto"/>
        <w:right w:val="none" w:sz="0" w:space="0" w:color="auto"/>
      </w:divBdr>
    </w:div>
    <w:div w:id="1043747270">
      <w:bodyDiv w:val="1"/>
      <w:marLeft w:val="0"/>
      <w:marRight w:val="0"/>
      <w:marTop w:val="0"/>
      <w:marBottom w:val="0"/>
      <w:divBdr>
        <w:top w:val="none" w:sz="0" w:space="0" w:color="auto"/>
        <w:left w:val="none" w:sz="0" w:space="0" w:color="auto"/>
        <w:bottom w:val="none" w:sz="0" w:space="0" w:color="auto"/>
        <w:right w:val="none" w:sz="0" w:space="0" w:color="auto"/>
      </w:divBdr>
      <w:divsChild>
        <w:div w:id="1054697898">
          <w:marLeft w:val="0"/>
          <w:marRight w:val="0"/>
          <w:marTop w:val="0"/>
          <w:marBottom w:val="0"/>
          <w:divBdr>
            <w:top w:val="none" w:sz="0" w:space="0" w:color="auto"/>
            <w:left w:val="none" w:sz="0" w:space="0" w:color="auto"/>
            <w:bottom w:val="none" w:sz="0" w:space="0" w:color="auto"/>
            <w:right w:val="none" w:sz="0" w:space="0" w:color="auto"/>
          </w:divBdr>
          <w:divsChild>
            <w:div w:id="38018981">
              <w:marLeft w:val="0"/>
              <w:marRight w:val="0"/>
              <w:marTop w:val="0"/>
              <w:marBottom w:val="0"/>
              <w:divBdr>
                <w:top w:val="none" w:sz="0" w:space="0" w:color="auto"/>
                <w:left w:val="none" w:sz="0" w:space="0" w:color="auto"/>
                <w:bottom w:val="none" w:sz="0" w:space="0" w:color="auto"/>
                <w:right w:val="none" w:sz="0" w:space="0" w:color="auto"/>
              </w:divBdr>
            </w:div>
            <w:div w:id="57099500">
              <w:marLeft w:val="0"/>
              <w:marRight w:val="0"/>
              <w:marTop w:val="0"/>
              <w:marBottom w:val="0"/>
              <w:divBdr>
                <w:top w:val="none" w:sz="0" w:space="0" w:color="auto"/>
                <w:left w:val="none" w:sz="0" w:space="0" w:color="auto"/>
                <w:bottom w:val="none" w:sz="0" w:space="0" w:color="auto"/>
                <w:right w:val="none" w:sz="0" w:space="0" w:color="auto"/>
              </w:divBdr>
            </w:div>
            <w:div w:id="176969941">
              <w:marLeft w:val="0"/>
              <w:marRight w:val="0"/>
              <w:marTop w:val="0"/>
              <w:marBottom w:val="0"/>
              <w:divBdr>
                <w:top w:val="none" w:sz="0" w:space="0" w:color="auto"/>
                <w:left w:val="none" w:sz="0" w:space="0" w:color="auto"/>
                <w:bottom w:val="none" w:sz="0" w:space="0" w:color="auto"/>
                <w:right w:val="none" w:sz="0" w:space="0" w:color="auto"/>
              </w:divBdr>
            </w:div>
            <w:div w:id="386151343">
              <w:marLeft w:val="0"/>
              <w:marRight w:val="0"/>
              <w:marTop w:val="0"/>
              <w:marBottom w:val="0"/>
              <w:divBdr>
                <w:top w:val="none" w:sz="0" w:space="0" w:color="auto"/>
                <w:left w:val="none" w:sz="0" w:space="0" w:color="auto"/>
                <w:bottom w:val="none" w:sz="0" w:space="0" w:color="auto"/>
                <w:right w:val="none" w:sz="0" w:space="0" w:color="auto"/>
              </w:divBdr>
            </w:div>
            <w:div w:id="594097976">
              <w:marLeft w:val="0"/>
              <w:marRight w:val="0"/>
              <w:marTop w:val="0"/>
              <w:marBottom w:val="0"/>
              <w:divBdr>
                <w:top w:val="none" w:sz="0" w:space="0" w:color="auto"/>
                <w:left w:val="none" w:sz="0" w:space="0" w:color="auto"/>
                <w:bottom w:val="none" w:sz="0" w:space="0" w:color="auto"/>
                <w:right w:val="none" w:sz="0" w:space="0" w:color="auto"/>
              </w:divBdr>
            </w:div>
            <w:div w:id="625238368">
              <w:marLeft w:val="0"/>
              <w:marRight w:val="0"/>
              <w:marTop w:val="0"/>
              <w:marBottom w:val="0"/>
              <w:divBdr>
                <w:top w:val="none" w:sz="0" w:space="0" w:color="auto"/>
                <w:left w:val="none" w:sz="0" w:space="0" w:color="auto"/>
                <w:bottom w:val="none" w:sz="0" w:space="0" w:color="auto"/>
                <w:right w:val="none" w:sz="0" w:space="0" w:color="auto"/>
              </w:divBdr>
            </w:div>
            <w:div w:id="830677942">
              <w:marLeft w:val="0"/>
              <w:marRight w:val="0"/>
              <w:marTop w:val="0"/>
              <w:marBottom w:val="0"/>
              <w:divBdr>
                <w:top w:val="none" w:sz="0" w:space="0" w:color="auto"/>
                <w:left w:val="none" w:sz="0" w:space="0" w:color="auto"/>
                <w:bottom w:val="none" w:sz="0" w:space="0" w:color="auto"/>
                <w:right w:val="none" w:sz="0" w:space="0" w:color="auto"/>
              </w:divBdr>
            </w:div>
            <w:div w:id="1209223579">
              <w:marLeft w:val="0"/>
              <w:marRight w:val="0"/>
              <w:marTop w:val="0"/>
              <w:marBottom w:val="0"/>
              <w:divBdr>
                <w:top w:val="none" w:sz="0" w:space="0" w:color="auto"/>
                <w:left w:val="none" w:sz="0" w:space="0" w:color="auto"/>
                <w:bottom w:val="none" w:sz="0" w:space="0" w:color="auto"/>
                <w:right w:val="none" w:sz="0" w:space="0" w:color="auto"/>
              </w:divBdr>
            </w:div>
            <w:div w:id="1421684787">
              <w:marLeft w:val="0"/>
              <w:marRight w:val="0"/>
              <w:marTop w:val="0"/>
              <w:marBottom w:val="0"/>
              <w:divBdr>
                <w:top w:val="none" w:sz="0" w:space="0" w:color="auto"/>
                <w:left w:val="none" w:sz="0" w:space="0" w:color="auto"/>
                <w:bottom w:val="none" w:sz="0" w:space="0" w:color="auto"/>
                <w:right w:val="none" w:sz="0" w:space="0" w:color="auto"/>
              </w:divBdr>
            </w:div>
            <w:div w:id="1468859717">
              <w:marLeft w:val="0"/>
              <w:marRight w:val="0"/>
              <w:marTop w:val="0"/>
              <w:marBottom w:val="0"/>
              <w:divBdr>
                <w:top w:val="none" w:sz="0" w:space="0" w:color="auto"/>
                <w:left w:val="none" w:sz="0" w:space="0" w:color="auto"/>
                <w:bottom w:val="none" w:sz="0" w:space="0" w:color="auto"/>
                <w:right w:val="none" w:sz="0" w:space="0" w:color="auto"/>
              </w:divBdr>
            </w:div>
            <w:div w:id="1603879386">
              <w:marLeft w:val="0"/>
              <w:marRight w:val="0"/>
              <w:marTop w:val="0"/>
              <w:marBottom w:val="0"/>
              <w:divBdr>
                <w:top w:val="none" w:sz="0" w:space="0" w:color="auto"/>
                <w:left w:val="none" w:sz="0" w:space="0" w:color="auto"/>
                <w:bottom w:val="none" w:sz="0" w:space="0" w:color="auto"/>
                <w:right w:val="none" w:sz="0" w:space="0" w:color="auto"/>
              </w:divBdr>
            </w:div>
            <w:div w:id="1746760125">
              <w:marLeft w:val="0"/>
              <w:marRight w:val="0"/>
              <w:marTop w:val="0"/>
              <w:marBottom w:val="0"/>
              <w:divBdr>
                <w:top w:val="none" w:sz="0" w:space="0" w:color="auto"/>
                <w:left w:val="none" w:sz="0" w:space="0" w:color="auto"/>
                <w:bottom w:val="none" w:sz="0" w:space="0" w:color="auto"/>
                <w:right w:val="none" w:sz="0" w:space="0" w:color="auto"/>
              </w:divBdr>
            </w:div>
            <w:div w:id="214669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01874">
      <w:bodyDiv w:val="1"/>
      <w:marLeft w:val="0"/>
      <w:marRight w:val="0"/>
      <w:marTop w:val="0"/>
      <w:marBottom w:val="0"/>
      <w:divBdr>
        <w:top w:val="none" w:sz="0" w:space="0" w:color="auto"/>
        <w:left w:val="none" w:sz="0" w:space="0" w:color="auto"/>
        <w:bottom w:val="none" w:sz="0" w:space="0" w:color="auto"/>
        <w:right w:val="none" w:sz="0" w:space="0" w:color="auto"/>
      </w:divBdr>
    </w:div>
    <w:div w:id="1071851967">
      <w:bodyDiv w:val="1"/>
      <w:marLeft w:val="0"/>
      <w:marRight w:val="0"/>
      <w:marTop w:val="0"/>
      <w:marBottom w:val="0"/>
      <w:divBdr>
        <w:top w:val="none" w:sz="0" w:space="0" w:color="auto"/>
        <w:left w:val="none" w:sz="0" w:space="0" w:color="auto"/>
        <w:bottom w:val="none" w:sz="0" w:space="0" w:color="auto"/>
        <w:right w:val="none" w:sz="0" w:space="0" w:color="auto"/>
      </w:divBdr>
    </w:div>
    <w:div w:id="1087730659">
      <w:bodyDiv w:val="1"/>
      <w:marLeft w:val="0"/>
      <w:marRight w:val="0"/>
      <w:marTop w:val="0"/>
      <w:marBottom w:val="0"/>
      <w:divBdr>
        <w:top w:val="none" w:sz="0" w:space="0" w:color="auto"/>
        <w:left w:val="none" w:sz="0" w:space="0" w:color="auto"/>
        <w:bottom w:val="none" w:sz="0" w:space="0" w:color="auto"/>
        <w:right w:val="none" w:sz="0" w:space="0" w:color="auto"/>
      </w:divBdr>
    </w:div>
    <w:div w:id="1107699400">
      <w:bodyDiv w:val="1"/>
      <w:marLeft w:val="0"/>
      <w:marRight w:val="0"/>
      <w:marTop w:val="0"/>
      <w:marBottom w:val="0"/>
      <w:divBdr>
        <w:top w:val="none" w:sz="0" w:space="0" w:color="auto"/>
        <w:left w:val="none" w:sz="0" w:space="0" w:color="auto"/>
        <w:bottom w:val="none" w:sz="0" w:space="0" w:color="auto"/>
        <w:right w:val="none" w:sz="0" w:space="0" w:color="auto"/>
      </w:divBdr>
      <w:divsChild>
        <w:div w:id="162865676">
          <w:marLeft w:val="0"/>
          <w:marRight w:val="0"/>
          <w:marTop w:val="0"/>
          <w:marBottom w:val="0"/>
          <w:divBdr>
            <w:top w:val="none" w:sz="0" w:space="0" w:color="auto"/>
            <w:left w:val="none" w:sz="0" w:space="0" w:color="auto"/>
            <w:bottom w:val="none" w:sz="0" w:space="0" w:color="auto"/>
            <w:right w:val="none" w:sz="0" w:space="0" w:color="auto"/>
          </w:divBdr>
          <w:divsChild>
            <w:div w:id="2046715998">
              <w:marLeft w:val="0"/>
              <w:marRight w:val="0"/>
              <w:marTop w:val="0"/>
              <w:marBottom w:val="0"/>
              <w:divBdr>
                <w:top w:val="none" w:sz="0" w:space="0" w:color="auto"/>
                <w:left w:val="none" w:sz="0" w:space="0" w:color="auto"/>
                <w:bottom w:val="none" w:sz="0" w:space="0" w:color="auto"/>
                <w:right w:val="none" w:sz="0" w:space="0" w:color="auto"/>
              </w:divBdr>
              <w:divsChild>
                <w:div w:id="282001411">
                  <w:marLeft w:val="0"/>
                  <w:marRight w:val="0"/>
                  <w:marTop w:val="0"/>
                  <w:marBottom w:val="0"/>
                  <w:divBdr>
                    <w:top w:val="none" w:sz="0" w:space="0" w:color="auto"/>
                    <w:left w:val="none" w:sz="0" w:space="0" w:color="auto"/>
                    <w:bottom w:val="none" w:sz="0" w:space="0" w:color="auto"/>
                    <w:right w:val="none" w:sz="0" w:space="0" w:color="auto"/>
                  </w:divBdr>
                  <w:divsChild>
                    <w:div w:id="872159387">
                      <w:marLeft w:val="0"/>
                      <w:marRight w:val="0"/>
                      <w:marTop w:val="0"/>
                      <w:marBottom w:val="0"/>
                      <w:divBdr>
                        <w:top w:val="none" w:sz="0" w:space="0" w:color="auto"/>
                        <w:left w:val="none" w:sz="0" w:space="0" w:color="auto"/>
                        <w:bottom w:val="none" w:sz="0" w:space="0" w:color="auto"/>
                        <w:right w:val="none" w:sz="0" w:space="0" w:color="auto"/>
                      </w:divBdr>
                      <w:divsChild>
                        <w:div w:id="1618103022">
                          <w:marLeft w:val="0"/>
                          <w:marRight w:val="0"/>
                          <w:marTop w:val="0"/>
                          <w:marBottom w:val="0"/>
                          <w:divBdr>
                            <w:top w:val="none" w:sz="0" w:space="0" w:color="auto"/>
                            <w:left w:val="none" w:sz="0" w:space="0" w:color="auto"/>
                            <w:bottom w:val="none" w:sz="0" w:space="0" w:color="auto"/>
                            <w:right w:val="none" w:sz="0" w:space="0" w:color="auto"/>
                          </w:divBdr>
                          <w:divsChild>
                            <w:div w:id="659623766">
                              <w:marLeft w:val="0"/>
                              <w:marRight w:val="0"/>
                              <w:marTop w:val="0"/>
                              <w:marBottom w:val="0"/>
                              <w:divBdr>
                                <w:top w:val="none" w:sz="0" w:space="0" w:color="auto"/>
                                <w:left w:val="none" w:sz="0" w:space="0" w:color="auto"/>
                                <w:bottom w:val="none" w:sz="0" w:space="0" w:color="auto"/>
                                <w:right w:val="none" w:sz="0" w:space="0" w:color="auto"/>
                              </w:divBdr>
                              <w:divsChild>
                                <w:div w:id="476610536">
                                  <w:marLeft w:val="0"/>
                                  <w:marRight w:val="0"/>
                                  <w:marTop w:val="0"/>
                                  <w:marBottom w:val="0"/>
                                  <w:divBdr>
                                    <w:top w:val="none" w:sz="0" w:space="0" w:color="auto"/>
                                    <w:left w:val="none" w:sz="0" w:space="0" w:color="auto"/>
                                    <w:bottom w:val="none" w:sz="0" w:space="0" w:color="auto"/>
                                    <w:right w:val="none" w:sz="0" w:space="0" w:color="auto"/>
                                  </w:divBdr>
                                  <w:divsChild>
                                    <w:div w:id="15919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1464105">
      <w:bodyDiv w:val="1"/>
      <w:marLeft w:val="0"/>
      <w:marRight w:val="0"/>
      <w:marTop w:val="0"/>
      <w:marBottom w:val="0"/>
      <w:divBdr>
        <w:top w:val="none" w:sz="0" w:space="0" w:color="auto"/>
        <w:left w:val="none" w:sz="0" w:space="0" w:color="auto"/>
        <w:bottom w:val="none" w:sz="0" w:space="0" w:color="auto"/>
        <w:right w:val="none" w:sz="0" w:space="0" w:color="auto"/>
      </w:divBdr>
      <w:divsChild>
        <w:div w:id="1880240263">
          <w:marLeft w:val="0"/>
          <w:marRight w:val="0"/>
          <w:marTop w:val="0"/>
          <w:marBottom w:val="0"/>
          <w:divBdr>
            <w:top w:val="none" w:sz="0" w:space="0" w:color="auto"/>
            <w:left w:val="none" w:sz="0" w:space="0" w:color="auto"/>
            <w:bottom w:val="none" w:sz="0" w:space="0" w:color="auto"/>
            <w:right w:val="none" w:sz="0" w:space="0" w:color="auto"/>
          </w:divBdr>
          <w:divsChild>
            <w:div w:id="1824198443">
              <w:marLeft w:val="0"/>
              <w:marRight w:val="0"/>
              <w:marTop w:val="0"/>
              <w:marBottom w:val="0"/>
              <w:divBdr>
                <w:top w:val="none" w:sz="0" w:space="0" w:color="auto"/>
                <w:left w:val="none" w:sz="0" w:space="0" w:color="auto"/>
                <w:bottom w:val="none" w:sz="0" w:space="0" w:color="auto"/>
                <w:right w:val="none" w:sz="0" w:space="0" w:color="auto"/>
              </w:divBdr>
              <w:divsChild>
                <w:div w:id="1952593523">
                  <w:marLeft w:val="0"/>
                  <w:marRight w:val="0"/>
                  <w:marTop w:val="0"/>
                  <w:marBottom w:val="0"/>
                  <w:divBdr>
                    <w:top w:val="none" w:sz="0" w:space="0" w:color="auto"/>
                    <w:left w:val="none" w:sz="0" w:space="0" w:color="auto"/>
                    <w:bottom w:val="none" w:sz="0" w:space="0" w:color="auto"/>
                    <w:right w:val="none" w:sz="0" w:space="0" w:color="auto"/>
                  </w:divBdr>
                  <w:divsChild>
                    <w:div w:id="365107058">
                      <w:marLeft w:val="0"/>
                      <w:marRight w:val="0"/>
                      <w:marTop w:val="0"/>
                      <w:marBottom w:val="0"/>
                      <w:divBdr>
                        <w:top w:val="none" w:sz="0" w:space="0" w:color="auto"/>
                        <w:left w:val="none" w:sz="0" w:space="0" w:color="auto"/>
                        <w:bottom w:val="none" w:sz="0" w:space="0" w:color="auto"/>
                        <w:right w:val="none" w:sz="0" w:space="0" w:color="auto"/>
                      </w:divBdr>
                      <w:divsChild>
                        <w:div w:id="74561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0875">
      <w:bodyDiv w:val="1"/>
      <w:marLeft w:val="0"/>
      <w:marRight w:val="0"/>
      <w:marTop w:val="0"/>
      <w:marBottom w:val="0"/>
      <w:divBdr>
        <w:top w:val="none" w:sz="0" w:space="0" w:color="auto"/>
        <w:left w:val="none" w:sz="0" w:space="0" w:color="auto"/>
        <w:bottom w:val="none" w:sz="0" w:space="0" w:color="auto"/>
        <w:right w:val="none" w:sz="0" w:space="0" w:color="auto"/>
      </w:divBdr>
    </w:div>
    <w:div w:id="1185704219">
      <w:bodyDiv w:val="1"/>
      <w:marLeft w:val="0"/>
      <w:marRight w:val="0"/>
      <w:marTop w:val="0"/>
      <w:marBottom w:val="0"/>
      <w:divBdr>
        <w:top w:val="none" w:sz="0" w:space="0" w:color="auto"/>
        <w:left w:val="none" w:sz="0" w:space="0" w:color="auto"/>
        <w:bottom w:val="none" w:sz="0" w:space="0" w:color="auto"/>
        <w:right w:val="none" w:sz="0" w:space="0" w:color="auto"/>
      </w:divBdr>
      <w:divsChild>
        <w:div w:id="1323512627">
          <w:marLeft w:val="0"/>
          <w:marRight w:val="0"/>
          <w:marTop w:val="0"/>
          <w:marBottom w:val="0"/>
          <w:divBdr>
            <w:top w:val="none" w:sz="0" w:space="0" w:color="auto"/>
            <w:left w:val="none" w:sz="0" w:space="0" w:color="auto"/>
            <w:bottom w:val="none" w:sz="0" w:space="0" w:color="auto"/>
            <w:right w:val="none" w:sz="0" w:space="0" w:color="auto"/>
          </w:divBdr>
          <w:divsChild>
            <w:div w:id="1742367810">
              <w:marLeft w:val="0"/>
              <w:marRight w:val="0"/>
              <w:marTop w:val="0"/>
              <w:marBottom w:val="0"/>
              <w:divBdr>
                <w:top w:val="none" w:sz="0" w:space="0" w:color="auto"/>
                <w:left w:val="none" w:sz="0" w:space="0" w:color="auto"/>
                <w:bottom w:val="none" w:sz="0" w:space="0" w:color="auto"/>
                <w:right w:val="none" w:sz="0" w:space="0" w:color="auto"/>
              </w:divBdr>
              <w:divsChild>
                <w:div w:id="81699039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200629472">
      <w:bodyDiv w:val="1"/>
      <w:marLeft w:val="0"/>
      <w:marRight w:val="0"/>
      <w:marTop w:val="0"/>
      <w:marBottom w:val="0"/>
      <w:divBdr>
        <w:top w:val="none" w:sz="0" w:space="0" w:color="auto"/>
        <w:left w:val="none" w:sz="0" w:space="0" w:color="auto"/>
        <w:bottom w:val="none" w:sz="0" w:space="0" w:color="auto"/>
        <w:right w:val="none" w:sz="0" w:space="0" w:color="auto"/>
      </w:divBdr>
    </w:div>
    <w:div w:id="1260798763">
      <w:bodyDiv w:val="1"/>
      <w:marLeft w:val="0"/>
      <w:marRight w:val="0"/>
      <w:marTop w:val="0"/>
      <w:marBottom w:val="0"/>
      <w:divBdr>
        <w:top w:val="none" w:sz="0" w:space="0" w:color="auto"/>
        <w:left w:val="none" w:sz="0" w:space="0" w:color="auto"/>
        <w:bottom w:val="none" w:sz="0" w:space="0" w:color="auto"/>
        <w:right w:val="none" w:sz="0" w:space="0" w:color="auto"/>
      </w:divBdr>
    </w:div>
    <w:div w:id="1340810898">
      <w:bodyDiv w:val="1"/>
      <w:marLeft w:val="0"/>
      <w:marRight w:val="0"/>
      <w:marTop w:val="0"/>
      <w:marBottom w:val="0"/>
      <w:divBdr>
        <w:top w:val="none" w:sz="0" w:space="0" w:color="auto"/>
        <w:left w:val="none" w:sz="0" w:space="0" w:color="auto"/>
        <w:bottom w:val="none" w:sz="0" w:space="0" w:color="auto"/>
        <w:right w:val="none" w:sz="0" w:space="0" w:color="auto"/>
      </w:divBdr>
      <w:divsChild>
        <w:div w:id="274757492">
          <w:marLeft w:val="0"/>
          <w:marRight w:val="0"/>
          <w:marTop w:val="240"/>
          <w:marBottom w:val="480"/>
          <w:divBdr>
            <w:top w:val="none" w:sz="0" w:space="0" w:color="auto"/>
            <w:left w:val="none" w:sz="0" w:space="0" w:color="auto"/>
            <w:bottom w:val="none" w:sz="0" w:space="0" w:color="auto"/>
            <w:right w:val="none" w:sz="0" w:space="0" w:color="auto"/>
          </w:divBdr>
          <w:divsChild>
            <w:div w:id="1425301244">
              <w:marLeft w:val="0"/>
              <w:marRight w:val="0"/>
              <w:marTop w:val="0"/>
              <w:marBottom w:val="0"/>
              <w:divBdr>
                <w:top w:val="none" w:sz="0" w:space="0" w:color="auto"/>
                <w:left w:val="none" w:sz="0" w:space="0" w:color="auto"/>
                <w:bottom w:val="none" w:sz="0" w:space="0" w:color="auto"/>
                <w:right w:val="none" w:sz="0" w:space="0" w:color="auto"/>
              </w:divBdr>
              <w:divsChild>
                <w:div w:id="1328558099">
                  <w:marLeft w:val="0"/>
                  <w:marRight w:val="0"/>
                  <w:marTop w:val="0"/>
                  <w:marBottom w:val="0"/>
                  <w:divBdr>
                    <w:top w:val="none" w:sz="0" w:space="0" w:color="auto"/>
                    <w:left w:val="none" w:sz="0" w:space="0" w:color="auto"/>
                    <w:bottom w:val="none" w:sz="0" w:space="0" w:color="auto"/>
                    <w:right w:val="none" w:sz="0" w:space="0" w:color="auto"/>
                  </w:divBdr>
                  <w:divsChild>
                    <w:div w:id="2037655610">
                      <w:marLeft w:val="0"/>
                      <w:marRight w:val="0"/>
                      <w:marTop w:val="0"/>
                      <w:marBottom w:val="0"/>
                      <w:divBdr>
                        <w:top w:val="none" w:sz="0" w:space="0" w:color="auto"/>
                        <w:left w:val="none" w:sz="0" w:space="0" w:color="auto"/>
                        <w:bottom w:val="none" w:sz="0" w:space="0" w:color="auto"/>
                        <w:right w:val="none" w:sz="0" w:space="0" w:color="auto"/>
                      </w:divBdr>
                      <w:divsChild>
                        <w:div w:id="152038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6365941">
      <w:bodyDiv w:val="1"/>
      <w:marLeft w:val="0"/>
      <w:marRight w:val="0"/>
      <w:marTop w:val="0"/>
      <w:marBottom w:val="0"/>
      <w:divBdr>
        <w:top w:val="none" w:sz="0" w:space="0" w:color="auto"/>
        <w:left w:val="none" w:sz="0" w:space="0" w:color="auto"/>
        <w:bottom w:val="none" w:sz="0" w:space="0" w:color="auto"/>
        <w:right w:val="none" w:sz="0" w:space="0" w:color="auto"/>
      </w:divBdr>
    </w:div>
    <w:div w:id="1445076753">
      <w:bodyDiv w:val="1"/>
      <w:marLeft w:val="0"/>
      <w:marRight w:val="0"/>
      <w:marTop w:val="0"/>
      <w:marBottom w:val="0"/>
      <w:divBdr>
        <w:top w:val="none" w:sz="0" w:space="0" w:color="auto"/>
        <w:left w:val="none" w:sz="0" w:space="0" w:color="auto"/>
        <w:bottom w:val="none" w:sz="0" w:space="0" w:color="auto"/>
        <w:right w:val="none" w:sz="0" w:space="0" w:color="auto"/>
      </w:divBdr>
    </w:div>
    <w:div w:id="1482428467">
      <w:bodyDiv w:val="1"/>
      <w:marLeft w:val="0"/>
      <w:marRight w:val="0"/>
      <w:marTop w:val="0"/>
      <w:marBottom w:val="0"/>
      <w:divBdr>
        <w:top w:val="none" w:sz="0" w:space="0" w:color="auto"/>
        <w:left w:val="none" w:sz="0" w:space="0" w:color="auto"/>
        <w:bottom w:val="none" w:sz="0" w:space="0" w:color="auto"/>
        <w:right w:val="none" w:sz="0" w:space="0" w:color="auto"/>
      </w:divBdr>
    </w:div>
    <w:div w:id="1497112898">
      <w:bodyDiv w:val="1"/>
      <w:marLeft w:val="0"/>
      <w:marRight w:val="0"/>
      <w:marTop w:val="0"/>
      <w:marBottom w:val="0"/>
      <w:divBdr>
        <w:top w:val="none" w:sz="0" w:space="0" w:color="auto"/>
        <w:left w:val="none" w:sz="0" w:space="0" w:color="auto"/>
        <w:bottom w:val="none" w:sz="0" w:space="0" w:color="auto"/>
        <w:right w:val="none" w:sz="0" w:space="0" w:color="auto"/>
      </w:divBdr>
      <w:divsChild>
        <w:div w:id="760686564">
          <w:marLeft w:val="0"/>
          <w:marRight w:val="0"/>
          <w:marTop w:val="0"/>
          <w:marBottom w:val="0"/>
          <w:divBdr>
            <w:top w:val="none" w:sz="0" w:space="0" w:color="auto"/>
            <w:left w:val="none" w:sz="0" w:space="0" w:color="auto"/>
            <w:bottom w:val="none" w:sz="0" w:space="0" w:color="auto"/>
            <w:right w:val="none" w:sz="0" w:space="0" w:color="auto"/>
          </w:divBdr>
          <w:divsChild>
            <w:div w:id="2104762385">
              <w:marLeft w:val="0"/>
              <w:marRight w:val="0"/>
              <w:marTop w:val="0"/>
              <w:marBottom w:val="0"/>
              <w:divBdr>
                <w:top w:val="none" w:sz="0" w:space="0" w:color="auto"/>
                <w:left w:val="none" w:sz="0" w:space="0" w:color="auto"/>
                <w:bottom w:val="none" w:sz="0" w:space="0" w:color="auto"/>
                <w:right w:val="none" w:sz="0" w:space="0" w:color="auto"/>
              </w:divBdr>
              <w:divsChild>
                <w:div w:id="128083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488553">
      <w:bodyDiv w:val="1"/>
      <w:marLeft w:val="0"/>
      <w:marRight w:val="0"/>
      <w:marTop w:val="0"/>
      <w:marBottom w:val="0"/>
      <w:divBdr>
        <w:top w:val="none" w:sz="0" w:space="0" w:color="auto"/>
        <w:left w:val="none" w:sz="0" w:space="0" w:color="auto"/>
        <w:bottom w:val="none" w:sz="0" w:space="0" w:color="auto"/>
        <w:right w:val="none" w:sz="0" w:space="0" w:color="auto"/>
      </w:divBdr>
      <w:divsChild>
        <w:div w:id="1724793342">
          <w:marLeft w:val="0"/>
          <w:marRight w:val="0"/>
          <w:marTop w:val="240"/>
          <w:marBottom w:val="480"/>
          <w:divBdr>
            <w:top w:val="none" w:sz="0" w:space="0" w:color="auto"/>
            <w:left w:val="none" w:sz="0" w:space="0" w:color="auto"/>
            <w:bottom w:val="none" w:sz="0" w:space="0" w:color="auto"/>
            <w:right w:val="none" w:sz="0" w:space="0" w:color="auto"/>
          </w:divBdr>
          <w:divsChild>
            <w:div w:id="996345272">
              <w:marLeft w:val="0"/>
              <w:marRight w:val="0"/>
              <w:marTop w:val="0"/>
              <w:marBottom w:val="0"/>
              <w:divBdr>
                <w:top w:val="none" w:sz="0" w:space="0" w:color="auto"/>
                <w:left w:val="none" w:sz="0" w:space="0" w:color="auto"/>
                <w:bottom w:val="none" w:sz="0" w:space="0" w:color="auto"/>
                <w:right w:val="none" w:sz="0" w:space="0" w:color="auto"/>
              </w:divBdr>
              <w:divsChild>
                <w:div w:id="1687169138">
                  <w:marLeft w:val="0"/>
                  <w:marRight w:val="0"/>
                  <w:marTop w:val="0"/>
                  <w:marBottom w:val="0"/>
                  <w:divBdr>
                    <w:top w:val="none" w:sz="0" w:space="0" w:color="auto"/>
                    <w:left w:val="none" w:sz="0" w:space="0" w:color="auto"/>
                    <w:bottom w:val="none" w:sz="0" w:space="0" w:color="auto"/>
                    <w:right w:val="none" w:sz="0" w:space="0" w:color="auto"/>
                  </w:divBdr>
                  <w:divsChild>
                    <w:div w:id="415638853">
                      <w:marLeft w:val="0"/>
                      <w:marRight w:val="0"/>
                      <w:marTop w:val="0"/>
                      <w:marBottom w:val="0"/>
                      <w:divBdr>
                        <w:top w:val="none" w:sz="0" w:space="0" w:color="auto"/>
                        <w:left w:val="none" w:sz="0" w:space="0" w:color="auto"/>
                        <w:bottom w:val="none" w:sz="0" w:space="0" w:color="auto"/>
                        <w:right w:val="none" w:sz="0" w:space="0" w:color="auto"/>
                      </w:divBdr>
                      <w:divsChild>
                        <w:div w:id="89065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8006803">
      <w:bodyDiv w:val="1"/>
      <w:marLeft w:val="0"/>
      <w:marRight w:val="0"/>
      <w:marTop w:val="0"/>
      <w:marBottom w:val="0"/>
      <w:divBdr>
        <w:top w:val="none" w:sz="0" w:space="0" w:color="auto"/>
        <w:left w:val="none" w:sz="0" w:space="0" w:color="auto"/>
        <w:bottom w:val="none" w:sz="0" w:space="0" w:color="auto"/>
        <w:right w:val="none" w:sz="0" w:space="0" w:color="auto"/>
      </w:divBdr>
      <w:divsChild>
        <w:div w:id="1031806063">
          <w:marLeft w:val="0"/>
          <w:marRight w:val="0"/>
          <w:marTop w:val="240"/>
          <w:marBottom w:val="480"/>
          <w:divBdr>
            <w:top w:val="none" w:sz="0" w:space="0" w:color="auto"/>
            <w:left w:val="none" w:sz="0" w:space="0" w:color="auto"/>
            <w:bottom w:val="none" w:sz="0" w:space="0" w:color="auto"/>
            <w:right w:val="none" w:sz="0" w:space="0" w:color="auto"/>
          </w:divBdr>
          <w:divsChild>
            <w:div w:id="729033139">
              <w:marLeft w:val="0"/>
              <w:marRight w:val="0"/>
              <w:marTop w:val="0"/>
              <w:marBottom w:val="0"/>
              <w:divBdr>
                <w:top w:val="none" w:sz="0" w:space="0" w:color="auto"/>
                <w:left w:val="none" w:sz="0" w:space="0" w:color="auto"/>
                <w:bottom w:val="none" w:sz="0" w:space="0" w:color="auto"/>
                <w:right w:val="none" w:sz="0" w:space="0" w:color="auto"/>
              </w:divBdr>
              <w:divsChild>
                <w:div w:id="1712488078">
                  <w:marLeft w:val="0"/>
                  <w:marRight w:val="0"/>
                  <w:marTop w:val="0"/>
                  <w:marBottom w:val="0"/>
                  <w:divBdr>
                    <w:top w:val="none" w:sz="0" w:space="0" w:color="auto"/>
                    <w:left w:val="none" w:sz="0" w:space="0" w:color="auto"/>
                    <w:bottom w:val="none" w:sz="0" w:space="0" w:color="auto"/>
                    <w:right w:val="none" w:sz="0" w:space="0" w:color="auto"/>
                  </w:divBdr>
                  <w:divsChild>
                    <w:div w:id="36130310">
                      <w:marLeft w:val="0"/>
                      <w:marRight w:val="0"/>
                      <w:marTop w:val="0"/>
                      <w:marBottom w:val="0"/>
                      <w:divBdr>
                        <w:top w:val="none" w:sz="0" w:space="0" w:color="auto"/>
                        <w:left w:val="none" w:sz="0" w:space="0" w:color="auto"/>
                        <w:bottom w:val="none" w:sz="0" w:space="0" w:color="auto"/>
                        <w:right w:val="none" w:sz="0" w:space="0" w:color="auto"/>
                      </w:divBdr>
                      <w:divsChild>
                        <w:div w:id="2063287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3144599">
      <w:bodyDiv w:val="1"/>
      <w:marLeft w:val="0"/>
      <w:marRight w:val="0"/>
      <w:marTop w:val="0"/>
      <w:marBottom w:val="0"/>
      <w:divBdr>
        <w:top w:val="none" w:sz="0" w:space="0" w:color="auto"/>
        <w:left w:val="none" w:sz="0" w:space="0" w:color="auto"/>
        <w:bottom w:val="none" w:sz="0" w:space="0" w:color="auto"/>
        <w:right w:val="none" w:sz="0" w:space="0" w:color="auto"/>
      </w:divBdr>
    </w:div>
    <w:div w:id="1643149819">
      <w:bodyDiv w:val="1"/>
      <w:marLeft w:val="0"/>
      <w:marRight w:val="0"/>
      <w:marTop w:val="0"/>
      <w:marBottom w:val="0"/>
      <w:divBdr>
        <w:top w:val="none" w:sz="0" w:space="0" w:color="auto"/>
        <w:left w:val="none" w:sz="0" w:space="0" w:color="auto"/>
        <w:bottom w:val="none" w:sz="0" w:space="0" w:color="auto"/>
        <w:right w:val="none" w:sz="0" w:space="0" w:color="auto"/>
      </w:divBdr>
    </w:div>
    <w:div w:id="1726752529">
      <w:bodyDiv w:val="1"/>
      <w:marLeft w:val="0"/>
      <w:marRight w:val="0"/>
      <w:marTop w:val="0"/>
      <w:marBottom w:val="0"/>
      <w:divBdr>
        <w:top w:val="none" w:sz="0" w:space="0" w:color="auto"/>
        <w:left w:val="none" w:sz="0" w:space="0" w:color="auto"/>
        <w:bottom w:val="none" w:sz="0" w:space="0" w:color="auto"/>
        <w:right w:val="none" w:sz="0" w:space="0" w:color="auto"/>
      </w:divBdr>
    </w:div>
    <w:div w:id="1759979915">
      <w:bodyDiv w:val="1"/>
      <w:marLeft w:val="0"/>
      <w:marRight w:val="0"/>
      <w:marTop w:val="0"/>
      <w:marBottom w:val="0"/>
      <w:divBdr>
        <w:top w:val="none" w:sz="0" w:space="0" w:color="auto"/>
        <w:left w:val="none" w:sz="0" w:space="0" w:color="auto"/>
        <w:bottom w:val="none" w:sz="0" w:space="0" w:color="auto"/>
        <w:right w:val="none" w:sz="0" w:space="0" w:color="auto"/>
      </w:divBdr>
    </w:div>
    <w:div w:id="1802647991">
      <w:bodyDiv w:val="1"/>
      <w:marLeft w:val="0"/>
      <w:marRight w:val="0"/>
      <w:marTop w:val="0"/>
      <w:marBottom w:val="0"/>
      <w:divBdr>
        <w:top w:val="none" w:sz="0" w:space="0" w:color="auto"/>
        <w:left w:val="none" w:sz="0" w:space="0" w:color="auto"/>
        <w:bottom w:val="none" w:sz="0" w:space="0" w:color="auto"/>
        <w:right w:val="none" w:sz="0" w:space="0" w:color="auto"/>
      </w:divBdr>
    </w:div>
    <w:div w:id="1816871613">
      <w:bodyDiv w:val="1"/>
      <w:marLeft w:val="0"/>
      <w:marRight w:val="0"/>
      <w:marTop w:val="0"/>
      <w:marBottom w:val="0"/>
      <w:divBdr>
        <w:top w:val="none" w:sz="0" w:space="0" w:color="auto"/>
        <w:left w:val="none" w:sz="0" w:space="0" w:color="auto"/>
        <w:bottom w:val="none" w:sz="0" w:space="0" w:color="auto"/>
        <w:right w:val="none" w:sz="0" w:space="0" w:color="auto"/>
      </w:divBdr>
    </w:div>
    <w:div w:id="1839226318">
      <w:bodyDiv w:val="1"/>
      <w:marLeft w:val="0"/>
      <w:marRight w:val="0"/>
      <w:marTop w:val="0"/>
      <w:marBottom w:val="0"/>
      <w:divBdr>
        <w:top w:val="none" w:sz="0" w:space="0" w:color="auto"/>
        <w:left w:val="none" w:sz="0" w:space="0" w:color="auto"/>
        <w:bottom w:val="none" w:sz="0" w:space="0" w:color="auto"/>
        <w:right w:val="none" w:sz="0" w:space="0" w:color="auto"/>
      </w:divBdr>
      <w:divsChild>
        <w:div w:id="782191090">
          <w:marLeft w:val="0"/>
          <w:marRight w:val="0"/>
          <w:marTop w:val="0"/>
          <w:marBottom w:val="0"/>
          <w:divBdr>
            <w:top w:val="none" w:sz="0" w:space="0" w:color="auto"/>
            <w:left w:val="none" w:sz="0" w:space="0" w:color="auto"/>
            <w:bottom w:val="none" w:sz="0" w:space="0" w:color="auto"/>
            <w:right w:val="none" w:sz="0" w:space="0" w:color="auto"/>
          </w:divBdr>
          <w:divsChild>
            <w:div w:id="1818644407">
              <w:marLeft w:val="0"/>
              <w:marRight w:val="0"/>
              <w:marTop w:val="0"/>
              <w:marBottom w:val="0"/>
              <w:divBdr>
                <w:top w:val="none" w:sz="0" w:space="0" w:color="auto"/>
                <w:left w:val="none" w:sz="0" w:space="0" w:color="auto"/>
                <w:bottom w:val="none" w:sz="0" w:space="0" w:color="auto"/>
                <w:right w:val="none" w:sz="0" w:space="0" w:color="auto"/>
              </w:divBdr>
              <w:divsChild>
                <w:div w:id="862129496">
                  <w:marLeft w:val="0"/>
                  <w:marRight w:val="0"/>
                  <w:marTop w:val="0"/>
                  <w:marBottom w:val="0"/>
                  <w:divBdr>
                    <w:top w:val="none" w:sz="0" w:space="0" w:color="auto"/>
                    <w:left w:val="none" w:sz="0" w:space="0" w:color="auto"/>
                    <w:bottom w:val="none" w:sz="0" w:space="0" w:color="auto"/>
                    <w:right w:val="none" w:sz="0" w:space="0" w:color="auto"/>
                  </w:divBdr>
                  <w:divsChild>
                    <w:div w:id="824130572">
                      <w:marLeft w:val="0"/>
                      <w:marRight w:val="0"/>
                      <w:marTop w:val="0"/>
                      <w:marBottom w:val="0"/>
                      <w:divBdr>
                        <w:top w:val="none" w:sz="0" w:space="0" w:color="auto"/>
                        <w:left w:val="none" w:sz="0" w:space="0" w:color="auto"/>
                        <w:bottom w:val="none" w:sz="0" w:space="0" w:color="auto"/>
                        <w:right w:val="none" w:sz="0" w:space="0" w:color="auto"/>
                      </w:divBdr>
                      <w:divsChild>
                        <w:div w:id="1735934128">
                          <w:marLeft w:val="0"/>
                          <w:marRight w:val="0"/>
                          <w:marTop w:val="0"/>
                          <w:marBottom w:val="0"/>
                          <w:divBdr>
                            <w:top w:val="none" w:sz="0" w:space="0" w:color="auto"/>
                            <w:left w:val="none" w:sz="0" w:space="0" w:color="auto"/>
                            <w:bottom w:val="none" w:sz="0" w:space="0" w:color="auto"/>
                            <w:right w:val="none" w:sz="0" w:space="0" w:color="auto"/>
                          </w:divBdr>
                          <w:divsChild>
                            <w:div w:id="394205629">
                              <w:marLeft w:val="0"/>
                              <w:marRight w:val="0"/>
                              <w:marTop w:val="0"/>
                              <w:marBottom w:val="0"/>
                              <w:divBdr>
                                <w:top w:val="none" w:sz="0" w:space="0" w:color="auto"/>
                                <w:left w:val="none" w:sz="0" w:space="0" w:color="auto"/>
                                <w:bottom w:val="none" w:sz="0" w:space="0" w:color="auto"/>
                                <w:right w:val="none" w:sz="0" w:space="0" w:color="auto"/>
                              </w:divBdr>
                              <w:divsChild>
                                <w:div w:id="767892129">
                                  <w:marLeft w:val="0"/>
                                  <w:marRight w:val="0"/>
                                  <w:marTop w:val="0"/>
                                  <w:marBottom w:val="0"/>
                                  <w:divBdr>
                                    <w:top w:val="none" w:sz="0" w:space="0" w:color="auto"/>
                                    <w:left w:val="none" w:sz="0" w:space="0" w:color="auto"/>
                                    <w:bottom w:val="none" w:sz="0" w:space="0" w:color="auto"/>
                                    <w:right w:val="none" w:sz="0" w:space="0" w:color="auto"/>
                                  </w:divBdr>
                                  <w:divsChild>
                                    <w:div w:id="488250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7472698">
      <w:bodyDiv w:val="1"/>
      <w:marLeft w:val="0"/>
      <w:marRight w:val="0"/>
      <w:marTop w:val="0"/>
      <w:marBottom w:val="0"/>
      <w:divBdr>
        <w:top w:val="none" w:sz="0" w:space="0" w:color="auto"/>
        <w:left w:val="none" w:sz="0" w:space="0" w:color="auto"/>
        <w:bottom w:val="none" w:sz="0" w:space="0" w:color="auto"/>
        <w:right w:val="none" w:sz="0" w:space="0" w:color="auto"/>
      </w:divBdr>
    </w:div>
    <w:div w:id="1851947252">
      <w:bodyDiv w:val="1"/>
      <w:marLeft w:val="0"/>
      <w:marRight w:val="0"/>
      <w:marTop w:val="0"/>
      <w:marBottom w:val="0"/>
      <w:divBdr>
        <w:top w:val="none" w:sz="0" w:space="0" w:color="auto"/>
        <w:left w:val="none" w:sz="0" w:space="0" w:color="auto"/>
        <w:bottom w:val="none" w:sz="0" w:space="0" w:color="auto"/>
        <w:right w:val="none" w:sz="0" w:space="0" w:color="auto"/>
      </w:divBdr>
    </w:div>
    <w:div w:id="1853958382">
      <w:bodyDiv w:val="1"/>
      <w:marLeft w:val="0"/>
      <w:marRight w:val="0"/>
      <w:marTop w:val="0"/>
      <w:marBottom w:val="0"/>
      <w:divBdr>
        <w:top w:val="none" w:sz="0" w:space="0" w:color="auto"/>
        <w:left w:val="none" w:sz="0" w:space="0" w:color="auto"/>
        <w:bottom w:val="none" w:sz="0" w:space="0" w:color="auto"/>
        <w:right w:val="none" w:sz="0" w:space="0" w:color="auto"/>
      </w:divBdr>
    </w:div>
    <w:div w:id="1919441546">
      <w:bodyDiv w:val="1"/>
      <w:marLeft w:val="0"/>
      <w:marRight w:val="0"/>
      <w:marTop w:val="0"/>
      <w:marBottom w:val="0"/>
      <w:divBdr>
        <w:top w:val="none" w:sz="0" w:space="0" w:color="auto"/>
        <w:left w:val="none" w:sz="0" w:space="0" w:color="auto"/>
        <w:bottom w:val="none" w:sz="0" w:space="0" w:color="auto"/>
        <w:right w:val="none" w:sz="0" w:space="0" w:color="auto"/>
      </w:divBdr>
    </w:div>
    <w:div w:id="1940526241">
      <w:bodyDiv w:val="1"/>
      <w:marLeft w:val="0"/>
      <w:marRight w:val="0"/>
      <w:marTop w:val="0"/>
      <w:marBottom w:val="0"/>
      <w:divBdr>
        <w:top w:val="none" w:sz="0" w:space="0" w:color="auto"/>
        <w:left w:val="none" w:sz="0" w:space="0" w:color="auto"/>
        <w:bottom w:val="none" w:sz="0" w:space="0" w:color="auto"/>
        <w:right w:val="none" w:sz="0" w:space="0" w:color="auto"/>
      </w:divBdr>
      <w:divsChild>
        <w:div w:id="1787775328">
          <w:marLeft w:val="0"/>
          <w:marRight w:val="0"/>
          <w:marTop w:val="240"/>
          <w:marBottom w:val="480"/>
          <w:divBdr>
            <w:top w:val="none" w:sz="0" w:space="0" w:color="auto"/>
            <w:left w:val="none" w:sz="0" w:space="0" w:color="auto"/>
            <w:bottom w:val="none" w:sz="0" w:space="0" w:color="auto"/>
            <w:right w:val="none" w:sz="0" w:space="0" w:color="auto"/>
          </w:divBdr>
          <w:divsChild>
            <w:div w:id="1981884598">
              <w:marLeft w:val="0"/>
              <w:marRight w:val="0"/>
              <w:marTop w:val="0"/>
              <w:marBottom w:val="0"/>
              <w:divBdr>
                <w:top w:val="none" w:sz="0" w:space="0" w:color="auto"/>
                <w:left w:val="none" w:sz="0" w:space="0" w:color="auto"/>
                <w:bottom w:val="none" w:sz="0" w:space="0" w:color="auto"/>
                <w:right w:val="none" w:sz="0" w:space="0" w:color="auto"/>
              </w:divBdr>
              <w:divsChild>
                <w:div w:id="658965073">
                  <w:marLeft w:val="0"/>
                  <w:marRight w:val="0"/>
                  <w:marTop w:val="0"/>
                  <w:marBottom w:val="0"/>
                  <w:divBdr>
                    <w:top w:val="none" w:sz="0" w:space="0" w:color="auto"/>
                    <w:left w:val="none" w:sz="0" w:space="0" w:color="auto"/>
                    <w:bottom w:val="none" w:sz="0" w:space="0" w:color="auto"/>
                    <w:right w:val="none" w:sz="0" w:space="0" w:color="auto"/>
                  </w:divBdr>
                  <w:divsChild>
                    <w:div w:id="1861581230">
                      <w:marLeft w:val="0"/>
                      <w:marRight w:val="0"/>
                      <w:marTop w:val="0"/>
                      <w:marBottom w:val="0"/>
                      <w:divBdr>
                        <w:top w:val="none" w:sz="0" w:space="0" w:color="auto"/>
                        <w:left w:val="none" w:sz="0" w:space="0" w:color="auto"/>
                        <w:bottom w:val="none" w:sz="0" w:space="0" w:color="auto"/>
                        <w:right w:val="none" w:sz="0" w:space="0" w:color="auto"/>
                      </w:divBdr>
                      <w:divsChild>
                        <w:div w:id="20128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876170">
      <w:bodyDiv w:val="1"/>
      <w:marLeft w:val="0"/>
      <w:marRight w:val="0"/>
      <w:marTop w:val="0"/>
      <w:marBottom w:val="0"/>
      <w:divBdr>
        <w:top w:val="none" w:sz="0" w:space="0" w:color="auto"/>
        <w:left w:val="none" w:sz="0" w:space="0" w:color="auto"/>
        <w:bottom w:val="none" w:sz="0" w:space="0" w:color="auto"/>
        <w:right w:val="none" w:sz="0" w:space="0" w:color="auto"/>
      </w:divBdr>
      <w:divsChild>
        <w:div w:id="1018657403">
          <w:marLeft w:val="0"/>
          <w:marRight w:val="0"/>
          <w:marTop w:val="173"/>
          <w:marBottom w:val="0"/>
          <w:divBdr>
            <w:top w:val="none" w:sz="0" w:space="0" w:color="auto"/>
            <w:left w:val="none" w:sz="0" w:space="0" w:color="auto"/>
            <w:bottom w:val="none" w:sz="0" w:space="0" w:color="auto"/>
            <w:right w:val="none" w:sz="0" w:space="0" w:color="auto"/>
          </w:divBdr>
          <w:divsChild>
            <w:div w:id="1624845223">
              <w:marLeft w:val="0"/>
              <w:marRight w:val="0"/>
              <w:marTop w:val="0"/>
              <w:marBottom w:val="0"/>
              <w:divBdr>
                <w:top w:val="none" w:sz="0" w:space="0" w:color="auto"/>
                <w:left w:val="none" w:sz="0" w:space="0" w:color="auto"/>
                <w:bottom w:val="none" w:sz="0" w:space="0" w:color="auto"/>
                <w:right w:val="none" w:sz="0" w:space="0" w:color="auto"/>
              </w:divBdr>
              <w:divsChild>
                <w:div w:id="1331525289">
                  <w:marLeft w:val="0"/>
                  <w:marRight w:val="0"/>
                  <w:marTop w:val="0"/>
                  <w:marBottom w:val="0"/>
                  <w:divBdr>
                    <w:top w:val="none" w:sz="0" w:space="0" w:color="auto"/>
                    <w:left w:val="none" w:sz="0" w:space="0" w:color="auto"/>
                    <w:bottom w:val="none" w:sz="0" w:space="0" w:color="auto"/>
                    <w:right w:val="none" w:sz="0" w:space="0" w:color="auto"/>
                  </w:divBdr>
                  <w:divsChild>
                    <w:div w:id="250356660">
                      <w:marLeft w:val="0"/>
                      <w:marRight w:val="0"/>
                      <w:marTop w:val="0"/>
                      <w:marBottom w:val="0"/>
                      <w:divBdr>
                        <w:top w:val="none" w:sz="0" w:space="0" w:color="auto"/>
                        <w:left w:val="none" w:sz="0" w:space="0" w:color="auto"/>
                        <w:bottom w:val="none" w:sz="0" w:space="0" w:color="auto"/>
                        <w:right w:val="none" w:sz="0" w:space="0" w:color="auto"/>
                      </w:divBdr>
                      <w:divsChild>
                        <w:div w:id="1063677460">
                          <w:marLeft w:val="0"/>
                          <w:marRight w:val="0"/>
                          <w:marTop w:val="0"/>
                          <w:marBottom w:val="0"/>
                          <w:divBdr>
                            <w:top w:val="none" w:sz="0" w:space="0" w:color="auto"/>
                            <w:left w:val="none" w:sz="0" w:space="0" w:color="auto"/>
                            <w:bottom w:val="none" w:sz="0" w:space="0" w:color="auto"/>
                            <w:right w:val="none" w:sz="0" w:space="0" w:color="auto"/>
                          </w:divBdr>
                          <w:divsChild>
                            <w:div w:id="1598824532">
                              <w:marLeft w:val="0"/>
                              <w:marRight w:val="0"/>
                              <w:marTop w:val="0"/>
                              <w:marBottom w:val="0"/>
                              <w:divBdr>
                                <w:top w:val="none" w:sz="0" w:space="0" w:color="auto"/>
                                <w:left w:val="none" w:sz="0" w:space="0" w:color="auto"/>
                                <w:bottom w:val="none" w:sz="0" w:space="0" w:color="auto"/>
                                <w:right w:val="none" w:sz="0" w:space="0" w:color="auto"/>
                              </w:divBdr>
                              <w:divsChild>
                                <w:div w:id="422579483">
                                  <w:marLeft w:val="0"/>
                                  <w:marRight w:val="0"/>
                                  <w:marTop w:val="0"/>
                                  <w:marBottom w:val="0"/>
                                  <w:divBdr>
                                    <w:top w:val="none" w:sz="0" w:space="0" w:color="auto"/>
                                    <w:left w:val="none" w:sz="0" w:space="0" w:color="auto"/>
                                    <w:bottom w:val="none" w:sz="0" w:space="0" w:color="auto"/>
                                    <w:right w:val="none" w:sz="0" w:space="0" w:color="auto"/>
                                  </w:divBdr>
                                  <w:divsChild>
                                    <w:div w:id="730277935">
                                      <w:marLeft w:val="0"/>
                                      <w:marRight w:val="0"/>
                                      <w:marTop w:val="0"/>
                                      <w:marBottom w:val="0"/>
                                      <w:divBdr>
                                        <w:top w:val="none" w:sz="0" w:space="0" w:color="auto"/>
                                        <w:left w:val="none" w:sz="0" w:space="0" w:color="auto"/>
                                        <w:bottom w:val="none" w:sz="0" w:space="0" w:color="auto"/>
                                        <w:right w:val="none" w:sz="0" w:space="0" w:color="auto"/>
                                      </w:divBdr>
                                      <w:divsChild>
                                        <w:div w:id="1793405937">
                                          <w:marLeft w:val="0"/>
                                          <w:marRight w:val="0"/>
                                          <w:marTop w:val="0"/>
                                          <w:marBottom w:val="0"/>
                                          <w:divBdr>
                                            <w:top w:val="none" w:sz="0" w:space="0" w:color="auto"/>
                                            <w:left w:val="none" w:sz="0" w:space="0" w:color="auto"/>
                                            <w:bottom w:val="none" w:sz="0" w:space="0" w:color="auto"/>
                                            <w:right w:val="none" w:sz="0" w:space="0" w:color="auto"/>
                                          </w:divBdr>
                                          <w:divsChild>
                                            <w:div w:id="667053790">
                                              <w:marLeft w:val="0"/>
                                              <w:marRight w:val="0"/>
                                              <w:marTop w:val="0"/>
                                              <w:marBottom w:val="0"/>
                                              <w:divBdr>
                                                <w:top w:val="none" w:sz="0" w:space="0" w:color="auto"/>
                                                <w:left w:val="none" w:sz="0" w:space="0" w:color="auto"/>
                                                <w:bottom w:val="none" w:sz="0" w:space="0" w:color="auto"/>
                                                <w:right w:val="none" w:sz="0" w:space="0" w:color="auto"/>
                                              </w:divBdr>
                                              <w:divsChild>
                                                <w:div w:id="327945291">
                                                  <w:blockQuote w:val="1"/>
                                                  <w:marLeft w:val="0"/>
                                                  <w:marRight w:val="0"/>
                                                  <w:marTop w:val="180"/>
                                                  <w:marBottom w:val="180"/>
                                                  <w:divBdr>
                                                    <w:top w:val="dotted" w:sz="4" w:space="3" w:color="BBBBBB"/>
                                                    <w:left w:val="dotted" w:sz="2" w:space="9" w:color="BBBBBB"/>
                                                    <w:bottom w:val="dotted" w:sz="4" w:space="3" w:color="BBBBBB"/>
                                                    <w:right w:val="dotted" w:sz="2" w:space="9" w:color="BBBBBB"/>
                                                  </w:divBdr>
                                                </w:div>
                                              </w:divsChild>
                                            </w:div>
                                          </w:divsChild>
                                        </w:div>
                                      </w:divsChild>
                                    </w:div>
                                  </w:divsChild>
                                </w:div>
                              </w:divsChild>
                            </w:div>
                          </w:divsChild>
                        </w:div>
                      </w:divsChild>
                    </w:div>
                  </w:divsChild>
                </w:div>
              </w:divsChild>
            </w:div>
          </w:divsChild>
        </w:div>
      </w:divsChild>
    </w:div>
    <w:div w:id="1977683101">
      <w:bodyDiv w:val="1"/>
      <w:marLeft w:val="0"/>
      <w:marRight w:val="0"/>
      <w:marTop w:val="0"/>
      <w:marBottom w:val="0"/>
      <w:divBdr>
        <w:top w:val="none" w:sz="0" w:space="0" w:color="auto"/>
        <w:left w:val="none" w:sz="0" w:space="0" w:color="auto"/>
        <w:bottom w:val="none" w:sz="0" w:space="0" w:color="auto"/>
        <w:right w:val="none" w:sz="0" w:space="0" w:color="auto"/>
      </w:divBdr>
    </w:div>
    <w:div w:id="2095013212">
      <w:bodyDiv w:val="1"/>
      <w:marLeft w:val="4"/>
      <w:marRight w:val="4"/>
      <w:marTop w:val="4"/>
      <w:marBottom w:val="4"/>
      <w:divBdr>
        <w:top w:val="none" w:sz="0" w:space="0" w:color="auto"/>
        <w:left w:val="none" w:sz="0" w:space="0" w:color="auto"/>
        <w:bottom w:val="none" w:sz="0" w:space="0" w:color="auto"/>
        <w:right w:val="none" w:sz="0" w:space="0" w:color="auto"/>
      </w:divBdr>
      <w:divsChild>
        <w:div w:id="158809923">
          <w:marLeft w:val="0"/>
          <w:marRight w:val="0"/>
          <w:marTop w:val="0"/>
          <w:marBottom w:val="0"/>
          <w:divBdr>
            <w:top w:val="none" w:sz="0" w:space="0" w:color="auto"/>
            <w:left w:val="none" w:sz="0" w:space="0" w:color="auto"/>
            <w:bottom w:val="none" w:sz="0" w:space="0" w:color="auto"/>
            <w:right w:val="none" w:sz="0" w:space="0" w:color="auto"/>
          </w:divBdr>
          <w:divsChild>
            <w:div w:id="1436246146">
              <w:marLeft w:val="0"/>
              <w:marRight w:val="0"/>
              <w:marTop w:val="0"/>
              <w:marBottom w:val="0"/>
              <w:divBdr>
                <w:top w:val="none" w:sz="0" w:space="0" w:color="auto"/>
                <w:left w:val="none" w:sz="0" w:space="0" w:color="auto"/>
                <w:bottom w:val="none" w:sz="0" w:space="0" w:color="auto"/>
                <w:right w:val="none" w:sz="0" w:space="0" w:color="auto"/>
              </w:divBdr>
              <w:divsChild>
                <w:div w:id="1376464518">
                  <w:marLeft w:val="0"/>
                  <w:marRight w:val="0"/>
                  <w:marTop w:val="0"/>
                  <w:marBottom w:val="180"/>
                  <w:divBdr>
                    <w:top w:val="none" w:sz="0" w:space="0" w:color="auto"/>
                    <w:left w:val="none" w:sz="0" w:space="0" w:color="auto"/>
                    <w:bottom w:val="none" w:sz="0" w:space="0" w:color="auto"/>
                    <w:right w:val="none" w:sz="0" w:space="0" w:color="auto"/>
                  </w:divBdr>
                  <w:divsChild>
                    <w:div w:id="703749789">
                      <w:marLeft w:val="0"/>
                      <w:marRight w:val="0"/>
                      <w:marTop w:val="0"/>
                      <w:marBottom w:val="0"/>
                      <w:divBdr>
                        <w:top w:val="none" w:sz="0" w:space="0" w:color="auto"/>
                        <w:left w:val="none" w:sz="0" w:space="0" w:color="auto"/>
                        <w:bottom w:val="none" w:sz="0" w:space="0" w:color="auto"/>
                        <w:right w:val="none" w:sz="0" w:space="0" w:color="auto"/>
                      </w:divBdr>
                      <w:divsChild>
                        <w:div w:id="865946634">
                          <w:marLeft w:val="0"/>
                          <w:marRight w:val="0"/>
                          <w:marTop w:val="150"/>
                          <w:marBottom w:val="0"/>
                          <w:divBdr>
                            <w:top w:val="none" w:sz="0" w:space="0" w:color="auto"/>
                            <w:left w:val="none" w:sz="0" w:space="0" w:color="auto"/>
                            <w:bottom w:val="none" w:sz="0" w:space="0" w:color="auto"/>
                            <w:right w:val="none" w:sz="0" w:space="0" w:color="auto"/>
                          </w:divBdr>
                          <w:divsChild>
                            <w:div w:id="1954284329">
                              <w:marLeft w:val="0"/>
                              <w:marRight w:val="0"/>
                              <w:marTop w:val="0"/>
                              <w:marBottom w:val="0"/>
                              <w:divBdr>
                                <w:top w:val="none" w:sz="0" w:space="0" w:color="auto"/>
                                <w:left w:val="none" w:sz="0" w:space="0" w:color="auto"/>
                                <w:bottom w:val="none" w:sz="0" w:space="0" w:color="auto"/>
                                <w:right w:val="none" w:sz="0" w:space="0" w:color="auto"/>
                              </w:divBdr>
                              <w:divsChild>
                                <w:div w:id="42357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703391">
      <w:bodyDiv w:val="1"/>
      <w:marLeft w:val="0"/>
      <w:marRight w:val="0"/>
      <w:marTop w:val="0"/>
      <w:marBottom w:val="0"/>
      <w:divBdr>
        <w:top w:val="none" w:sz="0" w:space="0" w:color="auto"/>
        <w:left w:val="none" w:sz="0" w:space="0" w:color="auto"/>
        <w:bottom w:val="none" w:sz="0" w:space="0" w:color="auto"/>
        <w:right w:val="none" w:sz="0" w:space="0" w:color="auto"/>
      </w:divBdr>
      <w:divsChild>
        <w:div w:id="1836535830">
          <w:marLeft w:val="0"/>
          <w:marRight w:val="0"/>
          <w:marTop w:val="0"/>
          <w:marBottom w:val="0"/>
          <w:divBdr>
            <w:top w:val="none" w:sz="0" w:space="0" w:color="auto"/>
            <w:left w:val="none" w:sz="0" w:space="0" w:color="auto"/>
            <w:bottom w:val="none" w:sz="0" w:space="0" w:color="auto"/>
            <w:right w:val="none" w:sz="0" w:space="0" w:color="auto"/>
          </w:divBdr>
          <w:divsChild>
            <w:div w:id="577323119">
              <w:marLeft w:val="0"/>
              <w:marRight w:val="0"/>
              <w:marTop w:val="0"/>
              <w:marBottom w:val="0"/>
              <w:divBdr>
                <w:top w:val="none" w:sz="0" w:space="0" w:color="auto"/>
                <w:left w:val="none" w:sz="0" w:space="0" w:color="auto"/>
                <w:bottom w:val="none" w:sz="0" w:space="0" w:color="auto"/>
                <w:right w:val="none" w:sz="0" w:space="0" w:color="auto"/>
              </w:divBdr>
              <w:divsChild>
                <w:div w:id="1929776450">
                  <w:marLeft w:val="0"/>
                  <w:marRight w:val="0"/>
                  <w:marTop w:val="0"/>
                  <w:marBottom w:val="0"/>
                  <w:divBdr>
                    <w:top w:val="none" w:sz="0" w:space="0" w:color="auto"/>
                    <w:left w:val="none" w:sz="0" w:space="0" w:color="auto"/>
                    <w:bottom w:val="none" w:sz="0" w:space="0" w:color="auto"/>
                    <w:right w:val="none" w:sz="0" w:space="0" w:color="auto"/>
                  </w:divBdr>
                  <w:divsChild>
                    <w:div w:id="140924917">
                      <w:marLeft w:val="0"/>
                      <w:marRight w:val="0"/>
                      <w:marTop w:val="0"/>
                      <w:marBottom w:val="0"/>
                      <w:divBdr>
                        <w:top w:val="none" w:sz="0" w:space="0" w:color="auto"/>
                        <w:left w:val="none" w:sz="0" w:space="0" w:color="auto"/>
                        <w:bottom w:val="none" w:sz="0" w:space="0" w:color="auto"/>
                        <w:right w:val="none" w:sz="0" w:space="0" w:color="auto"/>
                      </w:divBdr>
                      <w:divsChild>
                        <w:div w:id="107297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hyperlink" Target="mailto:CDESS@health.gov.au"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6.png"/><Relationship Id="rId33" Type="http://schemas.openxmlformats.org/officeDocument/2006/relationships/hyperlink" Target="https://www.health.gov.au/casedefinitions" TargetMode="Externa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5.png"/><Relationship Id="rId32" Type="http://schemas.openxmlformats.org/officeDocument/2006/relationships/image" Target="media/image23.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png"/><Relationship Id="rId22" Type="http://schemas.openxmlformats.org/officeDocument/2006/relationships/hyperlink" Target="https://www.health.gov.au/initiatives-and-programs/national-response-to-syphilis" TargetMode="External"/><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health.gov.au/resources/publications/multijurisdictional-syphilis-outbreak-mjso-surveillance-report-february-2021" TargetMode="External"/><Relationship Id="rId2" Type="http://schemas.openxmlformats.org/officeDocument/2006/relationships/hyperlink" Target="https://www.health.gov.au/resources/collections/cdna-surveillance-case-definitions" TargetMode="External"/><Relationship Id="rId1" Type="http://schemas.openxmlformats.org/officeDocument/2006/relationships/hyperlink" Target="https://www.health.gov.au/resources/collections/cdna-surveillance-case-definiti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0B3631-0104-4CFF-93A9-DEF47F1FC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24</Pages>
  <Words>5090</Words>
  <Characters>29016</Characters>
  <Application>Microsoft Office Word</Application>
  <DocSecurity>0</DocSecurity>
  <Lines>241</Lines>
  <Paragraphs>68</Paragraphs>
  <ScaleCrop>false</ScaleCrop>
  <HeadingPairs>
    <vt:vector size="2" baseType="variant">
      <vt:variant>
        <vt:lpstr>Title</vt:lpstr>
      </vt:variant>
      <vt:variant>
        <vt:i4>1</vt:i4>
      </vt:variant>
    </vt:vector>
  </HeadingPairs>
  <TitlesOfParts>
    <vt:vector size="1" baseType="lpstr">
      <vt:lpstr>Q3 2022_National Syphilis Surveillance Quarterly Report_ July to September 2022</vt:lpstr>
    </vt:vector>
  </TitlesOfParts>
  <Company/>
  <LinksUpToDate>false</LinksUpToDate>
  <CharactersWithSpaces>34038</CharactersWithSpaces>
  <SharedDoc>false</SharedDoc>
  <HLinks>
    <vt:vector size="60" baseType="variant">
      <vt:variant>
        <vt:i4>1376375</vt:i4>
      </vt:variant>
      <vt:variant>
        <vt:i4>48</vt:i4>
      </vt:variant>
      <vt:variant>
        <vt:i4>0</vt:i4>
      </vt:variant>
      <vt:variant>
        <vt:i4>5</vt:i4>
      </vt:variant>
      <vt:variant>
        <vt:lpwstr>http://www.health.gov.au/internet/main/publishing.nsf/Content/cda-surveil-nndss-casedefs-cd_flu.htm</vt:lpwstr>
      </vt:variant>
      <vt:variant>
        <vt:lpwstr/>
      </vt:variant>
      <vt:variant>
        <vt:i4>1572929</vt:i4>
      </vt:variant>
      <vt:variant>
        <vt:i4>45</vt:i4>
      </vt:variant>
      <vt:variant>
        <vt:i4>0</vt:i4>
      </vt:variant>
      <vt:variant>
        <vt:i4>5</vt:i4>
      </vt:variant>
      <vt:variant>
        <vt:lpwstr>https://www.victorianflusurveillance.com.au/</vt:lpwstr>
      </vt:variant>
      <vt:variant>
        <vt:lpwstr/>
      </vt:variant>
      <vt:variant>
        <vt:i4>3473466</vt:i4>
      </vt:variant>
      <vt:variant>
        <vt:i4>42</vt:i4>
      </vt:variant>
      <vt:variant>
        <vt:i4>0</vt:i4>
      </vt:variant>
      <vt:variant>
        <vt:i4>5</vt:i4>
      </vt:variant>
      <vt:variant>
        <vt:lpwstr>http://www.dmac.adelaide.edu.au/aspren</vt:lpwstr>
      </vt:variant>
      <vt:variant>
        <vt:lpwstr/>
      </vt:variant>
      <vt:variant>
        <vt:i4>5046297</vt:i4>
      </vt:variant>
      <vt:variant>
        <vt:i4>39</vt:i4>
      </vt:variant>
      <vt:variant>
        <vt:i4>0</vt:i4>
      </vt:variant>
      <vt:variant>
        <vt:i4>5</vt:i4>
      </vt:variant>
      <vt:variant>
        <vt:lpwstr>http://www.flutracking.net/index.html</vt:lpwstr>
      </vt:variant>
      <vt:variant>
        <vt:lpwstr/>
      </vt:variant>
      <vt:variant>
        <vt:i4>1441911</vt:i4>
      </vt:variant>
      <vt:variant>
        <vt:i4>36</vt:i4>
      </vt:variant>
      <vt:variant>
        <vt:i4>0</vt:i4>
      </vt:variant>
      <vt:variant>
        <vt:i4>5</vt:i4>
      </vt:variant>
      <vt:variant>
        <vt:lpwstr>mailto:flu@health.gov.au</vt:lpwstr>
      </vt:variant>
      <vt:variant>
        <vt:lpwstr/>
      </vt:variant>
      <vt:variant>
        <vt:i4>2687100</vt:i4>
      </vt:variant>
      <vt:variant>
        <vt:i4>33</vt:i4>
      </vt:variant>
      <vt:variant>
        <vt:i4>0</vt:i4>
      </vt:variant>
      <vt:variant>
        <vt:i4>5</vt:i4>
      </vt:variant>
      <vt:variant>
        <vt:lpwstr>http://www.who.int/wer/2012/wer8724/en/</vt:lpwstr>
      </vt:variant>
      <vt:variant>
        <vt:lpwstr/>
      </vt:variant>
      <vt:variant>
        <vt:i4>5767192</vt:i4>
      </vt:variant>
      <vt:variant>
        <vt:i4>9</vt:i4>
      </vt:variant>
      <vt:variant>
        <vt:i4>0</vt:i4>
      </vt:variant>
      <vt:variant>
        <vt:i4>5</vt:i4>
      </vt:variant>
      <vt:variant>
        <vt:lpwstr>http://www.who.int/influenza/vaccines/virus/recommendations/2012_13_north/en/index.html</vt:lpwstr>
      </vt:variant>
      <vt:variant>
        <vt:lpwstr/>
      </vt:variant>
      <vt:variant>
        <vt:i4>4456521</vt:i4>
      </vt:variant>
      <vt:variant>
        <vt:i4>6</vt:i4>
      </vt:variant>
      <vt:variant>
        <vt:i4>0</vt:i4>
      </vt:variant>
      <vt:variant>
        <vt:i4>5</vt:i4>
      </vt:variant>
      <vt:variant>
        <vt:lpwstr>http://www.public.health.wa.gov.au/cproot/4604/2/20120708_virus_watch.pdf</vt:lpwstr>
      </vt:variant>
      <vt:variant>
        <vt:lpwstr/>
      </vt:variant>
      <vt:variant>
        <vt:i4>2752559</vt:i4>
      </vt:variant>
      <vt:variant>
        <vt:i4>3</vt:i4>
      </vt:variant>
      <vt:variant>
        <vt:i4>0</vt:i4>
      </vt:variant>
      <vt:variant>
        <vt:i4>5</vt:i4>
      </vt:variant>
      <vt:variant>
        <vt:lpwstr>http://www.victorianflusurveillance.com.au/</vt:lpwstr>
      </vt:variant>
      <vt:variant>
        <vt:lpwstr/>
      </vt:variant>
      <vt:variant>
        <vt:i4>8192115</vt:i4>
      </vt:variant>
      <vt:variant>
        <vt:i4>0</vt:i4>
      </vt:variant>
      <vt:variant>
        <vt:i4>0</vt:i4>
      </vt:variant>
      <vt:variant>
        <vt:i4>5</vt:i4>
      </vt:variant>
      <vt:variant>
        <vt:lpwstr>http://www1.hnehealth.nsw.gov.au/hneph/HNEPHApplications/FluSurvey/Reports/LatestReport.pdf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Q3 2022_National Syphilis Surveillance Quarterly Report_ July to September 2022</dc:title>
  <dc:subject>Communicable diseases; Sexual health</dc:subject>
  <dc:creator>Australian Government Department of Health and Aged Care</dc:creator>
  <cp:keywords/>
  <cp:lastModifiedBy>BLUNDEN, Louise</cp:lastModifiedBy>
  <cp:revision>37</cp:revision>
  <cp:lastPrinted>2019-02-06T01:32:00Z</cp:lastPrinted>
  <dcterms:created xsi:type="dcterms:W3CDTF">2023-07-26T03:51:00Z</dcterms:created>
  <dcterms:modified xsi:type="dcterms:W3CDTF">2023-07-27T07:07:00Z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_DocHome">
    <vt:i4>-157875285</vt:i4>
  </property>
  <property fmtid="{D5CDD505-2E9C-101B-9397-08002B2CF9AE}" pid="4" name="DraftType">
    <vt:lpwstr/>
  </property>
  <property fmtid="{D5CDD505-2E9C-101B-9397-08002B2CF9AE}" pid="5" name="WPLUSServerName">
    <vt:lpwstr/>
  </property>
  <property fmtid="{D5CDD505-2E9C-101B-9397-08002B2CF9AE}" pid="6" name="WPLUSDataBaseName">
    <vt:lpwstr/>
  </property>
  <property fmtid="{D5CDD505-2E9C-101B-9397-08002B2CF9AE}" pid="7" name="WPLUSDocumentUNID">
    <vt:lpwstr/>
  </property>
  <property fmtid="{D5CDD505-2E9C-101B-9397-08002B2CF9AE}" pid="8" name="NeverSavedToNT">
    <vt:lpwstr/>
  </property>
</Properties>
</file>