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FE8B3" w14:textId="72E307C1" w:rsidR="00767074" w:rsidRPr="008C6534" w:rsidRDefault="00600A7E" w:rsidP="008C6534">
      <w:pPr>
        <w:rPr>
          <w:rFonts w:eastAsia="Times New Roman"/>
        </w:rPr>
      </w:pPr>
      <w:r w:rsidRPr="008C6534">
        <w:rPr>
          <w:rFonts w:eastAsia="Times New Roman"/>
        </w:rPr>
        <w:fldChar w:fldCharType="begin"/>
      </w:r>
      <w:r w:rsidR="001B6708">
        <w:rPr>
          <w:rFonts w:eastAsia="Times New Roman"/>
        </w:rPr>
        <w:instrText xml:space="preserve"> INCLUDEPICTURE "C:\\Users\\publications\\Desktop\\DT0003683 CEEU Conversations for Change\\DT0003683_CEEU_Conversation_for_Change_Report_FA_V2-web-resources\\image\\DH&amp;A_Logo_Inline.png" \* MERGEFORMAT \d \x \y </w:instrText>
      </w:r>
      <w:r w:rsidRPr="008C6534">
        <w:rPr>
          <w:rFonts w:eastAsia="Times New Roman"/>
        </w:rPr>
        <w:fldChar w:fldCharType="separate"/>
      </w:r>
      <w:r w:rsidRPr="008C6534">
        <w:rPr>
          <w:rFonts w:eastAsia="Times New Roman"/>
          <w:noProof/>
        </w:rPr>
        <w:drawing>
          <wp:inline distT="0" distB="0" distL="0" distR="0" wp14:anchorId="5870BBFA" wp14:editId="77E8487F">
            <wp:extent cx="3302000" cy="609600"/>
            <wp:effectExtent l="0" t="0" r="0" b="0"/>
            <wp:docPr id="1" name="Picture 1" descr="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Health and Aged Care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302000" cy="609600"/>
                    </a:xfrm>
                    <a:prstGeom prst="rect">
                      <a:avLst/>
                    </a:prstGeom>
                    <a:noFill/>
                    <a:ln>
                      <a:noFill/>
                    </a:ln>
                  </pic:spPr>
                </pic:pic>
              </a:graphicData>
            </a:graphic>
          </wp:inline>
        </w:drawing>
      </w:r>
      <w:r w:rsidRPr="008C6534">
        <w:rPr>
          <w:rFonts w:eastAsia="Times New Roman"/>
        </w:rPr>
        <w:fldChar w:fldCharType="end"/>
      </w:r>
      <w:r>
        <w:rPr>
          <w:b/>
          <w:bCs/>
          <w:noProof/>
        </w:rPr>
        <w:drawing>
          <wp:anchor distT="0" distB="0" distL="114300" distR="114300" simplePos="0" relativeHeight="251658240" behindDoc="1" locked="0" layoutInCell="1" allowOverlap="1" wp14:anchorId="253238CF" wp14:editId="12BA1CAB">
            <wp:simplePos x="0" y="0"/>
            <wp:positionH relativeFrom="column">
              <wp:posOffset>-968188</wp:posOffset>
            </wp:positionH>
            <wp:positionV relativeFrom="paragraph">
              <wp:posOffset>-1013182</wp:posOffset>
            </wp:positionV>
            <wp:extent cx="7839635" cy="11094200"/>
            <wp:effectExtent l="0" t="0" r="0" b="0"/>
            <wp:wrapNone/>
            <wp:docPr id="52138059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380599"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839635" cy="11094200"/>
                    </a:xfrm>
                    <a:prstGeom prst="rect">
                      <a:avLst/>
                    </a:prstGeom>
                  </pic:spPr>
                </pic:pic>
              </a:graphicData>
            </a:graphic>
            <wp14:sizeRelH relativeFrom="page">
              <wp14:pctWidth>0</wp14:pctWidth>
            </wp14:sizeRelH>
            <wp14:sizeRelV relativeFrom="page">
              <wp14:pctHeight>0</wp14:pctHeight>
            </wp14:sizeRelV>
          </wp:anchor>
        </w:drawing>
      </w:r>
    </w:p>
    <w:p w14:paraId="010F1B4F" w14:textId="77777777" w:rsidR="00EB5FFE" w:rsidRDefault="00600A7E" w:rsidP="00BA4A41">
      <w:pPr>
        <w:pStyle w:val="Heading1"/>
        <w:rPr>
          <w:rStyle w:val="BookTitle"/>
          <w:color w:val="FFFFFF" w:themeColor="background1"/>
          <w:spacing w:val="0"/>
        </w:rPr>
      </w:pPr>
      <w:bookmarkStart w:id="0" w:name="_Toc142318728"/>
      <w:r>
        <w:rPr>
          <w:rStyle w:val="BookTitle"/>
          <w:color w:val="FFFFFF" w:themeColor="background1"/>
          <w:spacing w:val="0"/>
        </w:rPr>
        <w:br/>
      </w:r>
      <w:r w:rsidRPr="00600A7E">
        <w:rPr>
          <w:rStyle w:val="BookTitle"/>
          <w:color w:val="FFFFFF" w:themeColor="background1"/>
          <w:spacing w:val="0"/>
        </w:rPr>
        <w:t xml:space="preserve">Conversations for Change report: improving consumer engagement in </w:t>
      </w:r>
      <w:r w:rsidRPr="00600A7E">
        <w:rPr>
          <w:rStyle w:val="BookTitle"/>
          <w:color w:val="FFFFFF" w:themeColor="background1"/>
          <w:spacing w:val="0"/>
        </w:rPr>
        <w:br/>
        <w:t>Health Technology Assessment</w:t>
      </w:r>
      <w:bookmarkEnd w:id="0"/>
    </w:p>
    <w:p w14:paraId="3B9757FA" w14:textId="77777777" w:rsidR="00D0780E" w:rsidRDefault="00D0780E" w:rsidP="00D0780E">
      <w:pPr>
        <w:pStyle w:val="NormalWeb"/>
        <w:rPr>
          <w:b/>
          <w:bCs/>
          <w:color w:val="FFFFFF" w:themeColor="background1"/>
          <w:sz w:val="28"/>
          <w:szCs w:val="28"/>
        </w:rPr>
      </w:pPr>
      <w:r>
        <w:rPr>
          <w:b/>
          <w:bCs/>
          <w:color w:val="FFFFFF" w:themeColor="background1"/>
          <w:sz w:val="28"/>
          <w:szCs w:val="28"/>
        </w:rPr>
        <w:br/>
      </w:r>
      <w:r w:rsidRPr="00600A7E">
        <w:rPr>
          <w:b/>
          <w:bCs/>
          <w:color w:val="FFFFFF" w:themeColor="background1"/>
          <w:sz w:val="28"/>
          <w:szCs w:val="28"/>
        </w:rPr>
        <w:t>July 2023</w:t>
      </w:r>
    </w:p>
    <w:p w14:paraId="3816E717" w14:textId="77777777" w:rsidR="00D0780E" w:rsidRDefault="00D0780E" w:rsidP="00BA4A41">
      <w:pPr>
        <w:pStyle w:val="Heading1"/>
        <w:rPr>
          <w:rStyle w:val="BookTitle"/>
          <w:color w:val="FFFFFF" w:themeColor="background1"/>
          <w:spacing w:val="0"/>
        </w:rPr>
      </w:pPr>
    </w:p>
    <w:p w14:paraId="61AC376B" w14:textId="77777777" w:rsidR="00D0780E" w:rsidRPr="00BA4A41" w:rsidRDefault="00D0780E" w:rsidP="00BA4A41">
      <w:pPr>
        <w:pStyle w:val="Heading1"/>
        <w:rPr>
          <w:color w:val="FFFFFF" w:themeColor="background1"/>
        </w:rPr>
      </w:pPr>
    </w:p>
    <w:p w14:paraId="26D6EA73" w14:textId="77777777" w:rsidR="00BA4A41" w:rsidRPr="00600A7E" w:rsidRDefault="00BA4A41" w:rsidP="00EB5FFE">
      <w:pPr>
        <w:pStyle w:val="NormalWeb"/>
        <w:rPr>
          <w:rStyle w:val="Strong"/>
          <w:rFonts w:eastAsiaTheme="minorEastAsia"/>
          <w:color w:val="FFFFFF" w:themeColor="background1"/>
          <w:sz w:val="28"/>
          <w:szCs w:val="28"/>
        </w:rPr>
      </w:pPr>
    </w:p>
    <w:p w14:paraId="1DED0ACE" w14:textId="77777777" w:rsidR="007D09EB" w:rsidRDefault="007D09EB" w:rsidP="000B1488">
      <w:pPr>
        <w:spacing w:before="0"/>
        <w:rPr>
          <w:rStyle w:val="Strong"/>
          <w:rFonts w:eastAsiaTheme="minorEastAsia"/>
        </w:rPr>
      </w:pPr>
    </w:p>
    <w:p w14:paraId="29C45030" w14:textId="77777777" w:rsidR="007D09EB" w:rsidRDefault="007D09EB" w:rsidP="000B1488">
      <w:pPr>
        <w:spacing w:before="0"/>
        <w:rPr>
          <w:rStyle w:val="Strong"/>
          <w:rFonts w:eastAsiaTheme="minorEastAsia"/>
        </w:rPr>
        <w:sectPr w:rsidR="007D09EB" w:rsidSect="00600A7E">
          <w:footerReference w:type="even" r:id="rId10"/>
          <w:footerReference w:type="default" r:id="rId11"/>
          <w:footerReference w:type="first" r:id="rId12"/>
          <w:type w:val="continuous"/>
          <w:pgSz w:w="11901" w:h="16817"/>
          <w:pgMar w:top="1048" w:right="1440" w:bottom="1440" w:left="1440" w:header="709" w:footer="425" w:gutter="0"/>
          <w:pgNumType w:fmt="lowerRoman" w:start="1"/>
          <w:cols w:space="708"/>
          <w:titlePg/>
          <w:docGrid w:linePitch="360"/>
        </w:sectPr>
      </w:pPr>
    </w:p>
    <w:p w14:paraId="6B45029F" w14:textId="77777777" w:rsidR="004A1830" w:rsidRDefault="004A1830" w:rsidP="000B1488">
      <w:pPr>
        <w:spacing w:before="0"/>
        <w:rPr>
          <w:rStyle w:val="Strong"/>
          <w:rFonts w:eastAsiaTheme="minorEastAsia"/>
        </w:rPr>
      </w:pPr>
    </w:p>
    <w:p w14:paraId="51828F03" w14:textId="77777777" w:rsidR="00767074" w:rsidRDefault="00514FB0" w:rsidP="000B1488">
      <w:pPr>
        <w:spacing w:before="0"/>
        <w:rPr>
          <w:rStyle w:val="Strong"/>
          <w:rFonts w:eastAsiaTheme="minorEastAsia"/>
        </w:rPr>
      </w:pPr>
      <w:r w:rsidRPr="008C6534">
        <w:rPr>
          <w:rStyle w:val="Strong"/>
          <w:rFonts w:eastAsiaTheme="minorEastAsia"/>
        </w:rPr>
        <w:t xml:space="preserve">Copyright </w:t>
      </w:r>
      <w:r w:rsidR="0006226E">
        <w:rPr>
          <w:rStyle w:val="Strong"/>
          <w:rFonts w:eastAsiaTheme="minorEastAsia"/>
        </w:rPr>
        <w:br/>
      </w:r>
    </w:p>
    <w:p w14:paraId="18B54CAB" w14:textId="77777777" w:rsidR="0006226E" w:rsidRPr="000B1488" w:rsidRDefault="0006226E" w:rsidP="000B1488">
      <w:pPr>
        <w:spacing w:before="0"/>
        <w:rPr>
          <w:b/>
          <w:bCs/>
        </w:rPr>
      </w:pPr>
      <w:r>
        <w:rPr>
          <w:b/>
          <w:bCs/>
          <w:noProof/>
        </w:rPr>
        <w:drawing>
          <wp:inline distT="0" distB="0" distL="0" distR="0" wp14:anchorId="08EA79D5" wp14:editId="26508C37">
            <wp:extent cx="1092200" cy="381000"/>
            <wp:effectExtent l="0" t="0" r="0" b="0"/>
            <wp:docPr id="2122907650"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907650" name="Picture 3" descr="Creative Commons Logo"/>
                    <pic:cNvPicPr/>
                  </pic:nvPicPr>
                  <pic:blipFill>
                    <a:blip r:embed="rId13">
                      <a:extLst>
                        <a:ext uri="{28A0092B-C50C-407E-A947-70E740481C1C}">
                          <a14:useLocalDpi xmlns:a14="http://schemas.microsoft.com/office/drawing/2010/main" val="0"/>
                        </a:ext>
                      </a:extLst>
                    </a:blip>
                    <a:stretch>
                      <a:fillRect/>
                    </a:stretch>
                  </pic:blipFill>
                  <pic:spPr>
                    <a:xfrm>
                      <a:off x="0" y="0"/>
                      <a:ext cx="1092200" cy="381000"/>
                    </a:xfrm>
                    <a:prstGeom prst="rect">
                      <a:avLst/>
                    </a:prstGeom>
                  </pic:spPr>
                </pic:pic>
              </a:graphicData>
            </a:graphic>
          </wp:inline>
        </w:drawing>
      </w:r>
    </w:p>
    <w:p w14:paraId="7E4B0925" w14:textId="77777777" w:rsidR="00767074" w:rsidRPr="008C6534" w:rsidRDefault="00514FB0" w:rsidP="008C6534">
      <w:pPr>
        <w:pStyle w:val="NormalWeb"/>
      </w:pPr>
      <w:r w:rsidRPr="008C6534">
        <w:t>© Commonwealth of Australia 2023.</w:t>
      </w:r>
    </w:p>
    <w:p w14:paraId="1FAAC628" w14:textId="77777777" w:rsidR="00767074" w:rsidRPr="008C6534" w:rsidRDefault="00514FB0" w:rsidP="008C6534">
      <w:pPr>
        <w:pStyle w:val="NormalWeb"/>
      </w:pPr>
      <w:r w:rsidRPr="008C6534">
        <w:t xml:space="preserve">The material in this information booklet is licensed under a Creative Commons </w:t>
      </w:r>
      <w:r w:rsidRPr="008C6534">
        <w:br/>
        <w:t>Attribution-</w:t>
      </w:r>
      <w:proofErr w:type="spellStart"/>
      <w:r w:rsidRPr="008C6534">
        <w:t>NonCommercial</w:t>
      </w:r>
      <w:proofErr w:type="spellEnd"/>
      <w:r w:rsidRPr="008C6534">
        <w:t>-</w:t>
      </w:r>
      <w:proofErr w:type="spellStart"/>
      <w:r w:rsidRPr="008C6534">
        <w:t>NoDerivatives</w:t>
      </w:r>
      <w:proofErr w:type="spellEnd"/>
      <w:r w:rsidRPr="008C6534">
        <w:t xml:space="preserve"> 4.0 (CC BY-NC-ND 4.0) </w:t>
      </w:r>
      <w:proofErr w:type="spellStart"/>
      <w:r w:rsidRPr="008C6534">
        <w:t>licence</w:t>
      </w:r>
      <w:proofErr w:type="spellEnd"/>
      <w:r w:rsidRPr="008C6534">
        <w:t>, with the exception of:</w:t>
      </w:r>
    </w:p>
    <w:p w14:paraId="7580ADCA" w14:textId="77777777" w:rsidR="00767074" w:rsidRPr="008C6534" w:rsidRDefault="00514FB0" w:rsidP="008C6534">
      <w:pPr>
        <w:pStyle w:val="ListParagraph"/>
        <w:numPr>
          <w:ilvl w:val="0"/>
          <w:numId w:val="1"/>
        </w:numPr>
        <w:rPr>
          <w:rFonts w:eastAsia="Times New Roman"/>
        </w:rPr>
      </w:pPr>
      <w:r w:rsidRPr="008C6534">
        <w:rPr>
          <w:rFonts w:eastAsia="Times New Roman"/>
        </w:rPr>
        <w:t>the Commonwealth Coat of Arms</w:t>
      </w:r>
    </w:p>
    <w:p w14:paraId="6498269A" w14:textId="77777777" w:rsidR="00767074" w:rsidRPr="008C6534" w:rsidRDefault="00514FB0" w:rsidP="008C6534">
      <w:pPr>
        <w:pStyle w:val="ListParagraph"/>
        <w:numPr>
          <w:ilvl w:val="0"/>
          <w:numId w:val="1"/>
        </w:numPr>
        <w:rPr>
          <w:rFonts w:eastAsia="Times New Roman"/>
        </w:rPr>
      </w:pPr>
      <w:r w:rsidRPr="008C6534">
        <w:rPr>
          <w:rFonts w:eastAsia="Times New Roman"/>
        </w:rPr>
        <w:t>this Department’s logo</w:t>
      </w:r>
    </w:p>
    <w:p w14:paraId="3C0DC47A" w14:textId="77777777" w:rsidR="00767074" w:rsidRPr="008C6534" w:rsidRDefault="00514FB0" w:rsidP="008C6534">
      <w:pPr>
        <w:pStyle w:val="ListParagraph"/>
        <w:numPr>
          <w:ilvl w:val="0"/>
          <w:numId w:val="1"/>
        </w:numPr>
        <w:rPr>
          <w:rFonts w:eastAsia="Times New Roman"/>
        </w:rPr>
      </w:pPr>
      <w:r w:rsidRPr="008C6534">
        <w:rPr>
          <w:rFonts w:eastAsia="Times New Roman"/>
        </w:rPr>
        <w:t xml:space="preserve">any </w:t>
      </w:r>
      <w:proofErr w:type="gramStart"/>
      <w:r w:rsidRPr="008C6534">
        <w:rPr>
          <w:rFonts w:eastAsia="Times New Roman"/>
        </w:rPr>
        <w:t>third party</w:t>
      </w:r>
      <w:proofErr w:type="gramEnd"/>
      <w:r w:rsidRPr="008C6534">
        <w:rPr>
          <w:rFonts w:eastAsia="Times New Roman"/>
        </w:rPr>
        <w:t xml:space="preserve"> material</w:t>
      </w:r>
    </w:p>
    <w:p w14:paraId="773750B0" w14:textId="77777777" w:rsidR="00767074" w:rsidRPr="008C6534" w:rsidRDefault="00514FB0" w:rsidP="008C6534">
      <w:pPr>
        <w:pStyle w:val="ListParagraph"/>
        <w:numPr>
          <w:ilvl w:val="0"/>
          <w:numId w:val="1"/>
        </w:numPr>
        <w:rPr>
          <w:rFonts w:eastAsia="Times New Roman"/>
        </w:rPr>
      </w:pPr>
      <w:r w:rsidRPr="008C6534">
        <w:rPr>
          <w:rFonts w:eastAsia="Times New Roman"/>
        </w:rPr>
        <w:t>any m</w:t>
      </w:r>
      <w:r w:rsidRPr="008C6534">
        <w:rPr>
          <w:rFonts w:eastAsia="Times New Roman"/>
        </w:rPr>
        <w:t>aterial protected by a trademark, and</w:t>
      </w:r>
    </w:p>
    <w:p w14:paraId="201F5E02" w14:textId="77777777" w:rsidR="00767074" w:rsidRPr="008C6534" w:rsidRDefault="00514FB0" w:rsidP="008C6534">
      <w:pPr>
        <w:pStyle w:val="ListParagraph"/>
        <w:numPr>
          <w:ilvl w:val="0"/>
          <w:numId w:val="1"/>
        </w:numPr>
        <w:rPr>
          <w:rFonts w:eastAsia="Times New Roman"/>
        </w:rPr>
      </w:pPr>
      <w:r w:rsidRPr="008C6534">
        <w:rPr>
          <w:rFonts w:eastAsia="Times New Roman"/>
        </w:rPr>
        <w:t>any images and/or photographs.</w:t>
      </w:r>
    </w:p>
    <w:p w14:paraId="6E66461F" w14:textId="77777777" w:rsidR="00767074" w:rsidRPr="008C6534" w:rsidRDefault="00514FB0" w:rsidP="008C6534">
      <w:pPr>
        <w:pStyle w:val="NormalWeb"/>
      </w:pPr>
      <w:r w:rsidRPr="008C6534">
        <w:t xml:space="preserve">More information on this license is set out at the Creative Commons Website. Enquiries about this license and any use of this information booklet can be sent to: </w:t>
      </w:r>
      <w:r w:rsidRPr="0006226E">
        <w:rPr>
          <w:color w:val="000000" w:themeColor="text1"/>
        </w:rPr>
        <w:t>Communication Branch, Dep</w:t>
      </w:r>
      <w:r w:rsidRPr="0006226E">
        <w:rPr>
          <w:color w:val="000000" w:themeColor="text1"/>
        </w:rPr>
        <w:t>artment of Health, GPO Box 9848, Canberra ACT 2601, or via e-mail to</w:t>
      </w:r>
      <w:r w:rsidR="00D153A7" w:rsidRPr="0006226E">
        <w:rPr>
          <w:color w:val="000000" w:themeColor="text1"/>
        </w:rPr>
        <w:t xml:space="preserve"> </w:t>
      </w:r>
      <w:hyperlink r:id="rId14" w:history="1">
        <w:r w:rsidR="006603B8" w:rsidRPr="0006226E">
          <w:rPr>
            <w:rStyle w:val="Hyperlink"/>
            <w:color w:val="000000" w:themeColor="text1"/>
          </w:rPr>
          <w:t>copyright@health.gov.au</w:t>
        </w:r>
      </w:hyperlink>
      <w:r w:rsidRPr="0006226E">
        <w:rPr>
          <w:color w:val="000000" w:themeColor="text1"/>
        </w:rPr>
        <w:t>.</w:t>
      </w:r>
    </w:p>
    <w:p w14:paraId="649CF378" w14:textId="77777777" w:rsidR="00767074" w:rsidRPr="008C6534" w:rsidRDefault="00514FB0" w:rsidP="008C6534">
      <w:pPr>
        <w:pStyle w:val="NormalWeb"/>
      </w:pPr>
      <w:r w:rsidRPr="008C6534">
        <w:rPr>
          <w:rStyle w:val="Strong"/>
          <w:rFonts w:eastAsiaTheme="minorEastAsia"/>
        </w:rPr>
        <w:t>Attribution</w:t>
      </w:r>
    </w:p>
    <w:p w14:paraId="7435251F" w14:textId="77777777" w:rsidR="004A1830" w:rsidRDefault="00514FB0" w:rsidP="008C6534">
      <w:pPr>
        <w:pStyle w:val="NormalWeb"/>
        <w:sectPr w:rsidR="004A1830" w:rsidSect="007D09EB">
          <w:pgSz w:w="11901" w:h="16817"/>
          <w:pgMar w:top="1440" w:right="1440" w:bottom="1440" w:left="1440" w:header="709" w:footer="425" w:gutter="0"/>
          <w:pgNumType w:fmt="lowerRoman" w:start="1"/>
          <w:cols w:space="708"/>
          <w:vAlign w:val="bottom"/>
          <w:titlePg/>
          <w:docGrid w:linePitch="360"/>
        </w:sectPr>
      </w:pPr>
      <w:r w:rsidRPr="008C6534">
        <w:t>Use of all or part of this guide must include the following attribution:</w:t>
      </w:r>
      <w:r w:rsidRPr="008C6534">
        <w:br/>
        <w:t>© C</w:t>
      </w:r>
      <w:r w:rsidRPr="008C6534">
        <w:t>ommonwealth of Australia</w:t>
      </w:r>
    </w:p>
    <w:p w14:paraId="35DE10FF" w14:textId="77777777" w:rsidR="006C0EB0" w:rsidRPr="004A1830" w:rsidRDefault="00514FB0" w:rsidP="00770DB3">
      <w:pPr>
        <w:pStyle w:val="Heading1"/>
        <w:rPr>
          <w:rFonts w:eastAsiaTheme="minorEastAsia"/>
        </w:rPr>
      </w:pPr>
      <w:bookmarkStart w:id="1" w:name="_Toc142318729"/>
      <w:r w:rsidRPr="008C6534">
        <w:lastRenderedPageBreak/>
        <w:t>Contents</w:t>
      </w:r>
      <w:bookmarkEnd w:id="1"/>
    </w:p>
    <w:sdt>
      <w:sdtPr>
        <w:rPr>
          <w:rFonts w:eastAsiaTheme="minorEastAsia"/>
          <w:b w:val="0"/>
          <w:bCs w:val="0"/>
          <w:color w:val="0000FF"/>
          <w:kern w:val="0"/>
          <w:sz w:val="24"/>
          <w:szCs w:val="24"/>
          <w:u w:val="single"/>
        </w:rPr>
        <w:id w:val="357625200"/>
        <w:docPartObj>
          <w:docPartGallery w:val="Table of Contents"/>
          <w:docPartUnique/>
        </w:docPartObj>
      </w:sdtPr>
      <w:sdtEndPr>
        <w:rPr>
          <w:noProof/>
          <w:color w:val="auto"/>
          <w:u w:val="none"/>
        </w:rPr>
      </w:sdtEndPr>
      <w:sdtContent>
        <w:p w14:paraId="233ECE7F" w14:textId="77777777" w:rsidR="00E57A7E" w:rsidRPr="006C0EB0" w:rsidRDefault="00E57A7E" w:rsidP="006C0EB0">
          <w:pPr>
            <w:pStyle w:val="Heading1"/>
            <w:rPr>
              <w:b w:val="0"/>
              <w:bCs w:val="0"/>
            </w:rPr>
          </w:pPr>
        </w:p>
        <w:p w14:paraId="3B849908" w14:textId="77777777" w:rsidR="006C0EB0" w:rsidRPr="006C0EB0" w:rsidRDefault="00E57A7E">
          <w:pPr>
            <w:pStyle w:val="TOC1"/>
            <w:tabs>
              <w:tab w:val="right" w:pos="9016"/>
            </w:tabs>
            <w:rPr>
              <w:rFonts w:asciiTheme="minorHAnsi" w:hAnsiTheme="minorHAnsi" w:cstheme="minorBidi"/>
              <w:b w:val="0"/>
              <w:bCs w:val="0"/>
              <w:noProof/>
              <w:color w:val="auto"/>
              <w:kern w:val="2"/>
              <w:lang w:val="en-AU"/>
              <w14:ligatures w14:val="standardContextual"/>
            </w:rPr>
          </w:pPr>
          <w:r w:rsidRPr="006C0EB0">
            <w:rPr>
              <w:b w:val="0"/>
              <w:bCs w:val="0"/>
              <w:caps/>
            </w:rPr>
            <w:fldChar w:fldCharType="begin"/>
          </w:r>
          <w:r w:rsidRPr="006C0EB0">
            <w:rPr>
              <w:b w:val="0"/>
              <w:bCs w:val="0"/>
            </w:rPr>
            <w:instrText xml:space="preserve"> TOC \o "1-1" \h \z \u </w:instrText>
          </w:r>
          <w:r w:rsidRPr="006C0EB0">
            <w:rPr>
              <w:b w:val="0"/>
              <w:bCs w:val="0"/>
              <w:caps/>
            </w:rPr>
            <w:fldChar w:fldCharType="separate"/>
          </w:r>
          <w:hyperlink w:anchor="_Toc142318730" w:history="1">
            <w:r w:rsidR="006C0EB0" w:rsidRPr="006C0EB0">
              <w:rPr>
                <w:rStyle w:val="Hyperlink"/>
                <w:b w:val="0"/>
                <w:bCs w:val="0"/>
                <w:noProof/>
              </w:rPr>
              <w:t>Introduction</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_Toc142318730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1</w:t>
            </w:r>
            <w:r w:rsidR="006C0EB0" w:rsidRPr="006C0EB0">
              <w:rPr>
                <w:b w:val="0"/>
                <w:bCs w:val="0"/>
                <w:noProof/>
                <w:webHidden/>
              </w:rPr>
              <w:fldChar w:fldCharType="end"/>
            </w:r>
          </w:hyperlink>
        </w:p>
        <w:p w14:paraId="68EF98E7"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1" w:history="1">
            <w:r w:rsidR="006C0EB0" w:rsidRPr="006C0EB0">
              <w:rPr>
                <w:rStyle w:val="Hyperlink"/>
                <w:b w:val="0"/>
                <w:bCs w:val="0"/>
                <w:noProof/>
              </w:rPr>
              <w:t>Current involvement of consumers in the Australian HTA process</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_Toc142318731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2</w:t>
            </w:r>
            <w:r w:rsidR="006C0EB0" w:rsidRPr="006C0EB0">
              <w:rPr>
                <w:b w:val="0"/>
                <w:bCs w:val="0"/>
                <w:noProof/>
                <w:webHidden/>
              </w:rPr>
              <w:fldChar w:fldCharType="end"/>
            </w:r>
          </w:hyperlink>
        </w:p>
        <w:p w14:paraId="4AC9BD52"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2" w:history="1">
            <w:r w:rsidR="006C0EB0" w:rsidRPr="006C0EB0">
              <w:rPr>
                <w:rStyle w:val="Hyperlink"/>
                <w:b w:val="0"/>
                <w:bCs w:val="0"/>
                <w:noProof/>
              </w:rPr>
              <w:t>Consultation activities</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_Toc142318732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4</w:t>
            </w:r>
            <w:r w:rsidR="006C0EB0" w:rsidRPr="006C0EB0">
              <w:rPr>
                <w:b w:val="0"/>
                <w:bCs w:val="0"/>
                <w:noProof/>
                <w:webHidden/>
              </w:rPr>
              <w:fldChar w:fldCharType="end"/>
            </w:r>
          </w:hyperlink>
        </w:p>
        <w:p w14:paraId="3870BFBE"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3" w:history="1">
            <w:r w:rsidR="006C0EB0" w:rsidRPr="006C0EB0">
              <w:rPr>
                <w:rStyle w:val="Hyperlink"/>
                <w:b w:val="0"/>
                <w:bCs w:val="0"/>
                <w:noProof/>
              </w:rPr>
              <w:t>Report Framework</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_Toc142318733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7</w:t>
            </w:r>
            <w:r w:rsidR="006C0EB0" w:rsidRPr="006C0EB0">
              <w:rPr>
                <w:b w:val="0"/>
                <w:bCs w:val="0"/>
                <w:noProof/>
                <w:webHidden/>
              </w:rPr>
              <w:fldChar w:fldCharType="end"/>
            </w:r>
          </w:hyperlink>
        </w:p>
        <w:p w14:paraId="5878A467"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4" w:history="1">
            <w:r w:rsidR="006C0EB0" w:rsidRPr="006C0EB0">
              <w:rPr>
                <w:rStyle w:val="Hyperlink"/>
                <w:b w:val="0"/>
                <w:bCs w:val="0"/>
                <w:noProof/>
              </w:rPr>
              <w:t>What you told us</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_Toc142318734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9</w:t>
            </w:r>
            <w:r w:rsidR="006C0EB0" w:rsidRPr="006C0EB0">
              <w:rPr>
                <w:b w:val="0"/>
                <w:bCs w:val="0"/>
                <w:noProof/>
                <w:webHidden/>
              </w:rPr>
              <w:fldChar w:fldCharType="end"/>
            </w:r>
          </w:hyperlink>
        </w:p>
        <w:p w14:paraId="2747EF17"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5" w:history="1">
            <w:r w:rsidR="006C0EB0" w:rsidRPr="006C0EB0">
              <w:rPr>
                <w:rStyle w:val="Hyperlink"/>
                <w:b w:val="0"/>
                <w:bCs w:val="0"/>
                <w:noProof/>
              </w:rPr>
              <w:t>Consumers are informed and engaged</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_Toc142318735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11</w:t>
            </w:r>
            <w:r w:rsidR="006C0EB0" w:rsidRPr="006C0EB0">
              <w:rPr>
                <w:b w:val="0"/>
                <w:bCs w:val="0"/>
                <w:noProof/>
                <w:webHidden/>
              </w:rPr>
              <w:fldChar w:fldCharType="end"/>
            </w:r>
          </w:hyperlink>
        </w:p>
        <w:p w14:paraId="0DAC1FDF"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6" w:history="1">
            <w:r w:rsidR="006C0EB0" w:rsidRPr="006C0EB0">
              <w:rPr>
                <w:rStyle w:val="Hyperlink"/>
                <w:b w:val="0"/>
                <w:bCs w:val="0"/>
                <w:noProof/>
              </w:rPr>
              <w:t>Consumers are supported and knowledgeable</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_Toc142318736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13</w:t>
            </w:r>
            <w:r w:rsidR="006C0EB0" w:rsidRPr="006C0EB0">
              <w:rPr>
                <w:b w:val="0"/>
                <w:bCs w:val="0"/>
                <w:noProof/>
                <w:webHidden/>
              </w:rPr>
              <w:fldChar w:fldCharType="end"/>
            </w:r>
          </w:hyperlink>
        </w:p>
        <w:p w14:paraId="1F4F71AD"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7" w:history="1">
            <w:r w:rsidR="006C0EB0" w:rsidRPr="006C0EB0">
              <w:rPr>
                <w:rStyle w:val="Hyperlink"/>
                <w:b w:val="0"/>
                <w:bCs w:val="0"/>
                <w:noProof/>
              </w:rPr>
              <w:t>Consumers are included in HTA processes and methods</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_Toc142318737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15</w:t>
            </w:r>
            <w:r w:rsidR="006C0EB0" w:rsidRPr="006C0EB0">
              <w:rPr>
                <w:b w:val="0"/>
                <w:bCs w:val="0"/>
                <w:noProof/>
                <w:webHidden/>
              </w:rPr>
              <w:fldChar w:fldCharType="end"/>
            </w:r>
          </w:hyperlink>
        </w:p>
        <w:p w14:paraId="45C8AE26"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8" w:history="1">
            <w:r w:rsidR="006C0EB0" w:rsidRPr="006C0EB0">
              <w:rPr>
                <w:rStyle w:val="Hyperlink"/>
                <w:b w:val="0"/>
                <w:bCs w:val="0"/>
                <w:noProof/>
              </w:rPr>
              <w:t>Consumers are actively participating</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_Toc142318738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17</w:t>
            </w:r>
            <w:r w:rsidR="006C0EB0" w:rsidRPr="006C0EB0">
              <w:rPr>
                <w:b w:val="0"/>
                <w:bCs w:val="0"/>
                <w:noProof/>
                <w:webHidden/>
              </w:rPr>
              <w:fldChar w:fldCharType="end"/>
            </w:r>
          </w:hyperlink>
        </w:p>
        <w:p w14:paraId="3ECDB967"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39" w:history="1">
            <w:r w:rsidR="006C0EB0" w:rsidRPr="006C0EB0">
              <w:rPr>
                <w:rStyle w:val="Hyperlink"/>
                <w:b w:val="0"/>
                <w:bCs w:val="0"/>
                <w:noProof/>
              </w:rPr>
              <w:t>Consumers are equal partners</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_Toc142318739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19</w:t>
            </w:r>
            <w:r w:rsidR="006C0EB0" w:rsidRPr="006C0EB0">
              <w:rPr>
                <w:b w:val="0"/>
                <w:bCs w:val="0"/>
                <w:noProof/>
                <w:webHidden/>
              </w:rPr>
              <w:fldChar w:fldCharType="end"/>
            </w:r>
          </w:hyperlink>
        </w:p>
        <w:p w14:paraId="754E76D6" w14:textId="77777777" w:rsidR="006C0EB0" w:rsidRPr="006C0EB0" w:rsidRDefault="00514FB0">
          <w:pPr>
            <w:pStyle w:val="TOC1"/>
            <w:tabs>
              <w:tab w:val="right" w:pos="9016"/>
            </w:tabs>
            <w:rPr>
              <w:rFonts w:asciiTheme="minorHAnsi" w:hAnsiTheme="minorHAnsi" w:cstheme="minorBidi"/>
              <w:b w:val="0"/>
              <w:bCs w:val="0"/>
              <w:noProof/>
              <w:color w:val="auto"/>
              <w:kern w:val="2"/>
              <w:lang w:val="en-AU"/>
              <w14:ligatures w14:val="standardContextual"/>
            </w:rPr>
          </w:pPr>
          <w:hyperlink w:anchor="_Toc142318740" w:history="1">
            <w:r w:rsidR="006C0EB0" w:rsidRPr="006C0EB0">
              <w:rPr>
                <w:rStyle w:val="Hyperlink"/>
                <w:b w:val="0"/>
                <w:bCs w:val="0"/>
                <w:noProof/>
              </w:rPr>
              <w:t>Additional input from participants</w:t>
            </w:r>
            <w:r w:rsidR="006C0EB0" w:rsidRPr="006C0EB0">
              <w:rPr>
                <w:b w:val="0"/>
                <w:bCs w:val="0"/>
                <w:noProof/>
                <w:webHidden/>
              </w:rPr>
              <w:tab/>
            </w:r>
            <w:r w:rsidR="006C0EB0" w:rsidRPr="006C0EB0">
              <w:rPr>
                <w:b w:val="0"/>
                <w:bCs w:val="0"/>
                <w:noProof/>
                <w:webHidden/>
              </w:rPr>
              <w:fldChar w:fldCharType="begin"/>
            </w:r>
            <w:r w:rsidR="006C0EB0" w:rsidRPr="006C0EB0">
              <w:rPr>
                <w:b w:val="0"/>
                <w:bCs w:val="0"/>
                <w:noProof/>
                <w:webHidden/>
              </w:rPr>
              <w:instrText xml:space="preserve"> PAGEREF _Toc142318740 \h </w:instrText>
            </w:r>
            <w:r w:rsidR="006C0EB0" w:rsidRPr="006C0EB0">
              <w:rPr>
                <w:b w:val="0"/>
                <w:bCs w:val="0"/>
                <w:noProof/>
                <w:webHidden/>
              </w:rPr>
            </w:r>
            <w:r w:rsidR="006C0EB0" w:rsidRPr="006C0EB0">
              <w:rPr>
                <w:b w:val="0"/>
                <w:bCs w:val="0"/>
                <w:noProof/>
                <w:webHidden/>
              </w:rPr>
              <w:fldChar w:fldCharType="separate"/>
            </w:r>
            <w:r w:rsidR="006C0EB0" w:rsidRPr="006C0EB0">
              <w:rPr>
                <w:b w:val="0"/>
                <w:bCs w:val="0"/>
                <w:noProof/>
                <w:webHidden/>
              </w:rPr>
              <w:t>20</w:t>
            </w:r>
            <w:r w:rsidR="006C0EB0" w:rsidRPr="006C0EB0">
              <w:rPr>
                <w:b w:val="0"/>
                <w:bCs w:val="0"/>
                <w:noProof/>
                <w:webHidden/>
              </w:rPr>
              <w:fldChar w:fldCharType="end"/>
            </w:r>
          </w:hyperlink>
        </w:p>
        <w:p w14:paraId="5E31E873" w14:textId="77777777" w:rsidR="00E57A7E" w:rsidRDefault="00E57A7E">
          <w:r w:rsidRPr="006C0EB0">
            <w:rPr>
              <w:rFonts w:asciiTheme="majorHAnsi" w:hAnsiTheme="majorHAnsi" w:cstheme="majorHAnsi"/>
            </w:rPr>
            <w:fldChar w:fldCharType="end"/>
          </w:r>
        </w:p>
      </w:sdtContent>
    </w:sdt>
    <w:p w14:paraId="3BAF7598" w14:textId="77777777" w:rsidR="00E57A7E" w:rsidRDefault="00E57A7E" w:rsidP="00E57A7E">
      <w:pPr>
        <w:pStyle w:val="NormalWeb"/>
        <w:rPr>
          <w:rStyle w:val="Hyperlink"/>
        </w:rPr>
      </w:pPr>
    </w:p>
    <w:p w14:paraId="553F1EAF" w14:textId="77777777" w:rsidR="00E57A7E" w:rsidRPr="00E57A7E" w:rsidRDefault="00E57A7E" w:rsidP="00E57A7E">
      <w:pPr>
        <w:pStyle w:val="NormalWeb"/>
        <w:rPr>
          <w:u w:val="single"/>
        </w:rPr>
        <w:sectPr w:rsidR="00E57A7E" w:rsidRPr="00E57A7E" w:rsidSect="004A1830">
          <w:pgSz w:w="11901" w:h="16817"/>
          <w:pgMar w:top="1440" w:right="1440" w:bottom="1440" w:left="1440" w:header="709" w:footer="425" w:gutter="0"/>
          <w:pgNumType w:fmt="lowerRoman" w:start="1"/>
          <w:cols w:space="708"/>
          <w:titlePg/>
          <w:docGrid w:linePitch="360"/>
        </w:sectPr>
      </w:pPr>
    </w:p>
    <w:p w14:paraId="718910F0" w14:textId="77777777" w:rsidR="00767074" w:rsidRPr="006266F8" w:rsidRDefault="00514FB0" w:rsidP="00835727">
      <w:pPr>
        <w:pStyle w:val="Heading1"/>
        <w:rPr>
          <w:color w:val="000000" w:themeColor="text1"/>
        </w:rPr>
      </w:pPr>
      <w:bookmarkStart w:id="2" w:name="_Toc142318730"/>
      <w:r w:rsidRPr="006266F8">
        <w:rPr>
          <w:color w:val="000000" w:themeColor="text1"/>
        </w:rPr>
        <w:lastRenderedPageBreak/>
        <w:t>Introduction</w:t>
      </w:r>
      <w:bookmarkEnd w:id="2"/>
    </w:p>
    <w:p w14:paraId="325BC093" w14:textId="77777777" w:rsidR="00767074" w:rsidRPr="008C6534" w:rsidRDefault="00514FB0" w:rsidP="008C6534">
      <w:r w:rsidRPr="008C6534">
        <w:t>Every day, millions of Australians use health technologies within the health system. These might be used to screen for, diagnose, treat, cure or prevent illness. The Australian Government wants to ensure that the medicines, medical products and services (h</w:t>
      </w:r>
      <w:r w:rsidRPr="008C6534">
        <w:t xml:space="preserve">ealth technologies) that really benefit patients are available, accessible and affordable for everyone that needs them. </w:t>
      </w:r>
    </w:p>
    <w:p w14:paraId="04F784C6" w14:textId="77777777" w:rsidR="00767074" w:rsidRPr="008C6534" w:rsidRDefault="00514FB0" w:rsidP="00835727">
      <w:r w:rsidRPr="008C6534">
        <w:t xml:space="preserve">Health technology assessment (HTA) processes have been established by the Australian Government to enable expert advice to be provided </w:t>
      </w:r>
      <w:r w:rsidRPr="008C6534">
        <w:t xml:space="preserve">on what might be </w:t>
      </w:r>
      <w:proofErr w:type="spellStart"/>
      <w:r w:rsidRPr="008C6534">
        <w:t>subsidised</w:t>
      </w:r>
      <w:proofErr w:type="spellEnd"/>
      <w:r w:rsidRPr="008C6534">
        <w:t xml:space="preserve"> by government for public health care. Ensuring HTA processes continue to evolve with medical technology innovations and consumer expectations is fundamental to delivering best practice health care to Australians. The involvement</w:t>
      </w:r>
      <w:r w:rsidRPr="008C6534">
        <w:t xml:space="preserve"> of consumers (patients, their families/</w:t>
      </w:r>
      <w:proofErr w:type="spellStart"/>
      <w:r w:rsidRPr="008C6534">
        <w:t>carers</w:t>
      </w:r>
      <w:proofErr w:type="spellEnd"/>
      <w:r w:rsidRPr="008C6534">
        <w:t xml:space="preserve">, consumer </w:t>
      </w:r>
      <w:proofErr w:type="spellStart"/>
      <w:r w:rsidRPr="008C6534">
        <w:t>organisations</w:t>
      </w:r>
      <w:proofErr w:type="spellEnd"/>
      <w:r w:rsidRPr="008C6534">
        <w:t>) in HTA processes ensures that the advice provided is informed by the needs of the people living with health conditions. This involvement and input bring context to the real benefits of</w:t>
      </w:r>
      <w:r w:rsidRPr="008C6534">
        <w:t xml:space="preserve"> health technologies such as why they might be useful (or not), how they impact everyday life and how they might best be accessed. </w:t>
      </w:r>
    </w:p>
    <w:p w14:paraId="26AD4A57" w14:textId="0274C1C9" w:rsidR="00767074" w:rsidRPr="008C6534" w:rsidRDefault="00514FB0" w:rsidP="00835727">
      <w:r w:rsidRPr="008C6534">
        <w:t>In the recent past, there have been several reviews and reforms that are relevant to Australia’s health technology assessmen</w:t>
      </w:r>
      <w:r w:rsidRPr="008C6534">
        <w:t>t, approval and access processes and pathways. These include the Expert Panel Review of Medicines and Medical Devices Regulation (2015)</w:t>
      </w:r>
      <w:proofErr w:type="spellStart"/>
      <w:r>
        <w:fldChar w:fldCharType="begin"/>
      </w:r>
      <w:r w:rsidR="001B6708">
        <w:instrText>HYPERLINK "C:\\Users\\publications\\Desktop\\DT0003683 CEEU Conversations for Change\\DT0003683_CEEU_Conversation_for_Change_Report_FA_V2.html" \l "footnote-003"</w:instrText>
      </w:r>
      <w:r>
        <w:fldChar w:fldCharType="separate"/>
      </w:r>
      <w:r w:rsidRPr="004B1447">
        <w:rPr>
          <w:rStyle w:val="Hyperlink"/>
          <w:color w:val="auto"/>
          <w:u w:val="none"/>
          <w:vertAlign w:val="superscript"/>
        </w:rPr>
        <w:t>i</w:t>
      </w:r>
      <w:proofErr w:type="spellEnd"/>
      <w:r>
        <w:rPr>
          <w:rStyle w:val="Hyperlink"/>
          <w:color w:val="auto"/>
          <w:u w:val="none"/>
          <w:vertAlign w:val="superscript"/>
        </w:rPr>
        <w:fldChar w:fldCharType="end"/>
      </w:r>
      <w:r w:rsidRPr="008C6534">
        <w:t>, The House of Representatives Standing Committee on Health, Aged Care and Sport Inquiry into approval processes for new drugs and novel medical technologies in Australia (2021)</w:t>
      </w:r>
      <w:hyperlink r:id="rId15" w:anchor="footnote-002" w:history="1">
        <w:r w:rsidRPr="004B1447">
          <w:rPr>
            <w:rStyle w:val="Hyperlink"/>
            <w:color w:val="auto"/>
            <w:u w:val="none"/>
            <w:vertAlign w:val="superscript"/>
          </w:rPr>
          <w:t>ii</w:t>
        </w:r>
      </w:hyperlink>
      <w:r w:rsidRPr="008C6534">
        <w:t xml:space="preserve"> and the National Medicines Policy Review (2022)</w:t>
      </w:r>
      <w:hyperlink r:id="rId16" w:anchor="footnote-001" w:history="1">
        <w:r w:rsidRPr="004B1447">
          <w:rPr>
            <w:rStyle w:val="Hyperlink"/>
            <w:color w:val="auto"/>
            <w:u w:val="none"/>
            <w:vertAlign w:val="superscript"/>
          </w:rPr>
          <w:t>iii</w:t>
        </w:r>
      </w:hyperlink>
      <w:r w:rsidRPr="008C6534">
        <w:t xml:space="preserve">. These reviews have looked at ways to improve health technology regulatory and </w:t>
      </w:r>
      <w:proofErr w:type="spellStart"/>
      <w:r w:rsidRPr="008C6534">
        <w:t>subsidisation</w:t>
      </w:r>
      <w:proofErr w:type="spellEnd"/>
      <w:r w:rsidRPr="008C6534">
        <w:t xml:space="preserve"> assessment and access processes to facilitat</w:t>
      </w:r>
      <w:r w:rsidRPr="008C6534">
        <w:t>e the delivery of medicines, medical products and services in a timely manner. They have all sought public consultation to inform the findings.</w:t>
      </w:r>
    </w:p>
    <w:p w14:paraId="6109BE1A" w14:textId="603C0735" w:rsidR="00767074" w:rsidRPr="008C6534" w:rsidRDefault="00514FB0" w:rsidP="00835727">
      <w:r w:rsidRPr="008C6534">
        <w:t xml:space="preserve">The current Strategic </w:t>
      </w:r>
      <w:proofErr w:type="spellStart"/>
      <w:r w:rsidRPr="008C6534">
        <w:t>Agreement</w:t>
      </w:r>
      <w:hyperlink r:id="rId17" w:anchor="footnote-000" w:history="1">
        <w:r w:rsidRPr="004B1447">
          <w:rPr>
            <w:rStyle w:val="Hyperlink"/>
            <w:vertAlign w:val="superscript"/>
          </w:rPr>
          <w:t>iv</w:t>
        </w:r>
        <w:proofErr w:type="spellEnd"/>
      </w:hyperlink>
      <w:r w:rsidRPr="008C6534">
        <w:t xml:space="preserve"> between the Commonwealth of Australia and Medicines Australia contains various reform initiatives aimed at gaining earlier access to new medicines. This include</w:t>
      </w:r>
      <w:r w:rsidRPr="008C6534">
        <w:t>s co-designing an Enhanced Consumer Engagement Process.</w:t>
      </w:r>
    </w:p>
    <w:p w14:paraId="4DCEC4C2" w14:textId="77777777" w:rsidR="00767074" w:rsidRPr="008C6534" w:rsidRDefault="00514FB0" w:rsidP="00835727">
      <w:r w:rsidRPr="008C6534">
        <w:t xml:space="preserve">It is within this setting that the Office of Health Technology Assessment’s (Office of HTA) Consumer Evidence and Engagement Unit (CEEU) conducted the </w:t>
      </w:r>
      <w:r w:rsidRPr="008C6534">
        <w:rPr>
          <w:rStyle w:val="Emphasis"/>
        </w:rPr>
        <w:t>Conversations for Change</w:t>
      </w:r>
      <w:r w:rsidRPr="008C6534">
        <w:t> consultation.</w:t>
      </w:r>
    </w:p>
    <w:p w14:paraId="105F341A" w14:textId="77777777" w:rsidR="00767074" w:rsidRPr="008C6534" w:rsidRDefault="00514FB0" w:rsidP="00835727">
      <w:r w:rsidRPr="008C6534">
        <w:t xml:space="preserve">This report details the </w:t>
      </w:r>
      <w:r w:rsidRPr="00835727">
        <w:t>consultation activities and ‘what you told us’ in the consultation responses, presented as key themes, suggestions and considerations</w:t>
      </w:r>
      <w:r w:rsidRPr="008C6534">
        <w:t>.</w:t>
      </w:r>
      <w:r w:rsidR="00835727">
        <w:br/>
      </w:r>
    </w:p>
    <w:p w14:paraId="2F5E72F5" w14:textId="4070D053" w:rsidR="00767074" w:rsidRPr="00BA4A41" w:rsidRDefault="00514FB0" w:rsidP="00835727">
      <w:pPr>
        <w:pStyle w:val="NormalWeb"/>
        <w:spacing w:before="80"/>
        <w:ind w:left="425" w:hanging="425"/>
        <w:divId w:val="1569684393"/>
        <w:rPr>
          <w:color w:val="000000" w:themeColor="text1"/>
          <w:sz w:val="18"/>
          <w:szCs w:val="18"/>
        </w:rPr>
      </w:pPr>
      <w:hyperlink r:id="rId18" w:anchor="footnote-003-backlink" w:history="1">
        <w:r w:rsidRPr="00BA4A41">
          <w:rPr>
            <w:rStyle w:val="Hyperlink"/>
            <w:color w:val="000000" w:themeColor="text1"/>
            <w:sz w:val="18"/>
            <w:szCs w:val="18"/>
            <w:u w:val="none"/>
          </w:rPr>
          <w:t>i</w:t>
        </w:r>
      </w:hyperlink>
      <w:r w:rsidRPr="00BA4A41">
        <w:rPr>
          <w:color w:val="000000" w:themeColor="text1"/>
          <w:sz w:val="18"/>
          <w:szCs w:val="18"/>
        </w:rPr>
        <w:tab/>
        <w:t xml:space="preserve">Australian Government Response to the Review of Medicines and Medical Devices Regulation. </w:t>
      </w:r>
      <w:r w:rsidRPr="00BA4A41">
        <w:rPr>
          <w:color w:val="000000" w:themeColor="text1"/>
          <w:sz w:val="18"/>
          <w:szCs w:val="18"/>
        </w:rPr>
        <w:br/>
        <w:t>www.tga.gov.au/news/news/australian-government-response-revie</w:t>
      </w:r>
      <w:r w:rsidRPr="00BA4A41">
        <w:rPr>
          <w:color w:val="000000" w:themeColor="text1"/>
          <w:sz w:val="18"/>
          <w:szCs w:val="18"/>
        </w:rPr>
        <w:t>w-medicines-and-medical-devices-regulation 15 September 2016.</w:t>
      </w:r>
    </w:p>
    <w:p w14:paraId="556CEC9B" w14:textId="00347C9A" w:rsidR="00767074" w:rsidRPr="00BA4A41" w:rsidRDefault="00514FB0" w:rsidP="00835727">
      <w:pPr>
        <w:pStyle w:val="NormalWeb"/>
        <w:spacing w:before="80"/>
        <w:ind w:left="425" w:hanging="425"/>
        <w:divId w:val="872965630"/>
        <w:rPr>
          <w:color w:val="000000" w:themeColor="text1"/>
          <w:sz w:val="18"/>
          <w:szCs w:val="18"/>
        </w:rPr>
      </w:pPr>
      <w:hyperlink r:id="rId19" w:anchor="footnote-002-backlink" w:history="1">
        <w:r w:rsidRPr="00BA4A41">
          <w:rPr>
            <w:rStyle w:val="Hyperlink"/>
            <w:color w:val="000000" w:themeColor="text1"/>
            <w:sz w:val="18"/>
            <w:szCs w:val="18"/>
            <w:u w:val="none"/>
          </w:rPr>
          <w:t>ii</w:t>
        </w:r>
      </w:hyperlink>
      <w:r w:rsidRPr="00BA4A41">
        <w:rPr>
          <w:color w:val="000000" w:themeColor="text1"/>
          <w:sz w:val="18"/>
          <w:szCs w:val="18"/>
        </w:rPr>
        <w:tab/>
        <w:t xml:space="preserve">The New </w:t>
      </w:r>
      <w:r w:rsidRPr="00BA4A41">
        <w:rPr>
          <w:color w:val="000000" w:themeColor="text1"/>
          <w:sz w:val="18"/>
          <w:szCs w:val="18"/>
        </w:rPr>
        <w:t>Frontier – Delivering better health for all Australians. www.aph.gov.au/Parliamentary_Business/Committees/House/Health_Aged_Care_and_Sport/Newdrugs/Report November 2021.</w:t>
      </w:r>
    </w:p>
    <w:p w14:paraId="4EBDDAB6" w14:textId="5A484673" w:rsidR="00767074" w:rsidRPr="00BA4A41" w:rsidRDefault="00514FB0" w:rsidP="00835727">
      <w:pPr>
        <w:pStyle w:val="NormalWeb"/>
        <w:spacing w:before="80"/>
        <w:ind w:left="425" w:hanging="425"/>
        <w:divId w:val="1994483664"/>
        <w:rPr>
          <w:color w:val="000000" w:themeColor="text1"/>
          <w:sz w:val="18"/>
          <w:szCs w:val="18"/>
        </w:rPr>
      </w:pPr>
      <w:hyperlink r:id="rId20" w:anchor="footnote-001-backlink" w:history="1">
        <w:r w:rsidRPr="00BA4A41">
          <w:rPr>
            <w:rStyle w:val="Hyperlink"/>
            <w:color w:val="000000" w:themeColor="text1"/>
            <w:sz w:val="18"/>
            <w:szCs w:val="18"/>
            <w:u w:val="none"/>
          </w:rPr>
          <w:t>iii</w:t>
        </w:r>
      </w:hyperlink>
      <w:r w:rsidRPr="00BA4A41">
        <w:rPr>
          <w:color w:val="000000" w:themeColor="text1"/>
          <w:sz w:val="18"/>
          <w:szCs w:val="18"/>
        </w:rPr>
        <w:tab/>
        <w:t>National Medicines Policy 2022 (plain language). www.health.gov.au/site</w:t>
      </w:r>
      <w:r w:rsidRPr="00BA4A41">
        <w:rPr>
          <w:color w:val="000000" w:themeColor="text1"/>
          <w:sz w:val="18"/>
          <w:szCs w:val="18"/>
        </w:rPr>
        <w:t>s/default/files/2022-12/national_medicines_policy_2022_-_plain_language.pdf.</w:t>
      </w:r>
    </w:p>
    <w:p w14:paraId="647C613D" w14:textId="70AAE4AA" w:rsidR="00767074" w:rsidRPr="00BA4A41" w:rsidRDefault="00514FB0" w:rsidP="00835727">
      <w:pPr>
        <w:pStyle w:val="NormalWeb"/>
        <w:spacing w:before="80"/>
        <w:ind w:left="425" w:hanging="425"/>
        <w:divId w:val="1119452462"/>
        <w:rPr>
          <w:color w:val="000000" w:themeColor="text1"/>
          <w:sz w:val="18"/>
          <w:szCs w:val="18"/>
        </w:rPr>
      </w:pPr>
      <w:hyperlink r:id="rId21" w:anchor="footnote-000-backlink" w:history="1">
        <w:r w:rsidRPr="00BA4A41">
          <w:rPr>
            <w:rStyle w:val="Hyperlink"/>
            <w:color w:val="000000" w:themeColor="text1"/>
            <w:sz w:val="18"/>
            <w:szCs w:val="18"/>
            <w:u w:val="none"/>
          </w:rPr>
          <w:t>iv</w:t>
        </w:r>
      </w:hyperlink>
      <w:r w:rsidRPr="00BA4A41">
        <w:rPr>
          <w:color w:val="000000" w:themeColor="text1"/>
          <w:sz w:val="18"/>
          <w:szCs w:val="18"/>
        </w:rPr>
        <w:tab/>
        <w:t xml:space="preserve">Strategic Agreement in relation to reimbursement, health technology assessment and other matters (2022-2027). Commonwealth of Australia and Medicines Australia Limited. </w:t>
      </w:r>
      <w:proofErr w:type="gramStart"/>
      <w:r w:rsidRPr="00BA4A41">
        <w:rPr>
          <w:color w:val="000000" w:themeColor="text1"/>
          <w:sz w:val="18"/>
          <w:szCs w:val="18"/>
        </w:rPr>
        <w:t>www.pbs.gov.au/general/medicines-industry-strategic-agreement-files/MA-Strategic</w:t>
      </w:r>
      <w:r w:rsidRPr="00BA4A41">
        <w:rPr>
          <w:color w:val="000000" w:themeColor="text1"/>
          <w:sz w:val="18"/>
          <w:szCs w:val="18"/>
        </w:rPr>
        <w:t>-Agreement-Signed.pdf .</w:t>
      </w:r>
      <w:proofErr w:type="gramEnd"/>
    </w:p>
    <w:p w14:paraId="12AB5B4C" w14:textId="77777777" w:rsidR="00767074" w:rsidRPr="00835727" w:rsidRDefault="008C6534" w:rsidP="00835727">
      <w:pPr>
        <w:pStyle w:val="Heading1"/>
      </w:pPr>
      <w:r>
        <w:br w:type="page"/>
      </w:r>
      <w:bookmarkStart w:id="3" w:name="_Toc142318731"/>
      <w:r w:rsidRPr="006266F8">
        <w:rPr>
          <w:color w:val="000000" w:themeColor="text1"/>
        </w:rPr>
        <w:lastRenderedPageBreak/>
        <w:t>Current involvement of consumers in the Australian HTA process</w:t>
      </w:r>
      <w:bookmarkEnd w:id="3"/>
    </w:p>
    <w:p w14:paraId="52DA28EE" w14:textId="77777777" w:rsidR="00767074" w:rsidRPr="008C6534" w:rsidRDefault="00514FB0" w:rsidP="00A3497E">
      <w:r w:rsidRPr="008C6534">
        <w:t xml:space="preserve">Most consumers and consumer </w:t>
      </w:r>
      <w:proofErr w:type="spellStart"/>
      <w:r w:rsidRPr="008C6534">
        <w:t>organisations</w:t>
      </w:r>
      <w:proofErr w:type="spellEnd"/>
      <w:r w:rsidRPr="008C6534">
        <w:t xml:space="preserve"> engage with HTA processes out of a desire for earlier, affordable access to a health technology. This includes engaging with t</w:t>
      </w:r>
      <w:r w:rsidRPr="008C6534">
        <w:t xml:space="preserve">he assessment processes for </w:t>
      </w:r>
      <w:proofErr w:type="spellStart"/>
      <w:r w:rsidRPr="008C6534">
        <w:t>subsidisation</w:t>
      </w:r>
      <w:proofErr w:type="spellEnd"/>
      <w:r w:rsidRPr="008C6534">
        <w:t xml:space="preserve"> of new health technologies on Government programs such as the Pharmaceutical Benefits Scheme (PBS) for medicines and the Medicare Benefits Schedule (MBS) for medical services and technologies.</w:t>
      </w:r>
    </w:p>
    <w:p w14:paraId="166126C1" w14:textId="77777777" w:rsidR="00767074" w:rsidRPr="008C6534" w:rsidRDefault="00514FB0" w:rsidP="00A3497E">
      <w:r w:rsidRPr="008C6534">
        <w:t>In recent years the v</w:t>
      </w:r>
      <w:r w:rsidRPr="008C6534">
        <w:t xml:space="preserve">isibility of patient involvement and consumer representation has increased. In 2017, the HTA Consumer Consultative Committee (CCC) was established. This was followed by the formation of the Department of Health and Aged Care’s CEEU in 2019. </w:t>
      </w:r>
    </w:p>
    <w:p w14:paraId="281869FF" w14:textId="77777777" w:rsidR="00767074" w:rsidRPr="008C6534" w:rsidRDefault="00514FB0" w:rsidP="00A3497E">
      <w:r w:rsidRPr="008C6534">
        <w:t>Both these ini</w:t>
      </w:r>
      <w:r w:rsidRPr="008C6534">
        <w:t>tiatives have worked to support and improve the ways consumers and patients engage with HTA processes. For the Pharmaceutical Benefits Advisory Committee (PBAC) and Medical Services Advisory Committee (MSAC) processes, consumers and patients currently have</w:t>
      </w:r>
      <w:r w:rsidRPr="008C6534">
        <w:t xml:space="preserve"> opportunities to provide input to these processes either directly or via representation through:</w:t>
      </w:r>
    </w:p>
    <w:p w14:paraId="4BA711BC" w14:textId="77777777" w:rsidR="00767074" w:rsidRPr="008C6534" w:rsidRDefault="00514FB0" w:rsidP="008C6534">
      <w:pPr>
        <w:pStyle w:val="ListParagraph"/>
        <w:numPr>
          <w:ilvl w:val="0"/>
          <w:numId w:val="2"/>
        </w:numPr>
        <w:rPr>
          <w:rFonts w:eastAsia="Times New Roman"/>
        </w:rPr>
      </w:pPr>
      <w:r w:rsidRPr="008C6534">
        <w:rPr>
          <w:rFonts w:eastAsia="Times New Roman"/>
        </w:rPr>
        <w:t>public consultations on committee agendas,</w:t>
      </w:r>
    </w:p>
    <w:p w14:paraId="636038AE" w14:textId="77777777" w:rsidR="00767074" w:rsidRPr="008C6534" w:rsidRDefault="00514FB0" w:rsidP="008C6534">
      <w:pPr>
        <w:pStyle w:val="ListParagraph"/>
        <w:numPr>
          <w:ilvl w:val="0"/>
          <w:numId w:val="2"/>
        </w:numPr>
        <w:rPr>
          <w:rFonts w:eastAsia="Times New Roman"/>
        </w:rPr>
      </w:pPr>
      <w:r w:rsidRPr="008C6534">
        <w:rPr>
          <w:rFonts w:eastAsia="Times New Roman"/>
        </w:rPr>
        <w:t>hearings about specific medicine submissions,</w:t>
      </w:r>
    </w:p>
    <w:p w14:paraId="7D6B4DD0" w14:textId="77777777" w:rsidR="00767074" w:rsidRPr="008C6534" w:rsidRDefault="00514FB0" w:rsidP="008C6534">
      <w:pPr>
        <w:pStyle w:val="ListParagraph"/>
        <w:numPr>
          <w:ilvl w:val="0"/>
          <w:numId w:val="2"/>
        </w:numPr>
        <w:rPr>
          <w:rFonts w:eastAsia="Times New Roman"/>
        </w:rPr>
      </w:pPr>
      <w:r w:rsidRPr="008C6534">
        <w:rPr>
          <w:rFonts w:eastAsia="Times New Roman"/>
        </w:rPr>
        <w:t>expert clinical consultations about specific medicine submissions, an</w:t>
      </w:r>
      <w:r w:rsidRPr="008C6534">
        <w:rPr>
          <w:rFonts w:eastAsia="Times New Roman"/>
        </w:rPr>
        <w:t>d/or</w:t>
      </w:r>
    </w:p>
    <w:p w14:paraId="18952644" w14:textId="77777777" w:rsidR="00767074" w:rsidRPr="008C6534" w:rsidRDefault="00514FB0" w:rsidP="008C6534">
      <w:pPr>
        <w:pStyle w:val="ListParagraph"/>
        <w:numPr>
          <w:ilvl w:val="0"/>
          <w:numId w:val="2"/>
        </w:numPr>
        <w:rPr>
          <w:rFonts w:eastAsia="Times New Roman"/>
        </w:rPr>
      </w:pPr>
      <w:r w:rsidRPr="008C6534">
        <w:rPr>
          <w:rFonts w:eastAsia="Times New Roman"/>
        </w:rPr>
        <w:t>formal stakeholder meetings on specific health technologies (including post market opportunities).</w:t>
      </w:r>
    </w:p>
    <w:p w14:paraId="2CE9C25D" w14:textId="77777777" w:rsidR="00767074" w:rsidRPr="008C6534" w:rsidRDefault="00514FB0" w:rsidP="008C6534">
      <w:pPr>
        <w:pStyle w:val="NormalWeb"/>
      </w:pPr>
      <w:r w:rsidRPr="008C6534">
        <w:t xml:space="preserve">Much of this involvement is </w:t>
      </w:r>
      <w:proofErr w:type="spellStart"/>
      <w:r w:rsidRPr="008C6534">
        <w:t>centred</w:t>
      </w:r>
      <w:proofErr w:type="spellEnd"/>
      <w:r w:rsidRPr="008C6534">
        <w:t xml:space="preserve"> at the later stages of the HTA process, after the development and submission of a sponsor application for </w:t>
      </w:r>
      <w:proofErr w:type="spellStart"/>
      <w:r w:rsidRPr="008C6534">
        <w:t>subsidisat</w:t>
      </w:r>
      <w:r w:rsidRPr="008C6534">
        <w:t>ion</w:t>
      </w:r>
      <w:proofErr w:type="spellEnd"/>
      <w:r w:rsidRPr="008C6534">
        <w:t xml:space="preserve"> assessment, as highlighted in Figure 1. </w:t>
      </w:r>
    </w:p>
    <w:p w14:paraId="1ED24473" w14:textId="77777777" w:rsidR="00767074" w:rsidRPr="002B54FA" w:rsidRDefault="00514FB0" w:rsidP="002B54FA">
      <w:pPr>
        <w:pStyle w:val="Heading4"/>
      </w:pPr>
      <w:r w:rsidRPr="002B54FA">
        <w:t>Figure 1: Opportunities for consumer consultation in current HTA processes.</w:t>
      </w:r>
    </w:p>
    <w:p w14:paraId="0398C161" w14:textId="1439B646" w:rsidR="00767074" w:rsidRDefault="00514FB0" w:rsidP="00C52AB2">
      <w:pPr>
        <w:jc w:val="center"/>
        <w:rPr>
          <w:rFonts w:eastAsia="Times New Roman"/>
        </w:rPr>
      </w:pPr>
      <w:r w:rsidRPr="008C6534">
        <w:rPr>
          <w:rFonts w:eastAsia="Times New Roman"/>
        </w:rPr>
        <w:fldChar w:fldCharType="begin"/>
      </w:r>
      <w:r w:rsidR="001B6708">
        <w:rPr>
          <w:rFonts w:eastAsia="Times New Roman"/>
        </w:rPr>
        <w:instrText xml:space="preserve"> INCLUDEPICTURE "C:\\Users\\publications\\Desktop\\DT0003683 CEEU Conversations for Change\\DT0003683_CEEU_Conversation_for_Change_Report_FA_V2-web-resources\\image\\Stage_Infographic_Old_Method_Rev.png" \* MERGEFORMAT \d \x \y </w:instrText>
      </w:r>
      <w:r w:rsidRPr="008C6534">
        <w:rPr>
          <w:rFonts w:eastAsia="Times New Roman"/>
        </w:rPr>
        <w:fldChar w:fldCharType="separate"/>
      </w:r>
      <w:r w:rsidRPr="008C6534">
        <w:rPr>
          <w:rFonts w:eastAsia="Times New Roman"/>
          <w:noProof/>
        </w:rPr>
        <w:drawing>
          <wp:inline distT="0" distB="0" distL="0" distR="0" wp14:anchorId="7B1FD76B" wp14:editId="0F9821FB">
            <wp:extent cx="4424021" cy="2305917"/>
            <wp:effectExtent l="0" t="0" r="0" b="5715"/>
            <wp:docPr id="3" name="Picture 3" descr="Figure 1 is a simplified view of the Heath Technology process. &#10;Step 1 – Research data on new or exisiting medicine or medical service&#10;Step 2 – Therapeutic Goods Administration assessment for medicine or medical services to be sold in Australia.&#10;Step 3 – Application for Government funding of medicine or medical service through Pharmaceutical Benefits Advisory Committee.&#10;Consumer Consultation period.&#10;Step 4 – Committee consideration of application through Medical Services Advisory Committee.&#10;Step 5 – Committee advice published. Government considers advice.&#10;Step 6 – Recommended items for subsidy or item not recommended for subsidy need to rea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is a simplified view of the Heath Technology process. &#10;Step 1 – Research data on new or exisiting medicine or medical service&#10;Step 2 – Therapeutic Goods Administration assessment for medicine or medical services to be sold in Australia.&#10;Step 3 – Application for Government funding of medicine or medical service through Pharmaceutical Benefits Advisory Committee.&#10;Consumer Consultation period.&#10;Step 4 – Committee consideration of application through Medical Services Advisory Committee.&#10;Step 5 – Committee advice published. Government considers advice.&#10;Step 6 – Recommended items for subsidy or item not recommended for subsidy need to reapply."/>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424021" cy="2305917"/>
                    </a:xfrm>
                    <a:prstGeom prst="rect">
                      <a:avLst/>
                    </a:prstGeom>
                    <a:noFill/>
                    <a:ln>
                      <a:noFill/>
                    </a:ln>
                  </pic:spPr>
                </pic:pic>
              </a:graphicData>
            </a:graphic>
          </wp:inline>
        </w:drawing>
      </w:r>
      <w:r w:rsidRPr="008C6534">
        <w:rPr>
          <w:rFonts w:eastAsia="Times New Roman"/>
        </w:rPr>
        <w:fldChar w:fldCharType="end"/>
      </w:r>
    </w:p>
    <w:p w14:paraId="163F524D" w14:textId="77777777" w:rsidR="002B54FA" w:rsidRPr="008C6534" w:rsidRDefault="002B54FA" w:rsidP="002B54FA">
      <w:pPr>
        <w:pStyle w:val="NormalWeb"/>
      </w:pPr>
      <w:r w:rsidRPr="008C6534">
        <w:rPr>
          <w:rStyle w:val="Emphasis"/>
        </w:rPr>
        <w:t>Simplified overview of HTA processes</w:t>
      </w:r>
    </w:p>
    <w:p w14:paraId="1644FFF5" w14:textId="77777777" w:rsidR="002B54FA" w:rsidRPr="008C6534" w:rsidRDefault="002B54FA" w:rsidP="008C6534">
      <w:pPr>
        <w:rPr>
          <w:rFonts w:eastAsia="Times New Roman"/>
        </w:rPr>
      </w:pPr>
    </w:p>
    <w:p w14:paraId="701C2561" w14:textId="77777777" w:rsidR="00767074" w:rsidRPr="008C6534" w:rsidRDefault="00514FB0" w:rsidP="008C6534">
      <w:pPr>
        <w:pStyle w:val="NormalWeb"/>
      </w:pPr>
      <w:r w:rsidRPr="008C6534">
        <w:lastRenderedPageBreak/>
        <w:t>Recent reviews and reports about Australia’s HTA approval and access pathways and processes have provided suggestions on improving consumer and patient engagement. These have included:</w:t>
      </w:r>
    </w:p>
    <w:p w14:paraId="02D2F01B" w14:textId="77777777" w:rsidR="00767074" w:rsidRPr="008C6534" w:rsidRDefault="00514FB0" w:rsidP="008C6534">
      <w:pPr>
        <w:pStyle w:val="ListParagraph"/>
        <w:numPr>
          <w:ilvl w:val="0"/>
          <w:numId w:val="3"/>
        </w:numPr>
        <w:rPr>
          <w:rFonts w:eastAsia="Times New Roman"/>
        </w:rPr>
      </w:pPr>
      <w:r w:rsidRPr="008C6534">
        <w:rPr>
          <w:rFonts w:eastAsia="Times New Roman"/>
        </w:rPr>
        <w:t>more plain language information on HTA processes and deliber</w:t>
      </w:r>
      <w:r w:rsidRPr="008C6534">
        <w:rPr>
          <w:rFonts w:eastAsia="Times New Roman"/>
        </w:rPr>
        <w:t>ations (for example workshops and webinars on HTA process),</w:t>
      </w:r>
    </w:p>
    <w:p w14:paraId="7151E4A4" w14:textId="77777777" w:rsidR="00767074" w:rsidRPr="008C6534" w:rsidRDefault="00514FB0" w:rsidP="008C6534">
      <w:pPr>
        <w:pStyle w:val="ListParagraph"/>
        <w:numPr>
          <w:ilvl w:val="0"/>
          <w:numId w:val="3"/>
        </w:numPr>
        <w:rPr>
          <w:rFonts w:eastAsia="Times New Roman"/>
        </w:rPr>
      </w:pPr>
      <w:r w:rsidRPr="008C6534">
        <w:rPr>
          <w:rFonts w:eastAsia="Times New Roman"/>
        </w:rPr>
        <w:t xml:space="preserve">more support for individuals and </w:t>
      </w:r>
      <w:proofErr w:type="spellStart"/>
      <w:r w:rsidRPr="008C6534">
        <w:rPr>
          <w:rFonts w:eastAsia="Times New Roman"/>
        </w:rPr>
        <w:t>organisations</w:t>
      </w:r>
      <w:proofErr w:type="spellEnd"/>
      <w:r w:rsidRPr="008C6534">
        <w:rPr>
          <w:rFonts w:eastAsia="Times New Roman"/>
        </w:rPr>
        <w:t xml:space="preserve"> to contribute to HTA processes (for example people and information to guide consumers on how best to use their lived experience in HTA),</w:t>
      </w:r>
    </w:p>
    <w:p w14:paraId="6DBD678E" w14:textId="77777777" w:rsidR="00767074" w:rsidRPr="008C6534" w:rsidRDefault="00514FB0" w:rsidP="008C6534">
      <w:pPr>
        <w:pStyle w:val="ListParagraph"/>
        <w:numPr>
          <w:ilvl w:val="0"/>
          <w:numId w:val="3"/>
        </w:numPr>
        <w:rPr>
          <w:rFonts w:eastAsia="Times New Roman"/>
        </w:rPr>
      </w:pPr>
      <w:r w:rsidRPr="008C6534">
        <w:rPr>
          <w:rFonts w:eastAsia="Times New Roman"/>
        </w:rPr>
        <w:t>more inclusi</w:t>
      </w:r>
      <w:r w:rsidRPr="008C6534">
        <w:rPr>
          <w:rFonts w:eastAsia="Times New Roman"/>
        </w:rPr>
        <w:t>ve and active opportunities to participate in HTA processes (for example meetings with consumers and others involved in the process when an application is submitted), and</w:t>
      </w:r>
    </w:p>
    <w:p w14:paraId="163AACCC" w14:textId="77777777" w:rsidR="00767074" w:rsidRPr="008C6534" w:rsidRDefault="00514FB0" w:rsidP="008C6534">
      <w:pPr>
        <w:pStyle w:val="ListParagraph"/>
        <w:numPr>
          <w:ilvl w:val="0"/>
          <w:numId w:val="3"/>
        </w:numPr>
        <w:rPr>
          <w:rFonts w:eastAsia="Times New Roman"/>
        </w:rPr>
      </w:pPr>
      <w:r w:rsidRPr="008C6534">
        <w:rPr>
          <w:rFonts w:eastAsia="Times New Roman"/>
        </w:rPr>
        <w:t xml:space="preserve">more documented evidence of consumer input incorporated into applications (for </w:t>
      </w:r>
      <w:r w:rsidRPr="008C6534">
        <w:rPr>
          <w:rFonts w:eastAsia="Times New Roman"/>
        </w:rPr>
        <w:t>example all HTA applications to state how patient relevant outcomes have been considered).</w:t>
      </w:r>
    </w:p>
    <w:p w14:paraId="6403CB79" w14:textId="77777777" w:rsidR="00BA4A41" w:rsidRPr="008C6534" w:rsidRDefault="00BA4A41" w:rsidP="008C6534">
      <w:pPr>
        <w:pStyle w:val="NormalWeb"/>
      </w:pPr>
      <w:r>
        <w:rPr>
          <w:noProof/>
        </w:rPr>
        <mc:AlternateContent>
          <mc:Choice Requires="wps">
            <w:drawing>
              <wp:inline distT="0" distB="0" distL="0" distR="0" wp14:anchorId="5A5C4245" wp14:editId="206731BA">
                <wp:extent cx="5904000" cy="1440000"/>
                <wp:effectExtent l="0" t="0" r="1905" b="0"/>
                <wp:docPr id="1643020546" name="Text Box 4"/>
                <wp:cNvGraphicFramePr/>
                <a:graphic xmlns:a="http://schemas.openxmlformats.org/drawingml/2006/main">
                  <a:graphicData uri="http://schemas.microsoft.com/office/word/2010/wordprocessingShape">
                    <wps:wsp>
                      <wps:cNvSpPr txBox="1"/>
                      <wps:spPr>
                        <a:xfrm>
                          <a:off x="0" y="0"/>
                          <a:ext cx="5904000" cy="1440000"/>
                        </a:xfrm>
                        <a:prstGeom prst="rect">
                          <a:avLst/>
                        </a:prstGeom>
                        <a:solidFill>
                          <a:schemeClr val="bg1">
                            <a:lumMod val="95000"/>
                          </a:schemeClr>
                        </a:solidFill>
                        <a:ln w="6350">
                          <a:noFill/>
                        </a:ln>
                      </wps:spPr>
                      <wps:txbx>
                        <w:txbxContent>
                          <w:p w14:paraId="1DE80C41" w14:textId="77777777" w:rsidR="00BA4A41" w:rsidRPr="008C6534" w:rsidRDefault="00BA4A41" w:rsidP="0056376D">
                            <w:pPr>
                              <w:pStyle w:val="NormalWeb"/>
                              <w:ind w:left="57"/>
                            </w:pPr>
                            <w:r w:rsidRPr="008C6534">
                              <w:t xml:space="preserve">The </w:t>
                            </w:r>
                            <w:r w:rsidRPr="008C6534">
                              <w:rPr>
                                <w:rStyle w:val="Emphasis"/>
                              </w:rPr>
                              <w:t>Conversations for Change</w:t>
                            </w:r>
                            <w:r w:rsidRPr="008C6534">
                              <w:t xml:space="preserve"> consultation was developed by the CEEU to inform its future work, with the intent of improving its support of consumers and consumer organisations engaging with HTA processes. </w:t>
                            </w:r>
                          </w:p>
                          <w:p w14:paraId="6A2AD52E" w14:textId="77777777" w:rsidR="00BA4A41" w:rsidRDefault="00BA4A41" w:rsidP="0056376D">
                            <w:pPr>
                              <w:pStyle w:val="NormalWeb"/>
                              <w:ind w:left="57"/>
                            </w:pPr>
                            <w:r w:rsidRPr="008C6534">
                              <w:t xml:space="preserve">The consultation asked participants </w:t>
                            </w:r>
                            <w:r w:rsidR="00421ED8">
                              <w:rPr>
                                <w:rStyle w:val="Strong"/>
                                <w:rFonts w:eastAsiaTheme="minorEastAsia"/>
                              </w:rPr>
                              <w:t>what</w:t>
                            </w:r>
                            <w:r w:rsidRPr="008C6534">
                              <w:t xml:space="preserve">, </w:t>
                            </w:r>
                            <w:r w:rsidR="00421ED8">
                              <w:rPr>
                                <w:rStyle w:val="Strong"/>
                                <w:rFonts w:eastAsiaTheme="minorEastAsia"/>
                              </w:rPr>
                              <w:t>when</w:t>
                            </w:r>
                            <w:r w:rsidRPr="008C6534">
                              <w:t xml:space="preserve"> and </w:t>
                            </w:r>
                            <w:r w:rsidR="00421ED8">
                              <w:rPr>
                                <w:rStyle w:val="Strong"/>
                                <w:rFonts w:eastAsiaTheme="minorEastAsia"/>
                              </w:rPr>
                              <w:t>how</w:t>
                            </w:r>
                            <w:r w:rsidRPr="008C6534">
                              <w:t xml:space="preserve"> consumer views and experiences can best be provided during HTA processes.</w:t>
                            </w:r>
                          </w:p>
                          <w:p w14:paraId="08412F10" w14:textId="77777777" w:rsidR="00BA4A41" w:rsidRDefault="00BA4A41" w:rsidP="005637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4.9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" fillcolor="#f2f2f2 [3052]" stroked="f" strokeweight=".5pt">
                <v:textbox>
                  <w:txbxContent>
                    <w:p w:rsidR="00BA4A41" w:rsidRPr="008C6534" w:rsidRDefault="00BA4A41" w:rsidP="0056376D">
                      <w:pPr>
                        <w:pStyle w:val="NormalWeb"/>
                        <w:ind w:left="57"/>
                      </w:pPr>
                      <w:r w:rsidRPr="008C6534">
                        <w:t xml:space="preserve">The </w:t>
                      </w:r>
                      <w:r w:rsidRPr="008C6534">
                        <w:rPr>
                          <w:rStyle w:val="Emphasis"/>
                        </w:rPr>
                        <w:t>Conversations for Change</w:t>
                      </w:r>
                      <w:r w:rsidRPr="008C6534">
                        <w:t xml:space="preserve"> consultation was developed by the CEEU to inform its future work, with the intent of improving its support of consumers and consumer </w:t>
                      </w:r>
                      <w:proofErr w:type="spellStart"/>
                      <w:r w:rsidRPr="008C6534">
                        <w:t>organisations</w:t>
                      </w:r>
                      <w:proofErr w:type="spellEnd"/>
                      <w:r w:rsidRPr="008C6534">
                        <w:t xml:space="preserve"> engaging with HTA processes. </w:t>
                      </w:r>
                    </w:p>
                    <w:p w:rsidR="00BA4A41" w:rsidRDefault="00BA4A41" w:rsidP="0056376D">
                      <w:pPr>
                        <w:pStyle w:val="NormalWeb"/>
                        <w:ind w:left="57"/>
                      </w:pPr>
                      <w:r w:rsidRPr="008C6534">
                        <w:t xml:space="preserve">The consultation asked participants </w:t>
                      </w:r>
                      <w:r w:rsidR="00421ED8">
                        <w:rPr>
                          <w:rStyle w:val="Strong"/>
                          <w:rFonts w:eastAsiaTheme="minorEastAsia"/>
                        </w:rPr>
                        <w:t>what</w:t>
                      </w:r>
                      <w:r w:rsidRPr="008C6534">
                        <w:t xml:space="preserve">, </w:t>
                      </w:r>
                      <w:r w:rsidR="00421ED8">
                        <w:rPr>
                          <w:rStyle w:val="Strong"/>
                          <w:rFonts w:eastAsiaTheme="minorEastAsia"/>
                        </w:rPr>
                        <w:t>when</w:t>
                      </w:r>
                      <w:r w:rsidRPr="008C6534">
                        <w:t xml:space="preserve"> and </w:t>
                      </w:r>
                      <w:r w:rsidR="00421ED8">
                        <w:rPr>
                          <w:rStyle w:val="Strong"/>
                          <w:rFonts w:eastAsiaTheme="minorEastAsia"/>
                        </w:rPr>
                        <w:t>how</w:t>
                      </w:r>
                      <w:r w:rsidRPr="008C6534">
                        <w:t xml:space="preserve"> consumer views and experiences can best be provided during HTA processes.</w:t>
                      </w:r>
                    </w:p>
                    <w:p w:rsidR="00BA4A41" w:rsidRDefault="00BA4A41" w:rsidP="0056376D"/>
                  </w:txbxContent>
                </v:textbox>
                <w10:anchorlock/>
              </v:shape>
            </w:pict>
          </mc:Fallback>
        </mc:AlternateContent>
      </w:r>
    </w:p>
    <w:p w14:paraId="00A1D819" w14:textId="77777777" w:rsidR="008C6534" w:rsidRDefault="008C6534">
      <w:pPr>
        <w:spacing w:before="0"/>
        <w:rPr>
          <w:rFonts w:eastAsia="Times New Roman"/>
          <w:b/>
          <w:bCs/>
          <w:kern w:val="36"/>
          <w:sz w:val="48"/>
          <w:szCs w:val="48"/>
        </w:rPr>
      </w:pPr>
      <w:r>
        <w:br w:type="page"/>
      </w:r>
    </w:p>
    <w:p w14:paraId="5BEBE337" w14:textId="77777777" w:rsidR="00767074" w:rsidRPr="006266F8" w:rsidRDefault="00514FB0" w:rsidP="008C6534">
      <w:pPr>
        <w:pStyle w:val="Heading1"/>
        <w:rPr>
          <w:color w:val="000000" w:themeColor="text1"/>
        </w:rPr>
      </w:pPr>
      <w:bookmarkStart w:id="4" w:name="_Toc142318732"/>
      <w:r w:rsidRPr="006266F8">
        <w:rPr>
          <w:color w:val="000000" w:themeColor="text1"/>
        </w:rPr>
        <w:lastRenderedPageBreak/>
        <w:t>Consultation activities</w:t>
      </w:r>
      <w:bookmarkEnd w:id="4"/>
    </w:p>
    <w:p w14:paraId="03788E4D" w14:textId="77777777" w:rsidR="00767074" w:rsidRPr="008C6534" w:rsidRDefault="00514FB0" w:rsidP="008C6534">
      <w:pPr>
        <w:pStyle w:val="NormalWeb"/>
      </w:pPr>
      <w:r w:rsidRPr="008C6534">
        <w:t xml:space="preserve">To reach a wide range of consumers, </w:t>
      </w:r>
      <w:proofErr w:type="spellStart"/>
      <w:r w:rsidRPr="008C6534">
        <w:t>carers</w:t>
      </w:r>
      <w:proofErr w:type="spellEnd"/>
      <w:r w:rsidRPr="008C6534">
        <w:t xml:space="preserve">, consumer </w:t>
      </w:r>
      <w:proofErr w:type="spellStart"/>
      <w:r w:rsidRPr="008C6534">
        <w:t>organisations</w:t>
      </w:r>
      <w:proofErr w:type="spellEnd"/>
      <w:r w:rsidRPr="008C6534">
        <w:t>, health professionals and other interested stakeholders, a series of activities were held between September 2022 and March 2023. This included:</w:t>
      </w:r>
    </w:p>
    <w:p w14:paraId="42F7CC55" w14:textId="77777777" w:rsidR="00767074" w:rsidRPr="008C6534" w:rsidRDefault="00514FB0" w:rsidP="008C6534">
      <w:pPr>
        <w:pStyle w:val="ListParagraph"/>
        <w:numPr>
          <w:ilvl w:val="0"/>
          <w:numId w:val="4"/>
        </w:numPr>
        <w:rPr>
          <w:rFonts w:eastAsia="Times New Roman"/>
        </w:rPr>
      </w:pPr>
      <w:r w:rsidRPr="008C6534">
        <w:rPr>
          <w:rFonts w:eastAsia="Times New Roman"/>
        </w:rPr>
        <w:t>An online survey,</w:t>
      </w:r>
    </w:p>
    <w:p w14:paraId="3766A0BC" w14:textId="77777777" w:rsidR="00767074" w:rsidRPr="008C6534" w:rsidRDefault="00514FB0" w:rsidP="008C6534">
      <w:pPr>
        <w:pStyle w:val="ListParagraph"/>
        <w:numPr>
          <w:ilvl w:val="0"/>
          <w:numId w:val="4"/>
        </w:numPr>
        <w:rPr>
          <w:rFonts w:eastAsia="Times New Roman"/>
        </w:rPr>
      </w:pPr>
      <w:r w:rsidRPr="008C6534">
        <w:rPr>
          <w:rFonts w:eastAsia="Times New Roman"/>
        </w:rPr>
        <w:t>A workshop at the 2022 HTA Consumer Symposium, and</w:t>
      </w:r>
    </w:p>
    <w:p w14:paraId="77312D8D" w14:textId="77777777" w:rsidR="00767074" w:rsidRPr="008C6534" w:rsidRDefault="00514FB0" w:rsidP="008C6534">
      <w:pPr>
        <w:pStyle w:val="ListParagraph"/>
        <w:numPr>
          <w:ilvl w:val="0"/>
          <w:numId w:val="4"/>
        </w:numPr>
        <w:rPr>
          <w:rFonts w:eastAsia="Times New Roman"/>
        </w:rPr>
      </w:pPr>
      <w:r w:rsidRPr="008C6534">
        <w:rPr>
          <w:rFonts w:eastAsia="Times New Roman"/>
        </w:rPr>
        <w:t>Virtual and face-t</w:t>
      </w:r>
      <w:r w:rsidRPr="008C6534">
        <w:rPr>
          <w:rFonts w:eastAsia="Times New Roman"/>
        </w:rPr>
        <w:t>o-to face community conversations.</w:t>
      </w:r>
    </w:p>
    <w:p w14:paraId="34AD7196" w14:textId="77777777" w:rsidR="00767074" w:rsidRPr="008C6534" w:rsidRDefault="00514FB0" w:rsidP="008C6534">
      <w:pPr>
        <w:pStyle w:val="Heading3"/>
        <w:rPr>
          <w:rFonts w:eastAsia="Times New Roman"/>
        </w:rPr>
      </w:pPr>
      <w:r w:rsidRPr="008C6534">
        <w:rPr>
          <w:rFonts w:eastAsia="Times New Roman"/>
        </w:rPr>
        <w:t>Methodology</w:t>
      </w:r>
    </w:p>
    <w:p w14:paraId="7CEB489A" w14:textId="77777777" w:rsidR="00767074" w:rsidRPr="008C6534" w:rsidRDefault="00514FB0" w:rsidP="002B54FA">
      <w:r w:rsidRPr="008C6534">
        <w:t xml:space="preserve">All consultation activities required qualitative responses from participants. The activities were planned so that responses from prior activities could be </w:t>
      </w:r>
      <w:proofErr w:type="spellStart"/>
      <w:r w:rsidRPr="008C6534">
        <w:t>analysed</w:t>
      </w:r>
      <w:proofErr w:type="spellEnd"/>
      <w:r w:rsidRPr="008C6534">
        <w:t xml:space="preserve"> and presented in subsequent activities, enabl</w:t>
      </w:r>
      <w:r w:rsidRPr="008C6534">
        <w:t xml:space="preserve">ing increasingly deeper considerations of the emerging needs and suggestions (Figure 2). </w:t>
      </w:r>
    </w:p>
    <w:p w14:paraId="694D363A" w14:textId="77777777" w:rsidR="00767074" w:rsidRPr="008C6534" w:rsidRDefault="00514FB0" w:rsidP="008C6534">
      <w:pPr>
        <w:pStyle w:val="Heading4"/>
        <w:rPr>
          <w:rFonts w:eastAsia="Times New Roman"/>
        </w:rPr>
      </w:pPr>
      <w:r w:rsidRPr="008C6534">
        <w:rPr>
          <w:rFonts w:eastAsia="Times New Roman"/>
        </w:rPr>
        <w:t xml:space="preserve">Figure 2: Consultation series methodology – sequential response analysis for each activity. </w:t>
      </w:r>
    </w:p>
    <w:p w14:paraId="522639B1" w14:textId="56580B6D" w:rsidR="00767074" w:rsidRPr="008C6534" w:rsidRDefault="00514FB0" w:rsidP="008C6534">
      <w:pPr>
        <w:pStyle w:val="Heading4"/>
        <w:rPr>
          <w:rFonts w:eastAsia="Times New Roman"/>
        </w:rPr>
      </w:pPr>
      <w:r w:rsidRPr="008C6534">
        <w:rPr>
          <w:rFonts w:eastAsia="Times New Roman"/>
        </w:rPr>
        <w:fldChar w:fldCharType="begin"/>
      </w:r>
      <w:r w:rsidR="001B6708">
        <w:rPr>
          <w:rFonts w:eastAsia="Times New Roman"/>
        </w:rPr>
        <w:instrText xml:space="preserve"> INCLUDEPICTURE "C:\\Users\\publications\\Desktop\\DT0003683 CEEU Conversations for Change\\DT0003683_CEEU_Conversation_for_Change_Report_FA_V2-web-resources\\image\\CFC_Timeline_Rev.png" \* MERGEFORMAT \d \x \y </w:instrText>
      </w:r>
      <w:r w:rsidRPr="008C6534">
        <w:rPr>
          <w:rFonts w:eastAsia="Times New Roman"/>
        </w:rPr>
        <w:fldChar w:fldCharType="separate"/>
      </w:r>
      <w:r w:rsidRPr="008C6534">
        <w:rPr>
          <w:rFonts w:eastAsia="Times New Roman"/>
          <w:noProof/>
        </w:rPr>
        <w:drawing>
          <wp:inline distT="0" distB="0" distL="0" distR="0" wp14:anchorId="31EB6C30" wp14:editId="2FA22915">
            <wp:extent cx="5969000" cy="1447800"/>
            <wp:effectExtent l="0" t="0" r="0" b="0"/>
            <wp:docPr id="4" name="Picture 4" descr="Consultation series methodology – sequential response analysis for each activity.&#10;Online survey response activity ran from September 2022 to January 2023.&#10;Symposium workshop took place mid October.&#10;And the community conversation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nsultation series methodology – sequential response analysis for each activity.&#10;Online survey response activity ran from September 2022 to January 2023.&#10;Symposium workshop took place mid October.&#10;And the community conversations &#10;"/>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969000" cy="1447800"/>
                    </a:xfrm>
                    <a:prstGeom prst="rect">
                      <a:avLst/>
                    </a:prstGeom>
                    <a:noFill/>
                    <a:ln>
                      <a:noFill/>
                    </a:ln>
                  </pic:spPr>
                </pic:pic>
              </a:graphicData>
            </a:graphic>
          </wp:inline>
        </w:drawing>
      </w:r>
      <w:r w:rsidRPr="008C6534">
        <w:rPr>
          <w:rFonts w:eastAsia="Times New Roman"/>
        </w:rPr>
        <w:fldChar w:fldCharType="end"/>
      </w:r>
    </w:p>
    <w:p w14:paraId="1F80275A" w14:textId="77777777" w:rsidR="00767074" w:rsidRPr="008C6534" w:rsidRDefault="00514FB0" w:rsidP="008C6534">
      <w:pPr>
        <w:pStyle w:val="Heading3"/>
        <w:rPr>
          <w:rFonts w:eastAsia="Times New Roman"/>
        </w:rPr>
      </w:pPr>
      <w:r w:rsidRPr="008C6534">
        <w:rPr>
          <w:rFonts w:eastAsia="Times New Roman"/>
        </w:rPr>
        <w:t>Online Survey</w:t>
      </w:r>
    </w:p>
    <w:p w14:paraId="12725854" w14:textId="77777777" w:rsidR="00767074" w:rsidRPr="008C6534" w:rsidRDefault="00514FB0" w:rsidP="00A3497E">
      <w:r w:rsidRPr="008C6534">
        <w:t xml:space="preserve">The online survey, open to anyone who was interested, was accessible via the </w:t>
      </w:r>
      <w:hyperlink r:id="rId24" w:history="1">
        <w:r w:rsidRPr="008C6534">
          <w:rPr>
            <w:rStyle w:val="Hyperlink"/>
          </w:rPr>
          <w:t>Office of HTA Consultation Hub</w:t>
        </w:r>
      </w:hyperlink>
      <w:r w:rsidRPr="008C6534">
        <w:t xml:space="preserve"> from September 2022 to January 2023. The survey initially asked participants what they liked about the current opportunities for consumer input into the HTA process. Further questions asked wh</w:t>
      </w:r>
      <w:r w:rsidRPr="008C6534">
        <w:t>ere consumer input could be increased in the process, why this would improve the current system and how the consumer voice should be included and supported. The final question asked participants what, in their opinion, was the most important suggestion. Th</w:t>
      </w:r>
      <w:r w:rsidRPr="008C6534">
        <w:t>ere was also opportunity to provide any further comments.</w:t>
      </w:r>
    </w:p>
    <w:p w14:paraId="47B33D92" w14:textId="77777777" w:rsidR="00767074" w:rsidRPr="008C6534" w:rsidRDefault="00514FB0" w:rsidP="002B54FA">
      <w:r w:rsidRPr="008C6534">
        <w:t>Resources were provided to assist individuals accessing the online survey which included:</w:t>
      </w:r>
    </w:p>
    <w:p w14:paraId="424DE693" w14:textId="77777777" w:rsidR="00767074" w:rsidRPr="008C6534" w:rsidRDefault="00514FB0" w:rsidP="008C6534">
      <w:pPr>
        <w:pStyle w:val="ListParagraph"/>
        <w:numPr>
          <w:ilvl w:val="0"/>
          <w:numId w:val="5"/>
        </w:numPr>
        <w:rPr>
          <w:rFonts w:eastAsia="Times New Roman"/>
        </w:rPr>
      </w:pPr>
      <w:r w:rsidRPr="008C6534">
        <w:rPr>
          <w:rFonts w:eastAsia="Times New Roman"/>
        </w:rPr>
        <w:t xml:space="preserve">narrated presentations of an introduction to HTA and further information on the </w:t>
      </w:r>
      <w:r w:rsidRPr="008C6534">
        <w:rPr>
          <w:rStyle w:val="Emphasis"/>
          <w:rFonts w:eastAsia="Times New Roman"/>
        </w:rPr>
        <w:t>Conversations for Change</w:t>
      </w:r>
      <w:r w:rsidRPr="008C6534">
        <w:rPr>
          <w:rFonts w:eastAsia="Times New Roman"/>
        </w:rPr>
        <w:t xml:space="preserve"> con</w:t>
      </w:r>
      <w:r w:rsidRPr="008C6534">
        <w:rPr>
          <w:rFonts w:eastAsia="Times New Roman"/>
        </w:rPr>
        <w:t>sultation series,</w:t>
      </w:r>
    </w:p>
    <w:p w14:paraId="41937BC1" w14:textId="77777777" w:rsidR="00767074" w:rsidRPr="008C6534" w:rsidRDefault="00514FB0" w:rsidP="008C6534">
      <w:pPr>
        <w:pStyle w:val="ListParagraph"/>
        <w:numPr>
          <w:ilvl w:val="0"/>
          <w:numId w:val="5"/>
        </w:numPr>
        <w:rPr>
          <w:rFonts w:eastAsia="Times New Roman"/>
        </w:rPr>
      </w:pPr>
      <w:r w:rsidRPr="008C6534">
        <w:rPr>
          <w:rFonts w:eastAsia="Times New Roman"/>
        </w:rPr>
        <w:t>a simplified diagram highlighting current consumer consultation opportunities in HTA processes (</w:t>
      </w:r>
      <w:r w:rsidRPr="008C6534">
        <w:rPr>
          <w:rStyle w:val="Strong"/>
          <w:rFonts w:eastAsiaTheme="minorEastAsia"/>
        </w:rPr>
        <w:t>Figure 1</w:t>
      </w:r>
      <w:r w:rsidRPr="008C6534">
        <w:rPr>
          <w:rFonts w:eastAsia="Times New Roman"/>
        </w:rPr>
        <w:t xml:space="preserve">), and </w:t>
      </w:r>
    </w:p>
    <w:p w14:paraId="51FF7999" w14:textId="77777777" w:rsidR="00767074" w:rsidRPr="008C6534" w:rsidRDefault="00514FB0" w:rsidP="008C6534">
      <w:pPr>
        <w:pStyle w:val="ListParagraph"/>
        <w:numPr>
          <w:ilvl w:val="0"/>
          <w:numId w:val="5"/>
        </w:numPr>
        <w:rPr>
          <w:rFonts w:eastAsia="Times New Roman"/>
        </w:rPr>
      </w:pPr>
      <w:r w:rsidRPr="008C6534">
        <w:rPr>
          <w:rFonts w:eastAsia="Times New Roman"/>
        </w:rPr>
        <w:t>past suggestions on improvements to communication and inclusions of consumer views and experiences in HTA processes (</w:t>
      </w:r>
      <w:r w:rsidRPr="008C6534">
        <w:rPr>
          <w:rStyle w:val="Strong"/>
          <w:rFonts w:eastAsiaTheme="minorEastAsia"/>
        </w:rPr>
        <w:t>Table 1</w:t>
      </w:r>
      <w:r w:rsidRPr="008C6534">
        <w:rPr>
          <w:rFonts w:eastAsia="Times New Roman"/>
        </w:rPr>
        <w:t>).</w:t>
      </w:r>
    </w:p>
    <w:p w14:paraId="50E8BE4B" w14:textId="77777777" w:rsidR="002B54FA" w:rsidRDefault="002B54FA" w:rsidP="008C6534">
      <w:pPr>
        <w:pStyle w:val="Heading4"/>
        <w:rPr>
          <w:rFonts w:eastAsia="Times New Roman"/>
        </w:rPr>
      </w:pPr>
    </w:p>
    <w:p w14:paraId="0BD929AD" w14:textId="77777777" w:rsidR="00767074" w:rsidRPr="008C6534" w:rsidRDefault="00514FB0" w:rsidP="008C6534">
      <w:pPr>
        <w:pStyle w:val="Heading4"/>
        <w:rPr>
          <w:rFonts w:eastAsia="Times New Roman"/>
        </w:rPr>
      </w:pPr>
      <w:r w:rsidRPr="008C6534">
        <w:rPr>
          <w:rFonts w:eastAsia="Times New Roman"/>
        </w:rPr>
        <w:lastRenderedPageBreak/>
        <w:t>Table 1: Some past suggestions on improvements to consumer engagement in HTA processes, as provided within the Conversations for Change online survey.</w:t>
      </w:r>
    </w:p>
    <w:p w14:paraId="252090F0" w14:textId="77777777" w:rsidR="00767074" w:rsidRPr="008C6534" w:rsidRDefault="00514FB0" w:rsidP="008C6534">
      <w:pPr>
        <w:pStyle w:val="ListParagraph"/>
        <w:numPr>
          <w:ilvl w:val="0"/>
          <w:numId w:val="6"/>
        </w:numPr>
        <w:rPr>
          <w:rFonts w:eastAsia="Times New Roman"/>
        </w:rPr>
      </w:pPr>
      <w:r w:rsidRPr="008C6534">
        <w:rPr>
          <w:rFonts w:eastAsia="Times New Roman"/>
        </w:rPr>
        <w:t xml:space="preserve">More active participation in process </w:t>
      </w:r>
    </w:p>
    <w:p w14:paraId="6D651EC7" w14:textId="77777777" w:rsidR="00767074" w:rsidRPr="004D0083" w:rsidRDefault="00514FB0" w:rsidP="004D0083">
      <w:pPr>
        <w:pStyle w:val="ListParagraph"/>
        <w:numPr>
          <w:ilvl w:val="1"/>
          <w:numId w:val="19"/>
        </w:numPr>
        <w:rPr>
          <w:rFonts w:eastAsia="Times New Roman"/>
        </w:rPr>
      </w:pPr>
      <w:r w:rsidRPr="004D0083">
        <w:rPr>
          <w:rFonts w:eastAsia="Times New Roman"/>
        </w:rPr>
        <w:t>Meetings with consumers and others involved in the proce</w:t>
      </w:r>
      <w:r w:rsidRPr="004D0083">
        <w:rPr>
          <w:rFonts w:eastAsia="Times New Roman"/>
        </w:rPr>
        <w:t>ss when an application is submitted</w:t>
      </w:r>
    </w:p>
    <w:p w14:paraId="5B5A9F18" w14:textId="77777777" w:rsidR="00767074" w:rsidRPr="004D0083" w:rsidRDefault="00514FB0" w:rsidP="004D0083">
      <w:pPr>
        <w:pStyle w:val="ListParagraph"/>
        <w:numPr>
          <w:ilvl w:val="1"/>
          <w:numId w:val="19"/>
        </w:numPr>
        <w:rPr>
          <w:rFonts w:eastAsia="Times New Roman"/>
        </w:rPr>
      </w:pPr>
      <w:r w:rsidRPr="004D0083">
        <w:rPr>
          <w:rFonts w:eastAsia="Times New Roman"/>
        </w:rPr>
        <w:t>Attend and participate in advisory/decision making committee meetings</w:t>
      </w:r>
    </w:p>
    <w:p w14:paraId="3E963DA7" w14:textId="77777777" w:rsidR="00767074" w:rsidRPr="004D0083" w:rsidRDefault="00514FB0" w:rsidP="004D0083">
      <w:pPr>
        <w:pStyle w:val="ListParagraph"/>
        <w:numPr>
          <w:ilvl w:val="1"/>
          <w:numId w:val="19"/>
        </w:numPr>
        <w:rPr>
          <w:rFonts w:eastAsia="Times New Roman"/>
        </w:rPr>
      </w:pPr>
      <w:r w:rsidRPr="004D0083">
        <w:rPr>
          <w:rFonts w:eastAsia="Times New Roman"/>
        </w:rPr>
        <w:t>More consumer advisory committees</w:t>
      </w:r>
    </w:p>
    <w:p w14:paraId="24C7F2A8" w14:textId="77777777" w:rsidR="00767074" w:rsidRPr="008C6534" w:rsidRDefault="00514FB0" w:rsidP="008C6534">
      <w:pPr>
        <w:pStyle w:val="ListParagraph"/>
        <w:numPr>
          <w:ilvl w:val="0"/>
          <w:numId w:val="6"/>
        </w:numPr>
        <w:rPr>
          <w:rFonts w:eastAsia="Times New Roman"/>
        </w:rPr>
      </w:pPr>
      <w:r w:rsidRPr="008C6534">
        <w:rPr>
          <w:rFonts w:eastAsia="Times New Roman"/>
        </w:rPr>
        <w:t xml:space="preserve">More documentation on consumer input </w:t>
      </w:r>
    </w:p>
    <w:p w14:paraId="25B4D958" w14:textId="77777777" w:rsidR="00767074" w:rsidRPr="004D0083" w:rsidRDefault="00514FB0" w:rsidP="004D0083">
      <w:pPr>
        <w:pStyle w:val="ListParagraph"/>
        <w:numPr>
          <w:ilvl w:val="1"/>
          <w:numId w:val="20"/>
        </w:numPr>
        <w:rPr>
          <w:rFonts w:eastAsia="Times New Roman"/>
        </w:rPr>
      </w:pPr>
      <w:r w:rsidRPr="004D0083">
        <w:rPr>
          <w:rFonts w:eastAsia="Times New Roman"/>
        </w:rPr>
        <w:t xml:space="preserve">Collect or coordinate the collection of lived experience </w:t>
      </w:r>
    </w:p>
    <w:p w14:paraId="2602D54B" w14:textId="77777777" w:rsidR="00767074" w:rsidRPr="004D0083" w:rsidRDefault="00514FB0" w:rsidP="004D0083">
      <w:pPr>
        <w:pStyle w:val="ListParagraph"/>
        <w:numPr>
          <w:ilvl w:val="1"/>
          <w:numId w:val="20"/>
        </w:numPr>
        <w:rPr>
          <w:rFonts w:eastAsia="Times New Roman"/>
        </w:rPr>
      </w:pPr>
      <w:r w:rsidRPr="004D0083">
        <w:rPr>
          <w:rFonts w:eastAsia="Times New Roman"/>
        </w:rPr>
        <w:t xml:space="preserve">All applications to </w:t>
      </w:r>
      <w:r w:rsidRPr="004D0083">
        <w:rPr>
          <w:rFonts w:eastAsia="Times New Roman"/>
        </w:rPr>
        <w:t>state how consumers have been involved in the development of the health technology</w:t>
      </w:r>
    </w:p>
    <w:p w14:paraId="55BD6D4B" w14:textId="77777777" w:rsidR="00767074" w:rsidRPr="004D0083" w:rsidRDefault="00514FB0" w:rsidP="004D0083">
      <w:pPr>
        <w:pStyle w:val="ListParagraph"/>
        <w:numPr>
          <w:ilvl w:val="1"/>
          <w:numId w:val="20"/>
        </w:numPr>
        <w:rPr>
          <w:rFonts w:eastAsia="Times New Roman"/>
        </w:rPr>
      </w:pPr>
      <w:r w:rsidRPr="004D0083">
        <w:rPr>
          <w:rFonts w:eastAsia="Times New Roman"/>
        </w:rPr>
        <w:t>Show evidence that patient relevant outcomes have been considered</w:t>
      </w:r>
    </w:p>
    <w:p w14:paraId="5F16C849" w14:textId="77777777" w:rsidR="00767074" w:rsidRPr="008C6534" w:rsidRDefault="00514FB0" w:rsidP="008C6534">
      <w:pPr>
        <w:pStyle w:val="ListParagraph"/>
        <w:numPr>
          <w:ilvl w:val="0"/>
          <w:numId w:val="6"/>
        </w:numPr>
        <w:rPr>
          <w:rFonts w:eastAsia="Times New Roman"/>
        </w:rPr>
      </w:pPr>
      <w:r w:rsidRPr="008C6534">
        <w:rPr>
          <w:rFonts w:eastAsia="Times New Roman"/>
        </w:rPr>
        <w:t>More information on HTA processes</w:t>
      </w:r>
    </w:p>
    <w:p w14:paraId="080E83E5" w14:textId="77777777" w:rsidR="00767074" w:rsidRPr="004D0083" w:rsidRDefault="00514FB0" w:rsidP="004D0083">
      <w:pPr>
        <w:pStyle w:val="ListParagraph"/>
        <w:numPr>
          <w:ilvl w:val="1"/>
          <w:numId w:val="21"/>
        </w:numPr>
        <w:rPr>
          <w:rFonts w:eastAsia="Times New Roman"/>
        </w:rPr>
      </w:pPr>
      <w:r w:rsidRPr="004D0083">
        <w:rPr>
          <w:rFonts w:eastAsia="Times New Roman"/>
        </w:rPr>
        <w:t xml:space="preserve">Get notified when a health technology is being assessed by a HTA </w:t>
      </w:r>
      <w:r w:rsidRPr="004D0083">
        <w:rPr>
          <w:rFonts w:eastAsia="Times New Roman"/>
        </w:rPr>
        <w:t>committee</w:t>
      </w:r>
    </w:p>
    <w:p w14:paraId="2FE6A6D5" w14:textId="77777777" w:rsidR="00767074" w:rsidRPr="004D0083" w:rsidRDefault="00514FB0" w:rsidP="004D0083">
      <w:pPr>
        <w:pStyle w:val="ListParagraph"/>
        <w:numPr>
          <w:ilvl w:val="1"/>
          <w:numId w:val="21"/>
        </w:numPr>
        <w:rPr>
          <w:rFonts w:eastAsia="Times New Roman"/>
        </w:rPr>
      </w:pPr>
      <w:r w:rsidRPr="004D0083">
        <w:rPr>
          <w:rFonts w:eastAsia="Times New Roman"/>
        </w:rPr>
        <w:t xml:space="preserve">Workshops and webinars on HTA processes </w:t>
      </w:r>
    </w:p>
    <w:p w14:paraId="3E9B0D86" w14:textId="77777777" w:rsidR="00767074" w:rsidRPr="004D0083" w:rsidRDefault="00514FB0" w:rsidP="004D0083">
      <w:pPr>
        <w:pStyle w:val="ListParagraph"/>
        <w:numPr>
          <w:ilvl w:val="1"/>
          <w:numId w:val="21"/>
        </w:numPr>
        <w:rPr>
          <w:rFonts w:eastAsia="Times New Roman"/>
        </w:rPr>
      </w:pPr>
      <w:r w:rsidRPr="004D0083">
        <w:rPr>
          <w:rFonts w:eastAsia="Times New Roman"/>
        </w:rPr>
        <w:t xml:space="preserve">Seeing other consumer input received for an application </w:t>
      </w:r>
    </w:p>
    <w:p w14:paraId="5D62A6D8" w14:textId="77777777" w:rsidR="00767074" w:rsidRPr="008C6534" w:rsidRDefault="00514FB0" w:rsidP="008C6534">
      <w:pPr>
        <w:pStyle w:val="ListParagraph"/>
        <w:numPr>
          <w:ilvl w:val="0"/>
          <w:numId w:val="6"/>
        </w:numPr>
        <w:rPr>
          <w:rFonts w:eastAsia="Times New Roman"/>
        </w:rPr>
      </w:pPr>
      <w:r w:rsidRPr="008C6534">
        <w:rPr>
          <w:rFonts w:eastAsia="Times New Roman"/>
        </w:rPr>
        <w:t xml:space="preserve">More support preparing </w:t>
      </w:r>
      <w:r w:rsidRPr="008C6534">
        <w:rPr>
          <w:rFonts w:eastAsia="Times New Roman"/>
        </w:rPr>
        <w:br/>
        <w:t>consultation input</w:t>
      </w:r>
    </w:p>
    <w:p w14:paraId="2CA78C27" w14:textId="77777777" w:rsidR="00767074" w:rsidRDefault="006B441D" w:rsidP="004D0083">
      <w:pPr>
        <w:pStyle w:val="ListParagraph"/>
        <w:numPr>
          <w:ilvl w:val="1"/>
          <w:numId w:val="22"/>
        </w:numPr>
        <w:rPr>
          <w:rFonts w:eastAsia="Times New Roman"/>
        </w:rPr>
      </w:pPr>
      <w:r>
        <w:rPr>
          <w:rFonts w:eastAsia="Times New Roman"/>
        </w:rPr>
        <w:t xml:space="preserve">Have </w:t>
      </w:r>
      <w:r w:rsidRPr="006B441D">
        <w:rPr>
          <w:rFonts w:eastAsia="Times New Roman"/>
        </w:rPr>
        <w:t>easy-to-understand summary versions of the applications</w:t>
      </w:r>
    </w:p>
    <w:p w14:paraId="32B88C49" w14:textId="77777777" w:rsidR="006B441D" w:rsidRPr="006B441D" w:rsidRDefault="006B441D" w:rsidP="006B441D">
      <w:pPr>
        <w:pStyle w:val="ListParagraph"/>
        <w:numPr>
          <w:ilvl w:val="1"/>
          <w:numId w:val="22"/>
        </w:numPr>
        <w:rPr>
          <w:rFonts w:eastAsia="Times New Roman"/>
        </w:rPr>
      </w:pPr>
      <w:r w:rsidRPr="004D0083">
        <w:rPr>
          <w:rFonts w:eastAsia="Times New Roman"/>
        </w:rPr>
        <w:t>People and information to guide consumers on how best to use their lived experience in HTA</w:t>
      </w:r>
    </w:p>
    <w:p w14:paraId="6CEA975F" w14:textId="77777777" w:rsidR="002B54FA" w:rsidRPr="00A3497E" w:rsidRDefault="00514FB0" w:rsidP="00A3497E">
      <w:pPr>
        <w:pStyle w:val="ListParagraph"/>
        <w:numPr>
          <w:ilvl w:val="1"/>
          <w:numId w:val="22"/>
        </w:numPr>
        <w:rPr>
          <w:rFonts w:eastAsia="Times New Roman"/>
        </w:rPr>
      </w:pPr>
      <w:r w:rsidRPr="004D0083">
        <w:rPr>
          <w:rFonts w:eastAsia="Times New Roman"/>
        </w:rPr>
        <w:t>Sharing of what input was valuable and suggestions for future input</w:t>
      </w:r>
    </w:p>
    <w:p w14:paraId="7EBE02F5" w14:textId="77777777" w:rsidR="00767074" w:rsidRPr="002B54FA" w:rsidRDefault="00514FB0" w:rsidP="002B54FA">
      <w:pPr>
        <w:pStyle w:val="Heading3"/>
      </w:pPr>
      <w:r w:rsidRPr="002B54FA">
        <w:t>Symposium Workshop</w:t>
      </w:r>
    </w:p>
    <w:p w14:paraId="5A845D20" w14:textId="77777777" w:rsidR="00767074" w:rsidRPr="008C6534" w:rsidRDefault="00514FB0" w:rsidP="002B54FA">
      <w:r w:rsidRPr="008C6534">
        <w:t xml:space="preserve">As part of the 2022 HTA </w:t>
      </w:r>
      <w:r w:rsidRPr="008C6534">
        <w:rPr>
          <w:rStyle w:val="Emphasis"/>
        </w:rPr>
        <w:t>Conversations for Change</w:t>
      </w:r>
      <w:r w:rsidRPr="008C6534">
        <w:t xml:space="preserve"> Consumer Symposium (18 and 19 October), past feedback and survey responses collected to date were presented as part of a consultation workshop. Participants in the Symposium were then invited to use an online poll to rank four areas (as also noted in the </w:t>
      </w:r>
      <w:r w:rsidRPr="008C6534">
        <w:t xml:space="preserve">online survey; </w:t>
      </w:r>
      <w:r w:rsidRPr="008C6534">
        <w:rPr>
          <w:rStyle w:val="Strong"/>
          <w:rFonts w:eastAsiaTheme="minorEastAsia"/>
        </w:rPr>
        <w:t>Table 1</w:t>
      </w:r>
      <w:r w:rsidRPr="008C6534">
        <w:t xml:space="preserve">) for further discussions. The two highest ranked areas (‘a’ and ‘d’, </w:t>
      </w:r>
      <w:r w:rsidRPr="008C6534">
        <w:rPr>
          <w:rStyle w:val="Strong"/>
          <w:rFonts w:eastAsiaTheme="minorEastAsia"/>
        </w:rPr>
        <w:t>Table 1</w:t>
      </w:r>
      <w:r w:rsidRPr="008C6534">
        <w:t xml:space="preserve">) were considered separately, and participants provided suggestions and/or comments for improvements. </w:t>
      </w:r>
    </w:p>
    <w:p w14:paraId="22F572A9" w14:textId="77777777" w:rsidR="00767074" w:rsidRPr="008C6534" w:rsidRDefault="00514FB0" w:rsidP="008C6534">
      <w:pPr>
        <w:pStyle w:val="Heading3"/>
        <w:rPr>
          <w:rFonts w:eastAsia="Times New Roman"/>
        </w:rPr>
      </w:pPr>
      <w:r w:rsidRPr="008C6534">
        <w:rPr>
          <w:rFonts w:eastAsia="Times New Roman"/>
        </w:rPr>
        <w:t>Community Conversations</w:t>
      </w:r>
    </w:p>
    <w:p w14:paraId="3D3C95A9" w14:textId="77777777" w:rsidR="00767074" w:rsidRPr="008C6534" w:rsidRDefault="00514FB0" w:rsidP="002B54FA">
      <w:r w:rsidRPr="008C6534">
        <w:t>Qualitative responses from the</w:t>
      </w:r>
      <w:r w:rsidRPr="008C6534">
        <w:t xml:space="preserve"> Symposium Workshop and survey (to date) were </w:t>
      </w:r>
      <w:proofErr w:type="spellStart"/>
      <w:r w:rsidRPr="008C6534">
        <w:t>analysed</w:t>
      </w:r>
      <w:proofErr w:type="spellEnd"/>
      <w:r w:rsidRPr="008C6534">
        <w:t xml:space="preserve">, </w:t>
      </w:r>
      <w:proofErr w:type="spellStart"/>
      <w:r w:rsidRPr="008C6534">
        <w:t>summarised</w:t>
      </w:r>
      <w:proofErr w:type="spellEnd"/>
      <w:r w:rsidRPr="008C6534">
        <w:t xml:space="preserve"> and presented as key themes for consideration in the community conversations (</w:t>
      </w:r>
      <w:r w:rsidRPr="008C6534">
        <w:rPr>
          <w:rStyle w:val="Strong"/>
          <w:rFonts w:eastAsiaTheme="minorEastAsia"/>
        </w:rPr>
        <w:t>Figure 2</w:t>
      </w:r>
      <w:r w:rsidRPr="008C6534">
        <w:t>). These conversations were held from November 2022 to March 2023. The majority were held as stakeholde</w:t>
      </w:r>
      <w:r w:rsidRPr="008C6534">
        <w:t xml:space="preserve">r group conversations with some additional individual interviews conducted due to participant availability. Conversation participants included consumers, representatives of consumer </w:t>
      </w:r>
      <w:proofErr w:type="spellStart"/>
      <w:r w:rsidRPr="008C6534">
        <w:t>organisations</w:t>
      </w:r>
      <w:proofErr w:type="spellEnd"/>
      <w:r w:rsidRPr="008C6534">
        <w:t xml:space="preserve">, members of the HTA CCC, industry representative members of </w:t>
      </w:r>
      <w:r w:rsidRPr="008C6534">
        <w:t>Medicines Australia, health professionals and academics working in the area.</w:t>
      </w:r>
    </w:p>
    <w:p w14:paraId="58464D2F" w14:textId="77777777" w:rsidR="007D54E9" w:rsidRDefault="007D54E9">
      <w:pPr>
        <w:spacing w:before="0" w:line="240" w:lineRule="auto"/>
      </w:pPr>
      <w:r>
        <w:br w:type="page"/>
      </w:r>
    </w:p>
    <w:p w14:paraId="1C0BE748" w14:textId="77777777" w:rsidR="00767074" w:rsidRPr="008C6534" w:rsidRDefault="00514FB0" w:rsidP="002B54FA">
      <w:r w:rsidRPr="008C6534">
        <w:lastRenderedPageBreak/>
        <w:t xml:space="preserve">Each conversation had a similar agenda which included an overview presentation of the consultation activities, review of responses to date and key themes, followed by questions </w:t>
      </w:r>
      <w:r w:rsidRPr="008C6534">
        <w:t>for discussion. The consultation questions were tailored to suit participant groups but in general participants were asked the following:</w:t>
      </w:r>
    </w:p>
    <w:p w14:paraId="0FB47B84" w14:textId="77777777" w:rsidR="00767074" w:rsidRPr="008C6534" w:rsidRDefault="00514FB0" w:rsidP="008C6534">
      <w:pPr>
        <w:pStyle w:val="ListParagraph"/>
        <w:numPr>
          <w:ilvl w:val="0"/>
          <w:numId w:val="7"/>
        </w:numPr>
        <w:rPr>
          <w:rFonts w:eastAsia="Times New Roman"/>
        </w:rPr>
      </w:pPr>
      <w:r w:rsidRPr="008C6534">
        <w:rPr>
          <w:rFonts w:eastAsia="Times New Roman"/>
        </w:rPr>
        <w:t>Are there important areas/issues that are missing?</w:t>
      </w:r>
    </w:p>
    <w:p w14:paraId="19F33FF0" w14:textId="77777777" w:rsidR="00767074" w:rsidRPr="008C6534" w:rsidRDefault="00514FB0" w:rsidP="008C6534">
      <w:pPr>
        <w:pStyle w:val="ListParagraph"/>
        <w:numPr>
          <w:ilvl w:val="0"/>
          <w:numId w:val="7"/>
        </w:numPr>
        <w:rPr>
          <w:rFonts w:eastAsia="Times New Roman"/>
        </w:rPr>
      </w:pPr>
      <w:r w:rsidRPr="008C6534">
        <w:rPr>
          <w:rFonts w:eastAsia="Times New Roman"/>
        </w:rPr>
        <w:t xml:space="preserve">Of the feedback, are there any you think may be challenging from a </w:t>
      </w:r>
      <w:r w:rsidRPr="008C6534">
        <w:rPr>
          <w:rStyle w:val="Emphasis"/>
          <w:rFonts w:eastAsia="Times New Roman"/>
        </w:rPr>
        <w:t xml:space="preserve">consumer or consumer </w:t>
      </w:r>
      <w:proofErr w:type="spellStart"/>
      <w:r w:rsidRPr="008C6534">
        <w:rPr>
          <w:rStyle w:val="Emphasis"/>
          <w:rFonts w:eastAsia="Times New Roman"/>
        </w:rPr>
        <w:t>organisation</w:t>
      </w:r>
      <w:proofErr w:type="spellEnd"/>
      <w:r w:rsidRPr="008C6534">
        <w:rPr>
          <w:rStyle w:val="Emphasis"/>
          <w:rFonts w:eastAsia="Times New Roman"/>
        </w:rPr>
        <w:t xml:space="preserve"> perspective?</w:t>
      </w:r>
    </w:p>
    <w:p w14:paraId="23E88A85" w14:textId="77777777" w:rsidR="00767074" w:rsidRPr="008C6534" w:rsidRDefault="00514FB0" w:rsidP="008C6534">
      <w:pPr>
        <w:pStyle w:val="ListParagraph"/>
        <w:numPr>
          <w:ilvl w:val="0"/>
          <w:numId w:val="7"/>
        </w:numPr>
        <w:rPr>
          <w:rFonts w:eastAsia="Times New Roman"/>
        </w:rPr>
      </w:pPr>
      <w:r w:rsidRPr="008C6534">
        <w:rPr>
          <w:rFonts w:eastAsia="Times New Roman"/>
        </w:rPr>
        <w:t>What do you think we should focus on for consumer input?</w:t>
      </w:r>
    </w:p>
    <w:p w14:paraId="2B16C9DD" w14:textId="77777777" w:rsidR="00767074" w:rsidRPr="008C6534" w:rsidRDefault="00514FB0" w:rsidP="008C6534">
      <w:pPr>
        <w:pStyle w:val="ListParagraph"/>
        <w:numPr>
          <w:ilvl w:val="0"/>
          <w:numId w:val="7"/>
        </w:numPr>
        <w:rPr>
          <w:rFonts w:eastAsia="Times New Roman"/>
        </w:rPr>
      </w:pPr>
      <w:r w:rsidRPr="008C6534">
        <w:rPr>
          <w:rFonts w:eastAsia="Times New Roman"/>
        </w:rPr>
        <w:t>What does ‘consumer engagement’ mean to you in the HTA context?</w:t>
      </w:r>
    </w:p>
    <w:p w14:paraId="244AE9F2" w14:textId="77777777" w:rsidR="00767074" w:rsidRPr="008C6534" w:rsidRDefault="00514FB0" w:rsidP="008C6534">
      <w:pPr>
        <w:pStyle w:val="ListParagraph"/>
        <w:numPr>
          <w:ilvl w:val="0"/>
          <w:numId w:val="7"/>
        </w:numPr>
        <w:rPr>
          <w:rFonts w:eastAsia="Times New Roman"/>
        </w:rPr>
      </w:pPr>
      <w:r w:rsidRPr="008C6534">
        <w:rPr>
          <w:rFonts w:eastAsia="Times New Roman"/>
        </w:rPr>
        <w:t>Do you have any suggestions on better support for consumer engagement in HTA?</w:t>
      </w:r>
    </w:p>
    <w:p w14:paraId="68FDA767" w14:textId="77777777" w:rsidR="00767074" w:rsidRPr="008C6534" w:rsidRDefault="00514FB0" w:rsidP="00C52AB2">
      <w:pPr>
        <w:pStyle w:val="Heading3"/>
        <w:rPr>
          <w:rFonts w:eastAsia="Times New Roman"/>
        </w:rPr>
      </w:pPr>
      <w:r w:rsidRPr="00C52AB2">
        <w:t>Participan</w:t>
      </w:r>
      <w:r w:rsidRPr="00C52AB2">
        <w:t>ts</w:t>
      </w:r>
    </w:p>
    <w:p w14:paraId="660C06FD" w14:textId="77777777" w:rsidR="00767074" w:rsidRPr="008C6534" w:rsidRDefault="00514FB0" w:rsidP="00C52AB2">
      <w:r w:rsidRPr="008C6534">
        <w:t xml:space="preserve">Across all the consultation activities, responses were received from 133 participants. </w:t>
      </w:r>
      <w:r w:rsidRPr="008C6534">
        <w:br/>
      </w:r>
      <w:r w:rsidRPr="008C6534">
        <w:rPr>
          <w:rStyle w:val="Strong"/>
          <w:rFonts w:eastAsiaTheme="minorEastAsia"/>
        </w:rPr>
        <w:t>Table 2</w:t>
      </w:r>
      <w:r w:rsidRPr="008C6534">
        <w:t xml:space="preserve"> details the various stakeholder groups that provided input into the consultation.</w:t>
      </w:r>
    </w:p>
    <w:p w14:paraId="7674F950" w14:textId="77777777" w:rsidR="00767074" w:rsidRPr="008C6534" w:rsidRDefault="00514FB0" w:rsidP="008C6534">
      <w:pPr>
        <w:pStyle w:val="Heading4"/>
        <w:rPr>
          <w:rFonts w:eastAsia="Times New Roman"/>
        </w:rPr>
      </w:pPr>
      <w:r w:rsidRPr="008C6534">
        <w:rPr>
          <w:rFonts w:eastAsia="Times New Roman"/>
        </w:rPr>
        <w:t>Table 2: Consultation activities’ schedule, participant types and participa</w:t>
      </w:r>
      <w:r w:rsidRPr="008C6534">
        <w:rPr>
          <w:rFonts w:eastAsia="Times New Roman"/>
        </w:rPr>
        <w:t>nt numbers.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93"/>
        <w:gridCol w:w="3974"/>
        <w:gridCol w:w="1414"/>
        <w:gridCol w:w="1745"/>
      </w:tblGrid>
      <w:tr w:rsidR="006A78D9" w:rsidRPr="008C6534" w14:paraId="0F0545B9" w14:textId="77777777" w:rsidTr="002A7EED">
        <w:trPr>
          <w:tblHeader/>
        </w:trPr>
        <w:tc>
          <w:tcPr>
            <w:tcW w:w="0" w:type="auto"/>
            <w:tcBorders>
              <w:top w:val="nil"/>
              <w:left w:val="nil"/>
              <w:bottom w:val="nil"/>
              <w:right w:val="nil"/>
            </w:tcBorders>
            <w:shd w:val="clear" w:color="auto" w:fill="000000" w:themeFill="text1"/>
            <w:vAlign w:val="center"/>
            <w:hideMark/>
          </w:tcPr>
          <w:p w14:paraId="008D775D" w14:textId="77777777" w:rsidR="00767074" w:rsidRPr="006266F8" w:rsidRDefault="00514FB0" w:rsidP="00423253">
            <w:pPr>
              <w:pStyle w:val="NormalWeb"/>
              <w:spacing w:before="120" w:after="120"/>
              <w:rPr>
                <w:color w:val="FFFFFF" w:themeColor="background1"/>
                <w:sz w:val="20"/>
                <w:szCs w:val="20"/>
              </w:rPr>
            </w:pPr>
            <w:r w:rsidRPr="006266F8">
              <w:rPr>
                <w:rStyle w:val="Strong"/>
                <w:rFonts w:eastAsiaTheme="minorEastAsia"/>
                <w:color w:val="FFFFFF" w:themeColor="background1"/>
                <w:sz w:val="20"/>
                <w:szCs w:val="20"/>
              </w:rPr>
              <w:t>Activity</w:t>
            </w:r>
          </w:p>
        </w:tc>
        <w:tc>
          <w:tcPr>
            <w:tcW w:w="0" w:type="auto"/>
            <w:tcBorders>
              <w:top w:val="nil"/>
              <w:left w:val="nil"/>
              <w:bottom w:val="nil"/>
              <w:right w:val="nil"/>
            </w:tcBorders>
            <w:shd w:val="clear" w:color="auto" w:fill="000000" w:themeFill="text1"/>
            <w:vAlign w:val="center"/>
            <w:hideMark/>
          </w:tcPr>
          <w:p w14:paraId="4E28E3A8" w14:textId="77777777" w:rsidR="00767074" w:rsidRPr="006266F8" w:rsidRDefault="00514FB0" w:rsidP="00423253">
            <w:pPr>
              <w:pStyle w:val="NormalWeb"/>
              <w:spacing w:before="120" w:after="120"/>
              <w:rPr>
                <w:color w:val="FFFFFF" w:themeColor="background1"/>
                <w:sz w:val="20"/>
                <w:szCs w:val="20"/>
              </w:rPr>
            </w:pPr>
            <w:r w:rsidRPr="006266F8">
              <w:rPr>
                <w:rStyle w:val="Strong"/>
                <w:rFonts w:eastAsiaTheme="minorEastAsia"/>
                <w:color w:val="FFFFFF" w:themeColor="background1"/>
                <w:sz w:val="20"/>
                <w:szCs w:val="20"/>
              </w:rPr>
              <w:t>Participant type</w:t>
            </w:r>
          </w:p>
        </w:tc>
        <w:tc>
          <w:tcPr>
            <w:tcW w:w="0" w:type="auto"/>
            <w:tcBorders>
              <w:top w:val="nil"/>
              <w:left w:val="nil"/>
              <w:bottom w:val="nil"/>
              <w:right w:val="nil"/>
            </w:tcBorders>
            <w:shd w:val="clear" w:color="auto" w:fill="000000" w:themeFill="text1"/>
            <w:vAlign w:val="center"/>
            <w:hideMark/>
          </w:tcPr>
          <w:p w14:paraId="11B278B4" w14:textId="77777777" w:rsidR="00767074" w:rsidRPr="006266F8" w:rsidRDefault="00514FB0" w:rsidP="00423253">
            <w:pPr>
              <w:pStyle w:val="NormalWeb"/>
              <w:spacing w:before="120" w:after="120"/>
              <w:rPr>
                <w:color w:val="FFFFFF" w:themeColor="background1"/>
                <w:sz w:val="20"/>
                <w:szCs w:val="20"/>
              </w:rPr>
            </w:pPr>
            <w:r w:rsidRPr="006266F8">
              <w:rPr>
                <w:rStyle w:val="Strong"/>
                <w:rFonts w:eastAsiaTheme="minorEastAsia"/>
                <w:color w:val="FFFFFF" w:themeColor="background1"/>
                <w:sz w:val="20"/>
                <w:szCs w:val="20"/>
              </w:rPr>
              <w:t>Participant number</w:t>
            </w:r>
          </w:p>
        </w:tc>
        <w:tc>
          <w:tcPr>
            <w:tcW w:w="0" w:type="auto"/>
            <w:tcBorders>
              <w:top w:val="nil"/>
              <w:left w:val="nil"/>
              <w:bottom w:val="nil"/>
              <w:right w:val="nil"/>
            </w:tcBorders>
            <w:shd w:val="clear" w:color="auto" w:fill="000000" w:themeFill="text1"/>
            <w:vAlign w:val="center"/>
            <w:hideMark/>
          </w:tcPr>
          <w:p w14:paraId="06CD5A13" w14:textId="77777777" w:rsidR="00767074" w:rsidRPr="006266F8" w:rsidRDefault="00514FB0" w:rsidP="00423253">
            <w:pPr>
              <w:pStyle w:val="NormalWeb"/>
              <w:spacing w:before="120" w:after="120"/>
              <w:rPr>
                <w:color w:val="FFFFFF" w:themeColor="background1"/>
                <w:sz w:val="20"/>
                <w:szCs w:val="20"/>
              </w:rPr>
            </w:pPr>
            <w:r w:rsidRPr="006266F8">
              <w:rPr>
                <w:rStyle w:val="Strong"/>
                <w:rFonts w:eastAsiaTheme="minorEastAsia"/>
                <w:color w:val="FFFFFF" w:themeColor="background1"/>
                <w:sz w:val="20"/>
                <w:szCs w:val="20"/>
              </w:rPr>
              <w:t>Dates</w:t>
            </w:r>
          </w:p>
        </w:tc>
      </w:tr>
      <w:tr w:rsidR="00767074" w:rsidRPr="008C6534" w14:paraId="5D198DB6" w14:textId="77777777" w:rsidTr="002A7EED">
        <w:tc>
          <w:tcPr>
            <w:tcW w:w="0" w:type="auto"/>
            <w:tcBorders>
              <w:top w:val="nil"/>
              <w:left w:val="nil"/>
              <w:bottom w:val="single" w:sz="4" w:space="0" w:color="auto"/>
              <w:right w:val="nil"/>
            </w:tcBorders>
            <w:shd w:val="clear" w:color="auto" w:fill="D9D9D9" w:themeFill="background1" w:themeFillShade="D9"/>
            <w:vAlign w:val="center"/>
            <w:hideMark/>
          </w:tcPr>
          <w:p w14:paraId="5850943C" w14:textId="77777777" w:rsidR="00767074" w:rsidRPr="002B54FA" w:rsidRDefault="00514FB0" w:rsidP="00423253">
            <w:pPr>
              <w:pStyle w:val="NormalWeb"/>
              <w:spacing w:before="120" w:after="120"/>
              <w:rPr>
                <w:sz w:val="20"/>
                <w:szCs w:val="20"/>
              </w:rPr>
            </w:pPr>
            <w:r w:rsidRPr="002B54FA">
              <w:rPr>
                <w:rStyle w:val="Strong"/>
                <w:rFonts w:eastAsiaTheme="minorEastAsia"/>
                <w:sz w:val="20"/>
                <w:szCs w:val="20"/>
              </w:rPr>
              <w:t>Online Survey</w:t>
            </w:r>
          </w:p>
        </w:tc>
        <w:tc>
          <w:tcPr>
            <w:tcW w:w="0" w:type="auto"/>
            <w:tcBorders>
              <w:top w:val="nil"/>
              <w:left w:val="nil"/>
              <w:bottom w:val="single" w:sz="4" w:space="0" w:color="auto"/>
              <w:right w:val="nil"/>
            </w:tcBorders>
            <w:vAlign w:val="center"/>
            <w:hideMark/>
          </w:tcPr>
          <w:p w14:paraId="2653AD52" w14:textId="77777777" w:rsidR="00767074" w:rsidRPr="002B54FA" w:rsidRDefault="00514FB0" w:rsidP="00423253">
            <w:pPr>
              <w:pStyle w:val="NormalWeb"/>
              <w:spacing w:before="120" w:after="120"/>
              <w:rPr>
                <w:sz w:val="20"/>
                <w:szCs w:val="20"/>
              </w:rPr>
            </w:pPr>
            <w:r w:rsidRPr="002B54FA">
              <w:rPr>
                <w:sz w:val="20"/>
                <w:szCs w:val="20"/>
              </w:rPr>
              <w:t xml:space="preserve">Consumers, consumer </w:t>
            </w:r>
            <w:proofErr w:type="spellStart"/>
            <w:r w:rsidRPr="002B54FA">
              <w:rPr>
                <w:sz w:val="20"/>
                <w:szCs w:val="20"/>
              </w:rPr>
              <w:t>organisation</w:t>
            </w:r>
            <w:proofErr w:type="spellEnd"/>
            <w:r w:rsidRPr="002B54FA">
              <w:rPr>
                <w:sz w:val="20"/>
                <w:szCs w:val="20"/>
              </w:rPr>
              <w:t xml:space="preserve"> representatives </w:t>
            </w:r>
          </w:p>
        </w:tc>
        <w:tc>
          <w:tcPr>
            <w:tcW w:w="0" w:type="auto"/>
            <w:tcBorders>
              <w:top w:val="nil"/>
              <w:left w:val="nil"/>
              <w:right w:val="nil"/>
            </w:tcBorders>
            <w:vAlign w:val="center"/>
            <w:hideMark/>
          </w:tcPr>
          <w:p w14:paraId="732CEF5D" w14:textId="77777777" w:rsidR="00767074" w:rsidRPr="002B54FA" w:rsidRDefault="00514FB0" w:rsidP="00423253">
            <w:pPr>
              <w:pStyle w:val="NormalWeb"/>
              <w:spacing w:before="120" w:after="120"/>
              <w:rPr>
                <w:sz w:val="20"/>
                <w:szCs w:val="20"/>
              </w:rPr>
            </w:pPr>
            <w:r w:rsidRPr="002B54FA">
              <w:rPr>
                <w:sz w:val="20"/>
                <w:szCs w:val="20"/>
              </w:rPr>
              <w:t>39</w:t>
            </w:r>
          </w:p>
        </w:tc>
        <w:tc>
          <w:tcPr>
            <w:tcW w:w="0" w:type="auto"/>
            <w:tcBorders>
              <w:top w:val="nil"/>
              <w:left w:val="nil"/>
              <w:right w:val="nil"/>
            </w:tcBorders>
            <w:vAlign w:val="center"/>
            <w:hideMark/>
          </w:tcPr>
          <w:p w14:paraId="1DE7B50E" w14:textId="77777777" w:rsidR="00767074" w:rsidRPr="002B54FA" w:rsidRDefault="00514FB0" w:rsidP="00423253">
            <w:pPr>
              <w:pStyle w:val="NormalWeb"/>
              <w:spacing w:before="120" w:after="120"/>
              <w:rPr>
                <w:sz w:val="20"/>
                <w:szCs w:val="20"/>
              </w:rPr>
            </w:pPr>
            <w:r w:rsidRPr="002B54FA">
              <w:rPr>
                <w:sz w:val="20"/>
                <w:szCs w:val="20"/>
              </w:rPr>
              <w:t>September 2022 – January 2023</w:t>
            </w:r>
          </w:p>
        </w:tc>
      </w:tr>
      <w:tr w:rsidR="00767074" w:rsidRPr="008C6534" w14:paraId="2AA64922" w14:textId="77777777" w:rsidTr="002A7EED">
        <w:tc>
          <w:tcPr>
            <w:tcW w:w="0" w:type="auto"/>
            <w:tcBorders>
              <w:top w:val="single" w:sz="4" w:space="0" w:color="auto"/>
              <w:left w:val="nil"/>
              <w:bottom w:val="single" w:sz="4" w:space="0" w:color="auto"/>
              <w:right w:val="nil"/>
            </w:tcBorders>
            <w:shd w:val="clear" w:color="auto" w:fill="D9D9D9" w:themeFill="background1" w:themeFillShade="D9"/>
            <w:vAlign w:val="center"/>
            <w:hideMark/>
          </w:tcPr>
          <w:p w14:paraId="385E5EBA" w14:textId="77777777" w:rsidR="00767074" w:rsidRPr="002F1587" w:rsidRDefault="00514FB0" w:rsidP="00423253">
            <w:pPr>
              <w:pStyle w:val="NormalWeb"/>
              <w:spacing w:before="120" w:after="120"/>
              <w:rPr>
                <w:b/>
                <w:bCs/>
                <w:sz w:val="20"/>
                <w:szCs w:val="20"/>
              </w:rPr>
            </w:pPr>
            <w:r w:rsidRPr="006266F8">
              <w:rPr>
                <w:b/>
                <w:bCs/>
                <w:color w:val="000000" w:themeColor="text1"/>
                <w:sz w:val="20"/>
                <w:szCs w:val="20"/>
              </w:rPr>
              <w:t>Symposium Workshop</w:t>
            </w:r>
          </w:p>
        </w:tc>
        <w:tc>
          <w:tcPr>
            <w:tcW w:w="0" w:type="auto"/>
            <w:tcBorders>
              <w:top w:val="single" w:sz="4" w:space="0" w:color="auto"/>
              <w:left w:val="nil"/>
              <w:right w:val="nil"/>
            </w:tcBorders>
            <w:vAlign w:val="center"/>
            <w:hideMark/>
          </w:tcPr>
          <w:p w14:paraId="1764D6B8" w14:textId="77777777" w:rsidR="00767074" w:rsidRPr="002B54FA" w:rsidRDefault="00514FB0" w:rsidP="00423253">
            <w:pPr>
              <w:pStyle w:val="NormalWeb"/>
              <w:spacing w:before="120" w:after="120"/>
              <w:rPr>
                <w:sz w:val="20"/>
                <w:szCs w:val="20"/>
              </w:rPr>
            </w:pPr>
            <w:r w:rsidRPr="002B54FA">
              <w:rPr>
                <w:sz w:val="20"/>
                <w:szCs w:val="20"/>
              </w:rPr>
              <w:t xml:space="preserve">Consumers, consumer </w:t>
            </w:r>
            <w:proofErr w:type="spellStart"/>
            <w:r w:rsidRPr="002B54FA">
              <w:rPr>
                <w:sz w:val="20"/>
                <w:szCs w:val="20"/>
              </w:rPr>
              <w:t>organisation</w:t>
            </w:r>
            <w:proofErr w:type="spellEnd"/>
            <w:r w:rsidRPr="002B54FA">
              <w:rPr>
                <w:sz w:val="20"/>
                <w:szCs w:val="20"/>
              </w:rPr>
              <w:t xml:space="preserve"> representatives, consumer representatives (HTA committees) </w:t>
            </w:r>
          </w:p>
        </w:tc>
        <w:tc>
          <w:tcPr>
            <w:tcW w:w="0" w:type="auto"/>
            <w:tcBorders>
              <w:left w:val="nil"/>
              <w:right w:val="nil"/>
            </w:tcBorders>
            <w:vAlign w:val="center"/>
            <w:hideMark/>
          </w:tcPr>
          <w:p w14:paraId="128E1FD2" w14:textId="77777777" w:rsidR="00767074" w:rsidRPr="002B54FA" w:rsidRDefault="00514FB0" w:rsidP="00423253">
            <w:pPr>
              <w:pStyle w:val="NormalWeb"/>
              <w:spacing w:before="120" w:after="120"/>
              <w:rPr>
                <w:sz w:val="20"/>
                <w:szCs w:val="20"/>
              </w:rPr>
            </w:pPr>
            <w:r w:rsidRPr="002B54FA">
              <w:rPr>
                <w:sz w:val="20"/>
                <w:szCs w:val="20"/>
              </w:rPr>
              <w:t>34</w:t>
            </w:r>
          </w:p>
        </w:tc>
        <w:tc>
          <w:tcPr>
            <w:tcW w:w="0" w:type="auto"/>
            <w:tcBorders>
              <w:left w:val="nil"/>
              <w:right w:val="nil"/>
            </w:tcBorders>
            <w:vAlign w:val="center"/>
            <w:hideMark/>
          </w:tcPr>
          <w:p w14:paraId="71677FFF" w14:textId="77777777" w:rsidR="00767074" w:rsidRPr="002B54FA" w:rsidRDefault="00514FB0" w:rsidP="00423253">
            <w:pPr>
              <w:pStyle w:val="NormalWeb"/>
              <w:spacing w:before="120" w:after="120"/>
              <w:rPr>
                <w:sz w:val="20"/>
                <w:szCs w:val="20"/>
              </w:rPr>
            </w:pPr>
            <w:r w:rsidRPr="002B54FA">
              <w:rPr>
                <w:sz w:val="20"/>
                <w:szCs w:val="20"/>
              </w:rPr>
              <w:t>19 October 2022</w:t>
            </w:r>
          </w:p>
        </w:tc>
      </w:tr>
      <w:tr w:rsidR="00767074" w:rsidRPr="008C6534" w14:paraId="1964BCEA" w14:textId="77777777" w:rsidTr="002A7EED">
        <w:tc>
          <w:tcPr>
            <w:tcW w:w="0" w:type="auto"/>
            <w:vMerge w:val="restart"/>
            <w:tcBorders>
              <w:top w:val="single" w:sz="4" w:space="0" w:color="auto"/>
              <w:left w:val="nil"/>
              <w:bottom w:val="nil"/>
              <w:right w:val="nil"/>
            </w:tcBorders>
            <w:shd w:val="clear" w:color="auto" w:fill="D9D9D9" w:themeFill="background1" w:themeFillShade="D9"/>
            <w:vAlign w:val="center"/>
            <w:hideMark/>
          </w:tcPr>
          <w:p w14:paraId="48505B9E" w14:textId="77777777" w:rsidR="00767074" w:rsidRPr="002F1587" w:rsidRDefault="00514FB0" w:rsidP="00423253">
            <w:pPr>
              <w:pStyle w:val="NormalWeb"/>
              <w:spacing w:before="120" w:after="120"/>
              <w:rPr>
                <w:b/>
                <w:bCs/>
                <w:sz w:val="20"/>
                <w:szCs w:val="20"/>
              </w:rPr>
            </w:pPr>
            <w:r w:rsidRPr="002A7EED">
              <w:rPr>
                <w:b/>
                <w:bCs/>
                <w:color w:val="000000" w:themeColor="text1"/>
                <w:sz w:val="20"/>
                <w:szCs w:val="20"/>
              </w:rPr>
              <w:t>Community Conversations</w:t>
            </w:r>
          </w:p>
        </w:tc>
        <w:tc>
          <w:tcPr>
            <w:tcW w:w="0" w:type="auto"/>
            <w:tcBorders>
              <w:left w:val="nil"/>
              <w:right w:val="nil"/>
            </w:tcBorders>
            <w:vAlign w:val="center"/>
            <w:hideMark/>
          </w:tcPr>
          <w:p w14:paraId="4DD79410" w14:textId="77777777" w:rsidR="00767074" w:rsidRPr="002B54FA" w:rsidRDefault="00514FB0" w:rsidP="00423253">
            <w:pPr>
              <w:pStyle w:val="NormalWeb"/>
              <w:spacing w:before="120" w:after="120"/>
              <w:rPr>
                <w:sz w:val="20"/>
                <w:szCs w:val="20"/>
              </w:rPr>
            </w:pPr>
            <w:r w:rsidRPr="002B54FA">
              <w:rPr>
                <w:sz w:val="20"/>
                <w:szCs w:val="20"/>
              </w:rPr>
              <w:t xml:space="preserve">Consumers, consumer </w:t>
            </w:r>
            <w:proofErr w:type="spellStart"/>
            <w:r w:rsidRPr="002B54FA">
              <w:rPr>
                <w:sz w:val="20"/>
                <w:szCs w:val="20"/>
              </w:rPr>
              <w:t>organisation</w:t>
            </w:r>
            <w:proofErr w:type="spellEnd"/>
            <w:r w:rsidRPr="002B54FA">
              <w:rPr>
                <w:sz w:val="20"/>
                <w:szCs w:val="20"/>
              </w:rPr>
              <w:t xml:space="preserve"> representatives, consumer representatives (HTA committees) </w:t>
            </w:r>
          </w:p>
        </w:tc>
        <w:tc>
          <w:tcPr>
            <w:tcW w:w="0" w:type="auto"/>
            <w:tcBorders>
              <w:left w:val="nil"/>
              <w:right w:val="nil"/>
            </w:tcBorders>
            <w:vAlign w:val="center"/>
            <w:hideMark/>
          </w:tcPr>
          <w:p w14:paraId="62581795" w14:textId="77777777" w:rsidR="00767074" w:rsidRPr="002B54FA" w:rsidRDefault="00514FB0" w:rsidP="00423253">
            <w:pPr>
              <w:pStyle w:val="NormalWeb"/>
              <w:spacing w:before="120" w:after="120"/>
              <w:rPr>
                <w:sz w:val="20"/>
                <w:szCs w:val="20"/>
              </w:rPr>
            </w:pPr>
            <w:r w:rsidRPr="002B54FA">
              <w:rPr>
                <w:sz w:val="20"/>
                <w:szCs w:val="20"/>
              </w:rPr>
              <w:t>30</w:t>
            </w:r>
          </w:p>
        </w:tc>
        <w:tc>
          <w:tcPr>
            <w:tcW w:w="0" w:type="auto"/>
            <w:tcBorders>
              <w:left w:val="nil"/>
              <w:right w:val="nil"/>
            </w:tcBorders>
            <w:vAlign w:val="center"/>
            <w:hideMark/>
          </w:tcPr>
          <w:p w14:paraId="688D8CF0" w14:textId="77777777" w:rsidR="00767074" w:rsidRPr="002B54FA" w:rsidRDefault="00514FB0" w:rsidP="00423253">
            <w:pPr>
              <w:pStyle w:val="NormalWeb"/>
              <w:spacing w:before="120" w:after="120"/>
              <w:rPr>
                <w:sz w:val="20"/>
                <w:szCs w:val="20"/>
              </w:rPr>
            </w:pPr>
            <w:r w:rsidRPr="002B54FA">
              <w:rPr>
                <w:sz w:val="20"/>
                <w:szCs w:val="20"/>
              </w:rPr>
              <w:t>November - December 2022</w:t>
            </w:r>
            <w:r w:rsidR="006A78D9">
              <w:rPr>
                <w:sz w:val="20"/>
                <w:szCs w:val="20"/>
              </w:rPr>
              <w:br/>
            </w:r>
            <w:r w:rsidRPr="002B54FA">
              <w:rPr>
                <w:sz w:val="20"/>
                <w:szCs w:val="20"/>
              </w:rPr>
              <w:t>February 2023</w:t>
            </w:r>
          </w:p>
        </w:tc>
      </w:tr>
      <w:tr w:rsidR="00767074" w:rsidRPr="008C6534" w14:paraId="2512B0A7" w14:textId="77777777" w:rsidTr="002A7EED">
        <w:tc>
          <w:tcPr>
            <w:tcW w:w="0" w:type="auto"/>
            <w:vMerge/>
            <w:tcBorders>
              <w:top w:val="nil"/>
              <w:left w:val="nil"/>
              <w:bottom w:val="nil"/>
              <w:right w:val="nil"/>
            </w:tcBorders>
            <w:shd w:val="clear" w:color="auto" w:fill="D9D9D9" w:themeFill="background1" w:themeFillShade="D9"/>
            <w:vAlign w:val="center"/>
            <w:hideMark/>
          </w:tcPr>
          <w:p w14:paraId="48B01BCC" w14:textId="77777777" w:rsidR="00767074" w:rsidRPr="002B54FA" w:rsidRDefault="00767074" w:rsidP="00423253">
            <w:pPr>
              <w:spacing w:before="120" w:after="120"/>
              <w:rPr>
                <w:sz w:val="20"/>
                <w:szCs w:val="20"/>
              </w:rPr>
            </w:pPr>
          </w:p>
        </w:tc>
        <w:tc>
          <w:tcPr>
            <w:tcW w:w="0" w:type="auto"/>
            <w:tcBorders>
              <w:left w:val="nil"/>
              <w:right w:val="nil"/>
            </w:tcBorders>
            <w:vAlign w:val="center"/>
            <w:hideMark/>
          </w:tcPr>
          <w:p w14:paraId="27274331" w14:textId="77777777" w:rsidR="00767074" w:rsidRPr="002B54FA" w:rsidRDefault="00514FB0" w:rsidP="00423253">
            <w:pPr>
              <w:pStyle w:val="NormalWeb"/>
              <w:spacing w:before="120" w:after="120"/>
              <w:rPr>
                <w:sz w:val="20"/>
                <w:szCs w:val="20"/>
              </w:rPr>
            </w:pPr>
            <w:r w:rsidRPr="002B54FA">
              <w:rPr>
                <w:sz w:val="20"/>
                <w:szCs w:val="20"/>
              </w:rPr>
              <w:t>Industry representative members</w:t>
            </w:r>
          </w:p>
        </w:tc>
        <w:tc>
          <w:tcPr>
            <w:tcW w:w="0" w:type="auto"/>
            <w:tcBorders>
              <w:left w:val="nil"/>
              <w:right w:val="nil"/>
            </w:tcBorders>
            <w:vAlign w:val="center"/>
            <w:hideMark/>
          </w:tcPr>
          <w:p w14:paraId="28497FBA" w14:textId="77777777" w:rsidR="00767074" w:rsidRPr="002B54FA" w:rsidRDefault="00514FB0" w:rsidP="00423253">
            <w:pPr>
              <w:pStyle w:val="NormalWeb"/>
              <w:spacing w:before="120" w:after="120"/>
              <w:rPr>
                <w:sz w:val="20"/>
                <w:szCs w:val="20"/>
              </w:rPr>
            </w:pPr>
            <w:r w:rsidRPr="002B54FA">
              <w:rPr>
                <w:sz w:val="20"/>
                <w:szCs w:val="20"/>
              </w:rPr>
              <w:t>9</w:t>
            </w:r>
          </w:p>
        </w:tc>
        <w:tc>
          <w:tcPr>
            <w:tcW w:w="0" w:type="auto"/>
            <w:tcBorders>
              <w:left w:val="nil"/>
              <w:right w:val="nil"/>
            </w:tcBorders>
            <w:vAlign w:val="center"/>
            <w:hideMark/>
          </w:tcPr>
          <w:p w14:paraId="26B5BCA4" w14:textId="77777777" w:rsidR="00767074" w:rsidRPr="002B54FA" w:rsidRDefault="00514FB0" w:rsidP="00423253">
            <w:pPr>
              <w:pStyle w:val="NormalWeb"/>
              <w:spacing w:before="120" w:after="120"/>
              <w:rPr>
                <w:sz w:val="20"/>
                <w:szCs w:val="20"/>
              </w:rPr>
            </w:pPr>
            <w:r w:rsidRPr="002B54FA">
              <w:rPr>
                <w:sz w:val="20"/>
                <w:szCs w:val="20"/>
              </w:rPr>
              <w:t>November 2022</w:t>
            </w:r>
          </w:p>
        </w:tc>
      </w:tr>
      <w:tr w:rsidR="00767074" w:rsidRPr="008C6534" w14:paraId="0AD99D03" w14:textId="77777777" w:rsidTr="002A7EED">
        <w:tc>
          <w:tcPr>
            <w:tcW w:w="0" w:type="auto"/>
            <w:vMerge/>
            <w:tcBorders>
              <w:top w:val="nil"/>
              <w:left w:val="nil"/>
              <w:bottom w:val="nil"/>
              <w:right w:val="nil"/>
            </w:tcBorders>
            <w:shd w:val="clear" w:color="auto" w:fill="D9D9D9" w:themeFill="background1" w:themeFillShade="D9"/>
            <w:vAlign w:val="center"/>
            <w:hideMark/>
          </w:tcPr>
          <w:p w14:paraId="590FBEAC" w14:textId="77777777" w:rsidR="00767074" w:rsidRPr="002B54FA" w:rsidRDefault="00767074" w:rsidP="00423253">
            <w:pPr>
              <w:spacing w:before="120" w:after="120"/>
              <w:rPr>
                <w:sz w:val="20"/>
                <w:szCs w:val="20"/>
              </w:rPr>
            </w:pPr>
          </w:p>
        </w:tc>
        <w:tc>
          <w:tcPr>
            <w:tcW w:w="0" w:type="auto"/>
            <w:tcBorders>
              <w:left w:val="nil"/>
              <w:right w:val="nil"/>
            </w:tcBorders>
            <w:vAlign w:val="center"/>
            <w:hideMark/>
          </w:tcPr>
          <w:p w14:paraId="4C12BBAD" w14:textId="77777777" w:rsidR="00767074" w:rsidRPr="002B54FA" w:rsidRDefault="00514FB0" w:rsidP="00423253">
            <w:pPr>
              <w:pStyle w:val="NormalWeb"/>
              <w:spacing w:before="120" w:after="120"/>
              <w:rPr>
                <w:sz w:val="20"/>
                <w:szCs w:val="20"/>
              </w:rPr>
            </w:pPr>
            <w:r w:rsidRPr="002B54FA">
              <w:rPr>
                <w:sz w:val="20"/>
                <w:szCs w:val="20"/>
              </w:rPr>
              <w:t xml:space="preserve">Health professionals </w:t>
            </w:r>
          </w:p>
        </w:tc>
        <w:tc>
          <w:tcPr>
            <w:tcW w:w="0" w:type="auto"/>
            <w:tcBorders>
              <w:left w:val="nil"/>
              <w:right w:val="nil"/>
            </w:tcBorders>
            <w:vAlign w:val="center"/>
            <w:hideMark/>
          </w:tcPr>
          <w:p w14:paraId="05B6CAF8" w14:textId="77777777" w:rsidR="00767074" w:rsidRPr="002B54FA" w:rsidRDefault="00514FB0" w:rsidP="00423253">
            <w:pPr>
              <w:pStyle w:val="NormalWeb"/>
              <w:spacing w:before="120" w:after="120"/>
              <w:rPr>
                <w:sz w:val="20"/>
                <w:szCs w:val="20"/>
              </w:rPr>
            </w:pPr>
            <w:r w:rsidRPr="002B54FA">
              <w:rPr>
                <w:sz w:val="20"/>
                <w:szCs w:val="20"/>
              </w:rPr>
              <w:t>12</w:t>
            </w:r>
          </w:p>
        </w:tc>
        <w:tc>
          <w:tcPr>
            <w:tcW w:w="0" w:type="auto"/>
            <w:tcBorders>
              <w:left w:val="nil"/>
              <w:right w:val="nil"/>
            </w:tcBorders>
            <w:vAlign w:val="center"/>
            <w:hideMark/>
          </w:tcPr>
          <w:p w14:paraId="50954DE1" w14:textId="77777777" w:rsidR="00767074" w:rsidRPr="002B54FA" w:rsidRDefault="00514FB0" w:rsidP="00423253">
            <w:pPr>
              <w:pStyle w:val="NormalWeb"/>
              <w:spacing w:before="120" w:after="120"/>
              <w:rPr>
                <w:sz w:val="20"/>
                <w:szCs w:val="20"/>
              </w:rPr>
            </w:pPr>
            <w:r w:rsidRPr="002B54FA">
              <w:rPr>
                <w:sz w:val="20"/>
                <w:szCs w:val="20"/>
              </w:rPr>
              <w:t>February 2023</w:t>
            </w:r>
          </w:p>
        </w:tc>
      </w:tr>
      <w:tr w:rsidR="00767074" w:rsidRPr="008C6534" w14:paraId="01623B02" w14:textId="77777777" w:rsidTr="002A7EED">
        <w:tc>
          <w:tcPr>
            <w:tcW w:w="0" w:type="auto"/>
            <w:vMerge/>
            <w:tcBorders>
              <w:top w:val="nil"/>
              <w:left w:val="nil"/>
              <w:bottom w:val="nil"/>
              <w:right w:val="nil"/>
            </w:tcBorders>
            <w:shd w:val="clear" w:color="auto" w:fill="D9D9D9" w:themeFill="background1" w:themeFillShade="D9"/>
            <w:vAlign w:val="center"/>
            <w:hideMark/>
          </w:tcPr>
          <w:p w14:paraId="5969419F" w14:textId="77777777" w:rsidR="00767074" w:rsidRPr="002B54FA" w:rsidRDefault="00767074" w:rsidP="00423253">
            <w:pPr>
              <w:spacing w:before="120" w:after="120"/>
              <w:rPr>
                <w:sz w:val="20"/>
                <w:szCs w:val="20"/>
              </w:rPr>
            </w:pPr>
          </w:p>
        </w:tc>
        <w:tc>
          <w:tcPr>
            <w:tcW w:w="0" w:type="auto"/>
            <w:tcBorders>
              <w:left w:val="nil"/>
              <w:bottom w:val="single" w:sz="4" w:space="0" w:color="auto"/>
              <w:right w:val="nil"/>
            </w:tcBorders>
            <w:vAlign w:val="center"/>
            <w:hideMark/>
          </w:tcPr>
          <w:p w14:paraId="3607602E" w14:textId="77777777" w:rsidR="00767074" w:rsidRPr="002B54FA" w:rsidRDefault="00514FB0" w:rsidP="00423253">
            <w:pPr>
              <w:pStyle w:val="NormalWeb"/>
              <w:spacing w:before="120" w:after="120"/>
              <w:rPr>
                <w:sz w:val="20"/>
                <w:szCs w:val="20"/>
              </w:rPr>
            </w:pPr>
            <w:r w:rsidRPr="002B54FA">
              <w:rPr>
                <w:sz w:val="20"/>
                <w:szCs w:val="20"/>
              </w:rPr>
              <w:t xml:space="preserve">Academics working in HTA field </w:t>
            </w:r>
          </w:p>
        </w:tc>
        <w:tc>
          <w:tcPr>
            <w:tcW w:w="0" w:type="auto"/>
            <w:tcBorders>
              <w:left w:val="nil"/>
              <w:bottom w:val="single" w:sz="4" w:space="0" w:color="auto"/>
              <w:right w:val="nil"/>
            </w:tcBorders>
            <w:vAlign w:val="center"/>
            <w:hideMark/>
          </w:tcPr>
          <w:p w14:paraId="5401A25F" w14:textId="77777777" w:rsidR="00767074" w:rsidRPr="002B54FA" w:rsidRDefault="00514FB0" w:rsidP="00423253">
            <w:pPr>
              <w:pStyle w:val="NormalWeb"/>
              <w:spacing w:before="120" w:after="120"/>
              <w:rPr>
                <w:sz w:val="20"/>
                <w:szCs w:val="20"/>
              </w:rPr>
            </w:pPr>
            <w:r w:rsidRPr="002B54FA">
              <w:rPr>
                <w:sz w:val="20"/>
                <w:szCs w:val="20"/>
              </w:rPr>
              <w:t>9</w:t>
            </w:r>
          </w:p>
        </w:tc>
        <w:tc>
          <w:tcPr>
            <w:tcW w:w="0" w:type="auto"/>
            <w:tcBorders>
              <w:left w:val="nil"/>
              <w:bottom w:val="single" w:sz="4" w:space="0" w:color="auto"/>
              <w:right w:val="nil"/>
            </w:tcBorders>
            <w:vAlign w:val="center"/>
            <w:hideMark/>
          </w:tcPr>
          <w:p w14:paraId="5DBEF24C" w14:textId="77777777" w:rsidR="00767074" w:rsidRPr="002B54FA" w:rsidRDefault="00514FB0" w:rsidP="00423253">
            <w:pPr>
              <w:pStyle w:val="NormalWeb"/>
              <w:spacing w:before="120" w:after="120"/>
              <w:rPr>
                <w:sz w:val="20"/>
                <w:szCs w:val="20"/>
              </w:rPr>
            </w:pPr>
            <w:r w:rsidRPr="002B54FA">
              <w:rPr>
                <w:sz w:val="20"/>
                <w:szCs w:val="20"/>
              </w:rPr>
              <w:t>March 2023</w:t>
            </w:r>
          </w:p>
        </w:tc>
      </w:tr>
      <w:tr w:rsidR="00767074" w:rsidRPr="008C6534" w14:paraId="2CDBF313" w14:textId="77777777" w:rsidTr="002A7EED">
        <w:trPr>
          <w:trHeight w:val="77"/>
        </w:trPr>
        <w:tc>
          <w:tcPr>
            <w:tcW w:w="0" w:type="auto"/>
            <w:tcBorders>
              <w:top w:val="nil"/>
              <w:left w:val="nil"/>
              <w:bottom w:val="nil"/>
              <w:right w:val="nil"/>
            </w:tcBorders>
            <w:shd w:val="clear" w:color="auto" w:fill="3B3838" w:themeFill="background2" w:themeFillShade="40"/>
            <w:vAlign w:val="center"/>
            <w:hideMark/>
          </w:tcPr>
          <w:p w14:paraId="307E76B2" w14:textId="77777777" w:rsidR="00767074" w:rsidRPr="002F1587" w:rsidRDefault="00514FB0" w:rsidP="00423253">
            <w:pPr>
              <w:pStyle w:val="NormalWeb"/>
              <w:spacing w:before="120" w:after="120"/>
              <w:rPr>
                <w:b/>
                <w:bCs/>
                <w:sz w:val="20"/>
                <w:szCs w:val="20"/>
              </w:rPr>
            </w:pPr>
            <w:r w:rsidRPr="002F1587">
              <w:rPr>
                <w:b/>
                <w:bCs/>
                <w:sz w:val="20"/>
                <w:szCs w:val="20"/>
              </w:rPr>
              <w:t xml:space="preserve">Total: </w:t>
            </w:r>
          </w:p>
        </w:tc>
        <w:tc>
          <w:tcPr>
            <w:tcW w:w="0" w:type="auto"/>
            <w:tcBorders>
              <w:left w:val="nil"/>
              <w:bottom w:val="nil"/>
              <w:right w:val="nil"/>
            </w:tcBorders>
            <w:shd w:val="clear" w:color="auto" w:fill="F2F2F2" w:themeFill="background1" w:themeFillShade="F2"/>
            <w:vAlign w:val="center"/>
            <w:hideMark/>
          </w:tcPr>
          <w:p w14:paraId="7E9C62A1" w14:textId="77777777" w:rsidR="00767074" w:rsidRPr="006A78D9" w:rsidRDefault="00767074" w:rsidP="00423253">
            <w:pPr>
              <w:spacing w:before="120" w:after="120"/>
              <w:rPr>
                <w:sz w:val="20"/>
                <w:szCs w:val="20"/>
              </w:rPr>
            </w:pPr>
          </w:p>
        </w:tc>
        <w:tc>
          <w:tcPr>
            <w:tcW w:w="0" w:type="auto"/>
            <w:tcBorders>
              <w:left w:val="nil"/>
              <w:bottom w:val="nil"/>
              <w:right w:val="nil"/>
            </w:tcBorders>
            <w:shd w:val="clear" w:color="auto" w:fill="F2F2F2" w:themeFill="background1" w:themeFillShade="F2"/>
            <w:vAlign w:val="center"/>
            <w:hideMark/>
          </w:tcPr>
          <w:p w14:paraId="5080A945" w14:textId="77777777" w:rsidR="00767074" w:rsidRPr="002B54FA" w:rsidRDefault="00514FB0" w:rsidP="00423253">
            <w:pPr>
              <w:pStyle w:val="NormalWeb"/>
              <w:spacing w:before="120" w:after="120"/>
              <w:rPr>
                <w:sz w:val="20"/>
                <w:szCs w:val="20"/>
              </w:rPr>
            </w:pPr>
            <w:r w:rsidRPr="002B54FA">
              <w:rPr>
                <w:rStyle w:val="Strong"/>
                <w:rFonts w:eastAsiaTheme="minorEastAsia"/>
                <w:sz w:val="20"/>
                <w:szCs w:val="20"/>
              </w:rPr>
              <w:t>133</w:t>
            </w:r>
          </w:p>
        </w:tc>
        <w:tc>
          <w:tcPr>
            <w:tcW w:w="0" w:type="auto"/>
            <w:tcBorders>
              <w:left w:val="nil"/>
              <w:bottom w:val="nil"/>
              <w:right w:val="nil"/>
            </w:tcBorders>
            <w:shd w:val="clear" w:color="auto" w:fill="F2F2F2" w:themeFill="background1" w:themeFillShade="F2"/>
            <w:vAlign w:val="center"/>
            <w:hideMark/>
          </w:tcPr>
          <w:p w14:paraId="72EA9827" w14:textId="77777777" w:rsidR="00767074" w:rsidRPr="002B54FA" w:rsidRDefault="00767074" w:rsidP="00423253">
            <w:pPr>
              <w:spacing w:before="120" w:after="120"/>
              <w:rPr>
                <w:sz w:val="20"/>
                <w:szCs w:val="20"/>
              </w:rPr>
            </w:pPr>
          </w:p>
        </w:tc>
      </w:tr>
    </w:tbl>
    <w:p w14:paraId="0D08F0C1" w14:textId="77777777" w:rsidR="001D7BA7" w:rsidRDefault="001D7BA7" w:rsidP="0085787A">
      <w:pPr>
        <w:pStyle w:val="Heading1"/>
      </w:pPr>
    </w:p>
    <w:p w14:paraId="2B08CF37" w14:textId="77777777" w:rsidR="001D7BA7" w:rsidRDefault="001D7BA7">
      <w:pPr>
        <w:spacing w:before="0" w:line="240" w:lineRule="auto"/>
        <w:rPr>
          <w:rFonts w:eastAsia="Times New Roman"/>
          <w:b/>
          <w:bCs/>
          <w:kern w:val="36"/>
          <w:sz w:val="48"/>
          <w:szCs w:val="48"/>
        </w:rPr>
      </w:pPr>
      <w:r>
        <w:br w:type="page"/>
      </w:r>
    </w:p>
    <w:p w14:paraId="0C02462D" w14:textId="77777777" w:rsidR="00767074" w:rsidRPr="006266F8" w:rsidRDefault="00514FB0" w:rsidP="0085787A">
      <w:pPr>
        <w:pStyle w:val="Heading1"/>
        <w:rPr>
          <w:color w:val="000000" w:themeColor="text1"/>
        </w:rPr>
      </w:pPr>
      <w:bookmarkStart w:id="5" w:name="_Toc142318733"/>
      <w:r w:rsidRPr="006266F8">
        <w:rPr>
          <w:color w:val="000000" w:themeColor="text1"/>
        </w:rPr>
        <w:lastRenderedPageBreak/>
        <w:t>Report Framework</w:t>
      </w:r>
      <w:bookmarkEnd w:id="5"/>
    </w:p>
    <w:p w14:paraId="4E4AF3FB" w14:textId="77777777" w:rsidR="00767074" w:rsidRPr="008C6534" w:rsidRDefault="00514FB0" w:rsidP="008C6534">
      <w:pPr>
        <w:pStyle w:val="Heading3"/>
        <w:rPr>
          <w:rFonts w:eastAsia="Times New Roman"/>
        </w:rPr>
      </w:pPr>
      <w:r w:rsidRPr="008C6534">
        <w:rPr>
          <w:rFonts w:eastAsia="Times New Roman"/>
        </w:rPr>
        <w:t>Reviewing the findings</w:t>
      </w:r>
    </w:p>
    <w:p w14:paraId="2C7EB089" w14:textId="77777777" w:rsidR="00767074" w:rsidRPr="008C6534" w:rsidRDefault="00514FB0" w:rsidP="002B54FA">
      <w:r w:rsidRPr="008C6534">
        <w:t xml:space="preserve">Input was reviewed by the CEEU and an independent consumer facilitator. The independent consumer facilitator was involved in all the </w:t>
      </w:r>
      <w:r w:rsidRPr="008C6534">
        <w:t>consultation activities.</w:t>
      </w:r>
    </w:p>
    <w:p w14:paraId="13475522" w14:textId="77777777" w:rsidR="00767074" w:rsidRPr="008C6534" w:rsidRDefault="00514FB0" w:rsidP="002B54FA">
      <w:r w:rsidRPr="008C6534">
        <w:t xml:space="preserve">On completion of all community conversations, findings were grouped into themes and the key points and highlighted challenges were </w:t>
      </w:r>
      <w:proofErr w:type="spellStart"/>
      <w:r w:rsidRPr="008C6534">
        <w:t>summarised</w:t>
      </w:r>
      <w:proofErr w:type="spellEnd"/>
      <w:r w:rsidRPr="008C6534">
        <w:t>. Additional comments provided by participants which fall outside of ‘how consumer views a</w:t>
      </w:r>
      <w:r w:rsidRPr="008C6534">
        <w:t>nd experiences can best be provided during HTA processes’ are noted on page 2</w:t>
      </w:r>
      <w:r w:rsidR="00F93819">
        <w:t>0</w:t>
      </w:r>
      <w:r w:rsidRPr="008C6534">
        <w:t>-2</w:t>
      </w:r>
      <w:r w:rsidR="00F93819">
        <w:t>1</w:t>
      </w:r>
      <w:r w:rsidRPr="008C6534">
        <w:t>.</w:t>
      </w:r>
    </w:p>
    <w:p w14:paraId="3299B944" w14:textId="77777777" w:rsidR="00767074" w:rsidRPr="002B54FA" w:rsidRDefault="00514FB0" w:rsidP="002B54FA">
      <w:pPr>
        <w:pStyle w:val="Heading3"/>
      </w:pPr>
      <w:r w:rsidRPr="002B54FA">
        <w:t>Consultation findings - themes</w:t>
      </w:r>
    </w:p>
    <w:p w14:paraId="4E653D38" w14:textId="77777777" w:rsidR="00767074" w:rsidRPr="008C6534" w:rsidRDefault="00514FB0" w:rsidP="002B54FA">
      <w:r w:rsidRPr="008C6534">
        <w:t>Five themes, focused on outcomes, emerged from the input received. There was some overlap of key points between the themes, which indicates th</w:t>
      </w:r>
      <w:r w:rsidRPr="008C6534">
        <w:t>eir interdependence. To illustrate the connection between these themes, a conceptual diagram is presented</w:t>
      </w:r>
      <w:r w:rsidRPr="008C6534">
        <w:rPr>
          <w:rStyle w:val="Strong"/>
          <w:rFonts w:eastAsiaTheme="minorEastAsia"/>
        </w:rPr>
        <w:t xml:space="preserve"> </w:t>
      </w:r>
      <w:r w:rsidRPr="008C6534">
        <w:t>(</w:t>
      </w:r>
      <w:r w:rsidRPr="008C6534">
        <w:rPr>
          <w:rStyle w:val="Strong"/>
          <w:rFonts w:eastAsiaTheme="minorEastAsia"/>
        </w:rPr>
        <w:t>Figure 3</w:t>
      </w:r>
      <w:r w:rsidRPr="008C6534">
        <w:t>).</w:t>
      </w:r>
    </w:p>
    <w:p w14:paraId="1CEA6D2E" w14:textId="77777777" w:rsidR="00767074" w:rsidRPr="008C6534" w:rsidRDefault="00514FB0" w:rsidP="008C6534">
      <w:pPr>
        <w:pStyle w:val="Heading4"/>
        <w:rPr>
          <w:rFonts w:eastAsia="Times New Roman"/>
        </w:rPr>
      </w:pPr>
      <w:r w:rsidRPr="008C6534">
        <w:rPr>
          <w:rStyle w:val="Strong"/>
          <w:rFonts w:eastAsiaTheme="minorEastAsia"/>
          <w:b/>
          <w:bCs/>
        </w:rPr>
        <w:t>Figure 3: Conversations for Change findings – key themes illustrate the interdependence of factors which support improved consumer involve</w:t>
      </w:r>
      <w:r w:rsidRPr="008C6534">
        <w:rPr>
          <w:rStyle w:val="Strong"/>
          <w:rFonts w:eastAsiaTheme="minorEastAsia"/>
          <w:b/>
          <w:bCs/>
        </w:rPr>
        <w:t>ment in HTA processes.</w:t>
      </w:r>
    </w:p>
    <w:p w14:paraId="686B3D66" w14:textId="2C287872" w:rsidR="00767074" w:rsidRPr="008C6534" w:rsidRDefault="00514FB0" w:rsidP="0085787A">
      <w:pPr>
        <w:jc w:val="center"/>
        <w:rPr>
          <w:rFonts w:eastAsia="Times New Roman"/>
        </w:rPr>
      </w:pPr>
      <w:r w:rsidRPr="008C6534">
        <w:rPr>
          <w:rFonts w:eastAsia="Times New Roman"/>
        </w:rPr>
        <w:fldChar w:fldCharType="begin"/>
      </w:r>
      <w:r w:rsidR="001B6708">
        <w:rPr>
          <w:rFonts w:eastAsia="Times New Roman"/>
        </w:rPr>
        <w:instrText xml:space="preserve"> INCLUDEPICTURE "C:\\Users\\publications\\Desktop\\DT0003683 CEEU Conversations for Change\\DT0003683_CEEU_Conversation_for_Change_Report_FA_V2-web-resources\\image\\CFC_Puzzle_Artwork.png" \* MERGEFORMAT \d \x \y </w:instrText>
      </w:r>
      <w:r w:rsidRPr="008C6534">
        <w:rPr>
          <w:rFonts w:eastAsia="Times New Roman"/>
        </w:rPr>
        <w:fldChar w:fldCharType="separate"/>
      </w:r>
      <w:r w:rsidRPr="008C6534">
        <w:rPr>
          <w:rFonts w:eastAsia="Times New Roman"/>
          <w:noProof/>
        </w:rPr>
        <w:drawing>
          <wp:inline distT="0" distB="0" distL="0" distR="0" wp14:anchorId="7B0ED494" wp14:editId="02FE3CB0">
            <wp:extent cx="4318000" cy="3009900"/>
            <wp:effectExtent l="0" t="0" r="0" b="0"/>
            <wp:docPr id="5" name="Picture 5" descr="A puzzle graphic illustrating  key theme interdependence of factors which support improved consumer involvement in HTA processes.&#10;Consumers are actively participating.&#10;Consumers are equal partners.&#10;Consumers are supported and knowledgeable.&#10;Consumers are supported and knowledgeable.&#10;Consumers are included in HTA processes and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uzzle graphic illustrating  key theme interdependence of factors which support improved consumer involvement in HTA processes.&#10;Consumers are actively participating.&#10;Consumers are equal partners.&#10;Consumers are supported and knowledgeable.&#10;Consumers are supported and knowledgeable.&#10;Consumers are included in HTA processes and methods."/>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318000" cy="3009900"/>
                    </a:xfrm>
                    <a:prstGeom prst="rect">
                      <a:avLst/>
                    </a:prstGeom>
                    <a:noFill/>
                    <a:ln>
                      <a:noFill/>
                    </a:ln>
                  </pic:spPr>
                </pic:pic>
              </a:graphicData>
            </a:graphic>
          </wp:inline>
        </w:drawing>
      </w:r>
      <w:r w:rsidRPr="008C6534">
        <w:rPr>
          <w:rFonts w:eastAsia="Times New Roman"/>
        </w:rPr>
        <w:fldChar w:fldCharType="end"/>
      </w:r>
    </w:p>
    <w:p w14:paraId="751F5B07" w14:textId="77777777" w:rsidR="00767074" w:rsidRPr="008C6534" w:rsidRDefault="00514FB0" w:rsidP="008C6534">
      <w:pPr>
        <w:pStyle w:val="NormalWeb"/>
      </w:pPr>
      <w:r w:rsidRPr="008C6534">
        <w:t xml:space="preserve">Being ‘equal partners’ with other </w:t>
      </w:r>
      <w:r w:rsidRPr="008C6534">
        <w:t>stakeholders in HTA processes is the main aspirational ‘end goal’ for consumers. Reaching this goal depends on the support of the four other related outcomes. This is described as follows.</w:t>
      </w:r>
    </w:p>
    <w:p w14:paraId="4EF407BD" w14:textId="77777777" w:rsidR="006408DC" w:rsidRDefault="006408DC">
      <w:pPr>
        <w:spacing w:before="0"/>
      </w:pPr>
      <w:r>
        <w:br w:type="page"/>
      </w:r>
    </w:p>
    <w:p w14:paraId="02D9C298" w14:textId="77777777" w:rsidR="0051751D" w:rsidRPr="0051751D" w:rsidRDefault="00514FB0" w:rsidP="0051751D">
      <w:pPr>
        <w:pStyle w:val="NormalWeb"/>
      </w:pPr>
      <w:r w:rsidRPr="008C6534">
        <w:lastRenderedPageBreak/>
        <w:t>Consumers are:</w:t>
      </w:r>
      <w:r w:rsidR="0051751D">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6"/>
        <w:gridCol w:w="7880"/>
      </w:tblGrid>
      <w:tr w:rsidR="008867A8" w:rsidRPr="0051751D" w14:paraId="2268461D" w14:textId="77777777" w:rsidTr="0056376D">
        <w:trPr>
          <w:trHeight w:val="579"/>
        </w:trPr>
        <w:tc>
          <w:tcPr>
            <w:tcW w:w="1136" w:type="dxa"/>
            <w:vAlign w:val="center"/>
          </w:tcPr>
          <w:p w14:paraId="770AE807" w14:textId="77777777" w:rsidR="008867A8" w:rsidRPr="0051751D" w:rsidRDefault="00866F0A" w:rsidP="00866F0A">
            <w:pPr>
              <w:spacing w:before="0"/>
            </w:pPr>
            <w:r w:rsidRPr="0051751D">
              <w:rPr>
                <w:rFonts w:eastAsia="Times New Roman"/>
                <w:noProof/>
              </w:rPr>
              <w:drawing>
                <wp:inline distT="0" distB="0" distL="0" distR="0" wp14:anchorId="6E6AD66B" wp14:editId="13B0C6B4">
                  <wp:extent cx="584200" cy="584200"/>
                  <wp:effectExtent l="0" t="0" r="0" b="0"/>
                  <wp:docPr id="515328900" name="Picture 515328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328900" name="Picture 515328900">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84200" cy="584200"/>
                          </a:xfrm>
                          <a:prstGeom prst="rect">
                            <a:avLst/>
                          </a:prstGeom>
                          <a:noFill/>
                          <a:ln>
                            <a:noFill/>
                          </a:ln>
                        </pic:spPr>
                      </pic:pic>
                    </a:graphicData>
                  </a:graphic>
                </wp:inline>
              </w:drawing>
            </w:r>
          </w:p>
        </w:tc>
        <w:tc>
          <w:tcPr>
            <w:tcW w:w="7880" w:type="dxa"/>
            <w:vAlign w:val="center"/>
          </w:tcPr>
          <w:p w14:paraId="78745831" w14:textId="77777777" w:rsidR="008867A8" w:rsidRPr="0051751D" w:rsidRDefault="009C7023" w:rsidP="00866F0A">
            <w:pPr>
              <w:spacing w:before="120" w:after="120"/>
            </w:pPr>
            <w:r w:rsidRPr="0051751D">
              <w:rPr>
                <w:rStyle w:val="Strong"/>
                <w:rFonts w:eastAsiaTheme="minorEastAsia"/>
              </w:rPr>
              <w:t>Informed and engaged:</w:t>
            </w:r>
            <w:r w:rsidRPr="0051751D">
              <w:t xml:space="preserve"> a baseline awareness of HTA processes, what these are for and a desire to engage with these, achieved through open communication and transparency</w:t>
            </w:r>
          </w:p>
        </w:tc>
      </w:tr>
      <w:tr w:rsidR="008867A8" w:rsidRPr="0051751D" w14:paraId="3877A2BF" w14:textId="77777777" w:rsidTr="0056376D">
        <w:trPr>
          <w:trHeight w:val="71"/>
        </w:trPr>
        <w:tc>
          <w:tcPr>
            <w:tcW w:w="1136" w:type="dxa"/>
            <w:vAlign w:val="center"/>
          </w:tcPr>
          <w:p w14:paraId="1556992F" w14:textId="77777777" w:rsidR="008867A8" w:rsidRPr="0051751D" w:rsidRDefault="008867A8" w:rsidP="00866F0A">
            <w:pPr>
              <w:spacing w:before="0"/>
            </w:pPr>
            <w:r w:rsidRPr="0051751D">
              <w:rPr>
                <w:rFonts w:eastAsia="Times New Roman"/>
                <w:noProof/>
              </w:rPr>
              <w:drawing>
                <wp:inline distT="0" distB="0" distL="0" distR="0" wp14:anchorId="7FC3AD4C" wp14:editId="10DC2882">
                  <wp:extent cx="584200" cy="584200"/>
                  <wp:effectExtent l="0" t="0" r="0" b="0"/>
                  <wp:docPr id="128159306" name="Picture 1281593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59306" name="Picture 128159306">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84200" cy="584200"/>
                          </a:xfrm>
                          <a:prstGeom prst="rect">
                            <a:avLst/>
                          </a:prstGeom>
                          <a:noFill/>
                          <a:ln>
                            <a:noFill/>
                          </a:ln>
                        </pic:spPr>
                      </pic:pic>
                    </a:graphicData>
                  </a:graphic>
                </wp:inline>
              </w:drawing>
            </w:r>
          </w:p>
        </w:tc>
        <w:tc>
          <w:tcPr>
            <w:tcW w:w="7880" w:type="dxa"/>
            <w:vAlign w:val="center"/>
          </w:tcPr>
          <w:p w14:paraId="363F60F7" w14:textId="77777777" w:rsidR="008867A8" w:rsidRPr="0051751D" w:rsidRDefault="009C7023" w:rsidP="00866F0A">
            <w:pPr>
              <w:spacing w:before="120" w:after="120"/>
            </w:pPr>
            <w:r w:rsidRPr="0051751D">
              <w:rPr>
                <w:rStyle w:val="Strong"/>
                <w:rFonts w:eastAsiaTheme="minorEastAsia"/>
              </w:rPr>
              <w:t>Supported and knowledgeable:</w:t>
            </w:r>
            <w:r w:rsidRPr="0051751D">
              <w:t xml:space="preserve"> consumers have a developed understanding of how HTA works and how they can be involved in it, </w:t>
            </w:r>
            <w:r w:rsidR="00145032">
              <w:br/>
            </w:r>
            <w:r w:rsidRPr="0051751D">
              <w:t>with guidance and support from the CEEU and other stakeholders.</w:t>
            </w:r>
          </w:p>
        </w:tc>
      </w:tr>
      <w:tr w:rsidR="009C7023" w:rsidRPr="0051751D" w14:paraId="773BD6DC" w14:textId="77777777" w:rsidTr="0056376D">
        <w:trPr>
          <w:trHeight w:val="71"/>
        </w:trPr>
        <w:tc>
          <w:tcPr>
            <w:tcW w:w="1136" w:type="dxa"/>
            <w:vAlign w:val="center"/>
          </w:tcPr>
          <w:p w14:paraId="60AB4A02" w14:textId="77777777" w:rsidR="009C7023" w:rsidRPr="0051751D" w:rsidRDefault="0051751D" w:rsidP="00866F0A">
            <w:pPr>
              <w:spacing w:before="0"/>
              <w:rPr>
                <w:noProof/>
              </w:rPr>
            </w:pPr>
            <w:r w:rsidRPr="0051751D">
              <w:rPr>
                <w:rFonts w:eastAsia="Times New Roman"/>
                <w:noProof/>
              </w:rPr>
              <w:drawing>
                <wp:inline distT="0" distB="0" distL="0" distR="0" wp14:anchorId="690ACC48" wp14:editId="5E4BC3D1">
                  <wp:extent cx="584200" cy="635635"/>
                  <wp:effectExtent l="0" t="0" r="0" b="0"/>
                  <wp:docPr id="579283358" name="Picture 5792833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283358" name="Picture 579283358">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584200" cy="635635"/>
                          </a:xfrm>
                          <a:prstGeom prst="rect">
                            <a:avLst/>
                          </a:prstGeom>
                          <a:noFill/>
                          <a:ln>
                            <a:noFill/>
                          </a:ln>
                        </pic:spPr>
                      </pic:pic>
                    </a:graphicData>
                  </a:graphic>
                </wp:inline>
              </w:drawing>
            </w:r>
          </w:p>
        </w:tc>
        <w:tc>
          <w:tcPr>
            <w:tcW w:w="7880" w:type="dxa"/>
            <w:vAlign w:val="center"/>
          </w:tcPr>
          <w:p w14:paraId="264319A7" w14:textId="77777777" w:rsidR="009C7023" w:rsidRPr="0051751D" w:rsidRDefault="009C7023" w:rsidP="00866F0A">
            <w:pPr>
              <w:spacing w:before="120" w:after="120"/>
              <w:rPr>
                <w:rStyle w:val="Strong"/>
                <w:rFonts w:eastAsiaTheme="minorEastAsia"/>
                <w:b w:val="0"/>
                <w:bCs w:val="0"/>
              </w:rPr>
            </w:pPr>
            <w:r w:rsidRPr="0051751D">
              <w:rPr>
                <w:rStyle w:val="Strong"/>
                <w:rFonts w:eastAsiaTheme="minorEastAsia"/>
              </w:rPr>
              <w:t>Included in HTA processes and methods:</w:t>
            </w:r>
            <w:r w:rsidRPr="0051751D">
              <w:t xml:space="preserve"> consumers’ input and participation are acknowledged and embedded into HTA processes </w:t>
            </w:r>
            <w:r w:rsidR="00866F0A">
              <w:br/>
            </w:r>
            <w:proofErr w:type="gramStart"/>
            <w:r w:rsidRPr="0051751D">
              <w:t>i.e.</w:t>
            </w:r>
            <w:proofErr w:type="gramEnd"/>
            <w:r w:rsidRPr="0051751D">
              <w:t xml:space="preserve"> via documentation of what/when/how consumers are included.</w:t>
            </w:r>
          </w:p>
        </w:tc>
      </w:tr>
      <w:tr w:rsidR="008867A8" w:rsidRPr="0051751D" w14:paraId="2F635414" w14:textId="77777777" w:rsidTr="0056376D">
        <w:trPr>
          <w:trHeight w:val="71"/>
        </w:trPr>
        <w:tc>
          <w:tcPr>
            <w:tcW w:w="1136" w:type="dxa"/>
            <w:vAlign w:val="center"/>
          </w:tcPr>
          <w:p w14:paraId="4DAEA2CB" w14:textId="77777777" w:rsidR="008867A8" w:rsidRPr="0051751D" w:rsidRDefault="008867A8" w:rsidP="00866F0A">
            <w:pPr>
              <w:spacing w:before="0"/>
            </w:pPr>
            <w:r w:rsidRPr="0051751D">
              <w:rPr>
                <w:rFonts w:eastAsia="Times New Roman"/>
                <w:noProof/>
              </w:rPr>
              <w:drawing>
                <wp:inline distT="0" distB="0" distL="0" distR="0" wp14:anchorId="1BA404B7" wp14:editId="7E55A782">
                  <wp:extent cx="571500" cy="571500"/>
                  <wp:effectExtent l="0" t="0" r="0" b="0"/>
                  <wp:docPr id="21095416" name="Picture 21095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5416" name="Picture 21095416">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tretch>
                            <a:fillRect/>
                          </a:stretch>
                        </pic:blipFill>
                        <pic:spPr bwMode="auto">
                          <a:xfrm>
                            <a:off x="0" y="0"/>
                            <a:ext cx="571500" cy="571500"/>
                          </a:xfrm>
                          <a:prstGeom prst="rect">
                            <a:avLst/>
                          </a:prstGeom>
                          <a:noFill/>
                          <a:ln>
                            <a:noFill/>
                          </a:ln>
                        </pic:spPr>
                      </pic:pic>
                    </a:graphicData>
                  </a:graphic>
                </wp:inline>
              </w:drawing>
            </w:r>
          </w:p>
        </w:tc>
        <w:tc>
          <w:tcPr>
            <w:tcW w:w="7880" w:type="dxa"/>
            <w:vAlign w:val="center"/>
          </w:tcPr>
          <w:p w14:paraId="3FA81CBD" w14:textId="77777777" w:rsidR="008867A8" w:rsidRPr="0051751D" w:rsidRDefault="009C7023" w:rsidP="00866F0A">
            <w:pPr>
              <w:spacing w:before="120" w:after="120"/>
            </w:pPr>
            <w:r w:rsidRPr="0051751D">
              <w:rPr>
                <w:rStyle w:val="Strong"/>
                <w:rFonts w:eastAsiaTheme="minorEastAsia"/>
              </w:rPr>
              <w:t>Actively participating:</w:t>
            </w:r>
            <w:r w:rsidRPr="0051751D">
              <w:t xml:space="preserve"> with the above three elements, consumers are better equipped to actively participate in the processes, being informed and engaged, supported and knowledgeable.</w:t>
            </w:r>
          </w:p>
        </w:tc>
      </w:tr>
      <w:tr w:rsidR="008867A8" w14:paraId="0F2B7A24" w14:textId="77777777" w:rsidTr="0056376D">
        <w:trPr>
          <w:trHeight w:val="120"/>
        </w:trPr>
        <w:tc>
          <w:tcPr>
            <w:tcW w:w="1136" w:type="dxa"/>
            <w:vAlign w:val="center"/>
          </w:tcPr>
          <w:p w14:paraId="109D5FCE" w14:textId="77777777" w:rsidR="008867A8" w:rsidRPr="0051751D" w:rsidRDefault="008867A8" w:rsidP="00866F0A">
            <w:pPr>
              <w:spacing w:before="0"/>
            </w:pPr>
            <w:r w:rsidRPr="0051751D">
              <w:rPr>
                <w:rFonts w:eastAsia="Times New Roman"/>
                <w:noProof/>
              </w:rPr>
              <w:drawing>
                <wp:inline distT="0" distB="0" distL="0" distR="0" wp14:anchorId="37082DEC" wp14:editId="4FD68EC6">
                  <wp:extent cx="570865" cy="723265"/>
                  <wp:effectExtent l="0" t="0" r="635" b="0"/>
                  <wp:docPr id="2049385290" name="Picture 20493852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85290" name="Picture 2049385290">
                            <a:extLst>
                              <a:ext uri="{C183D7F6-B498-43B3-948B-1728B52AA6E4}">
                                <adec:decorative xmlns:adec="http://schemas.microsoft.com/office/drawing/2017/decorative" val="1"/>
                              </a:ext>
                            </a:extLst>
                          </pic:cNvPr>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570865" cy="723265"/>
                          </a:xfrm>
                          <a:prstGeom prst="rect">
                            <a:avLst/>
                          </a:prstGeom>
                          <a:noFill/>
                          <a:ln>
                            <a:noFill/>
                          </a:ln>
                        </pic:spPr>
                      </pic:pic>
                    </a:graphicData>
                  </a:graphic>
                </wp:inline>
              </w:drawing>
            </w:r>
          </w:p>
        </w:tc>
        <w:tc>
          <w:tcPr>
            <w:tcW w:w="7880" w:type="dxa"/>
            <w:vAlign w:val="center"/>
          </w:tcPr>
          <w:p w14:paraId="007121D4" w14:textId="77777777" w:rsidR="008867A8" w:rsidRPr="009C7023" w:rsidRDefault="009C7023" w:rsidP="00866F0A">
            <w:pPr>
              <w:spacing w:before="120" w:after="120"/>
            </w:pPr>
            <w:r w:rsidRPr="0051751D">
              <w:rPr>
                <w:rStyle w:val="Strong"/>
                <w:rFonts w:eastAsiaTheme="minorEastAsia"/>
              </w:rPr>
              <w:t>Equal partners:</w:t>
            </w:r>
            <w:r w:rsidRPr="0051751D">
              <w:t xml:space="preserve"> over time, the embedding of consumers in HTA processes and their active participation evolves into equal partners with other stakeholders. It is more than consultation or engagement, consumers are as much a part of the process as, for example, industry.</w:t>
            </w:r>
          </w:p>
        </w:tc>
      </w:tr>
    </w:tbl>
    <w:p w14:paraId="11F96C6E" w14:textId="77777777" w:rsidR="0051751D" w:rsidRDefault="0051751D">
      <w:pPr>
        <w:spacing w:before="0" w:line="240" w:lineRule="auto"/>
        <w:rPr>
          <w:rFonts w:eastAsia="Times New Roman"/>
          <w:b/>
          <w:bCs/>
          <w:kern w:val="36"/>
          <w:sz w:val="48"/>
          <w:szCs w:val="48"/>
        </w:rPr>
      </w:pPr>
      <w:r>
        <w:br w:type="page"/>
      </w:r>
    </w:p>
    <w:p w14:paraId="28C18387" w14:textId="77777777" w:rsidR="00767074" w:rsidRPr="006266F8" w:rsidRDefault="00514FB0" w:rsidP="008C6534">
      <w:pPr>
        <w:pStyle w:val="Heading1"/>
        <w:rPr>
          <w:color w:val="000000" w:themeColor="text1"/>
        </w:rPr>
      </w:pPr>
      <w:bookmarkStart w:id="6" w:name="_Toc142318734"/>
      <w:r w:rsidRPr="006266F8">
        <w:rPr>
          <w:color w:val="000000" w:themeColor="text1"/>
        </w:rPr>
        <w:lastRenderedPageBreak/>
        <w:t>What you told us</w:t>
      </w:r>
      <w:bookmarkEnd w:id="6"/>
    </w:p>
    <w:p w14:paraId="22DF9FC8" w14:textId="77777777" w:rsidR="00767074" w:rsidRPr="008C6534" w:rsidRDefault="00514FB0" w:rsidP="005605C7">
      <w:r w:rsidRPr="008C6534">
        <w:t xml:space="preserve">The survey results indicated that people appreciated the various current opportunities to contribute and noted that peoples’ lived </w:t>
      </w:r>
      <w:r w:rsidRPr="008C6534">
        <w:t>experiences were informing decision making in HTA processes.</w:t>
      </w:r>
    </w:p>
    <w:p w14:paraId="780193A8" w14:textId="77777777" w:rsidR="00767074" w:rsidRPr="008C6534" w:rsidRDefault="00514FB0" w:rsidP="005605C7">
      <w:r w:rsidRPr="008C6534">
        <w:t xml:space="preserve">Many respondents highlighted the positive work and support from the CEEU in improving opportunities and guidance for consumer input. The commitment of HTA committees’ Chairs and Deputy Chairs to </w:t>
      </w:r>
      <w:r w:rsidRPr="008C6534">
        <w:t>seek out and allow time for consumer input in meetings was also noted as a positive feature, particularly within the current system around medicine listing.</w:t>
      </w:r>
    </w:p>
    <w:p w14:paraId="6F8A8DF9" w14:textId="77777777" w:rsidR="00832F7A" w:rsidRDefault="00514FB0" w:rsidP="005605C7">
      <w:r w:rsidRPr="008C6534">
        <w:t>There was a consistent message that for consumer input to be effective in informing HTA, and enabli</w:t>
      </w:r>
      <w:r w:rsidRPr="008C6534">
        <w:t xml:space="preserve">ng faster access, involvement must start at the beginning of the process as part of clinical research and regulatory assessment. This must include engagement between government, sponsors, and consumers to build trust and facilitate transparency. </w:t>
      </w:r>
      <w:r w:rsidRPr="008C6534">
        <w:rPr>
          <w:rStyle w:val="Strong"/>
          <w:rFonts w:eastAsiaTheme="minorEastAsia"/>
        </w:rPr>
        <w:t>Figure 4</w:t>
      </w:r>
      <w:r w:rsidRPr="008C6534">
        <w:t xml:space="preserve"> p</w:t>
      </w:r>
      <w:r w:rsidRPr="008C6534">
        <w:t>resents how the elements of the themes identified in the consultation findings may inform and enable consumer input throughout the extended HTA process.</w:t>
      </w:r>
    </w:p>
    <w:p w14:paraId="31758E4E" w14:textId="77777777" w:rsidR="008B49F6" w:rsidRDefault="008B49F6" w:rsidP="005605C7"/>
    <w:p w14:paraId="05E12221" w14:textId="77777777" w:rsidR="008B49F6" w:rsidRPr="005605C7" w:rsidRDefault="008B49F6" w:rsidP="008B49F6">
      <w:pPr>
        <w:pStyle w:val="Heading4"/>
        <w:rPr>
          <w:rFonts w:eastAsia="Times New Roman"/>
        </w:rPr>
      </w:pPr>
      <w:r w:rsidRPr="008C6534">
        <w:rPr>
          <w:rFonts w:eastAsia="Times New Roman"/>
        </w:rPr>
        <w:t>Figure 4: Consumer involvement in HTA processes – suggested future opportunities.</w:t>
      </w:r>
      <w:r w:rsidRPr="005605C7">
        <w:rPr>
          <w:rFonts w:eastAsia="Times New Roman"/>
        </w:rPr>
        <w:t xml:space="preserve"> </w:t>
      </w:r>
    </w:p>
    <w:p w14:paraId="28E6ECA9" w14:textId="77777777" w:rsidR="008B49F6" w:rsidRPr="008C6534" w:rsidRDefault="00247831" w:rsidP="008B49F6">
      <w:pPr>
        <w:jc w:val="center"/>
        <w:rPr>
          <w:rFonts w:eastAsia="Times New Roman"/>
        </w:rPr>
      </w:pPr>
      <w:r>
        <w:rPr>
          <w:rFonts w:eastAsia="Times New Roman"/>
          <w:noProof/>
        </w:rPr>
        <w:drawing>
          <wp:inline distT="0" distB="0" distL="0" distR="0" wp14:anchorId="75302C2D" wp14:editId="541BA9EA">
            <wp:extent cx="5731510" cy="2834640"/>
            <wp:effectExtent l="0" t="0" r="0" b="0"/>
            <wp:docPr id="477694198" name="Picture 1" descr="Figure 4 is consumer involvement in HTA processes – suggested future opportunities diagram.&#10;Step 1 – Research&#10;Step 2 – Regulation application, consideration and advice.&#10;Step 3 – Subsidisation application&#10;Step 4 – Subsidisation consideration&#10;Step 5 – Subsidisation advice&#10;Step 6 – Items recommended for PBS, Medicare or items not recommended needs to reapply.&#10;Step 7 – Post market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694198" name="Picture 1" descr="Figure 4 is consumer involvement in HTA processes – suggested future opportunities diagram.&#10;Step 1 – Research&#10;Step 2 – Regulation application, consideration and advice.&#10;Step 3 – Subsidisation application&#10;Step 4 – Subsidisation consideration&#10;Step 5 – Subsidisation advice&#10;Step 6 – Items recommended for PBS, Medicare or items not recommended needs to reapply.&#10;Step 7 – Post market review."/>
                    <pic:cNvPicPr/>
                  </pic:nvPicPr>
                  <pic:blipFill>
                    <a:blip r:embed="rId31">
                      <a:extLst>
                        <a:ext uri="{28A0092B-C50C-407E-A947-70E740481C1C}">
                          <a14:useLocalDpi xmlns:a14="http://schemas.microsoft.com/office/drawing/2010/main" val="0"/>
                        </a:ext>
                      </a:extLst>
                    </a:blip>
                    <a:stretch>
                      <a:fillRect/>
                    </a:stretch>
                  </pic:blipFill>
                  <pic:spPr>
                    <a:xfrm>
                      <a:off x="0" y="0"/>
                      <a:ext cx="5731510" cy="2834640"/>
                    </a:xfrm>
                    <a:prstGeom prst="rect">
                      <a:avLst/>
                    </a:prstGeom>
                  </pic:spPr>
                </pic:pic>
              </a:graphicData>
            </a:graphic>
          </wp:inline>
        </w:drawing>
      </w:r>
    </w:p>
    <w:p w14:paraId="3E11CA5D" w14:textId="77777777" w:rsidR="008B49F6" w:rsidRDefault="008B49F6" w:rsidP="008B49F6">
      <w:pPr>
        <w:pStyle w:val="NormalWeb"/>
        <w:rPr>
          <w:rStyle w:val="Emphasis"/>
          <w:sz w:val="22"/>
          <w:szCs w:val="22"/>
        </w:rPr>
      </w:pPr>
      <w:r w:rsidRPr="006408DC">
        <w:rPr>
          <w:rStyle w:val="Emphasis"/>
          <w:sz w:val="22"/>
          <w:szCs w:val="22"/>
        </w:rPr>
        <w:t>Simplified overview of HTA processes</w:t>
      </w:r>
    </w:p>
    <w:p w14:paraId="4B8D29C0" w14:textId="77777777" w:rsidR="00767074" w:rsidRPr="008B49F6" w:rsidRDefault="00514FB0" w:rsidP="008B49F6">
      <w:pPr>
        <w:pStyle w:val="NormalWeb"/>
        <w:rPr>
          <w:sz w:val="22"/>
          <w:szCs w:val="22"/>
        </w:rPr>
      </w:pPr>
      <w:r w:rsidRPr="008C6534">
        <w:t>Further engagement is needed with an emphasis on greater diversity of consumers and the wider community. Increased international collaborations are also needed particularly for conditions with small patient populations.</w:t>
      </w:r>
    </w:p>
    <w:p w14:paraId="01878E09" w14:textId="77777777" w:rsidR="008B49F6" w:rsidRDefault="008B49F6">
      <w:pPr>
        <w:spacing w:before="0" w:line="240" w:lineRule="auto"/>
      </w:pPr>
      <w:r>
        <w:br w:type="page"/>
      </w:r>
    </w:p>
    <w:p w14:paraId="4860963B" w14:textId="77777777" w:rsidR="00767074" w:rsidRPr="008C6534" w:rsidRDefault="00514FB0" w:rsidP="005605C7">
      <w:r w:rsidRPr="008C6534">
        <w:lastRenderedPageBreak/>
        <w:t xml:space="preserve">Participants across all stakeholder groups also spoke of challenges in the current system. This included the challenges in changing established processes to ensure that participation and partnerships between consumers, consumer </w:t>
      </w:r>
      <w:proofErr w:type="spellStart"/>
      <w:r w:rsidRPr="008C6534">
        <w:t>organisations</w:t>
      </w:r>
      <w:proofErr w:type="spellEnd"/>
      <w:r w:rsidRPr="008C6534">
        <w:t xml:space="preserve"> and other s</w:t>
      </w:r>
      <w:r w:rsidRPr="008C6534">
        <w:t xml:space="preserve">takeholders achieve HTA processes that are truly co-designed, and implementable. The compliance framework for industry and how to address potential conflicts of interest in building stronger, earlier partnership with consumer </w:t>
      </w:r>
      <w:proofErr w:type="spellStart"/>
      <w:r w:rsidRPr="008C6534">
        <w:t>organisations</w:t>
      </w:r>
      <w:proofErr w:type="spellEnd"/>
      <w:r w:rsidRPr="008C6534">
        <w:t xml:space="preserve"> was also noted.</w:t>
      </w:r>
    </w:p>
    <w:p w14:paraId="3C7040A8" w14:textId="77777777" w:rsidR="0036755D" w:rsidRPr="00C3400A" w:rsidRDefault="00514FB0" w:rsidP="00C3400A">
      <w:pPr>
        <w:spacing w:before="120"/>
      </w:pPr>
      <w:r w:rsidRPr="008C6534">
        <w:t xml:space="preserve">When considering such changes, caution is needed to ensure these do not overburden consumers and consumer </w:t>
      </w:r>
      <w:proofErr w:type="spellStart"/>
      <w:r w:rsidRPr="008C6534">
        <w:t>organisations</w:t>
      </w:r>
      <w:proofErr w:type="spellEnd"/>
      <w:r w:rsidRPr="008C6534">
        <w:t>, require unattainable additional resources, or extend the time to access new health technologies. Processes to increase consumer partici</w:t>
      </w:r>
      <w:r w:rsidRPr="008C6534">
        <w:t>pation will need to be implemented with outcome measures that are important to consumers. Therefore, consumers must be involved in the design of outcome measures and evaluation process.</w:t>
      </w:r>
      <w:r w:rsidR="0036755D">
        <w:rPr>
          <w:rFonts w:eastAsia="Times New Roman"/>
        </w:rPr>
        <w:br w:type="page"/>
      </w:r>
    </w:p>
    <w:p w14:paraId="396D4F90" w14:textId="77777777" w:rsidR="00767074" w:rsidRPr="00C7454F" w:rsidRDefault="00514FB0" w:rsidP="008C6534">
      <w:pPr>
        <w:pStyle w:val="Heading1"/>
        <w:rPr>
          <w:color w:val="50A2CB"/>
        </w:rPr>
      </w:pPr>
      <w:bookmarkStart w:id="7" w:name="_Toc142318735"/>
      <w:r w:rsidRPr="006266F8">
        <w:rPr>
          <w:color w:val="000000" w:themeColor="text1"/>
        </w:rPr>
        <w:lastRenderedPageBreak/>
        <w:t>Consumers are informed and engaged</w:t>
      </w:r>
      <w:bookmarkEnd w:id="7"/>
      <w:r w:rsidRPr="006266F8">
        <w:rPr>
          <w:color w:val="000000" w:themeColor="text1"/>
        </w:rPr>
        <w:t xml:space="preserve"> </w:t>
      </w:r>
    </w:p>
    <w:p w14:paraId="31921BAF" w14:textId="77777777" w:rsidR="00767074" w:rsidRPr="008C6534" w:rsidRDefault="00514FB0" w:rsidP="00522E6E">
      <w:r w:rsidRPr="008C6534">
        <w:t xml:space="preserve">Communication is highlighted in this theme, with consumers and consumer </w:t>
      </w:r>
      <w:proofErr w:type="spellStart"/>
      <w:r w:rsidRPr="008C6534">
        <w:t>organisations</w:t>
      </w:r>
      <w:proofErr w:type="spellEnd"/>
      <w:r w:rsidRPr="008C6534">
        <w:t xml:space="preserve"> needing more openness and transparency from other stakeholders. This applies from early in the process (prior to submission) to post-committee meetings (feedback loop) as</w:t>
      </w:r>
      <w:r w:rsidRPr="008C6534">
        <w:t xml:space="preserve"> well as once a technology has been implemented. </w:t>
      </w:r>
    </w:p>
    <w:p w14:paraId="4D3CD048" w14:textId="77777777" w:rsidR="00767074" w:rsidRPr="008C6534" w:rsidRDefault="00514FB0" w:rsidP="00522E6E">
      <w:r w:rsidRPr="008C6534">
        <w:t>Raising awareness of the HTA process is needed across diverse patient populations and the broader community. Plain language resources will provide more accessible information for consumer engagement.</w:t>
      </w:r>
    </w:p>
    <w:p w14:paraId="310F2D7A" w14:textId="77777777" w:rsidR="00767074" w:rsidRPr="008C6534" w:rsidRDefault="00514FB0" w:rsidP="00522E6E">
      <w:r w:rsidRPr="008C6534">
        <w:t>It was</w:t>
      </w:r>
      <w:r w:rsidRPr="008C6534">
        <w:t xml:space="preserve"> thought that an optimal outcome for this was that consumers and consumer </w:t>
      </w:r>
      <w:proofErr w:type="spellStart"/>
      <w:r w:rsidRPr="008C6534">
        <w:t>organisations</w:t>
      </w:r>
      <w:proofErr w:type="spellEnd"/>
      <w:r w:rsidRPr="008C6534">
        <w:t xml:space="preserve"> have access to the same information as all stakeholders and committees.</w:t>
      </w:r>
    </w:p>
    <w:p w14:paraId="2E507A90" w14:textId="77777777" w:rsidR="00767074" w:rsidRPr="00522E6E" w:rsidRDefault="00514FB0" w:rsidP="00522E6E">
      <w:pPr>
        <w:pStyle w:val="Heading3"/>
        <w:rPr>
          <w:rStyle w:val="Strong"/>
          <w:rFonts w:eastAsiaTheme="minorEastAsia"/>
          <w:b/>
          <w:bCs/>
        </w:rPr>
      </w:pPr>
      <w:r w:rsidRPr="00522E6E">
        <w:t>Suggestions</w:t>
      </w:r>
    </w:p>
    <w:p w14:paraId="607AA699" w14:textId="77777777" w:rsidR="00767074" w:rsidRPr="008C6534" w:rsidRDefault="00514FB0" w:rsidP="00522E6E">
      <w:r w:rsidRPr="008C6534">
        <w:t xml:space="preserve">The following points </w:t>
      </w:r>
      <w:proofErr w:type="spellStart"/>
      <w:r w:rsidRPr="008C6534">
        <w:t>summarised</w:t>
      </w:r>
      <w:proofErr w:type="spellEnd"/>
      <w:r w:rsidRPr="008C6534">
        <w:t xml:space="preserve"> from responses, provide insight into areas for impro</w:t>
      </w:r>
      <w:r w:rsidRPr="008C6534">
        <w:t>ving communication.</w:t>
      </w:r>
    </w:p>
    <w:p w14:paraId="5C5635F0"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 xml:space="preserve">Raise </w:t>
      </w:r>
      <w:r w:rsidRPr="006408DC">
        <w:rPr>
          <w:rStyle w:val="Strong"/>
          <w:rFonts w:eastAsiaTheme="minorEastAsia"/>
        </w:rPr>
        <w:t>and expand awareness</w:t>
      </w:r>
      <w:r w:rsidRPr="008C6534">
        <w:rPr>
          <w:rFonts w:eastAsia="Times New Roman"/>
        </w:rPr>
        <w:t xml:space="preserve"> of HTA consumer input opportunities; advertise the consultations.</w:t>
      </w:r>
    </w:p>
    <w:p w14:paraId="726029C7"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Broaden engagement</w:t>
      </w:r>
      <w:r w:rsidRPr="008C6534">
        <w:rPr>
          <w:rFonts w:eastAsia="Times New Roman"/>
        </w:rPr>
        <w:t xml:space="preserve"> to facilitate further inclusion of rural and remote consumers, First Nations people, culturally and linguistically diverse (</w:t>
      </w:r>
      <w:r w:rsidRPr="008C6534">
        <w:rPr>
          <w:rFonts w:eastAsia="Times New Roman"/>
        </w:rPr>
        <w:t>CALD) communities, people with disability, LGBTQI+ community, and the general public.</w:t>
      </w:r>
    </w:p>
    <w:p w14:paraId="6E2F9F37"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Consultation schedules and templates</w:t>
      </w:r>
      <w:r w:rsidRPr="008C6534">
        <w:rPr>
          <w:rFonts w:eastAsia="Times New Roman"/>
        </w:rPr>
        <w:t xml:space="preserve"> for consumer </w:t>
      </w:r>
      <w:proofErr w:type="spellStart"/>
      <w:r w:rsidRPr="008C6534">
        <w:rPr>
          <w:rFonts w:eastAsia="Times New Roman"/>
        </w:rPr>
        <w:t>organisations</w:t>
      </w:r>
      <w:proofErr w:type="spellEnd"/>
      <w:r w:rsidRPr="008C6534">
        <w:rPr>
          <w:rFonts w:eastAsia="Times New Roman"/>
        </w:rPr>
        <w:t xml:space="preserve"> to prepare and inform their networks when a relevant application is submitted and open for consultation.</w:t>
      </w:r>
    </w:p>
    <w:p w14:paraId="33FBFEC9"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D</w:t>
      </w:r>
      <w:r w:rsidRPr="008C6534">
        <w:rPr>
          <w:rStyle w:val="Strong"/>
          <w:rFonts w:eastAsiaTheme="minorEastAsia"/>
        </w:rPr>
        <w:t>irect and earlier communication/automatic notification</w:t>
      </w:r>
      <w:r w:rsidRPr="008C6534">
        <w:rPr>
          <w:rFonts w:eastAsia="Times New Roman"/>
        </w:rPr>
        <w:t xml:space="preserve"> to consumers/</w:t>
      </w:r>
      <w:proofErr w:type="spellStart"/>
      <w:r w:rsidRPr="008C6534">
        <w:rPr>
          <w:rFonts w:eastAsia="Times New Roman"/>
        </w:rPr>
        <w:t>organisations</w:t>
      </w:r>
      <w:proofErr w:type="spellEnd"/>
      <w:r w:rsidRPr="008C6534">
        <w:rPr>
          <w:rFonts w:eastAsia="Times New Roman"/>
        </w:rPr>
        <w:t xml:space="preserve"> on potential applications and on publication of HTA committee recommendations to allow for more considered input and identification of gaps in evidence from a ‘real-world’ pe</w:t>
      </w:r>
      <w:r w:rsidRPr="008C6534">
        <w:rPr>
          <w:rFonts w:eastAsia="Times New Roman"/>
        </w:rPr>
        <w:t>rspective.</w:t>
      </w:r>
    </w:p>
    <w:p w14:paraId="656A3DF5"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Feedback loop:</w:t>
      </w:r>
      <w:r w:rsidRPr="008C6534">
        <w:rPr>
          <w:rFonts w:eastAsia="Times New Roman"/>
        </w:rPr>
        <w:t xml:space="preserve"> communication to show how and where consumers have been consulted and HTA committee consideration of this input, to build trust that the consumer ‘voice’ is heard.</w:t>
      </w:r>
    </w:p>
    <w:p w14:paraId="37D7D125"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A plain language summary of the application</w:t>
      </w:r>
      <w:r w:rsidRPr="008C6534">
        <w:rPr>
          <w:rFonts w:eastAsia="Times New Roman"/>
        </w:rPr>
        <w:t xml:space="preserve"> so consumers can comme</w:t>
      </w:r>
      <w:r w:rsidRPr="008C6534">
        <w:rPr>
          <w:rFonts w:eastAsia="Times New Roman"/>
        </w:rPr>
        <w:t>nt before the assessment process.</w:t>
      </w:r>
    </w:p>
    <w:p w14:paraId="6D7F5CEB" w14:textId="77777777" w:rsidR="00767074" w:rsidRPr="008C6534" w:rsidRDefault="00514FB0" w:rsidP="008C6534">
      <w:pPr>
        <w:pStyle w:val="ListParagraph"/>
        <w:numPr>
          <w:ilvl w:val="0"/>
          <w:numId w:val="8"/>
        </w:numPr>
        <w:rPr>
          <w:rFonts w:eastAsia="Times New Roman"/>
        </w:rPr>
      </w:pPr>
      <w:r w:rsidRPr="008C6534">
        <w:rPr>
          <w:rStyle w:val="Strong"/>
          <w:rFonts w:eastAsiaTheme="minorEastAsia"/>
        </w:rPr>
        <w:t>Improved transparency</w:t>
      </w:r>
      <w:r w:rsidRPr="008C6534">
        <w:rPr>
          <w:rFonts w:eastAsia="Times New Roman"/>
        </w:rPr>
        <w:t xml:space="preserve"> of HTA processes and how the evidence is considered by committees.</w:t>
      </w:r>
    </w:p>
    <w:p w14:paraId="4A1C9377" w14:textId="77777777" w:rsidR="0051751D" w:rsidRPr="007D54E9" w:rsidRDefault="00514FB0" w:rsidP="007D54E9">
      <w:pPr>
        <w:pStyle w:val="ListParagraph"/>
        <w:numPr>
          <w:ilvl w:val="0"/>
          <w:numId w:val="8"/>
        </w:numPr>
        <w:rPr>
          <w:rFonts w:eastAsia="Times New Roman"/>
        </w:rPr>
      </w:pPr>
      <w:r w:rsidRPr="008C6534">
        <w:rPr>
          <w:rStyle w:val="Strong"/>
          <w:rFonts w:eastAsiaTheme="minorEastAsia"/>
        </w:rPr>
        <w:t>Plain language</w:t>
      </w:r>
      <w:r w:rsidRPr="008C6534">
        <w:rPr>
          <w:rFonts w:eastAsia="Times New Roman"/>
        </w:rPr>
        <w:t>, consistent terminology, use of infographics/videos when talking about HTA.</w:t>
      </w:r>
      <w:r w:rsidR="004D338A">
        <w:rPr>
          <w:rFonts w:eastAsia="Times New Roman"/>
        </w:rPr>
        <w:br/>
      </w:r>
    </w:p>
    <w:p w14:paraId="45520BE1" w14:textId="77777777" w:rsidR="004D338A" w:rsidRPr="004D338A" w:rsidRDefault="004D338A" w:rsidP="004D338A">
      <w:r>
        <w:rPr>
          <w:noProof/>
        </w:rPr>
        <mc:AlternateContent>
          <mc:Choice Requires="wps">
            <w:drawing>
              <wp:inline distT="0" distB="0" distL="0" distR="0" wp14:anchorId="445261AE" wp14:editId="277A2ABA">
                <wp:extent cx="5689600" cy="736600"/>
                <wp:effectExtent l="0" t="0" r="0" b="0"/>
                <wp:docPr id="1288023606" name="Text Box 6"/>
                <wp:cNvGraphicFramePr/>
                <a:graphic xmlns:a="http://schemas.openxmlformats.org/drawingml/2006/main">
                  <a:graphicData uri="http://schemas.microsoft.com/office/word/2010/wordprocessingShape">
                    <wps:wsp>
                      <wps:cNvSpPr txBox="1"/>
                      <wps:spPr>
                        <a:xfrm>
                          <a:off x="0" y="0"/>
                          <a:ext cx="5689600" cy="736600"/>
                        </a:xfrm>
                        <a:prstGeom prst="rect">
                          <a:avLst/>
                        </a:prstGeom>
                        <a:solidFill>
                          <a:schemeClr val="bg1">
                            <a:lumMod val="95000"/>
                          </a:schemeClr>
                        </a:solidFill>
                        <a:ln w="6350">
                          <a:noFill/>
                        </a:ln>
                      </wps:spPr>
                      <wps:txbx>
                        <w:txbxContent>
                          <w:p w14:paraId="5B640AF2" w14:textId="77777777" w:rsidR="004D338A" w:rsidRDefault="004D338A" w:rsidP="004D338A">
                            <w:pPr>
                              <w:pStyle w:val="Quote"/>
                            </w:pPr>
                            <w:r w:rsidRPr="00522E6E">
                              <w:t>“Consumers don’t understand the jargon and medical speak”.</w:t>
                            </w:r>
                          </w:p>
                          <w:p w14:paraId="2804DB54" w14:textId="77777777" w:rsidR="004D338A" w:rsidRDefault="004D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27" type="#_x0000_t202" style="width:448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" fillcolor="#f2f2f2 [3052]" stroked="f" strokeweight=".5pt">
                <v:textbox>
                  <w:txbxContent>
                    <w:p w:rsidR="004D338A" w:rsidRDefault="004D338A" w:rsidP="004D338A">
                      <w:pPr>
                        <w:pStyle w:val="Quote"/>
                      </w:pPr>
                      <w:r w:rsidRPr="00522E6E">
                        <w:t>“Consumers don’t understand the jargon and medical speak”.</w:t>
                      </w:r>
                    </w:p>
                    <w:p w:rsidR="004D338A" w:rsidRDefault="004D338A"/>
                  </w:txbxContent>
                </v:textbox>
                <w10:anchorlock/>
              </v:shape>
            </w:pict>
          </mc:Fallback>
        </mc:AlternateContent>
      </w:r>
    </w:p>
    <w:p w14:paraId="779E93CC" w14:textId="77777777" w:rsidR="0051751D" w:rsidRDefault="0051751D">
      <w:pPr>
        <w:spacing w:before="0" w:line="240" w:lineRule="auto"/>
        <w:rPr>
          <w:b/>
          <w:bCs/>
          <w:sz w:val="27"/>
          <w:szCs w:val="27"/>
        </w:rPr>
      </w:pPr>
      <w:r>
        <w:br w:type="page"/>
      </w:r>
    </w:p>
    <w:p w14:paraId="1998E9E1" w14:textId="77777777" w:rsidR="00767074" w:rsidRPr="005F6672" w:rsidRDefault="00514FB0" w:rsidP="005F6672">
      <w:pPr>
        <w:pStyle w:val="Heading3"/>
        <w:rPr>
          <w:rFonts w:eastAsia="Times New Roman"/>
        </w:rPr>
      </w:pPr>
      <w:r w:rsidRPr="00522E6E">
        <w:lastRenderedPageBreak/>
        <w:t>Challenges</w:t>
      </w:r>
      <w:r w:rsidRPr="008C6534">
        <w:rPr>
          <w:rFonts w:eastAsia="Times New Roman"/>
        </w:rPr>
        <w:t xml:space="preserve"> </w:t>
      </w:r>
    </w:p>
    <w:p w14:paraId="1A511E74" w14:textId="77777777" w:rsidR="00767074" w:rsidRPr="008C6534" w:rsidRDefault="00514FB0" w:rsidP="00522E6E">
      <w:r w:rsidRPr="008C6534">
        <w:t>Awareness raising and engaging the wider public, through inclusive plain language information, needs consideration of the diverse needs across population groups and the shared responsibility of government, industr</w:t>
      </w:r>
      <w:r w:rsidRPr="008C6534">
        <w:t xml:space="preserve">y and consumer </w:t>
      </w:r>
      <w:proofErr w:type="spellStart"/>
      <w:r w:rsidRPr="008C6534">
        <w:t>organisations</w:t>
      </w:r>
      <w:proofErr w:type="spellEnd"/>
      <w:r w:rsidRPr="008C6534">
        <w:t xml:space="preserve">. </w:t>
      </w:r>
    </w:p>
    <w:p w14:paraId="350A0715" w14:textId="77777777" w:rsidR="00767074" w:rsidRPr="008C6534" w:rsidRDefault="00514FB0" w:rsidP="00522E6E">
      <w:r w:rsidRPr="008C6534">
        <w:t>Capturing consumer diversity from clinical trials through to HTA committee and into post market considerations requires commitment and support from all stakeholder groups.</w:t>
      </w:r>
    </w:p>
    <w:p w14:paraId="5CBE7A48" w14:textId="77777777" w:rsidR="0051751D" w:rsidRDefault="00514FB0" w:rsidP="007D54E9">
      <w:r w:rsidRPr="008C6534">
        <w:t>Supporting early communication from industry to consu</w:t>
      </w:r>
      <w:r w:rsidRPr="008C6534">
        <w:t xml:space="preserve">mer </w:t>
      </w:r>
      <w:proofErr w:type="spellStart"/>
      <w:r w:rsidRPr="008C6534">
        <w:t>organisations</w:t>
      </w:r>
      <w:proofErr w:type="spellEnd"/>
      <w:r w:rsidRPr="008C6534">
        <w:t xml:space="preserve"> on planned applications for HTA will require changing culture and established practices to enable consumers to access and contribute to application development. This may include considerations such as pre-registration restrictions and Med</w:t>
      </w:r>
      <w:r w:rsidRPr="008C6534">
        <w:t xml:space="preserve">icines Australia Code of Conduct documents. </w:t>
      </w:r>
      <w:r w:rsidR="0056376D">
        <w:br/>
      </w:r>
    </w:p>
    <w:p w14:paraId="12660B34" w14:textId="77777777" w:rsidR="004D338A" w:rsidRPr="004D338A" w:rsidRDefault="004D338A" w:rsidP="004D338A">
      <w:r>
        <w:rPr>
          <w:noProof/>
        </w:rPr>
        <mc:AlternateContent>
          <mc:Choice Requires="wps">
            <w:drawing>
              <wp:inline distT="0" distB="0" distL="0" distR="0" wp14:anchorId="14C5E53C" wp14:editId="06F7E31A">
                <wp:extent cx="5689600" cy="736600"/>
                <wp:effectExtent l="0" t="0" r="0" b="0"/>
                <wp:docPr id="975923693" name="Text Box 6"/>
                <wp:cNvGraphicFramePr/>
                <a:graphic xmlns:a="http://schemas.openxmlformats.org/drawingml/2006/main">
                  <a:graphicData uri="http://schemas.microsoft.com/office/word/2010/wordprocessingShape">
                    <wps:wsp>
                      <wps:cNvSpPr txBox="1"/>
                      <wps:spPr>
                        <a:xfrm>
                          <a:off x="0" y="0"/>
                          <a:ext cx="5689600" cy="736600"/>
                        </a:xfrm>
                        <a:prstGeom prst="rect">
                          <a:avLst/>
                        </a:prstGeom>
                        <a:solidFill>
                          <a:schemeClr val="bg1">
                            <a:lumMod val="95000"/>
                          </a:schemeClr>
                        </a:solidFill>
                        <a:ln w="6350">
                          <a:noFill/>
                        </a:ln>
                      </wps:spPr>
                      <wps:txbx>
                        <w:txbxContent>
                          <w:p w14:paraId="1E57D02D" w14:textId="77777777" w:rsidR="004D338A" w:rsidRDefault="004D338A" w:rsidP="004D338A">
                            <w:pPr>
                              <w:pStyle w:val="Quote"/>
                            </w:pPr>
                            <w:r w:rsidRPr="008C6534">
                              <w:t>“Feedback loop so consumers understand the impact their comments may have had.”</w:t>
                            </w:r>
                          </w:p>
                          <w:p w14:paraId="29DA0CFD" w14:textId="77777777" w:rsidR="004D338A" w:rsidRDefault="004D338A" w:rsidP="004D33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74DBE0" id="_x0000_s1028" type="#_x0000_t202" style="width:448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" fillcolor="#f2f2f2 [3052]" stroked="f" strokeweight=".5pt">
                <v:textbox>
                  <w:txbxContent>
                    <w:p w:rsidR="004D338A" w:rsidRDefault="004D338A" w:rsidP="004D338A">
                      <w:pPr>
                        <w:pStyle w:val="Quote"/>
                      </w:pPr>
                      <w:r w:rsidRPr="008C6534">
                        <w:t>“Feedback loop so consumers understand the impact their comments may have had.”</w:t>
                      </w:r>
                    </w:p>
                    <w:p w:rsidR="004D338A" w:rsidRDefault="004D338A" w:rsidP="004D338A"/>
                  </w:txbxContent>
                </v:textbox>
                <w10:anchorlock/>
              </v:shape>
            </w:pict>
          </mc:Fallback>
        </mc:AlternateContent>
      </w:r>
    </w:p>
    <w:p w14:paraId="6FC884B5" w14:textId="77777777" w:rsidR="00522E6E" w:rsidRDefault="00522E6E">
      <w:pPr>
        <w:spacing w:before="0" w:line="240" w:lineRule="auto"/>
        <w:rPr>
          <w:rFonts w:eastAsia="Times New Roman"/>
          <w:b/>
          <w:bCs/>
          <w:kern w:val="36"/>
          <w:sz w:val="48"/>
          <w:szCs w:val="48"/>
        </w:rPr>
      </w:pPr>
      <w:r>
        <w:br w:type="page"/>
      </w:r>
    </w:p>
    <w:p w14:paraId="7A980425" w14:textId="77777777" w:rsidR="00767074" w:rsidRPr="006266F8" w:rsidRDefault="00514FB0" w:rsidP="00522E6E">
      <w:pPr>
        <w:pStyle w:val="Heading1"/>
        <w:rPr>
          <w:color w:val="000000" w:themeColor="text1"/>
        </w:rPr>
      </w:pPr>
      <w:bookmarkStart w:id="8" w:name="_Toc142318736"/>
      <w:r w:rsidRPr="006266F8">
        <w:rPr>
          <w:color w:val="000000" w:themeColor="text1"/>
        </w:rPr>
        <w:lastRenderedPageBreak/>
        <w:t>Consumers are supported and knowledgeable</w:t>
      </w:r>
      <w:bookmarkEnd w:id="8"/>
      <w:r w:rsidRPr="006266F8">
        <w:rPr>
          <w:color w:val="000000" w:themeColor="text1"/>
        </w:rPr>
        <w:t xml:space="preserve"> </w:t>
      </w:r>
    </w:p>
    <w:p w14:paraId="34E3EAF7" w14:textId="77777777" w:rsidR="00767074" w:rsidRPr="008C6534" w:rsidRDefault="00514FB0" w:rsidP="00522E6E">
      <w:r w:rsidRPr="008C6534">
        <w:t xml:space="preserve">This theme highlights the needs and requirements for consumers and consumer </w:t>
      </w:r>
      <w:proofErr w:type="spellStart"/>
      <w:r w:rsidRPr="008C6534">
        <w:t>organisations</w:t>
      </w:r>
      <w:proofErr w:type="spellEnd"/>
      <w:r w:rsidRPr="008C6534">
        <w:t xml:space="preserve"> to build their confidence and capacity to contribute effectively. Consumer </w:t>
      </w:r>
      <w:proofErr w:type="spellStart"/>
      <w:r w:rsidRPr="008C6534">
        <w:t>organisations</w:t>
      </w:r>
      <w:proofErr w:type="spellEnd"/>
      <w:r w:rsidRPr="008C6534">
        <w:t xml:space="preserve"> spoke of needing guidance and support to collect consumer data that are ‘usef</w:t>
      </w:r>
      <w:r w:rsidRPr="008C6534">
        <w:t xml:space="preserve">ul and used’ in HTA decision making. </w:t>
      </w:r>
    </w:p>
    <w:p w14:paraId="26B9D262" w14:textId="77777777" w:rsidR="00767074" w:rsidRPr="008C6534" w:rsidRDefault="00514FB0" w:rsidP="00522E6E">
      <w:r w:rsidRPr="008C6534">
        <w:t>There is also a need to understand that many consumers providing input are unwell or are supporting someone who is unwell. Providing lived experience commentary can add to emotional and physical burden, as can the unce</w:t>
      </w:r>
      <w:r w:rsidRPr="008C6534">
        <w:t>rtainty of an outcome.</w:t>
      </w:r>
    </w:p>
    <w:p w14:paraId="41C8CC79" w14:textId="77777777" w:rsidR="00767074" w:rsidRPr="008C6534" w:rsidRDefault="00514FB0" w:rsidP="00095119">
      <w:pPr>
        <w:pStyle w:val="Heading3"/>
        <w:rPr>
          <w:rFonts w:eastAsia="Times New Roman"/>
        </w:rPr>
      </w:pPr>
      <w:r w:rsidRPr="00095119">
        <w:t>Suggestions</w:t>
      </w:r>
    </w:p>
    <w:p w14:paraId="4F5913C0" w14:textId="77777777" w:rsidR="00767074" w:rsidRPr="008C6534" w:rsidRDefault="00514FB0" w:rsidP="00095119">
      <w:r w:rsidRPr="008C6534">
        <w:t xml:space="preserve">The following </w:t>
      </w:r>
      <w:proofErr w:type="spellStart"/>
      <w:r w:rsidRPr="008C6534">
        <w:t>summarised</w:t>
      </w:r>
      <w:proofErr w:type="spellEnd"/>
      <w:r w:rsidRPr="008C6534">
        <w:t xml:space="preserve"> from responses provide insight into areas to improve support and knowledge.</w:t>
      </w:r>
    </w:p>
    <w:p w14:paraId="275785C4" w14:textId="77777777" w:rsidR="00767074" w:rsidRPr="008C6534" w:rsidRDefault="00514FB0" w:rsidP="008C6534">
      <w:pPr>
        <w:pStyle w:val="ListParagraph"/>
        <w:numPr>
          <w:ilvl w:val="0"/>
          <w:numId w:val="9"/>
        </w:numPr>
        <w:rPr>
          <w:rFonts w:eastAsia="Times New Roman"/>
        </w:rPr>
      </w:pPr>
      <w:r w:rsidRPr="008C6534">
        <w:rPr>
          <w:rStyle w:val="Strong"/>
          <w:rFonts w:eastAsiaTheme="minorEastAsia"/>
        </w:rPr>
        <w:t>Education and training on HTA processes:</w:t>
      </w:r>
      <w:r w:rsidRPr="008C6534">
        <w:rPr>
          <w:rFonts w:eastAsia="Times New Roman"/>
        </w:rPr>
        <w:t xml:space="preserve"> consistent, broad training needs to be widely available to prepare people, and build capacity and confidence to participate in the process.</w:t>
      </w:r>
    </w:p>
    <w:p w14:paraId="63B381F3" w14:textId="77777777" w:rsidR="00767074" w:rsidRPr="008C6534" w:rsidRDefault="00514FB0" w:rsidP="008C6534">
      <w:pPr>
        <w:pStyle w:val="ListParagraph"/>
        <w:numPr>
          <w:ilvl w:val="0"/>
          <w:numId w:val="9"/>
        </w:numPr>
        <w:rPr>
          <w:rFonts w:eastAsia="Times New Roman"/>
        </w:rPr>
      </w:pPr>
      <w:r w:rsidRPr="008C6534">
        <w:rPr>
          <w:rStyle w:val="Strong"/>
          <w:rFonts w:eastAsiaTheme="minorEastAsia"/>
        </w:rPr>
        <w:t>Guidance on preparing relevant input</w:t>
      </w:r>
      <w:r w:rsidRPr="008C6534">
        <w:rPr>
          <w:rFonts w:eastAsia="Times New Roman"/>
        </w:rPr>
        <w:t xml:space="preserve"> including lived experience, real world data, quality of life, the value of kno</w:t>
      </w:r>
      <w:r w:rsidRPr="008C6534">
        <w:rPr>
          <w:rFonts w:eastAsia="Times New Roman"/>
        </w:rPr>
        <w:t xml:space="preserve">wing and patient reported outcomes (PROs). </w:t>
      </w:r>
    </w:p>
    <w:p w14:paraId="788D27A2" w14:textId="77777777" w:rsidR="00767074" w:rsidRPr="008C6534" w:rsidRDefault="00514FB0" w:rsidP="008C6534">
      <w:pPr>
        <w:pStyle w:val="ListParagraph"/>
        <w:numPr>
          <w:ilvl w:val="0"/>
          <w:numId w:val="9"/>
        </w:numPr>
        <w:rPr>
          <w:rFonts w:eastAsia="Times New Roman"/>
        </w:rPr>
      </w:pPr>
      <w:r w:rsidRPr="008C6534">
        <w:rPr>
          <w:rStyle w:val="Strong"/>
          <w:rFonts w:eastAsiaTheme="minorEastAsia"/>
        </w:rPr>
        <w:t>Guidance on developing submissions</w:t>
      </w:r>
      <w:r w:rsidRPr="008C6534">
        <w:rPr>
          <w:rFonts w:eastAsia="Times New Roman"/>
        </w:rPr>
        <w:t xml:space="preserve"> for consumers/consumer </w:t>
      </w:r>
      <w:proofErr w:type="spellStart"/>
      <w:r w:rsidRPr="008C6534">
        <w:rPr>
          <w:rFonts w:eastAsia="Times New Roman"/>
        </w:rPr>
        <w:t>organisations</w:t>
      </w:r>
      <w:proofErr w:type="spellEnd"/>
      <w:r w:rsidRPr="008C6534">
        <w:rPr>
          <w:rFonts w:eastAsia="Times New Roman"/>
        </w:rPr>
        <w:t>, outlining the aspects of consumer experience that may add value to assessment processes.</w:t>
      </w:r>
    </w:p>
    <w:p w14:paraId="5A366251" w14:textId="77777777" w:rsidR="00767074" w:rsidRPr="008C6534" w:rsidRDefault="00514FB0" w:rsidP="008C6534">
      <w:pPr>
        <w:pStyle w:val="ListParagraph"/>
        <w:numPr>
          <w:ilvl w:val="0"/>
          <w:numId w:val="9"/>
        </w:numPr>
        <w:rPr>
          <w:rFonts w:eastAsia="Times New Roman"/>
        </w:rPr>
      </w:pPr>
      <w:r w:rsidRPr="008C6534">
        <w:rPr>
          <w:rStyle w:val="Strong"/>
          <w:rFonts w:eastAsiaTheme="minorEastAsia"/>
        </w:rPr>
        <w:t xml:space="preserve">Resources and funding for consumer </w:t>
      </w:r>
      <w:proofErr w:type="spellStart"/>
      <w:r w:rsidRPr="008C6534">
        <w:rPr>
          <w:rStyle w:val="Strong"/>
          <w:rFonts w:eastAsiaTheme="minorEastAsia"/>
        </w:rPr>
        <w:t>organisations</w:t>
      </w:r>
      <w:proofErr w:type="spellEnd"/>
      <w:r w:rsidRPr="008C6534">
        <w:rPr>
          <w:rStyle w:val="Strong"/>
          <w:rFonts w:eastAsiaTheme="minorEastAsia"/>
        </w:rPr>
        <w:t xml:space="preserve"> t</w:t>
      </w:r>
      <w:r w:rsidRPr="008C6534">
        <w:rPr>
          <w:rStyle w:val="Strong"/>
          <w:rFonts w:eastAsiaTheme="minorEastAsia"/>
        </w:rPr>
        <w:t>o collect or coordinate data</w:t>
      </w:r>
      <w:r w:rsidRPr="008C6534">
        <w:rPr>
          <w:rFonts w:eastAsia="Times New Roman"/>
        </w:rPr>
        <w:t xml:space="preserve"> on lived experience and PROs, provided with support from other stakeholder groups.</w:t>
      </w:r>
    </w:p>
    <w:p w14:paraId="7366AFFD" w14:textId="77777777" w:rsidR="00767074" w:rsidRPr="008C6534" w:rsidRDefault="00514FB0" w:rsidP="008C6534">
      <w:pPr>
        <w:pStyle w:val="ListParagraph"/>
        <w:numPr>
          <w:ilvl w:val="0"/>
          <w:numId w:val="9"/>
        </w:numPr>
        <w:rPr>
          <w:rFonts w:eastAsia="Times New Roman"/>
        </w:rPr>
      </w:pPr>
      <w:r w:rsidRPr="008C6534">
        <w:rPr>
          <w:rStyle w:val="Strong"/>
          <w:rFonts w:eastAsiaTheme="minorEastAsia"/>
        </w:rPr>
        <w:t>Broaden capacity to include diversity</w:t>
      </w:r>
      <w:r w:rsidRPr="008C6534">
        <w:rPr>
          <w:rFonts w:eastAsia="Times New Roman"/>
        </w:rPr>
        <w:t xml:space="preserve"> including rural and remote consumers, First Nations people, CALD communities, people with disability, LGBT</w:t>
      </w:r>
      <w:r w:rsidRPr="008C6534">
        <w:rPr>
          <w:rFonts w:eastAsia="Times New Roman"/>
        </w:rPr>
        <w:t>QI+ community, and the general public.</w:t>
      </w:r>
    </w:p>
    <w:p w14:paraId="457A72B3" w14:textId="77777777" w:rsidR="00767074" w:rsidRPr="008C6534" w:rsidRDefault="00514FB0" w:rsidP="008C6534">
      <w:pPr>
        <w:pStyle w:val="ListParagraph"/>
        <w:numPr>
          <w:ilvl w:val="0"/>
          <w:numId w:val="9"/>
        </w:numPr>
        <w:rPr>
          <w:rFonts w:eastAsia="Times New Roman"/>
        </w:rPr>
      </w:pPr>
      <w:r w:rsidRPr="008C6534">
        <w:rPr>
          <w:rStyle w:val="Strong"/>
          <w:rFonts w:eastAsiaTheme="minorEastAsia"/>
        </w:rPr>
        <w:t>Build resilience</w:t>
      </w:r>
      <w:r w:rsidRPr="008C6534">
        <w:rPr>
          <w:rFonts w:eastAsia="Times New Roman"/>
        </w:rPr>
        <w:t xml:space="preserve"> to support consumers sharing their lived experience.</w:t>
      </w:r>
    </w:p>
    <w:p w14:paraId="058F0530" w14:textId="77777777" w:rsidR="0051751D" w:rsidRPr="00394EFE" w:rsidRDefault="00514FB0" w:rsidP="00394EFE">
      <w:pPr>
        <w:pStyle w:val="ListParagraph"/>
        <w:numPr>
          <w:ilvl w:val="0"/>
          <w:numId w:val="9"/>
        </w:numPr>
        <w:rPr>
          <w:rFonts w:eastAsia="Times New Roman"/>
        </w:rPr>
      </w:pPr>
      <w:r w:rsidRPr="008C6534">
        <w:rPr>
          <w:rStyle w:val="Strong"/>
          <w:rFonts w:eastAsiaTheme="minorEastAsia"/>
        </w:rPr>
        <w:t>Online portal</w:t>
      </w:r>
      <w:r w:rsidRPr="008C6534">
        <w:rPr>
          <w:rFonts w:eastAsia="Times New Roman"/>
        </w:rPr>
        <w:t xml:space="preserve"> as a resource to include support, process navigation, training, resources, templates, videos and case studies, supported by a ‘HTA Na</w:t>
      </w:r>
      <w:r w:rsidRPr="008C6534">
        <w:rPr>
          <w:rFonts w:eastAsia="Times New Roman"/>
        </w:rPr>
        <w:t>vigator’ role for further guidance and support.</w:t>
      </w:r>
      <w:r w:rsidR="00394EFE">
        <w:rPr>
          <w:rFonts w:eastAsia="Times New Roman"/>
        </w:rPr>
        <w:br/>
      </w:r>
    </w:p>
    <w:p w14:paraId="5AC6B2D7" w14:textId="77777777" w:rsidR="00394EFE" w:rsidRPr="00394EFE" w:rsidRDefault="00394EFE" w:rsidP="00394EFE">
      <w:r>
        <w:rPr>
          <w:noProof/>
        </w:rPr>
        <mc:AlternateContent>
          <mc:Choice Requires="wps">
            <w:drawing>
              <wp:inline distT="0" distB="0" distL="0" distR="0" wp14:anchorId="6ED007AD" wp14:editId="3DC370A2">
                <wp:extent cx="5689600" cy="736600"/>
                <wp:effectExtent l="0" t="0" r="0" b="0"/>
                <wp:docPr id="758119151" name="Text Box 6"/>
                <wp:cNvGraphicFramePr/>
                <a:graphic xmlns:a="http://schemas.openxmlformats.org/drawingml/2006/main">
                  <a:graphicData uri="http://schemas.microsoft.com/office/word/2010/wordprocessingShape">
                    <wps:wsp>
                      <wps:cNvSpPr txBox="1"/>
                      <wps:spPr>
                        <a:xfrm>
                          <a:off x="0" y="0"/>
                          <a:ext cx="5689600" cy="736600"/>
                        </a:xfrm>
                        <a:prstGeom prst="rect">
                          <a:avLst/>
                        </a:prstGeom>
                        <a:solidFill>
                          <a:schemeClr val="bg1">
                            <a:lumMod val="95000"/>
                          </a:schemeClr>
                        </a:solidFill>
                        <a:ln w="6350">
                          <a:noFill/>
                        </a:ln>
                      </wps:spPr>
                      <wps:txbx>
                        <w:txbxContent>
                          <w:p w14:paraId="4FC16440" w14:textId="77777777" w:rsidR="00394EFE" w:rsidRDefault="00394EFE" w:rsidP="00394EFE">
                            <w:pPr>
                              <w:pStyle w:val="Quote"/>
                            </w:pPr>
                            <w:r w:rsidRPr="008C6534">
                              <w:t>“Consumer engagement is talked about, like co-design, but it’s often a tick box”.</w:t>
                            </w:r>
                          </w:p>
                          <w:p w14:paraId="492FCAEF" w14:textId="77777777" w:rsidR="00394EFE" w:rsidRDefault="00394EFE" w:rsidP="0039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EF4C46" id="_x0000_s1029" type="#_x0000_t202" style="width:448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" fillcolor="#f2f2f2 [3052]" stroked="f" strokeweight=".5pt">
                <v:textbox>
                  <w:txbxContent>
                    <w:p w:rsidR="00394EFE" w:rsidRDefault="00394EFE" w:rsidP="00394EFE">
                      <w:pPr>
                        <w:pStyle w:val="Quote"/>
                      </w:pPr>
                      <w:r w:rsidRPr="008C6534">
                        <w:t>“Consumer engagement is talked about, like co-design, but it’s often a tick box”.</w:t>
                      </w:r>
                    </w:p>
                    <w:p w:rsidR="00394EFE" w:rsidRDefault="00394EFE" w:rsidP="00394EFE"/>
                  </w:txbxContent>
                </v:textbox>
                <w10:anchorlock/>
              </v:shape>
            </w:pict>
          </mc:Fallback>
        </mc:AlternateContent>
      </w:r>
    </w:p>
    <w:p w14:paraId="13C7C8FC" w14:textId="77777777" w:rsidR="0051751D" w:rsidRDefault="0051751D">
      <w:pPr>
        <w:spacing w:before="0" w:line="240" w:lineRule="auto"/>
        <w:rPr>
          <w:rFonts w:eastAsia="Times New Roman"/>
          <w:b/>
          <w:bCs/>
          <w:sz w:val="27"/>
          <w:szCs w:val="27"/>
        </w:rPr>
      </w:pPr>
      <w:r>
        <w:rPr>
          <w:rFonts w:eastAsia="Times New Roman"/>
        </w:rPr>
        <w:br w:type="page"/>
      </w:r>
    </w:p>
    <w:p w14:paraId="72762E15" w14:textId="77777777" w:rsidR="00767074" w:rsidRPr="008C6534" w:rsidRDefault="00514FB0" w:rsidP="008C6534">
      <w:pPr>
        <w:pStyle w:val="Heading3"/>
        <w:rPr>
          <w:rFonts w:eastAsia="Times New Roman"/>
        </w:rPr>
      </w:pPr>
      <w:r w:rsidRPr="008C6534">
        <w:rPr>
          <w:rFonts w:eastAsia="Times New Roman"/>
        </w:rPr>
        <w:lastRenderedPageBreak/>
        <w:t>Challenges</w:t>
      </w:r>
    </w:p>
    <w:p w14:paraId="3AD2C0DC" w14:textId="77777777" w:rsidR="00767074" w:rsidRPr="008C6534" w:rsidRDefault="00514FB0" w:rsidP="00095119">
      <w:r w:rsidRPr="008C6534">
        <w:t xml:space="preserve">Education and training for consumers, consumer </w:t>
      </w:r>
      <w:proofErr w:type="spellStart"/>
      <w:r w:rsidRPr="008C6534">
        <w:t>organisations</w:t>
      </w:r>
      <w:proofErr w:type="spellEnd"/>
      <w:r w:rsidRPr="008C6534">
        <w:t xml:space="preserve"> and the broader population will require stakeholders to work collaboratively to develop resources to build capacity and increase inclusivity of diverse population groups. </w:t>
      </w:r>
    </w:p>
    <w:p w14:paraId="423D7AAF" w14:textId="77777777" w:rsidR="00767074" w:rsidRPr="008C6534" w:rsidRDefault="00514FB0" w:rsidP="00095119">
      <w:r w:rsidRPr="008C6534">
        <w:t>The implementation of education and training on HTA processes, preparing submission</w:t>
      </w:r>
      <w:r w:rsidRPr="008C6534">
        <w:t xml:space="preserve">s and raising awareness with the broader population is within the remit of the CEEU. </w:t>
      </w:r>
    </w:p>
    <w:p w14:paraId="4B985F58" w14:textId="77777777" w:rsidR="00767074" w:rsidRPr="008C6534" w:rsidRDefault="00514FB0" w:rsidP="00095119">
      <w:r w:rsidRPr="008C6534">
        <w:t xml:space="preserve">Agreed processes, and funding will be required to facilitate greater two-way conversations between the CEEU, consumers, consumer </w:t>
      </w:r>
      <w:proofErr w:type="spellStart"/>
      <w:r w:rsidRPr="008C6534">
        <w:t>organisations</w:t>
      </w:r>
      <w:proofErr w:type="spellEnd"/>
      <w:r w:rsidRPr="008C6534">
        <w:t xml:space="preserve"> and members of the public o</w:t>
      </w:r>
      <w:r w:rsidRPr="008C6534">
        <w:t>n a regular basis. These will need to occur at points in the HTA process that will facilitate inclusion and collaboration.</w:t>
      </w:r>
    </w:p>
    <w:p w14:paraId="2F8E8FA8" w14:textId="77777777" w:rsidR="0051751D" w:rsidRDefault="00514FB0" w:rsidP="00866F0A">
      <w:r w:rsidRPr="008C6534">
        <w:t>Greater understanding is also needed of broader public health considerations such as how to determine consumer needs within diverse c</w:t>
      </w:r>
      <w:r w:rsidRPr="008C6534">
        <w:t xml:space="preserve">ommunity groups. A strong foundation around communication and information is critical and will require extension of the resources already in place. </w:t>
      </w:r>
      <w:r w:rsidR="00394EFE">
        <w:br/>
      </w:r>
    </w:p>
    <w:p w14:paraId="0B29EDF6" w14:textId="77777777" w:rsidR="00394EFE" w:rsidRPr="00394EFE" w:rsidRDefault="00394EFE" w:rsidP="00394EFE">
      <w:r>
        <w:rPr>
          <w:noProof/>
        </w:rPr>
        <mc:AlternateContent>
          <mc:Choice Requires="wps">
            <w:drawing>
              <wp:inline distT="0" distB="0" distL="0" distR="0" wp14:anchorId="0DC4C933" wp14:editId="516774E8">
                <wp:extent cx="5689600" cy="901700"/>
                <wp:effectExtent l="0" t="0" r="0" b="0"/>
                <wp:docPr id="1617895619" name="Text Box 6"/>
                <wp:cNvGraphicFramePr/>
                <a:graphic xmlns:a="http://schemas.openxmlformats.org/drawingml/2006/main">
                  <a:graphicData uri="http://schemas.microsoft.com/office/word/2010/wordprocessingShape">
                    <wps:wsp>
                      <wps:cNvSpPr txBox="1"/>
                      <wps:spPr>
                        <a:xfrm>
                          <a:off x="0" y="0"/>
                          <a:ext cx="5689600" cy="901700"/>
                        </a:xfrm>
                        <a:prstGeom prst="rect">
                          <a:avLst/>
                        </a:prstGeom>
                        <a:solidFill>
                          <a:schemeClr val="bg1">
                            <a:lumMod val="95000"/>
                          </a:schemeClr>
                        </a:solidFill>
                        <a:ln w="6350">
                          <a:noFill/>
                        </a:ln>
                      </wps:spPr>
                      <wps:txbx>
                        <w:txbxContent>
                          <w:p w14:paraId="29758A68" w14:textId="77777777" w:rsidR="00394EFE" w:rsidRDefault="00394EFE" w:rsidP="00394EFE">
                            <w:pPr>
                              <w:pStyle w:val="Quote"/>
                            </w:pPr>
                            <w:r w:rsidRPr="008C6534">
                              <w:t>“Consumers feel disempowered if in a room where people ‘know everything’ and (they) ‘know nothing’ – except the experience of the disease.”</w:t>
                            </w:r>
                          </w:p>
                          <w:p w14:paraId="1D4B7CDE" w14:textId="77777777" w:rsidR="00394EFE" w:rsidRDefault="00394EFE" w:rsidP="00394E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4CCD7FB" id="_x0000_s1030" type="#_x0000_t202" style="width:448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" fillcolor="#f2f2f2 [3052]" stroked="f" strokeweight=".5pt">
                <v:textbox>
                  <w:txbxContent>
                    <w:p w:rsidR="00394EFE" w:rsidRDefault="00394EFE" w:rsidP="00394EFE">
                      <w:pPr>
                        <w:pStyle w:val="Quote"/>
                      </w:pPr>
                      <w:r w:rsidRPr="008C6534">
                        <w:t>“Consumers feel disempowered if in a room where people ‘know everything’ and (they) ‘know nothing’ – except the experience of the disease.”</w:t>
                      </w:r>
                    </w:p>
                    <w:p w:rsidR="00394EFE" w:rsidRDefault="00394EFE" w:rsidP="00394EFE"/>
                  </w:txbxContent>
                </v:textbox>
                <w10:anchorlock/>
              </v:shape>
            </w:pict>
          </mc:Fallback>
        </mc:AlternateContent>
      </w:r>
    </w:p>
    <w:p w14:paraId="629AA63F" w14:textId="77777777" w:rsidR="00095119" w:rsidRDefault="00095119">
      <w:pPr>
        <w:spacing w:before="0" w:line="240" w:lineRule="auto"/>
        <w:rPr>
          <w:rFonts w:eastAsia="Times New Roman"/>
          <w:b/>
          <w:bCs/>
          <w:kern w:val="36"/>
          <w:sz w:val="48"/>
          <w:szCs w:val="48"/>
        </w:rPr>
      </w:pPr>
      <w:r>
        <w:br w:type="page"/>
      </w:r>
    </w:p>
    <w:p w14:paraId="61E89B59" w14:textId="77777777" w:rsidR="00767074" w:rsidRPr="006266F8" w:rsidRDefault="00514FB0" w:rsidP="008C6534">
      <w:pPr>
        <w:pStyle w:val="Heading1"/>
        <w:rPr>
          <w:color w:val="000000" w:themeColor="text1"/>
        </w:rPr>
      </w:pPr>
      <w:bookmarkStart w:id="9" w:name="_Toc142318737"/>
      <w:r w:rsidRPr="006266F8">
        <w:rPr>
          <w:color w:val="000000" w:themeColor="text1"/>
        </w:rPr>
        <w:lastRenderedPageBreak/>
        <w:t>Consumers are included in HTA processes and methods</w:t>
      </w:r>
      <w:bookmarkEnd w:id="9"/>
      <w:r w:rsidRPr="006266F8">
        <w:rPr>
          <w:color w:val="000000" w:themeColor="text1"/>
        </w:rPr>
        <w:t xml:space="preserve"> </w:t>
      </w:r>
    </w:p>
    <w:p w14:paraId="339C84B8" w14:textId="77777777" w:rsidR="00767074" w:rsidRPr="008C6534" w:rsidRDefault="00514FB0" w:rsidP="005F6672">
      <w:r w:rsidRPr="008C6534">
        <w:t>Various participants recommended improvements that would require changes to existing HTA processes and guidelines to show how consumer input is valued. These suggestions ranged from including the acknowledgement of consumer evidence in HTA guidelines, esta</w:t>
      </w:r>
      <w:r w:rsidRPr="008C6534">
        <w:t xml:space="preserve">blishing a dedicated consumer evidence base in the HTA process, to </w:t>
      </w:r>
      <w:proofErr w:type="spellStart"/>
      <w:r w:rsidRPr="008C6534">
        <w:t>formalising</w:t>
      </w:r>
      <w:proofErr w:type="spellEnd"/>
      <w:r w:rsidRPr="008C6534">
        <w:t xml:space="preserve"> evidence collection to assist with access or post market review. </w:t>
      </w:r>
    </w:p>
    <w:p w14:paraId="169C4317" w14:textId="77777777" w:rsidR="00767074" w:rsidRPr="008C6534" w:rsidRDefault="00514FB0" w:rsidP="005F6672">
      <w:r w:rsidRPr="008C6534">
        <w:t>Other participants imagined an HTA environment where consumers were fully embedded within the process.</w:t>
      </w:r>
    </w:p>
    <w:p w14:paraId="03C67E55" w14:textId="77777777" w:rsidR="00767074" w:rsidRPr="008C6534" w:rsidRDefault="00514FB0" w:rsidP="005F6672">
      <w:pPr>
        <w:pStyle w:val="Heading3"/>
        <w:rPr>
          <w:rFonts w:eastAsia="Times New Roman"/>
        </w:rPr>
      </w:pPr>
      <w:r w:rsidRPr="005F6672">
        <w:t>Suggesti</w:t>
      </w:r>
      <w:r w:rsidRPr="005F6672">
        <w:t>ons</w:t>
      </w:r>
      <w:r w:rsidRPr="008C6534">
        <w:rPr>
          <w:rFonts w:eastAsia="Times New Roman"/>
        </w:rPr>
        <w:t xml:space="preserve"> </w:t>
      </w:r>
    </w:p>
    <w:p w14:paraId="70E94676" w14:textId="77777777" w:rsidR="00767074" w:rsidRPr="008C6534" w:rsidRDefault="00514FB0" w:rsidP="005F6672">
      <w:r w:rsidRPr="008C6534">
        <w:t xml:space="preserve">The following points </w:t>
      </w:r>
      <w:proofErr w:type="spellStart"/>
      <w:r w:rsidRPr="008C6534">
        <w:t>summarise</w:t>
      </w:r>
      <w:proofErr w:type="spellEnd"/>
      <w:r w:rsidRPr="008C6534">
        <w:t xml:space="preserve"> the suggestions for inclusion of consumers and consumer input within HTA processes, including pre-regulatory process.</w:t>
      </w:r>
    </w:p>
    <w:p w14:paraId="404116ED"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Develop a consumer engagement framework</w:t>
      </w:r>
      <w:r w:rsidRPr="008C6534">
        <w:rPr>
          <w:rFonts w:eastAsia="Times New Roman"/>
        </w:rPr>
        <w:t xml:space="preserve"> to show how consumers and consumer input is used across all pr</w:t>
      </w:r>
      <w:r w:rsidRPr="008C6534">
        <w:rPr>
          <w:rFonts w:eastAsia="Times New Roman"/>
        </w:rPr>
        <w:t>ocesses.</w:t>
      </w:r>
    </w:p>
    <w:p w14:paraId="1C1957E5"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Demonstration of consumer involvement through documentation</w:t>
      </w:r>
      <w:r w:rsidRPr="008C6534">
        <w:rPr>
          <w:rFonts w:eastAsia="Times New Roman"/>
        </w:rPr>
        <w:t xml:space="preserve"> in all HTA submissions (from regulation to implementation, post market and disinvestment).</w:t>
      </w:r>
    </w:p>
    <w:p w14:paraId="134D9ED9"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Include methodological guidance</w:t>
      </w:r>
      <w:r w:rsidRPr="008C6534">
        <w:rPr>
          <w:rFonts w:eastAsia="Times New Roman"/>
        </w:rPr>
        <w:t xml:space="preserve"> on lived experience, real world evidence, the value of knowing a</w:t>
      </w:r>
      <w:r w:rsidRPr="008C6534">
        <w:rPr>
          <w:rFonts w:eastAsia="Times New Roman"/>
        </w:rPr>
        <w:t>nd PROs for applicants.</w:t>
      </w:r>
    </w:p>
    <w:p w14:paraId="23D39638"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Broaden the methodological framework beyond quantitative data</w:t>
      </w:r>
      <w:r w:rsidRPr="008C6534">
        <w:rPr>
          <w:rFonts w:eastAsia="Times New Roman"/>
        </w:rPr>
        <w:t xml:space="preserve"> to integrate consumer qualitative input into HTA.</w:t>
      </w:r>
    </w:p>
    <w:p w14:paraId="07369C58"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 xml:space="preserve">Dedicated consumer evidence </w:t>
      </w:r>
      <w:proofErr w:type="gramStart"/>
      <w:r w:rsidRPr="008C6534">
        <w:rPr>
          <w:rStyle w:val="Strong"/>
          <w:rFonts w:eastAsiaTheme="minorEastAsia"/>
        </w:rPr>
        <w:t>base</w:t>
      </w:r>
      <w:proofErr w:type="gramEnd"/>
      <w:r w:rsidRPr="008C6534">
        <w:rPr>
          <w:rFonts w:eastAsia="Times New Roman"/>
        </w:rPr>
        <w:t xml:space="preserve"> to develop specific measurement tools and to collect relevant data. </w:t>
      </w:r>
    </w:p>
    <w:p w14:paraId="55187FB5"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 xml:space="preserve">Establish </w:t>
      </w:r>
      <w:r w:rsidRPr="008C6534">
        <w:rPr>
          <w:rStyle w:val="Strong"/>
          <w:rFonts w:eastAsiaTheme="minorEastAsia"/>
        </w:rPr>
        <w:t>disease specific consumer expert/advisory panels</w:t>
      </w:r>
      <w:r w:rsidRPr="008C6534">
        <w:rPr>
          <w:rFonts w:eastAsia="Times New Roman"/>
        </w:rPr>
        <w:t>, to provide information on the specific needs of the patient populations.</w:t>
      </w:r>
    </w:p>
    <w:p w14:paraId="27E8353F" w14:textId="77777777" w:rsidR="00767074" w:rsidRPr="008C6534" w:rsidRDefault="00514FB0" w:rsidP="008C6534">
      <w:pPr>
        <w:pStyle w:val="ListParagraph"/>
        <w:numPr>
          <w:ilvl w:val="0"/>
          <w:numId w:val="10"/>
        </w:numPr>
        <w:rPr>
          <w:rFonts w:eastAsia="Times New Roman"/>
        </w:rPr>
      </w:pPr>
      <w:r w:rsidRPr="008C6534">
        <w:rPr>
          <w:rStyle w:val="Strong"/>
          <w:rFonts w:eastAsiaTheme="minorEastAsia"/>
        </w:rPr>
        <w:t>Condition/disease repositories established</w:t>
      </w:r>
      <w:r w:rsidRPr="008C6534">
        <w:rPr>
          <w:rFonts w:eastAsia="Times New Roman"/>
        </w:rPr>
        <w:t xml:space="preserve"> for baseline information in multiple submissions and to track changing patient expectation</w:t>
      </w:r>
      <w:r w:rsidRPr="008C6534">
        <w:rPr>
          <w:rFonts w:eastAsia="Times New Roman"/>
        </w:rPr>
        <w:t>s over time as treatment options impact outcomes.</w:t>
      </w:r>
    </w:p>
    <w:p w14:paraId="124F7A58" w14:textId="77777777" w:rsidR="0051751D" w:rsidRPr="007D54E9" w:rsidRDefault="00514FB0" w:rsidP="007D54E9">
      <w:pPr>
        <w:pStyle w:val="ListParagraph"/>
        <w:numPr>
          <w:ilvl w:val="0"/>
          <w:numId w:val="10"/>
        </w:numPr>
        <w:rPr>
          <w:rFonts w:eastAsia="Times New Roman"/>
        </w:rPr>
      </w:pPr>
      <w:r w:rsidRPr="008C6534">
        <w:rPr>
          <w:rStyle w:val="Strong"/>
          <w:rFonts w:eastAsiaTheme="minorEastAsia"/>
        </w:rPr>
        <w:t>Further HTA documentation to acknowledge how consumer input has been considered and used</w:t>
      </w:r>
      <w:r w:rsidRPr="008C6534">
        <w:rPr>
          <w:rFonts w:eastAsia="Times New Roman"/>
        </w:rPr>
        <w:t xml:space="preserve"> in committee deliberations.</w:t>
      </w:r>
      <w:r w:rsidR="00394EFE">
        <w:rPr>
          <w:rFonts w:eastAsia="Times New Roman"/>
        </w:rPr>
        <w:br/>
      </w:r>
    </w:p>
    <w:p w14:paraId="0E154E40" w14:textId="77777777" w:rsidR="00394EFE" w:rsidRPr="00394EFE" w:rsidRDefault="00394EFE" w:rsidP="00394EFE">
      <w:r>
        <w:rPr>
          <w:noProof/>
        </w:rPr>
        <mc:AlternateContent>
          <mc:Choice Requires="wps">
            <w:drawing>
              <wp:inline distT="0" distB="0" distL="0" distR="0" wp14:anchorId="08FCB7C9" wp14:editId="622342C7">
                <wp:extent cx="5689600" cy="762000"/>
                <wp:effectExtent l="0" t="0" r="0" b="0"/>
                <wp:docPr id="1062936012" name="Text Box 6"/>
                <wp:cNvGraphicFramePr/>
                <a:graphic xmlns:a="http://schemas.openxmlformats.org/drawingml/2006/main">
                  <a:graphicData uri="http://schemas.microsoft.com/office/word/2010/wordprocessingShape">
                    <wps:wsp>
                      <wps:cNvSpPr txBox="1"/>
                      <wps:spPr>
                        <a:xfrm>
                          <a:off x="0" y="0"/>
                          <a:ext cx="5689600" cy="762000"/>
                        </a:xfrm>
                        <a:prstGeom prst="rect">
                          <a:avLst/>
                        </a:prstGeom>
                        <a:solidFill>
                          <a:schemeClr val="bg1">
                            <a:lumMod val="95000"/>
                          </a:schemeClr>
                        </a:solidFill>
                        <a:ln w="6350">
                          <a:noFill/>
                        </a:ln>
                      </wps:spPr>
                      <wps:txbx>
                        <w:txbxContent>
                          <w:p w14:paraId="0F1CB201" w14:textId="77777777" w:rsidR="00394EFE" w:rsidRDefault="00394EFE" w:rsidP="00394EFE">
                            <w:pPr>
                              <w:pStyle w:val="Quote"/>
                              <w:ind w:left="360"/>
                            </w:pPr>
                            <w:r w:rsidRPr="008C6534">
                              <w:t xml:space="preserve">“Having the patient voice heard all the way through – what is meaningful and of greatest benefit to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2DBBED" id="_x0000_s1031" type="#_x0000_t202" style="width:44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" fillcolor="#f2f2f2 [3052]" stroked="f" strokeweight=".5pt">
                <v:textbox>
                  <w:txbxContent>
                    <w:p w:rsidR="00394EFE" w:rsidRDefault="00394EFE" w:rsidP="00394EFE">
                      <w:pPr>
                        <w:pStyle w:val="Quote"/>
                        <w:ind w:left="360"/>
                      </w:pPr>
                      <w:r w:rsidRPr="008C6534">
                        <w:t xml:space="preserve">“Having the patient voice heard all the way through – what is meaningful and of greatest benefit to them” </w:t>
                      </w:r>
                    </w:p>
                  </w:txbxContent>
                </v:textbox>
                <w10:anchorlock/>
              </v:shape>
            </w:pict>
          </mc:Fallback>
        </mc:AlternateContent>
      </w:r>
    </w:p>
    <w:p w14:paraId="62679D47" w14:textId="77777777" w:rsidR="0051751D" w:rsidRDefault="0051751D">
      <w:pPr>
        <w:spacing w:before="0" w:line="240" w:lineRule="auto"/>
        <w:rPr>
          <w:rFonts w:eastAsia="Times New Roman"/>
          <w:b/>
          <w:bCs/>
          <w:sz w:val="27"/>
          <w:szCs w:val="27"/>
        </w:rPr>
      </w:pPr>
      <w:r>
        <w:rPr>
          <w:rFonts w:eastAsia="Times New Roman"/>
        </w:rPr>
        <w:br w:type="page"/>
      </w:r>
    </w:p>
    <w:p w14:paraId="3C099731" w14:textId="77777777" w:rsidR="00767074" w:rsidRPr="008C6534" w:rsidRDefault="00514FB0" w:rsidP="008C6534">
      <w:pPr>
        <w:pStyle w:val="Heading3"/>
        <w:rPr>
          <w:rFonts w:eastAsia="Times New Roman"/>
        </w:rPr>
      </w:pPr>
      <w:r w:rsidRPr="008C6534">
        <w:rPr>
          <w:rFonts w:eastAsia="Times New Roman"/>
        </w:rPr>
        <w:lastRenderedPageBreak/>
        <w:t>Challenges</w:t>
      </w:r>
    </w:p>
    <w:p w14:paraId="56FA09F1" w14:textId="77777777" w:rsidR="00767074" w:rsidRPr="008C6534" w:rsidRDefault="00514FB0" w:rsidP="005F6672">
      <w:r w:rsidRPr="008C6534">
        <w:t xml:space="preserve">Process and methodological change were considered essential to strengthen the role of consumers within HTA processes. </w:t>
      </w:r>
    </w:p>
    <w:p w14:paraId="515C45E8" w14:textId="77777777" w:rsidR="00767074" w:rsidRPr="008C6534" w:rsidRDefault="00514FB0" w:rsidP="005F6672">
      <w:r w:rsidRPr="008C6534">
        <w:t>Assurance is needed for resources to support changes to process and methods, for example around the d</w:t>
      </w:r>
      <w:r w:rsidRPr="008C6534">
        <w:t>evelopment of condition/disease repositories and data collection.</w:t>
      </w:r>
    </w:p>
    <w:p w14:paraId="5BF2A993" w14:textId="77777777" w:rsidR="00767074" w:rsidRPr="008C6534" w:rsidRDefault="00514FB0" w:rsidP="005F6672">
      <w:r w:rsidRPr="008C6534">
        <w:t xml:space="preserve">Some suggestions to improve consumer input into HTA processes will require careful consideration of the legislation, particularly within the current system around medicine listing. </w:t>
      </w:r>
    </w:p>
    <w:p w14:paraId="07605382" w14:textId="77777777" w:rsidR="0051751D" w:rsidRDefault="00514FB0" w:rsidP="007D54E9">
      <w:r w:rsidRPr="008C6534">
        <w:t>Proposed changes to increase opportunities for consumer input will need to be fully explored to ensure there is not a negative impact on ‘real time’ availability of products. It may also require improved interaction between the Therapeutic Goods Administra</w:t>
      </w:r>
      <w:r w:rsidRPr="008C6534">
        <w:t>tion (TGA) and other HTA processes for consideration of matters raised, such as data sharing.</w:t>
      </w:r>
      <w:r w:rsidR="007D54E9">
        <w:br/>
      </w:r>
    </w:p>
    <w:p w14:paraId="1570534F" w14:textId="77777777" w:rsidR="00394EFE" w:rsidRPr="00394EFE" w:rsidRDefault="00394EFE" w:rsidP="00394EFE">
      <w:r>
        <w:rPr>
          <w:noProof/>
        </w:rPr>
        <mc:AlternateContent>
          <mc:Choice Requires="wps">
            <w:drawing>
              <wp:inline distT="0" distB="0" distL="0" distR="0" wp14:anchorId="7DC5C54C" wp14:editId="272F023A">
                <wp:extent cx="5689600" cy="762000"/>
                <wp:effectExtent l="0" t="0" r="0" b="0"/>
                <wp:docPr id="1215298927" name="Text Box 6"/>
                <wp:cNvGraphicFramePr/>
                <a:graphic xmlns:a="http://schemas.openxmlformats.org/drawingml/2006/main">
                  <a:graphicData uri="http://schemas.microsoft.com/office/word/2010/wordprocessingShape">
                    <wps:wsp>
                      <wps:cNvSpPr txBox="1"/>
                      <wps:spPr>
                        <a:xfrm>
                          <a:off x="0" y="0"/>
                          <a:ext cx="5689600" cy="762000"/>
                        </a:xfrm>
                        <a:prstGeom prst="rect">
                          <a:avLst/>
                        </a:prstGeom>
                        <a:solidFill>
                          <a:schemeClr val="bg1">
                            <a:lumMod val="95000"/>
                          </a:schemeClr>
                        </a:solidFill>
                        <a:ln w="6350">
                          <a:noFill/>
                        </a:ln>
                      </wps:spPr>
                      <wps:txbx>
                        <w:txbxContent>
                          <w:p w14:paraId="31F4214C" w14:textId="77777777" w:rsidR="00394EFE" w:rsidRDefault="00394EFE" w:rsidP="00394EFE">
                            <w:pPr>
                              <w:pStyle w:val="Quote"/>
                            </w:pPr>
                            <w:r w:rsidRPr="008C6534">
                              <w:t>“Important that a sponsor doesn’t get to end of applying and hasn’t considered the consumer perspective at all”</w:t>
                            </w:r>
                          </w:p>
                          <w:p w14:paraId="7DAE241E" w14:textId="77777777" w:rsidR="00394EFE" w:rsidRDefault="00394EFE" w:rsidP="00394EFE">
                            <w:pPr>
                              <w:pStyle w:val="Quote"/>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DA8396" id="_x0000_s1032" type="#_x0000_t202" style="width:448pt;height:6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" fillcolor="#f2f2f2 [3052]" stroked="f" strokeweight=".5pt">
                <v:textbox>
                  <w:txbxContent>
                    <w:p w:rsidR="00394EFE" w:rsidRDefault="00394EFE" w:rsidP="00394EFE">
                      <w:pPr>
                        <w:pStyle w:val="Quote"/>
                      </w:pPr>
                      <w:r w:rsidRPr="008C6534">
                        <w:t>“Important that a sponsor doesn’t get to end of applying and hasn’t considered the consumer perspective at all”</w:t>
                      </w:r>
                    </w:p>
                    <w:p w:rsidR="00394EFE" w:rsidRDefault="00394EFE" w:rsidP="00394EFE">
                      <w:pPr>
                        <w:pStyle w:val="Quote"/>
                        <w:ind w:left="360"/>
                      </w:pPr>
                    </w:p>
                  </w:txbxContent>
                </v:textbox>
                <w10:anchorlock/>
              </v:shape>
            </w:pict>
          </mc:Fallback>
        </mc:AlternateContent>
      </w:r>
    </w:p>
    <w:p w14:paraId="1138B034" w14:textId="77777777" w:rsidR="00394EFE" w:rsidRDefault="00394EFE" w:rsidP="00394EFE"/>
    <w:p w14:paraId="46CC7EB3" w14:textId="77777777" w:rsidR="00394EFE" w:rsidRPr="00394EFE" w:rsidRDefault="00394EFE" w:rsidP="00394EFE"/>
    <w:p w14:paraId="2E2581A1" w14:textId="77777777" w:rsidR="005F6672" w:rsidRDefault="005F6672">
      <w:pPr>
        <w:spacing w:before="0" w:line="240" w:lineRule="auto"/>
        <w:rPr>
          <w:rFonts w:eastAsia="Times New Roman"/>
          <w:b/>
          <w:bCs/>
          <w:kern w:val="36"/>
          <w:sz w:val="48"/>
          <w:szCs w:val="48"/>
        </w:rPr>
      </w:pPr>
      <w:r>
        <w:br w:type="page"/>
      </w:r>
    </w:p>
    <w:p w14:paraId="6FEAC6D7" w14:textId="77777777" w:rsidR="00767074" w:rsidRPr="008C6534" w:rsidRDefault="00514FB0" w:rsidP="008C6534">
      <w:pPr>
        <w:pStyle w:val="Heading1"/>
      </w:pPr>
      <w:bookmarkStart w:id="10" w:name="_Toc142318738"/>
      <w:r w:rsidRPr="008C6534">
        <w:lastRenderedPageBreak/>
        <w:t>Consumers are actively participating</w:t>
      </w:r>
      <w:bookmarkEnd w:id="10"/>
    </w:p>
    <w:p w14:paraId="1CDB1FA4" w14:textId="77777777" w:rsidR="00767074" w:rsidRPr="008C6534" w:rsidRDefault="00514FB0" w:rsidP="005F6672">
      <w:r w:rsidRPr="008C6534">
        <w:t xml:space="preserve">Participants made positive suggestions to support consumer and consumer </w:t>
      </w:r>
      <w:proofErr w:type="spellStart"/>
      <w:r w:rsidRPr="008C6534">
        <w:t>organisation</w:t>
      </w:r>
      <w:proofErr w:type="spellEnd"/>
      <w:r w:rsidRPr="008C6534">
        <w:t xml:space="preserve"> participation in HTA processes. </w:t>
      </w:r>
    </w:p>
    <w:p w14:paraId="1D59A209" w14:textId="77777777" w:rsidR="00767074" w:rsidRPr="008C6534" w:rsidRDefault="00514FB0" w:rsidP="005F6672">
      <w:r w:rsidRPr="008C6534">
        <w:t xml:space="preserve">Including consumer ‘experts’ with lived experience in committee meetings would provide real world context during considerations. Consumer </w:t>
      </w:r>
      <w:r w:rsidRPr="008C6534">
        <w:t xml:space="preserve">involvement should be a continuous pathway extending from clinical trials to regulatory process, throughout </w:t>
      </w:r>
      <w:proofErr w:type="spellStart"/>
      <w:r w:rsidRPr="008C6534">
        <w:t>subsidisation</w:t>
      </w:r>
      <w:proofErr w:type="spellEnd"/>
      <w:r w:rsidRPr="008C6534">
        <w:t xml:space="preserve"> considerations and into post-market reviews. </w:t>
      </w:r>
    </w:p>
    <w:p w14:paraId="12A9E360" w14:textId="77777777" w:rsidR="00767074" w:rsidRPr="008C6534" w:rsidRDefault="00514FB0" w:rsidP="005F6672">
      <w:r w:rsidRPr="008C6534">
        <w:t>Collaboration with international networks may support evidence provision, particularly f</w:t>
      </w:r>
      <w:r w:rsidRPr="008C6534">
        <w:t>or rare diseases.</w:t>
      </w:r>
    </w:p>
    <w:p w14:paraId="1A84A4E1" w14:textId="77777777" w:rsidR="00767074" w:rsidRPr="008C6534" w:rsidRDefault="00514FB0" w:rsidP="004D0083">
      <w:pPr>
        <w:pStyle w:val="Heading3"/>
        <w:rPr>
          <w:rFonts w:eastAsia="Times New Roman"/>
        </w:rPr>
      </w:pPr>
      <w:r w:rsidRPr="004D0083">
        <w:t>Suggestions</w:t>
      </w:r>
    </w:p>
    <w:p w14:paraId="6DB61EC2" w14:textId="77777777" w:rsidR="00767074" w:rsidRPr="008C6534" w:rsidRDefault="00514FB0" w:rsidP="004D0083">
      <w:r w:rsidRPr="008C6534">
        <w:t>A summary of suggestions for improved consumer participation in HTA processes includes the following points.</w:t>
      </w:r>
    </w:p>
    <w:p w14:paraId="7EC6DC34"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Early, active, inclusive participation of consumers with lived experience</w:t>
      </w:r>
      <w:r w:rsidRPr="008C6534">
        <w:rPr>
          <w:rFonts w:eastAsia="Times New Roman"/>
        </w:rPr>
        <w:t xml:space="preserve"> in the process from pre-TGA application and</w:t>
      </w:r>
      <w:r w:rsidRPr="008C6534">
        <w:rPr>
          <w:rFonts w:eastAsia="Times New Roman"/>
        </w:rPr>
        <w:t xml:space="preserve"> throughout the HTA process.</w:t>
      </w:r>
    </w:p>
    <w:p w14:paraId="2DFAAE1A"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Pre-submission inclusion</w:t>
      </w:r>
      <w:r w:rsidRPr="008C6534">
        <w:rPr>
          <w:rFonts w:eastAsia="Times New Roman"/>
        </w:rPr>
        <w:t xml:space="preserve"> of consumer </w:t>
      </w:r>
      <w:proofErr w:type="spellStart"/>
      <w:r w:rsidRPr="008C6534">
        <w:rPr>
          <w:rFonts w:eastAsia="Times New Roman"/>
        </w:rPr>
        <w:t>organisations</w:t>
      </w:r>
      <w:proofErr w:type="spellEnd"/>
      <w:r w:rsidRPr="008C6534">
        <w:rPr>
          <w:rFonts w:eastAsia="Times New Roman"/>
        </w:rPr>
        <w:t xml:space="preserve"> and clinicians alongside applicants.</w:t>
      </w:r>
    </w:p>
    <w:p w14:paraId="04F5F4FD"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Extend post-implementation</w:t>
      </w:r>
      <w:r w:rsidRPr="008C6534">
        <w:rPr>
          <w:rFonts w:eastAsia="Times New Roman"/>
        </w:rPr>
        <w:t xml:space="preserve"> opportunities for consumers to input into how a health technology is being used in the community (post-market re</w:t>
      </w:r>
      <w:r w:rsidRPr="008C6534">
        <w:rPr>
          <w:rFonts w:eastAsia="Times New Roman"/>
        </w:rPr>
        <w:t xml:space="preserve">views). </w:t>
      </w:r>
    </w:p>
    <w:p w14:paraId="6AC443B5"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Consumer experts</w:t>
      </w:r>
      <w:r w:rsidRPr="008C6534">
        <w:rPr>
          <w:rFonts w:eastAsia="Times New Roman"/>
        </w:rPr>
        <w:t xml:space="preserve"> with lived experience are empowered to have a ‘voice’ in the process and observe and/or directly contribute to an item of interest in committee meetings.</w:t>
      </w:r>
    </w:p>
    <w:p w14:paraId="066660A2"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Facilitation of international collaborations</w:t>
      </w:r>
      <w:r w:rsidRPr="008C6534">
        <w:rPr>
          <w:rFonts w:eastAsia="Times New Roman"/>
        </w:rPr>
        <w:t xml:space="preserve"> to share input for use in multi</w:t>
      </w:r>
      <w:r w:rsidRPr="008C6534">
        <w:rPr>
          <w:rFonts w:eastAsia="Times New Roman"/>
        </w:rPr>
        <w:t>ple submissions.</w:t>
      </w:r>
    </w:p>
    <w:p w14:paraId="2095CD4B"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Meaningful, direct engagement</w:t>
      </w:r>
      <w:r w:rsidRPr="008C6534">
        <w:rPr>
          <w:rFonts w:eastAsia="Times New Roman"/>
        </w:rPr>
        <w:t xml:space="preserve"> such as meetings with consumers/stakeholders when an application is being developed for a submission.</w:t>
      </w:r>
    </w:p>
    <w:p w14:paraId="2DF170B1" w14:textId="77777777" w:rsidR="00767074" w:rsidRPr="008C6534" w:rsidRDefault="00514FB0" w:rsidP="008C6534">
      <w:pPr>
        <w:pStyle w:val="ListParagraph"/>
        <w:numPr>
          <w:ilvl w:val="0"/>
          <w:numId w:val="11"/>
        </w:numPr>
        <w:rPr>
          <w:rFonts w:eastAsia="Times New Roman"/>
        </w:rPr>
      </w:pPr>
      <w:r w:rsidRPr="008C6534">
        <w:rPr>
          <w:rStyle w:val="Strong"/>
          <w:rFonts w:eastAsiaTheme="minorEastAsia"/>
        </w:rPr>
        <w:t>Expand consumer input options</w:t>
      </w:r>
      <w:r w:rsidRPr="008C6534">
        <w:rPr>
          <w:rFonts w:eastAsia="Times New Roman"/>
        </w:rPr>
        <w:t xml:space="preserve"> beyond an online survey.</w:t>
      </w:r>
    </w:p>
    <w:p w14:paraId="227D03DB" w14:textId="77777777" w:rsidR="0051751D" w:rsidRPr="007D54E9" w:rsidRDefault="00514FB0" w:rsidP="007D54E9">
      <w:pPr>
        <w:pStyle w:val="ListParagraph"/>
        <w:numPr>
          <w:ilvl w:val="0"/>
          <w:numId w:val="11"/>
        </w:numPr>
        <w:rPr>
          <w:rFonts w:eastAsia="Times New Roman"/>
        </w:rPr>
      </w:pPr>
      <w:r w:rsidRPr="008C6534">
        <w:rPr>
          <w:rStyle w:val="Strong"/>
          <w:rFonts w:eastAsiaTheme="minorEastAsia"/>
        </w:rPr>
        <w:t>Increase diversity</w:t>
      </w:r>
      <w:r w:rsidRPr="008C6534">
        <w:rPr>
          <w:rFonts w:eastAsia="Times New Roman"/>
        </w:rPr>
        <w:t xml:space="preserve"> by expanding opportunities for in</w:t>
      </w:r>
      <w:r w:rsidRPr="008C6534">
        <w:rPr>
          <w:rFonts w:eastAsia="Times New Roman"/>
        </w:rPr>
        <w:t>put from hard-to-reach groups and the general public.</w:t>
      </w:r>
      <w:r w:rsidR="00394EFE">
        <w:rPr>
          <w:rFonts w:eastAsia="Times New Roman"/>
        </w:rPr>
        <w:br/>
      </w:r>
    </w:p>
    <w:p w14:paraId="31099BF6" w14:textId="77777777" w:rsidR="00394EFE" w:rsidRPr="00394EFE" w:rsidRDefault="00394EFE" w:rsidP="00394EFE">
      <w:r>
        <w:rPr>
          <w:noProof/>
        </w:rPr>
        <mc:AlternateContent>
          <mc:Choice Requires="wps">
            <w:drawing>
              <wp:inline distT="0" distB="0" distL="0" distR="0" wp14:anchorId="51752A3C" wp14:editId="16E21E5C">
                <wp:extent cx="5689600" cy="901700"/>
                <wp:effectExtent l="0" t="0" r="0" b="0"/>
                <wp:docPr id="1298327743" name="Text Box 6"/>
                <wp:cNvGraphicFramePr/>
                <a:graphic xmlns:a="http://schemas.openxmlformats.org/drawingml/2006/main">
                  <a:graphicData uri="http://schemas.microsoft.com/office/word/2010/wordprocessingShape">
                    <wps:wsp>
                      <wps:cNvSpPr txBox="1"/>
                      <wps:spPr>
                        <a:xfrm>
                          <a:off x="0" y="0"/>
                          <a:ext cx="5689600" cy="901700"/>
                        </a:xfrm>
                        <a:prstGeom prst="rect">
                          <a:avLst/>
                        </a:prstGeom>
                        <a:solidFill>
                          <a:schemeClr val="bg1">
                            <a:lumMod val="95000"/>
                          </a:schemeClr>
                        </a:solidFill>
                        <a:ln w="6350">
                          <a:noFill/>
                        </a:ln>
                      </wps:spPr>
                      <wps:txbx>
                        <w:txbxContent>
                          <w:p w14:paraId="219D14C0" w14:textId="77777777" w:rsidR="00394EFE" w:rsidRDefault="00394EFE" w:rsidP="00394EFE">
                            <w:pPr>
                              <w:pStyle w:val="Quote"/>
                            </w:pPr>
                            <w:r>
                              <w:t>“</w:t>
                            </w:r>
                            <w:r w:rsidRPr="008C6534">
                              <w:t>Consumers feel their input is undervalued. If committees truly understood that, then maybe together we can find a better way to ‘engage.</w:t>
                            </w:r>
                            <w:r w:rsidRPr="008C6534">
                              <w:t>’</w:t>
                            </w:r>
                            <w:r>
                              <w:t xml:space="preserve"> ”</w:t>
                            </w:r>
                          </w:p>
                          <w:p w14:paraId="2231DB6D" w14:textId="77777777" w:rsidR="00394EFE" w:rsidRDefault="00394EFE" w:rsidP="00394EFE">
                            <w:pPr>
                              <w:pStyle w:val="Quote"/>
                              <w:ind w:left="360"/>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A55FB2" id="_x0000_s1033" type="#_x0000_t202" style="width:448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" fillcolor="#f2f2f2 [3052]" stroked="f" strokeweight=".5pt">
                <v:textbox>
                  <w:txbxContent>
                    <w:p w:rsidR="00394EFE" w:rsidRDefault="00394EFE" w:rsidP="00394EFE">
                      <w:pPr>
                        <w:pStyle w:val="Quote"/>
                      </w:pPr>
                      <w:r>
                        <w:t>“</w:t>
                      </w:r>
                      <w:r w:rsidRPr="008C6534">
                        <w:t>Consumers feel their input is undervalued. If committees truly understood that, then maybe together we can find a better way to ‘engage.</w:t>
                      </w:r>
                      <w:proofErr w:type="gramStart"/>
                      <w:r w:rsidRPr="008C6534">
                        <w:t>’</w:t>
                      </w:r>
                      <w:r>
                        <w:t xml:space="preserve"> ”</w:t>
                      </w:r>
                      <w:proofErr w:type="gramEnd"/>
                    </w:p>
                    <w:p w:rsidR="00394EFE" w:rsidRDefault="00394EFE" w:rsidP="00394EFE">
                      <w:pPr>
                        <w:pStyle w:val="Quote"/>
                        <w:ind w:left="360"/>
                        <w:jc w:val="left"/>
                      </w:pPr>
                    </w:p>
                  </w:txbxContent>
                </v:textbox>
                <w10:anchorlock/>
              </v:shape>
            </w:pict>
          </mc:Fallback>
        </mc:AlternateContent>
      </w:r>
    </w:p>
    <w:p w14:paraId="58B0F712" w14:textId="77777777" w:rsidR="0051751D" w:rsidRDefault="0051751D">
      <w:pPr>
        <w:spacing w:before="0" w:line="240" w:lineRule="auto"/>
        <w:rPr>
          <w:b/>
          <w:bCs/>
          <w:sz w:val="27"/>
          <w:szCs w:val="27"/>
        </w:rPr>
      </w:pPr>
      <w:r>
        <w:br w:type="page"/>
      </w:r>
    </w:p>
    <w:p w14:paraId="18034B0D" w14:textId="77777777" w:rsidR="00767074" w:rsidRPr="008C6534" w:rsidRDefault="00514FB0" w:rsidP="004D0083">
      <w:pPr>
        <w:pStyle w:val="Heading3"/>
        <w:rPr>
          <w:rFonts w:eastAsia="Times New Roman"/>
        </w:rPr>
      </w:pPr>
      <w:r w:rsidRPr="004D0083">
        <w:lastRenderedPageBreak/>
        <w:t>Challenges</w:t>
      </w:r>
      <w:r w:rsidRPr="008C6534">
        <w:rPr>
          <w:rFonts w:eastAsia="Times New Roman"/>
        </w:rPr>
        <w:t>:</w:t>
      </w:r>
    </w:p>
    <w:p w14:paraId="5162FF93" w14:textId="77777777" w:rsidR="00767074" w:rsidRPr="008C6534" w:rsidRDefault="00514FB0" w:rsidP="004D0083">
      <w:r w:rsidRPr="008C6534">
        <w:t xml:space="preserve">Responses called for early, active and inclusive participation in the HTA process. This would require greater transparency around information, and for consumers and consumer </w:t>
      </w:r>
      <w:proofErr w:type="spellStart"/>
      <w:r w:rsidRPr="008C6534">
        <w:t>organisations</w:t>
      </w:r>
      <w:proofErr w:type="spellEnd"/>
      <w:r w:rsidRPr="008C6534">
        <w:t xml:space="preserve"> to be supported and knowledgeable in HTA processes. </w:t>
      </w:r>
    </w:p>
    <w:p w14:paraId="5DF379AD" w14:textId="77777777" w:rsidR="00767074" w:rsidRPr="008C6534" w:rsidRDefault="00514FB0" w:rsidP="004D0083">
      <w:r w:rsidRPr="008C6534">
        <w:t>It was also not</w:t>
      </w:r>
      <w:r w:rsidRPr="008C6534">
        <w:t>ed that greater participation could present challenges for a process operating within firm timeframes and further consideration would need to be given as to when and how early engagement could occur.</w:t>
      </w:r>
    </w:p>
    <w:p w14:paraId="608FC26E" w14:textId="77777777" w:rsidR="0056376D" w:rsidRDefault="00514FB0" w:rsidP="0056376D">
      <w:r w:rsidRPr="008C6534">
        <w:t xml:space="preserve">The suggestion of having consumer experts or a </w:t>
      </w:r>
      <w:r w:rsidRPr="008C6534">
        <w:t>consumer hearing during committee meetings to discuss specific items in ‘real time’ would require changes to the current processes. It will require allocation of funded resources to support and enable more active participation and collaboration.</w:t>
      </w:r>
      <w:r w:rsidR="0056376D">
        <w:br/>
      </w:r>
    </w:p>
    <w:p w14:paraId="0622D4F9" w14:textId="77777777" w:rsidR="0056376D" w:rsidRPr="0056376D" w:rsidRDefault="0056376D" w:rsidP="0056376D">
      <w:r>
        <w:rPr>
          <w:noProof/>
        </w:rPr>
        <mc:AlternateContent>
          <mc:Choice Requires="wps">
            <w:drawing>
              <wp:inline distT="0" distB="0" distL="0" distR="0" wp14:anchorId="7BB36BBC" wp14:editId="2D3913F8">
                <wp:extent cx="5689600" cy="698500"/>
                <wp:effectExtent l="0" t="0" r="0" b="0"/>
                <wp:docPr id="40122972" name="Text Box 6"/>
                <wp:cNvGraphicFramePr/>
                <a:graphic xmlns:a="http://schemas.openxmlformats.org/drawingml/2006/main">
                  <a:graphicData uri="http://schemas.microsoft.com/office/word/2010/wordprocessingShape">
                    <wps:wsp>
                      <wps:cNvSpPr txBox="1"/>
                      <wps:spPr>
                        <a:xfrm>
                          <a:off x="0" y="0"/>
                          <a:ext cx="5689600" cy="698500"/>
                        </a:xfrm>
                        <a:prstGeom prst="rect">
                          <a:avLst/>
                        </a:prstGeom>
                        <a:solidFill>
                          <a:schemeClr val="bg1">
                            <a:lumMod val="95000"/>
                          </a:schemeClr>
                        </a:solidFill>
                        <a:ln w="6350">
                          <a:noFill/>
                        </a:ln>
                      </wps:spPr>
                      <wps:txbx>
                        <w:txbxContent>
                          <w:p w14:paraId="50B4A359" w14:textId="77777777" w:rsidR="0056376D" w:rsidRDefault="0056376D" w:rsidP="0056376D">
                            <w:pPr>
                              <w:pStyle w:val="Quote"/>
                            </w:pPr>
                            <w:r w:rsidRPr="008C6534">
                              <w:t>“Having a consumer involved can cause ‘a shift’ in the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400E20" id="_x0000_s1034" type="#_x0000_t202" style="width:448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" fillcolor="#f2f2f2 [3052]" stroked="f" strokeweight=".5pt">
                <v:textbox>
                  <w:txbxContent>
                    <w:p w:rsidR="0056376D" w:rsidRDefault="0056376D" w:rsidP="0056376D">
                      <w:pPr>
                        <w:pStyle w:val="Quote"/>
                      </w:pPr>
                      <w:r w:rsidRPr="008C6534">
                        <w:t>“Having a consumer involved can cause ‘a shift’ in the room”</w:t>
                      </w:r>
                    </w:p>
                  </w:txbxContent>
                </v:textbox>
                <w10:anchorlock/>
              </v:shape>
            </w:pict>
          </mc:Fallback>
        </mc:AlternateContent>
      </w:r>
    </w:p>
    <w:p w14:paraId="0151143A" w14:textId="77777777" w:rsidR="0056376D" w:rsidRPr="0056376D" w:rsidRDefault="0056376D" w:rsidP="0056376D"/>
    <w:p w14:paraId="1E81984A" w14:textId="77777777" w:rsidR="0051751D" w:rsidRDefault="0051751D">
      <w:pPr>
        <w:spacing w:before="0" w:line="240" w:lineRule="auto"/>
        <w:rPr>
          <w:rFonts w:eastAsia="Times New Roman"/>
          <w:b/>
          <w:bCs/>
          <w:kern w:val="36"/>
          <w:sz w:val="48"/>
          <w:szCs w:val="48"/>
        </w:rPr>
      </w:pPr>
      <w:r>
        <w:br w:type="page"/>
      </w:r>
    </w:p>
    <w:p w14:paraId="6CBC1098" w14:textId="77777777" w:rsidR="00767074" w:rsidRPr="006266F8" w:rsidRDefault="00514FB0" w:rsidP="008C6534">
      <w:pPr>
        <w:pStyle w:val="Heading1"/>
        <w:rPr>
          <w:color w:val="000000" w:themeColor="text1"/>
        </w:rPr>
      </w:pPr>
      <w:bookmarkStart w:id="11" w:name="_Toc142318739"/>
      <w:r w:rsidRPr="006266F8">
        <w:rPr>
          <w:color w:val="000000" w:themeColor="text1"/>
        </w:rPr>
        <w:lastRenderedPageBreak/>
        <w:t>Consumers are equal partners</w:t>
      </w:r>
      <w:bookmarkEnd w:id="11"/>
    </w:p>
    <w:p w14:paraId="05D58807" w14:textId="77777777" w:rsidR="00767074" w:rsidRPr="008C6534" w:rsidRDefault="00514FB0" w:rsidP="004D0083">
      <w:r w:rsidRPr="008C6534">
        <w:t xml:space="preserve">Responses included words such as ‘respect’, ‘trust’, ‘genuine’ and ‘equitable’ within suggestions of </w:t>
      </w:r>
      <w:r w:rsidR="00421ED8">
        <w:rPr>
          <w:rStyle w:val="Strong"/>
          <w:rFonts w:eastAsiaTheme="minorEastAsia"/>
        </w:rPr>
        <w:t>what</w:t>
      </w:r>
      <w:r w:rsidRPr="008C6534">
        <w:t xml:space="preserve">, </w:t>
      </w:r>
      <w:r w:rsidR="00421ED8">
        <w:rPr>
          <w:rStyle w:val="Strong"/>
          <w:rFonts w:eastAsiaTheme="minorEastAsia"/>
        </w:rPr>
        <w:t>when</w:t>
      </w:r>
      <w:r w:rsidRPr="008C6534">
        <w:t xml:space="preserve"> and </w:t>
      </w:r>
      <w:r w:rsidR="00421ED8">
        <w:rPr>
          <w:rStyle w:val="Strong"/>
          <w:rFonts w:eastAsiaTheme="minorEastAsia"/>
        </w:rPr>
        <w:t>how</w:t>
      </w:r>
      <w:r w:rsidRPr="008C6534">
        <w:t xml:space="preserve"> consumer views and experiences can best be provi</w:t>
      </w:r>
      <w:r w:rsidRPr="008C6534">
        <w:t xml:space="preserve">ded. In this theme, there is a desire for involvement beyond engagement. Consumers want an equal partnership with other stakeholders in the HTA process and to work closely with industry and clinicians in contributing towards evidence and applications that </w:t>
      </w:r>
      <w:r w:rsidRPr="008C6534">
        <w:t>may lead to better health outcomes.</w:t>
      </w:r>
    </w:p>
    <w:p w14:paraId="6BD02685" w14:textId="77777777" w:rsidR="00767074" w:rsidRPr="004B1447" w:rsidRDefault="00514FB0" w:rsidP="004D0083">
      <w:pPr>
        <w:rPr>
          <w:vertAlign w:val="subscript"/>
        </w:rPr>
      </w:pPr>
      <w:r w:rsidRPr="008C6534">
        <w:t xml:space="preserve">An optimal outcome was that consumer </w:t>
      </w:r>
      <w:proofErr w:type="spellStart"/>
      <w:r w:rsidRPr="008C6534">
        <w:t>organisations</w:t>
      </w:r>
      <w:proofErr w:type="spellEnd"/>
      <w:r w:rsidRPr="008C6534">
        <w:t xml:space="preserve"> have the same opportunities to identify health technologies for consideration within HTA process, to ensure affordable access.</w:t>
      </w:r>
      <w:r w:rsidR="004B1447">
        <w:rPr>
          <w:vertAlign w:val="subscript"/>
        </w:rPr>
        <w:softHyphen/>
      </w:r>
    </w:p>
    <w:p w14:paraId="2B629C14" w14:textId="77777777" w:rsidR="00767074" w:rsidRPr="008C6534" w:rsidRDefault="00514FB0" w:rsidP="004D0083">
      <w:pPr>
        <w:pStyle w:val="Heading3"/>
        <w:rPr>
          <w:rFonts w:eastAsia="Times New Roman"/>
        </w:rPr>
      </w:pPr>
      <w:r w:rsidRPr="004D0083">
        <w:t>Suggestions</w:t>
      </w:r>
      <w:r w:rsidRPr="008C6534">
        <w:rPr>
          <w:rFonts w:eastAsia="Times New Roman"/>
        </w:rPr>
        <w:t xml:space="preserve"> </w:t>
      </w:r>
    </w:p>
    <w:p w14:paraId="010A6424" w14:textId="77777777" w:rsidR="00767074" w:rsidRPr="008C6534" w:rsidRDefault="00514FB0" w:rsidP="004D0083">
      <w:r w:rsidRPr="008C6534">
        <w:t>The following points highlig</w:t>
      </w:r>
      <w:r w:rsidRPr="008C6534">
        <w:t>ht key suggestions within this theme</w:t>
      </w:r>
      <w:r w:rsidRPr="008C6534">
        <w:rPr>
          <w:rStyle w:val="Strong"/>
          <w:rFonts w:eastAsiaTheme="minorEastAsia"/>
        </w:rPr>
        <w:t>.</w:t>
      </w:r>
    </w:p>
    <w:p w14:paraId="06B06763"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Equitable processes</w:t>
      </w:r>
      <w:r w:rsidRPr="008C6534">
        <w:rPr>
          <w:rFonts w:eastAsia="Times New Roman"/>
        </w:rPr>
        <w:t xml:space="preserve"> that share the power. </w:t>
      </w:r>
    </w:p>
    <w:p w14:paraId="387AFE2F"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Authentic dialogue</w:t>
      </w:r>
      <w:r w:rsidRPr="008C6534">
        <w:rPr>
          <w:rFonts w:eastAsia="Times New Roman"/>
        </w:rPr>
        <w:t xml:space="preserve"> rather than a ‘tick box’.</w:t>
      </w:r>
    </w:p>
    <w:p w14:paraId="61761F69"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Clarity</w:t>
      </w:r>
      <w:r w:rsidRPr="008C6534">
        <w:rPr>
          <w:rFonts w:eastAsia="Times New Roman"/>
        </w:rPr>
        <w:t xml:space="preserve"> on how different stakeholders could be seen to work together.</w:t>
      </w:r>
    </w:p>
    <w:p w14:paraId="0B9FE87F"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Consumers to have the same opportunities as industry</w:t>
      </w:r>
      <w:r w:rsidRPr="008C6534">
        <w:rPr>
          <w:rFonts w:eastAsia="Times New Roman"/>
        </w:rPr>
        <w:t xml:space="preserve"> in the HTA process, such as at meetings, access to data, to put forward applications.</w:t>
      </w:r>
    </w:p>
    <w:p w14:paraId="10A71274"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Consumers/</w:t>
      </w:r>
      <w:proofErr w:type="spellStart"/>
      <w:r w:rsidRPr="008C6534">
        <w:rPr>
          <w:rStyle w:val="Strong"/>
          <w:rFonts w:eastAsiaTheme="minorEastAsia"/>
        </w:rPr>
        <w:t>organisations</w:t>
      </w:r>
      <w:proofErr w:type="spellEnd"/>
      <w:r w:rsidRPr="008C6534">
        <w:rPr>
          <w:rStyle w:val="Strong"/>
          <w:rFonts w:eastAsiaTheme="minorEastAsia"/>
        </w:rPr>
        <w:t xml:space="preserve"> directly involved</w:t>
      </w:r>
      <w:r w:rsidRPr="008C6534">
        <w:rPr>
          <w:rFonts w:eastAsia="Times New Roman"/>
        </w:rPr>
        <w:t xml:space="preserve"> in decision </w:t>
      </w:r>
      <w:r w:rsidRPr="008C6534">
        <w:rPr>
          <w:rFonts w:eastAsia="Times New Roman"/>
        </w:rPr>
        <w:t>making and governance of HTA processes.</w:t>
      </w:r>
    </w:p>
    <w:p w14:paraId="747B9619"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Respect and trust</w:t>
      </w:r>
      <w:r w:rsidRPr="008C6534">
        <w:rPr>
          <w:rFonts w:eastAsia="Times New Roman"/>
        </w:rPr>
        <w:t xml:space="preserve"> of the healthcare system and that consumer input is valued and considered, and this is reflected in documentation.</w:t>
      </w:r>
    </w:p>
    <w:p w14:paraId="443A327F"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Consumers are seen as partners</w:t>
      </w:r>
      <w:r w:rsidRPr="008C6534">
        <w:rPr>
          <w:rFonts w:eastAsia="Times New Roman"/>
        </w:rPr>
        <w:t xml:space="preserve"> in the design and collection of evidence for applica</w:t>
      </w:r>
      <w:r w:rsidRPr="008C6534">
        <w:rPr>
          <w:rFonts w:eastAsia="Times New Roman"/>
        </w:rPr>
        <w:t>tions.</w:t>
      </w:r>
    </w:p>
    <w:p w14:paraId="07AFFDE5" w14:textId="77777777" w:rsidR="00767074" w:rsidRPr="008C6534" w:rsidRDefault="00514FB0" w:rsidP="008C6534">
      <w:pPr>
        <w:pStyle w:val="ListParagraph"/>
        <w:numPr>
          <w:ilvl w:val="0"/>
          <w:numId w:val="12"/>
        </w:numPr>
        <w:rPr>
          <w:rFonts w:eastAsia="Times New Roman"/>
        </w:rPr>
      </w:pPr>
      <w:r w:rsidRPr="008C6534">
        <w:rPr>
          <w:rStyle w:val="Strong"/>
          <w:rFonts w:eastAsiaTheme="minorEastAsia"/>
        </w:rPr>
        <w:t>Early involvement</w:t>
      </w:r>
      <w:r w:rsidRPr="008C6534">
        <w:rPr>
          <w:rFonts w:eastAsia="Times New Roman"/>
        </w:rPr>
        <w:t xml:space="preserve"> with consumers by Government and industry when a health technology is first developed.</w:t>
      </w:r>
    </w:p>
    <w:p w14:paraId="05ABDFCF" w14:textId="77777777" w:rsidR="0056376D" w:rsidRPr="0056376D" w:rsidRDefault="0056376D" w:rsidP="0056376D">
      <w:r>
        <w:rPr>
          <w:noProof/>
        </w:rPr>
        <mc:AlternateContent>
          <mc:Choice Requires="wps">
            <w:drawing>
              <wp:inline distT="0" distB="0" distL="0" distR="0" wp14:anchorId="01BFD090" wp14:editId="36B0D205">
                <wp:extent cx="5803900" cy="673100"/>
                <wp:effectExtent l="0" t="0" r="0" b="0"/>
                <wp:docPr id="2127196358" name="Text Box 6"/>
                <wp:cNvGraphicFramePr/>
                <a:graphic xmlns:a="http://schemas.openxmlformats.org/drawingml/2006/main">
                  <a:graphicData uri="http://schemas.microsoft.com/office/word/2010/wordprocessingShape">
                    <wps:wsp>
                      <wps:cNvSpPr txBox="1"/>
                      <wps:spPr>
                        <a:xfrm>
                          <a:off x="0" y="0"/>
                          <a:ext cx="5803900" cy="673100"/>
                        </a:xfrm>
                        <a:prstGeom prst="rect">
                          <a:avLst/>
                        </a:prstGeom>
                        <a:solidFill>
                          <a:schemeClr val="bg1">
                            <a:lumMod val="95000"/>
                          </a:schemeClr>
                        </a:solidFill>
                        <a:ln w="6350">
                          <a:noFill/>
                        </a:ln>
                      </wps:spPr>
                      <wps:txbx>
                        <w:txbxContent>
                          <w:p w14:paraId="31852AC1" w14:textId="77777777" w:rsidR="0056376D" w:rsidRDefault="0056376D" w:rsidP="0056376D">
                            <w:pPr>
                              <w:pStyle w:val="Quote"/>
                            </w:pPr>
                            <w:r w:rsidRPr="008C6534">
                              <w:t>“</w:t>
                            </w:r>
                            <w:r w:rsidRPr="004B1447">
                              <w:t>Share the power in the room… so there is equity in the room”</w:t>
                            </w:r>
                          </w:p>
                          <w:p w14:paraId="5CC60EFE" w14:textId="77777777" w:rsidR="0056376D" w:rsidRDefault="0056376D" w:rsidP="0056376D">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C016C6" id="_x0000_s1035" type="#_x0000_t202" style="width:457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" fillcolor="#f2f2f2 [3052]" stroked="f" strokeweight=".5pt">
                <v:textbox>
                  <w:txbxContent>
                    <w:p w:rsidR="0056376D" w:rsidRDefault="0056376D" w:rsidP="0056376D">
                      <w:pPr>
                        <w:pStyle w:val="Quote"/>
                      </w:pPr>
                      <w:r w:rsidRPr="008C6534">
                        <w:t>“</w:t>
                      </w:r>
                      <w:r w:rsidRPr="004B1447">
                        <w:t>Share the power in the room… so there is equity in the room”</w:t>
                      </w:r>
                    </w:p>
                    <w:p w:rsidR="0056376D" w:rsidRDefault="0056376D" w:rsidP="0056376D">
                      <w:pPr>
                        <w:pStyle w:val="Quote"/>
                      </w:pPr>
                    </w:p>
                  </w:txbxContent>
                </v:textbox>
                <w10:anchorlock/>
              </v:shape>
            </w:pict>
          </mc:Fallback>
        </mc:AlternateContent>
      </w:r>
    </w:p>
    <w:p w14:paraId="2DB5C2B8" w14:textId="77777777" w:rsidR="00767074" w:rsidRPr="008C6534" w:rsidRDefault="00514FB0" w:rsidP="008C6534">
      <w:pPr>
        <w:pStyle w:val="Heading3"/>
        <w:rPr>
          <w:rFonts w:eastAsia="Times New Roman"/>
        </w:rPr>
      </w:pPr>
      <w:r w:rsidRPr="008C6534">
        <w:rPr>
          <w:rStyle w:val="Strong"/>
          <w:rFonts w:eastAsiaTheme="minorEastAsia"/>
          <w:b/>
          <w:bCs/>
        </w:rPr>
        <w:t>Challenges:</w:t>
      </w:r>
    </w:p>
    <w:p w14:paraId="30FBE15D" w14:textId="77777777" w:rsidR="00767074" w:rsidRPr="008C6534" w:rsidRDefault="00514FB0" w:rsidP="00070EBD">
      <w:r w:rsidRPr="008C6534">
        <w:t xml:space="preserve">All stakeholder groups aspired to cultivate stronger partnerships. Several barriers to achieving equal partnership were identified, including the need for clarity on compliance frameworks concerning industry and consumers/consumer </w:t>
      </w:r>
      <w:proofErr w:type="spellStart"/>
      <w:r w:rsidRPr="008C6534">
        <w:t>organisations</w:t>
      </w:r>
      <w:proofErr w:type="spellEnd"/>
      <w:r w:rsidRPr="008C6534">
        <w:t>.</w:t>
      </w:r>
    </w:p>
    <w:p w14:paraId="4A01826E" w14:textId="77777777" w:rsidR="00767074" w:rsidRPr="008C6534" w:rsidRDefault="00514FB0" w:rsidP="00070EBD">
      <w:r w:rsidRPr="008C6534">
        <w:t>Guidance w</w:t>
      </w:r>
      <w:r w:rsidRPr="008C6534">
        <w:t>ould be needed on how partnerships could operate, for example who has responsibility for the application or data ownership for evidence generation.</w:t>
      </w:r>
    </w:p>
    <w:p w14:paraId="36F5810A" w14:textId="77777777" w:rsidR="00767074" w:rsidRPr="008C6534" w:rsidRDefault="00514FB0" w:rsidP="00070EBD">
      <w:r w:rsidRPr="008C6534">
        <w:t xml:space="preserve">It was noted that effective partnerships would require greater transparency of information and data between </w:t>
      </w:r>
      <w:r w:rsidRPr="008C6534">
        <w:t>stakeholders as well as substantial guidance to support these activities. It would also require greater acknowledgement and inclusion of consumers within HTA methods.</w:t>
      </w:r>
    </w:p>
    <w:p w14:paraId="036436A0" w14:textId="77777777" w:rsidR="0056376D" w:rsidRPr="0056376D" w:rsidRDefault="0056376D" w:rsidP="0056376D">
      <w:r>
        <w:rPr>
          <w:noProof/>
        </w:rPr>
        <mc:AlternateContent>
          <mc:Choice Requires="wps">
            <w:drawing>
              <wp:inline distT="0" distB="0" distL="0" distR="0" wp14:anchorId="3875DC04" wp14:editId="1C8659E6">
                <wp:extent cx="5731510" cy="711200"/>
                <wp:effectExtent l="0" t="0" r="0" b="0"/>
                <wp:docPr id="1525275776" name="Text Box 6"/>
                <wp:cNvGraphicFramePr/>
                <a:graphic xmlns:a="http://schemas.openxmlformats.org/drawingml/2006/main">
                  <a:graphicData uri="http://schemas.microsoft.com/office/word/2010/wordprocessingShape">
                    <wps:wsp>
                      <wps:cNvSpPr txBox="1"/>
                      <wps:spPr>
                        <a:xfrm>
                          <a:off x="0" y="0"/>
                          <a:ext cx="5731510" cy="711200"/>
                        </a:xfrm>
                        <a:prstGeom prst="rect">
                          <a:avLst/>
                        </a:prstGeom>
                        <a:solidFill>
                          <a:schemeClr val="bg1">
                            <a:lumMod val="95000"/>
                          </a:schemeClr>
                        </a:solidFill>
                        <a:ln w="6350">
                          <a:noFill/>
                        </a:ln>
                      </wps:spPr>
                      <wps:txbx>
                        <w:txbxContent>
                          <w:p w14:paraId="1216D12D" w14:textId="77777777" w:rsidR="0056376D" w:rsidRDefault="0056376D" w:rsidP="0056376D">
                            <w:pPr>
                              <w:pStyle w:val="Quote"/>
                            </w:pPr>
                            <w:r w:rsidRPr="008C6534">
                              <w:t xml:space="preserve">“Respect and trust of the healthcare system, be a partner in </w:t>
                            </w:r>
                            <w:r>
                              <w:br/>
                            </w:r>
                            <w:r w:rsidRPr="008C6534">
                              <w:t>our care”.</w:t>
                            </w:r>
                          </w:p>
                          <w:p w14:paraId="1063766E" w14:textId="77777777" w:rsidR="0056376D" w:rsidRDefault="0056376D" w:rsidP="0056376D">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C92DBF" id="_x0000_s1036" type="#_x0000_t202" style="width:451.3pt;height: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" fillcolor="#f2f2f2 [3052]" stroked="f" strokeweight=".5pt">
                <v:textbox>
                  <w:txbxContent>
                    <w:p w:rsidR="0056376D" w:rsidRDefault="0056376D" w:rsidP="0056376D">
                      <w:pPr>
                        <w:pStyle w:val="Quote"/>
                      </w:pPr>
                      <w:r w:rsidRPr="008C6534">
                        <w:t xml:space="preserve">“Respect and trust of the healthcare system, be a partner in </w:t>
                      </w:r>
                      <w:r>
                        <w:br/>
                      </w:r>
                      <w:r w:rsidRPr="008C6534">
                        <w:t>our care”.</w:t>
                      </w:r>
                    </w:p>
                    <w:p w:rsidR="0056376D" w:rsidRDefault="0056376D" w:rsidP="0056376D">
                      <w:pPr>
                        <w:pStyle w:val="Quote"/>
                      </w:pPr>
                    </w:p>
                  </w:txbxContent>
                </v:textbox>
                <w10:anchorlock/>
              </v:shape>
            </w:pict>
          </mc:Fallback>
        </mc:AlternateContent>
      </w:r>
    </w:p>
    <w:p w14:paraId="3690515F" w14:textId="77777777" w:rsidR="00767074" w:rsidRPr="006266F8" w:rsidRDefault="00514FB0" w:rsidP="008C6534">
      <w:pPr>
        <w:pStyle w:val="Heading1"/>
        <w:rPr>
          <w:color w:val="000000" w:themeColor="text1"/>
        </w:rPr>
      </w:pPr>
      <w:bookmarkStart w:id="12" w:name="_Toc142318740"/>
      <w:r w:rsidRPr="006266F8">
        <w:rPr>
          <w:color w:val="000000" w:themeColor="text1"/>
        </w:rPr>
        <w:lastRenderedPageBreak/>
        <w:t xml:space="preserve">Additional </w:t>
      </w:r>
      <w:r w:rsidRPr="006266F8">
        <w:rPr>
          <w:color w:val="000000" w:themeColor="text1"/>
        </w:rPr>
        <w:t>input from participants</w:t>
      </w:r>
      <w:bookmarkEnd w:id="12"/>
    </w:p>
    <w:p w14:paraId="598E7AA8" w14:textId="77777777" w:rsidR="00767074" w:rsidRPr="008C6534" w:rsidRDefault="00514FB0" w:rsidP="004D0083">
      <w:r w:rsidRPr="008C6534">
        <w:rPr>
          <w:rStyle w:val="Emphasis"/>
        </w:rPr>
        <w:t>Conversations for Change</w:t>
      </w:r>
      <w:r w:rsidRPr="008C6534">
        <w:t xml:space="preserve"> consultations were held with consumers, consumer </w:t>
      </w:r>
      <w:proofErr w:type="spellStart"/>
      <w:r w:rsidRPr="008C6534">
        <w:t>organisation</w:t>
      </w:r>
      <w:proofErr w:type="spellEnd"/>
      <w:r w:rsidRPr="008C6534">
        <w:t xml:space="preserve"> representatives, health professionals, academics (health economists and researchers), pharmaceutical industry representatives and consumer repres</w:t>
      </w:r>
      <w:r w:rsidRPr="008C6534">
        <w:t xml:space="preserve">entative members in HTA committees (Table 2, page 6). </w:t>
      </w:r>
    </w:p>
    <w:p w14:paraId="4A04745E" w14:textId="77777777" w:rsidR="00767074" w:rsidRPr="008C6534" w:rsidRDefault="00514FB0" w:rsidP="004D0083">
      <w:r w:rsidRPr="008C6534">
        <w:t xml:space="preserve">As previously mentioned, the focus of </w:t>
      </w:r>
      <w:r w:rsidRPr="008C6534">
        <w:rPr>
          <w:rStyle w:val="Emphasis"/>
        </w:rPr>
        <w:t>Conversations for Change</w:t>
      </w:r>
      <w:r w:rsidRPr="008C6534">
        <w:t xml:space="preserve"> was on </w:t>
      </w:r>
      <w:r w:rsidR="00421ED8">
        <w:rPr>
          <w:rStyle w:val="Strong"/>
          <w:rFonts w:eastAsiaTheme="minorEastAsia"/>
        </w:rPr>
        <w:t>what</w:t>
      </w:r>
      <w:r w:rsidRPr="008C6534">
        <w:t xml:space="preserve">, </w:t>
      </w:r>
      <w:r w:rsidR="00421ED8">
        <w:rPr>
          <w:rStyle w:val="Strong"/>
          <w:rFonts w:eastAsiaTheme="minorEastAsia"/>
        </w:rPr>
        <w:t>when</w:t>
      </w:r>
      <w:r w:rsidRPr="008C6534">
        <w:t xml:space="preserve"> and </w:t>
      </w:r>
      <w:r w:rsidR="00421ED8">
        <w:rPr>
          <w:rStyle w:val="Strong"/>
          <w:rFonts w:eastAsiaTheme="minorEastAsia"/>
        </w:rPr>
        <w:t>how</w:t>
      </w:r>
      <w:r w:rsidRPr="008C6534">
        <w:t xml:space="preserve"> consumer views and experiences can best be provided during HTA processes.</w:t>
      </w:r>
    </w:p>
    <w:p w14:paraId="27F12539" w14:textId="77777777" w:rsidR="00767074" w:rsidRPr="008C6534" w:rsidRDefault="00514FB0" w:rsidP="004D0083">
      <w:r w:rsidRPr="008C6534">
        <w:t>All participants were supportive of increased opportunities for consumers to be involved; “</w:t>
      </w:r>
      <w:r w:rsidRPr="008C6534">
        <w:rPr>
          <w:rStyle w:val="Emphasis"/>
        </w:rPr>
        <w:t>as clinicians we can be a voice for consumers, but not their voice</w:t>
      </w:r>
      <w:r w:rsidRPr="008C6534">
        <w:t>”. There was also a stro</w:t>
      </w:r>
      <w:r w:rsidRPr="008C6534">
        <w:t>ng sentiment for consumer evidence to be formally acknowledged in HTA guidelines as an additional form of evidence.</w:t>
      </w:r>
    </w:p>
    <w:p w14:paraId="692DC4D6" w14:textId="77777777" w:rsidR="00767074" w:rsidRPr="008C6534" w:rsidRDefault="00514FB0" w:rsidP="004D0083">
      <w:r w:rsidRPr="008C6534">
        <w:t>Some participant groups provided additional comments that spoke more broadly about current barriers in the HTA processes and suggestions for</w:t>
      </w:r>
      <w:r w:rsidRPr="008C6534">
        <w:t xml:space="preserve"> improvement. These are included below.</w:t>
      </w:r>
    </w:p>
    <w:p w14:paraId="1BE52A60" w14:textId="77777777" w:rsidR="0056376D" w:rsidRPr="0056376D" w:rsidRDefault="0056376D" w:rsidP="0056376D">
      <w:r>
        <w:rPr>
          <w:noProof/>
        </w:rPr>
        <mc:AlternateContent>
          <mc:Choice Requires="wps">
            <w:drawing>
              <wp:inline distT="0" distB="0" distL="0" distR="0" wp14:anchorId="69339B3A" wp14:editId="7BD6F5A1">
                <wp:extent cx="5731510" cy="496235"/>
                <wp:effectExtent l="0" t="0" r="0" b="0"/>
                <wp:docPr id="182913229" name="Text Box 6"/>
                <wp:cNvGraphicFramePr/>
                <a:graphic xmlns:a="http://schemas.openxmlformats.org/drawingml/2006/main">
                  <a:graphicData uri="http://schemas.microsoft.com/office/word/2010/wordprocessingShape">
                    <wps:wsp>
                      <wps:cNvSpPr txBox="1"/>
                      <wps:spPr>
                        <a:xfrm>
                          <a:off x="0" y="0"/>
                          <a:ext cx="5731510" cy="496235"/>
                        </a:xfrm>
                        <a:prstGeom prst="rect">
                          <a:avLst/>
                        </a:prstGeom>
                        <a:solidFill>
                          <a:schemeClr val="bg1">
                            <a:lumMod val="95000"/>
                          </a:schemeClr>
                        </a:solidFill>
                        <a:ln w="6350">
                          <a:noFill/>
                        </a:ln>
                      </wps:spPr>
                      <wps:txbx>
                        <w:txbxContent>
                          <w:p w14:paraId="1FED131A" w14:textId="77777777" w:rsidR="0056376D" w:rsidRDefault="0056376D" w:rsidP="0056376D">
                            <w:pPr>
                              <w:pStyle w:val="Quote"/>
                            </w:pPr>
                            <w:r w:rsidRPr="008C6534">
                              <w:t>“We need a healthcare-driven HTA pathway”.</w:t>
                            </w:r>
                          </w:p>
                          <w:p w14:paraId="65029D97" w14:textId="77777777" w:rsidR="0056376D" w:rsidRDefault="0056376D" w:rsidP="0056376D">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452CB0" id="_x0000_s1037" type="#_x0000_t202" style="width:451.3pt;height:3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" fillcolor="#f2f2f2 [3052]" stroked="f" strokeweight=".5pt">
                <v:textbox>
                  <w:txbxContent>
                    <w:p w:rsidR="0056376D" w:rsidRDefault="0056376D" w:rsidP="0056376D">
                      <w:pPr>
                        <w:pStyle w:val="Quote"/>
                      </w:pPr>
                      <w:r w:rsidRPr="008C6534">
                        <w:t>“We need a healthcare-driven HTA pathway”.</w:t>
                      </w:r>
                    </w:p>
                    <w:p w:rsidR="0056376D" w:rsidRDefault="0056376D" w:rsidP="0056376D">
                      <w:pPr>
                        <w:pStyle w:val="Quote"/>
                      </w:pPr>
                    </w:p>
                  </w:txbxContent>
                </v:textbox>
                <w10:anchorlock/>
              </v:shape>
            </w:pict>
          </mc:Fallback>
        </mc:AlternateContent>
      </w:r>
    </w:p>
    <w:p w14:paraId="4197562E" w14:textId="77777777" w:rsidR="00767074" w:rsidRPr="008C6534" w:rsidRDefault="00514FB0" w:rsidP="008C6534">
      <w:pPr>
        <w:pStyle w:val="Heading3"/>
        <w:rPr>
          <w:rFonts w:eastAsia="Times New Roman"/>
        </w:rPr>
      </w:pPr>
      <w:r w:rsidRPr="008C6534">
        <w:rPr>
          <w:rStyle w:val="Strong"/>
          <w:rFonts w:eastAsiaTheme="minorEastAsia"/>
          <w:b/>
          <w:bCs/>
        </w:rPr>
        <w:t>Clinicians/Health Professionals</w:t>
      </w:r>
    </w:p>
    <w:p w14:paraId="65D1EA1E" w14:textId="77777777" w:rsidR="00767074" w:rsidRPr="004D0083" w:rsidRDefault="00514FB0" w:rsidP="008C6534">
      <w:pPr>
        <w:pStyle w:val="ListParagraph"/>
        <w:numPr>
          <w:ilvl w:val="0"/>
          <w:numId w:val="13"/>
        </w:numPr>
        <w:rPr>
          <w:rStyle w:val="BookTitle"/>
        </w:rPr>
      </w:pPr>
      <w:r w:rsidRPr="008C6534">
        <w:rPr>
          <w:rFonts w:eastAsia="Times New Roman"/>
        </w:rPr>
        <w:t xml:space="preserve">Additional avenues/support are needed to facilitate clinician-led submissions for clinical need </w:t>
      </w:r>
      <w:r w:rsidRPr="004D0083">
        <w:rPr>
          <w:rStyle w:val="BookTitle"/>
        </w:rPr>
        <w:t>such as dose changes, combination therap</w:t>
      </w:r>
      <w:r w:rsidRPr="004D0083">
        <w:rPr>
          <w:rStyle w:val="BookTitle"/>
        </w:rPr>
        <w:t>ies (particularly oncology), re-submissions (if sponsor not pursuing) and extending indications in off-label usage.</w:t>
      </w:r>
    </w:p>
    <w:p w14:paraId="410F5EB5" w14:textId="77777777" w:rsidR="00767074" w:rsidRPr="004D0083" w:rsidRDefault="00514FB0" w:rsidP="008C6534">
      <w:pPr>
        <w:pStyle w:val="ListParagraph"/>
        <w:numPr>
          <w:ilvl w:val="0"/>
          <w:numId w:val="13"/>
        </w:numPr>
        <w:rPr>
          <w:rStyle w:val="BookTitle"/>
        </w:rPr>
      </w:pPr>
      <w:r w:rsidRPr="004D0083">
        <w:rPr>
          <w:rStyle w:val="BookTitle"/>
        </w:rPr>
        <w:t xml:space="preserve">Greater transparency and understanding </w:t>
      </w:r>
      <w:proofErr w:type="gramStart"/>
      <w:r w:rsidRPr="004D0083">
        <w:rPr>
          <w:rStyle w:val="BookTitle"/>
        </w:rPr>
        <w:t>is</w:t>
      </w:r>
      <w:proofErr w:type="gramEnd"/>
      <w:r w:rsidRPr="004D0083">
        <w:rPr>
          <w:rStyle w:val="BookTitle"/>
        </w:rPr>
        <w:t xml:space="preserve"> needed around equitable access considerations for specific patient groups, such as </w:t>
      </w:r>
      <w:proofErr w:type="spellStart"/>
      <w:r w:rsidRPr="004D0083">
        <w:rPr>
          <w:rStyle w:val="BookTitle"/>
        </w:rPr>
        <w:t>paediatric</w:t>
      </w:r>
      <w:proofErr w:type="spellEnd"/>
      <w:r w:rsidRPr="004D0083">
        <w:rPr>
          <w:rStyle w:val="BookTitle"/>
        </w:rPr>
        <w:t xml:space="preserve"> (whe</w:t>
      </w:r>
      <w:r w:rsidRPr="004D0083">
        <w:rPr>
          <w:rStyle w:val="BookTitle"/>
        </w:rPr>
        <w:t>re indication is for ≥ 18 years of age), rare diseases, rural/remote communities.</w:t>
      </w:r>
    </w:p>
    <w:p w14:paraId="05B12F7B" w14:textId="77777777" w:rsidR="00767074" w:rsidRPr="004D0083" w:rsidRDefault="00514FB0" w:rsidP="008C6534">
      <w:pPr>
        <w:pStyle w:val="ListParagraph"/>
        <w:numPr>
          <w:ilvl w:val="0"/>
          <w:numId w:val="13"/>
        </w:numPr>
        <w:rPr>
          <w:rStyle w:val="BookTitle"/>
        </w:rPr>
      </w:pPr>
      <w:r w:rsidRPr="004D0083">
        <w:rPr>
          <w:rStyle w:val="BookTitle"/>
        </w:rPr>
        <w:t xml:space="preserve">Open calls for clinical experts to be directly involved in HTA committee meetings for highly </w:t>
      </w:r>
      <w:proofErr w:type="spellStart"/>
      <w:r w:rsidRPr="004D0083">
        <w:rPr>
          <w:rStyle w:val="BookTitle"/>
        </w:rPr>
        <w:t>specialised</w:t>
      </w:r>
      <w:proofErr w:type="spellEnd"/>
      <w:r w:rsidRPr="004D0083">
        <w:rPr>
          <w:rStyle w:val="BookTitle"/>
        </w:rPr>
        <w:t xml:space="preserve"> HTA items and major submissions, to provide deep knowledge of clinica</w:t>
      </w:r>
      <w:r w:rsidRPr="004D0083">
        <w:rPr>
          <w:rStyle w:val="BookTitle"/>
        </w:rPr>
        <w:t xml:space="preserve">l perspectives and advise on delivery pathways for </w:t>
      </w:r>
      <w:proofErr w:type="spellStart"/>
      <w:r w:rsidRPr="004D0083">
        <w:rPr>
          <w:rStyle w:val="BookTitle"/>
        </w:rPr>
        <w:t>specialised</w:t>
      </w:r>
      <w:proofErr w:type="spellEnd"/>
      <w:r w:rsidRPr="004D0083">
        <w:rPr>
          <w:rStyle w:val="BookTitle"/>
        </w:rPr>
        <w:t xml:space="preserve"> therapies and devices, to facilitate equitable access.</w:t>
      </w:r>
    </w:p>
    <w:p w14:paraId="79774078" w14:textId="77777777" w:rsidR="00767074" w:rsidRDefault="00514FB0" w:rsidP="008C6534">
      <w:pPr>
        <w:pStyle w:val="ListParagraph"/>
        <w:numPr>
          <w:ilvl w:val="0"/>
          <w:numId w:val="13"/>
        </w:numPr>
        <w:rPr>
          <w:rFonts w:eastAsia="Times New Roman"/>
        </w:rPr>
      </w:pPr>
      <w:r w:rsidRPr="004D0083">
        <w:rPr>
          <w:rStyle w:val="BookTitle"/>
        </w:rPr>
        <w:t>Expanded managed access programs for novel therapies and/or small patient populations to facilitate treatment</w:t>
      </w:r>
      <w:r w:rsidRPr="008C6534">
        <w:rPr>
          <w:rFonts w:eastAsia="Times New Roman"/>
        </w:rPr>
        <w:t xml:space="preserve"> access whilst continuing to </w:t>
      </w:r>
      <w:r w:rsidRPr="008C6534">
        <w:rPr>
          <w:rFonts w:eastAsia="Times New Roman"/>
        </w:rPr>
        <w:t xml:space="preserve">build evidence. </w:t>
      </w:r>
    </w:p>
    <w:p w14:paraId="6EF14409" w14:textId="77777777" w:rsidR="0056376D" w:rsidRPr="0056376D" w:rsidRDefault="0056376D" w:rsidP="0056376D">
      <w:pPr>
        <w:ind w:left="360"/>
        <w:rPr>
          <w:rFonts w:eastAsia="Times New Roman"/>
        </w:rPr>
      </w:pPr>
      <w:r>
        <w:rPr>
          <w:noProof/>
        </w:rPr>
        <mc:AlternateContent>
          <mc:Choice Requires="wps">
            <w:drawing>
              <wp:inline distT="0" distB="0" distL="0" distR="0" wp14:anchorId="009A2178" wp14:editId="3402B55D">
                <wp:extent cx="5502910" cy="685800"/>
                <wp:effectExtent l="0" t="0" r="0" b="0"/>
                <wp:docPr id="1026063965" name="Text Box 6"/>
                <wp:cNvGraphicFramePr/>
                <a:graphic xmlns:a="http://schemas.openxmlformats.org/drawingml/2006/main">
                  <a:graphicData uri="http://schemas.microsoft.com/office/word/2010/wordprocessingShape">
                    <wps:wsp>
                      <wps:cNvSpPr txBox="1"/>
                      <wps:spPr>
                        <a:xfrm>
                          <a:off x="0" y="0"/>
                          <a:ext cx="5502910" cy="685800"/>
                        </a:xfrm>
                        <a:prstGeom prst="rect">
                          <a:avLst/>
                        </a:prstGeom>
                        <a:solidFill>
                          <a:schemeClr val="bg1">
                            <a:lumMod val="95000"/>
                          </a:schemeClr>
                        </a:solidFill>
                        <a:ln w="6350">
                          <a:noFill/>
                        </a:ln>
                      </wps:spPr>
                      <wps:txbx>
                        <w:txbxContent>
                          <w:p w14:paraId="1F3C05E0" w14:textId="77777777" w:rsidR="0056376D" w:rsidRDefault="0056376D" w:rsidP="0056376D">
                            <w:pPr>
                              <w:pStyle w:val="Quote"/>
                            </w:pPr>
                            <w:r w:rsidRPr="008C6534">
                              <w:t>“Tinkering round the edges of HTA will not produce the results we need”.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65CF9A" id="_x0000_s1038" type="#_x0000_t202" style="width:433.3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" fillcolor="#f2f2f2 [3052]" stroked="f" strokeweight=".5pt">
                <v:textbox>
                  <w:txbxContent>
                    <w:p w:rsidR="0056376D" w:rsidRDefault="0056376D" w:rsidP="0056376D">
                      <w:pPr>
                        <w:pStyle w:val="Quote"/>
                      </w:pPr>
                      <w:r w:rsidRPr="008C6534">
                        <w:t>“Tinkering round the edges of HTA will not produce the results we need”.</w:t>
                      </w:r>
                    </w:p>
                  </w:txbxContent>
                </v:textbox>
                <w10:anchorlock/>
              </v:shape>
            </w:pict>
          </mc:Fallback>
        </mc:AlternateContent>
      </w:r>
    </w:p>
    <w:p w14:paraId="38CC04A2" w14:textId="77777777" w:rsidR="00767074" w:rsidRPr="008C6534" w:rsidRDefault="007D54E9" w:rsidP="007D54E9">
      <w:pPr>
        <w:pStyle w:val="Quote"/>
      </w:pPr>
      <w:r>
        <w:br/>
      </w:r>
    </w:p>
    <w:p w14:paraId="05DA7BF8" w14:textId="77777777" w:rsidR="004D0083" w:rsidRDefault="004D0083">
      <w:pPr>
        <w:spacing w:before="0" w:line="240" w:lineRule="auto"/>
        <w:rPr>
          <w:rStyle w:val="Strong"/>
          <w:rFonts w:eastAsiaTheme="minorEastAsia"/>
          <w:sz w:val="27"/>
          <w:szCs w:val="27"/>
        </w:rPr>
      </w:pPr>
      <w:r>
        <w:rPr>
          <w:rStyle w:val="Strong"/>
          <w:rFonts w:eastAsiaTheme="minorEastAsia"/>
          <w:b w:val="0"/>
          <w:bCs w:val="0"/>
        </w:rPr>
        <w:br w:type="page"/>
      </w:r>
    </w:p>
    <w:p w14:paraId="29D286A7" w14:textId="77777777" w:rsidR="00767074" w:rsidRPr="008C6534" w:rsidRDefault="00514FB0" w:rsidP="004D0083">
      <w:pPr>
        <w:pStyle w:val="Heading3"/>
        <w:rPr>
          <w:rFonts w:eastAsia="Times New Roman"/>
        </w:rPr>
      </w:pPr>
      <w:r w:rsidRPr="004D0083">
        <w:rPr>
          <w:rStyle w:val="Strong"/>
          <w:rFonts w:eastAsiaTheme="minorEastAsia"/>
          <w:b/>
          <w:bCs/>
        </w:rPr>
        <w:lastRenderedPageBreak/>
        <w:t>Academics</w:t>
      </w:r>
    </w:p>
    <w:p w14:paraId="0C8478EE" w14:textId="77777777" w:rsidR="00767074" w:rsidRPr="008C6534" w:rsidRDefault="00514FB0" w:rsidP="008C6534">
      <w:pPr>
        <w:pStyle w:val="ListParagraph"/>
        <w:numPr>
          <w:ilvl w:val="0"/>
          <w:numId w:val="14"/>
        </w:numPr>
        <w:rPr>
          <w:rFonts w:eastAsia="Times New Roman"/>
        </w:rPr>
      </w:pPr>
      <w:r w:rsidRPr="008C6534">
        <w:rPr>
          <w:rFonts w:eastAsia="Times New Roman"/>
        </w:rPr>
        <w:t xml:space="preserve">More clinical trials to be co-designed to generate evidence for HTA processes. This would require capacity building with researchers to understand the type of evidence needed to inform HTA processes. </w:t>
      </w:r>
    </w:p>
    <w:p w14:paraId="51200825" w14:textId="77777777" w:rsidR="00767074" w:rsidRDefault="00514FB0" w:rsidP="004D0083">
      <w:pPr>
        <w:pStyle w:val="ListParagraph"/>
        <w:rPr>
          <w:rFonts w:eastAsia="Times New Roman"/>
        </w:rPr>
      </w:pPr>
      <w:r w:rsidRPr="008C6534">
        <w:rPr>
          <w:rFonts w:eastAsia="Times New Roman"/>
        </w:rPr>
        <w:t>Public education on the wider perspective of population</w:t>
      </w:r>
      <w:r w:rsidRPr="008C6534">
        <w:rPr>
          <w:rFonts w:eastAsia="Times New Roman"/>
        </w:rPr>
        <w:t xml:space="preserve"> health, on which HTA is based, is needed to provide individuals with context when preparing consumer and other input for HTA considerations. </w:t>
      </w:r>
    </w:p>
    <w:p w14:paraId="54E54A6F" w14:textId="77777777" w:rsidR="004B1447" w:rsidRPr="008C6534" w:rsidRDefault="004B1447" w:rsidP="004D0083">
      <w:pPr>
        <w:pStyle w:val="ListParagraph"/>
        <w:rPr>
          <w:rFonts w:eastAsia="Times New Roman"/>
        </w:rPr>
      </w:pPr>
    </w:p>
    <w:p w14:paraId="7B6559BD" w14:textId="77777777" w:rsidR="00C52AB2" w:rsidRDefault="0056376D" w:rsidP="00C52AB2">
      <w:pPr>
        <w:spacing w:before="0" w:line="240" w:lineRule="auto"/>
        <w:rPr>
          <w:rStyle w:val="Strong"/>
          <w:rFonts w:eastAsiaTheme="minorEastAsia"/>
          <w:b w:val="0"/>
          <w:bCs w:val="0"/>
        </w:rPr>
      </w:pPr>
      <w:r>
        <w:rPr>
          <w:noProof/>
        </w:rPr>
        <mc:AlternateContent>
          <mc:Choice Requires="wps">
            <w:drawing>
              <wp:inline distT="0" distB="0" distL="0" distR="0" wp14:anchorId="66F4702C" wp14:editId="4A8046F3">
                <wp:extent cx="5502910" cy="1485900"/>
                <wp:effectExtent l="0" t="0" r="0" b="0"/>
                <wp:docPr id="625946241" name="Text Box 6"/>
                <wp:cNvGraphicFramePr/>
                <a:graphic xmlns:a="http://schemas.openxmlformats.org/drawingml/2006/main">
                  <a:graphicData uri="http://schemas.microsoft.com/office/word/2010/wordprocessingShape">
                    <wps:wsp>
                      <wps:cNvSpPr txBox="1"/>
                      <wps:spPr>
                        <a:xfrm>
                          <a:off x="0" y="0"/>
                          <a:ext cx="5502910" cy="1485900"/>
                        </a:xfrm>
                        <a:prstGeom prst="rect">
                          <a:avLst/>
                        </a:prstGeom>
                        <a:solidFill>
                          <a:schemeClr val="bg1">
                            <a:lumMod val="95000"/>
                          </a:schemeClr>
                        </a:solidFill>
                        <a:ln w="6350">
                          <a:noFill/>
                        </a:ln>
                      </wps:spPr>
                      <wps:txbx>
                        <w:txbxContent>
                          <w:p w14:paraId="6D23D87D" w14:textId="77777777" w:rsidR="0056376D" w:rsidRPr="008C6534" w:rsidRDefault="0056376D" w:rsidP="0056376D">
                            <w:pPr>
                              <w:pStyle w:val="Quote"/>
                            </w:pPr>
                            <w:r w:rsidRPr="008C6534">
                              <w:t xml:space="preserve">“There are 2 rationales (for consumer engagement): </w:t>
                            </w:r>
                          </w:p>
                          <w:p w14:paraId="13353171" w14:textId="77777777" w:rsidR="0056376D" w:rsidRPr="008C6534" w:rsidRDefault="0056376D" w:rsidP="0056376D">
                            <w:pPr>
                              <w:pStyle w:val="Quote"/>
                            </w:pPr>
                            <w:r w:rsidRPr="008C6534">
                              <w:t xml:space="preserve">1) substantive – engagement will improve committee deliberations, and </w:t>
                            </w:r>
                          </w:p>
                          <w:p w14:paraId="7AB6839B" w14:textId="77777777" w:rsidR="0056376D" w:rsidRPr="008C6534" w:rsidRDefault="0056376D" w:rsidP="0056376D">
                            <w:pPr>
                              <w:pStyle w:val="Quote"/>
                            </w:pPr>
                            <w:r w:rsidRPr="008C6534">
                              <w:t>2) democratic – give people a say. Both these aims need to be met”.</w:t>
                            </w:r>
                          </w:p>
                          <w:p w14:paraId="46E3BD0E" w14:textId="77777777" w:rsidR="0056376D" w:rsidRDefault="0056376D" w:rsidP="0056376D">
                            <w:pPr>
                              <w:pStyle w:val="Quot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5D1C2F" id="_x0000_s1039" type="#_x0000_t202" style="width:433.3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" fillcolor="#f2f2f2 [3052]" stroked="f" strokeweight=".5pt">
                <v:textbox>
                  <w:txbxContent>
                    <w:p w:rsidR="0056376D" w:rsidRPr="008C6534" w:rsidRDefault="0056376D" w:rsidP="0056376D">
                      <w:pPr>
                        <w:pStyle w:val="Quote"/>
                      </w:pPr>
                      <w:r w:rsidRPr="008C6534">
                        <w:t xml:space="preserve">“There are 2 rationales (for consumer engagement): </w:t>
                      </w:r>
                    </w:p>
                    <w:p w:rsidR="0056376D" w:rsidRPr="008C6534" w:rsidRDefault="0056376D" w:rsidP="0056376D">
                      <w:pPr>
                        <w:pStyle w:val="Quote"/>
                      </w:pPr>
                      <w:r w:rsidRPr="008C6534">
                        <w:t xml:space="preserve">1) substantive – engagement will improve committee deliberations, and </w:t>
                      </w:r>
                    </w:p>
                    <w:p w:rsidR="0056376D" w:rsidRPr="008C6534" w:rsidRDefault="0056376D" w:rsidP="0056376D">
                      <w:pPr>
                        <w:pStyle w:val="Quote"/>
                      </w:pPr>
                      <w:r w:rsidRPr="008C6534">
                        <w:t>2) democratic – give people a say. Both these aims need to be met”.</w:t>
                      </w:r>
                    </w:p>
                    <w:p w:rsidR="0056376D" w:rsidRDefault="0056376D" w:rsidP="0056376D">
                      <w:pPr>
                        <w:pStyle w:val="Quote"/>
                      </w:pPr>
                    </w:p>
                  </w:txbxContent>
                </v:textbox>
                <w10:anchorlock/>
              </v:shape>
            </w:pict>
          </mc:Fallback>
        </mc:AlternateContent>
      </w:r>
    </w:p>
    <w:p w14:paraId="7A30AA8F" w14:textId="77777777" w:rsidR="004B1447" w:rsidRDefault="004B1447">
      <w:pPr>
        <w:spacing w:before="0" w:line="240" w:lineRule="auto"/>
        <w:rPr>
          <w:rStyle w:val="Strong"/>
          <w:rFonts w:eastAsiaTheme="minorEastAsia"/>
        </w:rPr>
      </w:pPr>
      <w:r>
        <w:rPr>
          <w:rStyle w:val="Strong"/>
          <w:rFonts w:eastAsiaTheme="minorEastAsia"/>
        </w:rPr>
        <w:br w:type="page"/>
      </w:r>
    </w:p>
    <w:p w14:paraId="380C1661" w14:textId="77777777" w:rsidR="00767074" w:rsidRPr="00C52AB2" w:rsidRDefault="00514FB0" w:rsidP="00C52AB2">
      <w:pPr>
        <w:spacing w:before="0" w:line="240" w:lineRule="auto"/>
        <w:rPr>
          <w:b/>
          <w:bCs/>
          <w:sz w:val="27"/>
          <w:szCs w:val="27"/>
        </w:rPr>
      </w:pPr>
      <w:r w:rsidRPr="008C6534">
        <w:rPr>
          <w:rStyle w:val="Strong"/>
          <w:rFonts w:eastAsiaTheme="minorEastAsia"/>
        </w:rPr>
        <w:lastRenderedPageBreak/>
        <w:t xml:space="preserve">The Office of Health Technology Assessment’s Consumer Evidence and Engagement Unit sincerely thanks all participants in this consultation. </w:t>
      </w:r>
    </w:p>
    <w:p w14:paraId="42C34667" w14:textId="77777777" w:rsidR="00C10D6D" w:rsidRPr="008C6534" w:rsidRDefault="00514FB0" w:rsidP="00C52AB2">
      <w:pPr>
        <w:rPr>
          <w:rFonts w:eastAsia="Times New Roman"/>
        </w:rPr>
      </w:pPr>
      <w:r w:rsidRPr="008C6534">
        <w:rPr>
          <w:rStyle w:val="Strong"/>
          <w:rFonts w:eastAsiaTheme="minorEastAsia"/>
        </w:rPr>
        <w:t>We hope the report respectfull</w:t>
      </w:r>
      <w:r w:rsidRPr="008C6534">
        <w:rPr>
          <w:rStyle w:val="Strong"/>
          <w:rFonts w:eastAsiaTheme="minorEastAsia"/>
        </w:rPr>
        <w:t>y reflects the responses from the many people who participated in the Conversations for Change activities.</w:t>
      </w:r>
    </w:p>
    <w:sectPr w:rsidR="00C10D6D" w:rsidRPr="008C6534" w:rsidSect="00423253">
      <w:pgSz w:w="11906" w:h="16838"/>
      <w:pgMar w:top="1440" w:right="1440" w:bottom="1440" w:left="1440" w:header="708" w:footer="5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B252C" w14:textId="77777777" w:rsidR="00535FBB" w:rsidRDefault="00535FBB" w:rsidP="005273BF">
      <w:pPr>
        <w:spacing w:before="0"/>
      </w:pPr>
      <w:r>
        <w:separator/>
      </w:r>
    </w:p>
  </w:endnote>
  <w:endnote w:type="continuationSeparator" w:id="0">
    <w:p w14:paraId="7BC4BB30" w14:textId="77777777" w:rsidR="00535FBB" w:rsidRDefault="00535FBB" w:rsidP="005273B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Light (Headings)">
    <w:altName w:val="Calibri Light"/>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5246719"/>
      <w:docPartObj>
        <w:docPartGallery w:val="Page Numbers (Bottom of Page)"/>
        <w:docPartUnique/>
      </w:docPartObj>
    </w:sdtPr>
    <w:sdtEndPr>
      <w:rPr>
        <w:rStyle w:val="PageNumber"/>
      </w:rPr>
    </w:sdtEndPr>
    <w:sdtContent>
      <w:p w14:paraId="62A2D59A" w14:textId="77777777" w:rsidR="002001D5" w:rsidRDefault="002001D5" w:rsidP="00F41B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E94E6A" w14:textId="77777777" w:rsidR="002001D5" w:rsidRDefault="002001D5" w:rsidP="002001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1353837210"/>
      <w:docPartObj>
        <w:docPartGallery w:val="Page Numbers (Bottom of Page)"/>
        <w:docPartUnique/>
      </w:docPartObj>
    </w:sdtPr>
    <w:sdtEndPr>
      <w:rPr>
        <w:rStyle w:val="PageNumber"/>
      </w:rPr>
    </w:sdtEndPr>
    <w:sdtContent>
      <w:p w14:paraId="0CC4BC3E" w14:textId="77777777" w:rsidR="002001D5" w:rsidRPr="002001D5" w:rsidRDefault="002001D5" w:rsidP="00F41BFD">
        <w:pPr>
          <w:pStyle w:val="Footer"/>
          <w:framePr w:wrap="none" w:vAnchor="text" w:hAnchor="margin" w:xAlign="right" w:y="1"/>
          <w:rPr>
            <w:rStyle w:val="PageNumber"/>
            <w:sz w:val="18"/>
            <w:szCs w:val="18"/>
          </w:rPr>
        </w:pPr>
        <w:r w:rsidRPr="002001D5">
          <w:rPr>
            <w:rStyle w:val="PageNumber"/>
            <w:sz w:val="18"/>
            <w:szCs w:val="18"/>
          </w:rPr>
          <w:fldChar w:fldCharType="begin"/>
        </w:r>
        <w:r w:rsidRPr="002001D5">
          <w:rPr>
            <w:rStyle w:val="PageNumber"/>
            <w:sz w:val="18"/>
            <w:szCs w:val="18"/>
          </w:rPr>
          <w:instrText xml:space="preserve"> PAGE </w:instrText>
        </w:r>
        <w:r w:rsidRPr="002001D5">
          <w:rPr>
            <w:rStyle w:val="PageNumber"/>
            <w:sz w:val="18"/>
            <w:szCs w:val="18"/>
          </w:rPr>
          <w:fldChar w:fldCharType="separate"/>
        </w:r>
        <w:r w:rsidRPr="002001D5">
          <w:rPr>
            <w:rStyle w:val="PageNumber"/>
            <w:noProof/>
            <w:sz w:val="18"/>
            <w:szCs w:val="18"/>
          </w:rPr>
          <w:t>2</w:t>
        </w:r>
        <w:r w:rsidRPr="002001D5">
          <w:rPr>
            <w:rStyle w:val="PageNumber"/>
            <w:sz w:val="18"/>
            <w:szCs w:val="18"/>
          </w:rPr>
          <w:fldChar w:fldCharType="end"/>
        </w:r>
      </w:p>
    </w:sdtContent>
  </w:sdt>
  <w:p w14:paraId="72763C82" w14:textId="77777777" w:rsidR="002001D5" w:rsidRPr="002001D5" w:rsidRDefault="002001D5" w:rsidP="002001D5">
    <w:pPr>
      <w:ind w:right="360"/>
      <w:rPr>
        <w:rFonts w:eastAsia="Times New Roman"/>
        <w:sz w:val="18"/>
        <w:szCs w:val="18"/>
        <w:lang w:val="en-AU"/>
      </w:rPr>
    </w:pPr>
    <w:r w:rsidRPr="002001D5">
      <w:rPr>
        <w:rFonts w:eastAsia="Times New Roman"/>
        <w:sz w:val="18"/>
        <w:szCs w:val="18"/>
        <w:lang w:val="en-AU"/>
      </w:rPr>
      <w:t xml:space="preserve">Conversations for Change report – July 2023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32B5" w14:textId="77777777" w:rsidR="00835727" w:rsidRDefault="00835727" w:rsidP="008357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BD48" w14:textId="77777777" w:rsidR="00535FBB" w:rsidRDefault="00535FBB" w:rsidP="005273BF">
      <w:pPr>
        <w:spacing w:before="0"/>
      </w:pPr>
      <w:r>
        <w:separator/>
      </w:r>
    </w:p>
  </w:footnote>
  <w:footnote w:type="continuationSeparator" w:id="0">
    <w:p w14:paraId="035C2E24" w14:textId="77777777" w:rsidR="00535FBB" w:rsidRDefault="00535FBB" w:rsidP="005273BF">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103C"/>
    <w:multiLevelType w:val="multilevel"/>
    <w:tmpl w:val="BBE865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D322B"/>
    <w:multiLevelType w:val="multilevel"/>
    <w:tmpl w:val="B54A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2FA"/>
    <w:multiLevelType w:val="multilevel"/>
    <w:tmpl w:val="DCCE4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5D6DA0"/>
    <w:multiLevelType w:val="multilevel"/>
    <w:tmpl w:val="B9544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E593C"/>
    <w:multiLevelType w:val="multilevel"/>
    <w:tmpl w:val="BBE865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5296D"/>
    <w:multiLevelType w:val="multilevel"/>
    <w:tmpl w:val="DD3C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E1E3C"/>
    <w:multiLevelType w:val="multilevel"/>
    <w:tmpl w:val="BBE865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50B1B"/>
    <w:multiLevelType w:val="multilevel"/>
    <w:tmpl w:val="6834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B5F10"/>
    <w:multiLevelType w:val="multilevel"/>
    <w:tmpl w:val="7EC011C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634123"/>
    <w:multiLevelType w:val="multilevel"/>
    <w:tmpl w:val="4084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4D3144"/>
    <w:multiLevelType w:val="multilevel"/>
    <w:tmpl w:val="61FE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693371"/>
    <w:multiLevelType w:val="multilevel"/>
    <w:tmpl w:val="66D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E49F2"/>
    <w:multiLevelType w:val="multilevel"/>
    <w:tmpl w:val="BBE865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927046"/>
    <w:multiLevelType w:val="multilevel"/>
    <w:tmpl w:val="F19C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485009"/>
    <w:multiLevelType w:val="multilevel"/>
    <w:tmpl w:val="7318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89125B"/>
    <w:multiLevelType w:val="multilevel"/>
    <w:tmpl w:val="36E2DEC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1C5E25"/>
    <w:multiLevelType w:val="multilevel"/>
    <w:tmpl w:val="14F2DC9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6226CD"/>
    <w:multiLevelType w:val="multilevel"/>
    <w:tmpl w:val="BBE865A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u w:color="18485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7A342A"/>
    <w:multiLevelType w:val="hybridMultilevel"/>
    <w:tmpl w:val="DE2A6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755B5"/>
    <w:multiLevelType w:val="multilevel"/>
    <w:tmpl w:val="9BA2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FF840C9"/>
    <w:multiLevelType w:val="multilevel"/>
    <w:tmpl w:val="5B0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311475"/>
    <w:multiLevelType w:val="multilevel"/>
    <w:tmpl w:val="E50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4C560D"/>
    <w:multiLevelType w:val="multilevel"/>
    <w:tmpl w:val="13E0D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5619507">
    <w:abstractNumId w:val="5"/>
  </w:num>
  <w:num w:numId="2" w16cid:durableId="709495176">
    <w:abstractNumId w:val="1"/>
  </w:num>
  <w:num w:numId="3" w16cid:durableId="1815635639">
    <w:abstractNumId w:val="14"/>
  </w:num>
  <w:num w:numId="4" w16cid:durableId="898127598">
    <w:abstractNumId w:val="13"/>
  </w:num>
  <w:num w:numId="5" w16cid:durableId="534663069">
    <w:abstractNumId w:val="10"/>
  </w:num>
  <w:num w:numId="6" w16cid:durableId="706417895">
    <w:abstractNumId w:val="2"/>
  </w:num>
  <w:num w:numId="7" w16cid:durableId="1323509054">
    <w:abstractNumId w:val="3"/>
  </w:num>
  <w:num w:numId="8" w16cid:durableId="1128544212">
    <w:abstractNumId w:val="21"/>
  </w:num>
  <w:num w:numId="9" w16cid:durableId="35085019">
    <w:abstractNumId w:val="19"/>
  </w:num>
  <w:num w:numId="10" w16cid:durableId="1448087488">
    <w:abstractNumId w:val="11"/>
  </w:num>
  <w:num w:numId="11" w16cid:durableId="467556926">
    <w:abstractNumId w:val="22"/>
  </w:num>
  <w:num w:numId="12" w16cid:durableId="992489377">
    <w:abstractNumId w:val="9"/>
  </w:num>
  <w:num w:numId="13" w16cid:durableId="1807434109">
    <w:abstractNumId w:val="20"/>
  </w:num>
  <w:num w:numId="14" w16cid:durableId="1560938238">
    <w:abstractNumId w:val="7"/>
  </w:num>
  <w:num w:numId="15" w16cid:durableId="1813403186">
    <w:abstractNumId w:val="16"/>
  </w:num>
  <w:num w:numId="16" w16cid:durableId="1473449841">
    <w:abstractNumId w:val="15"/>
  </w:num>
  <w:num w:numId="17" w16cid:durableId="1071852000">
    <w:abstractNumId w:val="8"/>
  </w:num>
  <w:num w:numId="18" w16cid:durableId="1941259871">
    <w:abstractNumId w:val="0"/>
  </w:num>
  <w:num w:numId="19" w16cid:durableId="545602737">
    <w:abstractNumId w:val="4"/>
  </w:num>
  <w:num w:numId="20" w16cid:durableId="1671104990">
    <w:abstractNumId w:val="12"/>
  </w:num>
  <w:num w:numId="21" w16cid:durableId="1944149053">
    <w:abstractNumId w:val="17"/>
  </w:num>
  <w:num w:numId="22" w16cid:durableId="157307656">
    <w:abstractNumId w:val="6"/>
  </w:num>
  <w:num w:numId="23" w16cid:durableId="46053981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34"/>
    <w:rsid w:val="000551BA"/>
    <w:rsid w:val="0006226E"/>
    <w:rsid w:val="00070EBD"/>
    <w:rsid w:val="00095119"/>
    <w:rsid w:val="000B1488"/>
    <w:rsid w:val="00145032"/>
    <w:rsid w:val="0015491D"/>
    <w:rsid w:val="001B6708"/>
    <w:rsid w:val="001D7BA7"/>
    <w:rsid w:val="002001D5"/>
    <w:rsid w:val="00247831"/>
    <w:rsid w:val="002803F5"/>
    <w:rsid w:val="002A7EED"/>
    <w:rsid w:val="002B54FA"/>
    <w:rsid w:val="002F1587"/>
    <w:rsid w:val="00356106"/>
    <w:rsid w:val="0036755D"/>
    <w:rsid w:val="003720C1"/>
    <w:rsid w:val="00377836"/>
    <w:rsid w:val="00386607"/>
    <w:rsid w:val="00394EFE"/>
    <w:rsid w:val="004050AE"/>
    <w:rsid w:val="00421ED8"/>
    <w:rsid w:val="00423253"/>
    <w:rsid w:val="004A1830"/>
    <w:rsid w:val="004B1447"/>
    <w:rsid w:val="004D0083"/>
    <w:rsid w:val="004D338A"/>
    <w:rsid w:val="0051751D"/>
    <w:rsid w:val="00522E6E"/>
    <w:rsid w:val="005273BF"/>
    <w:rsid w:val="00535FBB"/>
    <w:rsid w:val="005605C7"/>
    <w:rsid w:val="0056376D"/>
    <w:rsid w:val="005A5C5B"/>
    <w:rsid w:val="005F6672"/>
    <w:rsid w:val="00600A7E"/>
    <w:rsid w:val="0062630D"/>
    <w:rsid w:val="006266F8"/>
    <w:rsid w:val="006408DC"/>
    <w:rsid w:val="006603B8"/>
    <w:rsid w:val="006A78D9"/>
    <w:rsid w:val="006B441D"/>
    <w:rsid w:val="006C0EB0"/>
    <w:rsid w:val="00713FB5"/>
    <w:rsid w:val="007669CD"/>
    <w:rsid w:val="00767074"/>
    <w:rsid w:val="00770DB3"/>
    <w:rsid w:val="007D09EB"/>
    <w:rsid w:val="007D54E9"/>
    <w:rsid w:val="00832F7A"/>
    <w:rsid w:val="00835727"/>
    <w:rsid w:val="0085787A"/>
    <w:rsid w:val="008627F2"/>
    <w:rsid w:val="00866F0A"/>
    <w:rsid w:val="008867A8"/>
    <w:rsid w:val="008B49F6"/>
    <w:rsid w:val="008C6534"/>
    <w:rsid w:val="008D1C34"/>
    <w:rsid w:val="009A29CC"/>
    <w:rsid w:val="009C439A"/>
    <w:rsid w:val="009C7023"/>
    <w:rsid w:val="00A3497E"/>
    <w:rsid w:val="00B878B0"/>
    <w:rsid w:val="00BA4A41"/>
    <w:rsid w:val="00BA6B13"/>
    <w:rsid w:val="00BD53B4"/>
    <w:rsid w:val="00BD762C"/>
    <w:rsid w:val="00BE5944"/>
    <w:rsid w:val="00C10D6D"/>
    <w:rsid w:val="00C3400A"/>
    <w:rsid w:val="00C52AB2"/>
    <w:rsid w:val="00C7454F"/>
    <w:rsid w:val="00D0780E"/>
    <w:rsid w:val="00D07BA8"/>
    <w:rsid w:val="00D153A7"/>
    <w:rsid w:val="00D54DF2"/>
    <w:rsid w:val="00DC2450"/>
    <w:rsid w:val="00E57A7E"/>
    <w:rsid w:val="00EB5FFE"/>
    <w:rsid w:val="00F41BFD"/>
    <w:rsid w:val="00F938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10464"/>
  <w15:chartTrackingRefBased/>
  <w15:docId w15:val="{D892EC17-9DF1-CC4E-9C41-C5B7AFD0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447"/>
    <w:pPr>
      <w:spacing w:before="80" w:line="240" w:lineRule="atLeast"/>
    </w:pPr>
    <w:rPr>
      <w:rFonts w:ascii="Arial" w:eastAsiaTheme="minorEastAsia" w:hAnsi="Arial" w:cs="Arial"/>
      <w:sz w:val="24"/>
      <w:szCs w:val="24"/>
      <w:lang w:val="en-US"/>
    </w:rPr>
  </w:style>
  <w:style w:type="paragraph" w:styleId="Heading1">
    <w:name w:val="heading 1"/>
    <w:basedOn w:val="Normal"/>
    <w:link w:val="Heading1Char"/>
    <w:uiPriority w:val="9"/>
    <w:qFormat/>
    <w:rsid w:val="0085787A"/>
    <w:pPr>
      <w:spacing w:after="240" w:line="480" w:lineRule="exact"/>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2B54F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5787A"/>
    <w:pPr>
      <w:spacing w:before="200" w:after="120"/>
      <w:outlineLvl w:val="2"/>
    </w:pPr>
    <w:rPr>
      <w:b/>
      <w:bCs/>
      <w:sz w:val="27"/>
      <w:szCs w:val="27"/>
    </w:rPr>
  </w:style>
  <w:style w:type="paragraph" w:styleId="Heading4">
    <w:name w:val="heading 4"/>
    <w:basedOn w:val="Normal"/>
    <w:link w:val="Heading4Char"/>
    <w:uiPriority w:val="9"/>
    <w:qFormat/>
    <w:rsid w:val="002B54FA"/>
    <w:pPr>
      <w:spacing w:before="200" w:after="2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character" w:customStyle="1" w:styleId="Heading1Char">
    <w:name w:val="Heading 1 Char"/>
    <w:basedOn w:val="DefaultParagraphFont"/>
    <w:link w:val="Heading1"/>
    <w:uiPriority w:val="9"/>
    <w:rsid w:val="0085787A"/>
    <w:rPr>
      <w:rFonts w:ascii="Arial" w:hAnsi="Arial" w:cs="Arial"/>
      <w:b/>
      <w:bCs/>
      <w:kern w:val="36"/>
      <w:sz w:val="48"/>
      <w:szCs w:val="48"/>
      <w:lang w:val="en-US"/>
    </w:rPr>
  </w:style>
  <w:style w:type="character" w:styleId="Strong">
    <w:name w:val="Strong"/>
    <w:basedOn w:val="DefaultParagraphFont"/>
    <w:uiPriority w:val="22"/>
    <w:qFormat/>
    <w:rsid w:val="006408DC"/>
    <w:rPr>
      <w:rFonts w:eastAsia="Times New Roman"/>
      <w:b/>
      <w:bCs/>
    </w:rPr>
  </w:style>
  <w:style w:type="paragraph" w:styleId="NormalWeb">
    <w:name w:val="Normal (Web)"/>
    <w:basedOn w:val="Normal"/>
    <w:uiPriority w:val="99"/>
    <w:unhideWhenUsed/>
    <w:rsid w:val="006408DC"/>
    <w:pPr>
      <w:spacing w:before="240"/>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Emphasis">
    <w:name w:val="Emphasis"/>
    <w:basedOn w:val="DefaultParagraphFont"/>
    <w:uiPriority w:val="20"/>
    <w:qFormat/>
    <w:rPr>
      <w:i/>
      <w:iCs/>
    </w:rPr>
  </w:style>
  <w:style w:type="character" w:customStyle="1" w:styleId="Heading4Char">
    <w:name w:val="Heading 4 Char"/>
    <w:basedOn w:val="DefaultParagraphFont"/>
    <w:link w:val="Heading4"/>
    <w:uiPriority w:val="9"/>
    <w:rsid w:val="002B54FA"/>
    <w:rPr>
      <w:rFonts w:ascii="Arial" w:eastAsiaTheme="minorEastAsia" w:hAnsi="Arial" w:cs="Arial"/>
      <w:b/>
      <w:bCs/>
      <w:sz w:val="24"/>
      <w:szCs w:val="24"/>
      <w:lang w:val="en-US"/>
    </w:rPr>
  </w:style>
  <w:style w:type="character" w:customStyle="1" w:styleId="Heading3Char">
    <w:name w:val="Heading 3 Char"/>
    <w:basedOn w:val="DefaultParagraphFont"/>
    <w:link w:val="Heading3"/>
    <w:uiPriority w:val="9"/>
    <w:rsid w:val="0085787A"/>
    <w:rPr>
      <w:rFonts w:ascii="Arial" w:eastAsiaTheme="minorEastAsia" w:hAnsi="Arial" w:cs="Arial"/>
      <w:b/>
      <w:bCs/>
      <w:sz w:val="27"/>
      <w:szCs w:val="27"/>
      <w:lang w:val="en-US"/>
    </w:rPr>
  </w:style>
  <w:style w:type="paragraph" w:styleId="ListParagraph">
    <w:name w:val="List Paragraph"/>
    <w:basedOn w:val="Normal"/>
    <w:uiPriority w:val="34"/>
    <w:qFormat/>
    <w:rsid w:val="004D0083"/>
    <w:pPr>
      <w:spacing w:after="120"/>
      <w:ind w:left="720"/>
      <w:contextualSpacing/>
    </w:pPr>
  </w:style>
  <w:style w:type="paragraph" w:styleId="Header">
    <w:name w:val="header"/>
    <w:basedOn w:val="Normal"/>
    <w:link w:val="HeaderChar"/>
    <w:uiPriority w:val="99"/>
    <w:unhideWhenUsed/>
    <w:rsid w:val="005273BF"/>
    <w:pPr>
      <w:tabs>
        <w:tab w:val="center" w:pos="4513"/>
        <w:tab w:val="right" w:pos="9026"/>
      </w:tabs>
      <w:spacing w:before="0"/>
    </w:pPr>
  </w:style>
  <w:style w:type="character" w:customStyle="1" w:styleId="HeaderChar">
    <w:name w:val="Header Char"/>
    <w:basedOn w:val="DefaultParagraphFont"/>
    <w:link w:val="Header"/>
    <w:uiPriority w:val="99"/>
    <w:rsid w:val="005273BF"/>
    <w:rPr>
      <w:rFonts w:ascii="Arial" w:eastAsiaTheme="minorEastAsia" w:hAnsi="Arial" w:cs="Arial"/>
      <w:sz w:val="24"/>
      <w:szCs w:val="24"/>
      <w:lang w:val="en-US"/>
    </w:rPr>
  </w:style>
  <w:style w:type="paragraph" w:styleId="Footer">
    <w:name w:val="footer"/>
    <w:basedOn w:val="Normal"/>
    <w:link w:val="FooterChar"/>
    <w:uiPriority w:val="99"/>
    <w:unhideWhenUsed/>
    <w:rsid w:val="005273BF"/>
    <w:pPr>
      <w:tabs>
        <w:tab w:val="center" w:pos="4513"/>
        <w:tab w:val="right" w:pos="9026"/>
      </w:tabs>
      <w:spacing w:before="0"/>
    </w:pPr>
  </w:style>
  <w:style w:type="character" w:customStyle="1" w:styleId="FooterChar">
    <w:name w:val="Footer Char"/>
    <w:basedOn w:val="DefaultParagraphFont"/>
    <w:link w:val="Footer"/>
    <w:uiPriority w:val="99"/>
    <w:rsid w:val="005273BF"/>
    <w:rPr>
      <w:rFonts w:ascii="Arial" w:eastAsiaTheme="minorEastAsia" w:hAnsi="Arial" w:cs="Arial"/>
      <w:sz w:val="24"/>
      <w:szCs w:val="24"/>
      <w:lang w:val="en-US"/>
    </w:rPr>
  </w:style>
  <w:style w:type="character" w:styleId="BookTitle">
    <w:name w:val="Book Title"/>
    <w:basedOn w:val="DefaultParagraphFont"/>
    <w:uiPriority w:val="33"/>
    <w:qFormat/>
    <w:rsid w:val="007669CD"/>
    <w:rPr>
      <w:spacing w:val="5"/>
    </w:rPr>
  </w:style>
  <w:style w:type="character" w:styleId="PageNumber">
    <w:name w:val="page number"/>
    <w:basedOn w:val="DefaultParagraphFont"/>
    <w:uiPriority w:val="99"/>
    <w:semiHidden/>
    <w:unhideWhenUsed/>
    <w:rsid w:val="002001D5"/>
  </w:style>
  <w:style w:type="character" w:customStyle="1" w:styleId="Heading2Char">
    <w:name w:val="Heading 2 Char"/>
    <w:basedOn w:val="DefaultParagraphFont"/>
    <w:link w:val="Heading2"/>
    <w:uiPriority w:val="9"/>
    <w:rsid w:val="002B54FA"/>
    <w:rPr>
      <w:rFonts w:asciiTheme="majorHAnsi" w:eastAsiaTheme="majorEastAsia" w:hAnsiTheme="majorHAnsi" w:cstheme="majorBidi"/>
      <w:color w:val="2F5496" w:themeColor="accent1" w:themeShade="BF"/>
      <w:sz w:val="26"/>
      <w:szCs w:val="26"/>
      <w:lang w:val="en-US"/>
    </w:rPr>
  </w:style>
  <w:style w:type="paragraph" w:styleId="Quote">
    <w:name w:val="Quote"/>
    <w:basedOn w:val="Normal"/>
    <w:next w:val="Normal"/>
    <w:link w:val="QuoteChar"/>
    <w:uiPriority w:val="29"/>
    <w:qFormat/>
    <w:rsid w:val="00522E6E"/>
    <w:pPr>
      <w:spacing w:before="200" w:after="160"/>
      <w:ind w:left="864" w:right="864"/>
      <w:jc w:val="center"/>
    </w:pPr>
    <w:rPr>
      <w:b/>
      <w:bCs/>
      <w:i/>
      <w:iCs/>
      <w:color w:val="404040" w:themeColor="text1" w:themeTint="BF"/>
    </w:rPr>
  </w:style>
  <w:style w:type="character" w:customStyle="1" w:styleId="QuoteChar">
    <w:name w:val="Quote Char"/>
    <w:basedOn w:val="DefaultParagraphFont"/>
    <w:link w:val="Quote"/>
    <w:uiPriority w:val="29"/>
    <w:rsid w:val="00522E6E"/>
    <w:rPr>
      <w:rFonts w:ascii="Arial" w:eastAsiaTheme="minorEastAsia" w:hAnsi="Arial" w:cs="Arial"/>
      <w:b/>
      <w:bCs/>
      <w:i/>
      <w:iCs/>
      <w:color w:val="404040" w:themeColor="text1" w:themeTint="BF"/>
      <w:sz w:val="24"/>
      <w:szCs w:val="24"/>
      <w:lang w:val="en-US"/>
    </w:rPr>
  </w:style>
  <w:style w:type="table" w:styleId="TableGrid">
    <w:name w:val="Table Grid"/>
    <w:basedOn w:val="TableNormal"/>
    <w:uiPriority w:val="39"/>
    <w:rsid w:val="001D7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57A7E"/>
    <w:pPr>
      <w:keepNext/>
      <w:keepLines/>
      <w:spacing w:before="480" w:after="0" w:line="276" w:lineRule="auto"/>
      <w:outlineLvl w:val="9"/>
    </w:pPr>
    <w:rPr>
      <w:rFonts w:asciiTheme="majorHAnsi" w:eastAsiaTheme="majorEastAsia" w:hAnsiTheme="majorHAnsi" w:cstheme="majorBidi"/>
      <w:color w:val="2F5496" w:themeColor="accent1" w:themeShade="BF"/>
      <w:kern w:val="0"/>
      <w:sz w:val="28"/>
      <w:szCs w:val="28"/>
      <w:lang w:eastAsia="en-US"/>
    </w:rPr>
  </w:style>
  <w:style w:type="paragraph" w:styleId="TOC1">
    <w:name w:val="toc 1"/>
    <w:basedOn w:val="Normal"/>
    <w:next w:val="Normal"/>
    <w:autoRedefine/>
    <w:uiPriority w:val="39"/>
    <w:unhideWhenUsed/>
    <w:rsid w:val="006C0EB0"/>
    <w:pPr>
      <w:spacing w:before="360"/>
    </w:pPr>
    <w:rPr>
      <w:rFonts w:cs="Calibri Light (Headings)"/>
      <w:b/>
      <w:bCs/>
      <w:color w:val="000000" w:themeColor="text1"/>
    </w:rPr>
  </w:style>
  <w:style w:type="paragraph" w:styleId="TOC3">
    <w:name w:val="toc 3"/>
    <w:basedOn w:val="Normal"/>
    <w:next w:val="Normal"/>
    <w:autoRedefine/>
    <w:uiPriority w:val="39"/>
    <w:unhideWhenUsed/>
    <w:rsid w:val="00E57A7E"/>
    <w:pPr>
      <w:spacing w:before="0"/>
      <w:ind w:left="240"/>
    </w:pPr>
    <w:rPr>
      <w:rFonts w:asciiTheme="minorHAnsi" w:hAnsiTheme="minorHAnsi" w:cstheme="minorHAnsi"/>
      <w:sz w:val="20"/>
      <w:szCs w:val="20"/>
    </w:rPr>
  </w:style>
  <w:style w:type="paragraph" w:styleId="TOC2">
    <w:name w:val="toc 2"/>
    <w:basedOn w:val="Normal"/>
    <w:next w:val="Normal"/>
    <w:autoRedefine/>
    <w:uiPriority w:val="39"/>
    <w:unhideWhenUsed/>
    <w:rsid w:val="00E57A7E"/>
    <w:pPr>
      <w:spacing w:before="240"/>
    </w:pPr>
    <w:rPr>
      <w:rFonts w:asciiTheme="minorHAnsi" w:hAnsiTheme="minorHAnsi" w:cstheme="minorHAnsi"/>
      <w:b/>
      <w:bCs/>
      <w:sz w:val="20"/>
      <w:szCs w:val="20"/>
    </w:rPr>
  </w:style>
  <w:style w:type="paragraph" w:styleId="TOC4">
    <w:name w:val="toc 4"/>
    <w:basedOn w:val="Normal"/>
    <w:next w:val="Normal"/>
    <w:autoRedefine/>
    <w:uiPriority w:val="39"/>
    <w:unhideWhenUsed/>
    <w:rsid w:val="00E57A7E"/>
    <w:pPr>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E57A7E"/>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E57A7E"/>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E57A7E"/>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E57A7E"/>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E57A7E"/>
    <w:pPr>
      <w:spacing w:before="0"/>
      <w:ind w:left="1680"/>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D153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242956">
      <w:bodyDiv w:val="1"/>
      <w:marLeft w:val="0"/>
      <w:marRight w:val="0"/>
      <w:marTop w:val="0"/>
      <w:marBottom w:val="0"/>
      <w:divBdr>
        <w:top w:val="none" w:sz="0" w:space="0" w:color="auto"/>
        <w:left w:val="none" w:sz="0" w:space="0" w:color="auto"/>
        <w:bottom w:val="none" w:sz="0" w:space="0" w:color="auto"/>
        <w:right w:val="none" w:sz="0" w:space="0" w:color="auto"/>
      </w:divBdr>
      <w:divsChild>
        <w:div w:id="818619552">
          <w:marLeft w:val="0"/>
          <w:marRight w:val="0"/>
          <w:marTop w:val="0"/>
          <w:marBottom w:val="0"/>
          <w:divBdr>
            <w:top w:val="none" w:sz="0" w:space="0" w:color="auto"/>
            <w:left w:val="none" w:sz="0" w:space="0" w:color="auto"/>
            <w:bottom w:val="none" w:sz="0" w:space="0" w:color="auto"/>
            <w:right w:val="none" w:sz="0" w:space="0" w:color="auto"/>
          </w:divBdr>
          <w:divsChild>
            <w:div w:id="1681159391">
              <w:marLeft w:val="0"/>
              <w:marRight w:val="0"/>
              <w:marTop w:val="0"/>
              <w:marBottom w:val="0"/>
              <w:divBdr>
                <w:top w:val="none" w:sz="0" w:space="0" w:color="auto"/>
                <w:left w:val="none" w:sz="0" w:space="0" w:color="auto"/>
                <w:bottom w:val="none" w:sz="0" w:space="0" w:color="auto"/>
                <w:right w:val="none" w:sz="0" w:space="0" w:color="auto"/>
              </w:divBdr>
              <w:divsChild>
                <w:div w:id="4542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5630">
      <w:marLeft w:val="0"/>
      <w:marRight w:val="0"/>
      <w:marTop w:val="0"/>
      <w:marBottom w:val="0"/>
      <w:divBdr>
        <w:top w:val="none" w:sz="0" w:space="0" w:color="auto"/>
        <w:left w:val="none" w:sz="0" w:space="0" w:color="auto"/>
        <w:bottom w:val="none" w:sz="0" w:space="0" w:color="auto"/>
        <w:right w:val="none" w:sz="0" w:space="0" w:color="auto"/>
      </w:divBdr>
    </w:div>
    <w:div w:id="1119452462">
      <w:marLeft w:val="0"/>
      <w:marRight w:val="0"/>
      <w:marTop w:val="0"/>
      <w:marBottom w:val="0"/>
      <w:divBdr>
        <w:top w:val="none" w:sz="0" w:space="0" w:color="auto"/>
        <w:left w:val="none" w:sz="0" w:space="0" w:color="auto"/>
        <w:bottom w:val="none" w:sz="0" w:space="0" w:color="auto"/>
        <w:right w:val="none" w:sz="0" w:space="0" w:color="auto"/>
      </w:divBdr>
    </w:div>
    <w:div w:id="1569684393">
      <w:marLeft w:val="0"/>
      <w:marRight w:val="0"/>
      <w:marTop w:val="0"/>
      <w:marBottom w:val="0"/>
      <w:divBdr>
        <w:top w:val="none" w:sz="0" w:space="0" w:color="auto"/>
        <w:left w:val="none" w:sz="0" w:space="0" w:color="auto"/>
        <w:bottom w:val="none" w:sz="0" w:space="0" w:color="auto"/>
        <w:right w:val="none" w:sz="0" w:space="0" w:color="auto"/>
      </w:divBdr>
    </w:div>
    <w:div w:id="1994483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file:///C:\Users\publications\Desktop\DT0003683%20CEEU%20Conversations%20for%20Change\DT0003683_CEEU_Conversation_for_Change_Report_FA_V2.html"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file:///C:\Users\publications\Desktop\DT0003683%20CEEU%20Conversations%20for%20Change\DT0003683_CEEU_Conversation_for_Change_Report_FA_V2.html"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file:///C:\Users\publications\Desktop\DT0003683%20CEEU%20Conversations%20for%20Change\DT0003683_CEEU_Conversation_for_Change_Report_FA_V2.html"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publications\Desktop\DT0003683%20CEEU%20Conversations%20for%20Change\DT0003683_CEEU_Conversation_for_Change_Report_FA_V2.html" TargetMode="External"/><Relationship Id="rId20" Type="http://schemas.openxmlformats.org/officeDocument/2006/relationships/hyperlink" Target="file:///C:\Users\publications\Desktop\DT0003683%20CEEU%20Conversations%20for%20Change\DT0003683_CEEU_Conversation_for_Change_Report_FA_V2.html"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ohta-consultations.health.gov.a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publications\Desktop\DT0003683%20CEEU%20Conversations%20for%20Change\DT0003683_CEEU_Conversation_for_Change_Report_FA_V2.html" TargetMode="External"/><Relationship Id="rId23" Type="http://schemas.openxmlformats.org/officeDocument/2006/relationships/image" Target="media/image5.png"/><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hyperlink" Target="file:///C:\Users\publications\Desktop\DT0003683%20CEEU%20Conversations%20for%20Change\DT0003683_CEEU_Conversation_for_Change_Report_FA_V2.html"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pyright@health.gov.au"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C11A9-2983-974B-A051-20349ED6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4522</Words>
  <Characters>31390</Characters>
  <Application>Microsoft Office Word</Application>
  <DocSecurity>0</DocSecurity>
  <Lines>261</Lines>
  <Paragraphs>71</Paragraphs>
  <ScaleCrop>false</ScaleCrop>
  <HeadingPairs>
    <vt:vector size="2" baseType="variant">
      <vt:variant>
        <vt:lpstr>Title</vt:lpstr>
      </vt:variant>
      <vt:variant>
        <vt:i4>1</vt:i4>
      </vt:variant>
    </vt:vector>
  </HeadingPairs>
  <TitlesOfParts>
    <vt:vector size="1" baseType="lpstr">
      <vt:lpstr>DT0003683_CEEU_Conversation_for_Change_Report_FA_V2</vt:lpstr>
    </vt:vector>
  </TitlesOfParts>
  <Company/>
  <LinksUpToDate>false</LinksUpToDate>
  <CharactersWithSpaces>35841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DT0003683_CEEU_Conversation_for_Change_Report_FA_V2</dc:title>
  <dc:subject/>
  <dc:creator>SERAFIN, Aaron</dc:creator>
  <cp:keywords/>
  <dc:description/>
  <cp:lastModifiedBy>MARSHALL, Liz</cp:lastModifiedBy>
  <cp:revision>2</cp:revision>
  <dcterms:created xsi:type="dcterms:W3CDTF">2023-08-10T01:27:00Z</dcterms:created>
  <dcterms:modified xsi:type="dcterms:W3CDTF">2023-08-10T01:27:00Z</dcterms:modified>
</cp:coreProperties>
</file>