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AB7D" w14:textId="77777777" w:rsidR="00487D07" w:rsidRPr="00EC0029" w:rsidRDefault="00487D07" w:rsidP="00487D07">
      <w:pPr>
        <w:spacing w:before="360"/>
        <w:jc w:val="center"/>
        <w:rPr>
          <w:b/>
        </w:rPr>
      </w:pPr>
      <w:r w:rsidRPr="00EC0029">
        <w:rPr>
          <w:b/>
          <w:caps/>
          <w:noProof/>
          <w:lang w:eastAsia="en-AU"/>
        </w:rPr>
        <w:drawing>
          <wp:inline distT="0" distB="0" distL="0" distR="0" wp14:anchorId="1D7A6C9B" wp14:editId="7CA54967">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1BD3BB5F" w14:textId="5CB9B2B3" w:rsidR="00487D07" w:rsidRPr="00EC0029" w:rsidRDefault="00487D07" w:rsidP="00487D07">
      <w:pPr>
        <w:spacing w:before="360"/>
        <w:jc w:val="center"/>
        <w:rPr>
          <w:b/>
          <w:sz w:val="36"/>
          <w:szCs w:val="36"/>
        </w:rPr>
      </w:pPr>
      <w:r w:rsidRPr="00EC0029">
        <w:rPr>
          <w:b/>
          <w:sz w:val="36"/>
          <w:szCs w:val="36"/>
        </w:rPr>
        <w:t>Australian Governmen</w:t>
      </w:r>
      <w:r w:rsidR="003A277A">
        <w:rPr>
          <w:b/>
          <w:sz w:val="36"/>
          <w:szCs w:val="36"/>
        </w:rPr>
        <w:t xml:space="preserve">t response to the </w:t>
      </w:r>
      <w:r w:rsidR="003A277A">
        <w:rPr>
          <w:b/>
          <w:sz w:val="36"/>
          <w:szCs w:val="36"/>
        </w:rPr>
        <w:br/>
      </w:r>
      <w:r w:rsidR="0033375B">
        <w:rPr>
          <w:b/>
          <w:sz w:val="36"/>
          <w:szCs w:val="36"/>
        </w:rPr>
        <w:t xml:space="preserve">House of Representatives </w:t>
      </w:r>
      <w:r w:rsidR="003A277A">
        <w:rPr>
          <w:b/>
          <w:sz w:val="36"/>
          <w:szCs w:val="36"/>
        </w:rPr>
        <w:t>Standing Committee on Health, Aged Care and Sport</w:t>
      </w:r>
      <w:r w:rsidRPr="00EC0029">
        <w:rPr>
          <w:b/>
          <w:sz w:val="36"/>
          <w:szCs w:val="36"/>
        </w:rPr>
        <w:t xml:space="preserve"> report:</w:t>
      </w:r>
    </w:p>
    <w:p w14:paraId="24C7E0A3" w14:textId="1B3009AD" w:rsidR="00487D07" w:rsidRPr="00EC0029" w:rsidRDefault="00487D07" w:rsidP="00487D07">
      <w:pPr>
        <w:spacing w:before="240"/>
        <w:jc w:val="center"/>
        <w:rPr>
          <w:b/>
          <w:sz w:val="36"/>
          <w:szCs w:val="36"/>
        </w:rPr>
      </w:pPr>
      <w:r w:rsidRPr="00EC0029">
        <w:rPr>
          <w:b/>
          <w:sz w:val="36"/>
          <w:szCs w:val="36"/>
        </w:rPr>
        <w:t>Bedtime Reading: Inquiry into Sleep Health Awareness in Australia</w:t>
      </w:r>
    </w:p>
    <w:p w14:paraId="23019EBD" w14:textId="26EF48DB" w:rsidR="00487D07" w:rsidRPr="00EC0029" w:rsidRDefault="00EE136D" w:rsidP="00EE136D">
      <w:pPr>
        <w:spacing w:before="6840" w:after="120"/>
        <w:jc w:val="center"/>
        <w:rPr>
          <w:b/>
          <w:caps/>
          <w:sz w:val="28"/>
          <w:szCs w:val="28"/>
        </w:rPr>
      </w:pPr>
      <w:r>
        <w:rPr>
          <w:b/>
          <w:sz w:val="28"/>
          <w:szCs w:val="28"/>
        </w:rPr>
        <w:t>2 August</w:t>
      </w:r>
      <w:r w:rsidR="00C023E8">
        <w:rPr>
          <w:b/>
          <w:sz w:val="28"/>
          <w:szCs w:val="28"/>
        </w:rPr>
        <w:t xml:space="preserve"> </w:t>
      </w:r>
      <w:r w:rsidR="00974FF2">
        <w:rPr>
          <w:b/>
          <w:sz w:val="28"/>
          <w:szCs w:val="28"/>
        </w:rPr>
        <w:t>202</w:t>
      </w:r>
      <w:r w:rsidR="004631FD">
        <w:rPr>
          <w:b/>
          <w:sz w:val="28"/>
          <w:szCs w:val="28"/>
        </w:rPr>
        <w:t>3</w:t>
      </w:r>
      <w:r w:rsidR="00487D07" w:rsidRPr="00EC0029">
        <w:rPr>
          <w:b/>
          <w:caps/>
          <w:sz w:val="28"/>
          <w:szCs w:val="28"/>
        </w:rPr>
        <w:br/>
      </w:r>
    </w:p>
    <w:p w14:paraId="23602301" w14:textId="77777777" w:rsidR="00530A26" w:rsidRPr="00EC0029" w:rsidRDefault="00530A26" w:rsidP="00530A26">
      <w:pPr>
        <w:spacing w:after="480"/>
        <w:jc w:val="right"/>
        <w:rPr>
          <w:b/>
          <w:sz w:val="28"/>
          <w:szCs w:val="28"/>
        </w:rPr>
      </w:pPr>
    </w:p>
    <w:p w14:paraId="2F234B28" w14:textId="77777777" w:rsidR="00E848C8" w:rsidRPr="0056236B" w:rsidRDefault="00E848C8" w:rsidP="00E848C8">
      <w:pPr>
        <w:pStyle w:val="RecommendationHeading"/>
        <w:rPr>
          <w:rFonts w:ascii="Times New Roman" w:hAnsi="Times New Roman" w:cs="Times New Roman"/>
          <w:sz w:val="24"/>
          <w:szCs w:val="24"/>
        </w:rPr>
      </w:pPr>
      <w:r w:rsidRPr="0056236B">
        <w:rPr>
          <w:rFonts w:ascii="Times New Roman" w:hAnsi="Times New Roman" w:cs="Times New Roman"/>
          <w:sz w:val="24"/>
          <w:szCs w:val="24"/>
        </w:rPr>
        <w:lastRenderedPageBreak/>
        <w:t>Introduction</w:t>
      </w:r>
    </w:p>
    <w:p w14:paraId="7807162B" w14:textId="0C0F9784" w:rsidR="00E848C8" w:rsidRDefault="00E848C8" w:rsidP="007B7B81">
      <w:pPr>
        <w:jc w:val="both"/>
      </w:pPr>
      <w:r>
        <w:t xml:space="preserve">The Australian Government is providing a response to the Standing Committee on Health, Aged Care and Sport’s (the Committee) report </w:t>
      </w:r>
      <w:r>
        <w:rPr>
          <w:i/>
        </w:rPr>
        <w:t xml:space="preserve">Bedtime Reading: Inquiry into Sleep Awareness in Australia </w:t>
      </w:r>
      <w:r>
        <w:t>released in April 2019.</w:t>
      </w:r>
    </w:p>
    <w:p w14:paraId="4D3454A1" w14:textId="77777777" w:rsidR="007B7B81" w:rsidRPr="00DC12D8" w:rsidRDefault="007B7B81" w:rsidP="00E848C8"/>
    <w:p w14:paraId="42EA6B41" w14:textId="11FD1047" w:rsidR="00E848C8" w:rsidRDefault="00EE3ACE" w:rsidP="007B7B81">
      <w:pPr>
        <w:jc w:val="both"/>
      </w:pPr>
      <w:r>
        <w:t>O</w:t>
      </w:r>
      <w:r w:rsidRPr="0056236B">
        <w:t>n 13 September 2018</w:t>
      </w:r>
      <w:r>
        <w:t>, t</w:t>
      </w:r>
      <w:r w:rsidR="00E848C8" w:rsidRPr="008F1E08">
        <w:t>he</w:t>
      </w:r>
      <w:r w:rsidR="00783E2D">
        <w:t xml:space="preserve"> </w:t>
      </w:r>
      <w:r w:rsidR="00126F84">
        <w:t xml:space="preserve">then </w:t>
      </w:r>
      <w:r w:rsidR="00783E2D">
        <w:t>Minister for Health</w:t>
      </w:r>
      <w:r w:rsidR="00E41278">
        <w:t xml:space="preserve"> </w:t>
      </w:r>
      <w:r w:rsidR="00E848C8">
        <w:t xml:space="preserve">referred the </w:t>
      </w:r>
      <w:r w:rsidR="00E848C8" w:rsidRPr="0056236B">
        <w:t xml:space="preserve">Inquiry into Sleep Health Awareness in Australia </w:t>
      </w:r>
      <w:r w:rsidR="00A935F9">
        <w:t xml:space="preserve">to </w:t>
      </w:r>
      <w:r w:rsidR="00E848C8" w:rsidRPr="0056236B">
        <w:t xml:space="preserve">the </w:t>
      </w:r>
      <w:r w:rsidR="00E848C8">
        <w:t>Committee.</w:t>
      </w:r>
    </w:p>
    <w:p w14:paraId="2CD1D455" w14:textId="77777777" w:rsidR="007B7B81" w:rsidRDefault="007B7B81" w:rsidP="007B7B81">
      <w:pPr>
        <w:jc w:val="both"/>
      </w:pPr>
    </w:p>
    <w:p w14:paraId="70265C88" w14:textId="38B22031" w:rsidR="007B7B81" w:rsidRPr="0056236B" w:rsidRDefault="00E848C8" w:rsidP="000E73C6">
      <w:pPr>
        <w:spacing w:after="120"/>
        <w:jc w:val="both"/>
      </w:pPr>
      <w:r w:rsidRPr="0056236B">
        <w:t>The Committee was tasked with inquiring into and reporting on sleep health awareness in Australia, in particular:</w:t>
      </w:r>
    </w:p>
    <w:p w14:paraId="3B20A4F4" w14:textId="77777777" w:rsidR="00E848C8" w:rsidRPr="0056236B" w:rsidRDefault="00E848C8" w:rsidP="00BB5918">
      <w:pPr>
        <w:pStyle w:val="ListParagraph"/>
        <w:numPr>
          <w:ilvl w:val="0"/>
          <w:numId w:val="13"/>
        </w:numPr>
        <w:spacing w:after="120"/>
        <w:contextualSpacing w:val="0"/>
        <w:jc w:val="both"/>
      </w:pPr>
      <w:r w:rsidRPr="0056236B">
        <w:t>The potential and known causes, impacts and costs (economic and social) of inadequate sleep and sleep disorders on the community;</w:t>
      </w:r>
    </w:p>
    <w:p w14:paraId="6E64FA22" w14:textId="163026C2" w:rsidR="00E848C8" w:rsidRPr="0056236B" w:rsidRDefault="00E848C8" w:rsidP="00BB5918">
      <w:pPr>
        <w:pStyle w:val="ListParagraph"/>
        <w:numPr>
          <w:ilvl w:val="0"/>
          <w:numId w:val="13"/>
        </w:numPr>
        <w:spacing w:after="120"/>
        <w:contextualSpacing w:val="0"/>
        <w:jc w:val="both"/>
      </w:pPr>
      <w:r w:rsidRPr="0056236B">
        <w:t>Access to, support and treatment available for individuals experiencing inadequate sleep and sleep disorders, including those who are: children and adolescents, from culturally and linguistically diverse backgrounds, living in rural, regional and remote areas, Aboriginal and Torres Strait Islander</w:t>
      </w:r>
      <w:r w:rsidR="000E73C6">
        <w:t xml:space="preserve"> people</w:t>
      </w:r>
      <w:r w:rsidRPr="0056236B">
        <w:t>;</w:t>
      </w:r>
    </w:p>
    <w:p w14:paraId="32DCCDDC" w14:textId="77777777" w:rsidR="00E848C8" w:rsidRPr="0056236B" w:rsidRDefault="00E848C8" w:rsidP="00BB5918">
      <w:pPr>
        <w:pStyle w:val="ListParagraph"/>
        <w:numPr>
          <w:ilvl w:val="0"/>
          <w:numId w:val="13"/>
        </w:numPr>
        <w:spacing w:after="120"/>
        <w:contextualSpacing w:val="0"/>
        <w:jc w:val="both"/>
      </w:pPr>
      <w:r w:rsidRPr="0056236B">
        <w:t>Education, training and professional development available to healthcare workers in the diagnosis, treatment and management of individuals experiencing inadequate sleep and sleep disorders;</w:t>
      </w:r>
    </w:p>
    <w:p w14:paraId="5BD22CCA" w14:textId="77777777" w:rsidR="00E848C8" w:rsidRPr="0056236B" w:rsidRDefault="00E848C8" w:rsidP="00BB5918">
      <w:pPr>
        <w:pStyle w:val="ListParagraph"/>
        <w:numPr>
          <w:ilvl w:val="0"/>
          <w:numId w:val="13"/>
        </w:numPr>
        <w:spacing w:after="120"/>
        <w:contextualSpacing w:val="0"/>
        <w:jc w:val="both"/>
      </w:pPr>
      <w:r w:rsidRPr="0056236B">
        <w:t>Workplace awareness, practices and assistance available to those who may be impacted by inadequate sleep or sleep disorders, with a focus on: rostering practices for shift workers, heavy-work requirements, and the transport industry as compared to international best practice; and</w:t>
      </w:r>
    </w:p>
    <w:p w14:paraId="290D203E" w14:textId="77777777" w:rsidR="00E848C8" w:rsidRPr="0056236B" w:rsidRDefault="00E848C8" w:rsidP="00BB5918">
      <w:pPr>
        <w:pStyle w:val="ListParagraph"/>
        <w:numPr>
          <w:ilvl w:val="0"/>
          <w:numId w:val="13"/>
        </w:numPr>
        <w:spacing w:after="160"/>
        <w:jc w:val="both"/>
      </w:pPr>
      <w:r w:rsidRPr="0056236B">
        <w:t>Current national research and investment into sleep health and sleeping disorders.</w:t>
      </w:r>
    </w:p>
    <w:p w14:paraId="779AC2B6" w14:textId="04D01F38" w:rsidR="00E848C8" w:rsidRDefault="00E848C8" w:rsidP="00BB5918">
      <w:pPr>
        <w:jc w:val="both"/>
      </w:pPr>
      <w:r w:rsidRPr="0056236B">
        <w:t xml:space="preserve">The Committee received 138 submissions and 30 exhibits, and held four public hearings in </w:t>
      </w:r>
      <w:r w:rsidRPr="00C623F5">
        <w:t>Sydney, Melbourne, Canberra and Perth.</w:t>
      </w:r>
    </w:p>
    <w:p w14:paraId="3F4A47B7" w14:textId="77777777" w:rsidR="007B7B81" w:rsidRPr="00C623F5" w:rsidRDefault="007B7B81" w:rsidP="007B7B81">
      <w:pPr>
        <w:jc w:val="both"/>
      </w:pPr>
    </w:p>
    <w:p w14:paraId="072CB84E" w14:textId="14AED6F9" w:rsidR="00E848C8" w:rsidRDefault="00E848C8" w:rsidP="007B7B81">
      <w:pPr>
        <w:jc w:val="both"/>
        <w:sectPr w:rsidR="00E848C8" w:rsidSect="00EE136D">
          <w:footerReference w:type="default" r:id="rId12"/>
          <w:pgSz w:w="11906" w:h="16838"/>
          <w:pgMar w:top="1440" w:right="1440" w:bottom="1440" w:left="1440" w:header="708" w:footer="708" w:gutter="0"/>
          <w:cols w:space="708"/>
          <w:docGrid w:linePitch="360"/>
        </w:sectPr>
      </w:pPr>
      <w:r w:rsidRPr="001C18C8">
        <w:t>The final report makes 11 recommendations to the Australian Government, in relation to national health priorities; guidelines for workplaces; the Medica</w:t>
      </w:r>
      <w:r w:rsidR="000C3D54">
        <w:t>re</w:t>
      </w:r>
      <w:r w:rsidRPr="001C18C8">
        <w:t xml:space="preserve"> Benefits </w:t>
      </w:r>
      <w:r w:rsidR="00E41278" w:rsidRPr="001C18C8">
        <w:t>Sche</w:t>
      </w:r>
      <w:r w:rsidR="00E41278">
        <w:t>dule</w:t>
      </w:r>
      <w:r w:rsidR="0070382E">
        <w:t xml:space="preserve"> (MBS)</w:t>
      </w:r>
      <w:r w:rsidR="00E41278" w:rsidRPr="001C18C8">
        <w:t xml:space="preserve"> </w:t>
      </w:r>
      <w:r w:rsidRPr="001C18C8">
        <w:t>and the Orphan Drug program; market competition; research; G</w:t>
      </w:r>
      <w:r w:rsidR="0070382E">
        <w:t>eneral Practitioners (G</w:t>
      </w:r>
      <w:r w:rsidRPr="001C18C8">
        <w:t>P</w:t>
      </w:r>
      <w:r w:rsidR="0070382E">
        <w:t>)</w:t>
      </w:r>
      <w:r w:rsidRPr="001C18C8">
        <w:t xml:space="preserve"> and specialist treatment; community awareness, </w:t>
      </w:r>
      <w:r w:rsidR="008F1E08" w:rsidRPr="001C18C8">
        <w:t xml:space="preserve">and </w:t>
      </w:r>
      <w:r w:rsidRPr="001C18C8">
        <w:t>vulnerable groups.</w:t>
      </w:r>
    </w:p>
    <w:sdt>
      <w:sdtPr>
        <w:rPr>
          <w:rFonts w:ascii="Times New Roman" w:eastAsiaTheme="minorHAnsi" w:hAnsi="Times New Roman" w:cs="Times New Roman"/>
          <w:color w:val="auto"/>
          <w:sz w:val="28"/>
          <w:szCs w:val="24"/>
          <w:lang w:val="en-AU"/>
        </w:rPr>
        <w:id w:val="-1124460798"/>
        <w:docPartObj>
          <w:docPartGallery w:val="Table of Contents"/>
          <w:docPartUnique/>
        </w:docPartObj>
      </w:sdtPr>
      <w:sdtEndPr>
        <w:rPr>
          <w:rFonts w:eastAsia="Times New Roman"/>
          <w:b/>
          <w:bCs/>
          <w:noProof/>
        </w:rPr>
      </w:sdtEndPr>
      <w:sdtContent>
        <w:p w14:paraId="68B2F146" w14:textId="77777777" w:rsidR="00E848C8" w:rsidRPr="00E55C67" w:rsidRDefault="00E848C8" w:rsidP="000E73C6">
          <w:pPr>
            <w:pStyle w:val="TOCHeading"/>
            <w:spacing w:after="120"/>
            <w:rPr>
              <w:rFonts w:ascii="Times New Roman" w:hAnsi="Times New Roman" w:cs="Times New Roman"/>
              <w:color w:val="auto"/>
              <w:sz w:val="24"/>
              <w:szCs w:val="24"/>
            </w:rPr>
          </w:pPr>
          <w:r w:rsidRPr="00E55C67">
            <w:rPr>
              <w:rFonts w:ascii="Times New Roman" w:hAnsi="Times New Roman" w:cs="Times New Roman"/>
              <w:color w:val="auto"/>
              <w:sz w:val="24"/>
              <w:szCs w:val="24"/>
            </w:rPr>
            <w:t>Table of Contents</w:t>
          </w:r>
        </w:p>
        <w:p w14:paraId="5E6A8BCA" w14:textId="5E111E35" w:rsidR="00912D72" w:rsidRPr="00323A75" w:rsidRDefault="00E848C8">
          <w:pPr>
            <w:pStyle w:val="TOC2"/>
            <w:tabs>
              <w:tab w:val="right" w:leader="dot" w:pos="9016"/>
            </w:tabs>
            <w:rPr>
              <w:rFonts w:ascii="Times New Roman" w:hAnsi="Times New Roman"/>
              <w:noProof/>
              <w:sz w:val="24"/>
              <w:szCs w:val="24"/>
              <w:lang w:val="en-AU" w:eastAsia="en-AU"/>
            </w:rPr>
          </w:pPr>
          <w:r w:rsidRPr="00E55C67">
            <w:rPr>
              <w:rFonts w:ascii="Times New Roman" w:hAnsi="Times New Roman"/>
              <w:bCs/>
              <w:noProof/>
              <w:sz w:val="24"/>
              <w:szCs w:val="24"/>
            </w:rPr>
            <w:fldChar w:fldCharType="begin"/>
          </w:r>
          <w:r w:rsidRPr="00E55C67">
            <w:rPr>
              <w:rFonts w:ascii="Times New Roman" w:hAnsi="Times New Roman"/>
              <w:bCs/>
              <w:noProof/>
              <w:sz w:val="24"/>
              <w:szCs w:val="24"/>
            </w:rPr>
            <w:instrText xml:space="preserve"> TOC \o "1-3" \h \z \u </w:instrText>
          </w:r>
          <w:r w:rsidRPr="00E55C67">
            <w:rPr>
              <w:rFonts w:ascii="Times New Roman" w:hAnsi="Times New Roman"/>
              <w:bCs/>
              <w:noProof/>
              <w:sz w:val="24"/>
              <w:szCs w:val="24"/>
            </w:rPr>
            <w:fldChar w:fldCharType="separate"/>
          </w:r>
          <w:hyperlink w:anchor="_Toc43713066" w:history="1">
            <w:r w:rsidR="00912D72" w:rsidRPr="00323A75">
              <w:rPr>
                <w:rStyle w:val="Hyperlink"/>
                <w:rFonts w:ascii="Times New Roman" w:eastAsia="Palatino Linotype" w:hAnsi="Times New Roman"/>
                <w:b/>
                <w:noProof/>
                <w:sz w:val="24"/>
                <w:szCs w:val="24"/>
              </w:rPr>
              <w:t>Recommendation 1</w:t>
            </w:r>
            <w:r w:rsidR="00912D72" w:rsidRPr="00323A75">
              <w:rPr>
                <w:rFonts w:ascii="Times New Roman" w:hAnsi="Times New Roman"/>
                <w:noProof/>
                <w:webHidden/>
                <w:sz w:val="24"/>
                <w:szCs w:val="24"/>
              </w:rPr>
              <w:tab/>
            </w:r>
            <w:r w:rsidR="00912D72" w:rsidRPr="00323A75">
              <w:rPr>
                <w:rFonts w:ascii="Times New Roman" w:hAnsi="Times New Roman"/>
                <w:noProof/>
                <w:webHidden/>
                <w:sz w:val="24"/>
                <w:szCs w:val="24"/>
              </w:rPr>
              <w:fldChar w:fldCharType="begin"/>
            </w:r>
            <w:r w:rsidR="00912D72" w:rsidRPr="00323A75">
              <w:rPr>
                <w:rFonts w:ascii="Times New Roman" w:hAnsi="Times New Roman"/>
                <w:noProof/>
                <w:webHidden/>
                <w:sz w:val="24"/>
                <w:szCs w:val="24"/>
              </w:rPr>
              <w:instrText xml:space="preserve"> PAGEREF _Toc43713066 \h </w:instrText>
            </w:r>
            <w:r w:rsidR="00912D72" w:rsidRPr="00323A75">
              <w:rPr>
                <w:rFonts w:ascii="Times New Roman" w:hAnsi="Times New Roman"/>
                <w:noProof/>
                <w:webHidden/>
                <w:sz w:val="24"/>
                <w:szCs w:val="24"/>
              </w:rPr>
            </w:r>
            <w:r w:rsidR="00912D72" w:rsidRPr="00323A75">
              <w:rPr>
                <w:rFonts w:ascii="Times New Roman" w:hAnsi="Times New Roman"/>
                <w:noProof/>
                <w:webHidden/>
                <w:sz w:val="24"/>
                <w:szCs w:val="24"/>
              </w:rPr>
              <w:fldChar w:fldCharType="separate"/>
            </w:r>
            <w:r w:rsidR="00513CEF">
              <w:rPr>
                <w:rFonts w:ascii="Times New Roman" w:hAnsi="Times New Roman"/>
                <w:noProof/>
                <w:webHidden/>
                <w:sz w:val="24"/>
                <w:szCs w:val="24"/>
              </w:rPr>
              <w:t>4</w:t>
            </w:r>
            <w:r w:rsidR="00912D72" w:rsidRPr="00323A75">
              <w:rPr>
                <w:rFonts w:ascii="Times New Roman" w:hAnsi="Times New Roman"/>
                <w:noProof/>
                <w:webHidden/>
                <w:sz w:val="24"/>
                <w:szCs w:val="24"/>
              </w:rPr>
              <w:fldChar w:fldCharType="end"/>
            </w:r>
          </w:hyperlink>
        </w:p>
        <w:p w14:paraId="3881B886" w14:textId="45724054" w:rsidR="00912D72" w:rsidRPr="00323A75" w:rsidRDefault="00000000">
          <w:pPr>
            <w:pStyle w:val="TOC2"/>
            <w:tabs>
              <w:tab w:val="right" w:leader="dot" w:pos="9016"/>
            </w:tabs>
            <w:rPr>
              <w:rFonts w:ascii="Times New Roman" w:hAnsi="Times New Roman"/>
              <w:noProof/>
              <w:sz w:val="24"/>
              <w:szCs w:val="24"/>
              <w:lang w:val="en-AU" w:eastAsia="en-AU"/>
            </w:rPr>
          </w:pPr>
          <w:hyperlink w:anchor="_Toc43713067" w:history="1">
            <w:r w:rsidR="00912D72" w:rsidRPr="00323A75">
              <w:rPr>
                <w:rStyle w:val="Hyperlink"/>
                <w:rFonts w:ascii="Times New Roman" w:eastAsia="Palatino Linotype" w:hAnsi="Times New Roman"/>
                <w:b/>
                <w:noProof/>
                <w:sz w:val="24"/>
                <w:szCs w:val="24"/>
              </w:rPr>
              <w:t>Recommendation 2</w:t>
            </w:r>
            <w:r w:rsidR="00912D72" w:rsidRPr="00323A75">
              <w:rPr>
                <w:rFonts w:ascii="Times New Roman" w:hAnsi="Times New Roman"/>
                <w:noProof/>
                <w:webHidden/>
                <w:sz w:val="24"/>
                <w:szCs w:val="24"/>
              </w:rPr>
              <w:tab/>
            </w:r>
            <w:r w:rsidR="00912D72" w:rsidRPr="00323A75">
              <w:rPr>
                <w:rFonts w:ascii="Times New Roman" w:hAnsi="Times New Roman"/>
                <w:noProof/>
                <w:webHidden/>
                <w:sz w:val="24"/>
                <w:szCs w:val="24"/>
              </w:rPr>
              <w:fldChar w:fldCharType="begin"/>
            </w:r>
            <w:r w:rsidR="00912D72" w:rsidRPr="00323A75">
              <w:rPr>
                <w:rFonts w:ascii="Times New Roman" w:hAnsi="Times New Roman"/>
                <w:noProof/>
                <w:webHidden/>
                <w:sz w:val="24"/>
                <w:szCs w:val="24"/>
              </w:rPr>
              <w:instrText xml:space="preserve"> PAGEREF _Toc43713067 \h </w:instrText>
            </w:r>
            <w:r w:rsidR="00912D72" w:rsidRPr="00323A75">
              <w:rPr>
                <w:rFonts w:ascii="Times New Roman" w:hAnsi="Times New Roman"/>
                <w:noProof/>
                <w:webHidden/>
                <w:sz w:val="24"/>
                <w:szCs w:val="24"/>
              </w:rPr>
            </w:r>
            <w:r w:rsidR="00912D72" w:rsidRPr="00323A75">
              <w:rPr>
                <w:rFonts w:ascii="Times New Roman" w:hAnsi="Times New Roman"/>
                <w:noProof/>
                <w:webHidden/>
                <w:sz w:val="24"/>
                <w:szCs w:val="24"/>
              </w:rPr>
              <w:fldChar w:fldCharType="separate"/>
            </w:r>
            <w:r w:rsidR="00513CEF">
              <w:rPr>
                <w:rFonts w:ascii="Times New Roman" w:hAnsi="Times New Roman"/>
                <w:noProof/>
                <w:webHidden/>
                <w:sz w:val="24"/>
                <w:szCs w:val="24"/>
              </w:rPr>
              <w:t>5</w:t>
            </w:r>
            <w:r w:rsidR="00912D72" w:rsidRPr="00323A75">
              <w:rPr>
                <w:rFonts w:ascii="Times New Roman" w:hAnsi="Times New Roman"/>
                <w:noProof/>
                <w:webHidden/>
                <w:sz w:val="24"/>
                <w:szCs w:val="24"/>
              </w:rPr>
              <w:fldChar w:fldCharType="end"/>
            </w:r>
          </w:hyperlink>
        </w:p>
        <w:p w14:paraId="6390B4FC" w14:textId="4B1AA377" w:rsidR="00912D72" w:rsidRPr="00323A75" w:rsidRDefault="00000000">
          <w:pPr>
            <w:pStyle w:val="TOC2"/>
            <w:tabs>
              <w:tab w:val="right" w:leader="dot" w:pos="9016"/>
            </w:tabs>
            <w:rPr>
              <w:rFonts w:ascii="Times New Roman" w:hAnsi="Times New Roman"/>
              <w:noProof/>
              <w:sz w:val="24"/>
              <w:szCs w:val="24"/>
              <w:lang w:val="en-AU" w:eastAsia="en-AU"/>
            </w:rPr>
          </w:pPr>
          <w:hyperlink w:anchor="_Toc43713068" w:history="1">
            <w:r w:rsidR="00912D72" w:rsidRPr="00323A75">
              <w:rPr>
                <w:rStyle w:val="Hyperlink"/>
                <w:rFonts w:ascii="Times New Roman" w:eastAsia="Palatino Linotype" w:hAnsi="Times New Roman"/>
                <w:b/>
                <w:noProof/>
                <w:sz w:val="24"/>
                <w:szCs w:val="24"/>
              </w:rPr>
              <w:t>Recommendation 3</w:t>
            </w:r>
            <w:r w:rsidR="00912D72" w:rsidRPr="00323A75">
              <w:rPr>
                <w:rFonts w:ascii="Times New Roman" w:hAnsi="Times New Roman"/>
                <w:noProof/>
                <w:webHidden/>
                <w:sz w:val="24"/>
                <w:szCs w:val="24"/>
              </w:rPr>
              <w:tab/>
            </w:r>
            <w:r w:rsidR="008B026D">
              <w:rPr>
                <w:rFonts w:ascii="Times New Roman" w:hAnsi="Times New Roman"/>
                <w:noProof/>
                <w:webHidden/>
                <w:sz w:val="24"/>
                <w:szCs w:val="24"/>
              </w:rPr>
              <w:t>7</w:t>
            </w:r>
          </w:hyperlink>
        </w:p>
        <w:p w14:paraId="417C0C40" w14:textId="57FDFAF9" w:rsidR="00912D72" w:rsidRPr="00323A75" w:rsidRDefault="00000000">
          <w:pPr>
            <w:pStyle w:val="TOC2"/>
            <w:tabs>
              <w:tab w:val="right" w:leader="dot" w:pos="9016"/>
            </w:tabs>
            <w:rPr>
              <w:rFonts w:ascii="Times New Roman" w:hAnsi="Times New Roman"/>
              <w:noProof/>
              <w:sz w:val="24"/>
              <w:szCs w:val="24"/>
              <w:lang w:val="en-AU" w:eastAsia="en-AU"/>
            </w:rPr>
          </w:pPr>
          <w:hyperlink w:anchor="_Toc43713069" w:history="1">
            <w:r w:rsidR="00912D72" w:rsidRPr="00323A75">
              <w:rPr>
                <w:rStyle w:val="Hyperlink"/>
                <w:rFonts w:ascii="Times New Roman" w:eastAsia="Palatino Linotype" w:hAnsi="Times New Roman"/>
                <w:b/>
                <w:noProof/>
                <w:sz w:val="24"/>
                <w:szCs w:val="24"/>
              </w:rPr>
              <w:t>Recommendation 4</w:t>
            </w:r>
            <w:r w:rsidR="00912D72" w:rsidRPr="00323A75">
              <w:rPr>
                <w:rFonts w:ascii="Times New Roman" w:hAnsi="Times New Roman"/>
                <w:noProof/>
                <w:webHidden/>
                <w:sz w:val="24"/>
                <w:szCs w:val="24"/>
              </w:rPr>
              <w:tab/>
            </w:r>
            <w:r w:rsidR="008B026D">
              <w:rPr>
                <w:rFonts w:ascii="Times New Roman" w:hAnsi="Times New Roman"/>
                <w:noProof/>
                <w:webHidden/>
                <w:sz w:val="24"/>
                <w:szCs w:val="24"/>
              </w:rPr>
              <w:t>10</w:t>
            </w:r>
          </w:hyperlink>
        </w:p>
        <w:p w14:paraId="4EEED1E2" w14:textId="45920E21" w:rsidR="00912D72" w:rsidRPr="00323A75" w:rsidRDefault="00000000">
          <w:pPr>
            <w:pStyle w:val="TOC2"/>
            <w:tabs>
              <w:tab w:val="right" w:leader="dot" w:pos="9016"/>
            </w:tabs>
            <w:rPr>
              <w:rFonts w:ascii="Times New Roman" w:hAnsi="Times New Roman"/>
              <w:noProof/>
              <w:sz w:val="24"/>
              <w:szCs w:val="24"/>
              <w:lang w:val="en-AU" w:eastAsia="en-AU"/>
            </w:rPr>
          </w:pPr>
          <w:hyperlink w:anchor="_Toc43713070" w:history="1">
            <w:r w:rsidR="00912D72" w:rsidRPr="00323A75">
              <w:rPr>
                <w:rStyle w:val="Hyperlink"/>
                <w:rFonts w:ascii="Times New Roman" w:eastAsia="Palatino Linotype" w:hAnsi="Times New Roman"/>
                <w:b/>
                <w:noProof/>
                <w:sz w:val="24"/>
                <w:szCs w:val="24"/>
              </w:rPr>
              <w:t>Recommendation 5</w:t>
            </w:r>
            <w:r w:rsidR="00912D72" w:rsidRPr="00323A75">
              <w:rPr>
                <w:rFonts w:ascii="Times New Roman" w:hAnsi="Times New Roman"/>
                <w:noProof/>
                <w:webHidden/>
                <w:sz w:val="24"/>
                <w:szCs w:val="24"/>
              </w:rPr>
              <w:tab/>
            </w:r>
            <w:r w:rsidR="008B026D">
              <w:rPr>
                <w:rFonts w:ascii="Times New Roman" w:hAnsi="Times New Roman"/>
                <w:noProof/>
                <w:webHidden/>
                <w:sz w:val="24"/>
                <w:szCs w:val="24"/>
              </w:rPr>
              <w:t>12</w:t>
            </w:r>
          </w:hyperlink>
        </w:p>
        <w:p w14:paraId="3AF6B4C0" w14:textId="0F34E281" w:rsidR="00912D72" w:rsidRPr="00323A75" w:rsidRDefault="00000000">
          <w:pPr>
            <w:pStyle w:val="TOC2"/>
            <w:tabs>
              <w:tab w:val="right" w:leader="dot" w:pos="9016"/>
            </w:tabs>
            <w:rPr>
              <w:rFonts w:ascii="Times New Roman" w:hAnsi="Times New Roman"/>
              <w:noProof/>
              <w:sz w:val="24"/>
              <w:szCs w:val="24"/>
              <w:lang w:val="en-AU" w:eastAsia="en-AU"/>
            </w:rPr>
          </w:pPr>
          <w:hyperlink w:anchor="_Toc43713071" w:history="1">
            <w:r w:rsidR="00912D72" w:rsidRPr="00323A75">
              <w:rPr>
                <w:rStyle w:val="Hyperlink"/>
                <w:rFonts w:ascii="Times New Roman" w:eastAsia="Palatino Linotype" w:hAnsi="Times New Roman"/>
                <w:b/>
                <w:noProof/>
                <w:sz w:val="24"/>
                <w:szCs w:val="24"/>
              </w:rPr>
              <w:t>Recommendation 6</w:t>
            </w:r>
            <w:r w:rsidR="00912D72" w:rsidRPr="00323A75">
              <w:rPr>
                <w:rFonts w:ascii="Times New Roman" w:hAnsi="Times New Roman"/>
                <w:noProof/>
                <w:webHidden/>
                <w:sz w:val="24"/>
                <w:szCs w:val="24"/>
              </w:rPr>
              <w:tab/>
            </w:r>
            <w:r w:rsidR="008B026D">
              <w:rPr>
                <w:rFonts w:ascii="Times New Roman" w:hAnsi="Times New Roman"/>
                <w:noProof/>
                <w:webHidden/>
                <w:sz w:val="24"/>
                <w:szCs w:val="24"/>
              </w:rPr>
              <w:t>14</w:t>
            </w:r>
          </w:hyperlink>
        </w:p>
        <w:p w14:paraId="258107F0" w14:textId="220E16B8" w:rsidR="00912D72" w:rsidRPr="00323A75" w:rsidRDefault="00000000">
          <w:pPr>
            <w:pStyle w:val="TOC2"/>
            <w:tabs>
              <w:tab w:val="right" w:leader="dot" w:pos="9016"/>
            </w:tabs>
            <w:rPr>
              <w:rFonts w:ascii="Times New Roman" w:hAnsi="Times New Roman"/>
              <w:noProof/>
              <w:sz w:val="24"/>
              <w:szCs w:val="24"/>
              <w:lang w:val="en-AU" w:eastAsia="en-AU"/>
            </w:rPr>
          </w:pPr>
          <w:hyperlink w:anchor="_Toc43713072" w:history="1">
            <w:r w:rsidR="00912D72" w:rsidRPr="00323A75">
              <w:rPr>
                <w:rStyle w:val="Hyperlink"/>
                <w:rFonts w:ascii="Times New Roman" w:eastAsia="Palatino Linotype" w:hAnsi="Times New Roman"/>
                <w:b/>
                <w:noProof/>
                <w:sz w:val="24"/>
                <w:szCs w:val="24"/>
              </w:rPr>
              <w:t>Recommendation 7</w:t>
            </w:r>
            <w:r w:rsidR="00912D72" w:rsidRPr="00323A75">
              <w:rPr>
                <w:rFonts w:ascii="Times New Roman" w:hAnsi="Times New Roman"/>
                <w:noProof/>
                <w:webHidden/>
                <w:sz w:val="24"/>
                <w:szCs w:val="24"/>
              </w:rPr>
              <w:tab/>
            </w:r>
            <w:r w:rsidR="00912D72" w:rsidRPr="00323A75">
              <w:rPr>
                <w:rFonts w:ascii="Times New Roman" w:hAnsi="Times New Roman"/>
                <w:noProof/>
                <w:webHidden/>
                <w:sz w:val="24"/>
                <w:szCs w:val="24"/>
              </w:rPr>
              <w:fldChar w:fldCharType="begin"/>
            </w:r>
            <w:r w:rsidR="00912D72" w:rsidRPr="00323A75">
              <w:rPr>
                <w:rFonts w:ascii="Times New Roman" w:hAnsi="Times New Roman"/>
                <w:noProof/>
                <w:webHidden/>
                <w:sz w:val="24"/>
                <w:szCs w:val="24"/>
              </w:rPr>
              <w:instrText xml:space="preserve"> PAGEREF _Toc43713072 \h </w:instrText>
            </w:r>
            <w:r w:rsidR="00912D72" w:rsidRPr="00323A75">
              <w:rPr>
                <w:rFonts w:ascii="Times New Roman" w:hAnsi="Times New Roman"/>
                <w:noProof/>
                <w:webHidden/>
                <w:sz w:val="24"/>
                <w:szCs w:val="24"/>
              </w:rPr>
            </w:r>
            <w:r w:rsidR="00912D72" w:rsidRPr="00323A75">
              <w:rPr>
                <w:rFonts w:ascii="Times New Roman" w:hAnsi="Times New Roman"/>
                <w:noProof/>
                <w:webHidden/>
                <w:sz w:val="24"/>
                <w:szCs w:val="24"/>
              </w:rPr>
              <w:fldChar w:fldCharType="separate"/>
            </w:r>
            <w:r w:rsidR="00513CEF">
              <w:rPr>
                <w:rFonts w:ascii="Times New Roman" w:hAnsi="Times New Roman"/>
                <w:noProof/>
                <w:webHidden/>
                <w:sz w:val="24"/>
                <w:szCs w:val="24"/>
              </w:rPr>
              <w:t>15</w:t>
            </w:r>
            <w:r w:rsidR="00912D72" w:rsidRPr="00323A75">
              <w:rPr>
                <w:rFonts w:ascii="Times New Roman" w:hAnsi="Times New Roman"/>
                <w:noProof/>
                <w:webHidden/>
                <w:sz w:val="24"/>
                <w:szCs w:val="24"/>
              </w:rPr>
              <w:fldChar w:fldCharType="end"/>
            </w:r>
          </w:hyperlink>
        </w:p>
        <w:p w14:paraId="621A4206" w14:textId="3CF0B7BF" w:rsidR="00912D72" w:rsidRPr="00323A75" w:rsidRDefault="00000000">
          <w:pPr>
            <w:pStyle w:val="TOC2"/>
            <w:tabs>
              <w:tab w:val="right" w:leader="dot" w:pos="9016"/>
            </w:tabs>
            <w:rPr>
              <w:rFonts w:ascii="Times New Roman" w:hAnsi="Times New Roman"/>
              <w:noProof/>
              <w:sz w:val="24"/>
              <w:szCs w:val="24"/>
              <w:lang w:val="en-AU" w:eastAsia="en-AU"/>
            </w:rPr>
          </w:pPr>
          <w:hyperlink w:anchor="_Toc43713073" w:history="1">
            <w:r w:rsidR="00912D72" w:rsidRPr="00323A75">
              <w:rPr>
                <w:rStyle w:val="Hyperlink"/>
                <w:rFonts w:ascii="Times New Roman" w:eastAsia="Palatino Linotype" w:hAnsi="Times New Roman"/>
                <w:b/>
                <w:noProof/>
                <w:sz w:val="24"/>
                <w:szCs w:val="24"/>
              </w:rPr>
              <w:t>Recommendation 8</w:t>
            </w:r>
            <w:r w:rsidR="00912D72" w:rsidRPr="00323A75">
              <w:rPr>
                <w:rFonts w:ascii="Times New Roman" w:hAnsi="Times New Roman"/>
                <w:noProof/>
                <w:webHidden/>
                <w:sz w:val="24"/>
                <w:szCs w:val="24"/>
              </w:rPr>
              <w:tab/>
            </w:r>
            <w:r w:rsidR="00912D72" w:rsidRPr="00323A75">
              <w:rPr>
                <w:rFonts w:ascii="Times New Roman" w:hAnsi="Times New Roman"/>
                <w:noProof/>
                <w:webHidden/>
                <w:sz w:val="24"/>
                <w:szCs w:val="24"/>
              </w:rPr>
              <w:fldChar w:fldCharType="begin"/>
            </w:r>
            <w:r w:rsidR="00912D72" w:rsidRPr="00323A75">
              <w:rPr>
                <w:rFonts w:ascii="Times New Roman" w:hAnsi="Times New Roman"/>
                <w:noProof/>
                <w:webHidden/>
                <w:sz w:val="24"/>
                <w:szCs w:val="24"/>
              </w:rPr>
              <w:instrText xml:space="preserve"> PAGEREF _Toc43713073 \h </w:instrText>
            </w:r>
            <w:r w:rsidR="00912D72" w:rsidRPr="00323A75">
              <w:rPr>
                <w:rFonts w:ascii="Times New Roman" w:hAnsi="Times New Roman"/>
                <w:noProof/>
                <w:webHidden/>
                <w:sz w:val="24"/>
                <w:szCs w:val="24"/>
              </w:rPr>
            </w:r>
            <w:r w:rsidR="00912D72" w:rsidRPr="00323A75">
              <w:rPr>
                <w:rFonts w:ascii="Times New Roman" w:hAnsi="Times New Roman"/>
                <w:noProof/>
                <w:webHidden/>
                <w:sz w:val="24"/>
                <w:szCs w:val="24"/>
              </w:rPr>
              <w:fldChar w:fldCharType="separate"/>
            </w:r>
            <w:r w:rsidR="00513CEF">
              <w:rPr>
                <w:rFonts w:ascii="Times New Roman" w:hAnsi="Times New Roman"/>
                <w:noProof/>
                <w:webHidden/>
                <w:sz w:val="24"/>
                <w:szCs w:val="24"/>
              </w:rPr>
              <w:t>16</w:t>
            </w:r>
            <w:r w:rsidR="00912D72" w:rsidRPr="00323A75">
              <w:rPr>
                <w:rFonts w:ascii="Times New Roman" w:hAnsi="Times New Roman"/>
                <w:noProof/>
                <w:webHidden/>
                <w:sz w:val="24"/>
                <w:szCs w:val="24"/>
              </w:rPr>
              <w:fldChar w:fldCharType="end"/>
            </w:r>
          </w:hyperlink>
        </w:p>
        <w:p w14:paraId="2463D718" w14:textId="02BDF612" w:rsidR="00912D72" w:rsidRPr="00323A75" w:rsidRDefault="00000000">
          <w:pPr>
            <w:pStyle w:val="TOC2"/>
            <w:tabs>
              <w:tab w:val="right" w:leader="dot" w:pos="9016"/>
            </w:tabs>
            <w:rPr>
              <w:rFonts w:ascii="Times New Roman" w:hAnsi="Times New Roman"/>
              <w:noProof/>
              <w:sz w:val="24"/>
              <w:szCs w:val="24"/>
              <w:lang w:val="en-AU" w:eastAsia="en-AU"/>
            </w:rPr>
          </w:pPr>
          <w:hyperlink w:anchor="_Toc43713074" w:history="1">
            <w:r w:rsidR="00912D72" w:rsidRPr="00323A75">
              <w:rPr>
                <w:rStyle w:val="Hyperlink"/>
                <w:rFonts w:ascii="Times New Roman" w:eastAsia="Palatino Linotype" w:hAnsi="Times New Roman"/>
                <w:b/>
                <w:noProof/>
                <w:sz w:val="24"/>
                <w:szCs w:val="24"/>
              </w:rPr>
              <w:t>Recommendation 9</w:t>
            </w:r>
            <w:r w:rsidR="00912D72" w:rsidRPr="00323A75">
              <w:rPr>
                <w:rFonts w:ascii="Times New Roman" w:hAnsi="Times New Roman"/>
                <w:noProof/>
                <w:webHidden/>
                <w:sz w:val="24"/>
                <w:szCs w:val="24"/>
              </w:rPr>
              <w:tab/>
            </w:r>
            <w:r w:rsidR="00912D72" w:rsidRPr="00323A75">
              <w:rPr>
                <w:rFonts w:ascii="Times New Roman" w:hAnsi="Times New Roman"/>
                <w:noProof/>
                <w:webHidden/>
                <w:sz w:val="24"/>
                <w:szCs w:val="24"/>
              </w:rPr>
              <w:fldChar w:fldCharType="begin"/>
            </w:r>
            <w:r w:rsidR="00912D72" w:rsidRPr="00323A75">
              <w:rPr>
                <w:rFonts w:ascii="Times New Roman" w:hAnsi="Times New Roman"/>
                <w:noProof/>
                <w:webHidden/>
                <w:sz w:val="24"/>
                <w:szCs w:val="24"/>
              </w:rPr>
              <w:instrText xml:space="preserve"> PAGEREF _Toc43713074 \h </w:instrText>
            </w:r>
            <w:r w:rsidR="00912D72" w:rsidRPr="00323A75">
              <w:rPr>
                <w:rFonts w:ascii="Times New Roman" w:hAnsi="Times New Roman"/>
                <w:noProof/>
                <w:webHidden/>
                <w:sz w:val="24"/>
                <w:szCs w:val="24"/>
              </w:rPr>
            </w:r>
            <w:r w:rsidR="00912D72" w:rsidRPr="00323A75">
              <w:rPr>
                <w:rFonts w:ascii="Times New Roman" w:hAnsi="Times New Roman"/>
                <w:noProof/>
                <w:webHidden/>
                <w:sz w:val="24"/>
                <w:szCs w:val="24"/>
              </w:rPr>
              <w:fldChar w:fldCharType="separate"/>
            </w:r>
            <w:r w:rsidR="00513CEF">
              <w:rPr>
                <w:rFonts w:ascii="Times New Roman" w:hAnsi="Times New Roman"/>
                <w:noProof/>
                <w:webHidden/>
                <w:sz w:val="24"/>
                <w:szCs w:val="24"/>
              </w:rPr>
              <w:t>17</w:t>
            </w:r>
            <w:r w:rsidR="00912D72" w:rsidRPr="00323A75">
              <w:rPr>
                <w:rFonts w:ascii="Times New Roman" w:hAnsi="Times New Roman"/>
                <w:noProof/>
                <w:webHidden/>
                <w:sz w:val="24"/>
                <w:szCs w:val="24"/>
              </w:rPr>
              <w:fldChar w:fldCharType="end"/>
            </w:r>
          </w:hyperlink>
        </w:p>
        <w:p w14:paraId="253F7150" w14:textId="0F262312" w:rsidR="00912D72" w:rsidRPr="00323A75" w:rsidRDefault="00000000">
          <w:pPr>
            <w:pStyle w:val="TOC2"/>
            <w:tabs>
              <w:tab w:val="right" w:leader="dot" w:pos="9016"/>
            </w:tabs>
            <w:rPr>
              <w:rFonts w:ascii="Times New Roman" w:hAnsi="Times New Roman"/>
              <w:noProof/>
              <w:sz w:val="24"/>
              <w:szCs w:val="24"/>
              <w:lang w:val="en-AU" w:eastAsia="en-AU"/>
            </w:rPr>
          </w:pPr>
          <w:hyperlink w:anchor="_Toc43713075" w:history="1">
            <w:r w:rsidR="00912D72" w:rsidRPr="00323A75">
              <w:rPr>
                <w:rStyle w:val="Hyperlink"/>
                <w:rFonts w:ascii="Times New Roman" w:eastAsia="Palatino Linotype" w:hAnsi="Times New Roman"/>
                <w:b/>
                <w:noProof/>
                <w:sz w:val="24"/>
                <w:szCs w:val="24"/>
              </w:rPr>
              <w:t>Recommendation 10</w:t>
            </w:r>
            <w:r w:rsidR="00912D72" w:rsidRPr="00323A75">
              <w:rPr>
                <w:rFonts w:ascii="Times New Roman" w:hAnsi="Times New Roman"/>
                <w:noProof/>
                <w:webHidden/>
                <w:sz w:val="24"/>
                <w:szCs w:val="24"/>
              </w:rPr>
              <w:tab/>
            </w:r>
            <w:r w:rsidR="00912D72" w:rsidRPr="00323A75">
              <w:rPr>
                <w:rFonts w:ascii="Times New Roman" w:hAnsi="Times New Roman"/>
                <w:noProof/>
                <w:webHidden/>
                <w:sz w:val="24"/>
                <w:szCs w:val="24"/>
              </w:rPr>
              <w:fldChar w:fldCharType="begin"/>
            </w:r>
            <w:r w:rsidR="00912D72" w:rsidRPr="00323A75">
              <w:rPr>
                <w:rFonts w:ascii="Times New Roman" w:hAnsi="Times New Roman"/>
                <w:noProof/>
                <w:webHidden/>
                <w:sz w:val="24"/>
                <w:szCs w:val="24"/>
              </w:rPr>
              <w:instrText xml:space="preserve"> PAGEREF _Toc43713075 \h </w:instrText>
            </w:r>
            <w:r w:rsidR="00912D72" w:rsidRPr="00323A75">
              <w:rPr>
                <w:rFonts w:ascii="Times New Roman" w:hAnsi="Times New Roman"/>
                <w:noProof/>
                <w:webHidden/>
                <w:sz w:val="24"/>
                <w:szCs w:val="24"/>
              </w:rPr>
            </w:r>
            <w:r w:rsidR="00912D72" w:rsidRPr="00323A75">
              <w:rPr>
                <w:rFonts w:ascii="Times New Roman" w:hAnsi="Times New Roman"/>
                <w:noProof/>
                <w:webHidden/>
                <w:sz w:val="24"/>
                <w:szCs w:val="24"/>
              </w:rPr>
              <w:fldChar w:fldCharType="separate"/>
            </w:r>
            <w:r w:rsidR="00513CEF">
              <w:rPr>
                <w:rFonts w:ascii="Times New Roman" w:hAnsi="Times New Roman"/>
                <w:noProof/>
                <w:webHidden/>
                <w:sz w:val="24"/>
                <w:szCs w:val="24"/>
              </w:rPr>
              <w:t>18</w:t>
            </w:r>
            <w:r w:rsidR="00912D72" w:rsidRPr="00323A75">
              <w:rPr>
                <w:rFonts w:ascii="Times New Roman" w:hAnsi="Times New Roman"/>
                <w:noProof/>
                <w:webHidden/>
                <w:sz w:val="24"/>
                <w:szCs w:val="24"/>
              </w:rPr>
              <w:fldChar w:fldCharType="end"/>
            </w:r>
          </w:hyperlink>
        </w:p>
        <w:p w14:paraId="0DEAC961" w14:textId="2F8B5372" w:rsidR="00912D72" w:rsidRDefault="00000000">
          <w:pPr>
            <w:pStyle w:val="TOC2"/>
            <w:tabs>
              <w:tab w:val="right" w:leader="dot" w:pos="9016"/>
            </w:tabs>
            <w:rPr>
              <w:rFonts w:cstheme="minorBidi"/>
              <w:noProof/>
              <w:lang w:val="en-AU" w:eastAsia="en-AU"/>
            </w:rPr>
          </w:pPr>
          <w:hyperlink w:anchor="_Toc43713076" w:history="1">
            <w:r w:rsidR="00912D72" w:rsidRPr="00323A75">
              <w:rPr>
                <w:rStyle w:val="Hyperlink"/>
                <w:rFonts w:ascii="Times New Roman" w:eastAsia="Palatino Linotype" w:hAnsi="Times New Roman"/>
                <w:b/>
                <w:noProof/>
                <w:sz w:val="24"/>
                <w:szCs w:val="24"/>
              </w:rPr>
              <w:t>Recommendation 11</w:t>
            </w:r>
            <w:r w:rsidR="00912D72" w:rsidRPr="00323A75">
              <w:rPr>
                <w:rFonts w:ascii="Times New Roman" w:hAnsi="Times New Roman"/>
                <w:noProof/>
                <w:webHidden/>
                <w:sz w:val="24"/>
                <w:szCs w:val="24"/>
              </w:rPr>
              <w:tab/>
            </w:r>
            <w:r w:rsidR="00912D72" w:rsidRPr="00323A75">
              <w:rPr>
                <w:rFonts w:ascii="Times New Roman" w:hAnsi="Times New Roman"/>
                <w:noProof/>
                <w:webHidden/>
                <w:sz w:val="24"/>
                <w:szCs w:val="24"/>
              </w:rPr>
              <w:fldChar w:fldCharType="begin"/>
            </w:r>
            <w:r w:rsidR="00912D72" w:rsidRPr="00323A75">
              <w:rPr>
                <w:rFonts w:ascii="Times New Roman" w:hAnsi="Times New Roman"/>
                <w:noProof/>
                <w:webHidden/>
                <w:sz w:val="24"/>
                <w:szCs w:val="24"/>
              </w:rPr>
              <w:instrText xml:space="preserve"> PAGEREF _Toc43713076 \h </w:instrText>
            </w:r>
            <w:r w:rsidR="00912D72" w:rsidRPr="00323A75">
              <w:rPr>
                <w:rFonts w:ascii="Times New Roman" w:hAnsi="Times New Roman"/>
                <w:noProof/>
                <w:webHidden/>
                <w:sz w:val="24"/>
                <w:szCs w:val="24"/>
              </w:rPr>
            </w:r>
            <w:r w:rsidR="00912D72" w:rsidRPr="00323A75">
              <w:rPr>
                <w:rFonts w:ascii="Times New Roman" w:hAnsi="Times New Roman"/>
                <w:noProof/>
                <w:webHidden/>
                <w:sz w:val="24"/>
                <w:szCs w:val="24"/>
              </w:rPr>
              <w:fldChar w:fldCharType="separate"/>
            </w:r>
            <w:r w:rsidR="00513CEF">
              <w:rPr>
                <w:rFonts w:ascii="Times New Roman" w:hAnsi="Times New Roman"/>
                <w:noProof/>
                <w:webHidden/>
                <w:sz w:val="24"/>
                <w:szCs w:val="24"/>
              </w:rPr>
              <w:t>19</w:t>
            </w:r>
            <w:r w:rsidR="00912D72" w:rsidRPr="00323A75">
              <w:rPr>
                <w:rFonts w:ascii="Times New Roman" w:hAnsi="Times New Roman"/>
                <w:noProof/>
                <w:webHidden/>
                <w:sz w:val="24"/>
                <w:szCs w:val="24"/>
              </w:rPr>
              <w:fldChar w:fldCharType="end"/>
            </w:r>
          </w:hyperlink>
        </w:p>
        <w:p w14:paraId="7D0AECFA" w14:textId="3A3A01F9" w:rsidR="00E848C8" w:rsidRDefault="00E848C8" w:rsidP="00E848C8">
          <w:pPr>
            <w:rPr>
              <w:b/>
              <w:bCs/>
              <w:noProof/>
            </w:rPr>
          </w:pPr>
          <w:r w:rsidRPr="00E55C67">
            <w:rPr>
              <w:bCs/>
              <w:noProof/>
            </w:rPr>
            <w:fldChar w:fldCharType="end"/>
          </w:r>
        </w:p>
      </w:sdtContent>
    </w:sdt>
    <w:p w14:paraId="72E96F5F" w14:textId="77777777" w:rsidR="00E848C8" w:rsidRPr="00FE35E5" w:rsidRDefault="00E848C8" w:rsidP="00530A26">
      <w:pPr>
        <w:rPr>
          <w:b/>
        </w:rPr>
      </w:pPr>
    </w:p>
    <w:p w14:paraId="2A38BE27" w14:textId="77777777" w:rsidR="00E848C8" w:rsidRPr="00FE35E5" w:rsidRDefault="00E848C8" w:rsidP="00530A26">
      <w:pPr>
        <w:rPr>
          <w:b/>
        </w:rPr>
        <w:sectPr w:rsidR="00E848C8" w:rsidRPr="00FE35E5" w:rsidSect="00EE136D">
          <w:pgSz w:w="11906" w:h="16838"/>
          <w:pgMar w:top="1440" w:right="1440" w:bottom="1440" w:left="1440" w:header="708" w:footer="708" w:gutter="0"/>
          <w:cols w:space="708"/>
          <w:docGrid w:linePitch="360"/>
        </w:sectPr>
      </w:pPr>
    </w:p>
    <w:p w14:paraId="439703AF" w14:textId="02B7F149" w:rsidR="00E848C8" w:rsidRPr="00FE35E5" w:rsidRDefault="00000000" w:rsidP="00E848C8">
      <w:pPr>
        <w:keepNext/>
        <w:pBdr>
          <w:bottom w:val="single" w:sz="4" w:space="0" w:color="auto"/>
        </w:pBdr>
        <w:suppressAutoHyphens/>
        <w:spacing w:before="227" w:after="170"/>
        <w:outlineLvl w:val="1"/>
        <w:rPr>
          <w:rFonts w:eastAsia="Palatino Linotype"/>
          <w:b/>
        </w:rPr>
      </w:pPr>
      <w:hyperlink w:anchor="s26953rec1" w:history="1">
        <w:bookmarkStart w:id="0" w:name="_Toc43713066"/>
        <w:r w:rsidR="00E848C8" w:rsidRPr="00FE35E5">
          <w:rPr>
            <w:rFonts w:eastAsia="Palatino Linotype"/>
            <w:b/>
          </w:rPr>
          <w:t>Recommendation 1</w:t>
        </w:r>
        <w:bookmarkEnd w:id="0"/>
      </w:hyperlink>
      <w:r w:rsidR="00E848C8" w:rsidRPr="00FE35E5">
        <w:rPr>
          <w:rFonts w:eastAsia="Palatino Linotype"/>
          <w:b/>
        </w:rPr>
        <w:t xml:space="preserve"> </w:t>
      </w:r>
    </w:p>
    <w:p w14:paraId="137525EC" w14:textId="77777777" w:rsidR="00E848C8" w:rsidRPr="00FE35E5" w:rsidRDefault="00E848C8" w:rsidP="00491B29">
      <w:pPr>
        <w:tabs>
          <w:tab w:val="left" w:pos="624"/>
        </w:tabs>
        <w:suppressAutoHyphens/>
        <w:spacing w:before="113" w:after="227"/>
        <w:rPr>
          <w:rFonts w:eastAsia="Palatino Linotype"/>
          <w:i/>
        </w:rPr>
      </w:pPr>
      <w:r w:rsidRPr="00FE35E5">
        <w:rPr>
          <w:rFonts w:eastAsia="Palatino Linotype"/>
          <w:i/>
        </w:rPr>
        <w:t>The Committee recommends that the Australian Government prioritise sleep health as a national priority and recognise its importance to health and wellbeing alongside fitness and nutrition.</w:t>
      </w:r>
    </w:p>
    <w:p w14:paraId="103C7DF1" w14:textId="77777777" w:rsidR="00E848C8" w:rsidRPr="00FE35E5" w:rsidRDefault="00E848C8" w:rsidP="00E848C8">
      <w:pPr>
        <w:tabs>
          <w:tab w:val="left" w:pos="624"/>
        </w:tabs>
        <w:suppressAutoHyphens/>
        <w:spacing w:before="113" w:after="227"/>
        <w:rPr>
          <w:rFonts w:eastAsia="Palatino Linotype"/>
          <w:b/>
        </w:rPr>
      </w:pPr>
      <w:r w:rsidRPr="00FE35E5">
        <w:rPr>
          <w:rFonts w:eastAsia="Palatino Linotype"/>
          <w:b/>
        </w:rPr>
        <w:t>Response:</w:t>
      </w:r>
    </w:p>
    <w:p w14:paraId="09604E55" w14:textId="77777777" w:rsidR="00E91674" w:rsidRPr="00FE35E5" w:rsidRDefault="00E848C8" w:rsidP="00E91674">
      <w:r w:rsidRPr="00FE35E5">
        <w:rPr>
          <w:rFonts w:eastAsia="Palatino Linotype"/>
        </w:rPr>
        <w:t xml:space="preserve">The </w:t>
      </w:r>
      <w:r w:rsidR="000A78F8" w:rsidRPr="00FE35E5">
        <w:rPr>
          <w:rFonts w:eastAsia="Palatino Linotype"/>
        </w:rPr>
        <w:t xml:space="preserve">Australian </w:t>
      </w:r>
      <w:r w:rsidRPr="00FE35E5">
        <w:rPr>
          <w:rFonts w:eastAsia="Palatino Linotype"/>
        </w:rPr>
        <w:t xml:space="preserve">Government </w:t>
      </w:r>
      <w:r w:rsidRPr="00FE35E5">
        <w:rPr>
          <w:rFonts w:eastAsia="Palatino Linotype"/>
          <w:b/>
        </w:rPr>
        <w:t>supports</w:t>
      </w:r>
      <w:r w:rsidRPr="00FE35E5">
        <w:rPr>
          <w:rFonts w:eastAsia="Palatino Linotype"/>
        </w:rPr>
        <w:t xml:space="preserve"> th</w:t>
      </w:r>
      <w:r w:rsidR="0006086C" w:rsidRPr="00FE35E5">
        <w:rPr>
          <w:rFonts w:eastAsia="Palatino Linotype"/>
        </w:rPr>
        <w:t>e</w:t>
      </w:r>
      <w:r w:rsidRPr="00FE35E5">
        <w:rPr>
          <w:rFonts w:eastAsia="Palatino Linotype"/>
        </w:rPr>
        <w:t xml:space="preserve"> recommendation</w:t>
      </w:r>
      <w:r w:rsidRPr="00FE35E5">
        <w:t xml:space="preserve">. </w:t>
      </w:r>
    </w:p>
    <w:p w14:paraId="61428D34" w14:textId="77777777" w:rsidR="00E91674" w:rsidRPr="00FE35E5" w:rsidRDefault="00E91674" w:rsidP="00E91674"/>
    <w:p w14:paraId="1B637C19" w14:textId="33F7F780" w:rsidR="0064033A" w:rsidRPr="00FE35E5" w:rsidRDefault="00E41278" w:rsidP="00E91674">
      <w:r w:rsidRPr="00FE35E5">
        <w:t>There</w:t>
      </w:r>
      <w:r w:rsidR="00DB49AF" w:rsidRPr="00FE35E5">
        <w:t xml:space="preserve"> is evidence which supp</w:t>
      </w:r>
      <w:r w:rsidR="00DB49AF" w:rsidRPr="00FE35E5">
        <w:rPr>
          <w:rFonts w:eastAsia="Palatino Linotype"/>
        </w:rPr>
        <w:t>orts the importance of</w:t>
      </w:r>
      <w:r w:rsidR="00843F90" w:rsidRPr="00FE35E5">
        <w:rPr>
          <w:rFonts w:eastAsia="Palatino Linotype"/>
        </w:rPr>
        <w:t xml:space="preserve"> </w:t>
      </w:r>
      <w:r w:rsidR="00DB49AF" w:rsidRPr="00FE35E5">
        <w:rPr>
          <w:rFonts w:eastAsia="Palatino Linotype"/>
        </w:rPr>
        <w:t>sleep</w:t>
      </w:r>
      <w:r w:rsidR="00843F90" w:rsidRPr="00FE35E5">
        <w:rPr>
          <w:rFonts w:eastAsia="Palatino Linotype"/>
        </w:rPr>
        <w:t xml:space="preserve"> </w:t>
      </w:r>
      <w:r w:rsidR="00C13C6D" w:rsidRPr="00FE35E5">
        <w:rPr>
          <w:rFonts w:eastAsia="Palatino Linotype"/>
        </w:rPr>
        <w:t xml:space="preserve">for good </w:t>
      </w:r>
      <w:r w:rsidR="00843F90" w:rsidRPr="00FE35E5">
        <w:rPr>
          <w:rFonts w:eastAsia="Palatino Linotype"/>
        </w:rPr>
        <w:t>health</w:t>
      </w:r>
      <w:r w:rsidR="0052432F" w:rsidRPr="00FE35E5">
        <w:rPr>
          <w:rFonts w:eastAsia="Palatino Linotype"/>
        </w:rPr>
        <w:t xml:space="preserve">, </w:t>
      </w:r>
      <w:r w:rsidR="00843F90" w:rsidRPr="00FE35E5">
        <w:rPr>
          <w:rFonts w:eastAsia="Palatino Linotype"/>
        </w:rPr>
        <w:t>general wellbeing</w:t>
      </w:r>
      <w:r w:rsidR="0052432F" w:rsidRPr="00FE35E5">
        <w:rPr>
          <w:rFonts w:eastAsia="Palatino Linotype"/>
        </w:rPr>
        <w:t>, and</w:t>
      </w:r>
      <w:r w:rsidR="00DB49AF" w:rsidRPr="00FE35E5">
        <w:rPr>
          <w:rFonts w:eastAsia="Palatino Linotype"/>
        </w:rPr>
        <w:t xml:space="preserve"> overall</w:t>
      </w:r>
      <w:r w:rsidR="0052432F" w:rsidRPr="00FE35E5">
        <w:rPr>
          <w:rFonts w:eastAsia="Palatino Linotype"/>
        </w:rPr>
        <w:t xml:space="preserve"> quality of life.</w:t>
      </w:r>
      <w:r w:rsidR="00C1094A" w:rsidRPr="00FE35E5">
        <w:rPr>
          <w:rFonts w:eastAsia="Palatino Linotype"/>
        </w:rPr>
        <w:t xml:space="preserve"> Sleep is thought to help keep </w:t>
      </w:r>
      <w:r w:rsidR="00A3406A" w:rsidRPr="00FE35E5">
        <w:rPr>
          <w:rFonts w:eastAsia="Palatino Linotype"/>
        </w:rPr>
        <w:t>the</w:t>
      </w:r>
      <w:r w:rsidR="00C1094A" w:rsidRPr="00FE35E5">
        <w:rPr>
          <w:rFonts w:eastAsia="Palatino Linotype"/>
        </w:rPr>
        <w:t xml:space="preserve"> immune system strong and heart and blood vessels healthy. It allows for growth and healing</w:t>
      </w:r>
      <w:r w:rsidR="004E5CF2" w:rsidRPr="00FE35E5">
        <w:rPr>
          <w:rFonts w:eastAsia="Palatino Linotype"/>
        </w:rPr>
        <w:t xml:space="preserve"> and </w:t>
      </w:r>
      <w:r w:rsidR="00C1094A" w:rsidRPr="00FE35E5">
        <w:rPr>
          <w:rFonts w:eastAsia="Palatino Linotype"/>
        </w:rPr>
        <w:t xml:space="preserve">helps control appetite and weight. </w:t>
      </w:r>
      <w:r w:rsidR="009C723F" w:rsidRPr="00FE35E5">
        <w:rPr>
          <w:rFonts w:eastAsia="Palatino Linotype"/>
        </w:rPr>
        <w:t>In</w:t>
      </w:r>
      <w:r w:rsidR="00F94161" w:rsidRPr="00FE35E5">
        <w:rPr>
          <w:rFonts w:eastAsia="Palatino Linotype"/>
        </w:rPr>
        <w:t>sufficient</w:t>
      </w:r>
      <w:r w:rsidR="00C1094A" w:rsidRPr="00FE35E5">
        <w:rPr>
          <w:rFonts w:eastAsia="Palatino Linotype"/>
        </w:rPr>
        <w:t xml:space="preserve"> sleep can </w:t>
      </w:r>
      <w:r w:rsidR="00F94161" w:rsidRPr="00FE35E5">
        <w:rPr>
          <w:rFonts w:eastAsia="Palatino Linotype"/>
        </w:rPr>
        <w:t xml:space="preserve">negatively </w:t>
      </w:r>
      <w:r w:rsidR="00C1094A" w:rsidRPr="00FE35E5">
        <w:rPr>
          <w:rFonts w:eastAsia="Palatino Linotype"/>
        </w:rPr>
        <w:t>affect health and has been linked to a range of</w:t>
      </w:r>
      <w:r w:rsidR="0087457E" w:rsidRPr="00FE35E5">
        <w:rPr>
          <w:rFonts w:eastAsia="Palatino Linotype"/>
        </w:rPr>
        <w:t xml:space="preserve"> problems with</w:t>
      </w:r>
      <w:r w:rsidR="00C1094A" w:rsidRPr="00FE35E5">
        <w:rPr>
          <w:rFonts w:eastAsia="Palatino Linotype"/>
        </w:rPr>
        <w:t xml:space="preserve"> physical </w:t>
      </w:r>
      <w:r w:rsidR="0087457E" w:rsidRPr="00FE35E5">
        <w:rPr>
          <w:rFonts w:eastAsia="Palatino Linotype"/>
        </w:rPr>
        <w:t>health</w:t>
      </w:r>
      <w:r w:rsidR="00C1094A" w:rsidRPr="00FE35E5">
        <w:rPr>
          <w:rFonts w:eastAsia="Palatino Linotype"/>
        </w:rPr>
        <w:t xml:space="preserve">, such as heart disease, high blood pressure, </w:t>
      </w:r>
      <w:r w:rsidR="005376C4" w:rsidRPr="00FE35E5">
        <w:rPr>
          <w:rFonts w:eastAsia="Palatino Linotype"/>
        </w:rPr>
        <w:t xml:space="preserve">type 2 </w:t>
      </w:r>
      <w:r w:rsidR="00C1094A" w:rsidRPr="00FE35E5">
        <w:rPr>
          <w:rFonts w:eastAsia="Palatino Linotype"/>
        </w:rPr>
        <w:t>diabetes and even premature death</w:t>
      </w:r>
      <w:r w:rsidR="0087457E" w:rsidRPr="00FE35E5">
        <w:rPr>
          <w:rFonts w:eastAsia="Palatino Linotype"/>
        </w:rPr>
        <w:t>, as well as with mental health, including depression and anxiety</w:t>
      </w:r>
      <w:r w:rsidR="00C1094A" w:rsidRPr="00FE35E5">
        <w:rPr>
          <w:rFonts w:eastAsia="Palatino Linotype"/>
        </w:rPr>
        <w:t>.</w:t>
      </w:r>
    </w:p>
    <w:p w14:paraId="1F55C3E1" w14:textId="77777777" w:rsidR="00E91674" w:rsidRPr="00FE35E5" w:rsidRDefault="00E91674" w:rsidP="00E91674"/>
    <w:p w14:paraId="6BC40968" w14:textId="41BD5A80" w:rsidR="00C4032A" w:rsidRPr="00FE35E5" w:rsidRDefault="00C4032A" w:rsidP="00C4032A">
      <w:pPr>
        <w:rPr>
          <w:rFonts w:eastAsia="Palatino Linotype"/>
        </w:rPr>
      </w:pPr>
      <w:r w:rsidRPr="00FE35E5">
        <w:t>The Government has developed the National Preventive Health Strategy (</w:t>
      </w:r>
      <w:r w:rsidR="00DE148F" w:rsidRPr="00FE35E5">
        <w:t>NPHS</w:t>
      </w:r>
      <w:r w:rsidRPr="00FE35E5">
        <w:t xml:space="preserve">) which outlines the overarching, long-term approach to prevention in Australia over the next </w:t>
      </w:r>
      <w:r w:rsidR="00130778" w:rsidRPr="00FE35E5">
        <w:br/>
      </w:r>
      <w:r w:rsidRPr="00FE35E5">
        <w:t xml:space="preserve">10 years. </w:t>
      </w:r>
      <w:r w:rsidR="00DE148F" w:rsidRPr="00FE35E5">
        <w:t>The NPHS aims to improve health and wellbeing and decrease the burden of disease for all Australians, through a whole-of-systems approach to prevention that addresses the wider determinants of health and promotes health equity</w:t>
      </w:r>
      <w:r w:rsidR="00DE148F" w:rsidRPr="00FE35E5" w:rsidDel="00DE148F">
        <w:t xml:space="preserve"> </w:t>
      </w:r>
      <w:r w:rsidRPr="00FE35E5">
        <w:t xml:space="preserve">The </w:t>
      </w:r>
      <w:r w:rsidR="00DE148F" w:rsidRPr="00FE35E5">
        <w:t xml:space="preserve">NPHS </w:t>
      </w:r>
      <w:r w:rsidRPr="00FE35E5">
        <w:t xml:space="preserve">recognises that sleep, alongside nutrition and physical activity, is essential to preventing poor </w:t>
      </w:r>
      <w:r w:rsidR="00DA4796" w:rsidRPr="00FE35E5">
        <w:t xml:space="preserve">physical </w:t>
      </w:r>
      <w:r w:rsidRPr="00FE35E5">
        <w:t xml:space="preserve">health and wellbeing. </w:t>
      </w:r>
      <w:r w:rsidRPr="00FE35E5">
        <w:rPr>
          <w:rFonts w:eastAsia="Palatino Linotype"/>
        </w:rPr>
        <w:t xml:space="preserve">The length and quality of sleep over the life course is also recognised as one of many protective factors that contribute to positive mental health and wellbeing. </w:t>
      </w:r>
    </w:p>
    <w:p w14:paraId="196A6479" w14:textId="77777777" w:rsidR="00E91674" w:rsidRPr="00FE35E5" w:rsidRDefault="00E91674" w:rsidP="00C4032A"/>
    <w:p w14:paraId="07C3AB3B" w14:textId="224ADF81" w:rsidR="0064033A" w:rsidRPr="00FE35E5" w:rsidRDefault="00D90644" w:rsidP="00E91674">
      <w:r w:rsidRPr="00FE35E5">
        <w:rPr>
          <w:rFonts w:ascii="TimesNewRomanPSMT" w:hAnsi="TimesNewRomanPSMT"/>
          <w:lang w:eastAsia="en-AU"/>
        </w:rPr>
        <w:t xml:space="preserve">Evidence indicates that developing </w:t>
      </w:r>
      <w:r w:rsidR="0064033A" w:rsidRPr="00FE35E5">
        <w:rPr>
          <w:rFonts w:eastAsia="Palatino Linotype"/>
        </w:rPr>
        <w:t xml:space="preserve">and maintaining good sleep habits </w:t>
      </w:r>
      <w:r w:rsidR="00D1007A" w:rsidRPr="00FE35E5">
        <w:rPr>
          <w:rFonts w:eastAsia="Palatino Linotype"/>
        </w:rPr>
        <w:t xml:space="preserve">can support positive health outcomes, particularly where these habits are established at an early stage of the </w:t>
      </w:r>
      <w:r w:rsidR="00D64FFE" w:rsidRPr="00FE35E5">
        <w:rPr>
          <w:rFonts w:eastAsia="Palatino Linotype"/>
        </w:rPr>
        <w:t>life course</w:t>
      </w:r>
      <w:r w:rsidR="00D1007A" w:rsidRPr="00FE35E5">
        <w:t>.</w:t>
      </w:r>
    </w:p>
    <w:p w14:paraId="001C6AF9" w14:textId="77777777" w:rsidR="00E91674" w:rsidRPr="00FE35E5" w:rsidRDefault="00E91674" w:rsidP="00E91674"/>
    <w:p w14:paraId="324827B6" w14:textId="64DC3D15" w:rsidR="00D90644" w:rsidRPr="00FE35E5" w:rsidRDefault="008B492E" w:rsidP="00D90644">
      <w:r w:rsidRPr="00FE35E5">
        <w:t xml:space="preserve">In 2017 and 2019, the </w:t>
      </w:r>
      <w:r w:rsidR="00E41278" w:rsidRPr="00FE35E5">
        <w:t xml:space="preserve">then </w:t>
      </w:r>
      <w:r w:rsidRPr="00FE35E5">
        <w:t>Department of Health reviewed and updated its physical activity guidelines for children aged 0-5 years (released in 2017), and children and young people aged 5-17 yea</w:t>
      </w:r>
      <w:r w:rsidR="00405C19" w:rsidRPr="00FE35E5">
        <w:t xml:space="preserve">rs (released in 2019). </w:t>
      </w:r>
      <w:r w:rsidR="004D5BAC" w:rsidRPr="00FE35E5">
        <w:t xml:space="preserve">The </w:t>
      </w:r>
      <w:r w:rsidR="00D90644" w:rsidRPr="00FE35E5">
        <w:t xml:space="preserve">evidence review found </w:t>
      </w:r>
      <w:r w:rsidR="004D5BAC" w:rsidRPr="00FE35E5">
        <w:t xml:space="preserve">that shorter sleep duration is adversely associated with adiposity, emotional regulation, growth, </w:t>
      </w:r>
      <w:r w:rsidR="009B66E2" w:rsidRPr="00FE35E5">
        <w:t xml:space="preserve">and </w:t>
      </w:r>
      <w:r w:rsidR="004D5BAC" w:rsidRPr="00FE35E5">
        <w:t xml:space="preserve">cognitive development. </w:t>
      </w:r>
      <w:r w:rsidR="00D90644" w:rsidRPr="00FE35E5">
        <w:t>To better reflect the importance of sleep for good health in infants, children and young people, the guidelines include a 24-hour integrated approach. This approach acknowledges that activity throughout the whole day is important and considers interrelated behaviours such as physical activity, sedentary behaviour, sleep and screen time use. The guidelines are now known as: 24-Hour Movement Guidelines for the Early Years (0-5 years), and 24-Hour Movement Guidelines for Children and Young People (5-17 years).</w:t>
      </w:r>
    </w:p>
    <w:p w14:paraId="42FC0B44" w14:textId="77777777" w:rsidR="00D90644" w:rsidRPr="00FE35E5" w:rsidRDefault="00D90644" w:rsidP="00E91674"/>
    <w:p w14:paraId="5A31B3A5" w14:textId="435C99F8" w:rsidR="00D90644" w:rsidRPr="00FE35E5" w:rsidRDefault="00D90644" w:rsidP="00D90644">
      <w:pPr>
        <w:rPr>
          <w:lang w:eastAsia="en-AU"/>
        </w:rPr>
      </w:pPr>
      <w:r w:rsidRPr="00FE35E5">
        <w:rPr>
          <w:lang w:eastAsia="en-AU"/>
        </w:rPr>
        <w:t xml:space="preserve">In 2022, the Government committed to a review and update of the Australian Physical Activity Guidelines for Adults (18-64 years) and Older Australians (aged 65 years and over). </w:t>
      </w:r>
    </w:p>
    <w:p w14:paraId="3FC5A306" w14:textId="77777777" w:rsidR="00D90644" w:rsidRPr="00FE35E5" w:rsidRDefault="00D90644" w:rsidP="00D90644">
      <w:pPr>
        <w:rPr>
          <w:lang w:eastAsia="en-AU"/>
        </w:rPr>
      </w:pPr>
      <w:r w:rsidRPr="00FE35E5">
        <w:rPr>
          <w:lang w:eastAsia="en-AU"/>
        </w:rPr>
        <w:t xml:space="preserve">The updated guidelines will incorporate the latest evidence and integrate 24-hour movement </w:t>
      </w:r>
    </w:p>
    <w:p w14:paraId="3A24E2C3" w14:textId="1A8AA5D2" w:rsidR="009B52F0" w:rsidRPr="00FE35E5" w:rsidRDefault="00D90644" w:rsidP="009B52F0">
      <w:pPr>
        <w:sectPr w:rsidR="009B52F0" w:rsidRPr="00FE35E5">
          <w:pgSz w:w="11906" w:h="16838"/>
          <w:pgMar w:top="1440" w:right="1440" w:bottom="1440" w:left="1440" w:header="708" w:footer="708" w:gutter="0"/>
          <w:cols w:space="708"/>
          <w:docGrid w:linePitch="360"/>
        </w:sectPr>
      </w:pPr>
      <w:r w:rsidRPr="00FE35E5">
        <w:rPr>
          <w:lang w:eastAsia="en-AU"/>
        </w:rPr>
        <w:t xml:space="preserve">behaviours including physical activity, sedentary behaviour and sleep. </w:t>
      </w:r>
      <w:r w:rsidR="009B52F0" w:rsidRPr="00FE35E5">
        <w:t>This update will ensure consistency with the NPHS to incorporate sleep and screen time recommendations for all age groups into national guidelines and policies where appropriate.</w:t>
      </w:r>
    </w:p>
    <w:p w14:paraId="30076854" w14:textId="2F492BD0" w:rsidR="00E848C8" w:rsidRPr="00FE35E5" w:rsidRDefault="00000000" w:rsidP="00E848C8">
      <w:pPr>
        <w:keepNext/>
        <w:pBdr>
          <w:bottom w:val="single" w:sz="4" w:space="0" w:color="auto"/>
        </w:pBdr>
        <w:suppressAutoHyphens/>
        <w:spacing w:before="227" w:after="170"/>
        <w:outlineLvl w:val="1"/>
        <w:rPr>
          <w:rFonts w:eastAsia="Palatino Linotype"/>
          <w:b/>
        </w:rPr>
      </w:pPr>
      <w:hyperlink w:anchor="s26955rec2" w:history="1">
        <w:bookmarkStart w:id="1" w:name="_Toc43713067"/>
        <w:r w:rsidR="00E848C8" w:rsidRPr="00FE35E5">
          <w:rPr>
            <w:rFonts w:eastAsia="Palatino Linotype"/>
            <w:b/>
          </w:rPr>
          <w:t>Recommendation 2</w:t>
        </w:r>
        <w:bookmarkEnd w:id="1"/>
      </w:hyperlink>
      <w:r w:rsidR="00E848C8" w:rsidRPr="00FE35E5">
        <w:rPr>
          <w:rFonts w:eastAsia="Palatino Linotype"/>
          <w:b/>
        </w:rPr>
        <w:t xml:space="preserve">  </w:t>
      </w:r>
    </w:p>
    <w:p w14:paraId="273A2DB7" w14:textId="70EF46EC" w:rsidR="00E848C8" w:rsidRPr="00FE35E5" w:rsidRDefault="00E848C8" w:rsidP="009B4B19">
      <w:pPr>
        <w:tabs>
          <w:tab w:val="left" w:pos="624"/>
        </w:tabs>
        <w:suppressAutoHyphens/>
        <w:spacing w:before="113" w:after="227"/>
        <w:jc w:val="both"/>
        <w:rPr>
          <w:rFonts w:eastAsia="Palatino Linotype"/>
          <w:i/>
        </w:rPr>
      </w:pPr>
      <w:r w:rsidRPr="00FE35E5">
        <w:rPr>
          <w:rFonts w:eastAsia="Palatino Linotype"/>
          <w:i/>
        </w:rPr>
        <w:t>The Committee recommends Safe Work Australia and the Alertness CRC</w:t>
      </w:r>
      <w:r w:rsidR="00A2145B" w:rsidRPr="00FE35E5">
        <w:rPr>
          <w:rFonts w:eastAsia="Palatino Linotype"/>
          <w:i/>
        </w:rPr>
        <w:t xml:space="preserve"> </w:t>
      </w:r>
      <w:r w:rsidRPr="00FE35E5">
        <w:rPr>
          <w:rFonts w:eastAsia="Palatino Linotype"/>
          <w:i/>
        </w:rPr>
        <w:t>provide updated guidelines (based on current research and science) for industries using shift work, regarding optimal shift structures and other workplace practices that promote alertness, productivity and ensure worker safety.</w:t>
      </w:r>
    </w:p>
    <w:p w14:paraId="0462BA18" w14:textId="19C81F37" w:rsidR="00A16623" w:rsidRPr="00FE35E5" w:rsidRDefault="00A16623" w:rsidP="009B4B19">
      <w:pPr>
        <w:tabs>
          <w:tab w:val="left" w:pos="624"/>
        </w:tabs>
        <w:suppressAutoHyphens/>
        <w:spacing w:before="113" w:after="227"/>
        <w:jc w:val="both"/>
        <w:rPr>
          <w:rFonts w:eastAsia="Palatino Linotype"/>
          <w:b/>
        </w:rPr>
      </w:pPr>
      <w:r w:rsidRPr="00FE35E5">
        <w:rPr>
          <w:rFonts w:eastAsia="Palatino Linotype"/>
          <w:b/>
        </w:rPr>
        <w:t>Response:</w:t>
      </w:r>
    </w:p>
    <w:p w14:paraId="5A89CD69" w14:textId="4C9B586A" w:rsidR="00A16623" w:rsidRPr="00FE35E5" w:rsidRDefault="00A16623" w:rsidP="009B4B19">
      <w:pPr>
        <w:tabs>
          <w:tab w:val="left" w:pos="624"/>
        </w:tabs>
        <w:suppressAutoHyphens/>
        <w:spacing w:before="113"/>
        <w:jc w:val="both"/>
        <w:rPr>
          <w:b/>
        </w:rPr>
      </w:pPr>
      <w:r w:rsidRPr="00FE35E5">
        <w:rPr>
          <w:rFonts w:eastAsia="Palatino Linotype"/>
        </w:rPr>
        <w:t xml:space="preserve">The Government </w:t>
      </w:r>
      <w:r w:rsidRPr="00FE35E5">
        <w:rPr>
          <w:rFonts w:eastAsia="Palatino Linotype"/>
          <w:b/>
        </w:rPr>
        <w:t xml:space="preserve">supports </w:t>
      </w:r>
      <w:r w:rsidR="005B3505" w:rsidRPr="00FE35E5">
        <w:rPr>
          <w:rFonts w:eastAsia="Palatino Linotype"/>
          <w:b/>
        </w:rPr>
        <w:t>in</w:t>
      </w:r>
      <w:r w:rsidR="000B25BC" w:rsidRPr="00FE35E5">
        <w:rPr>
          <w:rFonts w:eastAsia="Palatino Linotype"/>
          <w:b/>
        </w:rPr>
        <w:t>-</w:t>
      </w:r>
      <w:r w:rsidR="005B3505" w:rsidRPr="00FE35E5">
        <w:rPr>
          <w:rFonts w:eastAsia="Palatino Linotype"/>
          <w:b/>
        </w:rPr>
        <w:t>principle</w:t>
      </w:r>
      <w:r w:rsidR="005B3505" w:rsidRPr="00FE35E5">
        <w:rPr>
          <w:rFonts w:eastAsia="Palatino Linotype"/>
        </w:rPr>
        <w:t xml:space="preserve"> </w:t>
      </w:r>
      <w:r w:rsidRPr="00FE35E5">
        <w:rPr>
          <w:rFonts w:eastAsia="Palatino Linotype"/>
        </w:rPr>
        <w:t>th</w:t>
      </w:r>
      <w:r w:rsidR="0006086C" w:rsidRPr="00FE35E5">
        <w:rPr>
          <w:rFonts w:eastAsia="Palatino Linotype"/>
        </w:rPr>
        <w:t>e</w:t>
      </w:r>
      <w:r w:rsidRPr="00FE35E5">
        <w:rPr>
          <w:rFonts w:eastAsia="Palatino Linotype"/>
        </w:rPr>
        <w:t xml:space="preserve"> recommendation and acknowledges</w:t>
      </w:r>
      <w:r w:rsidRPr="00FE35E5">
        <w:rPr>
          <w:b/>
        </w:rPr>
        <w:t xml:space="preserve"> </w:t>
      </w:r>
      <w:r w:rsidRPr="00FE35E5">
        <w:t xml:space="preserve">the negative impacts inadequate sleep and sleep disorders have on work performance, </w:t>
      </w:r>
      <w:proofErr w:type="gramStart"/>
      <w:r w:rsidRPr="00FE35E5">
        <w:t>safety</w:t>
      </w:r>
      <w:proofErr w:type="gramEnd"/>
      <w:r w:rsidRPr="00FE35E5">
        <w:t xml:space="preserve"> and health.</w:t>
      </w:r>
    </w:p>
    <w:p w14:paraId="739A12CD" w14:textId="77777777" w:rsidR="00A16623" w:rsidRPr="00FE35E5" w:rsidRDefault="00A16623" w:rsidP="009B4B19">
      <w:pPr>
        <w:jc w:val="both"/>
      </w:pPr>
    </w:p>
    <w:p w14:paraId="78D0449F" w14:textId="7E9BB2B2" w:rsidR="00A16623" w:rsidRPr="00FE35E5" w:rsidRDefault="0054670C" w:rsidP="009B4B19">
      <w:pPr>
        <w:jc w:val="both"/>
        <w:rPr>
          <w:rFonts w:cstheme="minorHAnsi"/>
        </w:rPr>
      </w:pPr>
      <w:r w:rsidRPr="00FE35E5">
        <w:rPr>
          <w:rFonts w:cstheme="minorHAnsi"/>
        </w:rPr>
        <w:t>Safe Work Australia</w:t>
      </w:r>
      <w:r w:rsidR="00A16623" w:rsidRPr="00FE35E5">
        <w:rPr>
          <w:rFonts w:cstheme="minorHAnsi"/>
        </w:rPr>
        <w:t xml:space="preserve"> </w:t>
      </w:r>
      <w:r w:rsidRPr="00FE35E5">
        <w:rPr>
          <w:rFonts w:cstheme="minorHAnsi"/>
        </w:rPr>
        <w:t>(</w:t>
      </w:r>
      <w:r w:rsidR="00A16623" w:rsidRPr="00FE35E5">
        <w:rPr>
          <w:rFonts w:cstheme="minorHAnsi"/>
        </w:rPr>
        <w:t>SWA</w:t>
      </w:r>
      <w:r w:rsidRPr="00FE35E5">
        <w:rPr>
          <w:rFonts w:cstheme="minorHAnsi"/>
        </w:rPr>
        <w:t>)</w:t>
      </w:r>
      <w:r w:rsidR="00A16623" w:rsidRPr="00FE35E5">
        <w:rPr>
          <w:rFonts w:cstheme="minorHAnsi"/>
        </w:rPr>
        <w:t xml:space="preserve"> is a statutory body established in 2009 to develop the model work health and safety (WHS) laws and national policy on WHS and workers’ compensation.</w:t>
      </w:r>
    </w:p>
    <w:p w14:paraId="68E5753B" w14:textId="77777777" w:rsidR="00A16623" w:rsidRPr="00FE35E5" w:rsidRDefault="00A16623" w:rsidP="009B4B19">
      <w:pPr>
        <w:jc w:val="both"/>
        <w:rPr>
          <w:rFonts w:cstheme="minorHAnsi"/>
        </w:rPr>
      </w:pPr>
    </w:p>
    <w:p w14:paraId="45CF40CF" w14:textId="36234EDA" w:rsidR="00A16623" w:rsidRPr="00FE35E5" w:rsidRDefault="00A16623" w:rsidP="009B4B19">
      <w:pPr>
        <w:jc w:val="both"/>
        <w:rPr>
          <w:rFonts w:cstheme="minorHAnsi"/>
        </w:rPr>
      </w:pPr>
      <w:r w:rsidRPr="00FE35E5">
        <w:rPr>
          <w:rFonts w:cstheme="minorHAnsi"/>
        </w:rPr>
        <w:t xml:space="preserve">The </w:t>
      </w:r>
      <w:r w:rsidRPr="00FE35E5">
        <w:rPr>
          <w:rFonts w:cstheme="minorHAnsi"/>
          <w:i/>
        </w:rPr>
        <w:t xml:space="preserve">Safe Work Australia Act 2008 </w:t>
      </w:r>
      <w:r w:rsidRPr="00FE35E5">
        <w:rPr>
          <w:rFonts w:cstheme="minorHAnsi"/>
        </w:rPr>
        <w:t xml:space="preserve">(Cth) (the Act) sets out SWA’s role and functions. One of SWA’s statutory functions is to develop, maintain and, if necessary, revise the model WHS laws, which </w:t>
      </w:r>
      <w:r w:rsidR="00A2145B" w:rsidRPr="00FE35E5">
        <w:rPr>
          <w:rFonts w:cstheme="minorHAnsi"/>
        </w:rPr>
        <w:t xml:space="preserve">are </w:t>
      </w:r>
      <w:r w:rsidRPr="00FE35E5">
        <w:rPr>
          <w:rFonts w:cstheme="minorHAnsi"/>
        </w:rPr>
        <w:t>comprise</w:t>
      </w:r>
      <w:r w:rsidR="00A2145B" w:rsidRPr="00FE35E5">
        <w:rPr>
          <w:rFonts w:cstheme="minorHAnsi"/>
        </w:rPr>
        <w:t>d of</w:t>
      </w:r>
      <w:r w:rsidRPr="00FE35E5">
        <w:rPr>
          <w:rFonts w:cstheme="minorHAnsi"/>
        </w:rPr>
        <w:t xml:space="preserve"> the model WHS Act, model WHS Regulations and model Codes of Practice. This function includes preparing other material relating to WHS (such as guidance) that supports the consistent interpretation of the model WHS laws and compliance with the model WHS laws framework.</w:t>
      </w:r>
    </w:p>
    <w:p w14:paraId="1328C1E5" w14:textId="77777777" w:rsidR="00A2145B" w:rsidRPr="00FE35E5" w:rsidRDefault="00A2145B" w:rsidP="009B4B19">
      <w:pPr>
        <w:jc w:val="both"/>
        <w:rPr>
          <w:rFonts w:cstheme="minorHAnsi"/>
        </w:rPr>
      </w:pPr>
    </w:p>
    <w:p w14:paraId="7F3A1149" w14:textId="0394C22A" w:rsidR="00A2145B" w:rsidRPr="00FE35E5" w:rsidRDefault="00A2145B" w:rsidP="009B4B19">
      <w:pPr>
        <w:jc w:val="both"/>
        <w:rPr>
          <w:rFonts w:cstheme="minorHAnsi"/>
        </w:rPr>
      </w:pPr>
      <w:r w:rsidRPr="00FE35E5">
        <w:rPr>
          <w:rFonts w:cstheme="minorHAnsi"/>
        </w:rPr>
        <w:t>The activities that SWA is to undertake in the performance of its functions are set out each year in an Operational Plan, which is agreed by Commonwealth, state and territory ministers responsible for WHS (WHS ministers).</w:t>
      </w:r>
    </w:p>
    <w:p w14:paraId="3AF62003" w14:textId="77777777" w:rsidR="00A16623" w:rsidRPr="00FE35E5" w:rsidRDefault="00A16623" w:rsidP="009B4B19">
      <w:pPr>
        <w:jc w:val="both"/>
        <w:rPr>
          <w:rFonts w:cstheme="minorHAnsi"/>
        </w:rPr>
      </w:pPr>
    </w:p>
    <w:p w14:paraId="0F36F2A0" w14:textId="42641862" w:rsidR="00A16623" w:rsidRPr="00FE35E5" w:rsidRDefault="00A16623" w:rsidP="009B4B19">
      <w:pPr>
        <w:jc w:val="both"/>
        <w:rPr>
          <w:rFonts w:cstheme="minorHAnsi"/>
        </w:rPr>
      </w:pPr>
      <w:r w:rsidRPr="00FE35E5">
        <w:rPr>
          <w:rFonts w:cstheme="minorHAnsi"/>
        </w:rPr>
        <w:t xml:space="preserve">SWA is a tripartite body </w:t>
      </w:r>
      <w:r w:rsidR="002F166F" w:rsidRPr="00FE35E5">
        <w:rPr>
          <w:rFonts w:cstheme="minorHAnsi"/>
        </w:rPr>
        <w:t xml:space="preserve">with </w:t>
      </w:r>
      <w:r w:rsidR="00A2145B" w:rsidRPr="00FE35E5">
        <w:rPr>
          <w:rFonts w:cstheme="minorHAnsi"/>
        </w:rPr>
        <w:t xml:space="preserve">15 members </w:t>
      </w:r>
      <w:r w:rsidRPr="00FE35E5">
        <w:rPr>
          <w:rFonts w:cstheme="minorHAnsi"/>
        </w:rPr>
        <w:t>comprising representatives of the Commonwealth, state and territory governments, workers and employers. The work undertaken by SWA is subject to the support of SWA Members</w:t>
      </w:r>
      <w:r w:rsidR="00A2145B" w:rsidRPr="00FE35E5">
        <w:rPr>
          <w:rFonts w:cstheme="minorHAnsi"/>
        </w:rPr>
        <w:t>, whose authority and voting arrangements are set out in the Act.</w:t>
      </w:r>
    </w:p>
    <w:p w14:paraId="4A06AE4E" w14:textId="77777777" w:rsidR="00A16623" w:rsidRPr="00FE35E5" w:rsidRDefault="00A16623" w:rsidP="009B4B19">
      <w:pPr>
        <w:jc w:val="both"/>
        <w:rPr>
          <w:rFonts w:cstheme="minorHAnsi"/>
        </w:rPr>
      </w:pPr>
    </w:p>
    <w:p w14:paraId="7D59B96E" w14:textId="62655067" w:rsidR="00A16623" w:rsidRPr="00FE35E5" w:rsidRDefault="00A16623" w:rsidP="009B4B19">
      <w:pPr>
        <w:jc w:val="both"/>
        <w:rPr>
          <w:rFonts w:cstheme="minorHAnsi"/>
        </w:rPr>
      </w:pPr>
      <w:r w:rsidRPr="00FE35E5">
        <w:rPr>
          <w:rFonts w:cstheme="minorHAnsi"/>
        </w:rPr>
        <w:t xml:space="preserve">SWA has developed a range of guidance material on fatigue and shift work. The Fatigue Guide outlines the relevant duties in the model WHS laws and provides practical guidance on managing fatigue, and risk factors to consider in shift design. However, as SWA is not a regulator, it cannot provide specific advice on fatigue management and shift design to workplaces. </w:t>
      </w:r>
      <w:r w:rsidR="00A2145B" w:rsidRPr="00FE35E5">
        <w:rPr>
          <w:rFonts w:cstheme="minorHAnsi"/>
        </w:rPr>
        <w:t>The Commonwealth, and each state and territory, are responsible for implementing, regulating and enforcing WHS laws in their own jurisdiction.</w:t>
      </w:r>
    </w:p>
    <w:p w14:paraId="762B9BA8" w14:textId="77777777" w:rsidR="00A16623" w:rsidRPr="00FE35E5" w:rsidRDefault="00A16623" w:rsidP="009B4B19">
      <w:pPr>
        <w:jc w:val="both"/>
        <w:rPr>
          <w:rFonts w:cstheme="minorHAnsi"/>
        </w:rPr>
      </w:pPr>
    </w:p>
    <w:p w14:paraId="0621D25B" w14:textId="7CE964E0" w:rsidR="003062A3" w:rsidRPr="00FE35E5" w:rsidRDefault="00A16623" w:rsidP="009B4B19">
      <w:pPr>
        <w:jc w:val="both"/>
        <w:rPr>
          <w:rFonts w:cstheme="minorHAnsi"/>
        </w:rPr>
      </w:pPr>
      <w:r w:rsidRPr="00FE35E5">
        <w:rPr>
          <w:rFonts w:cstheme="minorHAnsi"/>
        </w:rPr>
        <w:t xml:space="preserve">The duties in the model WHS laws and the Fatigue Guide also do not replace other requirements relating to fatigue for certain kinds of work, for example, </w:t>
      </w:r>
      <w:r w:rsidR="003062A3" w:rsidRPr="00FE35E5">
        <w:rPr>
          <w:rFonts w:cstheme="minorHAnsi"/>
        </w:rPr>
        <w:t>the National Transport Commission’s Guidelines for Managing Heavy Vehicle Driver Fatigue under the</w:t>
      </w:r>
    </w:p>
    <w:p w14:paraId="01FF6F0D" w14:textId="20C11752" w:rsidR="00A16623" w:rsidRPr="00FE35E5" w:rsidRDefault="00A16623" w:rsidP="009B4B19">
      <w:pPr>
        <w:jc w:val="both"/>
        <w:rPr>
          <w:rFonts w:cstheme="minorHAnsi"/>
        </w:rPr>
      </w:pPr>
      <w:r w:rsidRPr="00FE35E5">
        <w:rPr>
          <w:rFonts w:cstheme="minorHAnsi"/>
        </w:rPr>
        <w:t xml:space="preserve">heavy vehicle driver fatigue laws </w:t>
      </w:r>
      <w:r w:rsidR="003062A3" w:rsidRPr="00FE35E5">
        <w:rPr>
          <w:rFonts w:cstheme="minorHAnsi"/>
        </w:rPr>
        <w:t xml:space="preserve">and the National Rail Safety Regulator’s Guidance on Fatigue Risk Management </w:t>
      </w:r>
      <w:r w:rsidR="004D5EB1" w:rsidRPr="00FE35E5">
        <w:rPr>
          <w:rFonts w:cstheme="minorHAnsi"/>
        </w:rPr>
        <w:t xml:space="preserve">under the </w:t>
      </w:r>
      <w:r w:rsidR="003062A3" w:rsidRPr="00FE35E5">
        <w:rPr>
          <w:rFonts w:cstheme="minorHAnsi"/>
        </w:rPr>
        <w:t xml:space="preserve">national </w:t>
      </w:r>
      <w:r w:rsidRPr="00FE35E5">
        <w:rPr>
          <w:rFonts w:cstheme="minorHAnsi"/>
        </w:rPr>
        <w:t xml:space="preserve">rail safety </w:t>
      </w:r>
      <w:r w:rsidR="003062A3" w:rsidRPr="00FE35E5">
        <w:rPr>
          <w:rFonts w:cstheme="minorHAnsi"/>
        </w:rPr>
        <w:t>laws</w:t>
      </w:r>
      <w:r w:rsidRPr="00FE35E5">
        <w:rPr>
          <w:rFonts w:cstheme="minorHAnsi"/>
        </w:rPr>
        <w:t xml:space="preserve">. Working hours may also be subject to </w:t>
      </w:r>
      <w:r w:rsidR="003062A3" w:rsidRPr="00FE35E5">
        <w:rPr>
          <w:rFonts w:cstheme="minorHAnsi"/>
        </w:rPr>
        <w:t xml:space="preserve">requirements under </w:t>
      </w:r>
      <w:r w:rsidRPr="00FE35E5">
        <w:rPr>
          <w:rFonts w:cstheme="minorHAnsi"/>
        </w:rPr>
        <w:t>workplace instruments, such as modern awards or enterprise agreements.</w:t>
      </w:r>
    </w:p>
    <w:p w14:paraId="3F53F24E" w14:textId="04FAC51F" w:rsidR="003062A3" w:rsidRPr="00FE35E5" w:rsidRDefault="003062A3" w:rsidP="009B4B19">
      <w:pPr>
        <w:spacing w:after="160" w:line="259" w:lineRule="auto"/>
        <w:jc w:val="both"/>
        <w:rPr>
          <w:rFonts w:cstheme="minorHAnsi"/>
        </w:rPr>
      </w:pPr>
      <w:r w:rsidRPr="00FE35E5">
        <w:rPr>
          <w:rFonts w:cstheme="minorHAnsi"/>
        </w:rPr>
        <w:br w:type="page"/>
      </w:r>
    </w:p>
    <w:p w14:paraId="1283771A" w14:textId="4ADEB15B" w:rsidR="00A16623" w:rsidRPr="00FE35E5" w:rsidRDefault="00A16623" w:rsidP="009B4B19">
      <w:pPr>
        <w:jc w:val="both"/>
        <w:rPr>
          <w:rFonts w:cstheme="minorHAnsi"/>
        </w:rPr>
      </w:pPr>
      <w:r w:rsidRPr="00FE35E5">
        <w:rPr>
          <w:rFonts w:cstheme="minorHAnsi"/>
        </w:rPr>
        <w:lastRenderedPageBreak/>
        <w:t xml:space="preserve">While the Government notes </w:t>
      </w:r>
      <w:r w:rsidR="003A3A62" w:rsidRPr="00FE35E5">
        <w:rPr>
          <w:rFonts w:cstheme="minorHAnsi"/>
        </w:rPr>
        <w:t xml:space="preserve">the value of </w:t>
      </w:r>
      <w:r w:rsidRPr="00FE35E5">
        <w:rPr>
          <w:rFonts w:cstheme="minorHAnsi"/>
        </w:rPr>
        <w:t>ensuring the currency of the Fatigue Guide, the decision as to whether SWA undertakes this work would be subject to the requisite support of SWA and</w:t>
      </w:r>
      <w:r w:rsidR="002F166F" w:rsidRPr="00FE35E5">
        <w:rPr>
          <w:rFonts w:cstheme="minorHAnsi"/>
        </w:rPr>
        <w:t>, where required,</w:t>
      </w:r>
      <w:r w:rsidRPr="00FE35E5">
        <w:rPr>
          <w:rFonts w:cstheme="minorHAnsi"/>
        </w:rPr>
        <w:t xml:space="preserve"> WHS Ministers.</w:t>
      </w:r>
      <w:r w:rsidR="003062A3" w:rsidRPr="00FE35E5">
        <w:rPr>
          <w:rFonts w:cstheme="minorHAnsi"/>
        </w:rPr>
        <w:t xml:space="preserve"> It is also noted that the Alertness </w:t>
      </w:r>
      <w:r w:rsidR="0070382E" w:rsidRPr="00FE35E5">
        <w:rPr>
          <w:rFonts w:cstheme="minorHAnsi"/>
        </w:rPr>
        <w:t xml:space="preserve">Cooperative Research Centres </w:t>
      </w:r>
      <w:r w:rsidR="003062A3" w:rsidRPr="00FE35E5">
        <w:rPr>
          <w:rFonts w:cstheme="minorHAnsi"/>
        </w:rPr>
        <w:t>closed on 30 June 2020 following its seven-year term.</w:t>
      </w:r>
    </w:p>
    <w:p w14:paraId="214D3092" w14:textId="77777777" w:rsidR="004505EE" w:rsidRPr="00FE35E5" w:rsidRDefault="004505EE" w:rsidP="009B4B19">
      <w:pPr>
        <w:jc w:val="both"/>
      </w:pPr>
    </w:p>
    <w:p w14:paraId="294D1A65" w14:textId="77777777" w:rsidR="004505EE" w:rsidRPr="00FE35E5" w:rsidRDefault="004505EE" w:rsidP="004505EE">
      <w:pPr>
        <w:sectPr w:rsidR="004505EE" w:rsidRPr="00FE35E5">
          <w:pgSz w:w="11906" w:h="16838"/>
          <w:pgMar w:top="1440" w:right="1440" w:bottom="1440" w:left="1440" w:header="708" w:footer="708" w:gutter="0"/>
          <w:cols w:space="708"/>
          <w:docGrid w:linePitch="360"/>
        </w:sectPr>
      </w:pPr>
    </w:p>
    <w:p w14:paraId="4F6AD27C" w14:textId="5E369F0B" w:rsidR="008D7AB8" w:rsidRPr="00FE35E5" w:rsidRDefault="00000000" w:rsidP="008D7AB8">
      <w:pPr>
        <w:keepNext/>
        <w:pBdr>
          <w:bottom w:val="single" w:sz="4" w:space="0" w:color="auto"/>
        </w:pBdr>
        <w:suppressAutoHyphens/>
        <w:spacing w:before="227" w:after="170"/>
        <w:outlineLvl w:val="1"/>
        <w:rPr>
          <w:rFonts w:eastAsia="Palatino Linotype"/>
          <w:b/>
        </w:rPr>
      </w:pPr>
      <w:hyperlink w:anchor="s26955rec3" w:history="1">
        <w:bookmarkStart w:id="2" w:name="_Toc43713068"/>
        <w:r w:rsidR="008D7AB8" w:rsidRPr="00FE35E5">
          <w:rPr>
            <w:rFonts w:eastAsia="Palatino Linotype"/>
            <w:b/>
          </w:rPr>
          <w:t>Recommendation 3</w:t>
        </w:r>
        <w:bookmarkEnd w:id="2"/>
      </w:hyperlink>
      <w:r w:rsidR="008D7AB8" w:rsidRPr="00FE35E5">
        <w:rPr>
          <w:rFonts w:eastAsia="Palatino Linotype"/>
          <w:b/>
        </w:rPr>
        <w:t xml:space="preserve"> </w:t>
      </w:r>
    </w:p>
    <w:p w14:paraId="5019D00A" w14:textId="77777777" w:rsidR="008D7AB8" w:rsidRPr="00FE35E5" w:rsidRDefault="008D7AB8" w:rsidP="00A22B72">
      <w:pPr>
        <w:tabs>
          <w:tab w:val="left" w:pos="624"/>
        </w:tabs>
        <w:suppressAutoHyphens/>
        <w:spacing w:after="120"/>
        <w:rPr>
          <w:rFonts w:eastAsia="Palatino Linotype"/>
          <w:i/>
        </w:rPr>
      </w:pPr>
      <w:r w:rsidRPr="00FE35E5">
        <w:rPr>
          <w:rFonts w:eastAsia="Palatino Linotype"/>
          <w:i/>
        </w:rPr>
        <w:t>The Committee recommends the Australian Government work with the states and territories to:</w:t>
      </w:r>
    </w:p>
    <w:p w14:paraId="094EE62E" w14:textId="0B08E80D" w:rsidR="008D7AB8" w:rsidRPr="00FE35E5" w:rsidRDefault="00A22B72" w:rsidP="00A22B72">
      <w:pPr>
        <w:pStyle w:val="ListParagraph"/>
        <w:numPr>
          <w:ilvl w:val="0"/>
          <w:numId w:val="11"/>
        </w:numPr>
        <w:tabs>
          <w:tab w:val="num" w:pos="1020"/>
        </w:tabs>
        <w:spacing w:after="120"/>
        <w:ind w:left="714" w:hanging="357"/>
        <w:contextualSpacing w:val="0"/>
        <w:rPr>
          <w:rFonts w:cstheme="minorHAnsi"/>
          <w:i/>
        </w:rPr>
      </w:pPr>
      <w:r w:rsidRPr="00FE35E5">
        <w:rPr>
          <w:rFonts w:cstheme="minorHAnsi"/>
          <w:i/>
        </w:rPr>
        <w:t>d</w:t>
      </w:r>
      <w:r w:rsidR="008D7AB8" w:rsidRPr="00FE35E5">
        <w:rPr>
          <w:rFonts w:cstheme="minorHAnsi"/>
          <w:i/>
        </w:rPr>
        <w:t>evelop a nationally consistent approach to working hours and rest breaks for shift workers; and</w:t>
      </w:r>
    </w:p>
    <w:p w14:paraId="32E11E52" w14:textId="243BA8B6" w:rsidR="008D7AB8" w:rsidRPr="00FE35E5" w:rsidRDefault="00A22B72" w:rsidP="00A22B72">
      <w:pPr>
        <w:pStyle w:val="ListParagraph"/>
        <w:numPr>
          <w:ilvl w:val="0"/>
          <w:numId w:val="11"/>
        </w:numPr>
        <w:tabs>
          <w:tab w:val="num" w:pos="1020"/>
        </w:tabs>
        <w:spacing w:after="120"/>
        <w:ind w:left="714" w:hanging="357"/>
        <w:contextualSpacing w:val="0"/>
        <w:rPr>
          <w:rFonts w:cstheme="minorHAnsi"/>
          <w:i/>
        </w:rPr>
      </w:pPr>
      <w:r w:rsidRPr="00FE35E5">
        <w:rPr>
          <w:rFonts w:cstheme="minorHAnsi"/>
          <w:i/>
        </w:rPr>
        <w:t>c</w:t>
      </w:r>
      <w:r w:rsidR="008D7AB8" w:rsidRPr="00FE35E5">
        <w:rPr>
          <w:rFonts w:cstheme="minorHAnsi"/>
          <w:i/>
        </w:rPr>
        <w:t xml:space="preserve">onsider whether there is a need for sleep health screenings for shift workers; and </w:t>
      </w:r>
    </w:p>
    <w:p w14:paraId="0154FEB1" w14:textId="45264F08" w:rsidR="008D7AB8" w:rsidRPr="00FE35E5" w:rsidRDefault="00A22B72" w:rsidP="00A22B72">
      <w:pPr>
        <w:pStyle w:val="ListParagraph"/>
        <w:numPr>
          <w:ilvl w:val="0"/>
          <w:numId w:val="11"/>
        </w:numPr>
        <w:tabs>
          <w:tab w:val="num" w:pos="1020"/>
        </w:tabs>
        <w:spacing w:after="200"/>
        <w:ind w:left="714" w:hanging="357"/>
        <w:rPr>
          <w:rFonts w:cstheme="minorHAnsi"/>
          <w:i/>
        </w:rPr>
      </w:pPr>
      <w:r w:rsidRPr="00FE35E5">
        <w:rPr>
          <w:rFonts w:cstheme="minorHAnsi"/>
          <w:i/>
        </w:rPr>
        <w:t>t</w:t>
      </w:r>
      <w:r w:rsidR="008D7AB8" w:rsidRPr="00FE35E5">
        <w:rPr>
          <w:rFonts w:cstheme="minorHAnsi"/>
          <w:i/>
        </w:rPr>
        <w:t>hat this approach be based on guidelines recommended by Safe Work Australia and the Alertness CRC.</w:t>
      </w:r>
    </w:p>
    <w:p w14:paraId="34BB8A0B" w14:textId="77777777" w:rsidR="008D7AB8" w:rsidRPr="00FE35E5" w:rsidRDefault="008D7AB8" w:rsidP="00A22B72">
      <w:pPr>
        <w:suppressAutoHyphens/>
        <w:spacing w:after="120"/>
        <w:rPr>
          <w:rFonts w:eastAsia="Palatino Linotype"/>
          <w:b/>
        </w:rPr>
      </w:pPr>
      <w:r w:rsidRPr="00FE35E5">
        <w:rPr>
          <w:rFonts w:eastAsia="Palatino Linotype"/>
          <w:b/>
        </w:rPr>
        <w:t>Response:</w:t>
      </w:r>
    </w:p>
    <w:p w14:paraId="220E25CE" w14:textId="23D8E16D" w:rsidR="005D4664" w:rsidRPr="00FE35E5" w:rsidRDefault="008D7AB8" w:rsidP="00A22B72">
      <w:pPr>
        <w:suppressAutoHyphens/>
        <w:rPr>
          <w:rFonts w:eastAsia="Palatino Linotype"/>
        </w:rPr>
      </w:pPr>
      <w:r w:rsidRPr="00FE35E5">
        <w:rPr>
          <w:rFonts w:eastAsia="Palatino Linotype"/>
        </w:rPr>
        <w:t xml:space="preserve">The </w:t>
      </w:r>
      <w:r w:rsidR="009115FD" w:rsidRPr="00FE35E5">
        <w:rPr>
          <w:rFonts w:eastAsia="Palatino Linotype"/>
        </w:rPr>
        <w:t xml:space="preserve">Australian </w:t>
      </w:r>
      <w:r w:rsidRPr="00FE35E5">
        <w:rPr>
          <w:rFonts w:eastAsia="Palatino Linotype"/>
        </w:rPr>
        <w:t xml:space="preserve">Government </w:t>
      </w:r>
      <w:r w:rsidR="00802951" w:rsidRPr="00FE35E5">
        <w:rPr>
          <w:rFonts w:eastAsia="Palatino Linotype"/>
          <w:b/>
        </w:rPr>
        <w:t>supports in</w:t>
      </w:r>
      <w:r w:rsidR="000B25BC" w:rsidRPr="00FE35E5">
        <w:rPr>
          <w:rFonts w:eastAsia="Palatino Linotype"/>
          <w:b/>
        </w:rPr>
        <w:t>-</w:t>
      </w:r>
      <w:r w:rsidR="00802951" w:rsidRPr="00FE35E5">
        <w:rPr>
          <w:rFonts w:eastAsia="Palatino Linotype"/>
          <w:b/>
        </w:rPr>
        <w:t>principle</w:t>
      </w:r>
      <w:r w:rsidR="00802951" w:rsidRPr="00FE35E5">
        <w:rPr>
          <w:rFonts w:eastAsia="Palatino Linotype"/>
        </w:rPr>
        <w:t xml:space="preserve"> </w:t>
      </w:r>
      <w:r w:rsidR="001814BF" w:rsidRPr="00FE35E5">
        <w:rPr>
          <w:rFonts w:eastAsia="Palatino Linotype"/>
        </w:rPr>
        <w:t>the recommendation</w:t>
      </w:r>
      <w:r w:rsidR="00802951" w:rsidRPr="00FE35E5">
        <w:rPr>
          <w:rFonts w:eastAsia="Palatino Linotype"/>
        </w:rPr>
        <w:t xml:space="preserve"> and notes that the model WHS laws provide for a nationally consistent principles</w:t>
      </w:r>
      <w:r w:rsidR="000B25BC" w:rsidRPr="00FE35E5">
        <w:rPr>
          <w:rFonts w:eastAsia="Palatino Linotype"/>
        </w:rPr>
        <w:noBreakHyphen/>
      </w:r>
      <w:r w:rsidR="00802951" w:rsidRPr="00FE35E5">
        <w:rPr>
          <w:rFonts w:eastAsia="Palatino Linotype"/>
        </w:rPr>
        <w:t>based approach to the management of workplace health and safety.</w:t>
      </w:r>
      <w:r w:rsidR="001814BF" w:rsidRPr="00FE35E5">
        <w:rPr>
          <w:rFonts w:eastAsia="Palatino Linotype"/>
        </w:rPr>
        <w:t xml:space="preserve"> </w:t>
      </w:r>
    </w:p>
    <w:p w14:paraId="5F09570E" w14:textId="77777777" w:rsidR="00A22B72" w:rsidRPr="00FE35E5" w:rsidRDefault="00A22B72" w:rsidP="00A22B72">
      <w:pPr>
        <w:suppressAutoHyphens/>
        <w:rPr>
          <w:rFonts w:eastAsia="Palatino Linotype"/>
        </w:rPr>
      </w:pPr>
    </w:p>
    <w:p w14:paraId="01B7377B" w14:textId="31D66878" w:rsidR="005D12FE" w:rsidRPr="00FE35E5" w:rsidRDefault="00A238CA" w:rsidP="00D83EBF">
      <w:pPr>
        <w:rPr>
          <w:rFonts w:cstheme="minorHAnsi"/>
        </w:rPr>
      </w:pPr>
      <w:r w:rsidRPr="00FE35E5">
        <w:rPr>
          <w:rFonts w:cstheme="minorHAnsi"/>
        </w:rPr>
        <w:t>Australia has model WHS laws that have been adopted in all jurisdictions except Victoria (which has similar laws in place).</w:t>
      </w:r>
      <w:r w:rsidR="00E41278" w:rsidRPr="00FE35E5">
        <w:rPr>
          <w:rFonts w:cstheme="minorHAnsi"/>
        </w:rPr>
        <w:t xml:space="preserve"> </w:t>
      </w:r>
      <w:r w:rsidR="00802951" w:rsidRPr="00FE35E5">
        <w:rPr>
          <w:rFonts w:cstheme="minorHAnsi"/>
        </w:rPr>
        <w:t>The model WHS laws</w:t>
      </w:r>
      <w:r w:rsidR="006602DC" w:rsidRPr="00FE35E5">
        <w:rPr>
          <w:rFonts w:cstheme="minorHAnsi"/>
        </w:rPr>
        <w:t xml:space="preserve"> place duties on persons conducting a business or undertaking (PCBUs), officers, workers and other persons to ensure health and safety at work. </w:t>
      </w:r>
    </w:p>
    <w:p w14:paraId="390349A8" w14:textId="77777777" w:rsidR="005D12FE" w:rsidRPr="00FE35E5" w:rsidRDefault="005D12FE" w:rsidP="00D83EBF">
      <w:pPr>
        <w:rPr>
          <w:rFonts w:cstheme="minorHAnsi"/>
        </w:rPr>
      </w:pPr>
    </w:p>
    <w:p w14:paraId="7D7DD62F" w14:textId="77777777" w:rsidR="005D12FE" w:rsidRPr="00FE35E5" w:rsidRDefault="005D12FE" w:rsidP="005D12FE">
      <w:pPr>
        <w:rPr>
          <w:rFonts w:cstheme="minorHAnsi"/>
        </w:rPr>
      </w:pPr>
      <w:r w:rsidRPr="00FE35E5">
        <w:rPr>
          <w:rFonts w:cstheme="minorHAnsi"/>
        </w:rPr>
        <w:t xml:space="preserve">The model WHS laws provide a nationally consistent approach to managing fatigue related risks to health and safety. The principles-based duties in the model WHS laws provide flexibility to adopt control measures to address the risks and operating environment of the particular workplace. The laws therefore do not set prescriptive or uniform requirements in relation to working hours, rest breaks or other control measures to manage the risks of fatigue.  </w:t>
      </w:r>
    </w:p>
    <w:p w14:paraId="442DBDC1" w14:textId="77777777" w:rsidR="005D12FE" w:rsidRPr="00FE35E5" w:rsidRDefault="005D12FE" w:rsidP="00D83EBF">
      <w:pPr>
        <w:rPr>
          <w:rFonts w:cstheme="minorHAnsi"/>
        </w:rPr>
      </w:pPr>
    </w:p>
    <w:p w14:paraId="2C4D36E4" w14:textId="77777777" w:rsidR="005D12FE" w:rsidRPr="00FE35E5" w:rsidRDefault="005D12FE" w:rsidP="006C6A48">
      <w:pPr>
        <w:spacing w:after="120"/>
      </w:pPr>
      <w:bookmarkStart w:id="3" w:name="_Hlk90456639"/>
      <w:r w:rsidRPr="00FE35E5">
        <w:rPr>
          <w:rFonts w:cstheme="minorHAnsi"/>
        </w:rPr>
        <w:t xml:space="preserve">Under the model WHS laws </w:t>
      </w:r>
      <w:bookmarkEnd w:id="3"/>
      <w:r w:rsidRPr="00FE35E5">
        <w:rPr>
          <w:rFonts w:cstheme="minorHAnsi"/>
        </w:rPr>
        <w:t xml:space="preserve">PCBUs have a primary duty of care to ensure, </w:t>
      </w:r>
      <w:r w:rsidRPr="00FE35E5">
        <w:t xml:space="preserve">so far as is reasonably practicable, the health and safety workers and other persons in relation to work undertaken by the business or undertaking. This includes ensuring, so far as is reasonably </w:t>
      </w:r>
      <w:r w:rsidRPr="00FE35E5">
        <w:rPr>
          <w:rFonts w:cstheme="minorHAnsi"/>
        </w:rPr>
        <w:t>practicable</w:t>
      </w:r>
      <w:r w:rsidRPr="00FE35E5">
        <w:t>:</w:t>
      </w:r>
    </w:p>
    <w:p w14:paraId="293F82AD" w14:textId="77777777" w:rsidR="005D12FE" w:rsidRPr="00FE35E5" w:rsidRDefault="005D12FE" w:rsidP="006C6A48">
      <w:pPr>
        <w:pStyle w:val="ListParagraph"/>
        <w:numPr>
          <w:ilvl w:val="0"/>
          <w:numId w:val="11"/>
        </w:numPr>
        <w:spacing w:after="60"/>
        <w:ind w:left="714" w:hanging="357"/>
        <w:contextualSpacing w:val="0"/>
        <w:rPr>
          <w:rFonts w:cstheme="minorHAnsi"/>
        </w:rPr>
      </w:pPr>
      <w:r w:rsidRPr="00FE35E5">
        <w:rPr>
          <w:rFonts w:cstheme="minorHAnsi"/>
        </w:rPr>
        <w:t xml:space="preserve">provision and maintenance of a work environment without risks to health and safety </w:t>
      </w:r>
    </w:p>
    <w:p w14:paraId="0484E305" w14:textId="77777777" w:rsidR="005D12FE" w:rsidRPr="00FE35E5" w:rsidRDefault="005D12FE" w:rsidP="006C6A48">
      <w:pPr>
        <w:pStyle w:val="ListParagraph"/>
        <w:numPr>
          <w:ilvl w:val="0"/>
          <w:numId w:val="11"/>
        </w:numPr>
        <w:spacing w:after="60"/>
        <w:ind w:left="714" w:hanging="357"/>
        <w:contextualSpacing w:val="0"/>
        <w:rPr>
          <w:rFonts w:cstheme="minorHAnsi"/>
        </w:rPr>
      </w:pPr>
      <w:r w:rsidRPr="00FE35E5">
        <w:rPr>
          <w:rFonts w:cstheme="minorHAnsi"/>
        </w:rPr>
        <w:t xml:space="preserve">provision and maintenance of safe systems of work, and </w:t>
      </w:r>
    </w:p>
    <w:p w14:paraId="7905E4D2" w14:textId="2F3413EA" w:rsidR="005D12FE" w:rsidRPr="00FE35E5" w:rsidRDefault="005D12FE" w:rsidP="006C6A48">
      <w:pPr>
        <w:pStyle w:val="ListParagraph"/>
        <w:numPr>
          <w:ilvl w:val="0"/>
          <w:numId w:val="11"/>
        </w:numPr>
        <w:spacing w:after="60"/>
        <w:ind w:left="714" w:hanging="357"/>
        <w:contextualSpacing w:val="0"/>
        <w:rPr>
          <w:rFonts w:cstheme="minorHAnsi"/>
        </w:rPr>
      </w:pPr>
      <w:r w:rsidRPr="00FE35E5">
        <w:rPr>
          <w:rFonts w:cstheme="minorHAnsi"/>
        </w:rPr>
        <w:t>monitoring the health of workers and the conditions at the workplace for the purpose of preventing</w:t>
      </w:r>
      <w:r w:rsidRPr="00FE35E5">
        <w:t xml:space="preserve"> illness or injury of workers arising from the conduct of the business or undertaking.</w:t>
      </w:r>
    </w:p>
    <w:p w14:paraId="7BECC27C" w14:textId="77777777" w:rsidR="00E91674" w:rsidRPr="00FE35E5" w:rsidRDefault="00E91674" w:rsidP="00E91674">
      <w:pPr>
        <w:rPr>
          <w:rFonts w:cstheme="minorHAnsi"/>
        </w:rPr>
      </w:pPr>
    </w:p>
    <w:p w14:paraId="284D11BF" w14:textId="66DCAF6D" w:rsidR="005D12FE" w:rsidRPr="00FE35E5" w:rsidRDefault="005D12FE" w:rsidP="005D12FE">
      <w:pPr>
        <w:rPr>
          <w:rFonts w:cstheme="minorHAnsi"/>
        </w:rPr>
      </w:pPr>
      <w:r w:rsidRPr="00FE35E5">
        <w:rPr>
          <w:rFonts w:cstheme="minorHAnsi"/>
        </w:rPr>
        <w:t>To meet this duty a PCBU must eliminate or minimise risks to health and safety so far as is reasonably practicable, wherever workers undertake work and whatever work they do. This includes managing the risk of fatigue at work.</w:t>
      </w:r>
    </w:p>
    <w:p w14:paraId="3B42E4C1" w14:textId="77777777" w:rsidR="005F6C91" w:rsidRPr="00FE35E5" w:rsidRDefault="005F6C91" w:rsidP="005D12FE">
      <w:pPr>
        <w:rPr>
          <w:rFonts w:cstheme="minorHAnsi"/>
        </w:rPr>
      </w:pPr>
    </w:p>
    <w:p w14:paraId="7ECEAF5D" w14:textId="67031F48" w:rsidR="006602DC" w:rsidRPr="00FE35E5" w:rsidRDefault="006602DC" w:rsidP="00D83EBF">
      <w:pPr>
        <w:rPr>
          <w:rFonts w:cstheme="minorHAnsi"/>
        </w:rPr>
      </w:pPr>
      <w:r w:rsidRPr="00FE35E5">
        <w:rPr>
          <w:rFonts w:cstheme="minorHAnsi"/>
        </w:rPr>
        <w:t>The model WHS laws also require PCBUs to consult</w:t>
      </w:r>
      <w:r w:rsidR="007868EF" w:rsidRPr="00FE35E5">
        <w:rPr>
          <w:rFonts w:cstheme="minorHAnsi"/>
        </w:rPr>
        <w:t xml:space="preserve"> </w:t>
      </w:r>
      <w:r w:rsidRPr="00FE35E5">
        <w:rPr>
          <w:rFonts w:cstheme="minorHAnsi"/>
        </w:rPr>
        <w:t xml:space="preserve">with workers </w:t>
      </w:r>
      <w:r w:rsidR="005D12FE" w:rsidRPr="00FE35E5">
        <w:rPr>
          <w:rFonts w:cstheme="minorHAnsi"/>
        </w:rPr>
        <w:t xml:space="preserve">on any matter directly </w:t>
      </w:r>
      <w:r w:rsidR="005D12FE" w:rsidRPr="00FE35E5">
        <w:t xml:space="preserve">affecting their work health or safety, such as the risk of fatigue at works. </w:t>
      </w:r>
      <w:r w:rsidR="004D5EB1" w:rsidRPr="00FE35E5">
        <w:t>This includes when identifying and controlling the risk of fatigue at work</w:t>
      </w:r>
      <w:r w:rsidRPr="00FE35E5">
        <w:rPr>
          <w:rFonts w:cstheme="minorHAnsi"/>
        </w:rPr>
        <w:t xml:space="preserve">. Consultation with workers is core to the process and can provide insight into the risks in the workplace and how they can be managed. </w:t>
      </w:r>
    </w:p>
    <w:p w14:paraId="5A2A6E28" w14:textId="1933CE25" w:rsidR="006602DC" w:rsidRPr="00FE35E5" w:rsidRDefault="006602DC" w:rsidP="00D83EBF">
      <w:pPr>
        <w:rPr>
          <w:rFonts w:cstheme="minorHAnsi"/>
        </w:rPr>
      </w:pPr>
    </w:p>
    <w:p w14:paraId="737824E0" w14:textId="632B917F" w:rsidR="00E91674" w:rsidRPr="00FE35E5" w:rsidRDefault="00E91674" w:rsidP="00D83EBF">
      <w:pPr>
        <w:rPr>
          <w:rFonts w:cstheme="minorHAnsi"/>
        </w:rPr>
      </w:pPr>
    </w:p>
    <w:p w14:paraId="16779120" w14:textId="77777777" w:rsidR="006654E9" w:rsidRPr="00FE35E5" w:rsidRDefault="006602DC" w:rsidP="006C6A48">
      <w:pPr>
        <w:spacing w:after="120"/>
        <w:rPr>
          <w:rFonts w:cstheme="minorHAnsi"/>
        </w:rPr>
      </w:pPr>
      <w:r w:rsidRPr="00FE35E5">
        <w:rPr>
          <w:rFonts w:cstheme="minorHAnsi"/>
        </w:rPr>
        <w:t>Workers have a duty under WHS laws to</w:t>
      </w:r>
      <w:r w:rsidR="006654E9" w:rsidRPr="00FE35E5">
        <w:rPr>
          <w:rFonts w:cstheme="minorHAnsi"/>
        </w:rPr>
        <w:t>:</w:t>
      </w:r>
    </w:p>
    <w:p w14:paraId="3EC5E887" w14:textId="6250E104" w:rsidR="006654E9" w:rsidRPr="00FE35E5" w:rsidRDefault="006602DC" w:rsidP="006C6A48">
      <w:pPr>
        <w:pStyle w:val="ListParagraph"/>
        <w:numPr>
          <w:ilvl w:val="0"/>
          <w:numId w:val="11"/>
        </w:numPr>
        <w:spacing w:after="60"/>
        <w:ind w:left="714" w:hanging="357"/>
        <w:contextualSpacing w:val="0"/>
        <w:rPr>
          <w:rFonts w:cstheme="minorHAnsi"/>
        </w:rPr>
      </w:pPr>
      <w:r w:rsidRPr="00FE35E5">
        <w:rPr>
          <w:rFonts w:cstheme="minorHAnsi"/>
        </w:rPr>
        <w:t xml:space="preserve">take reasonable care for their own health and safety while at work </w:t>
      </w:r>
    </w:p>
    <w:p w14:paraId="18282D24" w14:textId="77777777" w:rsidR="003A679F" w:rsidRPr="00FE35E5" w:rsidRDefault="006602DC" w:rsidP="006C6A48">
      <w:pPr>
        <w:pStyle w:val="ListParagraph"/>
        <w:numPr>
          <w:ilvl w:val="0"/>
          <w:numId w:val="11"/>
        </w:numPr>
        <w:spacing w:after="60"/>
        <w:ind w:left="714" w:hanging="357"/>
        <w:contextualSpacing w:val="0"/>
        <w:rPr>
          <w:rFonts w:cstheme="minorHAnsi"/>
        </w:rPr>
      </w:pPr>
      <w:r w:rsidRPr="00FE35E5">
        <w:rPr>
          <w:rFonts w:cstheme="minorHAnsi"/>
        </w:rPr>
        <w:t xml:space="preserve">take reasonable care so that their acts or omissions do not adversely affect the health and safety of other persons at the workplace. </w:t>
      </w:r>
    </w:p>
    <w:p w14:paraId="2716B3E0" w14:textId="53D54545" w:rsidR="003A679F" w:rsidRPr="00FE35E5" w:rsidRDefault="006602DC" w:rsidP="006C6A48">
      <w:pPr>
        <w:pStyle w:val="ListParagraph"/>
        <w:numPr>
          <w:ilvl w:val="0"/>
          <w:numId w:val="11"/>
        </w:numPr>
        <w:spacing w:after="60"/>
        <w:ind w:left="714" w:hanging="357"/>
        <w:contextualSpacing w:val="0"/>
        <w:rPr>
          <w:rFonts w:cstheme="minorHAnsi"/>
        </w:rPr>
      </w:pPr>
      <w:r w:rsidRPr="00FE35E5">
        <w:rPr>
          <w:rFonts w:cstheme="minorHAnsi"/>
        </w:rPr>
        <w:t xml:space="preserve">comply, so far as they are reasonably able to, with any reasonable instruction that is given by the PCBU </w:t>
      </w:r>
      <w:r w:rsidR="003A679F" w:rsidRPr="00FE35E5">
        <w:rPr>
          <w:rFonts w:cstheme="minorHAnsi"/>
        </w:rPr>
        <w:t xml:space="preserve">to allow the PCBU to comply with the model WHS Act; </w:t>
      </w:r>
    </w:p>
    <w:p w14:paraId="28D0D99C" w14:textId="0F6815BD" w:rsidR="006602DC" w:rsidRPr="00FE35E5" w:rsidRDefault="006602DC" w:rsidP="006C6A48">
      <w:pPr>
        <w:pStyle w:val="ListParagraph"/>
        <w:numPr>
          <w:ilvl w:val="0"/>
          <w:numId w:val="11"/>
        </w:numPr>
        <w:spacing w:after="60"/>
        <w:ind w:left="714" w:hanging="357"/>
        <w:contextualSpacing w:val="0"/>
        <w:rPr>
          <w:rFonts w:cstheme="minorHAnsi"/>
        </w:rPr>
      </w:pPr>
      <w:r w:rsidRPr="00FE35E5">
        <w:rPr>
          <w:rFonts w:cstheme="minorHAnsi"/>
        </w:rPr>
        <w:t xml:space="preserve">and co-operate with any reasonable work health and safety policy or procedure that has been notified to them. </w:t>
      </w:r>
    </w:p>
    <w:p w14:paraId="6F3910C8" w14:textId="77777777" w:rsidR="006602DC" w:rsidRPr="00FE35E5" w:rsidRDefault="006602DC" w:rsidP="006602DC">
      <w:pPr>
        <w:jc w:val="both"/>
        <w:rPr>
          <w:rFonts w:cstheme="minorHAnsi"/>
        </w:rPr>
      </w:pPr>
    </w:p>
    <w:p w14:paraId="7B45C40F" w14:textId="28D7A826" w:rsidR="006602DC" w:rsidRPr="00FE35E5" w:rsidRDefault="006602DC" w:rsidP="006C6A48">
      <w:pPr>
        <w:spacing w:after="120"/>
        <w:rPr>
          <w:rFonts w:cstheme="minorHAnsi"/>
        </w:rPr>
      </w:pPr>
      <w:r w:rsidRPr="00FE35E5">
        <w:rPr>
          <w:rFonts w:cstheme="minorHAnsi"/>
        </w:rPr>
        <w:t xml:space="preserve">This duty works well in the context of managing the risk of fatigue at work </w:t>
      </w:r>
      <w:r w:rsidR="003A679F" w:rsidRPr="00FE35E5">
        <w:rPr>
          <w:rFonts w:cstheme="minorHAnsi"/>
        </w:rPr>
        <w:t>as it:</w:t>
      </w:r>
    </w:p>
    <w:p w14:paraId="3E7F79F2" w14:textId="07AC3FBF" w:rsidR="006602DC" w:rsidRPr="00FE35E5" w:rsidRDefault="006602DC" w:rsidP="006C6A48">
      <w:pPr>
        <w:pStyle w:val="ListParagraph"/>
        <w:numPr>
          <w:ilvl w:val="0"/>
          <w:numId w:val="11"/>
        </w:numPr>
        <w:spacing w:after="60"/>
        <w:ind w:left="714" w:hanging="357"/>
        <w:contextualSpacing w:val="0"/>
        <w:rPr>
          <w:rFonts w:cstheme="minorHAnsi"/>
        </w:rPr>
      </w:pPr>
      <w:r w:rsidRPr="00FE35E5">
        <w:rPr>
          <w:rFonts w:cstheme="minorHAnsi"/>
        </w:rPr>
        <w:t xml:space="preserve">recognises that workers also need to take </w:t>
      </w:r>
      <w:r w:rsidR="003A679F" w:rsidRPr="00FE35E5">
        <w:rPr>
          <w:rFonts w:cstheme="minorHAnsi"/>
        </w:rPr>
        <w:t xml:space="preserve">reasonable </w:t>
      </w:r>
      <w:r w:rsidRPr="00FE35E5">
        <w:rPr>
          <w:rFonts w:cstheme="minorHAnsi"/>
        </w:rPr>
        <w:t xml:space="preserve">steps to manage their fatigue, including by taking </w:t>
      </w:r>
      <w:r w:rsidR="003A679F" w:rsidRPr="00FE35E5">
        <w:rPr>
          <w:rFonts w:cstheme="minorHAnsi"/>
        </w:rPr>
        <w:t xml:space="preserve">provided </w:t>
      </w:r>
      <w:r w:rsidRPr="00FE35E5">
        <w:rPr>
          <w:rFonts w:cstheme="minorHAnsi"/>
        </w:rPr>
        <w:t xml:space="preserve">rest breaks </w:t>
      </w:r>
      <w:r w:rsidR="003A679F" w:rsidRPr="00FE35E5">
        <w:rPr>
          <w:rFonts w:cstheme="minorHAnsi"/>
        </w:rPr>
        <w:t xml:space="preserve">or complying with </w:t>
      </w:r>
      <w:r w:rsidR="007868EF" w:rsidRPr="00FE35E5">
        <w:rPr>
          <w:rFonts w:cstheme="minorHAnsi"/>
        </w:rPr>
        <w:t>fatigue</w:t>
      </w:r>
      <w:r w:rsidR="003A679F" w:rsidRPr="00FE35E5">
        <w:rPr>
          <w:rFonts w:cstheme="minorHAnsi"/>
        </w:rPr>
        <w:t xml:space="preserve"> policies</w:t>
      </w:r>
      <w:r w:rsidRPr="00FE35E5">
        <w:rPr>
          <w:rFonts w:cstheme="minorHAnsi"/>
        </w:rPr>
        <w:t>; and</w:t>
      </w:r>
    </w:p>
    <w:p w14:paraId="3B76148D" w14:textId="0C8DBAB1" w:rsidR="006602DC" w:rsidRPr="00FE35E5" w:rsidRDefault="003A679F" w:rsidP="006C6A48">
      <w:pPr>
        <w:pStyle w:val="ListParagraph"/>
        <w:numPr>
          <w:ilvl w:val="0"/>
          <w:numId w:val="11"/>
        </w:numPr>
        <w:spacing w:after="60"/>
        <w:ind w:left="714" w:hanging="357"/>
        <w:contextualSpacing w:val="0"/>
        <w:rPr>
          <w:rFonts w:cstheme="minorHAnsi"/>
        </w:rPr>
      </w:pPr>
      <w:r w:rsidRPr="00FE35E5">
        <w:rPr>
          <w:rFonts w:cstheme="minorHAnsi"/>
        </w:rPr>
        <w:t>acknowledges that</w:t>
      </w:r>
      <w:r w:rsidR="006602DC" w:rsidRPr="00FE35E5">
        <w:rPr>
          <w:rFonts w:cstheme="minorHAnsi"/>
        </w:rPr>
        <w:t xml:space="preserve"> on a PCBU’s duty to manage risks to a worker’s health and safety</w:t>
      </w:r>
      <w:r w:rsidRPr="00FE35E5">
        <w:rPr>
          <w:rFonts w:cstheme="minorHAnsi"/>
        </w:rPr>
        <w:t xml:space="preserve"> is limited to work-related factors within the PCBU’s control.</w:t>
      </w:r>
      <w:r w:rsidR="006602DC" w:rsidRPr="00FE35E5">
        <w:rPr>
          <w:rFonts w:cstheme="minorHAnsi"/>
        </w:rPr>
        <w:t xml:space="preserve"> </w:t>
      </w:r>
    </w:p>
    <w:p w14:paraId="27216467" w14:textId="77777777" w:rsidR="006C6A48" w:rsidRPr="00FE35E5" w:rsidRDefault="006C6A48" w:rsidP="006C6A48">
      <w:pPr>
        <w:rPr>
          <w:rFonts w:cstheme="minorHAnsi"/>
        </w:rPr>
      </w:pPr>
    </w:p>
    <w:p w14:paraId="5C3DCF37" w14:textId="75610C4A" w:rsidR="006602DC" w:rsidRPr="00FE35E5" w:rsidRDefault="006602DC" w:rsidP="006C6A48">
      <w:pPr>
        <w:spacing w:after="120"/>
        <w:rPr>
          <w:rFonts w:cstheme="minorHAnsi"/>
        </w:rPr>
      </w:pPr>
      <w:r w:rsidRPr="00FE35E5">
        <w:rPr>
          <w:rFonts w:cstheme="minorHAnsi"/>
        </w:rPr>
        <w:t>Under the National Employment Standards in the Fair Work Act</w:t>
      </w:r>
      <w:r w:rsidR="003A679F" w:rsidRPr="00FE35E5">
        <w:rPr>
          <w:rFonts w:cstheme="minorHAnsi"/>
        </w:rPr>
        <w:t xml:space="preserve"> </w:t>
      </w:r>
      <w:r w:rsidR="003A679F" w:rsidRPr="00FE35E5">
        <w:rPr>
          <w:rFonts w:cstheme="minorHAnsi"/>
          <w:i/>
          <w:iCs/>
        </w:rPr>
        <w:t xml:space="preserve">2009 </w:t>
      </w:r>
      <w:r w:rsidR="003A679F" w:rsidRPr="00FE35E5">
        <w:rPr>
          <w:rFonts w:cstheme="minorHAnsi"/>
        </w:rPr>
        <w:t>(Cth)</w:t>
      </w:r>
      <w:r w:rsidRPr="00FE35E5">
        <w:rPr>
          <w:rFonts w:cstheme="minorHAnsi"/>
        </w:rPr>
        <w:t>, an employer must not request or require an employee to work more than the following hours of work in a week, unless the additional hours are reasonable:</w:t>
      </w:r>
    </w:p>
    <w:p w14:paraId="4A436784" w14:textId="77777777" w:rsidR="006602DC" w:rsidRPr="00FE35E5" w:rsidRDefault="006602DC" w:rsidP="006C6A48">
      <w:pPr>
        <w:pStyle w:val="ListParagraph"/>
        <w:numPr>
          <w:ilvl w:val="0"/>
          <w:numId w:val="11"/>
        </w:numPr>
        <w:spacing w:after="60"/>
        <w:ind w:left="714" w:hanging="357"/>
        <w:contextualSpacing w:val="0"/>
        <w:rPr>
          <w:rFonts w:cstheme="minorHAnsi"/>
        </w:rPr>
      </w:pPr>
      <w:r w:rsidRPr="00FE35E5">
        <w:rPr>
          <w:rFonts w:cstheme="minorHAnsi"/>
        </w:rPr>
        <w:t xml:space="preserve">for a full-time employee, 38 hours or </w:t>
      </w:r>
    </w:p>
    <w:p w14:paraId="16E71A6F" w14:textId="77777777" w:rsidR="006602DC" w:rsidRPr="00FE35E5" w:rsidRDefault="006602DC" w:rsidP="006C6A48">
      <w:pPr>
        <w:pStyle w:val="ListParagraph"/>
        <w:numPr>
          <w:ilvl w:val="0"/>
          <w:numId w:val="11"/>
        </w:numPr>
        <w:spacing w:after="60"/>
        <w:ind w:left="714" w:hanging="357"/>
        <w:contextualSpacing w:val="0"/>
        <w:rPr>
          <w:rFonts w:cstheme="minorHAnsi"/>
        </w:rPr>
      </w:pPr>
      <w:r w:rsidRPr="00FE35E5">
        <w:rPr>
          <w:rFonts w:cstheme="minorHAnsi"/>
        </w:rPr>
        <w:t xml:space="preserve">for an employee other than a full-time employee, the lesser of: </w:t>
      </w:r>
    </w:p>
    <w:p w14:paraId="3AEDC1E2" w14:textId="1B4ED309" w:rsidR="006602DC" w:rsidRPr="00FE35E5" w:rsidRDefault="00F97C76" w:rsidP="006C6A48">
      <w:pPr>
        <w:pStyle w:val="ListParagraph"/>
        <w:numPr>
          <w:ilvl w:val="1"/>
          <w:numId w:val="11"/>
        </w:numPr>
        <w:ind w:left="1434" w:hanging="357"/>
        <w:contextualSpacing w:val="0"/>
        <w:rPr>
          <w:rFonts w:cstheme="minorHAnsi"/>
        </w:rPr>
      </w:pPr>
      <w:r w:rsidRPr="00FE35E5">
        <w:rPr>
          <w:rFonts w:cstheme="minorHAnsi"/>
        </w:rPr>
        <w:t>38 hours; or</w:t>
      </w:r>
    </w:p>
    <w:p w14:paraId="4E33BF5C" w14:textId="6571A753" w:rsidR="006602DC" w:rsidRPr="00FE35E5" w:rsidRDefault="006602DC" w:rsidP="00F40506">
      <w:pPr>
        <w:pStyle w:val="ListParagraph"/>
        <w:numPr>
          <w:ilvl w:val="1"/>
          <w:numId w:val="11"/>
        </w:numPr>
        <w:spacing w:after="120" w:line="276" w:lineRule="auto"/>
        <w:ind w:left="1434" w:hanging="357"/>
        <w:contextualSpacing w:val="0"/>
        <w:rPr>
          <w:rFonts w:cstheme="minorHAnsi"/>
        </w:rPr>
      </w:pPr>
      <w:r w:rsidRPr="00FE35E5">
        <w:rPr>
          <w:rFonts w:cstheme="minorHAnsi"/>
        </w:rPr>
        <w:t xml:space="preserve">the employee’s ordinary hours of work in a week. </w:t>
      </w:r>
    </w:p>
    <w:p w14:paraId="32411878" w14:textId="77777777" w:rsidR="006602DC" w:rsidRPr="00FE35E5" w:rsidRDefault="006602DC" w:rsidP="00F40506">
      <w:pPr>
        <w:spacing w:after="120"/>
        <w:rPr>
          <w:rFonts w:cstheme="minorHAnsi"/>
        </w:rPr>
      </w:pPr>
      <w:r w:rsidRPr="00FE35E5">
        <w:rPr>
          <w:rFonts w:cstheme="minorHAnsi"/>
        </w:rPr>
        <w:t>An employee may refuse to work additional hours if they are unreasonable. In determining whether additional hours are reasonable or unreasonable, the following must be taken into account:</w:t>
      </w:r>
    </w:p>
    <w:p w14:paraId="06548A97" w14:textId="77777777" w:rsidR="006602DC" w:rsidRPr="00FE35E5" w:rsidRDefault="006602DC" w:rsidP="00F40506">
      <w:pPr>
        <w:pStyle w:val="ListParagraph"/>
        <w:numPr>
          <w:ilvl w:val="0"/>
          <w:numId w:val="11"/>
        </w:numPr>
        <w:spacing w:after="60"/>
        <w:ind w:left="714" w:hanging="357"/>
        <w:contextualSpacing w:val="0"/>
        <w:rPr>
          <w:rFonts w:cstheme="minorHAnsi"/>
        </w:rPr>
      </w:pPr>
      <w:r w:rsidRPr="00FE35E5">
        <w:rPr>
          <w:rFonts w:cstheme="minorHAnsi"/>
        </w:rPr>
        <w:t>any risk to employee health and safety;</w:t>
      </w:r>
    </w:p>
    <w:p w14:paraId="745571E8" w14:textId="77777777" w:rsidR="006602DC" w:rsidRPr="00FE35E5" w:rsidRDefault="006602DC" w:rsidP="00F40506">
      <w:pPr>
        <w:pStyle w:val="ListParagraph"/>
        <w:numPr>
          <w:ilvl w:val="0"/>
          <w:numId w:val="11"/>
        </w:numPr>
        <w:spacing w:after="60"/>
        <w:ind w:left="714" w:hanging="357"/>
        <w:contextualSpacing w:val="0"/>
        <w:rPr>
          <w:rFonts w:cstheme="minorHAnsi"/>
        </w:rPr>
      </w:pPr>
      <w:r w:rsidRPr="00FE35E5">
        <w:rPr>
          <w:rFonts w:cstheme="minorHAnsi"/>
        </w:rPr>
        <w:t>the employee’s personal circumstances, including family responsibilities;</w:t>
      </w:r>
    </w:p>
    <w:p w14:paraId="0CFFD42F" w14:textId="77777777" w:rsidR="006602DC" w:rsidRPr="00FE35E5" w:rsidRDefault="006602DC" w:rsidP="00F40506">
      <w:pPr>
        <w:pStyle w:val="ListParagraph"/>
        <w:numPr>
          <w:ilvl w:val="0"/>
          <w:numId w:val="11"/>
        </w:numPr>
        <w:spacing w:after="60"/>
        <w:ind w:left="714" w:hanging="357"/>
        <w:contextualSpacing w:val="0"/>
        <w:rPr>
          <w:rFonts w:cstheme="minorHAnsi"/>
        </w:rPr>
      </w:pPr>
      <w:r w:rsidRPr="00FE35E5">
        <w:rPr>
          <w:rFonts w:cstheme="minorHAnsi"/>
        </w:rPr>
        <w:t>the needs of the workplace or enterprise;</w:t>
      </w:r>
    </w:p>
    <w:p w14:paraId="4D7BCF23" w14:textId="6B971F54" w:rsidR="006602DC" w:rsidRPr="00FE35E5" w:rsidRDefault="006602DC" w:rsidP="00F40506">
      <w:pPr>
        <w:pStyle w:val="ListParagraph"/>
        <w:numPr>
          <w:ilvl w:val="0"/>
          <w:numId w:val="11"/>
        </w:numPr>
        <w:spacing w:after="200"/>
        <w:rPr>
          <w:rFonts w:cstheme="minorHAnsi"/>
        </w:rPr>
      </w:pPr>
      <w:r w:rsidRPr="00FE35E5">
        <w:rPr>
          <w:rFonts w:cstheme="minorHAnsi"/>
        </w:rPr>
        <w:t>whether the employee is entitled to receive overtime payments, penalty rates or other compensation for (or a level of remuneration that reflects an expectation of) working additional hours;</w:t>
      </w:r>
    </w:p>
    <w:p w14:paraId="21C6572B" w14:textId="77777777" w:rsidR="006602DC" w:rsidRPr="00FE35E5" w:rsidRDefault="006602DC" w:rsidP="00F40506">
      <w:pPr>
        <w:pStyle w:val="ListParagraph"/>
        <w:numPr>
          <w:ilvl w:val="0"/>
          <w:numId w:val="11"/>
        </w:numPr>
        <w:spacing w:after="60"/>
        <w:ind w:left="714" w:hanging="357"/>
        <w:contextualSpacing w:val="0"/>
        <w:rPr>
          <w:rFonts w:cstheme="minorHAnsi"/>
        </w:rPr>
      </w:pPr>
      <w:r w:rsidRPr="00FE35E5">
        <w:rPr>
          <w:rFonts w:cstheme="minorHAnsi"/>
        </w:rPr>
        <w:t>any notice given by the employer to work the additional hours;</w:t>
      </w:r>
    </w:p>
    <w:p w14:paraId="510AE436" w14:textId="77777777" w:rsidR="006602DC" w:rsidRPr="00FE35E5" w:rsidRDefault="006602DC" w:rsidP="00F40506">
      <w:pPr>
        <w:pStyle w:val="ListParagraph"/>
        <w:numPr>
          <w:ilvl w:val="0"/>
          <w:numId w:val="11"/>
        </w:numPr>
        <w:spacing w:after="60"/>
        <w:ind w:left="714" w:hanging="357"/>
        <w:contextualSpacing w:val="0"/>
        <w:rPr>
          <w:rFonts w:cstheme="minorHAnsi"/>
        </w:rPr>
      </w:pPr>
      <w:r w:rsidRPr="00FE35E5">
        <w:rPr>
          <w:rFonts w:cstheme="minorHAnsi"/>
        </w:rPr>
        <w:t>any notice given by the employee of his or her intention to refuse to work the additional hours;</w:t>
      </w:r>
    </w:p>
    <w:p w14:paraId="29E1D26C" w14:textId="77777777" w:rsidR="006602DC" w:rsidRPr="00FE35E5" w:rsidRDefault="006602DC" w:rsidP="00F40506">
      <w:pPr>
        <w:pStyle w:val="ListParagraph"/>
        <w:numPr>
          <w:ilvl w:val="0"/>
          <w:numId w:val="11"/>
        </w:numPr>
        <w:spacing w:after="60"/>
        <w:ind w:left="714" w:hanging="357"/>
        <w:contextualSpacing w:val="0"/>
        <w:rPr>
          <w:rFonts w:cstheme="minorHAnsi"/>
        </w:rPr>
      </w:pPr>
      <w:r w:rsidRPr="00FE35E5">
        <w:rPr>
          <w:rFonts w:cstheme="minorHAnsi"/>
        </w:rPr>
        <w:t>the usual patterns of work in the industry;</w:t>
      </w:r>
    </w:p>
    <w:p w14:paraId="575234CD" w14:textId="77777777" w:rsidR="006602DC" w:rsidRPr="00FE35E5" w:rsidRDefault="006602DC" w:rsidP="00F40506">
      <w:pPr>
        <w:pStyle w:val="ListParagraph"/>
        <w:numPr>
          <w:ilvl w:val="0"/>
          <w:numId w:val="11"/>
        </w:numPr>
        <w:spacing w:after="60"/>
        <w:ind w:left="714" w:hanging="357"/>
        <w:contextualSpacing w:val="0"/>
        <w:rPr>
          <w:rFonts w:cstheme="minorHAnsi"/>
        </w:rPr>
      </w:pPr>
      <w:r w:rsidRPr="00FE35E5">
        <w:rPr>
          <w:rFonts w:cstheme="minorHAnsi"/>
        </w:rPr>
        <w:t xml:space="preserve">the nature of the employee’s role and the employee’s level of responsibility; </w:t>
      </w:r>
    </w:p>
    <w:p w14:paraId="07C085D3" w14:textId="2E8853D4" w:rsidR="006602DC" w:rsidRPr="00FE35E5" w:rsidRDefault="006602DC" w:rsidP="00F40506">
      <w:pPr>
        <w:pStyle w:val="ListParagraph"/>
        <w:numPr>
          <w:ilvl w:val="0"/>
          <w:numId w:val="11"/>
        </w:numPr>
        <w:spacing w:after="60"/>
        <w:ind w:left="714" w:hanging="357"/>
        <w:contextualSpacing w:val="0"/>
        <w:rPr>
          <w:rFonts w:cstheme="minorHAnsi"/>
        </w:rPr>
      </w:pPr>
      <w:r w:rsidRPr="00FE35E5">
        <w:rPr>
          <w:rFonts w:cstheme="minorHAnsi"/>
        </w:rPr>
        <w:t>whether the additional hours are in accordance with averaging provisions included in an award or agreement that is applicable to the employee, or an averaging arrangement agreed to by an employer and an award/agreement-free employee; and</w:t>
      </w:r>
    </w:p>
    <w:p w14:paraId="7F47CCA0" w14:textId="69A096C5" w:rsidR="006602DC" w:rsidRPr="00FE35E5" w:rsidRDefault="006602DC" w:rsidP="00F40506">
      <w:pPr>
        <w:pStyle w:val="ListParagraph"/>
        <w:numPr>
          <w:ilvl w:val="0"/>
          <w:numId w:val="11"/>
        </w:numPr>
        <w:spacing w:after="200"/>
        <w:rPr>
          <w:rFonts w:cstheme="minorHAnsi"/>
        </w:rPr>
      </w:pPr>
      <w:r w:rsidRPr="00FE35E5">
        <w:rPr>
          <w:rFonts w:cstheme="minorHAnsi"/>
        </w:rPr>
        <w:t>any other relevant matter.</w:t>
      </w:r>
    </w:p>
    <w:p w14:paraId="42C18B0A" w14:textId="77777777" w:rsidR="00E91674" w:rsidRPr="00FE35E5" w:rsidRDefault="00E91674" w:rsidP="00F40506">
      <w:pPr>
        <w:rPr>
          <w:rFonts w:cstheme="minorHAnsi"/>
        </w:rPr>
      </w:pPr>
    </w:p>
    <w:p w14:paraId="1487BB77" w14:textId="77777777" w:rsidR="00E91674" w:rsidRPr="00FE35E5" w:rsidRDefault="00E91674" w:rsidP="00F40506">
      <w:pPr>
        <w:rPr>
          <w:rFonts w:cstheme="minorHAnsi"/>
        </w:rPr>
      </w:pPr>
    </w:p>
    <w:p w14:paraId="35A475A0" w14:textId="15FFE1D7" w:rsidR="006602DC" w:rsidRPr="00FE35E5" w:rsidRDefault="006602DC" w:rsidP="00F40506">
      <w:pPr>
        <w:rPr>
          <w:rFonts w:cstheme="minorHAnsi"/>
        </w:rPr>
      </w:pPr>
      <w:r w:rsidRPr="00FE35E5">
        <w:rPr>
          <w:rFonts w:cstheme="minorHAnsi"/>
        </w:rPr>
        <w:t xml:space="preserve">Both frameworks provide overarching national consistency, whilst acknowledging the necessity for, and flexibility required in managing varied risks across differing industries and occupations, including high-risk industries. In addition, modern awards and enterprise agreements provide for breaks, shift loadings, ordinary hours of work and overtime pay for shift workers. These standards are set at the industry, occupation or enterprise level. </w:t>
      </w:r>
    </w:p>
    <w:p w14:paraId="325558BC" w14:textId="77777777" w:rsidR="005F6C91" w:rsidRPr="00FE35E5" w:rsidRDefault="005F6C91" w:rsidP="00F40506">
      <w:pPr>
        <w:rPr>
          <w:rFonts w:cstheme="minorHAnsi"/>
        </w:rPr>
      </w:pPr>
    </w:p>
    <w:p w14:paraId="2D5B0F96" w14:textId="104E9922" w:rsidR="003A679F" w:rsidRPr="00FE35E5" w:rsidRDefault="006602DC" w:rsidP="00F40506">
      <w:pPr>
        <w:rPr>
          <w:rFonts w:cstheme="minorHAnsi"/>
        </w:rPr>
      </w:pPr>
      <w:r w:rsidRPr="00FE35E5">
        <w:rPr>
          <w:rFonts w:cstheme="minorHAnsi"/>
        </w:rPr>
        <w:t xml:space="preserve">The Government also notes that some high-risk industries using shift work, such as the road transport and rail industries, are subject to additional or separate requirements in relation to fatigue management. </w:t>
      </w:r>
    </w:p>
    <w:p w14:paraId="3B5DCC0C" w14:textId="77777777" w:rsidR="003A679F" w:rsidRPr="00FE35E5" w:rsidRDefault="003A679F" w:rsidP="00F40506">
      <w:pPr>
        <w:rPr>
          <w:rFonts w:cstheme="minorHAnsi"/>
        </w:rPr>
      </w:pPr>
    </w:p>
    <w:p w14:paraId="283BA187" w14:textId="524CD3A2" w:rsidR="006602DC" w:rsidRPr="00FE35E5" w:rsidRDefault="00E41278" w:rsidP="00F40506">
      <w:pPr>
        <w:rPr>
          <w:rFonts w:cstheme="minorHAnsi"/>
        </w:rPr>
      </w:pPr>
      <w:r w:rsidRPr="00FE35E5">
        <w:rPr>
          <w:rFonts w:cstheme="minorHAnsi"/>
        </w:rPr>
        <w:t>SWA</w:t>
      </w:r>
      <w:r w:rsidR="003A679F" w:rsidRPr="00FE35E5">
        <w:rPr>
          <w:rFonts w:cstheme="minorHAnsi"/>
        </w:rPr>
        <w:t xml:space="preserve"> has developed</w:t>
      </w:r>
      <w:r w:rsidR="003A679F" w:rsidRPr="00FE35E5" w:rsidDel="003A679F">
        <w:rPr>
          <w:rFonts w:cstheme="minorHAnsi"/>
        </w:rPr>
        <w:t xml:space="preserve"> </w:t>
      </w:r>
      <w:r w:rsidR="003A679F" w:rsidRPr="00FE35E5">
        <w:rPr>
          <w:rFonts w:cstheme="minorHAnsi"/>
        </w:rPr>
        <w:t>t</w:t>
      </w:r>
      <w:r w:rsidR="006602DC" w:rsidRPr="00FE35E5">
        <w:rPr>
          <w:rFonts w:cstheme="minorHAnsi"/>
        </w:rPr>
        <w:t xml:space="preserve">he Fatigue Guide </w:t>
      </w:r>
      <w:r w:rsidR="003A679F" w:rsidRPr="00FE35E5">
        <w:rPr>
          <w:rFonts w:cstheme="minorHAnsi"/>
        </w:rPr>
        <w:t>that is</w:t>
      </w:r>
      <w:r w:rsidR="006602DC" w:rsidRPr="00FE35E5">
        <w:rPr>
          <w:rFonts w:cstheme="minorHAnsi"/>
        </w:rPr>
        <w:t xml:space="preserve"> designed to be generally applicable to work and workplaces covered by the model WHS laws. </w:t>
      </w:r>
      <w:r w:rsidR="003A679F" w:rsidRPr="00FE35E5">
        <w:rPr>
          <w:rFonts w:cstheme="minorHAnsi"/>
        </w:rPr>
        <w:t xml:space="preserve">It supports PCBUs to consult with workers, identify whether fatigue is a hazard in their workplace, assess the risks, implement control measures and review those controls to ensure they are working as planned. </w:t>
      </w:r>
      <w:r w:rsidR="006602DC" w:rsidRPr="00FE35E5">
        <w:rPr>
          <w:rFonts w:cstheme="minorHAnsi"/>
        </w:rPr>
        <w:t xml:space="preserve">As discussed in relation to Recommendation 2, the Fatigue Guide was not designed to provide information on managing fatigue in specific workplaces or industries, and does not replace requirements in relation to managing fatigue under other laws such as the Heavy Vehicle National Law or the Rail Safety National Law. </w:t>
      </w:r>
    </w:p>
    <w:p w14:paraId="141303D5" w14:textId="77777777" w:rsidR="006602DC" w:rsidRPr="00FE35E5" w:rsidRDefault="006602DC" w:rsidP="00F40506">
      <w:pPr>
        <w:rPr>
          <w:rFonts w:cstheme="minorHAnsi"/>
        </w:rPr>
      </w:pPr>
    </w:p>
    <w:p w14:paraId="7AA0349A" w14:textId="31698E34" w:rsidR="00AA7466" w:rsidRPr="00FE35E5" w:rsidRDefault="00AA7466" w:rsidP="00AA7466">
      <w:pPr>
        <w:rPr>
          <w:rFonts w:cstheme="minorHAnsi"/>
        </w:rPr>
      </w:pPr>
      <w:r w:rsidRPr="00FE35E5">
        <w:rPr>
          <w:rFonts w:cstheme="minorHAnsi"/>
        </w:rPr>
        <w:t>Noting the Government support for Recommendation 2, a</w:t>
      </w:r>
      <w:r w:rsidR="006602DC" w:rsidRPr="00FE35E5">
        <w:rPr>
          <w:rFonts w:cstheme="minorHAnsi"/>
        </w:rPr>
        <w:t xml:space="preserve">ny further alignment of policy and legislation </w:t>
      </w:r>
      <w:r w:rsidR="007868EF" w:rsidRPr="00FE35E5">
        <w:rPr>
          <w:rFonts w:cstheme="minorHAnsi"/>
        </w:rPr>
        <w:t>in regard to</w:t>
      </w:r>
      <w:r w:rsidR="00055CB5" w:rsidRPr="00FE35E5">
        <w:rPr>
          <w:rFonts w:cstheme="minorHAnsi"/>
        </w:rPr>
        <w:t xml:space="preserve"> a nationally consistent approach to working hours and rest breaks based on updated fatigue guidelines, including consideration of whether there is a need for sleep health screening for shift workers</w:t>
      </w:r>
      <w:r w:rsidR="00A238CA" w:rsidRPr="00FE35E5">
        <w:rPr>
          <w:rFonts w:cstheme="minorHAnsi"/>
        </w:rPr>
        <w:t xml:space="preserve"> </w:t>
      </w:r>
      <w:r w:rsidR="00A238CA" w:rsidRPr="00FE35E5">
        <w:t>would be a matter for consideration by SWA and, where required, jurisdictional WHS Ministers</w:t>
      </w:r>
      <w:r w:rsidR="00E41278" w:rsidRPr="00FE35E5">
        <w:t>.</w:t>
      </w:r>
    </w:p>
    <w:p w14:paraId="63E7DBA4" w14:textId="38D006A7" w:rsidR="00281CEE" w:rsidRPr="00FE35E5" w:rsidRDefault="00281CEE" w:rsidP="00F40506">
      <w:pPr>
        <w:suppressAutoHyphens/>
        <w:spacing w:after="283"/>
        <w:rPr>
          <w:rFonts w:eastAsia="Palatino Linotype"/>
        </w:rPr>
      </w:pPr>
    </w:p>
    <w:p w14:paraId="64033BA9" w14:textId="77777777" w:rsidR="00F926A3" w:rsidRPr="00FE35E5" w:rsidRDefault="00F926A3" w:rsidP="008D7AB8">
      <w:pPr>
        <w:jc w:val="both"/>
        <w:rPr>
          <w:rFonts w:cstheme="minorHAnsi"/>
        </w:rPr>
      </w:pPr>
    </w:p>
    <w:p w14:paraId="4FBE071C" w14:textId="4127AF20" w:rsidR="008D7AB8" w:rsidRPr="00FE35E5" w:rsidRDefault="008D7AB8" w:rsidP="008D7AB8">
      <w:pPr>
        <w:jc w:val="both"/>
        <w:rPr>
          <w:rFonts w:cstheme="minorHAnsi"/>
        </w:rPr>
        <w:sectPr w:rsidR="008D7AB8" w:rsidRPr="00FE35E5">
          <w:pgSz w:w="11906" w:h="16838"/>
          <w:pgMar w:top="1440" w:right="1440" w:bottom="1440" w:left="1440" w:header="708" w:footer="708" w:gutter="0"/>
          <w:cols w:space="708"/>
          <w:docGrid w:linePitch="360"/>
        </w:sectPr>
      </w:pPr>
    </w:p>
    <w:p w14:paraId="4897A02B" w14:textId="260E0CCC" w:rsidR="008D7AB8" w:rsidRPr="00FE35E5" w:rsidRDefault="00000000" w:rsidP="008D7AB8">
      <w:pPr>
        <w:keepNext/>
        <w:pBdr>
          <w:bottom w:val="single" w:sz="4" w:space="0" w:color="auto"/>
        </w:pBdr>
        <w:suppressAutoHyphens/>
        <w:spacing w:before="227" w:after="170"/>
        <w:outlineLvl w:val="1"/>
        <w:rPr>
          <w:rFonts w:eastAsia="Palatino Linotype"/>
          <w:b/>
        </w:rPr>
      </w:pPr>
      <w:hyperlink w:anchor="s26956rec4" w:history="1">
        <w:bookmarkStart w:id="4" w:name="_Toc43713069"/>
        <w:r w:rsidR="008D7AB8" w:rsidRPr="00FE35E5">
          <w:rPr>
            <w:rFonts w:eastAsia="Palatino Linotype"/>
            <w:b/>
          </w:rPr>
          <w:t>Recommendation 4</w:t>
        </w:r>
        <w:bookmarkEnd w:id="4"/>
      </w:hyperlink>
      <w:r w:rsidR="008D7AB8" w:rsidRPr="00FE35E5">
        <w:rPr>
          <w:rFonts w:eastAsia="Palatino Linotype"/>
          <w:b/>
        </w:rPr>
        <w:t xml:space="preserve"> </w:t>
      </w:r>
    </w:p>
    <w:p w14:paraId="7BE86EFA" w14:textId="78B200DA" w:rsidR="008D7AB8" w:rsidRPr="00FE35E5" w:rsidRDefault="008D7AB8" w:rsidP="00491B29">
      <w:pPr>
        <w:tabs>
          <w:tab w:val="left" w:pos="624"/>
        </w:tabs>
        <w:suppressAutoHyphens/>
        <w:spacing w:after="120"/>
        <w:rPr>
          <w:rFonts w:eastAsia="Palatino Linotype"/>
          <w:i/>
        </w:rPr>
      </w:pPr>
      <w:r w:rsidRPr="00FE35E5">
        <w:rPr>
          <w:rFonts w:eastAsia="Palatino Linotype"/>
          <w:i/>
        </w:rPr>
        <w:t>The Committee recommends that the Department of Health undertake a review of the Medicare Benefits Schedule</w:t>
      </w:r>
      <w:r w:rsidR="00E9078B" w:rsidRPr="00FE35E5">
        <w:rPr>
          <w:rFonts w:eastAsia="Palatino Linotype"/>
          <w:i/>
        </w:rPr>
        <w:t xml:space="preserve"> (MBS)</w:t>
      </w:r>
      <w:r w:rsidRPr="00FE35E5">
        <w:rPr>
          <w:rFonts w:eastAsia="Palatino Linotype"/>
          <w:i/>
        </w:rPr>
        <w:t xml:space="preserve"> as it relates to sleep health services in Australia. The review should include, but not be limited to, the following:</w:t>
      </w:r>
    </w:p>
    <w:p w14:paraId="1EF67977" w14:textId="3C76B67B" w:rsidR="008D7AB8" w:rsidRPr="00FE35E5" w:rsidRDefault="00A22B72" w:rsidP="00491B29">
      <w:pPr>
        <w:pStyle w:val="ListParagraph"/>
        <w:numPr>
          <w:ilvl w:val="0"/>
          <w:numId w:val="11"/>
        </w:numPr>
        <w:tabs>
          <w:tab w:val="num" w:pos="1020"/>
        </w:tabs>
        <w:spacing w:after="120"/>
        <w:ind w:left="714" w:hanging="357"/>
        <w:contextualSpacing w:val="0"/>
        <w:rPr>
          <w:rFonts w:cstheme="minorHAnsi"/>
          <w:i/>
        </w:rPr>
      </w:pPr>
      <w:r w:rsidRPr="00FE35E5">
        <w:rPr>
          <w:rFonts w:cstheme="minorHAnsi"/>
          <w:i/>
        </w:rPr>
        <w:t>s</w:t>
      </w:r>
      <w:r w:rsidR="008D7AB8" w:rsidRPr="00FE35E5">
        <w:rPr>
          <w:rFonts w:cstheme="minorHAnsi"/>
          <w:i/>
        </w:rPr>
        <w:t>imple diagnostic sleep studies (Level 3 and Level 4) that do not currently attract Medicare rebates;</w:t>
      </w:r>
    </w:p>
    <w:p w14:paraId="709E7B75" w14:textId="2E2EA58F" w:rsidR="008D7AB8" w:rsidRPr="00FE35E5" w:rsidRDefault="00A22B72" w:rsidP="00491B29">
      <w:pPr>
        <w:pStyle w:val="ListParagraph"/>
        <w:numPr>
          <w:ilvl w:val="0"/>
          <w:numId w:val="11"/>
        </w:numPr>
        <w:tabs>
          <w:tab w:val="num" w:pos="1020"/>
        </w:tabs>
        <w:spacing w:after="120"/>
        <w:ind w:left="714" w:hanging="357"/>
        <w:contextualSpacing w:val="0"/>
        <w:rPr>
          <w:rFonts w:cstheme="minorHAnsi"/>
          <w:i/>
        </w:rPr>
      </w:pPr>
      <w:r w:rsidRPr="00FE35E5">
        <w:rPr>
          <w:rFonts w:cstheme="minorHAnsi"/>
          <w:i/>
        </w:rPr>
        <w:t>e</w:t>
      </w:r>
      <w:r w:rsidR="008D7AB8" w:rsidRPr="00FE35E5">
        <w:rPr>
          <w:rFonts w:cstheme="minorHAnsi"/>
          <w:i/>
        </w:rPr>
        <w:t>nsuring recent changes to enable general practitioners to directly refer patients to diagnostic sleep studies are effective; and</w:t>
      </w:r>
    </w:p>
    <w:p w14:paraId="0AF31E4F" w14:textId="3B72D3F9" w:rsidR="008D7AB8" w:rsidRPr="00FE35E5" w:rsidRDefault="00A22B72" w:rsidP="00491B29">
      <w:pPr>
        <w:pStyle w:val="ListParagraph"/>
        <w:numPr>
          <w:ilvl w:val="0"/>
          <w:numId w:val="11"/>
        </w:numPr>
        <w:tabs>
          <w:tab w:val="num" w:pos="1020"/>
        </w:tabs>
        <w:spacing w:after="240"/>
        <w:ind w:left="714" w:hanging="357"/>
        <w:contextualSpacing w:val="0"/>
        <w:rPr>
          <w:rFonts w:cstheme="minorHAnsi"/>
          <w:i/>
        </w:rPr>
      </w:pPr>
      <w:r w:rsidRPr="00FE35E5">
        <w:rPr>
          <w:rFonts w:cstheme="minorHAnsi"/>
          <w:i/>
        </w:rPr>
        <w:t>b</w:t>
      </w:r>
      <w:r w:rsidR="008D7AB8" w:rsidRPr="00FE35E5">
        <w:rPr>
          <w:rFonts w:cstheme="minorHAnsi"/>
          <w:i/>
        </w:rPr>
        <w:t>arriers to accessing Cognitive Behavioural Therapy for Insomnia via telehealth for patients in regional, rural, and remote areas.</w:t>
      </w:r>
    </w:p>
    <w:p w14:paraId="2BDE7845" w14:textId="77777777" w:rsidR="008D7AB8" w:rsidRPr="00FE35E5" w:rsidRDefault="008D7AB8" w:rsidP="00A22B72">
      <w:pPr>
        <w:suppressAutoHyphens/>
        <w:spacing w:after="120"/>
        <w:rPr>
          <w:rFonts w:eastAsia="Palatino Linotype"/>
          <w:b/>
        </w:rPr>
      </w:pPr>
      <w:r w:rsidRPr="00FE35E5">
        <w:rPr>
          <w:rFonts w:eastAsia="Palatino Linotype"/>
          <w:b/>
        </w:rPr>
        <w:t>Response:</w:t>
      </w:r>
    </w:p>
    <w:p w14:paraId="177FA85D" w14:textId="4E50C31E" w:rsidR="0085525D" w:rsidRPr="00FE35E5" w:rsidRDefault="008D7AB8" w:rsidP="00491B29">
      <w:pPr>
        <w:suppressAutoHyphens/>
        <w:rPr>
          <w:rFonts w:eastAsia="Palatino Linotype"/>
        </w:rPr>
      </w:pPr>
      <w:r w:rsidRPr="00FE35E5">
        <w:rPr>
          <w:rFonts w:eastAsia="Palatino Linotype"/>
        </w:rPr>
        <w:t xml:space="preserve">The </w:t>
      </w:r>
      <w:r w:rsidR="009115FD" w:rsidRPr="00FE35E5">
        <w:rPr>
          <w:rFonts w:eastAsia="Palatino Linotype"/>
        </w:rPr>
        <w:t xml:space="preserve">Australian </w:t>
      </w:r>
      <w:r w:rsidRPr="00FE35E5">
        <w:rPr>
          <w:rFonts w:eastAsia="Palatino Linotype"/>
        </w:rPr>
        <w:t xml:space="preserve">Government </w:t>
      </w:r>
      <w:r w:rsidR="009F4F0F" w:rsidRPr="00FE35E5">
        <w:rPr>
          <w:rFonts w:eastAsia="Palatino Linotype"/>
          <w:b/>
        </w:rPr>
        <w:t>supports</w:t>
      </w:r>
      <w:r w:rsidR="009F4F0F" w:rsidRPr="00FE35E5">
        <w:rPr>
          <w:rFonts w:eastAsia="Palatino Linotype"/>
        </w:rPr>
        <w:t xml:space="preserve"> </w:t>
      </w:r>
      <w:r w:rsidR="009F4F0F" w:rsidRPr="00FE35E5">
        <w:rPr>
          <w:rFonts w:eastAsia="Palatino Linotype"/>
          <w:b/>
        </w:rPr>
        <w:t>in-principle</w:t>
      </w:r>
      <w:r w:rsidR="009F4F0F" w:rsidRPr="00FE35E5">
        <w:rPr>
          <w:rFonts w:eastAsia="Palatino Linotype"/>
        </w:rPr>
        <w:t xml:space="preserve"> </w:t>
      </w:r>
      <w:r w:rsidRPr="00FE35E5">
        <w:rPr>
          <w:rFonts w:eastAsia="Palatino Linotype"/>
        </w:rPr>
        <w:t>the recommendation.</w:t>
      </w:r>
    </w:p>
    <w:p w14:paraId="74863EF0" w14:textId="77777777" w:rsidR="00A22B72" w:rsidRPr="00FE35E5" w:rsidRDefault="00A22B72" w:rsidP="00491B29">
      <w:pPr>
        <w:suppressAutoHyphens/>
        <w:rPr>
          <w:rFonts w:eastAsia="Palatino Linotype"/>
        </w:rPr>
      </w:pPr>
    </w:p>
    <w:p w14:paraId="54860B11" w14:textId="119C06CE" w:rsidR="00BE0092" w:rsidRPr="00FE35E5" w:rsidRDefault="00BE0092" w:rsidP="00491B29">
      <w:r w:rsidRPr="00FE35E5">
        <w:t xml:space="preserve">The MBS items for sleep health services have </w:t>
      </w:r>
      <w:r w:rsidR="009F4F0F" w:rsidRPr="00FE35E5">
        <w:t xml:space="preserve">been </w:t>
      </w:r>
      <w:r w:rsidRPr="00FE35E5">
        <w:t>review</w:t>
      </w:r>
      <w:r w:rsidR="000C3D54">
        <w:t>ed</w:t>
      </w:r>
      <w:r w:rsidRPr="00FE35E5">
        <w:t xml:space="preserve"> by the clinician-led MBS Review Taskforce (the Taskforce). </w:t>
      </w:r>
    </w:p>
    <w:p w14:paraId="3563610B" w14:textId="77777777" w:rsidR="00BE0092" w:rsidRPr="00FE35E5" w:rsidRDefault="00BE0092" w:rsidP="00491B29"/>
    <w:p w14:paraId="408EC2FB" w14:textId="66DF517B" w:rsidR="00BE0092" w:rsidRPr="00FE35E5" w:rsidRDefault="00BE0092" w:rsidP="00491B29">
      <w:r w:rsidRPr="00FE35E5">
        <w:t xml:space="preserve">In 2017, the Taskforce provided recommendations to Government on a range of MBS funded sleep health services, including sleep studies. The recommendations were based on the expert advice of the Thoracic Medicine Clinical Committee, which performed a comprehensive review of these services from September 2015 to October 2016. Sleep studies are categorised into four types and recommendations comprised considerable changes to the MBS arrangement for Level 1 and Level 2 sleep studies, including improved patient assessment and management requirements and a new referral pathway which enabled general practitioners to directly refer patients to diagnostic sleep studies using validated screening questionnaires. These were implemented on the MBS on 1 November 2018. </w:t>
      </w:r>
    </w:p>
    <w:p w14:paraId="3FDAE4CF" w14:textId="77777777" w:rsidR="00BE0092" w:rsidRPr="00FE35E5" w:rsidRDefault="00BE0092" w:rsidP="00491B29"/>
    <w:p w14:paraId="4B88B9EE" w14:textId="1235F7F2" w:rsidR="00BE0092" w:rsidRPr="00FE35E5" w:rsidRDefault="00BE0092" w:rsidP="00491B29">
      <w:r w:rsidRPr="00FE35E5">
        <w:t xml:space="preserve">Level 3 and Level 4 sleep studies do not currently attract MBS rebates. </w:t>
      </w:r>
      <w:r w:rsidR="00E41278" w:rsidRPr="00FE35E5">
        <w:t>T</w:t>
      </w:r>
      <w:r w:rsidRPr="00FE35E5">
        <w:t xml:space="preserve">he Medical Services Advisory Committee (MSAC) would be best placed to determine the suitability of these services for public funding. </w:t>
      </w:r>
      <w:r w:rsidR="00E41278" w:rsidRPr="00FE35E5">
        <w:t>The</w:t>
      </w:r>
      <w:r w:rsidRPr="00FE35E5">
        <w:t xml:space="preserve"> Government also notes that while MSAC has previously supported public funding for Level 2 (with caveats), it has not supported public funding Level 3 or Level 4 sleep studies. </w:t>
      </w:r>
      <w:r w:rsidR="005F32B7" w:rsidRPr="00FE35E5">
        <w:rPr>
          <w:rFonts w:ascii="TimesNewRomanPSMT" w:hAnsi="TimesNewRomanPSMT" w:cs="TimesNewRomanPSMT"/>
        </w:rPr>
        <w:t xml:space="preserve">MSAC is considering a new application for out of laboratory sleep studies (Levels 2-4) in the diagnosis and management of sleep disordered breathing in children and adolescents (MSAC application 1712). </w:t>
      </w:r>
      <w:r w:rsidRPr="00FE35E5">
        <w:t>MSAC’s full advice in relation to these services is available on the MSAC website at:</w:t>
      </w:r>
      <w:r w:rsidR="00B0494B" w:rsidRPr="00FE35E5">
        <w:t xml:space="preserve"> </w:t>
      </w:r>
      <w:hyperlink r:id="rId13" w:history="1">
        <w:r w:rsidR="00A726B2" w:rsidRPr="00444619">
          <w:rPr>
            <w:rStyle w:val="Hyperlink"/>
          </w:rPr>
          <w:t>www.msac.gov.au</w:t>
        </w:r>
      </w:hyperlink>
      <w:r w:rsidR="00A726B2">
        <w:t xml:space="preserve">. </w:t>
      </w:r>
      <w:r w:rsidR="00A726B2">
        <w:rPr>
          <w:rStyle w:val="Hyperlink"/>
          <w:color w:val="auto"/>
        </w:rPr>
        <w:t xml:space="preserve"> </w:t>
      </w:r>
      <w:r w:rsidR="00B0494B" w:rsidRPr="00FE35E5">
        <w:t xml:space="preserve"> </w:t>
      </w:r>
    </w:p>
    <w:p w14:paraId="5751CC68" w14:textId="77777777" w:rsidR="00BE0092" w:rsidRPr="00FE35E5" w:rsidRDefault="00BE0092" w:rsidP="00491B29"/>
    <w:p w14:paraId="781B8FAA" w14:textId="6BB065F1" w:rsidR="00BE0092" w:rsidRPr="00FE35E5" w:rsidRDefault="00BE0092" w:rsidP="00491B29">
      <w:r w:rsidRPr="00FE35E5">
        <w:t>In regard to access to Cognitive Behavioural Therapy via telehealth, the Taskforce</w:t>
      </w:r>
      <w:r w:rsidR="00F943E3" w:rsidRPr="00FE35E5">
        <w:t xml:space="preserve"> were provided with 21 individual MBS telehealth recommendations, including</w:t>
      </w:r>
      <w:r w:rsidRPr="00FE35E5">
        <w:t xml:space="preserve"> the Mental Health Reference Group</w:t>
      </w:r>
      <w:r w:rsidR="00F943E3" w:rsidRPr="00FE35E5">
        <w:t>’s</w:t>
      </w:r>
      <w:r w:rsidRPr="00FE35E5">
        <w:t xml:space="preserve"> </w:t>
      </w:r>
      <w:r w:rsidR="00F943E3" w:rsidRPr="00FE35E5">
        <w:t xml:space="preserve">recommendation 14, </w:t>
      </w:r>
      <w:r w:rsidRPr="00FE35E5">
        <w:t xml:space="preserve">to review the recent expansion to mental health telehealth services in rural and remote areas. </w:t>
      </w:r>
      <w:r w:rsidR="00F943E3" w:rsidRPr="00FE35E5">
        <w:t>The 21 recommendations were considered in the broader context of MBS Telehealth and a separate report was developed by the Taskforce.</w:t>
      </w:r>
    </w:p>
    <w:p w14:paraId="54635D73" w14:textId="77777777" w:rsidR="00BE0092" w:rsidRPr="00FE35E5" w:rsidRDefault="00BE0092" w:rsidP="00491B29"/>
    <w:p w14:paraId="77C3B54F" w14:textId="61A44561" w:rsidR="00BE0092" w:rsidRPr="00FE35E5" w:rsidRDefault="00BE0092" w:rsidP="00491B29">
      <w:r w:rsidRPr="00FE35E5">
        <w:t xml:space="preserve">The Taskforce </w:t>
      </w:r>
      <w:r w:rsidR="009F4F0F" w:rsidRPr="00FE35E5">
        <w:t>findings were provided to Government in late 2020 for</w:t>
      </w:r>
      <w:r w:rsidRPr="00FE35E5">
        <w:t xml:space="preserve"> consideration.</w:t>
      </w:r>
    </w:p>
    <w:p w14:paraId="7E46961D" w14:textId="518B3CC9" w:rsidR="005C093C" w:rsidRPr="00FE35E5" w:rsidRDefault="005C093C" w:rsidP="00491B29"/>
    <w:p w14:paraId="775B9C6D" w14:textId="306F5CD1" w:rsidR="005F32B7" w:rsidRPr="00FE35E5" w:rsidRDefault="005F32B7" w:rsidP="005F32B7">
      <w:r w:rsidRPr="00FE35E5">
        <w:rPr>
          <w:rFonts w:ascii="TimesNewRomanPSMT" w:hAnsi="TimesNewRomanPSMT" w:cs="TimesNewRomanPSMT"/>
        </w:rPr>
        <w:t>Permanent telehealth arrangements funded under the MBS were introduced on 1</w:t>
      </w:r>
      <w:r w:rsidR="000B25BC" w:rsidRPr="00FE35E5">
        <w:rPr>
          <w:rFonts w:ascii="TimesNewRomanPSMT" w:hAnsi="TimesNewRomanPSMT" w:cs="TimesNewRomanPSMT"/>
        </w:rPr>
        <w:t> </w:t>
      </w:r>
      <w:r w:rsidRPr="00FE35E5">
        <w:rPr>
          <w:rFonts w:ascii="TimesNewRomanPSMT" w:hAnsi="TimesNewRomanPSMT" w:cs="TimesNewRomanPSMT"/>
        </w:rPr>
        <w:t>January</w:t>
      </w:r>
      <w:r w:rsidR="000B25BC" w:rsidRPr="00FE35E5">
        <w:rPr>
          <w:rFonts w:ascii="TimesNewRomanPSMT" w:hAnsi="TimesNewRomanPSMT" w:cs="TimesNewRomanPSMT"/>
        </w:rPr>
        <w:t> </w:t>
      </w:r>
      <w:r w:rsidRPr="00FE35E5">
        <w:rPr>
          <w:rFonts w:ascii="TimesNewRomanPSMT" w:hAnsi="TimesNewRomanPSMT" w:cs="TimesNewRomanPSMT"/>
        </w:rPr>
        <w:t>2022.</w:t>
      </w:r>
      <w:r w:rsidR="005C093C" w:rsidRPr="00FE35E5">
        <w:t xml:space="preserve"> </w:t>
      </w:r>
    </w:p>
    <w:p w14:paraId="3B489DE9" w14:textId="77777777" w:rsidR="0069394A" w:rsidRPr="00FE35E5" w:rsidRDefault="0069394A" w:rsidP="005F32B7"/>
    <w:p w14:paraId="0AC30F85" w14:textId="77777777" w:rsidR="005F32B7" w:rsidRPr="00FE35E5" w:rsidRDefault="005F32B7" w:rsidP="005F32B7">
      <w:r w:rsidRPr="00FE35E5">
        <w:lastRenderedPageBreak/>
        <w:t xml:space="preserve">These arrangements provide patient rebates for a wide range of telephone and video services by medical specialists and support safe and equitable telehealth services which are informed by the MBS Review Taskforce Principles for telehealth. </w:t>
      </w:r>
    </w:p>
    <w:p w14:paraId="451967E8" w14:textId="3E53C03B" w:rsidR="00127F43" w:rsidRPr="00FE35E5" w:rsidRDefault="00127F43" w:rsidP="005F32B7"/>
    <w:p w14:paraId="56D355D1" w14:textId="77777777" w:rsidR="00127F43" w:rsidRPr="00FE35E5" w:rsidRDefault="00127F43" w:rsidP="008D7AB8">
      <w:pPr>
        <w:jc w:val="both"/>
        <w:sectPr w:rsidR="00127F43" w:rsidRPr="00FE35E5">
          <w:pgSz w:w="11906" w:h="16838"/>
          <w:pgMar w:top="1440" w:right="1440" w:bottom="1440" w:left="1440" w:header="708" w:footer="708" w:gutter="0"/>
          <w:cols w:space="708"/>
          <w:docGrid w:linePitch="360"/>
        </w:sectPr>
      </w:pPr>
    </w:p>
    <w:p w14:paraId="26889E3D" w14:textId="04F3D1FB" w:rsidR="008D7AB8" w:rsidRPr="00FE35E5" w:rsidRDefault="00000000" w:rsidP="008D7AB8">
      <w:pPr>
        <w:keepNext/>
        <w:pBdr>
          <w:bottom w:val="single" w:sz="4" w:space="0" w:color="auto"/>
        </w:pBdr>
        <w:suppressAutoHyphens/>
        <w:spacing w:before="227" w:after="170"/>
        <w:outlineLvl w:val="1"/>
        <w:rPr>
          <w:rFonts w:eastAsia="Palatino Linotype"/>
          <w:b/>
        </w:rPr>
      </w:pPr>
      <w:hyperlink w:anchor="s26956rec5" w:history="1">
        <w:bookmarkStart w:id="5" w:name="_Toc43713070"/>
        <w:r w:rsidR="008D7AB8" w:rsidRPr="00FE35E5">
          <w:rPr>
            <w:rFonts w:eastAsia="Palatino Linotype"/>
            <w:b/>
          </w:rPr>
          <w:t>Recommendation 5</w:t>
        </w:r>
        <w:bookmarkEnd w:id="5"/>
      </w:hyperlink>
      <w:r w:rsidR="008D7AB8" w:rsidRPr="00FE35E5">
        <w:rPr>
          <w:rFonts w:eastAsia="Palatino Linotype"/>
          <w:b/>
        </w:rPr>
        <w:t xml:space="preserve"> </w:t>
      </w:r>
    </w:p>
    <w:p w14:paraId="622B4D4B" w14:textId="77777777" w:rsidR="008D7AB8" w:rsidRPr="00FE35E5" w:rsidRDefault="008D7AB8" w:rsidP="00491B29">
      <w:pPr>
        <w:tabs>
          <w:tab w:val="left" w:pos="624"/>
        </w:tabs>
        <w:suppressAutoHyphens/>
        <w:spacing w:before="113" w:after="227"/>
        <w:rPr>
          <w:rFonts w:eastAsia="Palatino Linotype"/>
          <w:i/>
        </w:rPr>
      </w:pPr>
      <w:r w:rsidRPr="00FE35E5">
        <w:rPr>
          <w:rFonts w:eastAsia="Palatino Linotype"/>
          <w:i/>
        </w:rPr>
        <w:t>The Committee recommends that the Australian Government work with the states and territories, and provides funding where necessary, to:</w:t>
      </w:r>
    </w:p>
    <w:p w14:paraId="32412CDC" w14:textId="2A670F1C" w:rsidR="008D7AB8" w:rsidRPr="00FE35E5" w:rsidRDefault="00A22B72" w:rsidP="00491B29">
      <w:pPr>
        <w:pStyle w:val="ListParagraph"/>
        <w:numPr>
          <w:ilvl w:val="0"/>
          <w:numId w:val="11"/>
        </w:numPr>
        <w:tabs>
          <w:tab w:val="num" w:pos="1020"/>
        </w:tabs>
        <w:spacing w:after="120"/>
        <w:ind w:left="714" w:hanging="357"/>
        <w:contextualSpacing w:val="0"/>
        <w:rPr>
          <w:rFonts w:cstheme="minorHAnsi"/>
          <w:i/>
        </w:rPr>
      </w:pPr>
      <w:r w:rsidRPr="00FE35E5">
        <w:rPr>
          <w:rFonts w:cstheme="minorHAnsi"/>
          <w:i/>
        </w:rPr>
        <w:t>e</w:t>
      </w:r>
      <w:r w:rsidR="008D7AB8" w:rsidRPr="00FE35E5">
        <w:rPr>
          <w:rFonts w:cstheme="minorHAnsi"/>
          <w:i/>
        </w:rPr>
        <w:t xml:space="preserve">nsure that all Pensioner or Health Care Card holders with moderate to severe obstructive sleep apnoea, regardless of their location, have access to a free trial of Continuous Positive Airway Pressure (CPAP) therapy and if the trial is successful free ongoing CPAP treatment; and </w:t>
      </w:r>
    </w:p>
    <w:p w14:paraId="0962BC02" w14:textId="02475063" w:rsidR="008D7AB8" w:rsidRPr="00FE35E5" w:rsidRDefault="00A22B72" w:rsidP="00491B29">
      <w:pPr>
        <w:pStyle w:val="ListParagraph"/>
        <w:numPr>
          <w:ilvl w:val="0"/>
          <w:numId w:val="11"/>
        </w:numPr>
        <w:tabs>
          <w:tab w:val="num" w:pos="1020"/>
        </w:tabs>
        <w:spacing w:after="240"/>
        <w:ind w:left="714" w:hanging="357"/>
        <w:contextualSpacing w:val="0"/>
        <w:rPr>
          <w:rFonts w:cstheme="minorHAnsi"/>
          <w:i/>
        </w:rPr>
      </w:pPr>
      <w:r w:rsidRPr="00FE35E5">
        <w:rPr>
          <w:rFonts w:cstheme="minorHAnsi"/>
          <w:i/>
        </w:rPr>
        <w:t>u</w:t>
      </w:r>
      <w:r w:rsidR="008D7AB8" w:rsidRPr="00FE35E5">
        <w:rPr>
          <w:rFonts w:cstheme="minorHAnsi"/>
          <w:i/>
        </w:rPr>
        <w:t>ndertake a review to assess the potential benefits of providing subsidised CPAP therapy across the broader Australian community.</w:t>
      </w:r>
    </w:p>
    <w:p w14:paraId="2BD3422A" w14:textId="77777777" w:rsidR="008D7AB8" w:rsidRPr="00FE35E5" w:rsidRDefault="008D7AB8" w:rsidP="00A22B72">
      <w:pPr>
        <w:suppressAutoHyphens/>
        <w:spacing w:after="120"/>
        <w:rPr>
          <w:rFonts w:eastAsia="Palatino Linotype"/>
          <w:b/>
        </w:rPr>
      </w:pPr>
      <w:r w:rsidRPr="00FE35E5">
        <w:rPr>
          <w:rFonts w:eastAsia="Palatino Linotype"/>
          <w:b/>
        </w:rPr>
        <w:t>Response:</w:t>
      </w:r>
    </w:p>
    <w:p w14:paraId="64304994" w14:textId="730FB8DF" w:rsidR="00D83B6C" w:rsidRPr="00FE35E5" w:rsidRDefault="00D83B6C" w:rsidP="00491B29">
      <w:pPr>
        <w:rPr>
          <w:rFonts w:eastAsia="Palatino Linotype"/>
        </w:rPr>
      </w:pPr>
      <w:r w:rsidRPr="00FE35E5">
        <w:rPr>
          <w:rFonts w:eastAsia="Palatino Linotype"/>
        </w:rPr>
        <w:t xml:space="preserve">The Australian Government </w:t>
      </w:r>
      <w:r w:rsidR="00F7080D" w:rsidRPr="00FE35E5">
        <w:rPr>
          <w:rFonts w:eastAsia="Palatino Linotype"/>
          <w:b/>
        </w:rPr>
        <w:t>supports</w:t>
      </w:r>
      <w:r w:rsidR="00F7080D" w:rsidRPr="00FE35E5">
        <w:rPr>
          <w:rFonts w:eastAsia="Palatino Linotype"/>
        </w:rPr>
        <w:t xml:space="preserve"> </w:t>
      </w:r>
      <w:r w:rsidR="00F7080D" w:rsidRPr="00FE35E5">
        <w:rPr>
          <w:rFonts w:eastAsia="Palatino Linotype"/>
          <w:b/>
        </w:rPr>
        <w:t>in-principle</w:t>
      </w:r>
      <w:r w:rsidRPr="00FE35E5">
        <w:rPr>
          <w:rFonts w:eastAsia="Palatino Linotype"/>
        </w:rPr>
        <w:t xml:space="preserve"> the recommendation.</w:t>
      </w:r>
    </w:p>
    <w:p w14:paraId="256C518F" w14:textId="6277DAEB" w:rsidR="00C05EAC" w:rsidRPr="00FE35E5" w:rsidRDefault="00C05EAC" w:rsidP="00491B29">
      <w:pPr>
        <w:rPr>
          <w:rFonts w:eastAsia="Palatino Linotype"/>
        </w:rPr>
      </w:pPr>
    </w:p>
    <w:p w14:paraId="0E243064" w14:textId="75701851" w:rsidR="00C05EAC" w:rsidRPr="00FE35E5" w:rsidRDefault="00C05EAC" w:rsidP="00C05EAC">
      <w:r w:rsidRPr="00FE35E5">
        <w:t xml:space="preserve">Medicare rebates are available for clinically relevant professional services listed on the </w:t>
      </w:r>
      <w:r w:rsidR="00287BB6" w:rsidRPr="00FE35E5">
        <w:t>MBS</w:t>
      </w:r>
      <w:r w:rsidRPr="00FE35E5">
        <w:t xml:space="preserve">, but not for consumable products or medical devices such as </w:t>
      </w:r>
      <w:r w:rsidR="00734D35" w:rsidRPr="00FE35E5">
        <w:t>Continuous Positive Airway Pressure (</w:t>
      </w:r>
      <w:r w:rsidRPr="00FE35E5">
        <w:t>CPAP</w:t>
      </w:r>
      <w:r w:rsidR="00734D35" w:rsidRPr="00FE35E5">
        <w:t>)</w:t>
      </w:r>
      <w:r w:rsidRPr="00FE35E5">
        <w:t xml:space="preserve"> machines.</w:t>
      </w:r>
    </w:p>
    <w:p w14:paraId="2B83A8DB" w14:textId="77777777" w:rsidR="00D83B6C" w:rsidRPr="00FE35E5" w:rsidRDefault="00D83B6C" w:rsidP="00491B29">
      <w:pPr>
        <w:rPr>
          <w:rFonts w:eastAsia="Palatino Linotype"/>
        </w:rPr>
      </w:pPr>
    </w:p>
    <w:p w14:paraId="1CFE7E4A" w14:textId="0BF18FB9" w:rsidR="00F8289A" w:rsidRPr="00FE35E5" w:rsidRDefault="00F8289A" w:rsidP="00AE62C7">
      <w:pPr>
        <w:spacing w:line="252" w:lineRule="auto"/>
      </w:pPr>
      <w:r w:rsidRPr="00FE35E5">
        <w:t xml:space="preserve">Medical equipment facilities are privately owned commercial entities which preclude the Government from setting the price of sleep therapy devices. </w:t>
      </w:r>
      <w:r w:rsidR="00287BB6" w:rsidRPr="00FE35E5">
        <w:t>M</w:t>
      </w:r>
      <w:r w:rsidRPr="00FE35E5">
        <w:t>any businesses offer personalised payment plans that reduce some of the financial barriers to ownership of personal CPAP machines.</w:t>
      </w:r>
    </w:p>
    <w:p w14:paraId="58CE8375" w14:textId="77777777" w:rsidR="00AE62C7" w:rsidRPr="00FE35E5" w:rsidRDefault="00AE62C7" w:rsidP="00AE62C7">
      <w:pPr>
        <w:spacing w:line="252" w:lineRule="auto"/>
      </w:pPr>
    </w:p>
    <w:p w14:paraId="26B10725" w14:textId="3211FAC9" w:rsidR="00F8289A" w:rsidRPr="00FE35E5" w:rsidRDefault="00F8289A" w:rsidP="00F8289A">
      <w:r w:rsidRPr="00FE35E5">
        <w:t xml:space="preserve">State and territory governments operate aids and appliance programs to assist residents with the cost and/or provision of appropriate equipment, aids and appliances in the community setting. Each state and territory </w:t>
      </w:r>
      <w:r w:rsidR="00EE136D" w:rsidRPr="00FE35E5">
        <w:t>determine</w:t>
      </w:r>
      <w:r w:rsidRPr="00FE35E5">
        <w:t xml:space="preserve"> its priorities and allocates funds for aids and appliances between the many competing areas of government spending. Many states and territories also offer financial aid grants and interest-free loans to people on low incomes who need assistance purchasing essential personal or household items. </w:t>
      </w:r>
    </w:p>
    <w:p w14:paraId="706BCEB6" w14:textId="77777777" w:rsidR="00F8289A" w:rsidRPr="00FE35E5" w:rsidRDefault="00F8289A" w:rsidP="00F8289A"/>
    <w:p w14:paraId="72E605C3" w14:textId="66306383" w:rsidR="00F8289A" w:rsidRPr="00FE35E5" w:rsidRDefault="00F8289A" w:rsidP="00F8289A">
      <w:r w:rsidRPr="00FE35E5">
        <w:t xml:space="preserve">The Government provides additional support for people and carers through the Essential Medical Equipment Payment (EMEP). The EMEP is an annual payment to assist with energy costs associated with the use of eligible essential medical equipment. More information is available from the Services Australia website: </w:t>
      </w:r>
      <w:hyperlink r:id="rId14" w:history="1">
        <w:r w:rsidR="00647F1E" w:rsidRPr="00444619">
          <w:rPr>
            <w:rStyle w:val="Hyperlink"/>
          </w:rPr>
          <w:t>www.servicesaustralia.gov.au/individuals/services/centrelink/essential-medical-equipment-payment</w:t>
        </w:r>
      </w:hyperlink>
      <w:r w:rsidR="00647F1E">
        <w:t>.</w:t>
      </w:r>
      <w:r w:rsidR="00647F1E">
        <w:rPr>
          <w:rStyle w:val="Hyperlink"/>
          <w:color w:val="auto"/>
        </w:rPr>
        <w:t xml:space="preserve"> </w:t>
      </w:r>
      <w:r w:rsidR="00647F1E">
        <w:t xml:space="preserve"> </w:t>
      </w:r>
    </w:p>
    <w:p w14:paraId="7D780E89" w14:textId="77777777" w:rsidR="00F8289A" w:rsidRPr="00FE35E5" w:rsidRDefault="00F8289A" w:rsidP="00F8289A"/>
    <w:p w14:paraId="197EB7DC" w14:textId="1FDD03B8" w:rsidR="00C05EAC" w:rsidRPr="00FE35E5" w:rsidRDefault="008B6749" w:rsidP="00C05EAC">
      <w:r w:rsidRPr="00FE35E5">
        <w:t>With regard to the pharmacy sector, t</w:t>
      </w:r>
      <w:r w:rsidR="0088764F" w:rsidRPr="00FE35E5">
        <w:t xml:space="preserve">here are no current funding arrangements between the Government and the pharmacy sector to provide CPAP therapy, however, some pharmacies provide CPAP machine fitting consultations and rental services. These services are provided at a cost to the patient. </w:t>
      </w:r>
    </w:p>
    <w:p w14:paraId="783D6BF3" w14:textId="38B24876" w:rsidR="0088764F" w:rsidRPr="00FE35E5" w:rsidRDefault="0088764F" w:rsidP="0088764F"/>
    <w:p w14:paraId="67633865" w14:textId="2DB04F5F" w:rsidR="0088764F" w:rsidRPr="00FE35E5" w:rsidRDefault="0088764F" w:rsidP="0088764F">
      <w:r w:rsidRPr="00FE35E5">
        <w:t>Community pharmacy is an integral part of the Australian healthcare system through its role in the delivery of the Pharmaceutical Benefit</w:t>
      </w:r>
      <w:r w:rsidR="00FE7E6D" w:rsidRPr="00FE35E5">
        <w:t>s</w:t>
      </w:r>
      <w:r w:rsidRPr="00FE35E5">
        <w:t xml:space="preserve"> Scheme (PBS) and related services. The Government provides funding to community pharmacies through the Seventh Community Pharmacy Agreement (7CPA) between the Commonwealth, the Pharmacy Guild of Australia, and the Pharmaceutical Society of Australia. </w:t>
      </w:r>
      <w:r w:rsidR="00E91674" w:rsidRPr="00FE35E5">
        <w:br/>
      </w:r>
      <w:r w:rsidRPr="00FE35E5">
        <w:t>This agreement commenced on 1 July 2020 and will remain in place until 30 June 2025. There is no direct provision in the 7CPA to fund CPAP therapy.</w:t>
      </w:r>
    </w:p>
    <w:p w14:paraId="647762EA" w14:textId="77777777" w:rsidR="0088764F" w:rsidRPr="00FE35E5" w:rsidRDefault="0088764F" w:rsidP="0088764F"/>
    <w:p w14:paraId="512E051F" w14:textId="73E5E638" w:rsidR="00D70176" w:rsidRPr="00FE35E5" w:rsidRDefault="00D70176" w:rsidP="008D7AB8">
      <w:pPr>
        <w:jc w:val="both"/>
        <w:sectPr w:rsidR="00D70176" w:rsidRPr="00FE35E5" w:rsidSect="00EE136D">
          <w:pgSz w:w="11906" w:h="16838"/>
          <w:pgMar w:top="1440" w:right="1080" w:bottom="1440" w:left="1080" w:header="709" w:footer="709" w:gutter="0"/>
          <w:cols w:space="708"/>
          <w:docGrid w:linePitch="360"/>
        </w:sectPr>
      </w:pPr>
    </w:p>
    <w:p w14:paraId="030C3827" w14:textId="3210734D" w:rsidR="008D7AB8" w:rsidRPr="00FE35E5" w:rsidRDefault="00000000" w:rsidP="001C18C8">
      <w:pPr>
        <w:keepNext/>
        <w:pBdr>
          <w:bottom w:val="single" w:sz="4" w:space="0" w:color="auto"/>
        </w:pBdr>
        <w:suppressAutoHyphens/>
        <w:spacing w:before="227" w:after="170"/>
        <w:outlineLvl w:val="1"/>
        <w:rPr>
          <w:rFonts w:eastAsia="Palatino Linotype"/>
          <w:b/>
        </w:rPr>
      </w:pPr>
      <w:hyperlink w:anchor="s26956rec6" w:history="1">
        <w:bookmarkStart w:id="6" w:name="_Toc43713071"/>
        <w:r w:rsidR="008D7AB8" w:rsidRPr="00FE35E5">
          <w:rPr>
            <w:rFonts w:eastAsia="Palatino Linotype"/>
            <w:b/>
          </w:rPr>
          <w:t>Recommendation 6</w:t>
        </w:r>
        <w:bookmarkEnd w:id="6"/>
      </w:hyperlink>
      <w:r w:rsidR="008D7AB8" w:rsidRPr="00FE35E5">
        <w:rPr>
          <w:rFonts w:eastAsia="Palatino Linotype"/>
          <w:b/>
        </w:rPr>
        <w:t xml:space="preserve"> </w:t>
      </w:r>
    </w:p>
    <w:p w14:paraId="06D2E539" w14:textId="7066F5DD" w:rsidR="008D7AB8" w:rsidRPr="00FE35E5" w:rsidRDefault="008D7AB8" w:rsidP="003E1675">
      <w:pPr>
        <w:tabs>
          <w:tab w:val="left" w:pos="624"/>
        </w:tabs>
        <w:suppressAutoHyphens/>
        <w:spacing w:after="120"/>
        <w:rPr>
          <w:rFonts w:eastAsia="Palatino Linotype"/>
          <w:i/>
        </w:rPr>
      </w:pPr>
      <w:r w:rsidRPr="00FE35E5">
        <w:rPr>
          <w:rFonts w:eastAsia="Palatino Linotype"/>
          <w:i/>
        </w:rPr>
        <w:t xml:space="preserve">The Committee recommends that the Australian Government and the Australian Competition and Consumer Commission monitor the Continuous Positive Airway Pressure </w:t>
      </w:r>
      <w:r w:rsidR="00127F43" w:rsidRPr="00FE35E5">
        <w:rPr>
          <w:rFonts w:eastAsia="Palatino Linotype"/>
          <w:i/>
        </w:rPr>
        <w:t xml:space="preserve">(CPAP) </w:t>
      </w:r>
      <w:r w:rsidRPr="00FE35E5">
        <w:rPr>
          <w:rFonts w:eastAsia="Palatino Linotype"/>
          <w:i/>
        </w:rPr>
        <w:t xml:space="preserve">industry to ensure that vertical integration in the industry does not result in actions that: </w:t>
      </w:r>
    </w:p>
    <w:p w14:paraId="63B05FE6" w14:textId="77777777" w:rsidR="008D7AB8" w:rsidRPr="00FE35E5" w:rsidRDefault="008D7AB8" w:rsidP="003E1675">
      <w:pPr>
        <w:pStyle w:val="ListParagraph"/>
        <w:numPr>
          <w:ilvl w:val="0"/>
          <w:numId w:val="11"/>
        </w:numPr>
        <w:tabs>
          <w:tab w:val="num" w:pos="1020"/>
        </w:tabs>
        <w:spacing w:after="120"/>
        <w:ind w:left="714" w:hanging="357"/>
        <w:contextualSpacing w:val="0"/>
        <w:jc w:val="both"/>
        <w:rPr>
          <w:rFonts w:cstheme="minorHAnsi"/>
          <w:i/>
        </w:rPr>
      </w:pPr>
      <w:r w:rsidRPr="00FE35E5">
        <w:rPr>
          <w:rFonts w:cstheme="minorHAnsi"/>
          <w:i/>
        </w:rPr>
        <w:t>Limit the quality of care or clinical advice provided to patients; or</w:t>
      </w:r>
    </w:p>
    <w:p w14:paraId="005BE120" w14:textId="77777777" w:rsidR="008D7AB8" w:rsidRPr="00FE35E5" w:rsidRDefault="008D7AB8" w:rsidP="008D7AB8">
      <w:pPr>
        <w:pStyle w:val="ListParagraph"/>
        <w:numPr>
          <w:ilvl w:val="0"/>
          <w:numId w:val="11"/>
        </w:numPr>
        <w:tabs>
          <w:tab w:val="num" w:pos="1020"/>
        </w:tabs>
        <w:spacing w:after="200" w:line="276" w:lineRule="auto"/>
        <w:jc w:val="both"/>
        <w:rPr>
          <w:rFonts w:cstheme="minorHAnsi"/>
          <w:i/>
        </w:rPr>
      </w:pPr>
      <w:r w:rsidRPr="00FE35E5">
        <w:rPr>
          <w:rFonts w:cstheme="minorHAnsi"/>
          <w:i/>
        </w:rPr>
        <w:t>Result in anti-competitive behaviour in the industry.</w:t>
      </w:r>
    </w:p>
    <w:p w14:paraId="5FD8465D" w14:textId="77777777" w:rsidR="008D7AB8" w:rsidRPr="00FE35E5" w:rsidRDefault="008D7AB8" w:rsidP="00972D1C">
      <w:pPr>
        <w:suppressAutoHyphens/>
        <w:spacing w:after="120"/>
        <w:rPr>
          <w:rFonts w:eastAsia="Palatino Linotype"/>
          <w:b/>
        </w:rPr>
      </w:pPr>
      <w:r w:rsidRPr="00FE35E5">
        <w:rPr>
          <w:rFonts w:eastAsia="Palatino Linotype"/>
          <w:b/>
        </w:rPr>
        <w:t>Response:</w:t>
      </w:r>
    </w:p>
    <w:p w14:paraId="4F051CCD" w14:textId="77777777" w:rsidR="00E91674" w:rsidRPr="00FE35E5" w:rsidRDefault="008D7AB8" w:rsidP="00E91674">
      <w:r w:rsidRPr="00FE35E5">
        <w:rPr>
          <w:rFonts w:eastAsia="Palatino Linotype"/>
        </w:rPr>
        <w:t xml:space="preserve">The </w:t>
      </w:r>
      <w:r w:rsidR="00CA3B1C" w:rsidRPr="00FE35E5">
        <w:rPr>
          <w:rFonts w:eastAsia="Palatino Linotype"/>
        </w:rPr>
        <w:t xml:space="preserve">Australian </w:t>
      </w:r>
      <w:r w:rsidRPr="00FE35E5">
        <w:rPr>
          <w:rFonts w:eastAsia="Palatino Linotype"/>
        </w:rPr>
        <w:t xml:space="preserve">Government </w:t>
      </w:r>
      <w:r w:rsidRPr="00FE35E5">
        <w:rPr>
          <w:rFonts w:eastAsia="Palatino Linotype"/>
          <w:b/>
        </w:rPr>
        <w:t>notes</w:t>
      </w:r>
      <w:r w:rsidRPr="00FE35E5">
        <w:rPr>
          <w:rFonts w:eastAsia="Palatino Linotype"/>
        </w:rPr>
        <w:t xml:space="preserve"> the recommendation. </w:t>
      </w:r>
    </w:p>
    <w:p w14:paraId="26F44CFA" w14:textId="77777777" w:rsidR="00E91674" w:rsidRPr="00FE35E5" w:rsidRDefault="00E91674" w:rsidP="00E91674"/>
    <w:p w14:paraId="7FDCDD5E" w14:textId="122EC2CF" w:rsidR="003F1A14" w:rsidRPr="00FE35E5" w:rsidRDefault="00C84235" w:rsidP="00E91674">
      <w:r w:rsidRPr="00FE35E5">
        <w:t xml:space="preserve">The Australian Competition and Consumer Commission (ACCC) is the independent Commonwealth statutory authority responsible for enforcing the </w:t>
      </w:r>
      <w:r w:rsidRPr="00FE35E5">
        <w:rPr>
          <w:i/>
        </w:rPr>
        <w:t>Competition and Consumer Act 2010</w:t>
      </w:r>
      <w:r w:rsidRPr="00FE35E5">
        <w:t xml:space="preserve"> </w:t>
      </w:r>
      <w:r w:rsidR="00127F43" w:rsidRPr="00FE35E5">
        <w:t xml:space="preserve">(Cth) </w:t>
      </w:r>
      <w:r w:rsidRPr="00FE35E5">
        <w:t>(the CCA). If anti-competitive conduct were to be identified in the CPAP industry, the ACCC would determine any appropriate investigatory steps to be taken in accordance with its published Com</w:t>
      </w:r>
      <w:r w:rsidR="00127F43" w:rsidRPr="00FE35E5">
        <w:t>pliance and Enforcement Policy and</w:t>
      </w:r>
      <w:r w:rsidRPr="00FE35E5">
        <w:t xml:space="preserve"> Priorities. </w:t>
      </w:r>
    </w:p>
    <w:p w14:paraId="50230BFA" w14:textId="77777777" w:rsidR="003F1A14" w:rsidRPr="00FE35E5" w:rsidRDefault="003F1A14" w:rsidP="00491B29"/>
    <w:p w14:paraId="5C73B9E7" w14:textId="15845A67" w:rsidR="008D7AB8" w:rsidRPr="00FE35E5" w:rsidRDefault="00C84235" w:rsidP="00491B29">
      <w:r w:rsidRPr="00FE35E5">
        <w:t>The ACCC does not have regulatory responsibility for the quality of care and/or clinical advice provided to patients.</w:t>
      </w:r>
      <w:r w:rsidR="00CA3B1C" w:rsidRPr="00FE35E5">
        <w:t xml:space="preserve"> Concerns or complaints regarding inappropriate clinical recommendation</w:t>
      </w:r>
      <w:r w:rsidR="001D14FA" w:rsidRPr="00FE35E5">
        <w:t>s</w:t>
      </w:r>
      <w:r w:rsidR="00CA3B1C" w:rsidRPr="00FE35E5">
        <w:t xml:space="preserve"> and prescription</w:t>
      </w:r>
      <w:r w:rsidR="001D14FA" w:rsidRPr="00FE35E5">
        <w:t>s</w:t>
      </w:r>
      <w:r w:rsidR="00CA3B1C" w:rsidRPr="00FE35E5">
        <w:t xml:space="preserve"> are overseen by the Australian Health Practitioner Regulation Agency and Practitioner Review Program.</w:t>
      </w:r>
    </w:p>
    <w:p w14:paraId="08CFE461" w14:textId="7C8113B3" w:rsidR="00F94460" w:rsidRPr="00FE35E5" w:rsidRDefault="00F94460" w:rsidP="00491B29"/>
    <w:p w14:paraId="556694B4" w14:textId="743F5275" w:rsidR="00F94460" w:rsidRPr="00FE35E5" w:rsidRDefault="00F94460" w:rsidP="00491B29">
      <w:pPr>
        <w:spacing w:after="120"/>
      </w:pPr>
      <w:r w:rsidRPr="00FE35E5">
        <w:t>CPAP products and devices used in diagnosis of sleep apnoea and other sleep disorders are regulated as medical devices by the Therapeutic Goods Administration (TGA). The TGA is responsible for ensuring that medical devices supplied in Australia are safe and perform as intended. Medical devices intended to be used in combination with other devices or equipment (including diagnostic tests or equipment) are required to be designed and manufactured in a way that ensures that:</w:t>
      </w:r>
    </w:p>
    <w:p w14:paraId="5B639DBF" w14:textId="03ACB131" w:rsidR="00F94460" w:rsidRPr="00FE35E5" w:rsidRDefault="00F94460" w:rsidP="009B4B19">
      <w:pPr>
        <w:pStyle w:val="ListParagraph"/>
        <w:numPr>
          <w:ilvl w:val="0"/>
          <w:numId w:val="26"/>
        </w:numPr>
        <w:spacing w:after="120"/>
      </w:pPr>
      <w:r w:rsidRPr="00FE35E5">
        <w:t>the medical device, and any other device or equipment with which it is used, operate in a safe way; and</w:t>
      </w:r>
    </w:p>
    <w:p w14:paraId="139FD5B0" w14:textId="3C1FCF27" w:rsidR="00F94460" w:rsidRPr="00FE35E5" w:rsidRDefault="00F94460" w:rsidP="009B4B19">
      <w:pPr>
        <w:pStyle w:val="ListParagraph"/>
        <w:numPr>
          <w:ilvl w:val="0"/>
          <w:numId w:val="26"/>
        </w:numPr>
        <w:spacing w:after="120"/>
      </w:pPr>
      <w:r w:rsidRPr="00FE35E5">
        <w:t>the intended performance of the device, and any other device or equipment with which it is used, is not impaired.</w:t>
      </w:r>
    </w:p>
    <w:p w14:paraId="1FD075AD" w14:textId="37BFC761" w:rsidR="00F94460" w:rsidRPr="00FE35E5" w:rsidRDefault="00F94460" w:rsidP="00491B29"/>
    <w:p w14:paraId="5350B14C" w14:textId="77777777" w:rsidR="00F94460" w:rsidRPr="00FE35E5" w:rsidRDefault="00F94460" w:rsidP="00491B29">
      <w:pPr>
        <w:sectPr w:rsidR="00F94460" w:rsidRPr="00FE35E5">
          <w:pgSz w:w="11906" w:h="16838"/>
          <w:pgMar w:top="1440" w:right="1440" w:bottom="1440" w:left="1440" w:header="708" w:footer="708" w:gutter="0"/>
          <w:cols w:space="708"/>
          <w:docGrid w:linePitch="360"/>
        </w:sectPr>
      </w:pPr>
    </w:p>
    <w:p w14:paraId="5AA87052" w14:textId="4A494F4C" w:rsidR="007B7B81" w:rsidRPr="00FE35E5" w:rsidRDefault="00000000" w:rsidP="007B7B81">
      <w:pPr>
        <w:keepNext/>
        <w:pBdr>
          <w:bottom w:val="single" w:sz="4" w:space="0" w:color="auto"/>
        </w:pBdr>
        <w:suppressAutoHyphens/>
        <w:spacing w:before="227" w:after="170"/>
        <w:outlineLvl w:val="1"/>
        <w:rPr>
          <w:rFonts w:eastAsia="Palatino Linotype"/>
          <w:b/>
        </w:rPr>
      </w:pPr>
      <w:hyperlink w:anchor="s26956rec7" w:history="1">
        <w:bookmarkStart w:id="7" w:name="_Toc43713072"/>
        <w:r w:rsidR="007B7B81" w:rsidRPr="00FE35E5">
          <w:rPr>
            <w:rFonts w:eastAsia="Palatino Linotype"/>
            <w:b/>
          </w:rPr>
          <w:t>Recommendation 7</w:t>
        </w:r>
        <w:bookmarkEnd w:id="7"/>
      </w:hyperlink>
      <w:r w:rsidR="007B7B81" w:rsidRPr="00FE35E5">
        <w:rPr>
          <w:rFonts w:eastAsia="Palatino Linotype"/>
          <w:b/>
        </w:rPr>
        <w:t xml:space="preserve"> </w:t>
      </w:r>
    </w:p>
    <w:p w14:paraId="0AE9DCEC" w14:textId="77777777" w:rsidR="007B7B81" w:rsidRPr="00FE35E5" w:rsidRDefault="007B7B81" w:rsidP="00491B29">
      <w:pPr>
        <w:tabs>
          <w:tab w:val="left" w:pos="624"/>
        </w:tabs>
        <w:suppressAutoHyphens/>
        <w:spacing w:before="113" w:after="227"/>
        <w:rPr>
          <w:rFonts w:eastAsia="Palatino Linotype"/>
          <w:i/>
        </w:rPr>
      </w:pPr>
      <w:r w:rsidRPr="00FE35E5">
        <w:rPr>
          <w:rFonts w:eastAsia="Palatino Linotype"/>
          <w:i/>
        </w:rPr>
        <w:t>The Committee recommends that if there is no distributor willing to put forward a submission, the Australian Government work with patient advocacy groups such as Narcolepsy Australia or the Sleep Health Foundation to make a submission for the listing or registration of Sodium Oxybate under the Orphan Drug Program.</w:t>
      </w:r>
    </w:p>
    <w:p w14:paraId="48CD0920" w14:textId="77777777" w:rsidR="007B7B81" w:rsidRPr="00FE35E5" w:rsidRDefault="007B7B81" w:rsidP="00491B29">
      <w:pPr>
        <w:suppressAutoHyphens/>
        <w:spacing w:after="283"/>
        <w:rPr>
          <w:rFonts w:eastAsia="Palatino Linotype"/>
          <w:b/>
        </w:rPr>
      </w:pPr>
      <w:r w:rsidRPr="00FE35E5">
        <w:rPr>
          <w:rFonts w:eastAsia="Palatino Linotype"/>
          <w:b/>
        </w:rPr>
        <w:t>Response:</w:t>
      </w:r>
    </w:p>
    <w:p w14:paraId="02C2269F" w14:textId="5F9016E7" w:rsidR="000341EE" w:rsidRPr="00FE35E5" w:rsidRDefault="000341EE" w:rsidP="000341EE">
      <w:r w:rsidRPr="00FE35E5">
        <w:t xml:space="preserve">The Australian Government </w:t>
      </w:r>
      <w:r w:rsidR="008C1562" w:rsidRPr="00FE35E5">
        <w:rPr>
          <w:rFonts w:eastAsia="Palatino Linotype"/>
          <w:b/>
        </w:rPr>
        <w:t>supports</w:t>
      </w:r>
      <w:r w:rsidR="008C1562" w:rsidRPr="00FE35E5">
        <w:rPr>
          <w:rFonts w:eastAsia="Palatino Linotype"/>
        </w:rPr>
        <w:t xml:space="preserve"> </w:t>
      </w:r>
      <w:r w:rsidR="008C1562" w:rsidRPr="00FE35E5">
        <w:rPr>
          <w:rFonts w:eastAsia="Palatino Linotype"/>
          <w:b/>
        </w:rPr>
        <w:t>in-principle</w:t>
      </w:r>
      <w:r w:rsidRPr="00FE35E5">
        <w:rPr>
          <w:b/>
          <w:bCs/>
        </w:rPr>
        <w:t xml:space="preserve"> </w:t>
      </w:r>
      <w:r w:rsidRPr="00FE35E5">
        <w:t>the recommendation and can advise a potential sponsor on making a submission in line with established TGA processes.</w:t>
      </w:r>
    </w:p>
    <w:p w14:paraId="6D505F47" w14:textId="77777777" w:rsidR="000341EE" w:rsidRPr="00FE35E5" w:rsidRDefault="000341EE" w:rsidP="000341EE"/>
    <w:p w14:paraId="3F640581" w14:textId="77777777" w:rsidR="000341EE" w:rsidRPr="00FE35E5" w:rsidRDefault="000341EE" w:rsidP="000341EE">
      <w:r w:rsidRPr="00FE35E5">
        <w:t>The TGA is responsible for ensuring that therapeutic goods available for supply in Australia are safe and effective for their intended purpose. It is possible for any person, company, professional group or advocacy group to become a sponsor if they are able to take on the legal responsibilities of a sponsor which include ongoing post market monitoring requirements.</w:t>
      </w:r>
    </w:p>
    <w:p w14:paraId="7B340731" w14:textId="77777777" w:rsidR="000341EE" w:rsidRPr="00FE35E5" w:rsidRDefault="000341EE" w:rsidP="000341EE"/>
    <w:p w14:paraId="1604E122" w14:textId="51908C76" w:rsidR="000341EE" w:rsidRPr="00FE35E5" w:rsidRDefault="000341EE" w:rsidP="000341EE">
      <w:r w:rsidRPr="00FE35E5">
        <w:t xml:space="preserve">The TGA provides a number of services to assist sponsors who are not familiar with the regulatory requirements for registering therapeutic goods on the Australian Register of Therapeutic Goods. These services include the Small and Medium Enterprise (SME) Assist function of the TGA. </w:t>
      </w:r>
      <w:r w:rsidRPr="00FE35E5">
        <w:rPr>
          <w:snapToGrid w:val="0"/>
        </w:rPr>
        <w:t xml:space="preserve">SME Assist </w:t>
      </w:r>
      <w:r w:rsidRPr="00FE35E5">
        <w:t>helps SMEs, start-ups, researchers and those unfamiliar with Australia’s therapeutic goods regulation to understand their regulatory and legislative obligations, including those relating to orphan drugs. The SME Assist webpage features guidance articles covering the basics of regulation, interactive decision tools, and the opportunity to attend educational workshops across Australia.</w:t>
      </w:r>
      <w:r w:rsidR="000120C4" w:rsidRPr="00FE35E5">
        <w:t xml:space="preserve"> </w:t>
      </w:r>
      <w:r w:rsidR="00395436" w:rsidRPr="00FE35E5">
        <w:t xml:space="preserve">The </w:t>
      </w:r>
      <w:r w:rsidR="000120C4" w:rsidRPr="00FE35E5">
        <w:rPr>
          <w:rFonts w:ascii="TimesNewRomanPSMT" w:hAnsi="TimesNewRomanPSMT"/>
          <w:lang w:eastAsia="en-AU"/>
        </w:rPr>
        <w:t>TGA can contact relevant advocacy groups to provide information about the Orphan Drug Program and related regulatory processes.</w:t>
      </w:r>
    </w:p>
    <w:p w14:paraId="543D926B" w14:textId="77777777" w:rsidR="000341EE" w:rsidRPr="00FE35E5" w:rsidRDefault="000341EE" w:rsidP="000341EE">
      <w:pPr>
        <w:rPr>
          <w:strike/>
          <w:lang w:val="en-US"/>
        </w:rPr>
      </w:pPr>
    </w:p>
    <w:p w14:paraId="5926EE22" w14:textId="129DED8D" w:rsidR="000341EE" w:rsidRPr="00FE35E5" w:rsidRDefault="000341EE" w:rsidP="000341EE">
      <w:pPr>
        <w:rPr>
          <w:lang w:val="en-US"/>
        </w:rPr>
      </w:pPr>
      <w:r w:rsidRPr="00FE35E5">
        <w:rPr>
          <w:lang w:val="en-US"/>
        </w:rPr>
        <w:t>The TGA also undertakes pre</w:t>
      </w:r>
      <w:r w:rsidRPr="00FE35E5">
        <w:rPr>
          <w:lang w:val="en-US"/>
        </w:rPr>
        <w:noBreakHyphen/>
        <w:t xml:space="preserve">submission meetings with potential sponsors, on their request, to discuss proposed submissions. More information about pre-submission meetings is available on the TGA website at </w:t>
      </w:r>
      <w:r w:rsidRPr="00FE35E5">
        <w:rPr>
          <w:lang w:val="en-US"/>
        </w:rPr>
        <w:br/>
      </w:r>
      <w:hyperlink r:id="rId15" w:history="1">
        <w:r w:rsidR="00A726B2" w:rsidRPr="00444619">
          <w:rPr>
            <w:rStyle w:val="Hyperlink"/>
            <w:lang w:val="en-US"/>
          </w:rPr>
          <w:t>www.tga.gov.au/publication/pre-submission-meetings-tga</w:t>
        </w:r>
      </w:hyperlink>
      <w:r w:rsidRPr="00FE35E5">
        <w:rPr>
          <w:lang w:val="en-US"/>
        </w:rPr>
        <w:t>.</w:t>
      </w:r>
    </w:p>
    <w:p w14:paraId="458A7155" w14:textId="77777777" w:rsidR="000341EE" w:rsidRPr="00FE35E5" w:rsidRDefault="000341EE" w:rsidP="000341EE">
      <w:pPr>
        <w:rPr>
          <w:lang w:val="en-US"/>
        </w:rPr>
      </w:pPr>
    </w:p>
    <w:p w14:paraId="6B2AA1B1" w14:textId="477E9E7F" w:rsidR="000341EE" w:rsidRPr="00FE35E5" w:rsidRDefault="000341EE" w:rsidP="000341EE">
      <w:pPr>
        <w:rPr>
          <w:rStyle w:val="Hyperlink"/>
          <w:color w:val="auto"/>
        </w:rPr>
      </w:pPr>
      <w:r w:rsidRPr="00FE35E5">
        <w:rPr>
          <w:lang w:val="en-US"/>
        </w:rPr>
        <w:t xml:space="preserve">Further information regarding the criteria for orphan drug designation is available on the TGA website at </w:t>
      </w:r>
      <w:r w:rsidRPr="00FE35E5">
        <w:rPr>
          <w:lang w:val="en-US"/>
        </w:rPr>
        <w:br/>
      </w:r>
      <w:hyperlink r:id="rId16" w:history="1">
        <w:r w:rsidR="00A726B2" w:rsidRPr="00444619">
          <w:rPr>
            <w:rStyle w:val="Hyperlink"/>
            <w:lang w:val="en-US"/>
          </w:rPr>
          <w:t>www.tga.gov.au/publication/orphan-drug-designation-eligibility-criteria</w:t>
        </w:r>
      </w:hyperlink>
      <w:r w:rsidRPr="00FE35E5">
        <w:rPr>
          <w:rStyle w:val="Hyperlink"/>
          <w:color w:val="auto"/>
          <w:lang w:val="en-US"/>
        </w:rPr>
        <w:t>.</w:t>
      </w:r>
    </w:p>
    <w:p w14:paraId="3D72C5EA" w14:textId="70B87BDD" w:rsidR="00FE303E" w:rsidRPr="00FE35E5" w:rsidRDefault="00FE303E" w:rsidP="00491B29">
      <w:pPr>
        <w:rPr>
          <w:rStyle w:val="Hyperlink"/>
          <w:color w:val="auto"/>
          <w:lang w:val="en-US"/>
        </w:rPr>
      </w:pPr>
    </w:p>
    <w:p w14:paraId="096F18AA" w14:textId="77777777" w:rsidR="00FE303E" w:rsidRPr="00FE35E5" w:rsidRDefault="00FE303E" w:rsidP="00491B29">
      <w:pPr>
        <w:rPr>
          <w:u w:val="single"/>
          <w:lang w:val="en-US"/>
        </w:rPr>
        <w:sectPr w:rsidR="00FE303E" w:rsidRPr="00FE35E5">
          <w:pgSz w:w="11906" w:h="16838"/>
          <w:pgMar w:top="1440" w:right="1440" w:bottom="1440" w:left="1440" w:header="708" w:footer="708" w:gutter="0"/>
          <w:cols w:space="708"/>
          <w:docGrid w:linePitch="360"/>
        </w:sectPr>
      </w:pPr>
    </w:p>
    <w:p w14:paraId="1BD70B0F" w14:textId="03C66C1D" w:rsidR="007B7B81" w:rsidRPr="00FE35E5" w:rsidRDefault="00000000" w:rsidP="007B7B81">
      <w:pPr>
        <w:keepNext/>
        <w:pBdr>
          <w:bottom w:val="single" w:sz="4" w:space="0" w:color="auto"/>
        </w:pBdr>
        <w:suppressAutoHyphens/>
        <w:spacing w:before="227" w:after="170"/>
        <w:outlineLvl w:val="1"/>
        <w:rPr>
          <w:rFonts w:eastAsia="Palatino Linotype"/>
          <w:b/>
        </w:rPr>
      </w:pPr>
      <w:hyperlink w:anchor="s26957rec8" w:history="1">
        <w:bookmarkStart w:id="8" w:name="_Toc43713073"/>
        <w:r w:rsidR="007B7B81" w:rsidRPr="00FE35E5">
          <w:rPr>
            <w:rFonts w:eastAsia="Palatino Linotype"/>
            <w:b/>
          </w:rPr>
          <w:t>Recommendation 8</w:t>
        </w:r>
        <w:bookmarkEnd w:id="8"/>
      </w:hyperlink>
      <w:r w:rsidR="007B7B81" w:rsidRPr="00FE35E5">
        <w:rPr>
          <w:rFonts w:eastAsia="Palatino Linotype"/>
          <w:b/>
        </w:rPr>
        <w:t xml:space="preserve">  </w:t>
      </w:r>
    </w:p>
    <w:p w14:paraId="23D001F6" w14:textId="77777777" w:rsidR="007B7B81" w:rsidRPr="00FE35E5" w:rsidRDefault="007B7B81" w:rsidP="00491B29">
      <w:pPr>
        <w:tabs>
          <w:tab w:val="left" w:pos="624"/>
        </w:tabs>
        <w:suppressAutoHyphens/>
        <w:spacing w:before="113" w:after="227"/>
        <w:rPr>
          <w:rFonts w:eastAsia="Palatino Linotype"/>
          <w:i/>
        </w:rPr>
      </w:pPr>
      <w:r w:rsidRPr="00FE35E5">
        <w:rPr>
          <w:rFonts w:eastAsia="Palatino Linotype"/>
          <w:i/>
        </w:rPr>
        <w:t xml:space="preserve">The Committee recommends that the Australian Government, in partnership with the states, territories and key stakeholder groups, work to develop and implement a national sleep health awareness campaign. The campaign should: </w:t>
      </w:r>
    </w:p>
    <w:p w14:paraId="7DE80717" w14:textId="21FCA2E1" w:rsidR="007B7B81" w:rsidRPr="00FE35E5" w:rsidRDefault="00252486" w:rsidP="00491B29">
      <w:pPr>
        <w:pStyle w:val="ListParagraph"/>
        <w:numPr>
          <w:ilvl w:val="0"/>
          <w:numId w:val="11"/>
        </w:numPr>
        <w:tabs>
          <w:tab w:val="num" w:pos="1020"/>
        </w:tabs>
        <w:spacing w:after="120"/>
        <w:ind w:left="714" w:hanging="357"/>
        <w:contextualSpacing w:val="0"/>
        <w:rPr>
          <w:rFonts w:cstheme="minorHAnsi"/>
          <w:i/>
        </w:rPr>
      </w:pPr>
      <w:r w:rsidRPr="00FE35E5">
        <w:rPr>
          <w:rFonts w:cstheme="minorHAnsi"/>
          <w:i/>
        </w:rPr>
        <w:t>p</w:t>
      </w:r>
      <w:r w:rsidR="007B7B81" w:rsidRPr="00FE35E5">
        <w:rPr>
          <w:rFonts w:cstheme="minorHAnsi"/>
          <w:i/>
        </w:rPr>
        <w:t>romote sleep as the foundation of ensuring positive health and wellbeing outcomes in combination with nutrition and exercise;</w:t>
      </w:r>
    </w:p>
    <w:p w14:paraId="4964FD8F" w14:textId="2BD7A614" w:rsidR="007B7B81" w:rsidRPr="00FE35E5" w:rsidRDefault="00252486" w:rsidP="00491B29">
      <w:pPr>
        <w:pStyle w:val="ListParagraph"/>
        <w:numPr>
          <w:ilvl w:val="0"/>
          <w:numId w:val="11"/>
        </w:numPr>
        <w:tabs>
          <w:tab w:val="num" w:pos="1020"/>
        </w:tabs>
        <w:spacing w:after="120"/>
        <w:ind w:left="714" w:hanging="357"/>
        <w:contextualSpacing w:val="0"/>
        <w:rPr>
          <w:rFonts w:cstheme="minorHAnsi"/>
          <w:i/>
        </w:rPr>
      </w:pPr>
      <w:r w:rsidRPr="00FE35E5">
        <w:rPr>
          <w:rFonts w:cstheme="minorHAnsi"/>
          <w:i/>
        </w:rPr>
        <w:t>p</w:t>
      </w:r>
      <w:r w:rsidR="007B7B81" w:rsidRPr="00FE35E5">
        <w:rPr>
          <w:rFonts w:cstheme="minorHAnsi"/>
          <w:i/>
        </w:rPr>
        <w:t>rovide practical information in relation to sleep hygiene and measures an individual can use to improve their sleep;</w:t>
      </w:r>
    </w:p>
    <w:p w14:paraId="426028B2" w14:textId="34CDA82F" w:rsidR="007B7B81" w:rsidRPr="00FE35E5" w:rsidRDefault="00252486" w:rsidP="00491B29">
      <w:pPr>
        <w:pStyle w:val="ListParagraph"/>
        <w:numPr>
          <w:ilvl w:val="0"/>
          <w:numId w:val="11"/>
        </w:numPr>
        <w:tabs>
          <w:tab w:val="num" w:pos="1020"/>
        </w:tabs>
        <w:spacing w:after="120"/>
        <w:ind w:left="714" w:hanging="357"/>
        <w:contextualSpacing w:val="0"/>
        <w:rPr>
          <w:rFonts w:cstheme="minorHAnsi"/>
          <w:i/>
        </w:rPr>
      </w:pPr>
      <w:r w:rsidRPr="00FE35E5">
        <w:rPr>
          <w:rFonts w:cstheme="minorHAnsi"/>
          <w:i/>
        </w:rPr>
        <w:t>p</w:t>
      </w:r>
      <w:r w:rsidR="007B7B81" w:rsidRPr="00FE35E5">
        <w:rPr>
          <w:rFonts w:cstheme="minorHAnsi"/>
          <w:i/>
        </w:rPr>
        <w:t xml:space="preserve">rovide information on the symptoms, causes, and health impacts of sleep disorders and available medical </w:t>
      </w:r>
      <w:r w:rsidRPr="00FE35E5">
        <w:rPr>
          <w:rFonts w:cstheme="minorHAnsi"/>
          <w:i/>
        </w:rPr>
        <w:t xml:space="preserve">support for sleep disorders; </w:t>
      </w:r>
    </w:p>
    <w:p w14:paraId="7E061505" w14:textId="74BE8056" w:rsidR="007B7B81" w:rsidRPr="00FE35E5" w:rsidRDefault="00252486" w:rsidP="00491B29">
      <w:pPr>
        <w:pStyle w:val="ListParagraph"/>
        <w:numPr>
          <w:ilvl w:val="0"/>
          <w:numId w:val="11"/>
        </w:numPr>
        <w:tabs>
          <w:tab w:val="num" w:pos="1020"/>
        </w:tabs>
        <w:spacing w:after="120"/>
        <w:ind w:left="714" w:hanging="357"/>
        <w:contextualSpacing w:val="0"/>
        <w:rPr>
          <w:rFonts w:cstheme="minorHAnsi"/>
          <w:i/>
        </w:rPr>
      </w:pPr>
      <w:r w:rsidRPr="00FE35E5">
        <w:rPr>
          <w:rFonts w:cstheme="minorHAnsi"/>
          <w:i/>
        </w:rPr>
        <w:t>c</w:t>
      </w:r>
      <w:r w:rsidR="007B7B81" w:rsidRPr="00FE35E5">
        <w:rPr>
          <w:rFonts w:cstheme="minorHAnsi"/>
          <w:i/>
        </w:rPr>
        <w:t>ommunicate that improved sleep health can reduce the risk of: developing a serious health condition, impaired judgement and mental functioning, and decreased productivity and pe</w:t>
      </w:r>
      <w:r w:rsidRPr="00FE35E5">
        <w:rPr>
          <w:rFonts w:cstheme="minorHAnsi"/>
          <w:i/>
        </w:rPr>
        <w:t>rformance; and</w:t>
      </w:r>
    </w:p>
    <w:p w14:paraId="6815680B" w14:textId="28F9167B" w:rsidR="007B7B81" w:rsidRPr="00FE35E5" w:rsidRDefault="00252486" w:rsidP="00491B29">
      <w:pPr>
        <w:pStyle w:val="ListParagraph"/>
        <w:numPr>
          <w:ilvl w:val="0"/>
          <w:numId w:val="11"/>
        </w:numPr>
        <w:tabs>
          <w:tab w:val="num" w:pos="1020"/>
        </w:tabs>
        <w:spacing w:after="240"/>
        <w:ind w:left="714" w:hanging="357"/>
        <w:contextualSpacing w:val="0"/>
        <w:rPr>
          <w:rFonts w:cstheme="minorHAnsi"/>
          <w:i/>
        </w:rPr>
      </w:pPr>
      <w:r w:rsidRPr="00FE35E5">
        <w:rPr>
          <w:rFonts w:cstheme="minorHAnsi"/>
          <w:i/>
        </w:rPr>
        <w:t>c</w:t>
      </w:r>
      <w:r w:rsidR="007B7B81" w:rsidRPr="00FE35E5">
        <w:rPr>
          <w:rFonts w:cstheme="minorHAnsi"/>
          <w:i/>
        </w:rPr>
        <w:t>onsider the proposed education campaign developed by the Australasian Sleep Association and the Sleep Health Foundation as part of their 2019 budget submission as a solid basis and estimate of costs for such a campaign.</w:t>
      </w:r>
    </w:p>
    <w:p w14:paraId="127829BA" w14:textId="77777777" w:rsidR="007B7B81" w:rsidRPr="00FE35E5" w:rsidRDefault="007B7B81" w:rsidP="00491B29">
      <w:pPr>
        <w:suppressAutoHyphens/>
        <w:spacing w:after="120"/>
        <w:rPr>
          <w:rFonts w:eastAsia="Palatino Linotype"/>
          <w:b/>
        </w:rPr>
      </w:pPr>
      <w:r w:rsidRPr="00FE35E5">
        <w:rPr>
          <w:rFonts w:eastAsia="Palatino Linotype"/>
          <w:b/>
        </w:rPr>
        <w:t>Response:</w:t>
      </w:r>
    </w:p>
    <w:p w14:paraId="7E9B3874" w14:textId="34773DF9" w:rsidR="0085525D" w:rsidRPr="00FE35E5" w:rsidRDefault="007B7B81" w:rsidP="00491B29">
      <w:pPr>
        <w:suppressAutoHyphens/>
        <w:rPr>
          <w:rFonts w:eastAsia="Palatino Linotype"/>
        </w:rPr>
      </w:pPr>
      <w:r w:rsidRPr="00FE35E5">
        <w:rPr>
          <w:rFonts w:eastAsia="Palatino Linotype"/>
        </w:rPr>
        <w:t xml:space="preserve">The </w:t>
      </w:r>
      <w:r w:rsidR="004557AF" w:rsidRPr="00FE35E5">
        <w:rPr>
          <w:rFonts w:eastAsia="Palatino Linotype"/>
        </w:rPr>
        <w:t xml:space="preserve">Australian </w:t>
      </w:r>
      <w:r w:rsidRPr="00FE35E5">
        <w:rPr>
          <w:rFonts w:eastAsia="Palatino Linotype"/>
        </w:rPr>
        <w:t xml:space="preserve">Government </w:t>
      </w:r>
      <w:r w:rsidRPr="00FE35E5">
        <w:rPr>
          <w:rFonts w:eastAsia="Palatino Linotype"/>
          <w:b/>
        </w:rPr>
        <w:t>supports</w:t>
      </w:r>
      <w:r w:rsidRPr="00FE35E5">
        <w:rPr>
          <w:rFonts w:eastAsia="Palatino Linotype"/>
        </w:rPr>
        <w:t xml:space="preserve"> </w:t>
      </w:r>
      <w:r w:rsidR="00C31B75" w:rsidRPr="00FE35E5">
        <w:rPr>
          <w:rFonts w:eastAsia="Palatino Linotype"/>
          <w:b/>
        </w:rPr>
        <w:t>in-principle</w:t>
      </w:r>
      <w:r w:rsidR="00C31B75" w:rsidRPr="00FE35E5">
        <w:rPr>
          <w:rFonts w:eastAsia="Palatino Linotype"/>
        </w:rPr>
        <w:t xml:space="preserve"> </w:t>
      </w:r>
      <w:r w:rsidRPr="00FE35E5">
        <w:rPr>
          <w:rFonts w:eastAsia="Palatino Linotype"/>
        </w:rPr>
        <w:t xml:space="preserve">the recommendation. </w:t>
      </w:r>
    </w:p>
    <w:p w14:paraId="37D583B5" w14:textId="14C65A66" w:rsidR="00C31B75" w:rsidRPr="00FE35E5" w:rsidRDefault="00C31B75" w:rsidP="00491B29"/>
    <w:p w14:paraId="41400E86" w14:textId="277BCF12" w:rsidR="00C31B75" w:rsidRPr="00FE35E5" w:rsidRDefault="00C31B75" w:rsidP="00491B29">
      <w:r w:rsidRPr="00FE35E5">
        <w:t>The Government recognises the value of increasing community awareness of the importance of sleep health in reducing the risk of chronic disease and supporting health and wellbeing. Promoting the importance of sleep health to the general community may be of more benefit if combined with consistent messaging about the importance of a healthy diet and physical activity. The Government will work to identify opportunities to include messaging on the importance of sleep in any future campaigns related to preventive health, potentially in conjunction with states and territories</w:t>
      </w:r>
      <w:r w:rsidR="002E0F79" w:rsidRPr="00FE35E5">
        <w:t>, as well as relevant</w:t>
      </w:r>
      <w:r w:rsidRPr="00FE35E5">
        <w:t xml:space="preserve"> stakeholders.</w:t>
      </w:r>
    </w:p>
    <w:p w14:paraId="4BFD3D4B" w14:textId="77777777" w:rsidR="00F21DCA" w:rsidRPr="00FE35E5" w:rsidRDefault="00F21DCA" w:rsidP="00491B29"/>
    <w:p w14:paraId="1886BF78" w14:textId="5A76F961" w:rsidR="00F21DCA" w:rsidRPr="00FE35E5" w:rsidRDefault="00F21DCA" w:rsidP="00EA4BBD">
      <w:pPr>
        <w:sectPr w:rsidR="00F21DCA" w:rsidRPr="00FE35E5">
          <w:pgSz w:w="11906" w:h="16838"/>
          <w:pgMar w:top="1440" w:right="1440" w:bottom="1440" w:left="1440" w:header="708" w:footer="708" w:gutter="0"/>
          <w:cols w:space="708"/>
          <w:docGrid w:linePitch="360"/>
        </w:sectPr>
      </w:pPr>
      <w:r w:rsidRPr="00FE35E5">
        <w:t xml:space="preserve">The </w:t>
      </w:r>
      <w:r w:rsidR="00DE148F" w:rsidRPr="00FE35E5">
        <w:t>NPHS</w:t>
      </w:r>
      <w:r w:rsidR="00EA4BBD" w:rsidRPr="00FE35E5">
        <w:t>,</w:t>
      </w:r>
      <w:r w:rsidRPr="00FE35E5">
        <w:t xml:space="preserve"> </w:t>
      </w:r>
      <w:r w:rsidR="00EA4BBD" w:rsidRPr="00FE35E5">
        <w:t>which</w:t>
      </w:r>
      <w:r w:rsidR="00DE148F" w:rsidRPr="00FE35E5">
        <w:t xml:space="preserve"> provides the platform for preventive health reform in Australia </w:t>
      </w:r>
      <w:r w:rsidR="00EA4BBD" w:rsidRPr="00FE35E5">
        <w:t xml:space="preserve">over the next 10 years, </w:t>
      </w:r>
      <w:r w:rsidRPr="00FE35E5">
        <w:t xml:space="preserve">recognises the importance of </w:t>
      </w:r>
      <w:r w:rsidR="00EA4BBD" w:rsidRPr="00FE35E5">
        <w:t>sleep for promoting health</w:t>
      </w:r>
      <w:r w:rsidR="00312535" w:rsidRPr="00FE35E5">
        <w:t xml:space="preserve"> and wellbeing</w:t>
      </w:r>
      <w:r w:rsidR="00EA4BBD" w:rsidRPr="00FE35E5">
        <w:t xml:space="preserve">. The </w:t>
      </w:r>
      <w:r w:rsidR="00574E7E" w:rsidRPr="00FE35E5">
        <w:t xml:space="preserve">NPHS </w:t>
      </w:r>
      <w:r w:rsidRPr="00FE35E5">
        <w:t xml:space="preserve">outlines a policy achievement </w:t>
      </w:r>
      <w:r w:rsidR="00EA4BBD" w:rsidRPr="00FE35E5">
        <w:t>by 2030 to have sleep and screen time recommendations for all age groups incorporated into national guidelines and policies</w:t>
      </w:r>
      <w:r w:rsidR="006F5402" w:rsidRPr="00FE35E5">
        <w:t xml:space="preserve">, such as the </w:t>
      </w:r>
      <w:r w:rsidR="00574E7E" w:rsidRPr="00FE35E5">
        <w:t>national 24-hour movement guidelines</w:t>
      </w:r>
      <w:r w:rsidR="006F5402" w:rsidRPr="00FE35E5">
        <w:t>,</w:t>
      </w:r>
      <w:r w:rsidR="00574E7E" w:rsidRPr="00FE35E5">
        <w:t xml:space="preserve"> </w:t>
      </w:r>
      <w:r w:rsidR="00EA4BBD" w:rsidRPr="00FE35E5">
        <w:t>where appropriate.</w:t>
      </w:r>
      <w:r w:rsidR="00130778" w:rsidRPr="00FE35E5">
        <w:t xml:space="preserve"> The </w:t>
      </w:r>
      <w:r w:rsidR="00F31EAB" w:rsidRPr="00FE35E5">
        <w:t xml:space="preserve">NPHS </w:t>
      </w:r>
      <w:r w:rsidR="00130778" w:rsidRPr="00FE35E5">
        <w:t>also recognises the importance of using evidence-based dissemination strategies to promote health information.</w:t>
      </w:r>
    </w:p>
    <w:p w14:paraId="57F0B95D" w14:textId="2E930019" w:rsidR="007B7B81" w:rsidRPr="00FE35E5" w:rsidRDefault="00000000" w:rsidP="00491B29">
      <w:pPr>
        <w:keepNext/>
        <w:pBdr>
          <w:bottom w:val="single" w:sz="4" w:space="0" w:color="auto"/>
        </w:pBdr>
        <w:suppressAutoHyphens/>
        <w:spacing w:before="227" w:after="170"/>
        <w:outlineLvl w:val="1"/>
        <w:rPr>
          <w:rFonts w:eastAsia="Palatino Linotype"/>
          <w:b/>
        </w:rPr>
      </w:pPr>
      <w:hyperlink w:anchor="s26957rec9" w:history="1">
        <w:bookmarkStart w:id="9" w:name="_Toc43713074"/>
        <w:r w:rsidR="007B7B81" w:rsidRPr="00FE35E5">
          <w:rPr>
            <w:rFonts w:eastAsia="Palatino Linotype"/>
            <w:b/>
          </w:rPr>
          <w:t>Recommendation 9</w:t>
        </w:r>
        <w:bookmarkEnd w:id="9"/>
      </w:hyperlink>
      <w:r w:rsidR="007B7B81" w:rsidRPr="00FE35E5">
        <w:rPr>
          <w:rFonts w:eastAsia="Palatino Linotype"/>
          <w:b/>
        </w:rPr>
        <w:t xml:space="preserve"> </w:t>
      </w:r>
    </w:p>
    <w:p w14:paraId="49041A0C" w14:textId="77777777" w:rsidR="007B7B81" w:rsidRPr="00FE35E5" w:rsidRDefault="007B7B81" w:rsidP="00491B29">
      <w:pPr>
        <w:tabs>
          <w:tab w:val="left" w:pos="624"/>
        </w:tabs>
        <w:suppressAutoHyphens/>
        <w:spacing w:after="120"/>
        <w:rPr>
          <w:rFonts w:eastAsia="Palatino Linotype"/>
          <w:i/>
        </w:rPr>
      </w:pPr>
      <w:r w:rsidRPr="00FE35E5">
        <w:rPr>
          <w:rFonts w:eastAsia="Palatino Linotype"/>
          <w:i/>
        </w:rPr>
        <w:t>The Committee recommends that the Australian Government in consultation with the Royal Australian College of General Practitioners and other key stakeholders:</w:t>
      </w:r>
    </w:p>
    <w:p w14:paraId="3D682277" w14:textId="77777777" w:rsidR="007B7B81" w:rsidRPr="00FE35E5" w:rsidRDefault="007B7B81" w:rsidP="00491B29">
      <w:pPr>
        <w:pStyle w:val="ListParagraph"/>
        <w:numPr>
          <w:ilvl w:val="0"/>
          <w:numId w:val="10"/>
        </w:numPr>
        <w:tabs>
          <w:tab w:val="num" w:pos="1020"/>
        </w:tabs>
        <w:spacing w:after="120"/>
        <w:ind w:left="714" w:hanging="357"/>
        <w:contextualSpacing w:val="0"/>
        <w:rPr>
          <w:i/>
        </w:rPr>
      </w:pPr>
      <w:r w:rsidRPr="00FE35E5">
        <w:rPr>
          <w:i/>
        </w:rPr>
        <w:t>Assess the current knowledge levels of general practitioners, nurses and psychologists in relation to sleep health, and</w:t>
      </w:r>
    </w:p>
    <w:p w14:paraId="5EFEFC7B" w14:textId="352B1BB1" w:rsidR="007B7B81" w:rsidRPr="00FE35E5" w:rsidRDefault="007B7B81" w:rsidP="00491B29">
      <w:pPr>
        <w:pStyle w:val="ListParagraph"/>
        <w:numPr>
          <w:ilvl w:val="0"/>
          <w:numId w:val="10"/>
        </w:numPr>
        <w:tabs>
          <w:tab w:val="num" w:pos="1020"/>
        </w:tabs>
        <w:rPr>
          <w:i/>
        </w:rPr>
      </w:pPr>
      <w:r w:rsidRPr="00FE35E5">
        <w:rPr>
          <w:i/>
        </w:rPr>
        <w:t xml:space="preserve">Develop effective training mechanisms to improve the knowledge of primary healthcare practitioners in diagnosing and managing sleep health problems. </w:t>
      </w:r>
    </w:p>
    <w:p w14:paraId="51D227DF" w14:textId="77777777" w:rsidR="007B7B81" w:rsidRPr="00FE35E5" w:rsidRDefault="007B7B81" w:rsidP="00491B29">
      <w:pPr>
        <w:tabs>
          <w:tab w:val="num" w:pos="1020"/>
        </w:tabs>
        <w:ind w:left="360"/>
      </w:pPr>
    </w:p>
    <w:p w14:paraId="7728DEEF" w14:textId="77777777" w:rsidR="007B7B81" w:rsidRPr="00FE35E5" w:rsidRDefault="007B7B81" w:rsidP="00491B29">
      <w:pPr>
        <w:suppressAutoHyphens/>
        <w:spacing w:after="120"/>
        <w:rPr>
          <w:rFonts w:eastAsia="Palatino Linotype"/>
          <w:b/>
        </w:rPr>
      </w:pPr>
      <w:r w:rsidRPr="00FE35E5">
        <w:rPr>
          <w:rFonts w:eastAsia="Palatino Linotype"/>
          <w:b/>
        </w:rPr>
        <w:t>Response:</w:t>
      </w:r>
    </w:p>
    <w:p w14:paraId="452A15CB" w14:textId="763059C3" w:rsidR="00127F43" w:rsidRPr="00FE35E5" w:rsidRDefault="007B7B81" w:rsidP="00E0159B">
      <w:pPr>
        <w:suppressAutoHyphens/>
        <w:ind w:left="340" w:hanging="340"/>
        <w:rPr>
          <w:rFonts w:eastAsia="Palatino Linotype"/>
        </w:rPr>
      </w:pPr>
      <w:r w:rsidRPr="00FE35E5">
        <w:rPr>
          <w:rFonts w:eastAsia="Palatino Linotype"/>
        </w:rPr>
        <w:t xml:space="preserve">The </w:t>
      </w:r>
      <w:r w:rsidR="004557AF" w:rsidRPr="00FE35E5">
        <w:rPr>
          <w:rFonts w:eastAsia="Palatino Linotype"/>
        </w:rPr>
        <w:t xml:space="preserve">Australian </w:t>
      </w:r>
      <w:r w:rsidRPr="00FE35E5">
        <w:rPr>
          <w:rFonts w:eastAsia="Palatino Linotype"/>
        </w:rPr>
        <w:t>Government</w:t>
      </w:r>
      <w:r w:rsidR="007868EF" w:rsidRPr="00FE35E5">
        <w:rPr>
          <w:b/>
          <w:bCs/>
        </w:rPr>
        <w:t xml:space="preserve"> supports in</w:t>
      </w:r>
      <w:r w:rsidR="0065195D" w:rsidRPr="00FE35E5">
        <w:rPr>
          <w:b/>
          <w:bCs/>
        </w:rPr>
        <w:t>-</w:t>
      </w:r>
      <w:r w:rsidR="007868EF" w:rsidRPr="00FE35E5">
        <w:rPr>
          <w:b/>
          <w:bCs/>
        </w:rPr>
        <w:t>principle</w:t>
      </w:r>
      <w:r w:rsidR="007868EF" w:rsidRPr="00FE35E5">
        <w:t xml:space="preserve"> </w:t>
      </w:r>
      <w:r w:rsidRPr="00FE35E5">
        <w:rPr>
          <w:rFonts w:eastAsia="Palatino Linotype"/>
        </w:rPr>
        <w:t>the recommendation.</w:t>
      </w:r>
    </w:p>
    <w:p w14:paraId="3D479F32" w14:textId="77777777" w:rsidR="00E0159B" w:rsidRPr="00FE35E5" w:rsidRDefault="00E0159B" w:rsidP="00E0159B">
      <w:pPr>
        <w:suppressAutoHyphens/>
        <w:ind w:left="340" w:hanging="340"/>
        <w:rPr>
          <w:rFonts w:eastAsia="Palatino Linotype"/>
        </w:rPr>
      </w:pPr>
    </w:p>
    <w:p w14:paraId="547FB0BD" w14:textId="3AE76D63" w:rsidR="00E0159B" w:rsidRPr="00FE35E5" w:rsidRDefault="00E0159B" w:rsidP="00E0159B">
      <w:pPr>
        <w:suppressAutoHyphens/>
        <w:rPr>
          <w:rFonts w:eastAsia="Palatino Linotype"/>
        </w:rPr>
      </w:pPr>
      <w:r w:rsidRPr="00FE35E5">
        <w:rPr>
          <w:rFonts w:eastAsia="Palatino Linotype"/>
        </w:rPr>
        <w:t>The curriculum and continuing professional development requirements that apply to primary health practitioners are matters for the accrediting bodies of each of the relevant professions. In relation to general practice, the Royal Australian College of General Practitioners (RACGP) and the Australian College of Rural and Remote Medicine (ACRRM) set their own curricula for vocational general practice training in Australia.</w:t>
      </w:r>
    </w:p>
    <w:p w14:paraId="5B5C3014" w14:textId="77777777" w:rsidR="00E0159B" w:rsidRPr="00FE35E5" w:rsidRDefault="00E0159B" w:rsidP="00E0159B">
      <w:pPr>
        <w:suppressAutoHyphens/>
        <w:rPr>
          <w:rFonts w:eastAsia="Palatino Linotype"/>
        </w:rPr>
      </w:pPr>
    </w:p>
    <w:p w14:paraId="0629A582" w14:textId="67F8654E" w:rsidR="00E0159B" w:rsidRPr="00FE35E5" w:rsidRDefault="00E0159B" w:rsidP="00E0159B">
      <w:pPr>
        <w:suppressAutoHyphens/>
        <w:spacing w:after="283"/>
        <w:rPr>
          <w:rFonts w:eastAsia="Palatino Linotype"/>
        </w:rPr>
      </w:pPr>
      <w:r w:rsidRPr="00FE35E5">
        <w:rPr>
          <w:rFonts w:eastAsia="Palatino Linotype"/>
        </w:rPr>
        <w:t>The professional bodies representing primary health practitioners may be better placed to consider this recommendation. These include the two general practice colleges along with various nursing bodies including the Australian Primary Health Care Nurses Association, Australian College of Nursing, Nursing and Midwifery Board of Australia, Australian College of Nurse Practitioners;</w:t>
      </w:r>
      <w:r w:rsidR="00E91674" w:rsidRPr="00FE35E5">
        <w:rPr>
          <w:rFonts w:eastAsia="Palatino Linotype"/>
        </w:rPr>
        <w:t xml:space="preserve"> </w:t>
      </w:r>
      <w:r w:rsidRPr="00FE35E5">
        <w:rPr>
          <w:rFonts w:eastAsia="Palatino Linotype"/>
        </w:rPr>
        <w:t>and the Australian Psychological Society.</w:t>
      </w:r>
    </w:p>
    <w:p w14:paraId="212D9479" w14:textId="3B200A0E" w:rsidR="00127F43" w:rsidRPr="00FE35E5" w:rsidRDefault="00127F43" w:rsidP="00491B29">
      <w:pPr>
        <w:sectPr w:rsidR="00127F43" w:rsidRPr="00FE35E5">
          <w:pgSz w:w="11906" w:h="16838"/>
          <w:pgMar w:top="1440" w:right="1440" w:bottom="1440" w:left="1440" w:header="708" w:footer="708" w:gutter="0"/>
          <w:cols w:space="708"/>
          <w:docGrid w:linePitch="360"/>
        </w:sectPr>
      </w:pPr>
    </w:p>
    <w:bookmarkStart w:id="10" w:name="_Hlk110860379"/>
    <w:p w14:paraId="3ADC149B" w14:textId="77777777" w:rsidR="00724AAC" w:rsidRPr="00FE35E5" w:rsidRDefault="00783E2D" w:rsidP="00724AAC">
      <w:pPr>
        <w:keepNext/>
        <w:pBdr>
          <w:bottom w:val="single" w:sz="4" w:space="0" w:color="auto"/>
        </w:pBdr>
        <w:suppressAutoHyphens/>
        <w:spacing w:before="227" w:after="170"/>
        <w:outlineLvl w:val="1"/>
        <w:rPr>
          <w:rFonts w:eastAsia="Palatino Linotype"/>
          <w:b/>
        </w:rPr>
      </w:pPr>
      <w:r w:rsidRPr="00FE35E5">
        <w:lastRenderedPageBreak/>
        <w:fldChar w:fldCharType="begin"/>
      </w:r>
      <w:r w:rsidRPr="00FE35E5">
        <w:instrText xml:space="preserve"> HYPERLINK "https://doha.pws.gov.au/workspaces/04/07/SupportingDocuments/MS/2020/002/MS20-000002/Attachment%20B%20-%20Australian%20Government%20Response%20to%20Bedtime%20Reading%20Report.docx" \l "s26957rec10" </w:instrText>
      </w:r>
      <w:r w:rsidRPr="00FE35E5">
        <w:fldChar w:fldCharType="separate"/>
      </w:r>
      <w:bookmarkStart w:id="11" w:name="_Toc43713075"/>
      <w:r w:rsidR="00724AAC" w:rsidRPr="00FE35E5">
        <w:rPr>
          <w:rFonts w:eastAsia="Palatino Linotype"/>
          <w:b/>
        </w:rPr>
        <w:t>Recommendation 10</w:t>
      </w:r>
      <w:bookmarkEnd w:id="11"/>
      <w:r w:rsidRPr="00FE35E5">
        <w:rPr>
          <w:rFonts w:eastAsia="Palatino Linotype"/>
          <w:b/>
        </w:rPr>
        <w:fldChar w:fldCharType="end"/>
      </w:r>
      <w:r w:rsidR="00724AAC" w:rsidRPr="00FE35E5">
        <w:rPr>
          <w:rFonts w:eastAsia="Palatino Linotype"/>
          <w:b/>
        </w:rPr>
        <w:t xml:space="preserve"> </w:t>
      </w:r>
    </w:p>
    <w:p w14:paraId="280F5E5E" w14:textId="77777777" w:rsidR="00724AAC" w:rsidRPr="00FE35E5" w:rsidRDefault="00724AAC" w:rsidP="00491B29">
      <w:pPr>
        <w:spacing w:before="113" w:after="227"/>
        <w:rPr>
          <w:i/>
          <w:iCs/>
        </w:rPr>
      </w:pPr>
      <w:r w:rsidRPr="00FE35E5">
        <w:rPr>
          <w:i/>
          <w:iCs/>
        </w:rPr>
        <w:t xml:space="preserve">The Committee recommends that the Australian Government investigate options to separate the existing ‘Respiratory and Sleep Medicine’ speciality into independent ‘Respiratory’ and ‘Sleep Medicine’ specialities under the Australian Health Practitioners Regulation Agency framework. </w:t>
      </w:r>
    </w:p>
    <w:p w14:paraId="70A410BD" w14:textId="77777777" w:rsidR="00724AAC" w:rsidRPr="00FE35E5" w:rsidRDefault="00724AAC" w:rsidP="00491B29">
      <w:pPr>
        <w:spacing w:after="283"/>
        <w:rPr>
          <w:b/>
          <w:bCs/>
        </w:rPr>
      </w:pPr>
      <w:bookmarkStart w:id="12" w:name="_Hlk110860482"/>
      <w:r w:rsidRPr="00FE35E5">
        <w:rPr>
          <w:b/>
          <w:bCs/>
        </w:rPr>
        <w:t>Response:</w:t>
      </w:r>
    </w:p>
    <w:p w14:paraId="612325A2" w14:textId="37F076BE" w:rsidR="00724AAC" w:rsidRPr="00FE35E5" w:rsidRDefault="00724AAC" w:rsidP="00491B29">
      <w:pPr>
        <w:spacing w:after="283"/>
      </w:pPr>
      <w:bookmarkStart w:id="13" w:name="_Hlk110860444"/>
      <w:r w:rsidRPr="00FE35E5">
        <w:t xml:space="preserve">The Australian Government </w:t>
      </w:r>
      <w:r w:rsidR="005B3BF7" w:rsidRPr="00FE35E5">
        <w:rPr>
          <w:b/>
          <w:bCs/>
        </w:rPr>
        <w:t>supports in</w:t>
      </w:r>
      <w:r w:rsidR="0065195D" w:rsidRPr="00FE35E5">
        <w:rPr>
          <w:b/>
          <w:bCs/>
        </w:rPr>
        <w:t>-</w:t>
      </w:r>
      <w:r w:rsidR="005B3BF7" w:rsidRPr="00FE35E5">
        <w:rPr>
          <w:b/>
          <w:bCs/>
        </w:rPr>
        <w:t>principle</w:t>
      </w:r>
      <w:r w:rsidR="005B3BF7" w:rsidRPr="00FE35E5">
        <w:t xml:space="preserve"> </w:t>
      </w:r>
      <w:r w:rsidRPr="00FE35E5">
        <w:t>the recommendation.</w:t>
      </w:r>
    </w:p>
    <w:p w14:paraId="032F2125" w14:textId="77777777" w:rsidR="00E91674" w:rsidRPr="00FE35E5" w:rsidRDefault="00724AAC" w:rsidP="00E91674">
      <w:pPr>
        <w:suppressAutoHyphens/>
        <w:rPr>
          <w:rFonts w:eastAsia="Palatino Linotype"/>
        </w:rPr>
      </w:pPr>
      <w:r w:rsidRPr="00FE35E5">
        <w:t xml:space="preserve">The </w:t>
      </w:r>
      <w:r w:rsidRPr="00FE35E5">
        <w:rPr>
          <w:i/>
          <w:iCs/>
        </w:rPr>
        <w:t>Health Practitioner Regulation National Law</w:t>
      </w:r>
      <w:r w:rsidRPr="00FE35E5">
        <w:t xml:space="preserve"> outlines the legislative process to approve specialties and specialist titles to be used by medical practitioners. </w:t>
      </w:r>
      <w:r w:rsidR="005B3BF7" w:rsidRPr="00FE35E5">
        <w:t xml:space="preserve">The National Law is enacted in each state and territory and there is no corresponding Commonwealth legislation. </w:t>
      </w:r>
      <w:r w:rsidRPr="00FE35E5">
        <w:t xml:space="preserve">The Medical Board of Australia’s (MBA) </w:t>
      </w:r>
      <w:r w:rsidRPr="00FE35E5">
        <w:rPr>
          <w:i/>
          <w:iCs/>
        </w:rPr>
        <w:t>Guidelines for the Recognition of Medical Specialties and Fields of Specialty Practice under the Health Practitioner Regulation National Law</w:t>
      </w:r>
      <w:r w:rsidRPr="00FE35E5">
        <w:t xml:space="preserve"> states that the assessment of applications for recognition of new medical specialties is conducted by the MBA and the Australian Medical Council, as the body responsible for accrediting programs of study that lead to specialist registration in Australia. If recommended by the MBA, endorsement is sought from Health Ministers.</w:t>
      </w:r>
    </w:p>
    <w:p w14:paraId="28C7008E" w14:textId="77777777" w:rsidR="00C063E7" w:rsidRPr="00FE35E5" w:rsidRDefault="00C063E7" w:rsidP="00C063E7"/>
    <w:p w14:paraId="4A5762F3" w14:textId="477A671C" w:rsidR="00C063E7" w:rsidRPr="00FE35E5" w:rsidRDefault="00A07D3A" w:rsidP="00C063E7">
      <w:r w:rsidRPr="00FE35E5">
        <w:t>Additionally, a</w:t>
      </w:r>
      <w:r w:rsidR="00C063E7" w:rsidRPr="00FE35E5">
        <w:t>n effective and efficient medical workforce requires a balance of doctors with broad and narrow scopes of practice across primary, secondary and tertiary care. The Australian Government, in collaboration with state and territory governments and medical workforce stakeholders, is progressing work to implement the National Medical Workforce Strategy (the Strategy). The Strategy includes a range of actions that address imbalances in the scope of practice of some medical practitioners that currently favours subspecialisation.</w:t>
      </w:r>
    </w:p>
    <w:p w14:paraId="157BD92D" w14:textId="77777777" w:rsidR="00C063E7" w:rsidRPr="00FE35E5" w:rsidRDefault="00C063E7" w:rsidP="00C063E7"/>
    <w:p w14:paraId="4B473F1B" w14:textId="3B2BB6F7" w:rsidR="00C063E7" w:rsidRPr="00FE35E5" w:rsidRDefault="00C063E7" w:rsidP="00C063E7">
      <w:r w:rsidRPr="00FE35E5">
        <w:t xml:space="preserve">General practitioners (GP) and generalist non-GP specialists who operate across the full scope of practice within their specialty are vital to the delivery of high-quality care, especially in rural and remote areas. As the workforce becomes more subspecialised, it also becomes less flexible. This may lead to fragmented patient care between multiple subspecialists, and an increase in the risk of adverse events. The Strategy seeks to shift the balance between generalists and subspecialists back towards generalists. This includes growing the number of GPs and rural </w:t>
      </w:r>
      <w:r w:rsidR="00AD5F5D" w:rsidRPr="00FE35E5">
        <w:t>generalists and</w:t>
      </w:r>
      <w:r w:rsidRPr="00FE35E5">
        <w:t xml:space="preserve"> increasing opportunities and recognition for doctors to supplement their skills and broaden their scope of practice. This may better enable doctors to adjust their scope of practice to meet changing service needs, and to work more effectively in regional and rural areas. </w:t>
      </w:r>
    </w:p>
    <w:p w14:paraId="074CCBA6" w14:textId="77777777" w:rsidR="00C063E7" w:rsidRPr="00FE35E5" w:rsidRDefault="00C063E7" w:rsidP="00C063E7"/>
    <w:p w14:paraId="282D54CE" w14:textId="77777777" w:rsidR="00C063E7" w:rsidRPr="00FE35E5" w:rsidRDefault="00C063E7" w:rsidP="00C063E7">
      <w:r w:rsidRPr="00FE35E5">
        <w:t xml:space="preserve">This focus is consistent with feedback from the sector in national consultations that have been conducted to inform the development of the Strategy. </w:t>
      </w:r>
      <w:bookmarkEnd w:id="10"/>
    </w:p>
    <w:p w14:paraId="22E3E564" w14:textId="77777777" w:rsidR="00C063E7" w:rsidRPr="00FE35E5" w:rsidRDefault="00C063E7" w:rsidP="00491B29"/>
    <w:bookmarkEnd w:id="12"/>
    <w:bookmarkEnd w:id="13"/>
    <w:p w14:paraId="79F4F306" w14:textId="3503968A" w:rsidR="007B7B81" w:rsidRDefault="007B7B81" w:rsidP="007B7B81">
      <w:pPr>
        <w:jc w:val="both"/>
        <w:sectPr w:rsidR="007B7B81">
          <w:pgSz w:w="11906" w:h="16838"/>
          <w:pgMar w:top="1440" w:right="1440" w:bottom="1440" w:left="1440" w:header="708" w:footer="708" w:gutter="0"/>
          <w:cols w:space="708"/>
          <w:docGrid w:linePitch="360"/>
        </w:sectPr>
      </w:pPr>
    </w:p>
    <w:p w14:paraId="10B09B71" w14:textId="4EFDC2D9" w:rsidR="007B7B81" w:rsidRPr="008D7AB8" w:rsidRDefault="00000000" w:rsidP="007B7B81">
      <w:pPr>
        <w:keepNext/>
        <w:pBdr>
          <w:bottom w:val="single" w:sz="4" w:space="0" w:color="auto"/>
        </w:pBdr>
        <w:suppressAutoHyphens/>
        <w:spacing w:before="227" w:after="170"/>
        <w:outlineLvl w:val="1"/>
        <w:rPr>
          <w:rFonts w:eastAsia="Palatino Linotype"/>
          <w:b/>
        </w:rPr>
      </w:pPr>
      <w:hyperlink w:anchor="s26957rec11" w:history="1">
        <w:bookmarkStart w:id="14" w:name="_Toc43713076"/>
        <w:r w:rsidR="007B7B81" w:rsidRPr="008D7AB8">
          <w:rPr>
            <w:rFonts w:eastAsia="Palatino Linotype"/>
            <w:b/>
          </w:rPr>
          <w:t>Recommendation 11</w:t>
        </w:r>
        <w:bookmarkEnd w:id="14"/>
      </w:hyperlink>
      <w:r w:rsidR="007B7B81" w:rsidRPr="008D7AB8">
        <w:rPr>
          <w:rFonts w:eastAsia="Palatino Linotype"/>
          <w:b/>
        </w:rPr>
        <w:t xml:space="preserve"> </w:t>
      </w:r>
    </w:p>
    <w:p w14:paraId="6247F678" w14:textId="77777777" w:rsidR="007B7B81" w:rsidRPr="00144CE2" w:rsidRDefault="007B7B81" w:rsidP="00491B29">
      <w:pPr>
        <w:tabs>
          <w:tab w:val="left" w:pos="624"/>
        </w:tabs>
        <w:suppressAutoHyphens/>
        <w:spacing w:after="120"/>
        <w:ind w:left="624" w:hanging="624"/>
        <w:rPr>
          <w:rFonts w:eastAsia="Palatino Linotype"/>
          <w:i/>
        </w:rPr>
      </w:pPr>
      <w:r w:rsidRPr="00144CE2">
        <w:rPr>
          <w:rFonts w:eastAsia="Palatino Linotype"/>
          <w:i/>
        </w:rPr>
        <w:t xml:space="preserve">The Committee recommends that the Australian Government fund research focussed on: </w:t>
      </w:r>
    </w:p>
    <w:p w14:paraId="7DC7512D" w14:textId="13701C57" w:rsidR="007B7B81" w:rsidRPr="00144CE2" w:rsidRDefault="007D1458" w:rsidP="00491B29">
      <w:pPr>
        <w:pStyle w:val="ListParagraph"/>
        <w:numPr>
          <w:ilvl w:val="0"/>
          <w:numId w:val="10"/>
        </w:numPr>
        <w:tabs>
          <w:tab w:val="num" w:pos="1020"/>
        </w:tabs>
        <w:spacing w:after="120"/>
        <w:ind w:left="714" w:hanging="357"/>
        <w:contextualSpacing w:val="0"/>
        <w:rPr>
          <w:i/>
        </w:rPr>
      </w:pPr>
      <w:r w:rsidRPr="00144CE2">
        <w:rPr>
          <w:i/>
        </w:rPr>
        <w:t>t</w:t>
      </w:r>
      <w:r w:rsidR="007B7B81" w:rsidRPr="00144CE2">
        <w:rPr>
          <w:i/>
        </w:rPr>
        <w:t>he prevalence of sleep disorders with a particular focus on under</w:t>
      </w:r>
      <w:r w:rsidR="007B7B81" w:rsidRPr="00144CE2">
        <w:rPr>
          <w:i/>
        </w:rPr>
        <w:noBreakHyphen/>
        <w:t>researched population groups such as women and Aboriginal and Torres Strait Islander peoples;</w:t>
      </w:r>
    </w:p>
    <w:p w14:paraId="628227A7" w14:textId="1FC81AA3" w:rsidR="007B7B81" w:rsidRPr="00144CE2" w:rsidRDefault="007D1458" w:rsidP="00491B29">
      <w:pPr>
        <w:pStyle w:val="ListParagraph"/>
        <w:numPr>
          <w:ilvl w:val="0"/>
          <w:numId w:val="10"/>
        </w:numPr>
        <w:tabs>
          <w:tab w:val="num" w:pos="1020"/>
        </w:tabs>
        <w:spacing w:after="120"/>
        <w:ind w:left="714" w:hanging="357"/>
        <w:contextualSpacing w:val="0"/>
        <w:rPr>
          <w:i/>
        </w:rPr>
      </w:pPr>
      <w:r w:rsidRPr="00144CE2">
        <w:rPr>
          <w:i/>
        </w:rPr>
        <w:t>t</w:t>
      </w:r>
      <w:r w:rsidR="007B7B81" w:rsidRPr="00144CE2">
        <w:rPr>
          <w:i/>
        </w:rPr>
        <w:t>he prevalence, causes, and mechanisms of rare or not well understood sleep disorders, including narcolepsy and idiopathic hypersomnia;</w:t>
      </w:r>
    </w:p>
    <w:p w14:paraId="363818B2" w14:textId="35A503E0" w:rsidR="007B7B81" w:rsidRPr="00144CE2" w:rsidRDefault="007D1458" w:rsidP="00491B29">
      <w:pPr>
        <w:pStyle w:val="ListParagraph"/>
        <w:numPr>
          <w:ilvl w:val="0"/>
          <w:numId w:val="10"/>
        </w:numPr>
        <w:tabs>
          <w:tab w:val="num" w:pos="1020"/>
        </w:tabs>
        <w:spacing w:after="120"/>
        <w:ind w:left="714" w:hanging="357"/>
        <w:contextualSpacing w:val="0"/>
        <w:rPr>
          <w:i/>
        </w:rPr>
      </w:pPr>
      <w:r w:rsidRPr="00144CE2">
        <w:rPr>
          <w:i/>
        </w:rPr>
        <w:t>f</w:t>
      </w:r>
      <w:r w:rsidR="007B7B81" w:rsidRPr="00144CE2">
        <w:rPr>
          <w:i/>
        </w:rPr>
        <w:t xml:space="preserve">urther analysis of existing population health and longitudinal studies that have collected data relating to sleep; </w:t>
      </w:r>
    </w:p>
    <w:p w14:paraId="21183524" w14:textId="79E34F87" w:rsidR="007B7B81" w:rsidRPr="00144CE2" w:rsidRDefault="007D1458" w:rsidP="00491B29">
      <w:pPr>
        <w:pStyle w:val="ListParagraph"/>
        <w:numPr>
          <w:ilvl w:val="0"/>
          <w:numId w:val="10"/>
        </w:numPr>
        <w:tabs>
          <w:tab w:val="num" w:pos="1020"/>
        </w:tabs>
        <w:spacing w:after="120"/>
        <w:ind w:left="714" w:hanging="357"/>
        <w:contextualSpacing w:val="0"/>
        <w:rPr>
          <w:i/>
        </w:rPr>
      </w:pPr>
      <w:r w:rsidRPr="00144CE2">
        <w:rPr>
          <w:i/>
        </w:rPr>
        <w:t>t</w:t>
      </w:r>
      <w:r w:rsidR="007B7B81" w:rsidRPr="00144CE2">
        <w:rPr>
          <w:i/>
        </w:rPr>
        <w:t>he impact of long-term shift work on sleep health and potential measures to minimise the associated health risks; and</w:t>
      </w:r>
    </w:p>
    <w:p w14:paraId="38BB5CB4" w14:textId="6AFAF16E" w:rsidR="007B7B81" w:rsidRPr="00144CE2" w:rsidRDefault="007D1458" w:rsidP="00491B29">
      <w:pPr>
        <w:pStyle w:val="ListParagraph"/>
        <w:numPr>
          <w:ilvl w:val="0"/>
          <w:numId w:val="10"/>
        </w:numPr>
        <w:tabs>
          <w:tab w:val="num" w:pos="1020"/>
        </w:tabs>
        <w:ind w:left="714" w:hanging="357"/>
        <w:contextualSpacing w:val="0"/>
        <w:rPr>
          <w:i/>
        </w:rPr>
      </w:pPr>
      <w:r w:rsidRPr="00144CE2">
        <w:rPr>
          <w:i/>
        </w:rPr>
        <w:t>t</w:t>
      </w:r>
      <w:r w:rsidR="007B7B81" w:rsidRPr="00144CE2">
        <w:rPr>
          <w:i/>
        </w:rPr>
        <w:t xml:space="preserve">he effects of digital devices and electronic media on sleep health, especially among children and adolescents. </w:t>
      </w:r>
    </w:p>
    <w:p w14:paraId="695F2585" w14:textId="77777777" w:rsidR="007B7B81" w:rsidRPr="007B7B81" w:rsidRDefault="007B7B81" w:rsidP="00491B29">
      <w:pPr>
        <w:pStyle w:val="ListParagraph"/>
        <w:tabs>
          <w:tab w:val="num" w:pos="1020"/>
        </w:tabs>
      </w:pPr>
    </w:p>
    <w:p w14:paraId="06E028D4" w14:textId="77777777" w:rsidR="007B7B81" w:rsidRPr="008D7AB8" w:rsidRDefault="007B7B81" w:rsidP="00491B29">
      <w:pPr>
        <w:suppressAutoHyphens/>
        <w:spacing w:after="120"/>
        <w:rPr>
          <w:rFonts w:eastAsia="Palatino Linotype"/>
          <w:b/>
        </w:rPr>
      </w:pPr>
      <w:r w:rsidRPr="008D7AB8">
        <w:rPr>
          <w:rFonts w:eastAsia="Palatino Linotype"/>
          <w:b/>
        </w:rPr>
        <w:t>Response:</w:t>
      </w:r>
    </w:p>
    <w:p w14:paraId="504E0779" w14:textId="0F4A6EAA" w:rsidR="00EF0605" w:rsidRDefault="007B7B81" w:rsidP="00491B29">
      <w:pPr>
        <w:suppressAutoHyphens/>
        <w:rPr>
          <w:rFonts w:eastAsia="Palatino Linotype"/>
        </w:rPr>
      </w:pPr>
      <w:r w:rsidRPr="008D7AB8">
        <w:rPr>
          <w:rFonts w:eastAsia="Palatino Linotype"/>
        </w:rPr>
        <w:t xml:space="preserve">The </w:t>
      </w:r>
      <w:r w:rsidR="00144CE2">
        <w:rPr>
          <w:rFonts w:eastAsia="Palatino Linotype"/>
        </w:rPr>
        <w:t xml:space="preserve">Australian </w:t>
      </w:r>
      <w:r w:rsidRPr="008D7AB8">
        <w:rPr>
          <w:rFonts w:eastAsia="Palatino Linotype"/>
        </w:rPr>
        <w:t xml:space="preserve">Government </w:t>
      </w:r>
      <w:r w:rsidR="0093057D">
        <w:rPr>
          <w:b/>
          <w:bCs/>
        </w:rPr>
        <w:t>supports in</w:t>
      </w:r>
      <w:r w:rsidR="0065195D">
        <w:rPr>
          <w:b/>
          <w:bCs/>
        </w:rPr>
        <w:t>-</w:t>
      </w:r>
      <w:r w:rsidR="0093057D">
        <w:rPr>
          <w:b/>
          <w:bCs/>
        </w:rPr>
        <w:t>principle</w:t>
      </w:r>
      <w:r w:rsidR="0093057D">
        <w:t xml:space="preserve"> </w:t>
      </w:r>
      <w:r>
        <w:rPr>
          <w:rFonts w:eastAsia="Palatino Linotype"/>
        </w:rPr>
        <w:t>the recommendation.</w:t>
      </w:r>
      <w:r w:rsidRPr="008D7AB8">
        <w:rPr>
          <w:rFonts w:eastAsia="Palatino Linotype"/>
        </w:rPr>
        <w:t xml:space="preserve">  </w:t>
      </w:r>
    </w:p>
    <w:p w14:paraId="57EAAB4B" w14:textId="77777777" w:rsidR="0040518C" w:rsidRPr="007B7B81" w:rsidRDefault="0040518C" w:rsidP="00491B29">
      <w:pPr>
        <w:suppressAutoHyphens/>
        <w:rPr>
          <w:rFonts w:eastAsia="Palatino Linotype"/>
        </w:rPr>
      </w:pPr>
    </w:p>
    <w:p w14:paraId="5C818D9D" w14:textId="32918163" w:rsidR="00A16325" w:rsidRDefault="00046C5B" w:rsidP="00491B29">
      <w:pPr>
        <w:tabs>
          <w:tab w:val="left" w:pos="567"/>
          <w:tab w:val="left" w:pos="1134"/>
          <w:tab w:val="left" w:pos="1701"/>
          <w:tab w:val="left" w:pos="2268"/>
          <w:tab w:val="left" w:pos="2835"/>
          <w:tab w:val="left" w:pos="3402"/>
          <w:tab w:val="left" w:pos="3969"/>
          <w:tab w:val="left" w:pos="4536"/>
        </w:tabs>
      </w:pPr>
      <w:r>
        <w:t xml:space="preserve">The Australian Government currently funds research focused on sleep and sleep disorders through </w:t>
      </w:r>
      <w:r w:rsidR="00A16325">
        <w:t>the contestable Medical Research Future Fund (MRFF) grant opportunities, and the National Health and Medical Research</w:t>
      </w:r>
      <w:r>
        <w:t xml:space="preserve"> Council</w:t>
      </w:r>
      <w:r w:rsidR="00A16325">
        <w:t xml:space="preserve"> (NHMRC). </w:t>
      </w:r>
    </w:p>
    <w:p w14:paraId="7122A603" w14:textId="77777777" w:rsidR="00A16325" w:rsidRDefault="00A16325" w:rsidP="00491B29">
      <w:pPr>
        <w:tabs>
          <w:tab w:val="left" w:pos="567"/>
          <w:tab w:val="left" w:pos="1134"/>
          <w:tab w:val="left" w:pos="1701"/>
          <w:tab w:val="left" w:pos="2268"/>
          <w:tab w:val="left" w:pos="2835"/>
          <w:tab w:val="left" w:pos="3402"/>
          <w:tab w:val="left" w:pos="3969"/>
          <w:tab w:val="left" w:pos="4536"/>
        </w:tabs>
      </w:pPr>
    </w:p>
    <w:p w14:paraId="5947A318" w14:textId="77777777" w:rsidR="00A16325" w:rsidRPr="00A16325" w:rsidRDefault="00A16325" w:rsidP="00491B29">
      <w:pPr>
        <w:tabs>
          <w:tab w:val="left" w:pos="567"/>
          <w:tab w:val="left" w:pos="1134"/>
          <w:tab w:val="left" w:pos="1701"/>
          <w:tab w:val="left" w:pos="2268"/>
          <w:tab w:val="left" w:pos="2835"/>
          <w:tab w:val="left" w:pos="3402"/>
          <w:tab w:val="left" w:pos="3969"/>
          <w:tab w:val="left" w:pos="4536"/>
        </w:tabs>
        <w:spacing w:after="120"/>
        <w:rPr>
          <w:i/>
        </w:rPr>
      </w:pPr>
      <w:r w:rsidRPr="00A16325">
        <w:rPr>
          <w:i/>
        </w:rPr>
        <w:t xml:space="preserve">Medical Research Future Fund </w:t>
      </w:r>
    </w:p>
    <w:p w14:paraId="597C6919" w14:textId="77777777" w:rsidR="00800C45" w:rsidRDefault="001B7CEC" w:rsidP="001B7CEC">
      <w:r w:rsidRPr="00147E80">
        <w:t xml:space="preserve">The MRFF, established under the </w:t>
      </w:r>
      <w:r w:rsidRPr="00147E80">
        <w:rPr>
          <w:i/>
        </w:rPr>
        <w:t>Medical Research Future Fund Act 2015</w:t>
      </w:r>
      <w:r w:rsidRPr="00147E80">
        <w:t xml:space="preserve"> (MRFF Act), provides grants of financial assistance to support </w:t>
      </w:r>
      <w:r>
        <w:t xml:space="preserve">vital </w:t>
      </w:r>
      <w:r w:rsidRPr="00147E80">
        <w:t>health and medical research and innovation to improve the health and wellbeing of Australians.</w:t>
      </w:r>
    </w:p>
    <w:p w14:paraId="69C319C5" w14:textId="10B3B6E7" w:rsidR="001B7CEC" w:rsidRPr="00147E80" w:rsidRDefault="001B7CEC" w:rsidP="001B7CEC">
      <w:r w:rsidRPr="00147E80">
        <w:t xml:space="preserve"> </w:t>
      </w:r>
    </w:p>
    <w:p w14:paraId="2C48C00A" w14:textId="293B3D7A" w:rsidR="00A16325" w:rsidRDefault="00A7501F" w:rsidP="00491B29">
      <w:pPr>
        <w:tabs>
          <w:tab w:val="left" w:pos="567"/>
          <w:tab w:val="left" w:pos="1134"/>
          <w:tab w:val="left" w:pos="1701"/>
          <w:tab w:val="left" w:pos="2268"/>
          <w:tab w:val="left" w:pos="2835"/>
          <w:tab w:val="left" w:pos="3402"/>
          <w:tab w:val="left" w:pos="3969"/>
          <w:tab w:val="left" w:pos="4536"/>
        </w:tabs>
      </w:pPr>
      <w:r>
        <w:t xml:space="preserve">Under </w:t>
      </w:r>
      <w:r w:rsidR="00CE6AE7">
        <w:t xml:space="preserve">a </w:t>
      </w:r>
      <w:r>
        <w:t xml:space="preserve">$5 billion 10-year </w:t>
      </w:r>
      <w:r w:rsidR="00800C45">
        <w:t>I</w:t>
      </w:r>
      <w:r>
        <w:t xml:space="preserve">nvestment </w:t>
      </w:r>
      <w:r w:rsidR="00800C45">
        <w:t>P</w:t>
      </w:r>
      <w:r w:rsidRPr="00147E80">
        <w:t>lan</w:t>
      </w:r>
      <w:r w:rsidR="00CE6AE7">
        <w:t xml:space="preserve"> announced as part of the 2019-20 Budget</w:t>
      </w:r>
      <w:r>
        <w:t>,</w:t>
      </w:r>
      <w:r w:rsidRPr="00147E80">
        <w:t xml:space="preserve"> </w:t>
      </w:r>
      <w:r>
        <w:t>f</w:t>
      </w:r>
      <w:r w:rsidRPr="00312E31">
        <w:t>unding for sleep and sleep disorders research could be supported thro</w:t>
      </w:r>
      <w:r>
        <w:t>ugh a range of MRFF initiatives</w:t>
      </w:r>
      <w:r w:rsidRPr="00312E31">
        <w:t xml:space="preserve"> </w:t>
      </w:r>
      <w:r>
        <w:t xml:space="preserve">where relevant to the objective of the initiative and the grant opportunity. </w:t>
      </w:r>
    </w:p>
    <w:p w14:paraId="701B7440" w14:textId="0625EB77" w:rsidR="00046C5B" w:rsidRDefault="00046C5B" w:rsidP="00491B29">
      <w:pPr>
        <w:tabs>
          <w:tab w:val="left" w:pos="567"/>
          <w:tab w:val="left" w:pos="1134"/>
          <w:tab w:val="left" w:pos="1701"/>
          <w:tab w:val="left" w:pos="2268"/>
          <w:tab w:val="left" w:pos="2835"/>
          <w:tab w:val="left" w:pos="3402"/>
          <w:tab w:val="left" w:pos="3969"/>
          <w:tab w:val="left" w:pos="4536"/>
        </w:tabs>
      </w:pPr>
    </w:p>
    <w:p w14:paraId="6847AB91" w14:textId="375BB0B2" w:rsidR="00046C5B" w:rsidRDefault="00046C5B" w:rsidP="00491B29">
      <w:pPr>
        <w:tabs>
          <w:tab w:val="left" w:pos="567"/>
          <w:tab w:val="left" w:pos="1134"/>
          <w:tab w:val="left" w:pos="1701"/>
          <w:tab w:val="left" w:pos="2268"/>
          <w:tab w:val="left" w:pos="2835"/>
          <w:tab w:val="left" w:pos="3402"/>
          <w:tab w:val="left" w:pos="3969"/>
          <w:tab w:val="left" w:pos="4536"/>
        </w:tabs>
        <w:spacing w:after="120"/>
      </w:pPr>
      <w:r>
        <w:t xml:space="preserve">To date, the MRFF has funded </w:t>
      </w:r>
      <w:r w:rsidR="001B7CEC">
        <w:t xml:space="preserve">two </w:t>
      </w:r>
      <w:r>
        <w:t>sleep-related pr</w:t>
      </w:r>
      <w:r w:rsidR="00B67CF1">
        <w:t>oject</w:t>
      </w:r>
      <w:r w:rsidR="001B7CEC">
        <w:t>s as outlined in Table 1 – MRFF Sleep Related Research Projects. Other grants with sub-projects, such as through the Rapid Applied Research Translation initiative, also have a focus on sleep-related projects.</w:t>
      </w:r>
      <w:r w:rsidR="00B67CF1">
        <w:t xml:space="preserve"> </w:t>
      </w:r>
    </w:p>
    <w:p w14:paraId="72E3D5FD" w14:textId="77777777" w:rsidR="00EE136D" w:rsidRDefault="00EE136D">
      <w:pPr>
        <w:spacing w:after="160" w:line="259" w:lineRule="auto"/>
        <w:rPr>
          <w:i/>
          <w:iCs/>
        </w:rPr>
      </w:pPr>
      <w:r>
        <w:br w:type="page"/>
      </w:r>
    </w:p>
    <w:p w14:paraId="11984DE5" w14:textId="7E252AB1" w:rsidR="00046C5B" w:rsidRPr="003148A5" w:rsidRDefault="00046C5B" w:rsidP="0040518C">
      <w:pPr>
        <w:pStyle w:val="Caption"/>
        <w:keepNext/>
        <w:spacing w:after="0"/>
        <w:rPr>
          <w:color w:val="auto"/>
          <w:sz w:val="24"/>
          <w:szCs w:val="24"/>
        </w:rPr>
      </w:pPr>
      <w:r w:rsidRPr="003148A5">
        <w:rPr>
          <w:color w:val="auto"/>
          <w:sz w:val="24"/>
          <w:szCs w:val="24"/>
        </w:rPr>
        <w:lastRenderedPageBreak/>
        <w:t xml:space="preserve">Table </w:t>
      </w:r>
      <w:r w:rsidR="00491B29" w:rsidRPr="003148A5">
        <w:rPr>
          <w:color w:val="auto"/>
          <w:sz w:val="24"/>
          <w:szCs w:val="24"/>
        </w:rPr>
        <w:fldChar w:fldCharType="begin"/>
      </w:r>
      <w:r w:rsidR="00491B29" w:rsidRPr="003148A5">
        <w:rPr>
          <w:color w:val="auto"/>
          <w:sz w:val="24"/>
          <w:szCs w:val="24"/>
        </w:rPr>
        <w:instrText xml:space="preserve"> SEQ Table \* ARABIC </w:instrText>
      </w:r>
      <w:r w:rsidR="00491B29" w:rsidRPr="003148A5">
        <w:rPr>
          <w:color w:val="auto"/>
          <w:sz w:val="24"/>
          <w:szCs w:val="24"/>
        </w:rPr>
        <w:fldChar w:fldCharType="separate"/>
      </w:r>
      <w:r w:rsidR="00912D72" w:rsidRPr="003148A5">
        <w:rPr>
          <w:noProof/>
          <w:color w:val="auto"/>
          <w:sz w:val="24"/>
          <w:szCs w:val="24"/>
        </w:rPr>
        <w:t>1</w:t>
      </w:r>
      <w:r w:rsidR="00491B29" w:rsidRPr="003148A5">
        <w:rPr>
          <w:noProof/>
          <w:color w:val="auto"/>
          <w:sz w:val="24"/>
          <w:szCs w:val="24"/>
        </w:rPr>
        <w:fldChar w:fldCharType="end"/>
      </w:r>
      <w:r w:rsidRPr="003148A5">
        <w:rPr>
          <w:color w:val="auto"/>
          <w:sz w:val="24"/>
          <w:szCs w:val="24"/>
        </w:rPr>
        <w:t xml:space="preserve"> - MRFF Sleep-Related Research Project</w:t>
      </w:r>
      <w:r w:rsidR="001B7CEC">
        <w:rPr>
          <w:color w:val="auto"/>
          <w:sz w:val="24"/>
          <w:szCs w:val="24"/>
        </w:rPr>
        <w:t>s</w:t>
      </w:r>
    </w:p>
    <w:tbl>
      <w:tblPr>
        <w:tblStyle w:val="TableGrid"/>
        <w:tblW w:w="0" w:type="auto"/>
        <w:tblLook w:val="04A0" w:firstRow="1" w:lastRow="0" w:firstColumn="1" w:lastColumn="0" w:noHBand="0" w:noVBand="1"/>
      </w:tblPr>
      <w:tblGrid>
        <w:gridCol w:w="2254"/>
        <w:gridCol w:w="1710"/>
        <w:gridCol w:w="2977"/>
        <w:gridCol w:w="2075"/>
      </w:tblGrid>
      <w:tr w:rsidR="00046C5B" w14:paraId="34D417A4" w14:textId="77777777" w:rsidTr="00CE6AE7">
        <w:tc>
          <w:tcPr>
            <w:tcW w:w="2254" w:type="dxa"/>
          </w:tcPr>
          <w:p w14:paraId="1AF0F979" w14:textId="77777777" w:rsidR="00046C5B" w:rsidRDefault="00046C5B" w:rsidP="00CE6AE7">
            <w:pPr>
              <w:rPr>
                <w:b/>
              </w:rPr>
            </w:pPr>
            <w:r>
              <w:rPr>
                <w:b/>
              </w:rPr>
              <w:t>MRFF Initiative</w:t>
            </w:r>
          </w:p>
        </w:tc>
        <w:tc>
          <w:tcPr>
            <w:tcW w:w="1710" w:type="dxa"/>
          </w:tcPr>
          <w:p w14:paraId="299F6209" w14:textId="77777777" w:rsidR="00046C5B" w:rsidRDefault="00046C5B" w:rsidP="00CE6AE7">
            <w:pPr>
              <w:rPr>
                <w:b/>
              </w:rPr>
            </w:pPr>
            <w:r>
              <w:rPr>
                <w:b/>
              </w:rPr>
              <w:t>Project Name</w:t>
            </w:r>
          </w:p>
        </w:tc>
        <w:tc>
          <w:tcPr>
            <w:tcW w:w="2977" w:type="dxa"/>
          </w:tcPr>
          <w:p w14:paraId="6280CD42" w14:textId="77777777" w:rsidR="00046C5B" w:rsidRDefault="00046C5B" w:rsidP="00CE6AE7">
            <w:pPr>
              <w:rPr>
                <w:b/>
              </w:rPr>
            </w:pPr>
            <w:r>
              <w:rPr>
                <w:b/>
              </w:rPr>
              <w:t xml:space="preserve">Plain Language Project Summary </w:t>
            </w:r>
          </w:p>
        </w:tc>
        <w:tc>
          <w:tcPr>
            <w:tcW w:w="2075" w:type="dxa"/>
          </w:tcPr>
          <w:p w14:paraId="024F3C97" w14:textId="77777777" w:rsidR="00046C5B" w:rsidRDefault="00046C5B" w:rsidP="00CE6AE7">
            <w:pPr>
              <w:rPr>
                <w:b/>
              </w:rPr>
            </w:pPr>
            <w:r>
              <w:rPr>
                <w:b/>
              </w:rPr>
              <w:t xml:space="preserve">Funding </w:t>
            </w:r>
          </w:p>
        </w:tc>
      </w:tr>
      <w:tr w:rsidR="00046C5B" w14:paraId="42702CCC" w14:textId="77777777" w:rsidTr="00CE6AE7">
        <w:tc>
          <w:tcPr>
            <w:tcW w:w="2254" w:type="dxa"/>
          </w:tcPr>
          <w:p w14:paraId="479BBD8E" w14:textId="77777777" w:rsidR="00046C5B" w:rsidRPr="00A16325" w:rsidRDefault="00046C5B" w:rsidP="00CE6AE7">
            <w:r>
              <w:t xml:space="preserve">Next Generation Clinical Researchers Program, The University of Adelaide </w:t>
            </w:r>
          </w:p>
        </w:tc>
        <w:tc>
          <w:tcPr>
            <w:tcW w:w="1710" w:type="dxa"/>
          </w:tcPr>
          <w:p w14:paraId="3CC3CC4C" w14:textId="490FBFE3" w:rsidR="00046C5B" w:rsidRPr="00A16325" w:rsidRDefault="00046C5B" w:rsidP="00CE6AE7">
            <w:r w:rsidRPr="00A16325">
              <w:t>Sleep apn</w:t>
            </w:r>
            <w:r w:rsidR="002927E6">
              <w:t>o</w:t>
            </w:r>
            <w:r w:rsidRPr="00A16325">
              <w:t>ea and atrial fibrillation</w:t>
            </w:r>
          </w:p>
        </w:tc>
        <w:tc>
          <w:tcPr>
            <w:tcW w:w="2977" w:type="dxa"/>
          </w:tcPr>
          <w:p w14:paraId="3E816609" w14:textId="2ADD2CF2" w:rsidR="00046C5B" w:rsidRPr="00A16325" w:rsidRDefault="00046C5B" w:rsidP="00CE6AE7">
            <w:r w:rsidRPr="00A16325">
              <w:t>Atrial fibrillation (AF) is the most common sustained cardiac rhythm disorder</w:t>
            </w:r>
            <w:r w:rsidR="00613E74">
              <w:t>. Obstructive sleep apn</w:t>
            </w:r>
            <w:r w:rsidR="002927E6">
              <w:t>o</w:t>
            </w:r>
            <w:r w:rsidR="00613E74">
              <w:t>ea (OSA)</w:t>
            </w:r>
            <w:r w:rsidRPr="00A16325">
              <w:t xml:space="preserve"> is four times more common among patients with AF than without. OSA has been associated with a greater recurrence rate of AF after initially successful</w:t>
            </w:r>
            <w:r w:rsidR="00727EDD">
              <w:t xml:space="preserve"> </w:t>
            </w:r>
            <w:r w:rsidR="00727EDD" w:rsidRPr="00727EDD">
              <w:t>chemical or electrical cardioversion or pulmonary vein</w:t>
            </w:r>
            <w:r w:rsidR="00727EDD">
              <w:t xml:space="preserve"> isolation by catheter ablation</w:t>
            </w:r>
            <w:r w:rsidRPr="00A16325">
              <w:t>.</w:t>
            </w:r>
          </w:p>
        </w:tc>
        <w:tc>
          <w:tcPr>
            <w:tcW w:w="2075" w:type="dxa"/>
          </w:tcPr>
          <w:p w14:paraId="05344CBA" w14:textId="77777777" w:rsidR="00046C5B" w:rsidRPr="00A16325" w:rsidRDefault="00046C5B" w:rsidP="00CE6AE7">
            <w:r w:rsidRPr="00A16325">
              <w:t>$431,000</w:t>
            </w:r>
            <w:r>
              <w:t xml:space="preserve"> </w:t>
            </w:r>
            <w:r>
              <w:br/>
              <w:t>(GST exclusive)</w:t>
            </w:r>
          </w:p>
        </w:tc>
      </w:tr>
      <w:tr w:rsidR="001B7CEC" w14:paraId="027BDFCC" w14:textId="77777777" w:rsidTr="001B7CEC">
        <w:tc>
          <w:tcPr>
            <w:tcW w:w="2254" w:type="dxa"/>
          </w:tcPr>
          <w:p w14:paraId="5987A6F1" w14:textId="77777777" w:rsidR="001B7CEC" w:rsidRDefault="001B7CEC" w:rsidP="00CE6AE7">
            <w:r w:rsidRPr="005937F6">
              <w:t>Indigenous Health Research Fund</w:t>
            </w:r>
            <w:r>
              <w:t xml:space="preserve">, </w:t>
            </w:r>
            <w:r w:rsidRPr="00D84C06">
              <w:t>The University of Queensland</w:t>
            </w:r>
          </w:p>
        </w:tc>
        <w:tc>
          <w:tcPr>
            <w:tcW w:w="1710" w:type="dxa"/>
          </w:tcPr>
          <w:p w14:paraId="441C4205" w14:textId="358436F1" w:rsidR="001B7CEC" w:rsidRPr="001E717A" w:rsidRDefault="001B7CEC" w:rsidP="00CE6AE7">
            <w:r w:rsidRPr="001E717A">
              <w:t xml:space="preserve">Co-designed sleep health program to achieve better sleep and improved mental health symptoms in </w:t>
            </w:r>
            <w:r w:rsidR="00C638DD" w:rsidRPr="001E717A">
              <w:t xml:space="preserve">First Nations </w:t>
            </w:r>
            <w:r w:rsidRPr="001E717A">
              <w:t>adolescents</w:t>
            </w:r>
          </w:p>
        </w:tc>
        <w:tc>
          <w:tcPr>
            <w:tcW w:w="2977" w:type="dxa"/>
          </w:tcPr>
          <w:p w14:paraId="0B1D84D3" w14:textId="73512FF1" w:rsidR="001B7CEC" w:rsidRPr="001E717A" w:rsidRDefault="001B7CEC" w:rsidP="00CE6AE7">
            <w:r w:rsidRPr="001E717A">
              <w:t xml:space="preserve">The project aims to co-design and deliver a sleep health program for </w:t>
            </w:r>
            <w:r w:rsidR="00F871D9" w:rsidRPr="001E717A">
              <w:t xml:space="preserve">First Nations </w:t>
            </w:r>
            <w:r w:rsidRPr="001E717A">
              <w:t xml:space="preserve">adolescents and evaluate its feasibility, acceptability and effectiveness. This program is rooted in the </w:t>
            </w:r>
            <w:r w:rsidR="00F871D9" w:rsidRPr="001E717A">
              <w:t xml:space="preserve">First Nations </w:t>
            </w:r>
            <w:r w:rsidR="001E717A" w:rsidRPr="001E717A">
              <w:t>Australians</w:t>
            </w:r>
            <w:r w:rsidR="001E717A" w:rsidRPr="001E717A" w:rsidDel="00F871D9">
              <w:t xml:space="preserve"> </w:t>
            </w:r>
            <w:r w:rsidR="001E717A" w:rsidRPr="001E717A">
              <w:t>conceptualisation</w:t>
            </w:r>
            <w:r w:rsidRPr="001E717A">
              <w:t xml:space="preserve"> of sleep health, capacity building of Aboriginal youth workers and bringing together </w:t>
            </w:r>
            <w:r w:rsidR="00F871D9" w:rsidRPr="001E717A">
              <w:t>First Nations Australians</w:t>
            </w:r>
            <w:r w:rsidR="00F871D9" w:rsidRPr="001E717A" w:rsidDel="00F871D9">
              <w:t xml:space="preserve"> </w:t>
            </w:r>
            <w:r w:rsidRPr="001E717A">
              <w:t xml:space="preserve">community, mental health and primary care services, and advocacy partners to co-design a solution for improving the mental health of </w:t>
            </w:r>
            <w:r w:rsidR="00F871D9" w:rsidRPr="001E717A">
              <w:t xml:space="preserve">First Nations </w:t>
            </w:r>
            <w:r w:rsidRPr="001E717A">
              <w:t>adolescents through healthy sleep.</w:t>
            </w:r>
          </w:p>
        </w:tc>
        <w:tc>
          <w:tcPr>
            <w:tcW w:w="2075" w:type="dxa"/>
          </w:tcPr>
          <w:p w14:paraId="067D3F50" w14:textId="77777777" w:rsidR="001B7CEC" w:rsidRDefault="001B7CEC" w:rsidP="00CE6AE7">
            <w:r>
              <w:t>$</w:t>
            </w:r>
            <w:r w:rsidRPr="005937F6">
              <w:t>586</w:t>
            </w:r>
            <w:r>
              <w:t>,</w:t>
            </w:r>
            <w:r w:rsidRPr="005937F6">
              <w:t>961</w:t>
            </w:r>
            <w:r>
              <w:t xml:space="preserve"> (GST exclusive)</w:t>
            </w:r>
          </w:p>
          <w:p w14:paraId="0DF29D6F" w14:textId="77777777" w:rsidR="001B7CEC" w:rsidRDefault="001B7CEC" w:rsidP="00CE6AE7"/>
          <w:p w14:paraId="2F8E55BC" w14:textId="77777777" w:rsidR="001B7CEC" w:rsidRPr="00A16325" w:rsidRDefault="001B7CEC" w:rsidP="00CE6AE7"/>
        </w:tc>
      </w:tr>
    </w:tbl>
    <w:p w14:paraId="7CEFE44A" w14:textId="77777777" w:rsidR="00FF6EA5" w:rsidRDefault="00FF6EA5" w:rsidP="00046C5B">
      <w:pPr>
        <w:tabs>
          <w:tab w:val="left" w:pos="567"/>
          <w:tab w:val="left" w:pos="1134"/>
          <w:tab w:val="left" w:pos="1701"/>
          <w:tab w:val="left" w:pos="2268"/>
          <w:tab w:val="left" w:pos="2835"/>
          <w:tab w:val="left" w:pos="3402"/>
          <w:tab w:val="left" w:pos="3969"/>
          <w:tab w:val="left" w:pos="4536"/>
        </w:tabs>
        <w:jc w:val="both"/>
      </w:pPr>
    </w:p>
    <w:p w14:paraId="7E175F46" w14:textId="47D25E5B" w:rsidR="00A13FDF" w:rsidRPr="00A13FDF" w:rsidRDefault="00A13FDF" w:rsidP="00491B29">
      <w:pPr>
        <w:spacing w:after="120"/>
        <w:rPr>
          <w:i/>
        </w:rPr>
      </w:pPr>
      <w:r w:rsidRPr="00A13FDF">
        <w:rPr>
          <w:i/>
        </w:rPr>
        <w:t xml:space="preserve">The National Health and Medical Research Council </w:t>
      </w:r>
    </w:p>
    <w:p w14:paraId="12B50D39" w14:textId="17B9F6DE" w:rsidR="00A13FDF" w:rsidRDefault="00A13FDF" w:rsidP="00491B29">
      <w:r w:rsidRPr="00A13FDF">
        <w:t>The NHMRC has provided $</w:t>
      </w:r>
      <w:r w:rsidR="00987C66">
        <w:t>158.0</w:t>
      </w:r>
      <w:r w:rsidR="00EC58C7">
        <w:t xml:space="preserve"> </w:t>
      </w:r>
      <w:r w:rsidRPr="00A13FDF">
        <w:t xml:space="preserve">million to support </w:t>
      </w:r>
      <w:r w:rsidR="00987C66">
        <w:t xml:space="preserve">336 </w:t>
      </w:r>
      <w:r w:rsidRPr="00A13FDF">
        <w:t>grants relating to sleep or sleep d</w:t>
      </w:r>
      <w:r>
        <w:t xml:space="preserve">isorders between 2000 and </w:t>
      </w:r>
      <w:r w:rsidR="00EC58C7">
        <w:t>202</w:t>
      </w:r>
      <w:r w:rsidR="00987C66">
        <w:t>1</w:t>
      </w:r>
      <w:r>
        <w:t xml:space="preserve">. </w:t>
      </w:r>
    </w:p>
    <w:p w14:paraId="24E1A5F7" w14:textId="68D89522" w:rsidR="006D175B" w:rsidRPr="00A13FDF" w:rsidRDefault="006D175B" w:rsidP="007B7B81">
      <w:pPr>
        <w:jc w:val="both"/>
      </w:pPr>
    </w:p>
    <w:p w14:paraId="06F38571" w14:textId="54405A9E" w:rsidR="00A13FDF" w:rsidRDefault="007C220A" w:rsidP="00491B29">
      <w:r>
        <w:t>Table 2</w:t>
      </w:r>
      <w:r w:rsidR="00A13FDF" w:rsidRPr="00A13FDF">
        <w:t xml:space="preserve"> provides a breakdown of </w:t>
      </w:r>
      <w:r w:rsidR="00A13FDF">
        <w:t xml:space="preserve">the </w:t>
      </w:r>
      <w:r w:rsidR="00351017">
        <w:t>NHMRC</w:t>
      </w:r>
      <w:r w:rsidR="002927E6">
        <w:t xml:space="preserve"> </w:t>
      </w:r>
      <w:r w:rsidR="00A13FDF" w:rsidRPr="00A13FDF">
        <w:t>supported sleep research</w:t>
      </w:r>
      <w:r w:rsidR="00A13FDF">
        <w:t xml:space="preserve"> </w:t>
      </w:r>
      <w:r w:rsidR="004B1520">
        <w:t>bet</w:t>
      </w:r>
      <w:r w:rsidR="00A13FDF" w:rsidRPr="00A13FDF">
        <w:t xml:space="preserve">ween </w:t>
      </w:r>
      <w:r w:rsidR="00A13FDF">
        <w:t xml:space="preserve">the years </w:t>
      </w:r>
      <w:r w:rsidR="00A13FDF" w:rsidRPr="00A13FDF">
        <w:t xml:space="preserve">2000 and </w:t>
      </w:r>
      <w:r w:rsidR="00EC58C7" w:rsidRPr="00A13FDF">
        <w:t>20</w:t>
      </w:r>
      <w:r w:rsidR="00EC58C7">
        <w:t>2</w:t>
      </w:r>
      <w:r w:rsidR="00987C66">
        <w:t>1</w:t>
      </w:r>
      <w:r w:rsidR="00A13FDF">
        <w:t>,</w:t>
      </w:r>
      <w:r w:rsidR="00A13FDF" w:rsidRPr="00A13FDF">
        <w:t xml:space="preserve"> by broad research area.</w:t>
      </w:r>
    </w:p>
    <w:p w14:paraId="073D4240" w14:textId="29953755" w:rsidR="00EE136D" w:rsidRDefault="00EE136D">
      <w:pPr>
        <w:spacing w:after="160" w:line="259" w:lineRule="auto"/>
      </w:pPr>
      <w:r>
        <w:br w:type="page"/>
      </w:r>
    </w:p>
    <w:p w14:paraId="47530369" w14:textId="2D0EC5C8" w:rsidR="00A13FDF" w:rsidRPr="003148A5" w:rsidRDefault="00A13FDF" w:rsidP="0040518C">
      <w:pPr>
        <w:pStyle w:val="Caption"/>
        <w:keepNext/>
        <w:spacing w:after="0"/>
        <w:rPr>
          <w:color w:val="auto"/>
          <w:sz w:val="24"/>
          <w:szCs w:val="24"/>
        </w:rPr>
      </w:pPr>
      <w:r w:rsidRPr="003148A5">
        <w:rPr>
          <w:color w:val="auto"/>
          <w:sz w:val="24"/>
          <w:szCs w:val="24"/>
        </w:rPr>
        <w:lastRenderedPageBreak/>
        <w:t xml:space="preserve">Table </w:t>
      </w:r>
      <w:r w:rsidR="00F40506" w:rsidRPr="003148A5">
        <w:rPr>
          <w:color w:val="auto"/>
          <w:sz w:val="24"/>
          <w:szCs w:val="24"/>
        </w:rPr>
        <w:fldChar w:fldCharType="begin"/>
      </w:r>
      <w:r w:rsidR="00F40506" w:rsidRPr="003148A5">
        <w:rPr>
          <w:color w:val="auto"/>
          <w:sz w:val="24"/>
          <w:szCs w:val="24"/>
        </w:rPr>
        <w:instrText xml:space="preserve"> SEQ Table \* ARABIC </w:instrText>
      </w:r>
      <w:r w:rsidR="00F40506" w:rsidRPr="003148A5">
        <w:rPr>
          <w:color w:val="auto"/>
          <w:sz w:val="24"/>
          <w:szCs w:val="24"/>
        </w:rPr>
        <w:fldChar w:fldCharType="separate"/>
      </w:r>
      <w:r w:rsidR="00912D72" w:rsidRPr="003148A5">
        <w:rPr>
          <w:noProof/>
          <w:color w:val="auto"/>
          <w:sz w:val="24"/>
          <w:szCs w:val="24"/>
        </w:rPr>
        <w:t>2</w:t>
      </w:r>
      <w:r w:rsidR="00F40506" w:rsidRPr="003148A5">
        <w:rPr>
          <w:noProof/>
          <w:color w:val="auto"/>
          <w:sz w:val="24"/>
          <w:szCs w:val="24"/>
        </w:rPr>
        <w:fldChar w:fldCharType="end"/>
      </w:r>
      <w:r w:rsidRPr="003148A5">
        <w:rPr>
          <w:color w:val="auto"/>
          <w:sz w:val="24"/>
          <w:szCs w:val="24"/>
        </w:rPr>
        <w:t xml:space="preserve"> - NHMRC supported research relating to sleep or sleep disorders</w:t>
      </w:r>
    </w:p>
    <w:tbl>
      <w:tblPr>
        <w:tblStyle w:val="TableGrid"/>
        <w:tblW w:w="0" w:type="auto"/>
        <w:tblLook w:val="04A0" w:firstRow="1" w:lastRow="0" w:firstColumn="1" w:lastColumn="0" w:noHBand="0" w:noVBand="1"/>
      </w:tblPr>
      <w:tblGrid>
        <w:gridCol w:w="2124"/>
        <w:gridCol w:w="2631"/>
        <w:gridCol w:w="2147"/>
        <w:gridCol w:w="2114"/>
      </w:tblGrid>
      <w:tr w:rsidR="00A13FDF" w14:paraId="116FF527" w14:textId="77777777" w:rsidTr="00382C22">
        <w:tc>
          <w:tcPr>
            <w:tcW w:w="2124" w:type="dxa"/>
          </w:tcPr>
          <w:p w14:paraId="56B6B84C" w14:textId="77777777" w:rsidR="00A13FDF" w:rsidRPr="00A13FDF" w:rsidRDefault="00A13FDF" w:rsidP="00A13FDF">
            <w:pPr>
              <w:rPr>
                <w:b/>
              </w:rPr>
            </w:pPr>
            <w:r>
              <w:rPr>
                <w:b/>
              </w:rPr>
              <w:t>Broad Research Area</w:t>
            </w:r>
          </w:p>
        </w:tc>
        <w:tc>
          <w:tcPr>
            <w:tcW w:w="2631" w:type="dxa"/>
          </w:tcPr>
          <w:p w14:paraId="3AC91DB1" w14:textId="43E1538A" w:rsidR="00A13FDF" w:rsidRPr="00A13FDF" w:rsidRDefault="00A13FDF" w:rsidP="008E7A82">
            <w:pPr>
              <w:jc w:val="center"/>
              <w:rPr>
                <w:b/>
              </w:rPr>
            </w:pPr>
            <w:r>
              <w:rPr>
                <w:b/>
              </w:rPr>
              <w:t>Expenditure</w:t>
            </w:r>
            <w:r>
              <w:rPr>
                <w:b/>
              </w:rPr>
              <w:br/>
              <w:t>2000-</w:t>
            </w:r>
            <w:r w:rsidR="00EC58C7">
              <w:rPr>
                <w:b/>
              </w:rPr>
              <w:t>202</w:t>
            </w:r>
            <w:r w:rsidR="00987C66">
              <w:rPr>
                <w:b/>
              </w:rPr>
              <w:t>1</w:t>
            </w:r>
          </w:p>
        </w:tc>
        <w:tc>
          <w:tcPr>
            <w:tcW w:w="2147" w:type="dxa"/>
          </w:tcPr>
          <w:p w14:paraId="5084E039" w14:textId="77777777" w:rsidR="00A13FDF" w:rsidRPr="00A13FDF" w:rsidRDefault="00A13FDF" w:rsidP="00A13FDF">
            <w:pPr>
              <w:jc w:val="center"/>
              <w:rPr>
                <w:b/>
              </w:rPr>
            </w:pPr>
            <w:r>
              <w:rPr>
                <w:b/>
              </w:rPr>
              <w:t>Percentage of Total</w:t>
            </w:r>
          </w:p>
        </w:tc>
        <w:tc>
          <w:tcPr>
            <w:tcW w:w="2114" w:type="dxa"/>
          </w:tcPr>
          <w:p w14:paraId="149ACB25" w14:textId="77777777" w:rsidR="00A13FDF" w:rsidRPr="00A13FDF" w:rsidRDefault="00A13FDF" w:rsidP="00A13FDF">
            <w:pPr>
              <w:jc w:val="center"/>
              <w:rPr>
                <w:b/>
              </w:rPr>
            </w:pPr>
            <w:r>
              <w:rPr>
                <w:b/>
              </w:rPr>
              <w:t>Number of Grants</w:t>
            </w:r>
          </w:p>
        </w:tc>
      </w:tr>
      <w:tr w:rsidR="00987C66" w14:paraId="6A8007A8" w14:textId="77777777" w:rsidTr="00987C66">
        <w:tc>
          <w:tcPr>
            <w:tcW w:w="2124" w:type="dxa"/>
          </w:tcPr>
          <w:p w14:paraId="0F1CA12D" w14:textId="77777777" w:rsidR="00987C66" w:rsidRDefault="00987C66" w:rsidP="00987C66">
            <w:r>
              <w:t>Clinical Medicine and Science</w:t>
            </w:r>
          </w:p>
        </w:tc>
        <w:tc>
          <w:tcPr>
            <w:tcW w:w="2631" w:type="dxa"/>
          </w:tcPr>
          <w:p w14:paraId="5860042D" w14:textId="364E9D71" w:rsidR="00987C66" w:rsidRPr="00E03DE0" w:rsidRDefault="00987C66" w:rsidP="00987C66">
            <w:pPr>
              <w:jc w:val="center"/>
            </w:pPr>
            <w:r w:rsidRPr="00D9701C">
              <w:t>$107,809,182</w:t>
            </w:r>
          </w:p>
        </w:tc>
        <w:tc>
          <w:tcPr>
            <w:tcW w:w="2147" w:type="dxa"/>
          </w:tcPr>
          <w:p w14:paraId="768D2177" w14:textId="00FAB665" w:rsidR="00987C66" w:rsidRPr="00E03DE0" w:rsidRDefault="00987C66" w:rsidP="00987C66">
            <w:pPr>
              <w:jc w:val="center"/>
            </w:pPr>
            <w:r w:rsidRPr="00D9701C">
              <w:t>68%</w:t>
            </w:r>
          </w:p>
        </w:tc>
        <w:tc>
          <w:tcPr>
            <w:tcW w:w="2114" w:type="dxa"/>
          </w:tcPr>
          <w:p w14:paraId="1F49BA62" w14:textId="2D33F8F7" w:rsidR="00987C66" w:rsidRPr="00E03DE0" w:rsidRDefault="00987C66" w:rsidP="00987C66">
            <w:pPr>
              <w:jc w:val="center"/>
            </w:pPr>
            <w:r w:rsidRPr="00D9701C">
              <w:t>233</w:t>
            </w:r>
          </w:p>
        </w:tc>
      </w:tr>
      <w:tr w:rsidR="00987C66" w14:paraId="38755951" w14:textId="77777777" w:rsidTr="00987C66">
        <w:tc>
          <w:tcPr>
            <w:tcW w:w="2124" w:type="dxa"/>
          </w:tcPr>
          <w:p w14:paraId="4CB2B1DD" w14:textId="77777777" w:rsidR="00987C66" w:rsidRDefault="00987C66" w:rsidP="00987C66">
            <w:r>
              <w:t>Basic Science</w:t>
            </w:r>
          </w:p>
        </w:tc>
        <w:tc>
          <w:tcPr>
            <w:tcW w:w="2631" w:type="dxa"/>
          </w:tcPr>
          <w:p w14:paraId="7E5E5275" w14:textId="3DE2DF05" w:rsidR="00987C66" w:rsidRPr="00E03DE0" w:rsidRDefault="00987C66" w:rsidP="00987C66">
            <w:pPr>
              <w:jc w:val="center"/>
            </w:pPr>
            <w:r w:rsidRPr="00D9701C">
              <w:t>$31,028,351</w:t>
            </w:r>
          </w:p>
        </w:tc>
        <w:tc>
          <w:tcPr>
            <w:tcW w:w="2147" w:type="dxa"/>
          </w:tcPr>
          <w:p w14:paraId="038E5748" w14:textId="43928624" w:rsidR="00987C66" w:rsidRPr="00E03DE0" w:rsidRDefault="00987C66" w:rsidP="00987C66">
            <w:pPr>
              <w:jc w:val="center"/>
            </w:pPr>
            <w:r w:rsidRPr="00D9701C">
              <w:t>20%</w:t>
            </w:r>
          </w:p>
        </w:tc>
        <w:tc>
          <w:tcPr>
            <w:tcW w:w="2114" w:type="dxa"/>
          </w:tcPr>
          <w:p w14:paraId="06B7138A" w14:textId="6730E19A" w:rsidR="00987C66" w:rsidRPr="00E03DE0" w:rsidRDefault="00987C66" w:rsidP="00987C66">
            <w:pPr>
              <w:jc w:val="center"/>
            </w:pPr>
            <w:r w:rsidRPr="00D9701C">
              <w:t>62</w:t>
            </w:r>
          </w:p>
        </w:tc>
      </w:tr>
      <w:tr w:rsidR="00987C66" w14:paraId="4A5F0590" w14:textId="77777777" w:rsidTr="00987C66">
        <w:tc>
          <w:tcPr>
            <w:tcW w:w="2124" w:type="dxa"/>
          </w:tcPr>
          <w:p w14:paraId="08F05D82" w14:textId="77777777" w:rsidR="00987C66" w:rsidRDefault="00987C66" w:rsidP="00987C66">
            <w:r>
              <w:t>Public Health</w:t>
            </w:r>
          </w:p>
        </w:tc>
        <w:tc>
          <w:tcPr>
            <w:tcW w:w="2631" w:type="dxa"/>
          </w:tcPr>
          <w:p w14:paraId="083FF8FB" w14:textId="594BB892" w:rsidR="00987C66" w:rsidRPr="00E03DE0" w:rsidRDefault="00987C66" w:rsidP="00987C66">
            <w:pPr>
              <w:jc w:val="center"/>
            </w:pPr>
            <w:r w:rsidRPr="00D9701C">
              <w:t>$15,472,909</w:t>
            </w:r>
          </w:p>
        </w:tc>
        <w:tc>
          <w:tcPr>
            <w:tcW w:w="2147" w:type="dxa"/>
          </w:tcPr>
          <w:p w14:paraId="193F63DE" w14:textId="48F49AE5" w:rsidR="00987C66" w:rsidRPr="00E03DE0" w:rsidRDefault="00987C66" w:rsidP="00987C66">
            <w:pPr>
              <w:jc w:val="center"/>
            </w:pPr>
            <w:r w:rsidRPr="00D9701C">
              <w:t>10%</w:t>
            </w:r>
          </w:p>
        </w:tc>
        <w:tc>
          <w:tcPr>
            <w:tcW w:w="2114" w:type="dxa"/>
          </w:tcPr>
          <w:p w14:paraId="2FE6F558" w14:textId="6AE72592" w:rsidR="00987C66" w:rsidRPr="00E03DE0" w:rsidRDefault="00987C66" w:rsidP="00987C66">
            <w:pPr>
              <w:jc w:val="center"/>
            </w:pPr>
            <w:r w:rsidRPr="00D9701C">
              <w:t>35</w:t>
            </w:r>
          </w:p>
        </w:tc>
      </w:tr>
      <w:tr w:rsidR="00987C66" w14:paraId="1F04AF31" w14:textId="77777777" w:rsidTr="00987C66">
        <w:tc>
          <w:tcPr>
            <w:tcW w:w="2124" w:type="dxa"/>
          </w:tcPr>
          <w:p w14:paraId="3A6541ED" w14:textId="77777777" w:rsidR="00987C66" w:rsidRDefault="00987C66" w:rsidP="00987C66">
            <w:r>
              <w:t>Health Services Research</w:t>
            </w:r>
          </w:p>
        </w:tc>
        <w:tc>
          <w:tcPr>
            <w:tcW w:w="2631" w:type="dxa"/>
          </w:tcPr>
          <w:p w14:paraId="599EE80E" w14:textId="40993ED6" w:rsidR="00987C66" w:rsidRPr="00E03DE0" w:rsidRDefault="00987C66" w:rsidP="00987C66">
            <w:pPr>
              <w:jc w:val="center"/>
            </w:pPr>
            <w:r w:rsidRPr="00D9701C">
              <w:t>$3,650,104</w:t>
            </w:r>
          </w:p>
        </w:tc>
        <w:tc>
          <w:tcPr>
            <w:tcW w:w="2147" w:type="dxa"/>
          </w:tcPr>
          <w:p w14:paraId="40393B73" w14:textId="520C67B1" w:rsidR="00987C66" w:rsidRPr="00E03DE0" w:rsidRDefault="00987C66" w:rsidP="00987C66">
            <w:pPr>
              <w:jc w:val="center"/>
            </w:pPr>
            <w:r w:rsidRPr="00D9701C">
              <w:t>2%</w:t>
            </w:r>
          </w:p>
        </w:tc>
        <w:tc>
          <w:tcPr>
            <w:tcW w:w="2114" w:type="dxa"/>
          </w:tcPr>
          <w:p w14:paraId="6EAA86DD" w14:textId="40F2C3DF" w:rsidR="00987C66" w:rsidRPr="00E03DE0" w:rsidRDefault="00987C66" w:rsidP="00987C66">
            <w:pPr>
              <w:jc w:val="center"/>
            </w:pPr>
            <w:r w:rsidRPr="00D9701C">
              <w:t>6</w:t>
            </w:r>
          </w:p>
        </w:tc>
      </w:tr>
      <w:tr w:rsidR="00382C22" w14:paraId="40BEE04F" w14:textId="77777777" w:rsidTr="002927E6">
        <w:tc>
          <w:tcPr>
            <w:tcW w:w="2124" w:type="dxa"/>
          </w:tcPr>
          <w:p w14:paraId="11C1BBA7" w14:textId="77777777" w:rsidR="00382C22" w:rsidRPr="00A13FDF" w:rsidRDefault="00382C22" w:rsidP="00382C22">
            <w:pPr>
              <w:rPr>
                <w:b/>
              </w:rPr>
            </w:pPr>
            <w:r w:rsidRPr="00A13FDF">
              <w:rPr>
                <w:b/>
              </w:rPr>
              <w:t>Total</w:t>
            </w:r>
          </w:p>
        </w:tc>
        <w:tc>
          <w:tcPr>
            <w:tcW w:w="2631" w:type="dxa"/>
            <w:vAlign w:val="bottom"/>
          </w:tcPr>
          <w:p w14:paraId="152256BC" w14:textId="3C51224C" w:rsidR="008E4E66" w:rsidRDefault="008E4E66" w:rsidP="008E4E66">
            <w:pPr>
              <w:jc w:val="center"/>
              <w:rPr>
                <w:b/>
              </w:rPr>
            </w:pPr>
            <w:r>
              <w:rPr>
                <w:b/>
                <w:bCs/>
                <w:color w:val="000000"/>
              </w:rPr>
              <w:t>$</w:t>
            </w:r>
            <w:r w:rsidR="00987C66">
              <w:rPr>
                <w:b/>
                <w:bCs/>
                <w:color w:val="000000"/>
              </w:rPr>
              <w:t>157,960,546</w:t>
            </w:r>
          </w:p>
          <w:p w14:paraId="5048A8C5" w14:textId="4722DFC3" w:rsidR="00382C22" w:rsidRPr="00E03DE0" w:rsidRDefault="00382C22" w:rsidP="00022337">
            <w:pPr>
              <w:jc w:val="center"/>
              <w:rPr>
                <w:b/>
              </w:rPr>
            </w:pPr>
          </w:p>
        </w:tc>
        <w:tc>
          <w:tcPr>
            <w:tcW w:w="2147" w:type="dxa"/>
            <w:vAlign w:val="bottom"/>
          </w:tcPr>
          <w:p w14:paraId="0E7F62C3" w14:textId="22858C9C" w:rsidR="00382C22" w:rsidRPr="00E03DE0" w:rsidRDefault="00382C22" w:rsidP="00382C22">
            <w:pPr>
              <w:jc w:val="center"/>
              <w:rPr>
                <w:b/>
              </w:rPr>
            </w:pPr>
            <w:r w:rsidRPr="00E03DE0">
              <w:rPr>
                <w:b/>
                <w:bCs/>
                <w:color w:val="000000"/>
              </w:rPr>
              <w:t>100%</w:t>
            </w:r>
          </w:p>
        </w:tc>
        <w:tc>
          <w:tcPr>
            <w:tcW w:w="2114" w:type="dxa"/>
            <w:vAlign w:val="bottom"/>
          </w:tcPr>
          <w:p w14:paraId="47FC9A79" w14:textId="0F9D80C0" w:rsidR="00382C22" w:rsidRPr="00E03DE0" w:rsidRDefault="00987C66" w:rsidP="008E1DF2">
            <w:pPr>
              <w:jc w:val="center"/>
              <w:rPr>
                <w:b/>
              </w:rPr>
            </w:pPr>
            <w:r>
              <w:rPr>
                <w:b/>
                <w:bCs/>
                <w:color w:val="000000"/>
              </w:rPr>
              <w:t>336</w:t>
            </w:r>
          </w:p>
        </w:tc>
      </w:tr>
    </w:tbl>
    <w:p w14:paraId="75B0140F" w14:textId="77777777" w:rsidR="00A13FDF" w:rsidRPr="00A13FDF" w:rsidRDefault="00A13FDF" w:rsidP="00A13FDF"/>
    <w:p w14:paraId="0C6B4240" w14:textId="7F9A6DD0" w:rsidR="007C220A" w:rsidRDefault="00CF1B56" w:rsidP="00491B29">
      <w:pPr>
        <w:tabs>
          <w:tab w:val="left" w:pos="567"/>
          <w:tab w:val="left" w:pos="1134"/>
          <w:tab w:val="left" w:pos="1701"/>
          <w:tab w:val="left" w:pos="2268"/>
          <w:tab w:val="left" w:pos="2835"/>
          <w:tab w:val="left" w:pos="3402"/>
          <w:tab w:val="left" w:pos="3969"/>
          <w:tab w:val="left" w:pos="4536"/>
        </w:tabs>
      </w:pPr>
      <w:r>
        <w:t>For specific sleep conditions, research related to sleep apn</w:t>
      </w:r>
      <w:r w:rsidR="002927E6">
        <w:t>o</w:t>
      </w:r>
      <w:r>
        <w:t xml:space="preserve">ea received approximately </w:t>
      </w:r>
      <w:r>
        <w:br/>
        <w:t>$</w:t>
      </w:r>
      <w:r w:rsidR="00CA29C3" w:rsidRPr="00CA29C3">
        <w:t xml:space="preserve"> </w:t>
      </w:r>
      <w:r w:rsidR="00987C66">
        <w:t xml:space="preserve">88 million </w:t>
      </w:r>
      <w:r>
        <w:t>b</w:t>
      </w:r>
      <w:r w:rsidRPr="009210B0">
        <w:t xml:space="preserve">etween </w:t>
      </w:r>
      <w:r>
        <w:t xml:space="preserve">the years </w:t>
      </w:r>
      <w:r w:rsidRPr="009210B0">
        <w:t xml:space="preserve">2000 and </w:t>
      </w:r>
      <w:r w:rsidR="00CA29C3" w:rsidRPr="009210B0">
        <w:t>20</w:t>
      </w:r>
      <w:r w:rsidR="00CA29C3">
        <w:t>2</w:t>
      </w:r>
      <w:r w:rsidR="00987C66">
        <w:t>1</w:t>
      </w:r>
      <w:r>
        <w:t xml:space="preserve">, constituting approximately </w:t>
      </w:r>
      <w:r w:rsidR="00987C66">
        <w:t>56</w:t>
      </w:r>
      <w:r>
        <w:t>% of total sleep-related research.</w:t>
      </w:r>
      <w:r w:rsidR="007C220A">
        <w:t xml:space="preserve"> Further information is outlined in Table 3. </w:t>
      </w:r>
    </w:p>
    <w:p w14:paraId="778FA231" w14:textId="4F29E399" w:rsidR="00FF6EA5" w:rsidRDefault="00FF6EA5" w:rsidP="00491B29">
      <w:pPr>
        <w:tabs>
          <w:tab w:val="left" w:pos="567"/>
          <w:tab w:val="left" w:pos="1134"/>
          <w:tab w:val="left" w:pos="1701"/>
          <w:tab w:val="left" w:pos="2268"/>
          <w:tab w:val="left" w:pos="2835"/>
          <w:tab w:val="left" w:pos="3402"/>
          <w:tab w:val="left" w:pos="3969"/>
          <w:tab w:val="left" w:pos="4536"/>
        </w:tabs>
      </w:pPr>
    </w:p>
    <w:p w14:paraId="150D319C" w14:textId="38170D9D" w:rsidR="00FF6EA5" w:rsidRDefault="00FF6EA5" w:rsidP="007B7B81">
      <w:pPr>
        <w:tabs>
          <w:tab w:val="left" w:pos="567"/>
          <w:tab w:val="left" w:pos="1134"/>
          <w:tab w:val="left" w:pos="1701"/>
          <w:tab w:val="left" w:pos="2268"/>
          <w:tab w:val="left" w:pos="2835"/>
          <w:tab w:val="left" w:pos="3402"/>
          <w:tab w:val="left" w:pos="3969"/>
          <w:tab w:val="left" w:pos="4536"/>
        </w:tabs>
        <w:jc w:val="both"/>
      </w:pPr>
    </w:p>
    <w:p w14:paraId="7E62BCEA" w14:textId="50A4518A" w:rsidR="000179E0" w:rsidRPr="003148A5" w:rsidRDefault="000179E0" w:rsidP="0040518C">
      <w:pPr>
        <w:pStyle w:val="Caption"/>
        <w:keepNext/>
        <w:spacing w:after="0"/>
        <w:rPr>
          <w:sz w:val="24"/>
          <w:szCs w:val="24"/>
        </w:rPr>
      </w:pPr>
      <w:r w:rsidRPr="003148A5">
        <w:rPr>
          <w:color w:val="auto"/>
          <w:sz w:val="24"/>
          <w:szCs w:val="24"/>
        </w:rPr>
        <w:t xml:space="preserve">Table </w:t>
      </w:r>
      <w:r w:rsidR="00F40506" w:rsidRPr="003148A5">
        <w:rPr>
          <w:color w:val="auto"/>
          <w:sz w:val="24"/>
          <w:szCs w:val="24"/>
        </w:rPr>
        <w:fldChar w:fldCharType="begin"/>
      </w:r>
      <w:r w:rsidR="00F40506" w:rsidRPr="003148A5">
        <w:rPr>
          <w:color w:val="auto"/>
          <w:sz w:val="24"/>
          <w:szCs w:val="24"/>
        </w:rPr>
        <w:instrText xml:space="preserve"> SEQ Table \* ARABIC </w:instrText>
      </w:r>
      <w:r w:rsidR="00F40506" w:rsidRPr="003148A5">
        <w:rPr>
          <w:color w:val="auto"/>
          <w:sz w:val="24"/>
          <w:szCs w:val="24"/>
        </w:rPr>
        <w:fldChar w:fldCharType="separate"/>
      </w:r>
      <w:r w:rsidR="00912D72" w:rsidRPr="003148A5">
        <w:rPr>
          <w:noProof/>
          <w:color w:val="auto"/>
          <w:sz w:val="24"/>
          <w:szCs w:val="24"/>
        </w:rPr>
        <w:t>3</w:t>
      </w:r>
      <w:r w:rsidR="00F40506" w:rsidRPr="003148A5">
        <w:rPr>
          <w:noProof/>
          <w:color w:val="auto"/>
          <w:sz w:val="24"/>
          <w:szCs w:val="24"/>
        </w:rPr>
        <w:fldChar w:fldCharType="end"/>
      </w:r>
      <w:r w:rsidRPr="003148A5">
        <w:rPr>
          <w:color w:val="auto"/>
          <w:sz w:val="24"/>
          <w:szCs w:val="24"/>
        </w:rPr>
        <w:t xml:space="preserve"> - NHMRC supported research for specific sleep conditions</w:t>
      </w:r>
    </w:p>
    <w:tbl>
      <w:tblPr>
        <w:tblStyle w:val="TableGrid"/>
        <w:tblW w:w="9028" w:type="dxa"/>
        <w:tblLook w:val="04A0" w:firstRow="1" w:lastRow="0" w:firstColumn="1" w:lastColumn="0" w:noHBand="0" w:noVBand="1"/>
      </w:tblPr>
      <w:tblGrid>
        <w:gridCol w:w="2263"/>
        <w:gridCol w:w="3383"/>
        <w:gridCol w:w="3382"/>
      </w:tblGrid>
      <w:tr w:rsidR="00CA2324" w:rsidRPr="00A13FDF" w14:paraId="09C8125D" w14:textId="3EC2BD8C" w:rsidTr="00CA2324">
        <w:trPr>
          <w:trHeight w:val="515"/>
        </w:trPr>
        <w:tc>
          <w:tcPr>
            <w:tcW w:w="2263" w:type="dxa"/>
          </w:tcPr>
          <w:p w14:paraId="19AA988D" w14:textId="71A0E5A1" w:rsidR="00CA2324" w:rsidRPr="00A13FDF" w:rsidRDefault="00CA2324" w:rsidP="007B7B81">
            <w:pPr>
              <w:rPr>
                <w:b/>
              </w:rPr>
            </w:pPr>
            <w:r>
              <w:rPr>
                <w:b/>
              </w:rPr>
              <w:t>Sleep Condition</w:t>
            </w:r>
          </w:p>
        </w:tc>
        <w:tc>
          <w:tcPr>
            <w:tcW w:w="3383" w:type="dxa"/>
          </w:tcPr>
          <w:p w14:paraId="40AB0C66" w14:textId="6273D3AC" w:rsidR="00CA2324" w:rsidRPr="00A13FDF" w:rsidRDefault="00CA2324" w:rsidP="00CA2324">
            <w:pPr>
              <w:jc w:val="center"/>
              <w:rPr>
                <w:b/>
              </w:rPr>
            </w:pPr>
            <w:r>
              <w:rPr>
                <w:b/>
              </w:rPr>
              <w:t>Total Expenditure 2000-</w:t>
            </w:r>
            <w:r w:rsidR="00CA29C3">
              <w:rPr>
                <w:b/>
              </w:rPr>
              <w:t>202</w:t>
            </w:r>
            <w:r w:rsidR="00987C66">
              <w:rPr>
                <w:b/>
              </w:rPr>
              <w:t>1</w:t>
            </w:r>
            <w:r>
              <w:rPr>
                <w:b/>
              </w:rPr>
              <w:t>*</w:t>
            </w:r>
          </w:p>
        </w:tc>
        <w:tc>
          <w:tcPr>
            <w:tcW w:w="3382" w:type="dxa"/>
          </w:tcPr>
          <w:p w14:paraId="7D078137" w14:textId="22030D79" w:rsidR="00CA2324" w:rsidRPr="00A13FDF" w:rsidRDefault="00CA2324" w:rsidP="007B7B81">
            <w:pPr>
              <w:jc w:val="center"/>
              <w:rPr>
                <w:b/>
              </w:rPr>
            </w:pPr>
            <w:r>
              <w:rPr>
                <w:b/>
              </w:rPr>
              <w:t>Percentage of Total Sleep Research</w:t>
            </w:r>
          </w:p>
        </w:tc>
      </w:tr>
      <w:tr w:rsidR="00987C66" w14:paraId="6A8274B6" w14:textId="0BC928A9" w:rsidTr="00987C66">
        <w:trPr>
          <w:trHeight w:val="259"/>
        </w:trPr>
        <w:tc>
          <w:tcPr>
            <w:tcW w:w="2263" w:type="dxa"/>
          </w:tcPr>
          <w:p w14:paraId="5B75343A" w14:textId="107794B9" w:rsidR="00987C66" w:rsidRDefault="00987C66" w:rsidP="00987C66">
            <w:pPr>
              <w:jc w:val="center"/>
            </w:pPr>
            <w:r>
              <w:t>Sleep apnoea</w:t>
            </w:r>
          </w:p>
        </w:tc>
        <w:tc>
          <w:tcPr>
            <w:tcW w:w="3383" w:type="dxa"/>
          </w:tcPr>
          <w:p w14:paraId="3A6188FC" w14:textId="108C6B4B" w:rsidR="00987C66" w:rsidRPr="00E03DE0" w:rsidRDefault="00987C66" w:rsidP="00987C66">
            <w:pPr>
              <w:jc w:val="center"/>
            </w:pPr>
            <w:r w:rsidRPr="00957034">
              <w:t>$88,319,934</w:t>
            </w:r>
          </w:p>
        </w:tc>
        <w:tc>
          <w:tcPr>
            <w:tcW w:w="3382" w:type="dxa"/>
          </w:tcPr>
          <w:p w14:paraId="4AD10550" w14:textId="75FCCEBF" w:rsidR="00987C66" w:rsidRPr="00E03DE0" w:rsidRDefault="00987C66" w:rsidP="00987C66">
            <w:pPr>
              <w:jc w:val="center"/>
            </w:pPr>
            <w:r w:rsidRPr="00957034">
              <w:t>56%</w:t>
            </w:r>
          </w:p>
        </w:tc>
      </w:tr>
      <w:tr w:rsidR="00987C66" w14:paraId="3F325E7A" w14:textId="3732C001" w:rsidTr="00987C66">
        <w:trPr>
          <w:trHeight w:val="257"/>
        </w:trPr>
        <w:tc>
          <w:tcPr>
            <w:tcW w:w="2263" w:type="dxa"/>
          </w:tcPr>
          <w:p w14:paraId="29C45E55" w14:textId="20FE2CEE" w:rsidR="00987C66" w:rsidRDefault="00987C66" w:rsidP="00987C66">
            <w:pPr>
              <w:jc w:val="center"/>
            </w:pPr>
            <w:r>
              <w:t>Insomnia</w:t>
            </w:r>
          </w:p>
        </w:tc>
        <w:tc>
          <w:tcPr>
            <w:tcW w:w="3383" w:type="dxa"/>
          </w:tcPr>
          <w:p w14:paraId="6D63B227" w14:textId="1D22D9A0" w:rsidR="00987C66" w:rsidRPr="00E03DE0" w:rsidRDefault="00987C66" w:rsidP="00987C66">
            <w:pPr>
              <w:jc w:val="center"/>
            </w:pPr>
            <w:r w:rsidRPr="00957034">
              <w:t>$22,048,331</w:t>
            </w:r>
          </w:p>
        </w:tc>
        <w:tc>
          <w:tcPr>
            <w:tcW w:w="3382" w:type="dxa"/>
          </w:tcPr>
          <w:p w14:paraId="24B662C1" w14:textId="6F0BADB2" w:rsidR="00987C66" w:rsidRPr="00E03DE0" w:rsidRDefault="00987C66" w:rsidP="00987C66">
            <w:pPr>
              <w:jc w:val="center"/>
            </w:pPr>
            <w:r w:rsidRPr="00957034">
              <w:t>14%</w:t>
            </w:r>
          </w:p>
        </w:tc>
      </w:tr>
      <w:tr w:rsidR="00987C66" w14:paraId="33217800" w14:textId="752E1216" w:rsidTr="00987C66">
        <w:trPr>
          <w:trHeight w:val="255"/>
        </w:trPr>
        <w:tc>
          <w:tcPr>
            <w:tcW w:w="2263" w:type="dxa"/>
          </w:tcPr>
          <w:p w14:paraId="7A7E949F" w14:textId="1188CC83" w:rsidR="00987C66" w:rsidRDefault="00987C66" w:rsidP="00987C66">
            <w:pPr>
              <w:jc w:val="center"/>
            </w:pPr>
            <w:r>
              <w:t>Narcolepsy</w:t>
            </w:r>
          </w:p>
        </w:tc>
        <w:tc>
          <w:tcPr>
            <w:tcW w:w="3383" w:type="dxa"/>
          </w:tcPr>
          <w:p w14:paraId="65188382" w14:textId="2E137396" w:rsidR="00987C66" w:rsidRPr="00E03DE0" w:rsidRDefault="00987C66" w:rsidP="00987C66">
            <w:pPr>
              <w:jc w:val="center"/>
            </w:pPr>
            <w:r w:rsidRPr="00957034">
              <w:t>$814,385</w:t>
            </w:r>
          </w:p>
        </w:tc>
        <w:tc>
          <w:tcPr>
            <w:tcW w:w="3382" w:type="dxa"/>
          </w:tcPr>
          <w:p w14:paraId="7879F3DB" w14:textId="3B4606F4" w:rsidR="00987C66" w:rsidRPr="00E03DE0" w:rsidRDefault="00987C66" w:rsidP="00987C66">
            <w:pPr>
              <w:jc w:val="center"/>
            </w:pPr>
            <w:r w:rsidRPr="00957034">
              <w:t>1%</w:t>
            </w:r>
          </w:p>
        </w:tc>
      </w:tr>
      <w:tr w:rsidR="00987C66" w14:paraId="47943A15" w14:textId="4EA40390" w:rsidTr="00987C66">
        <w:trPr>
          <w:trHeight w:val="515"/>
        </w:trPr>
        <w:tc>
          <w:tcPr>
            <w:tcW w:w="2263" w:type="dxa"/>
          </w:tcPr>
          <w:p w14:paraId="25EFDAC4" w14:textId="3D9157A4" w:rsidR="00987C66" w:rsidRDefault="00987C66" w:rsidP="00987C66">
            <w:r>
              <w:t>Sleep research not attributed to the conditions above**</w:t>
            </w:r>
          </w:p>
        </w:tc>
        <w:tc>
          <w:tcPr>
            <w:tcW w:w="3383" w:type="dxa"/>
          </w:tcPr>
          <w:p w14:paraId="7DA84DF7" w14:textId="088580BB" w:rsidR="00987C66" w:rsidRPr="00E03DE0" w:rsidRDefault="00987C66" w:rsidP="00987C66">
            <w:pPr>
              <w:jc w:val="center"/>
            </w:pPr>
            <w:r w:rsidRPr="00957034">
              <w:t>$46,777,896</w:t>
            </w:r>
          </w:p>
        </w:tc>
        <w:tc>
          <w:tcPr>
            <w:tcW w:w="3382" w:type="dxa"/>
          </w:tcPr>
          <w:p w14:paraId="3CC408D9" w14:textId="45DFF51C" w:rsidR="00987C66" w:rsidRPr="00E03DE0" w:rsidRDefault="00987C66" w:rsidP="00987C66">
            <w:pPr>
              <w:jc w:val="center"/>
            </w:pPr>
            <w:r w:rsidRPr="00957034">
              <w:t>30%</w:t>
            </w:r>
          </w:p>
        </w:tc>
      </w:tr>
      <w:tr w:rsidR="00CA2324" w:rsidRPr="00A13FDF" w14:paraId="331566FC" w14:textId="2835F4B1" w:rsidTr="00CA2324">
        <w:trPr>
          <w:trHeight w:val="257"/>
        </w:trPr>
        <w:tc>
          <w:tcPr>
            <w:tcW w:w="2263" w:type="dxa"/>
          </w:tcPr>
          <w:p w14:paraId="260574D7" w14:textId="2D4E8FF0" w:rsidR="00CA2324" w:rsidRPr="00A13FDF" w:rsidRDefault="00CA2324" w:rsidP="000179E0">
            <w:pPr>
              <w:rPr>
                <w:b/>
              </w:rPr>
            </w:pPr>
            <w:r>
              <w:rPr>
                <w:b/>
              </w:rPr>
              <w:t>Total Sleep Research</w:t>
            </w:r>
          </w:p>
        </w:tc>
        <w:tc>
          <w:tcPr>
            <w:tcW w:w="3383" w:type="dxa"/>
            <w:vAlign w:val="center"/>
          </w:tcPr>
          <w:p w14:paraId="3A60119B" w14:textId="3BCAFDBA" w:rsidR="00CA2324" w:rsidRPr="00E03DE0" w:rsidRDefault="00CA29C3" w:rsidP="00CD0BEB">
            <w:pPr>
              <w:jc w:val="center"/>
              <w:rPr>
                <w:b/>
              </w:rPr>
            </w:pPr>
            <w:r>
              <w:rPr>
                <w:b/>
                <w:bCs/>
                <w:color w:val="000000"/>
              </w:rPr>
              <w:t>$</w:t>
            </w:r>
            <w:r w:rsidR="00987C66">
              <w:rPr>
                <w:b/>
                <w:bCs/>
                <w:color w:val="000000"/>
              </w:rPr>
              <w:t>157,960,546</w:t>
            </w:r>
          </w:p>
        </w:tc>
        <w:tc>
          <w:tcPr>
            <w:tcW w:w="3382" w:type="dxa"/>
            <w:vAlign w:val="center"/>
          </w:tcPr>
          <w:p w14:paraId="12903550" w14:textId="6D07D386" w:rsidR="00CA2324" w:rsidRPr="00E03DE0" w:rsidRDefault="00CA2324" w:rsidP="000179E0">
            <w:pPr>
              <w:jc w:val="center"/>
              <w:rPr>
                <w:b/>
              </w:rPr>
            </w:pPr>
            <w:r w:rsidRPr="00E03DE0">
              <w:rPr>
                <w:b/>
                <w:bCs/>
                <w:color w:val="000000"/>
                <w:lang w:eastAsia="en-AU"/>
              </w:rPr>
              <w:t>100%</w:t>
            </w:r>
          </w:p>
        </w:tc>
      </w:tr>
    </w:tbl>
    <w:p w14:paraId="30BD26E3" w14:textId="12AC64AF" w:rsidR="000179E0" w:rsidRPr="000179E0" w:rsidRDefault="000179E0" w:rsidP="0040518C">
      <w:pPr>
        <w:spacing w:after="120"/>
        <w:rPr>
          <w:sz w:val="20"/>
        </w:rPr>
      </w:pPr>
      <w:r w:rsidRPr="000179E0">
        <w:rPr>
          <w:sz w:val="20"/>
        </w:rPr>
        <w:t>*NHMRC grants can be attributed to multiple sleep conditions, which may result in a small amount of double counting between the specific sleep conditions listed above.</w:t>
      </w:r>
    </w:p>
    <w:p w14:paraId="3723F2EB" w14:textId="10B858C2" w:rsidR="000179E0" w:rsidRPr="000179E0" w:rsidRDefault="000179E0" w:rsidP="00491B29">
      <w:pPr>
        <w:rPr>
          <w:sz w:val="20"/>
        </w:rPr>
      </w:pPr>
      <w:r w:rsidRPr="000179E0">
        <w:rPr>
          <w:sz w:val="20"/>
        </w:rPr>
        <w:t>**Includes all other sleep research not specifically attributed to sleep apn</w:t>
      </w:r>
      <w:r w:rsidR="00912C23">
        <w:rPr>
          <w:sz w:val="20"/>
        </w:rPr>
        <w:t>o</w:t>
      </w:r>
      <w:r w:rsidRPr="000179E0">
        <w:rPr>
          <w:sz w:val="20"/>
        </w:rPr>
        <w:t>ea, insomnia, or narcolepsy. This includes the Centre of Research Excellence to Optimise Sleep in Brain Ageing and Neurodegeneration (CogSleep), the effects of sleep on depression or ADHD, the Centre of Research Excellence for Early intervention for mood disorders, wind farms and human health research, as well as other sleep-related basic science research, clinical science research, and health services research.</w:t>
      </w:r>
    </w:p>
    <w:p w14:paraId="7F112E03" w14:textId="77777777" w:rsidR="000179E0" w:rsidRDefault="000179E0" w:rsidP="00491B29"/>
    <w:p w14:paraId="15410F88" w14:textId="77777777" w:rsidR="00EE136D" w:rsidRDefault="00EE136D">
      <w:pPr>
        <w:spacing w:after="160" w:line="259" w:lineRule="auto"/>
      </w:pPr>
      <w:r>
        <w:br w:type="page"/>
      </w:r>
    </w:p>
    <w:p w14:paraId="7EFE69B9" w14:textId="17899C62" w:rsidR="00D33B2D" w:rsidRPr="00DA45EB" w:rsidRDefault="000179E0" w:rsidP="00491B29">
      <w:r w:rsidRPr="00DA45EB">
        <w:lastRenderedPageBreak/>
        <w:t>As classified by the Australian and New Zealand Standard Research Classifications (ANZSRC) Field of Research, NHMRC supported sleep research covered approximately 60 different fields of research as classified at the six-digit level. The largest was Respiratory Diseases, which received $</w:t>
      </w:r>
      <w:r w:rsidR="00987C66">
        <w:t>44.3</w:t>
      </w:r>
      <w:r w:rsidR="00CA29C3" w:rsidRPr="00DE148F">
        <w:t xml:space="preserve"> </w:t>
      </w:r>
      <w:r w:rsidRPr="00DE148F">
        <w:t xml:space="preserve">million to support </w:t>
      </w:r>
      <w:r w:rsidR="00987C66">
        <w:t>103</w:t>
      </w:r>
      <w:r w:rsidR="00987C66" w:rsidRPr="00DA45EB">
        <w:t xml:space="preserve"> </w:t>
      </w:r>
      <w:r w:rsidRPr="00DA45EB">
        <w:t>grants (approximately 3</w:t>
      </w:r>
      <w:r w:rsidR="00CD0BEB" w:rsidRPr="00DA45EB">
        <w:t>0</w:t>
      </w:r>
      <w:r w:rsidRPr="00DA45EB">
        <w:t>% of the total).</w:t>
      </w:r>
      <w:r w:rsidR="00CA742D" w:rsidRPr="00DA45EB">
        <w:t xml:space="preserve"> Further information is outlined in Table 4.</w:t>
      </w:r>
    </w:p>
    <w:p w14:paraId="598A6D37" w14:textId="54A97F15" w:rsidR="00CA742D" w:rsidRPr="00DA45EB" w:rsidRDefault="00CA742D" w:rsidP="00491B29"/>
    <w:p w14:paraId="5AB57287" w14:textId="06912729" w:rsidR="00CA742D" w:rsidRPr="00DA45EB" w:rsidRDefault="00CA742D" w:rsidP="00CA742D">
      <w:pPr>
        <w:pStyle w:val="Caption"/>
        <w:keepNext/>
        <w:spacing w:after="0"/>
        <w:rPr>
          <w:color w:val="auto"/>
          <w:sz w:val="24"/>
          <w:szCs w:val="24"/>
        </w:rPr>
      </w:pPr>
      <w:r w:rsidRPr="00DA45EB">
        <w:rPr>
          <w:color w:val="auto"/>
          <w:sz w:val="24"/>
          <w:szCs w:val="24"/>
        </w:rPr>
        <w:t>Table 4 - NHMRC supported sleep research by Field of Research</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8"/>
        <w:gridCol w:w="1578"/>
        <w:gridCol w:w="1465"/>
        <w:gridCol w:w="1465"/>
      </w:tblGrid>
      <w:tr w:rsidR="00572CE8" w14:paraId="4308731A" w14:textId="77777777" w:rsidTr="007868EF">
        <w:trPr>
          <w:trHeight w:val="412"/>
        </w:trPr>
        <w:tc>
          <w:tcPr>
            <w:tcW w:w="4418" w:type="dxa"/>
            <w:shd w:val="clear" w:color="auto" w:fill="auto"/>
            <w:noWrap/>
            <w:vAlign w:val="bottom"/>
          </w:tcPr>
          <w:p w14:paraId="46328814" w14:textId="77777777" w:rsidR="00572CE8" w:rsidRDefault="00572CE8" w:rsidP="00572CE8">
            <w:pPr>
              <w:rPr>
                <w:b/>
                <w:bCs/>
                <w:color w:val="000000"/>
                <w:lang w:eastAsia="en-AU"/>
              </w:rPr>
            </w:pPr>
            <w:r>
              <w:rPr>
                <w:b/>
                <w:bCs/>
                <w:color w:val="000000"/>
                <w:lang w:eastAsia="en-AU"/>
              </w:rPr>
              <w:t>Field of Research</w:t>
            </w:r>
          </w:p>
        </w:tc>
        <w:tc>
          <w:tcPr>
            <w:tcW w:w="1578" w:type="dxa"/>
            <w:shd w:val="clear" w:color="auto" w:fill="auto"/>
            <w:noWrap/>
            <w:vAlign w:val="bottom"/>
          </w:tcPr>
          <w:p w14:paraId="1B9B509E" w14:textId="1D3F36B6" w:rsidR="00572CE8" w:rsidRDefault="00572CE8" w:rsidP="00572CE8">
            <w:pPr>
              <w:jc w:val="center"/>
              <w:rPr>
                <w:b/>
                <w:bCs/>
                <w:color w:val="000000"/>
              </w:rPr>
            </w:pPr>
            <w:r>
              <w:rPr>
                <w:b/>
                <w:bCs/>
                <w:color w:val="000000"/>
              </w:rPr>
              <w:t>Total expenditure 2000 to 202</w:t>
            </w:r>
            <w:r w:rsidR="00987C66">
              <w:rPr>
                <w:b/>
                <w:bCs/>
                <w:color w:val="000000"/>
              </w:rPr>
              <w:t>1</w:t>
            </w:r>
          </w:p>
        </w:tc>
        <w:tc>
          <w:tcPr>
            <w:tcW w:w="1465" w:type="dxa"/>
            <w:vAlign w:val="bottom"/>
          </w:tcPr>
          <w:p w14:paraId="30707FB6" w14:textId="77777777" w:rsidR="00572CE8" w:rsidRDefault="00572CE8" w:rsidP="00572CE8">
            <w:pPr>
              <w:jc w:val="center"/>
              <w:rPr>
                <w:b/>
                <w:bCs/>
                <w:color w:val="000000"/>
              </w:rPr>
            </w:pPr>
            <w:r>
              <w:rPr>
                <w:b/>
                <w:bCs/>
                <w:color w:val="000000"/>
              </w:rPr>
              <w:t>Percentage of Total</w:t>
            </w:r>
          </w:p>
        </w:tc>
        <w:tc>
          <w:tcPr>
            <w:tcW w:w="1465" w:type="dxa"/>
            <w:shd w:val="clear" w:color="auto" w:fill="auto"/>
            <w:noWrap/>
            <w:vAlign w:val="bottom"/>
          </w:tcPr>
          <w:p w14:paraId="66E03970" w14:textId="77777777" w:rsidR="00572CE8" w:rsidRDefault="00572CE8" w:rsidP="00572CE8">
            <w:pPr>
              <w:jc w:val="center"/>
              <w:rPr>
                <w:b/>
                <w:bCs/>
                <w:color w:val="000000"/>
              </w:rPr>
            </w:pPr>
            <w:r>
              <w:rPr>
                <w:b/>
                <w:bCs/>
                <w:color w:val="000000"/>
              </w:rPr>
              <w:t>Number of Grants</w:t>
            </w:r>
          </w:p>
        </w:tc>
      </w:tr>
      <w:tr w:rsidR="00987C66" w14:paraId="641E4E8E" w14:textId="77777777" w:rsidTr="00987C66">
        <w:trPr>
          <w:trHeight w:val="412"/>
        </w:trPr>
        <w:tc>
          <w:tcPr>
            <w:tcW w:w="4418" w:type="dxa"/>
            <w:shd w:val="clear" w:color="auto" w:fill="auto"/>
            <w:noWrap/>
            <w:vAlign w:val="bottom"/>
          </w:tcPr>
          <w:p w14:paraId="36347820" w14:textId="77777777" w:rsidR="00987C66" w:rsidRPr="004C48D6" w:rsidRDefault="00987C66" w:rsidP="00987C66">
            <w:pPr>
              <w:rPr>
                <w:color w:val="000000"/>
                <w:lang w:eastAsia="en-AU"/>
              </w:rPr>
            </w:pPr>
            <w:r w:rsidRPr="004C48D6">
              <w:rPr>
                <w:color w:val="000000"/>
                <w:lang w:eastAsia="en-AU"/>
              </w:rPr>
              <w:t>Respiratory Diseases</w:t>
            </w:r>
          </w:p>
        </w:tc>
        <w:tc>
          <w:tcPr>
            <w:tcW w:w="1578" w:type="dxa"/>
            <w:shd w:val="clear" w:color="auto" w:fill="auto"/>
            <w:noWrap/>
          </w:tcPr>
          <w:p w14:paraId="15F128A3" w14:textId="1D229F76" w:rsidR="00987C66" w:rsidRPr="004C48D6" w:rsidRDefault="00987C66" w:rsidP="00987C66">
            <w:pPr>
              <w:jc w:val="center"/>
              <w:rPr>
                <w:color w:val="000000"/>
              </w:rPr>
            </w:pPr>
            <w:r w:rsidRPr="00375C66">
              <w:t>$44,345,191</w:t>
            </w:r>
          </w:p>
        </w:tc>
        <w:tc>
          <w:tcPr>
            <w:tcW w:w="1465" w:type="dxa"/>
          </w:tcPr>
          <w:p w14:paraId="5FB0B3DA" w14:textId="544C464F" w:rsidR="00987C66" w:rsidRPr="004C48D6" w:rsidRDefault="00987C66" w:rsidP="00987C66">
            <w:pPr>
              <w:jc w:val="center"/>
              <w:rPr>
                <w:color w:val="000000"/>
              </w:rPr>
            </w:pPr>
            <w:r w:rsidRPr="00375C66">
              <w:t>28%</w:t>
            </w:r>
          </w:p>
        </w:tc>
        <w:tc>
          <w:tcPr>
            <w:tcW w:w="1465" w:type="dxa"/>
            <w:shd w:val="clear" w:color="auto" w:fill="auto"/>
            <w:noWrap/>
          </w:tcPr>
          <w:p w14:paraId="18F0ACB5" w14:textId="0D3239BE" w:rsidR="00987C66" w:rsidRPr="004C48D6" w:rsidRDefault="00987C66" w:rsidP="00987C66">
            <w:pPr>
              <w:jc w:val="center"/>
              <w:rPr>
                <w:color w:val="000000"/>
              </w:rPr>
            </w:pPr>
            <w:r w:rsidRPr="00375C66">
              <w:t>103</w:t>
            </w:r>
          </w:p>
        </w:tc>
      </w:tr>
      <w:tr w:rsidR="00987C66" w14:paraId="191C489F" w14:textId="77777777" w:rsidTr="00987C66">
        <w:trPr>
          <w:trHeight w:val="412"/>
        </w:trPr>
        <w:tc>
          <w:tcPr>
            <w:tcW w:w="4418" w:type="dxa"/>
            <w:shd w:val="clear" w:color="auto" w:fill="auto"/>
            <w:noWrap/>
            <w:vAlign w:val="bottom"/>
          </w:tcPr>
          <w:p w14:paraId="79B87D44" w14:textId="77777777" w:rsidR="00987C66" w:rsidRPr="004C48D6" w:rsidRDefault="00987C66" w:rsidP="00987C66">
            <w:pPr>
              <w:rPr>
                <w:color w:val="000000"/>
                <w:lang w:eastAsia="en-AU"/>
              </w:rPr>
            </w:pPr>
            <w:r w:rsidRPr="004C48D6">
              <w:rPr>
                <w:color w:val="000000"/>
                <w:lang w:eastAsia="en-AU"/>
              </w:rPr>
              <w:t>Clinical Sciences not elsewhere classified</w:t>
            </w:r>
          </w:p>
        </w:tc>
        <w:tc>
          <w:tcPr>
            <w:tcW w:w="1578" w:type="dxa"/>
            <w:shd w:val="clear" w:color="auto" w:fill="auto"/>
            <w:noWrap/>
          </w:tcPr>
          <w:p w14:paraId="35AA982F" w14:textId="5ADDD6DC" w:rsidR="00987C66" w:rsidRPr="004C48D6" w:rsidRDefault="00987C66" w:rsidP="00987C66">
            <w:pPr>
              <w:jc w:val="center"/>
              <w:rPr>
                <w:color w:val="000000"/>
              </w:rPr>
            </w:pPr>
            <w:r w:rsidRPr="00375C66">
              <w:t>$17,220,413</w:t>
            </w:r>
          </w:p>
        </w:tc>
        <w:tc>
          <w:tcPr>
            <w:tcW w:w="1465" w:type="dxa"/>
          </w:tcPr>
          <w:p w14:paraId="6C9D0DED" w14:textId="0B888F8A" w:rsidR="00987C66" w:rsidRPr="004C48D6" w:rsidRDefault="00987C66" w:rsidP="00987C66">
            <w:pPr>
              <w:jc w:val="center"/>
              <w:rPr>
                <w:color w:val="000000"/>
              </w:rPr>
            </w:pPr>
            <w:r w:rsidRPr="00375C66">
              <w:t>11%</w:t>
            </w:r>
          </w:p>
        </w:tc>
        <w:tc>
          <w:tcPr>
            <w:tcW w:w="1465" w:type="dxa"/>
            <w:shd w:val="clear" w:color="auto" w:fill="auto"/>
            <w:noWrap/>
          </w:tcPr>
          <w:p w14:paraId="602C288B" w14:textId="10F75DE7" w:rsidR="00987C66" w:rsidRPr="004C48D6" w:rsidRDefault="00987C66" w:rsidP="00987C66">
            <w:pPr>
              <w:jc w:val="center"/>
              <w:rPr>
                <w:color w:val="000000"/>
              </w:rPr>
            </w:pPr>
            <w:r w:rsidRPr="00375C66">
              <w:t>26</w:t>
            </w:r>
          </w:p>
        </w:tc>
      </w:tr>
      <w:tr w:rsidR="00987C66" w14:paraId="089399B0" w14:textId="77777777" w:rsidTr="00987C66">
        <w:trPr>
          <w:trHeight w:val="412"/>
        </w:trPr>
        <w:tc>
          <w:tcPr>
            <w:tcW w:w="4418" w:type="dxa"/>
            <w:shd w:val="clear" w:color="auto" w:fill="auto"/>
            <w:noWrap/>
            <w:vAlign w:val="bottom"/>
          </w:tcPr>
          <w:p w14:paraId="6D1AB35B" w14:textId="77777777" w:rsidR="00987C66" w:rsidRPr="004C48D6" w:rsidRDefault="00987C66" w:rsidP="00987C66">
            <w:pPr>
              <w:rPr>
                <w:color w:val="000000"/>
                <w:lang w:eastAsia="en-AU"/>
              </w:rPr>
            </w:pPr>
            <w:r w:rsidRPr="004C48D6">
              <w:rPr>
                <w:color w:val="000000"/>
                <w:lang w:eastAsia="en-AU"/>
              </w:rPr>
              <w:t>Paediatrics</w:t>
            </w:r>
          </w:p>
        </w:tc>
        <w:tc>
          <w:tcPr>
            <w:tcW w:w="1578" w:type="dxa"/>
            <w:shd w:val="clear" w:color="auto" w:fill="auto"/>
            <w:noWrap/>
          </w:tcPr>
          <w:p w14:paraId="345FA1B8" w14:textId="7CDA264E" w:rsidR="00987C66" w:rsidRPr="004C48D6" w:rsidRDefault="00987C66" w:rsidP="00987C66">
            <w:pPr>
              <w:jc w:val="center"/>
              <w:rPr>
                <w:color w:val="000000"/>
              </w:rPr>
            </w:pPr>
            <w:r w:rsidRPr="00375C66">
              <w:t>$10,218,255</w:t>
            </w:r>
          </w:p>
        </w:tc>
        <w:tc>
          <w:tcPr>
            <w:tcW w:w="1465" w:type="dxa"/>
          </w:tcPr>
          <w:p w14:paraId="53CBECD4" w14:textId="57FC71CD" w:rsidR="00987C66" w:rsidRPr="004C48D6" w:rsidRDefault="00987C66" w:rsidP="00987C66">
            <w:pPr>
              <w:jc w:val="center"/>
              <w:rPr>
                <w:color w:val="000000"/>
              </w:rPr>
            </w:pPr>
            <w:r w:rsidRPr="00375C66">
              <w:t>6%</w:t>
            </w:r>
          </w:p>
        </w:tc>
        <w:tc>
          <w:tcPr>
            <w:tcW w:w="1465" w:type="dxa"/>
            <w:shd w:val="clear" w:color="auto" w:fill="auto"/>
            <w:noWrap/>
          </w:tcPr>
          <w:p w14:paraId="51496AD0" w14:textId="0AA69BDE" w:rsidR="00987C66" w:rsidRPr="004C48D6" w:rsidRDefault="00987C66" w:rsidP="00987C66">
            <w:pPr>
              <w:jc w:val="center"/>
              <w:rPr>
                <w:color w:val="000000"/>
              </w:rPr>
            </w:pPr>
            <w:r w:rsidRPr="00375C66">
              <w:t>28</w:t>
            </w:r>
          </w:p>
        </w:tc>
      </w:tr>
      <w:tr w:rsidR="00987C66" w14:paraId="55D9B888" w14:textId="77777777" w:rsidTr="00987C66">
        <w:trPr>
          <w:trHeight w:val="412"/>
        </w:trPr>
        <w:tc>
          <w:tcPr>
            <w:tcW w:w="4418" w:type="dxa"/>
            <w:shd w:val="clear" w:color="auto" w:fill="auto"/>
            <w:noWrap/>
            <w:vAlign w:val="bottom"/>
          </w:tcPr>
          <w:p w14:paraId="217BAC89" w14:textId="77777777" w:rsidR="00987C66" w:rsidRPr="004C48D6" w:rsidRDefault="00987C66" w:rsidP="00987C66">
            <w:pPr>
              <w:rPr>
                <w:color w:val="000000"/>
                <w:lang w:eastAsia="en-AU"/>
              </w:rPr>
            </w:pPr>
            <w:r w:rsidRPr="004C48D6">
              <w:rPr>
                <w:color w:val="000000"/>
                <w:lang w:eastAsia="en-AU"/>
              </w:rPr>
              <w:t>Systems Physiology</w:t>
            </w:r>
          </w:p>
        </w:tc>
        <w:tc>
          <w:tcPr>
            <w:tcW w:w="1578" w:type="dxa"/>
            <w:shd w:val="clear" w:color="auto" w:fill="auto"/>
            <w:noWrap/>
          </w:tcPr>
          <w:p w14:paraId="2096D512" w14:textId="34B657AF" w:rsidR="00987C66" w:rsidRPr="004C48D6" w:rsidRDefault="00987C66" w:rsidP="00987C66">
            <w:pPr>
              <w:jc w:val="center"/>
              <w:rPr>
                <w:color w:val="000000"/>
              </w:rPr>
            </w:pPr>
            <w:r w:rsidRPr="00375C66">
              <w:t>$6,476,138</w:t>
            </w:r>
          </w:p>
        </w:tc>
        <w:tc>
          <w:tcPr>
            <w:tcW w:w="1465" w:type="dxa"/>
          </w:tcPr>
          <w:p w14:paraId="5578CA16" w14:textId="524EABB7" w:rsidR="00987C66" w:rsidRPr="004C48D6" w:rsidRDefault="00987C66" w:rsidP="00987C66">
            <w:pPr>
              <w:jc w:val="center"/>
              <w:rPr>
                <w:color w:val="000000"/>
              </w:rPr>
            </w:pPr>
            <w:r w:rsidRPr="00375C66">
              <w:t>4%</w:t>
            </w:r>
          </w:p>
        </w:tc>
        <w:tc>
          <w:tcPr>
            <w:tcW w:w="1465" w:type="dxa"/>
            <w:shd w:val="clear" w:color="auto" w:fill="auto"/>
            <w:noWrap/>
          </w:tcPr>
          <w:p w14:paraId="15ED90D3" w14:textId="2F1E6ED6" w:rsidR="00987C66" w:rsidRPr="004C48D6" w:rsidRDefault="00987C66" w:rsidP="00987C66">
            <w:pPr>
              <w:jc w:val="center"/>
              <w:rPr>
                <w:color w:val="000000"/>
              </w:rPr>
            </w:pPr>
            <w:r w:rsidRPr="00375C66">
              <w:t>15</w:t>
            </w:r>
          </w:p>
        </w:tc>
      </w:tr>
      <w:tr w:rsidR="00987C66" w14:paraId="4DC56E95" w14:textId="77777777" w:rsidTr="00987C66">
        <w:trPr>
          <w:trHeight w:val="412"/>
        </w:trPr>
        <w:tc>
          <w:tcPr>
            <w:tcW w:w="4418" w:type="dxa"/>
            <w:shd w:val="clear" w:color="auto" w:fill="auto"/>
            <w:noWrap/>
            <w:vAlign w:val="bottom"/>
          </w:tcPr>
          <w:p w14:paraId="1C8916FF" w14:textId="77777777" w:rsidR="00987C66" w:rsidRPr="004C48D6" w:rsidRDefault="00987C66" w:rsidP="00987C66">
            <w:pPr>
              <w:rPr>
                <w:color w:val="000000"/>
                <w:lang w:eastAsia="en-AU"/>
              </w:rPr>
            </w:pPr>
            <w:r w:rsidRPr="004C48D6">
              <w:rPr>
                <w:color w:val="000000"/>
                <w:lang w:eastAsia="en-AU"/>
              </w:rPr>
              <w:t>Central Nervous System</w:t>
            </w:r>
          </w:p>
        </w:tc>
        <w:tc>
          <w:tcPr>
            <w:tcW w:w="1578" w:type="dxa"/>
            <w:shd w:val="clear" w:color="auto" w:fill="auto"/>
            <w:noWrap/>
          </w:tcPr>
          <w:p w14:paraId="5243E317" w14:textId="3D8EDC09" w:rsidR="00987C66" w:rsidRPr="004C48D6" w:rsidRDefault="00987C66" w:rsidP="00987C66">
            <w:pPr>
              <w:jc w:val="center"/>
              <w:rPr>
                <w:color w:val="000000"/>
              </w:rPr>
            </w:pPr>
            <w:r w:rsidRPr="00375C66">
              <w:t>$6,404,971</w:t>
            </w:r>
          </w:p>
        </w:tc>
        <w:tc>
          <w:tcPr>
            <w:tcW w:w="1465" w:type="dxa"/>
          </w:tcPr>
          <w:p w14:paraId="116BDAE0" w14:textId="2C9C2C5F" w:rsidR="00987C66" w:rsidRPr="004C48D6" w:rsidRDefault="00987C66" w:rsidP="00987C66">
            <w:pPr>
              <w:jc w:val="center"/>
              <w:rPr>
                <w:color w:val="000000"/>
              </w:rPr>
            </w:pPr>
            <w:r w:rsidRPr="00375C66">
              <w:t>4%</w:t>
            </w:r>
          </w:p>
        </w:tc>
        <w:tc>
          <w:tcPr>
            <w:tcW w:w="1465" w:type="dxa"/>
            <w:shd w:val="clear" w:color="auto" w:fill="auto"/>
            <w:noWrap/>
          </w:tcPr>
          <w:p w14:paraId="71B87DF7" w14:textId="7E5F0FF3" w:rsidR="00987C66" w:rsidRPr="004C48D6" w:rsidRDefault="00987C66" w:rsidP="00987C66">
            <w:pPr>
              <w:jc w:val="center"/>
              <w:rPr>
                <w:color w:val="000000"/>
              </w:rPr>
            </w:pPr>
            <w:r w:rsidRPr="00375C66">
              <w:t>13</w:t>
            </w:r>
          </w:p>
        </w:tc>
      </w:tr>
      <w:tr w:rsidR="00987C66" w14:paraId="51FDE994" w14:textId="77777777" w:rsidTr="00987C66">
        <w:trPr>
          <w:trHeight w:val="412"/>
        </w:trPr>
        <w:tc>
          <w:tcPr>
            <w:tcW w:w="4418" w:type="dxa"/>
            <w:shd w:val="clear" w:color="auto" w:fill="auto"/>
            <w:noWrap/>
            <w:vAlign w:val="bottom"/>
          </w:tcPr>
          <w:p w14:paraId="2A301BBA" w14:textId="77777777" w:rsidR="00987C66" w:rsidRPr="004C48D6" w:rsidRDefault="00987C66" w:rsidP="00987C66">
            <w:pPr>
              <w:rPr>
                <w:color w:val="000000"/>
                <w:lang w:eastAsia="en-AU"/>
              </w:rPr>
            </w:pPr>
            <w:r w:rsidRPr="004C48D6">
              <w:rPr>
                <w:color w:val="000000"/>
                <w:lang w:eastAsia="en-AU"/>
              </w:rPr>
              <w:t>Endocrinology</w:t>
            </w:r>
          </w:p>
        </w:tc>
        <w:tc>
          <w:tcPr>
            <w:tcW w:w="1578" w:type="dxa"/>
            <w:shd w:val="clear" w:color="auto" w:fill="auto"/>
            <w:noWrap/>
          </w:tcPr>
          <w:p w14:paraId="12A480FF" w14:textId="1FF3DC82" w:rsidR="00987C66" w:rsidRPr="004C48D6" w:rsidRDefault="00987C66" w:rsidP="00987C66">
            <w:pPr>
              <w:jc w:val="center"/>
              <w:rPr>
                <w:color w:val="000000"/>
              </w:rPr>
            </w:pPr>
            <w:r w:rsidRPr="00375C66">
              <w:t>$4,840,620</w:t>
            </w:r>
          </w:p>
        </w:tc>
        <w:tc>
          <w:tcPr>
            <w:tcW w:w="1465" w:type="dxa"/>
          </w:tcPr>
          <w:p w14:paraId="4BF5629F" w14:textId="695F2B2F" w:rsidR="00987C66" w:rsidRPr="004C48D6" w:rsidRDefault="00987C66" w:rsidP="00987C66">
            <w:pPr>
              <w:jc w:val="center"/>
              <w:rPr>
                <w:color w:val="000000"/>
              </w:rPr>
            </w:pPr>
            <w:r w:rsidRPr="00375C66">
              <w:t>3%</w:t>
            </w:r>
          </w:p>
        </w:tc>
        <w:tc>
          <w:tcPr>
            <w:tcW w:w="1465" w:type="dxa"/>
            <w:shd w:val="clear" w:color="auto" w:fill="auto"/>
            <w:noWrap/>
          </w:tcPr>
          <w:p w14:paraId="1FD53924" w14:textId="0308A09D" w:rsidR="00987C66" w:rsidRPr="004C48D6" w:rsidRDefault="00987C66" w:rsidP="00987C66">
            <w:pPr>
              <w:jc w:val="center"/>
              <w:rPr>
                <w:color w:val="000000"/>
              </w:rPr>
            </w:pPr>
            <w:r w:rsidRPr="00375C66">
              <w:t>7</w:t>
            </w:r>
          </w:p>
        </w:tc>
      </w:tr>
      <w:tr w:rsidR="00987C66" w14:paraId="3231487A" w14:textId="77777777" w:rsidTr="00987C66">
        <w:trPr>
          <w:trHeight w:val="412"/>
        </w:trPr>
        <w:tc>
          <w:tcPr>
            <w:tcW w:w="4418" w:type="dxa"/>
            <w:shd w:val="clear" w:color="auto" w:fill="auto"/>
            <w:noWrap/>
            <w:vAlign w:val="bottom"/>
          </w:tcPr>
          <w:p w14:paraId="14F6A1E5" w14:textId="77777777" w:rsidR="00987C66" w:rsidRPr="004C48D6" w:rsidRDefault="00987C66" w:rsidP="00987C66">
            <w:pPr>
              <w:rPr>
                <w:color w:val="000000"/>
                <w:lang w:eastAsia="en-AU"/>
              </w:rPr>
            </w:pPr>
            <w:r w:rsidRPr="004C48D6">
              <w:rPr>
                <w:color w:val="000000"/>
                <w:lang w:eastAsia="en-AU"/>
              </w:rPr>
              <w:t>Epidemiology</w:t>
            </w:r>
          </w:p>
        </w:tc>
        <w:tc>
          <w:tcPr>
            <w:tcW w:w="1578" w:type="dxa"/>
            <w:shd w:val="clear" w:color="auto" w:fill="auto"/>
            <w:noWrap/>
          </w:tcPr>
          <w:p w14:paraId="54AD7A79" w14:textId="7D066825" w:rsidR="00987C66" w:rsidRPr="004C48D6" w:rsidRDefault="00987C66" w:rsidP="00987C66">
            <w:pPr>
              <w:jc w:val="center"/>
              <w:rPr>
                <w:color w:val="000000"/>
              </w:rPr>
            </w:pPr>
            <w:r w:rsidRPr="00375C66">
              <w:t>$4,607,468</w:t>
            </w:r>
          </w:p>
        </w:tc>
        <w:tc>
          <w:tcPr>
            <w:tcW w:w="1465" w:type="dxa"/>
          </w:tcPr>
          <w:p w14:paraId="1E405B36" w14:textId="79D64DB9" w:rsidR="00987C66" w:rsidRPr="004C48D6" w:rsidRDefault="00987C66" w:rsidP="00987C66">
            <w:pPr>
              <w:jc w:val="center"/>
              <w:rPr>
                <w:color w:val="000000"/>
              </w:rPr>
            </w:pPr>
            <w:r w:rsidRPr="00375C66">
              <w:t>3%</w:t>
            </w:r>
          </w:p>
        </w:tc>
        <w:tc>
          <w:tcPr>
            <w:tcW w:w="1465" w:type="dxa"/>
            <w:shd w:val="clear" w:color="auto" w:fill="auto"/>
            <w:noWrap/>
          </w:tcPr>
          <w:p w14:paraId="25F7E5A2" w14:textId="2D70B3E9" w:rsidR="00987C66" w:rsidRPr="004C48D6" w:rsidRDefault="00987C66" w:rsidP="00987C66">
            <w:pPr>
              <w:jc w:val="center"/>
              <w:rPr>
                <w:color w:val="000000"/>
              </w:rPr>
            </w:pPr>
            <w:r w:rsidRPr="00375C66">
              <w:t>7</w:t>
            </w:r>
          </w:p>
        </w:tc>
      </w:tr>
      <w:tr w:rsidR="00987C66" w14:paraId="3B2E6C60" w14:textId="77777777" w:rsidTr="00987C66">
        <w:trPr>
          <w:trHeight w:val="412"/>
        </w:trPr>
        <w:tc>
          <w:tcPr>
            <w:tcW w:w="4418" w:type="dxa"/>
            <w:shd w:val="clear" w:color="auto" w:fill="auto"/>
            <w:noWrap/>
            <w:vAlign w:val="bottom"/>
          </w:tcPr>
          <w:p w14:paraId="27B634E2" w14:textId="77777777" w:rsidR="00987C66" w:rsidRPr="004C48D6" w:rsidRDefault="00987C66" w:rsidP="00987C66">
            <w:pPr>
              <w:rPr>
                <w:color w:val="000000"/>
                <w:lang w:eastAsia="en-AU"/>
              </w:rPr>
            </w:pPr>
            <w:r w:rsidRPr="004C48D6">
              <w:rPr>
                <w:color w:val="000000"/>
                <w:lang w:eastAsia="en-AU"/>
              </w:rPr>
              <w:t>Medical and Health Sciences not elsewhere classified</w:t>
            </w:r>
          </w:p>
        </w:tc>
        <w:tc>
          <w:tcPr>
            <w:tcW w:w="1578" w:type="dxa"/>
            <w:shd w:val="clear" w:color="auto" w:fill="auto"/>
            <w:noWrap/>
          </w:tcPr>
          <w:p w14:paraId="14177D4C" w14:textId="57B2B54E" w:rsidR="00987C66" w:rsidRPr="004C48D6" w:rsidRDefault="00987C66" w:rsidP="00987C66">
            <w:pPr>
              <w:jc w:val="center"/>
              <w:rPr>
                <w:color w:val="000000"/>
              </w:rPr>
            </w:pPr>
            <w:r w:rsidRPr="00375C66">
              <w:t>$3,920,967</w:t>
            </w:r>
          </w:p>
        </w:tc>
        <w:tc>
          <w:tcPr>
            <w:tcW w:w="1465" w:type="dxa"/>
          </w:tcPr>
          <w:p w14:paraId="642E931D" w14:textId="7DE24BFF" w:rsidR="00987C66" w:rsidRPr="004C48D6" w:rsidRDefault="00987C66" w:rsidP="00987C66">
            <w:pPr>
              <w:jc w:val="center"/>
              <w:rPr>
                <w:color w:val="000000"/>
              </w:rPr>
            </w:pPr>
            <w:r w:rsidRPr="00375C66">
              <w:t>2%</w:t>
            </w:r>
          </w:p>
        </w:tc>
        <w:tc>
          <w:tcPr>
            <w:tcW w:w="1465" w:type="dxa"/>
            <w:shd w:val="clear" w:color="auto" w:fill="auto"/>
            <w:noWrap/>
          </w:tcPr>
          <w:p w14:paraId="69CEBCD0" w14:textId="6D8A6D98" w:rsidR="00987C66" w:rsidRPr="004C48D6" w:rsidRDefault="00987C66" w:rsidP="00987C66">
            <w:pPr>
              <w:jc w:val="center"/>
              <w:rPr>
                <w:color w:val="000000"/>
              </w:rPr>
            </w:pPr>
            <w:r w:rsidRPr="00375C66">
              <w:t>8</w:t>
            </w:r>
          </w:p>
        </w:tc>
      </w:tr>
      <w:tr w:rsidR="00987C66" w14:paraId="641B7591" w14:textId="77777777" w:rsidTr="00987C66">
        <w:trPr>
          <w:trHeight w:val="412"/>
        </w:trPr>
        <w:tc>
          <w:tcPr>
            <w:tcW w:w="4418" w:type="dxa"/>
            <w:shd w:val="clear" w:color="auto" w:fill="auto"/>
            <w:noWrap/>
            <w:vAlign w:val="bottom"/>
          </w:tcPr>
          <w:p w14:paraId="7F007F87" w14:textId="77777777" w:rsidR="00987C66" w:rsidRPr="004C48D6" w:rsidRDefault="00987C66" w:rsidP="00987C66">
            <w:pPr>
              <w:rPr>
                <w:color w:val="000000"/>
                <w:lang w:eastAsia="en-AU"/>
              </w:rPr>
            </w:pPr>
            <w:r w:rsidRPr="004C48D6">
              <w:rPr>
                <w:color w:val="000000"/>
                <w:lang w:eastAsia="en-AU"/>
              </w:rPr>
              <w:t>Clinical Sciences NEC</w:t>
            </w:r>
          </w:p>
        </w:tc>
        <w:tc>
          <w:tcPr>
            <w:tcW w:w="1578" w:type="dxa"/>
            <w:shd w:val="clear" w:color="auto" w:fill="auto"/>
            <w:noWrap/>
          </w:tcPr>
          <w:p w14:paraId="51296A62" w14:textId="729B5913" w:rsidR="00987C66" w:rsidRPr="004C48D6" w:rsidRDefault="00987C66" w:rsidP="00987C66">
            <w:pPr>
              <w:jc w:val="center"/>
              <w:rPr>
                <w:color w:val="000000"/>
              </w:rPr>
            </w:pPr>
            <w:r w:rsidRPr="00375C66">
              <w:t>$3,579,365</w:t>
            </w:r>
          </w:p>
        </w:tc>
        <w:tc>
          <w:tcPr>
            <w:tcW w:w="1465" w:type="dxa"/>
          </w:tcPr>
          <w:p w14:paraId="3CE313AF" w14:textId="4CB52DA8" w:rsidR="00987C66" w:rsidRPr="004C48D6" w:rsidRDefault="00987C66" w:rsidP="00987C66">
            <w:pPr>
              <w:jc w:val="center"/>
              <w:rPr>
                <w:color w:val="000000"/>
              </w:rPr>
            </w:pPr>
            <w:r w:rsidRPr="00375C66">
              <w:t>2%</w:t>
            </w:r>
          </w:p>
        </w:tc>
        <w:tc>
          <w:tcPr>
            <w:tcW w:w="1465" w:type="dxa"/>
            <w:shd w:val="clear" w:color="auto" w:fill="auto"/>
            <w:noWrap/>
          </w:tcPr>
          <w:p w14:paraId="6E76F17F" w14:textId="5DA55454" w:rsidR="00987C66" w:rsidRPr="004C48D6" w:rsidRDefault="00987C66" w:rsidP="00987C66">
            <w:pPr>
              <w:jc w:val="center"/>
              <w:rPr>
                <w:color w:val="000000"/>
              </w:rPr>
            </w:pPr>
            <w:r w:rsidRPr="00375C66">
              <w:t>7</w:t>
            </w:r>
          </w:p>
        </w:tc>
      </w:tr>
      <w:tr w:rsidR="00987C66" w14:paraId="01F52197" w14:textId="77777777" w:rsidTr="00987C66">
        <w:trPr>
          <w:trHeight w:val="412"/>
        </w:trPr>
        <w:tc>
          <w:tcPr>
            <w:tcW w:w="4418" w:type="dxa"/>
            <w:shd w:val="clear" w:color="auto" w:fill="auto"/>
            <w:noWrap/>
            <w:vAlign w:val="bottom"/>
          </w:tcPr>
          <w:p w14:paraId="0C7A3331" w14:textId="77777777" w:rsidR="00987C66" w:rsidRPr="004C48D6" w:rsidRDefault="00987C66" w:rsidP="00987C66">
            <w:pPr>
              <w:rPr>
                <w:color w:val="000000"/>
                <w:lang w:eastAsia="en-AU"/>
              </w:rPr>
            </w:pPr>
            <w:r w:rsidRPr="004C48D6">
              <w:rPr>
                <w:color w:val="000000"/>
                <w:lang w:eastAsia="en-AU"/>
              </w:rPr>
              <w:t>Health, Clinical and Counselling Psychology</w:t>
            </w:r>
          </w:p>
        </w:tc>
        <w:tc>
          <w:tcPr>
            <w:tcW w:w="1578" w:type="dxa"/>
            <w:shd w:val="clear" w:color="auto" w:fill="auto"/>
            <w:noWrap/>
          </w:tcPr>
          <w:p w14:paraId="470A8769" w14:textId="2AA1139A" w:rsidR="00987C66" w:rsidRPr="004C48D6" w:rsidRDefault="00987C66" w:rsidP="00987C66">
            <w:pPr>
              <w:jc w:val="center"/>
              <w:rPr>
                <w:color w:val="000000"/>
              </w:rPr>
            </w:pPr>
            <w:r w:rsidRPr="00375C66">
              <w:t>$3,498,096</w:t>
            </w:r>
          </w:p>
        </w:tc>
        <w:tc>
          <w:tcPr>
            <w:tcW w:w="1465" w:type="dxa"/>
          </w:tcPr>
          <w:p w14:paraId="79F9B237" w14:textId="0079C2CE" w:rsidR="00987C66" w:rsidRPr="004C48D6" w:rsidRDefault="00987C66" w:rsidP="00987C66">
            <w:pPr>
              <w:jc w:val="center"/>
              <w:rPr>
                <w:color w:val="000000"/>
              </w:rPr>
            </w:pPr>
            <w:r w:rsidRPr="00375C66">
              <w:t>2%</w:t>
            </w:r>
          </w:p>
        </w:tc>
        <w:tc>
          <w:tcPr>
            <w:tcW w:w="1465" w:type="dxa"/>
            <w:shd w:val="clear" w:color="auto" w:fill="auto"/>
            <w:noWrap/>
          </w:tcPr>
          <w:p w14:paraId="7B36D778" w14:textId="5A3313BA" w:rsidR="00987C66" w:rsidRPr="004C48D6" w:rsidRDefault="00987C66" w:rsidP="00987C66">
            <w:pPr>
              <w:jc w:val="center"/>
              <w:rPr>
                <w:color w:val="000000"/>
              </w:rPr>
            </w:pPr>
            <w:r w:rsidRPr="00375C66">
              <w:t>9</w:t>
            </w:r>
          </w:p>
        </w:tc>
      </w:tr>
      <w:tr w:rsidR="00987C66" w14:paraId="733F5644" w14:textId="77777777" w:rsidTr="00987C66">
        <w:trPr>
          <w:trHeight w:val="412"/>
        </w:trPr>
        <w:tc>
          <w:tcPr>
            <w:tcW w:w="4418" w:type="dxa"/>
            <w:shd w:val="clear" w:color="auto" w:fill="auto"/>
            <w:noWrap/>
            <w:vAlign w:val="bottom"/>
          </w:tcPr>
          <w:p w14:paraId="34164F3C" w14:textId="77777777" w:rsidR="00987C66" w:rsidRPr="004C48D6" w:rsidRDefault="00987C66" w:rsidP="00987C66">
            <w:pPr>
              <w:rPr>
                <w:color w:val="000000"/>
                <w:lang w:eastAsia="en-AU"/>
              </w:rPr>
            </w:pPr>
            <w:r w:rsidRPr="004C48D6">
              <w:rPr>
                <w:color w:val="000000"/>
                <w:lang w:eastAsia="en-AU"/>
              </w:rPr>
              <w:t>Biological Psychology (Neuropsychology, Psychopharmacology, Physiological Psychology)</w:t>
            </w:r>
          </w:p>
        </w:tc>
        <w:tc>
          <w:tcPr>
            <w:tcW w:w="1578" w:type="dxa"/>
            <w:shd w:val="clear" w:color="auto" w:fill="auto"/>
            <w:noWrap/>
          </w:tcPr>
          <w:p w14:paraId="56EA7F2C" w14:textId="7488BDEE" w:rsidR="00987C66" w:rsidRPr="004C48D6" w:rsidRDefault="00987C66" w:rsidP="00987C66">
            <w:pPr>
              <w:jc w:val="center"/>
              <w:rPr>
                <w:color w:val="000000"/>
              </w:rPr>
            </w:pPr>
            <w:r w:rsidRPr="00375C66">
              <w:t>$3,486,451</w:t>
            </w:r>
          </w:p>
        </w:tc>
        <w:tc>
          <w:tcPr>
            <w:tcW w:w="1465" w:type="dxa"/>
          </w:tcPr>
          <w:p w14:paraId="7D1DABAC" w14:textId="3CEB4654" w:rsidR="00987C66" w:rsidRPr="004C48D6" w:rsidRDefault="00987C66" w:rsidP="00987C66">
            <w:pPr>
              <w:jc w:val="center"/>
              <w:rPr>
                <w:color w:val="000000"/>
              </w:rPr>
            </w:pPr>
            <w:r w:rsidRPr="00375C66">
              <w:t>2%</w:t>
            </w:r>
          </w:p>
        </w:tc>
        <w:tc>
          <w:tcPr>
            <w:tcW w:w="1465" w:type="dxa"/>
            <w:shd w:val="clear" w:color="auto" w:fill="auto"/>
            <w:noWrap/>
          </w:tcPr>
          <w:p w14:paraId="764FECE0" w14:textId="28F5C987" w:rsidR="00987C66" w:rsidRPr="004C48D6" w:rsidRDefault="00987C66" w:rsidP="00987C66">
            <w:pPr>
              <w:jc w:val="center"/>
              <w:rPr>
                <w:color w:val="000000"/>
              </w:rPr>
            </w:pPr>
            <w:r w:rsidRPr="00375C66">
              <w:t>5</w:t>
            </w:r>
          </w:p>
        </w:tc>
      </w:tr>
      <w:tr w:rsidR="00987C66" w14:paraId="32CAEFBE" w14:textId="77777777" w:rsidTr="00987C66">
        <w:trPr>
          <w:trHeight w:val="412"/>
        </w:trPr>
        <w:tc>
          <w:tcPr>
            <w:tcW w:w="4418" w:type="dxa"/>
            <w:shd w:val="clear" w:color="auto" w:fill="auto"/>
            <w:noWrap/>
            <w:vAlign w:val="bottom"/>
          </w:tcPr>
          <w:p w14:paraId="5FDD6982" w14:textId="77777777" w:rsidR="00987C66" w:rsidRPr="004C48D6" w:rsidRDefault="00987C66" w:rsidP="00987C66">
            <w:pPr>
              <w:rPr>
                <w:color w:val="000000"/>
                <w:lang w:eastAsia="en-AU"/>
              </w:rPr>
            </w:pPr>
            <w:r w:rsidRPr="004C48D6">
              <w:rPr>
                <w:color w:val="000000"/>
                <w:lang w:eastAsia="en-AU"/>
              </w:rPr>
              <w:t>Cardiology (incl. Cardiovascular Diseases)</w:t>
            </w:r>
          </w:p>
        </w:tc>
        <w:tc>
          <w:tcPr>
            <w:tcW w:w="1578" w:type="dxa"/>
            <w:shd w:val="clear" w:color="auto" w:fill="auto"/>
            <w:noWrap/>
          </w:tcPr>
          <w:p w14:paraId="4C259557" w14:textId="7840FEAE" w:rsidR="00987C66" w:rsidRPr="004C48D6" w:rsidRDefault="00987C66" w:rsidP="00987C66">
            <w:pPr>
              <w:jc w:val="center"/>
              <w:rPr>
                <w:color w:val="000000"/>
              </w:rPr>
            </w:pPr>
            <w:r w:rsidRPr="00375C66">
              <w:t>$2,907,718</w:t>
            </w:r>
          </w:p>
        </w:tc>
        <w:tc>
          <w:tcPr>
            <w:tcW w:w="1465" w:type="dxa"/>
          </w:tcPr>
          <w:p w14:paraId="58DF00C6" w14:textId="707753B7" w:rsidR="00987C66" w:rsidRPr="004C48D6" w:rsidRDefault="00987C66" w:rsidP="00987C66">
            <w:pPr>
              <w:jc w:val="center"/>
              <w:rPr>
                <w:color w:val="000000"/>
              </w:rPr>
            </w:pPr>
            <w:r w:rsidRPr="00375C66">
              <w:t>2%</w:t>
            </w:r>
          </w:p>
        </w:tc>
        <w:tc>
          <w:tcPr>
            <w:tcW w:w="1465" w:type="dxa"/>
            <w:shd w:val="clear" w:color="auto" w:fill="auto"/>
            <w:noWrap/>
          </w:tcPr>
          <w:p w14:paraId="7E2D816B" w14:textId="2CD39316" w:rsidR="00987C66" w:rsidRPr="004C48D6" w:rsidRDefault="00987C66" w:rsidP="00987C66">
            <w:pPr>
              <w:jc w:val="center"/>
              <w:rPr>
                <w:color w:val="000000"/>
              </w:rPr>
            </w:pPr>
            <w:r w:rsidRPr="00375C66">
              <w:t>8</w:t>
            </w:r>
          </w:p>
        </w:tc>
      </w:tr>
      <w:tr w:rsidR="00987C66" w14:paraId="139A9F87" w14:textId="77777777" w:rsidTr="00987C66">
        <w:trPr>
          <w:trHeight w:val="412"/>
        </w:trPr>
        <w:tc>
          <w:tcPr>
            <w:tcW w:w="4418" w:type="dxa"/>
            <w:shd w:val="clear" w:color="auto" w:fill="auto"/>
            <w:noWrap/>
            <w:vAlign w:val="bottom"/>
          </w:tcPr>
          <w:p w14:paraId="2E5C07E4" w14:textId="77777777" w:rsidR="00987C66" w:rsidRPr="004C48D6" w:rsidRDefault="00987C66" w:rsidP="00987C66">
            <w:pPr>
              <w:rPr>
                <w:color w:val="000000"/>
                <w:lang w:eastAsia="en-AU"/>
              </w:rPr>
            </w:pPr>
            <w:r w:rsidRPr="004C48D6">
              <w:rPr>
                <w:color w:val="000000"/>
                <w:lang w:eastAsia="en-AU"/>
              </w:rPr>
              <w:t>Autonomic Nervous System</w:t>
            </w:r>
          </w:p>
        </w:tc>
        <w:tc>
          <w:tcPr>
            <w:tcW w:w="1578" w:type="dxa"/>
            <w:shd w:val="clear" w:color="auto" w:fill="auto"/>
            <w:noWrap/>
          </w:tcPr>
          <w:p w14:paraId="1BA794B1" w14:textId="4BBE735B" w:rsidR="00987C66" w:rsidRPr="004C48D6" w:rsidRDefault="00987C66" w:rsidP="00987C66">
            <w:pPr>
              <w:jc w:val="center"/>
              <w:rPr>
                <w:color w:val="000000"/>
              </w:rPr>
            </w:pPr>
            <w:r w:rsidRPr="00375C66">
              <w:t>$2,706,495</w:t>
            </w:r>
          </w:p>
        </w:tc>
        <w:tc>
          <w:tcPr>
            <w:tcW w:w="1465" w:type="dxa"/>
          </w:tcPr>
          <w:p w14:paraId="06FFFC22" w14:textId="645C4505" w:rsidR="00987C66" w:rsidRPr="004C48D6" w:rsidRDefault="00987C66" w:rsidP="00987C66">
            <w:pPr>
              <w:jc w:val="center"/>
              <w:rPr>
                <w:color w:val="000000"/>
              </w:rPr>
            </w:pPr>
            <w:r w:rsidRPr="00375C66">
              <w:t>2%</w:t>
            </w:r>
          </w:p>
        </w:tc>
        <w:tc>
          <w:tcPr>
            <w:tcW w:w="1465" w:type="dxa"/>
            <w:shd w:val="clear" w:color="auto" w:fill="auto"/>
            <w:noWrap/>
          </w:tcPr>
          <w:p w14:paraId="25784FD0" w14:textId="42D0BE49" w:rsidR="00987C66" w:rsidRPr="004C48D6" w:rsidRDefault="00987C66" w:rsidP="00987C66">
            <w:pPr>
              <w:jc w:val="center"/>
              <w:rPr>
                <w:color w:val="000000"/>
              </w:rPr>
            </w:pPr>
            <w:r w:rsidRPr="00375C66">
              <w:t>8</w:t>
            </w:r>
          </w:p>
        </w:tc>
      </w:tr>
      <w:tr w:rsidR="00987C66" w14:paraId="3B678B6C" w14:textId="77777777" w:rsidTr="00987C66">
        <w:trPr>
          <w:trHeight w:val="412"/>
        </w:trPr>
        <w:tc>
          <w:tcPr>
            <w:tcW w:w="4418" w:type="dxa"/>
            <w:shd w:val="clear" w:color="auto" w:fill="auto"/>
            <w:noWrap/>
            <w:vAlign w:val="bottom"/>
          </w:tcPr>
          <w:p w14:paraId="2DE6C407" w14:textId="77777777" w:rsidR="00987C66" w:rsidRPr="004C48D6" w:rsidRDefault="00987C66" w:rsidP="00987C66">
            <w:pPr>
              <w:rPr>
                <w:color w:val="000000"/>
                <w:lang w:eastAsia="en-AU"/>
              </w:rPr>
            </w:pPr>
            <w:r w:rsidRPr="004C48D6">
              <w:rPr>
                <w:color w:val="000000"/>
                <w:lang w:eastAsia="en-AU"/>
              </w:rPr>
              <w:t>Community Child Health</w:t>
            </w:r>
          </w:p>
        </w:tc>
        <w:tc>
          <w:tcPr>
            <w:tcW w:w="1578" w:type="dxa"/>
            <w:shd w:val="clear" w:color="auto" w:fill="auto"/>
            <w:noWrap/>
          </w:tcPr>
          <w:p w14:paraId="08FB0D0C" w14:textId="5D20DED1" w:rsidR="00987C66" w:rsidRPr="004C48D6" w:rsidRDefault="00987C66" w:rsidP="00987C66">
            <w:pPr>
              <w:jc w:val="center"/>
              <w:rPr>
                <w:color w:val="000000"/>
              </w:rPr>
            </w:pPr>
            <w:r w:rsidRPr="00375C66">
              <w:t>$2,525,919</w:t>
            </w:r>
          </w:p>
        </w:tc>
        <w:tc>
          <w:tcPr>
            <w:tcW w:w="1465" w:type="dxa"/>
          </w:tcPr>
          <w:p w14:paraId="22304A4C" w14:textId="5110F222" w:rsidR="00987C66" w:rsidRPr="004C48D6" w:rsidRDefault="00987C66" w:rsidP="00987C66">
            <w:pPr>
              <w:jc w:val="center"/>
              <w:rPr>
                <w:color w:val="000000"/>
              </w:rPr>
            </w:pPr>
            <w:r w:rsidRPr="00375C66">
              <w:t>2%</w:t>
            </w:r>
          </w:p>
        </w:tc>
        <w:tc>
          <w:tcPr>
            <w:tcW w:w="1465" w:type="dxa"/>
            <w:shd w:val="clear" w:color="auto" w:fill="auto"/>
            <w:noWrap/>
          </w:tcPr>
          <w:p w14:paraId="319EFD48" w14:textId="1225E602" w:rsidR="00987C66" w:rsidRPr="004C48D6" w:rsidRDefault="00987C66" w:rsidP="00987C66">
            <w:pPr>
              <w:jc w:val="center"/>
              <w:rPr>
                <w:color w:val="000000"/>
              </w:rPr>
            </w:pPr>
            <w:r w:rsidRPr="00375C66">
              <w:t>3</w:t>
            </w:r>
          </w:p>
        </w:tc>
      </w:tr>
      <w:tr w:rsidR="00987C66" w14:paraId="0BB3440C" w14:textId="77777777" w:rsidTr="00987C66">
        <w:trPr>
          <w:trHeight w:val="412"/>
        </w:trPr>
        <w:tc>
          <w:tcPr>
            <w:tcW w:w="4418" w:type="dxa"/>
            <w:shd w:val="clear" w:color="auto" w:fill="auto"/>
            <w:noWrap/>
            <w:vAlign w:val="bottom"/>
          </w:tcPr>
          <w:p w14:paraId="0E5C8707" w14:textId="77777777" w:rsidR="00987C66" w:rsidRPr="004C48D6" w:rsidRDefault="00987C66" w:rsidP="00987C66">
            <w:pPr>
              <w:rPr>
                <w:color w:val="000000"/>
                <w:lang w:eastAsia="en-AU"/>
              </w:rPr>
            </w:pPr>
            <w:r w:rsidRPr="004C48D6">
              <w:rPr>
                <w:color w:val="000000"/>
                <w:lang w:eastAsia="en-AU"/>
              </w:rPr>
              <w:t>Sensory Systems</w:t>
            </w:r>
          </w:p>
        </w:tc>
        <w:tc>
          <w:tcPr>
            <w:tcW w:w="1578" w:type="dxa"/>
            <w:shd w:val="clear" w:color="auto" w:fill="auto"/>
            <w:noWrap/>
          </w:tcPr>
          <w:p w14:paraId="0EB4D463" w14:textId="52F5A488" w:rsidR="00987C66" w:rsidRPr="004C48D6" w:rsidRDefault="00987C66" w:rsidP="00987C66">
            <w:pPr>
              <w:jc w:val="center"/>
              <w:rPr>
                <w:color w:val="000000"/>
              </w:rPr>
            </w:pPr>
            <w:r w:rsidRPr="00375C66">
              <w:t>$2,525,120</w:t>
            </w:r>
          </w:p>
        </w:tc>
        <w:tc>
          <w:tcPr>
            <w:tcW w:w="1465" w:type="dxa"/>
          </w:tcPr>
          <w:p w14:paraId="4A44A052" w14:textId="34B5CC06" w:rsidR="00987C66" w:rsidRPr="004C48D6" w:rsidRDefault="00987C66" w:rsidP="00987C66">
            <w:pPr>
              <w:jc w:val="center"/>
              <w:rPr>
                <w:color w:val="000000"/>
              </w:rPr>
            </w:pPr>
            <w:r w:rsidRPr="00375C66">
              <w:t>2%</w:t>
            </w:r>
          </w:p>
        </w:tc>
        <w:tc>
          <w:tcPr>
            <w:tcW w:w="1465" w:type="dxa"/>
            <w:shd w:val="clear" w:color="auto" w:fill="auto"/>
            <w:noWrap/>
          </w:tcPr>
          <w:p w14:paraId="45C75922" w14:textId="3D60DB1F" w:rsidR="00987C66" w:rsidRPr="004C48D6" w:rsidRDefault="00987C66" w:rsidP="00987C66">
            <w:pPr>
              <w:jc w:val="center"/>
              <w:rPr>
                <w:color w:val="000000"/>
              </w:rPr>
            </w:pPr>
            <w:r w:rsidRPr="00375C66">
              <w:t>6</w:t>
            </w:r>
          </w:p>
        </w:tc>
      </w:tr>
      <w:tr w:rsidR="00987C66" w14:paraId="3C6A4930" w14:textId="77777777" w:rsidTr="00987C66">
        <w:trPr>
          <w:trHeight w:val="412"/>
        </w:trPr>
        <w:tc>
          <w:tcPr>
            <w:tcW w:w="4418" w:type="dxa"/>
            <w:shd w:val="clear" w:color="auto" w:fill="auto"/>
            <w:noWrap/>
            <w:vAlign w:val="bottom"/>
          </w:tcPr>
          <w:p w14:paraId="774639E7" w14:textId="77777777" w:rsidR="00987C66" w:rsidRPr="004C48D6" w:rsidRDefault="00987C66" w:rsidP="00987C66">
            <w:pPr>
              <w:rPr>
                <w:color w:val="000000"/>
                <w:lang w:eastAsia="en-AU"/>
              </w:rPr>
            </w:pPr>
            <w:r w:rsidRPr="004C48D6">
              <w:rPr>
                <w:color w:val="000000"/>
                <w:lang w:eastAsia="en-AU"/>
              </w:rPr>
              <w:t>Environmental and Occupational Health and Safety</w:t>
            </w:r>
          </w:p>
        </w:tc>
        <w:tc>
          <w:tcPr>
            <w:tcW w:w="1578" w:type="dxa"/>
            <w:shd w:val="clear" w:color="auto" w:fill="auto"/>
            <w:noWrap/>
          </w:tcPr>
          <w:p w14:paraId="5C283FF0" w14:textId="47C2FF0A" w:rsidR="00987C66" w:rsidRPr="004C48D6" w:rsidRDefault="00987C66" w:rsidP="00987C66">
            <w:pPr>
              <w:jc w:val="center"/>
              <w:rPr>
                <w:color w:val="000000"/>
              </w:rPr>
            </w:pPr>
            <w:r w:rsidRPr="00375C66">
              <w:t>$2,279,776</w:t>
            </w:r>
          </w:p>
        </w:tc>
        <w:tc>
          <w:tcPr>
            <w:tcW w:w="1465" w:type="dxa"/>
          </w:tcPr>
          <w:p w14:paraId="0F29BF1F" w14:textId="1EBF071D" w:rsidR="00987C66" w:rsidRPr="004C48D6" w:rsidRDefault="00987C66" w:rsidP="00987C66">
            <w:pPr>
              <w:jc w:val="center"/>
              <w:rPr>
                <w:color w:val="000000"/>
              </w:rPr>
            </w:pPr>
            <w:r w:rsidRPr="00375C66">
              <w:t>1%</w:t>
            </w:r>
          </w:p>
        </w:tc>
        <w:tc>
          <w:tcPr>
            <w:tcW w:w="1465" w:type="dxa"/>
            <w:shd w:val="clear" w:color="auto" w:fill="auto"/>
            <w:noWrap/>
          </w:tcPr>
          <w:p w14:paraId="4F95AF13" w14:textId="2180AD44" w:rsidR="00987C66" w:rsidRPr="004C48D6" w:rsidRDefault="00987C66" w:rsidP="00987C66">
            <w:pPr>
              <w:jc w:val="center"/>
              <w:rPr>
                <w:color w:val="000000"/>
              </w:rPr>
            </w:pPr>
            <w:r w:rsidRPr="00375C66">
              <w:t>5</w:t>
            </w:r>
          </w:p>
        </w:tc>
      </w:tr>
      <w:tr w:rsidR="00987C66" w14:paraId="7E7A1399" w14:textId="77777777" w:rsidTr="00987C66">
        <w:trPr>
          <w:trHeight w:val="412"/>
        </w:trPr>
        <w:tc>
          <w:tcPr>
            <w:tcW w:w="4418" w:type="dxa"/>
            <w:shd w:val="clear" w:color="auto" w:fill="auto"/>
            <w:noWrap/>
            <w:vAlign w:val="bottom"/>
          </w:tcPr>
          <w:p w14:paraId="548695BF" w14:textId="77777777" w:rsidR="00987C66" w:rsidRPr="004C48D6" w:rsidRDefault="00987C66" w:rsidP="00987C66">
            <w:pPr>
              <w:rPr>
                <w:color w:val="000000"/>
                <w:lang w:eastAsia="en-AU"/>
              </w:rPr>
            </w:pPr>
            <w:r w:rsidRPr="004C48D6">
              <w:rPr>
                <w:color w:val="000000"/>
                <w:lang w:eastAsia="en-AU"/>
              </w:rPr>
              <w:t>Motor Control</w:t>
            </w:r>
          </w:p>
        </w:tc>
        <w:tc>
          <w:tcPr>
            <w:tcW w:w="1578" w:type="dxa"/>
            <w:shd w:val="clear" w:color="auto" w:fill="auto"/>
            <w:noWrap/>
          </w:tcPr>
          <w:p w14:paraId="4A2B9C06" w14:textId="6083D95A" w:rsidR="00987C66" w:rsidRPr="004C48D6" w:rsidRDefault="00987C66" w:rsidP="00987C66">
            <w:pPr>
              <w:jc w:val="center"/>
              <w:rPr>
                <w:color w:val="000000"/>
              </w:rPr>
            </w:pPr>
            <w:r w:rsidRPr="00375C66">
              <w:t>$2,097,741</w:t>
            </w:r>
          </w:p>
        </w:tc>
        <w:tc>
          <w:tcPr>
            <w:tcW w:w="1465" w:type="dxa"/>
          </w:tcPr>
          <w:p w14:paraId="060D71A4" w14:textId="3D362EC2" w:rsidR="00987C66" w:rsidRPr="004C48D6" w:rsidRDefault="00987C66" w:rsidP="00987C66">
            <w:pPr>
              <w:jc w:val="center"/>
              <w:rPr>
                <w:color w:val="000000"/>
              </w:rPr>
            </w:pPr>
            <w:r w:rsidRPr="00375C66">
              <w:t>1%</w:t>
            </w:r>
          </w:p>
        </w:tc>
        <w:tc>
          <w:tcPr>
            <w:tcW w:w="1465" w:type="dxa"/>
            <w:shd w:val="clear" w:color="auto" w:fill="auto"/>
            <w:noWrap/>
          </w:tcPr>
          <w:p w14:paraId="4CCD63CA" w14:textId="62AC92E1" w:rsidR="00987C66" w:rsidRPr="004C48D6" w:rsidRDefault="00987C66" w:rsidP="00987C66">
            <w:pPr>
              <w:jc w:val="center"/>
              <w:rPr>
                <w:color w:val="000000"/>
              </w:rPr>
            </w:pPr>
            <w:r w:rsidRPr="00375C66">
              <w:t>1</w:t>
            </w:r>
          </w:p>
        </w:tc>
      </w:tr>
      <w:tr w:rsidR="00987C66" w14:paraId="4DC38E40" w14:textId="77777777" w:rsidTr="00987C66">
        <w:trPr>
          <w:trHeight w:val="412"/>
        </w:trPr>
        <w:tc>
          <w:tcPr>
            <w:tcW w:w="4418" w:type="dxa"/>
            <w:shd w:val="clear" w:color="auto" w:fill="auto"/>
            <w:noWrap/>
            <w:vAlign w:val="bottom"/>
          </w:tcPr>
          <w:p w14:paraId="2C4EBEE8" w14:textId="77777777" w:rsidR="00987C66" w:rsidRPr="004C48D6" w:rsidRDefault="00987C66" w:rsidP="00987C66">
            <w:pPr>
              <w:rPr>
                <w:color w:val="000000"/>
                <w:lang w:eastAsia="en-AU"/>
              </w:rPr>
            </w:pPr>
            <w:r w:rsidRPr="004C48D6">
              <w:rPr>
                <w:color w:val="000000"/>
                <w:lang w:eastAsia="en-AU"/>
              </w:rPr>
              <w:t>Biologically Active Molecules</w:t>
            </w:r>
          </w:p>
        </w:tc>
        <w:tc>
          <w:tcPr>
            <w:tcW w:w="1578" w:type="dxa"/>
            <w:shd w:val="clear" w:color="auto" w:fill="auto"/>
            <w:noWrap/>
          </w:tcPr>
          <w:p w14:paraId="63FE9A87" w14:textId="118BA9BE" w:rsidR="00987C66" w:rsidRPr="004C48D6" w:rsidRDefault="00987C66" w:rsidP="00987C66">
            <w:pPr>
              <w:jc w:val="center"/>
              <w:rPr>
                <w:color w:val="000000"/>
              </w:rPr>
            </w:pPr>
            <w:r w:rsidRPr="00375C66">
              <w:t>$2,064,349</w:t>
            </w:r>
          </w:p>
        </w:tc>
        <w:tc>
          <w:tcPr>
            <w:tcW w:w="1465" w:type="dxa"/>
          </w:tcPr>
          <w:p w14:paraId="397B1B7D" w14:textId="35FB95FF" w:rsidR="00987C66" w:rsidRPr="004C48D6" w:rsidRDefault="00987C66" w:rsidP="00987C66">
            <w:pPr>
              <w:jc w:val="center"/>
              <w:rPr>
                <w:color w:val="000000"/>
              </w:rPr>
            </w:pPr>
            <w:r w:rsidRPr="00375C66">
              <w:t>1%</w:t>
            </w:r>
          </w:p>
        </w:tc>
        <w:tc>
          <w:tcPr>
            <w:tcW w:w="1465" w:type="dxa"/>
            <w:shd w:val="clear" w:color="auto" w:fill="auto"/>
            <w:noWrap/>
          </w:tcPr>
          <w:p w14:paraId="42DA5A35" w14:textId="0FB6256A" w:rsidR="00987C66" w:rsidRPr="004C48D6" w:rsidRDefault="00987C66" w:rsidP="00987C66">
            <w:pPr>
              <w:jc w:val="center"/>
              <w:rPr>
                <w:color w:val="000000"/>
              </w:rPr>
            </w:pPr>
            <w:r w:rsidRPr="00375C66">
              <w:t>2</w:t>
            </w:r>
          </w:p>
        </w:tc>
      </w:tr>
      <w:tr w:rsidR="00987C66" w14:paraId="4CFE3DCC" w14:textId="77777777" w:rsidTr="00987C66">
        <w:trPr>
          <w:trHeight w:val="412"/>
        </w:trPr>
        <w:tc>
          <w:tcPr>
            <w:tcW w:w="4418" w:type="dxa"/>
            <w:shd w:val="clear" w:color="auto" w:fill="auto"/>
            <w:noWrap/>
            <w:vAlign w:val="bottom"/>
          </w:tcPr>
          <w:p w14:paraId="623515C6" w14:textId="77777777" w:rsidR="00987C66" w:rsidRPr="004C48D6" w:rsidRDefault="00987C66" w:rsidP="00987C66">
            <w:pPr>
              <w:rPr>
                <w:color w:val="000000"/>
                <w:lang w:eastAsia="en-AU"/>
              </w:rPr>
            </w:pPr>
            <w:r w:rsidRPr="004C48D6">
              <w:rPr>
                <w:color w:val="000000"/>
                <w:lang w:eastAsia="en-AU"/>
              </w:rPr>
              <w:t>Medical Physiology NEC</w:t>
            </w:r>
          </w:p>
        </w:tc>
        <w:tc>
          <w:tcPr>
            <w:tcW w:w="1578" w:type="dxa"/>
            <w:shd w:val="clear" w:color="auto" w:fill="auto"/>
            <w:noWrap/>
          </w:tcPr>
          <w:p w14:paraId="299135AE" w14:textId="59C61BD0" w:rsidR="00987C66" w:rsidRPr="004C48D6" w:rsidRDefault="00987C66" w:rsidP="00987C66">
            <w:pPr>
              <w:jc w:val="center"/>
              <w:rPr>
                <w:color w:val="000000"/>
              </w:rPr>
            </w:pPr>
            <w:r w:rsidRPr="00375C66">
              <w:t>$1,995,723</w:t>
            </w:r>
          </w:p>
        </w:tc>
        <w:tc>
          <w:tcPr>
            <w:tcW w:w="1465" w:type="dxa"/>
          </w:tcPr>
          <w:p w14:paraId="42C52B81" w14:textId="2025DF45" w:rsidR="00987C66" w:rsidRPr="004C48D6" w:rsidRDefault="00987C66" w:rsidP="00987C66">
            <w:pPr>
              <w:jc w:val="center"/>
              <w:rPr>
                <w:color w:val="000000"/>
              </w:rPr>
            </w:pPr>
            <w:r w:rsidRPr="00375C66">
              <w:t>1%</w:t>
            </w:r>
          </w:p>
        </w:tc>
        <w:tc>
          <w:tcPr>
            <w:tcW w:w="1465" w:type="dxa"/>
            <w:shd w:val="clear" w:color="auto" w:fill="auto"/>
            <w:noWrap/>
          </w:tcPr>
          <w:p w14:paraId="2122BECB" w14:textId="67F31256" w:rsidR="00987C66" w:rsidRPr="004C48D6" w:rsidRDefault="00987C66" w:rsidP="00987C66">
            <w:pPr>
              <w:jc w:val="center"/>
              <w:rPr>
                <w:color w:val="000000"/>
              </w:rPr>
            </w:pPr>
            <w:r w:rsidRPr="00375C66">
              <w:t>4</w:t>
            </w:r>
          </w:p>
        </w:tc>
      </w:tr>
      <w:tr w:rsidR="00987C66" w14:paraId="50BE0029" w14:textId="77777777" w:rsidTr="00987C66">
        <w:trPr>
          <w:trHeight w:val="412"/>
        </w:trPr>
        <w:tc>
          <w:tcPr>
            <w:tcW w:w="4418" w:type="dxa"/>
            <w:shd w:val="clear" w:color="auto" w:fill="auto"/>
            <w:noWrap/>
            <w:vAlign w:val="bottom"/>
          </w:tcPr>
          <w:p w14:paraId="5095A2F6" w14:textId="77777777" w:rsidR="00987C66" w:rsidRPr="004C48D6" w:rsidRDefault="00987C66" w:rsidP="00987C66">
            <w:pPr>
              <w:rPr>
                <w:color w:val="000000"/>
                <w:lang w:eastAsia="en-AU"/>
              </w:rPr>
            </w:pPr>
            <w:r w:rsidRPr="004C48D6">
              <w:rPr>
                <w:color w:val="000000"/>
                <w:lang w:eastAsia="en-AU"/>
              </w:rPr>
              <w:t>Public Health and Health Services not elsewhere classified</w:t>
            </w:r>
          </w:p>
        </w:tc>
        <w:tc>
          <w:tcPr>
            <w:tcW w:w="1578" w:type="dxa"/>
            <w:shd w:val="clear" w:color="auto" w:fill="auto"/>
            <w:noWrap/>
          </w:tcPr>
          <w:p w14:paraId="179987C5" w14:textId="731356E3" w:rsidR="00987C66" w:rsidRPr="004C48D6" w:rsidRDefault="00987C66" w:rsidP="00987C66">
            <w:pPr>
              <w:jc w:val="center"/>
              <w:rPr>
                <w:color w:val="000000"/>
              </w:rPr>
            </w:pPr>
            <w:r w:rsidRPr="00375C66">
              <w:t>$1,984,022</w:t>
            </w:r>
          </w:p>
        </w:tc>
        <w:tc>
          <w:tcPr>
            <w:tcW w:w="1465" w:type="dxa"/>
          </w:tcPr>
          <w:p w14:paraId="77FA4038" w14:textId="47F94703" w:rsidR="00987C66" w:rsidRPr="004C48D6" w:rsidRDefault="00987C66" w:rsidP="00987C66">
            <w:pPr>
              <w:jc w:val="center"/>
              <w:rPr>
                <w:color w:val="000000"/>
              </w:rPr>
            </w:pPr>
            <w:r w:rsidRPr="00375C66">
              <w:t>1%</w:t>
            </w:r>
          </w:p>
        </w:tc>
        <w:tc>
          <w:tcPr>
            <w:tcW w:w="1465" w:type="dxa"/>
            <w:shd w:val="clear" w:color="auto" w:fill="auto"/>
            <w:noWrap/>
          </w:tcPr>
          <w:p w14:paraId="567E9243" w14:textId="4126245E" w:rsidR="00987C66" w:rsidRPr="004C48D6" w:rsidRDefault="00987C66" w:rsidP="00987C66">
            <w:pPr>
              <w:jc w:val="center"/>
              <w:rPr>
                <w:color w:val="000000"/>
              </w:rPr>
            </w:pPr>
            <w:r w:rsidRPr="00375C66">
              <w:t>3</w:t>
            </w:r>
          </w:p>
        </w:tc>
      </w:tr>
      <w:tr w:rsidR="00987C66" w14:paraId="093DF724" w14:textId="77777777" w:rsidTr="00987C66">
        <w:trPr>
          <w:trHeight w:val="412"/>
        </w:trPr>
        <w:tc>
          <w:tcPr>
            <w:tcW w:w="4418" w:type="dxa"/>
            <w:shd w:val="clear" w:color="auto" w:fill="auto"/>
            <w:noWrap/>
            <w:vAlign w:val="bottom"/>
          </w:tcPr>
          <w:p w14:paraId="24190D59" w14:textId="77777777" w:rsidR="00987C66" w:rsidRPr="004C48D6" w:rsidRDefault="00987C66" w:rsidP="00987C66">
            <w:pPr>
              <w:rPr>
                <w:color w:val="000000"/>
                <w:lang w:eastAsia="en-AU"/>
              </w:rPr>
            </w:pPr>
            <w:r w:rsidRPr="004C48D6">
              <w:rPr>
                <w:color w:val="000000"/>
                <w:lang w:eastAsia="en-AU"/>
              </w:rPr>
              <w:t>Other codes (approx. 40 codes with &lt;1% each)</w:t>
            </w:r>
          </w:p>
        </w:tc>
        <w:tc>
          <w:tcPr>
            <w:tcW w:w="1578" w:type="dxa"/>
            <w:shd w:val="clear" w:color="auto" w:fill="auto"/>
            <w:noWrap/>
          </w:tcPr>
          <w:p w14:paraId="7021CABF" w14:textId="6F4E01AA" w:rsidR="00987C66" w:rsidRPr="004C48D6" w:rsidRDefault="00987C66" w:rsidP="00987C66">
            <w:pPr>
              <w:jc w:val="center"/>
              <w:rPr>
                <w:color w:val="000000"/>
              </w:rPr>
            </w:pPr>
            <w:r w:rsidRPr="00375C66">
              <w:t>$28,275,748</w:t>
            </w:r>
          </w:p>
        </w:tc>
        <w:tc>
          <w:tcPr>
            <w:tcW w:w="1465" w:type="dxa"/>
          </w:tcPr>
          <w:p w14:paraId="5B6C0329" w14:textId="1EA2B698" w:rsidR="00987C66" w:rsidRPr="004C48D6" w:rsidRDefault="00987C66" w:rsidP="00987C66">
            <w:pPr>
              <w:jc w:val="center"/>
              <w:rPr>
                <w:color w:val="000000"/>
              </w:rPr>
            </w:pPr>
            <w:r w:rsidRPr="00375C66">
              <w:t>18%</w:t>
            </w:r>
          </w:p>
        </w:tc>
        <w:tc>
          <w:tcPr>
            <w:tcW w:w="1465" w:type="dxa"/>
            <w:shd w:val="clear" w:color="auto" w:fill="auto"/>
            <w:noWrap/>
          </w:tcPr>
          <w:p w14:paraId="59C22CCF" w14:textId="6343A4FB" w:rsidR="00987C66" w:rsidRPr="004C48D6" w:rsidRDefault="00987C66" w:rsidP="00987C66">
            <w:pPr>
              <w:jc w:val="center"/>
              <w:rPr>
                <w:color w:val="000000"/>
              </w:rPr>
            </w:pPr>
            <w:r w:rsidRPr="00375C66">
              <w:t>68</w:t>
            </w:r>
          </w:p>
        </w:tc>
      </w:tr>
      <w:tr w:rsidR="00572CE8" w14:paraId="5113172D" w14:textId="77777777" w:rsidTr="007868EF">
        <w:trPr>
          <w:trHeight w:val="412"/>
        </w:trPr>
        <w:tc>
          <w:tcPr>
            <w:tcW w:w="4418" w:type="dxa"/>
            <w:shd w:val="clear" w:color="auto" w:fill="auto"/>
            <w:noWrap/>
            <w:vAlign w:val="bottom"/>
          </w:tcPr>
          <w:p w14:paraId="293ECFCF" w14:textId="77777777" w:rsidR="00572CE8" w:rsidRDefault="00572CE8" w:rsidP="00572CE8">
            <w:pPr>
              <w:rPr>
                <w:b/>
                <w:bCs/>
                <w:color w:val="000000"/>
                <w:lang w:eastAsia="en-AU"/>
              </w:rPr>
            </w:pPr>
            <w:r>
              <w:rPr>
                <w:b/>
                <w:bCs/>
                <w:color w:val="000000"/>
                <w:lang w:eastAsia="en-AU"/>
              </w:rPr>
              <w:t>Total Expenditure</w:t>
            </w:r>
          </w:p>
        </w:tc>
        <w:tc>
          <w:tcPr>
            <w:tcW w:w="1578" w:type="dxa"/>
            <w:shd w:val="clear" w:color="auto" w:fill="auto"/>
            <w:noWrap/>
            <w:vAlign w:val="bottom"/>
          </w:tcPr>
          <w:p w14:paraId="69B706B9" w14:textId="351D2121" w:rsidR="00572CE8" w:rsidRDefault="00572CE8" w:rsidP="00572CE8">
            <w:pPr>
              <w:jc w:val="center"/>
              <w:rPr>
                <w:b/>
                <w:bCs/>
                <w:color w:val="000000"/>
              </w:rPr>
            </w:pPr>
            <w:r>
              <w:rPr>
                <w:b/>
                <w:bCs/>
                <w:color w:val="000000"/>
              </w:rPr>
              <w:t>$</w:t>
            </w:r>
            <w:r w:rsidR="00987C66">
              <w:rPr>
                <w:b/>
                <w:bCs/>
                <w:color w:val="000000"/>
              </w:rPr>
              <w:t>157,960,546</w:t>
            </w:r>
          </w:p>
        </w:tc>
        <w:tc>
          <w:tcPr>
            <w:tcW w:w="1465" w:type="dxa"/>
            <w:vAlign w:val="bottom"/>
          </w:tcPr>
          <w:p w14:paraId="2D89CED6" w14:textId="77777777" w:rsidR="00572CE8" w:rsidRDefault="00572CE8" w:rsidP="00572CE8">
            <w:pPr>
              <w:jc w:val="center"/>
              <w:rPr>
                <w:b/>
                <w:bCs/>
                <w:color w:val="000000"/>
              </w:rPr>
            </w:pPr>
            <w:r>
              <w:rPr>
                <w:b/>
                <w:bCs/>
                <w:color w:val="000000"/>
              </w:rPr>
              <w:t>100%</w:t>
            </w:r>
          </w:p>
        </w:tc>
        <w:tc>
          <w:tcPr>
            <w:tcW w:w="1465" w:type="dxa"/>
            <w:shd w:val="clear" w:color="auto" w:fill="auto"/>
            <w:noWrap/>
            <w:vAlign w:val="bottom"/>
          </w:tcPr>
          <w:p w14:paraId="1AD0A33D" w14:textId="398CB0B3" w:rsidR="00572CE8" w:rsidRDefault="00987C66" w:rsidP="00572CE8">
            <w:pPr>
              <w:jc w:val="center"/>
              <w:rPr>
                <w:b/>
                <w:bCs/>
                <w:color w:val="000000"/>
              </w:rPr>
            </w:pPr>
            <w:r>
              <w:rPr>
                <w:b/>
                <w:bCs/>
                <w:color w:val="000000"/>
              </w:rPr>
              <w:t>336</w:t>
            </w:r>
          </w:p>
        </w:tc>
      </w:tr>
    </w:tbl>
    <w:p w14:paraId="24A7C6E7" w14:textId="77777777" w:rsidR="00572CE8" w:rsidRPr="00E91674" w:rsidRDefault="00572CE8" w:rsidP="00CA742D"/>
    <w:p w14:paraId="258396E2" w14:textId="02662BB7" w:rsidR="00CA742D" w:rsidRPr="008E7A82" w:rsidRDefault="00CA742D" w:rsidP="00CA742D">
      <w:pPr>
        <w:rPr>
          <w:sz w:val="20"/>
          <w:szCs w:val="20"/>
        </w:rPr>
      </w:pPr>
      <w:r w:rsidRPr="008E7A82">
        <w:rPr>
          <w:sz w:val="20"/>
          <w:szCs w:val="20"/>
        </w:rPr>
        <w:t>Note: Older grants may still be classified on older versions of the ANZSRC Field of Research codes.</w:t>
      </w:r>
    </w:p>
    <w:p w14:paraId="057D3D25" w14:textId="77777777" w:rsidR="00CA742D" w:rsidRDefault="00CA742D" w:rsidP="00491B29"/>
    <w:p w14:paraId="7AE7DB08" w14:textId="479DA2EC" w:rsidR="000179E0" w:rsidRDefault="000179E0" w:rsidP="00EE136D">
      <w:pPr>
        <w:spacing w:after="160" w:line="259" w:lineRule="auto"/>
      </w:pPr>
      <w:proofErr w:type="gramStart"/>
      <w:r>
        <w:t>The majority of</w:t>
      </w:r>
      <w:proofErr w:type="gramEnd"/>
      <w:r>
        <w:t xml:space="preserve"> sleep-</w:t>
      </w:r>
      <w:r w:rsidRPr="000179E0">
        <w:t>related research was supported through the Project Grants scheme, which provided $</w:t>
      </w:r>
      <w:r w:rsidR="00987C66">
        <w:t>96.1</w:t>
      </w:r>
      <w:r w:rsidRPr="000179E0">
        <w:t xml:space="preserve"> million (</w:t>
      </w:r>
      <w:r w:rsidR="00987C66">
        <w:t>61</w:t>
      </w:r>
      <w:r w:rsidRPr="000179E0">
        <w:t>%)</w:t>
      </w:r>
      <w:r>
        <w:t xml:space="preserve"> to support </w:t>
      </w:r>
      <w:r w:rsidR="00572CE8">
        <w:t xml:space="preserve">179 </w:t>
      </w:r>
      <w:r>
        <w:t>sleep-</w:t>
      </w:r>
      <w:r w:rsidRPr="000179E0">
        <w:t xml:space="preserve">related grants between </w:t>
      </w:r>
      <w:r w:rsidR="007C220A">
        <w:t xml:space="preserve">the years 2000 and </w:t>
      </w:r>
      <w:r w:rsidR="00572CE8">
        <w:t>202</w:t>
      </w:r>
      <w:r w:rsidR="00987C66">
        <w:t>1</w:t>
      </w:r>
      <w:r w:rsidR="007C220A">
        <w:t xml:space="preserve">, as outlined in Table </w:t>
      </w:r>
      <w:r w:rsidR="008E7A82">
        <w:t>5</w:t>
      </w:r>
      <w:r w:rsidR="007C220A">
        <w:t>.</w:t>
      </w:r>
      <w:r>
        <w:t xml:space="preserve"> </w:t>
      </w:r>
    </w:p>
    <w:p w14:paraId="23D81C99" w14:textId="34CDD9A6" w:rsidR="000179E0" w:rsidRDefault="000179E0" w:rsidP="00D33B2D"/>
    <w:p w14:paraId="106680E7" w14:textId="171BE7E0" w:rsidR="000179E0" w:rsidRDefault="000179E0" w:rsidP="0040518C">
      <w:pPr>
        <w:pStyle w:val="Caption"/>
        <w:keepNext/>
        <w:spacing w:after="0"/>
        <w:rPr>
          <w:color w:val="auto"/>
          <w:sz w:val="24"/>
          <w:szCs w:val="24"/>
        </w:rPr>
      </w:pPr>
      <w:r w:rsidRPr="003148A5">
        <w:rPr>
          <w:color w:val="auto"/>
          <w:sz w:val="24"/>
          <w:szCs w:val="24"/>
        </w:rPr>
        <w:t xml:space="preserve">Table </w:t>
      </w:r>
      <w:r w:rsidR="008E7A82">
        <w:rPr>
          <w:color w:val="auto"/>
          <w:sz w:val="24"/>
          <w:szCs w:val="24"/>
        </w:rPr>
        <w:t>5</w:t>
      </w:r>
      <w:r w:rsidRPr="003148A5">
        <w:rPr>
          <w:color w:val="auto"/>
          <w:sz w:val="24"/>
          <w:szCs w:val="24"/>
        </w:rPr>
        <w:t xml:space="preserve"> - NHMRC supported sleep research 2000 to 201</w:t>
      </w:r>
      <w:r w:rsidR="0061205F">
        <w:rPr>
          <w:color w:val="auto"/>
          <w:sz w:val="24"/>
          <w:szCs w:val="24"/>
        </w:rPr>
        <w:t>9</w:t>
      </w:r>
      <w:r w:rsidRPr="003148A5">
        <w:rPr>
          <w:color w:val="auto"/>
          <w:sz w:val="24"/>
          <w:szCs w:val="24"/>
        </w:rPr>
        <w:t xml:space="preserve"> by funding scheme</w:t>
      </w:r>
    </w:p>
    <w:tbl>
      <w:tblPr>
        <w:tblStyle w:val="TableGrid"/>
        <w:tblW w:w="9016" w:type="dxa"/>
        <w:tblLook w:val="04A0" w:firstRow="1" w:lastRow="0" w:firstColumn="1" w:lastColumn="0" w:noHBand="0" w:noVBand="1"/>
      </w:tblPr>
      <w:tblGrid>
        <w:gridCol w:w="2547"/>
        <w:gridCol w:w="1961"/>
        <w:gridCol w:w="2254"/>
        <w:gridCol w:w="2254"/>
      </w:tblGrid>
      <w:tr w:rsidR="00572CE8" w14:paraId="3B5FB1D0" w14:textId="77777777" w:rsidTr="00572CE8">
        <w:trPr>
          <w:trHeight w:val="705"/>
        </w:trPr>
        <w:tc>
          <w:tcPr>
            <w:tcW w:w="2547" w:type="dxa"/>
            <w:noWrap/>
            <w:hideMark/>
          </w:tcPr>
          <w:p w14:paraId="36B189A5" w14:textId="77777777" w:rsidR="00572CE8" w:rsidRDefault="00572CE8">
            <w:pPr>
              <w:rPr>
                <w:b/>
                <w:bCs/>
                <w:color w:val="000000"/>
                <w:lang w:eastAsia="en-AU"/>
              </w:rPr>
            </w:pPr>
            <w:r>
              <w:rPr>
                <w:b/>
                <w:bCs/>
                <w:color w:val="000000"/>
                <w:lang w:eastAsia="en-AU"/>
              </w:rPr>
              <w:t>Funding Scheme</w:t>
            </w:r>
          </w:p>
        </w:tc>
        <w:tc>
          <w:tcPr>
            <w:tcW w:w="1961" w:type="dxa"/>
            <w:hideMark/>
          </w:tcPr>
          <w:p w14:paraId="53FA50C3" w14:textId="4BA56965" w:rsidR="00572CE8" w:rsidRDefault="00572CE8">
            <w:pPr>
              <w:jc w:val="center"/>
              <w:rPr>
                <w:b/>
                <w:bCs/>
                <w:color w:val="000000"/>
                <w:lang w:eastAsia="en-AU"/>
              </w:rPr>
            </w:pPr>
            <w:r>
              <w:rPr>
                <w:b/>
                <w:bCs/>
                <w:color w:val="000000"/>
                <w:lang w:eastAsia="en-AU"/>
              </w:rPr>
              <w:t>Expenditure</w:t>
            </w:r>
            <w:r>
              <w:rPr>
                <w:b/>
                <w:bCs/>
                <w:color w:val="000000"/>
                <w:lang w:eastAsia="en-AU"/>
              </w:rPr>
              <w:br/>
              <w:t xml:space="preserve"> 2000 - 202</w:t>
            </w:r>
            <w:r w:rsidR="00987C66">
              <w:rPr>
                <w:b/>
                <w:bCs/>
                <w:color w:val="000000"/>
                <w:lang w:eastAsia="en-AU"/>
              </w:rPr>
              <w:t>1</w:t>
            </w:r>
          </w:p>
        </w:tc>
        <w:tc>
          <w:tcPr>
            <w:tcW w:w="2254" w:type="dxa"/>
            <w:hideMark/>
          </w:tcPr>
          <w:p w14:paraId="44F9302A" w14:textId="77777777" w:rsidR="00572CE8" w:rsidRDefault="00572CE8">
            <w:pPr>
              <w:jc w:val="center"/>
              <w:rPr>
                <w:b/>
                <w:bCs/>
                <w:color w:val="000000"/>
                <w:lang w:eastAsia="en-AU"/>
              </w:rPr>
            </w:pPr>
            <w:r>
              <w:rPr>
                <w:b/>
                <w:bCs/>
                <w:color w:val="000000"/>
                <w:lang w:eastAsia="en-AU"/>
              </w:rPr>
              <w:t>Percentage of Total</w:t>
            </w:r>
          </w:p>
        </w:tc>
        <w:tc>
          <w:tcPr>
            <w:tcW w:w="2254" w:type="dxa"/>
            <w:hideMark/>
          </w:tcPr>
          <w:p w14:paraId="26B9A79B" w14:textId="77777777" w:rsidR="00572CE8" w:rsidRDefault="00572CE8">
            <w:pPr>
              <w:jc w:val="center"/>
              <w:rPr>
                <w:b/>
                <w:bCs/>
                <w:color w:val="000000"/>
                <w:lang w:eastAsia="en-AU"/>
              </w:rPr>
            </w:pPr>
            <w:r>
              <w:rPr>
                <w:b/>
                <w:bCs/>
                <w:color w:val="000000"/>
                <w:lang w:eastAsia="en-AU"/>
              </w:rPr>
              <w:t>Number of Grants</w:t>
            </w:r>
          </w:p>
        </w:tc>
      </w:tr>
      <w:tr w:rsidR="00987C66" w14:paraId="60194DD6" w14:textId="77777777" w:rsidTr="00572CE8">
        <w:trPr>
          <w:trHeight w:val="435"/>
        </w:trPr>
        <w:tc>
          <w:tcPr>
            <w:tcW w:w="2547" w:type="dxa"/>
            <w:noWrap/>
            <w:hideMark/>
          </w:tcPr>
          <w:p w14:paraId="61353D7F" w14:textId="77777777" w:rsidR="00987C66" w:rsidRDefault="00987C66" w:rsidP="00987C66">
            <w:pPr>
              <w:rPr>
                <w:color w:val="000000"/>
                <w:lang w:eastAsia="en-AU"/>
              </w:rPr>
            </w:pPr>
            <w:r>
              <w:t>Project Grants</w:t>
            </w:r>
          </w:p>
        </w:tc>
        <w:tc>
          <w:tcPr>
            <w:tcW w:w="1961" w:type="dxa"/>
            <w:noWrap/>
            <w:hideMark/>
          </w:tcPr>
          <w:p w14:paraId="52850F2C" w14:textId="23C93337" w:rsidR="00987C66" w:rsidRDefault="00987C66" w:rsidP="00987C66">
            <w:pPr>
              <w:jc w:val="center"/>
              <w:rPr>
                <w:color w:val="000000"/>
                <w:lang w:eastAsia="en-AU"/>
              </w:rPr>
            </w:pPr>
            <w:r w:rsidRPr="000639F6">
              <w:t>$96,120,028</w:t>
            </w:r>
          </w:p>
        </w:tc>
        <w:tc>
          <w:tcPr>
            <w:tcW w:w="2254" w:type="dxa"/>
            <w:noWrap/>
            <w:hideMark/>
          </w:tcPr>
          <w:p w14:paraId="55A3E340" w14:textId="78BE918E" w:rsidR="00987C66" w:rsidRDefault="00987C66" w:rsidP="00987C66">
            <w:pPr>
              <w:jc w:val="center"/>
              <w:rPr>
                <w:color w:val="000000"/>
                <w:lang w:eastAsia="en-AU"/>
              </w:rPr>
            </w:pPr>
            <w:r w:rsidRPr="000639F6">
              <w:t>61%</w:t>
            </w:r>
          </w:p>
        </w:tc>
        <w:tc>
          <w:tcPr>
            <w:tcW w:w="2254" w:type="dxa"/>
            <w:noWrap/>
            <w:hideMark/>
          </w:tcPr>
          <w:p w14:paraId="0B51E70B" w14:textId="41E2E6DA" w:rsidR="00987C66" w:rsidRDefault="00987C66" w:rsidP="00987C66">
            <w:pPr>
              <w:jc w:val="center"/>
              <w:rPr>
                <w:color w:val="000000"/>
                <w:lang w:eastAsia="en-AU"/>
              </w:rPr>
            </w:pPr>
            <w:r w:rsidRPr="000639F6">
              <w:t>179</w:t>
            </w:r>
          </w:p>
        </w:tc>
      </w:tr>
      <w:tr w:rsidR="00987C66" w14:paraId="0035E055" w14:textId="77777777" w:rsidTr="00572CE8">
        <w:trPr>
          <w:trHeight w:val="435"/>
        </w:trPr>
        <w:tc>
          <w:tcPr>
            <w:tcW w:w="2547" w:type="dxa"/>
            <w:noWrap/>
            <w:hideMark/>
          </w:tcPr>
          <w:p w14:paraId="45CBF777" w14:textId="77777777" w:rsidR="00987C66" w:rsidRDefault="00987C66" w:rsidP="00987C66">
            <w:pPr>
              <w:rPr>
                <w:color w:val="000000"/>
                <w:lang w:eastAsia="en-AU"/>
              </w:rPr>
            </w:pPr>
            <w:r>
              <w:t>Centres of Research Excellence</w:t>
            </w:r>
          </w:p>
        </w:tc>
        <w:tc>
          <w:tcPr>
            <w:tcW w:w="1961" w:type="dxa"/>
            <w:noWrap/>
            <w:hideMark/>
          </w:tcPr>
          <w:p w14:paraId="3CE15936" w14:textId="38BF132F" w:rsidR="00987C66" w:rsidRDefault="00987C66" w:rsidP="00987C66">
            <w:pPr>
              <w:jc w:val="center"/>
              <w:rPr>
                <w:color w:val="000000"/>
                <w:lang w:eastAsia="en-AU"/>
              </w:rPr>
            </w:pPr>
            <w:r w:rsidRPr="000639F6">
              <w:t>$11,554,662</w:t>
            </w:r>
          </w:p>
        </w:tc>
        <w:tc>
          <w:tcPr>
            <w:tcW w:w="2254" w:type="dxa"/>
            <w:noWrap/>
            <w:hideMark/>
          </w:tcPr>
          <w:p w14:paraId="2C284350" w14:textId="154FD1B0" w:rsidR="00987C66" w:rsidRDefault="00987C66" w:rsidP="00987C66">
            <w:pPr>
              <w:jc w:val="center"/>
              <w:rPr>
                <w:color w:val="000000"/>
                <w:lang w:eastAsia="en-AU"/>
              </w:rPr>
            </w:pPr>
            <w:r w:rsidRPr="000639F6">
              <w:t>7%</w:t>
            </w:r>
          </w:p>
        </w:tc>
        <w:tc>
          <w:tcPr>
            <w:tcW w:w="2254" w:type="dxa"/>
            <w:noWrap/>
            <w:hideMark/>
          </w:tcPr>
          <w:p w14:paraId="1FAB0D9C" w14:textId="322BF7B9" w:rsidR="00987C66" w:rsidRDefault="00987C66" w:rsidP="00987C66">
            <w:pPr>
              <w:jc w:val="center"/>
              <w:rPr>
                <w:color w:val="000000"/>
                <w:lang w:eastAsia="en-AU"/>
              </w:rPr>
            </w:pPr>
            <w:r w:rsidRPr="000639F6">
              <w:t>5</w:t>
            </w:r>
          </w:p>
        </w:tc>
      </w:tr>
      <w:tr w:rsidR="00987C66" w14:paraId="42B91C3E" w14:textId="77777777" w:rsidTr="00572CE8">
        <w:trPr>
          <w:trHeight w:val="435"/>
        </w:trPr>
        <w:tc>
          <w:tcPr>
            <w:tcW w:w="2547" w:type="dxa"/>
            <w:noWrap/>
            <w:hideMark/>
          </w:tcPr>
          <w:p w14:paraId="2DEBDB5F" w14:textId="77777777" w:rsidR="00987C66" w:rsidRDefault="00987C66" w:rsidP="00987C66">
            <w:pPr>
              <w:rPr>
                <w:color w:val="000000"/>
                <w:lang w:eastAsia="en-AU"/>
              </w:rPr>
            </w:pPr>
            <w:r>
              <w:t>Research Fellowships</w:t>
            </w:r>
          </w:p>
        </w:tc>
        <w:tc>
          <w:tcPr>
            <w:tcW w:w="1961" w:type="dxa"/>
            <w:noWrap/>
            <w:hideMark/>
          </w:tcPr>
          <w:p w14:paraId="4C4B91B8" w14:textId="5BCB432E" w:rsidR="00987C66" w:rsidRDefault="00987C66" w:rsidP="00987C66">
            <w:pPr>
              <w:jc w:val="center"/>
              <w:rPr>
                <w:color w:val="000000"/>
                <w:lang w:eastAsia="en-AU"/>
              </w:rPr>
            </w:pPr>
            <w:r w:rsidRPr="000639F6">
              <w:t>$9,249,234</w:t>
            </w:r>
          </w:p>
        </w:tc>
        <w:tc>
          <w:tcPr>
            <w:tcW w:w="2254" w:type="dxa"/>
            <w:noWrap/>
            <w:hideMark/>
          </w:tcPr>
          <w:p w14:paraId="0A222FA4" w14:textId="1FDD26C9" w:rsidR="00987C66" w:rsidRDefault="00987C66" w:rsidP="00987C66">
            <w:pPr>
              <w:jc w:val="center"/>
              <w:rPr>
                <w:color w:val="000000"/>
                <w:lang w:eastAsia="en-AU"/>
              </w:rPr>
            </w:pPr>
            <w:r w:rsidRPr="000639F6">
              <w:t>6%</w:t>
            </w:r>
          </w:p>
        </w:tc>
        <w:tc>
          <w:tcPr>
            <w:tcW w:w="2254" w:type="dxa"/>
            <w:noWrap/>
            <w:hideMark/>
          </w:tcPr>
          <w:p w14:paraId="5C8A5A5A" w14:textId="0225B627" w:rsidR="00987C66" w:rsidRDefault="00987C66" w:rsidP="00987C66">
            <w:pPr>
              <w:jc w:val="center"/>
              <w:rPr>
                <w:color w:val="000000"/>
                <w:lang w:eastAsia="en-AU"/>
              </w:rPr>
            </w:pPr>
            <w:r w:rsidRPr="000639F6">
              <w:t>15</w:t>
            </w:r>
          </w:p>
        </w:tc>
      </w:tr>
      <w:tr w:rsidR="00987C66" w14:paraId="7C1A343A" w14:textId="77777777" w:rsidTr="00572CE8">
        <w:trPr>
          <w:trHeight w:val="435"/>
        </w:trPr>
        <w:tc>
          <w:tcPr>
            <w:tcW w:w="2547" w:type="dxa"/>
            <w:noWrap/>
            <w:hideMark/>
          </w:tcPr>
          <w:p w14:paraId="527D3F6E" w14:textId="77777777" w:rsidR="00987C66" w:rsidRDefault="00987C66" w:rsidP="00987C66">
            <w:pPr>
              <w:rPr>
                <w:color w:val="000000"/>
                <w:lang w:eastAsia="en-AU"/>
              </w:rPr>
            </w:pPr>
            <w:r>
              <w:t>Early Career Fellowships</w:t>
            </w:r>
          </w:p>
        </w:tc>
        <w:tc>
          <w:tcPr>
            <w:tcW w:w="1961" w:type="dxa"/>
            <w:noWrap/>
            <w:hideMark/>
          </w:tcPr>
          <w:p w14:paraId="29F72EB0" w14:textId="7BC9B46E" w:rsidR="00987C66" w:rsidRDefault="00987C66" w:rsidP="00987C66">
            <w:pPr>
              <w:jc w:val="center"/>
              <w:rPr>
                <w:color w:val="000000"/>
                <w:lang w:eastAsia="en-AU"/>
              </w:rPr>
            </w:pPr>
            <w:r w:rsidRPr="000639F6">
              <w:t>$7,338,887</w:t>
            </w:r>
          </w:p>
        </w:tc>
        <w:tc>
          <w:tcPr>
            <w:tcW w:w="2254" w:type="dxa"/>
            <w:noWrap/>
            <w:hideMark/>
          </w:tcPr>
          <w:p w14:paraId="0AC6D39B" w14:textId="041BDDFF" w:rsidR="00987C66" w:rsidRDefault="00987C66" w:rsidP="00987C66">
            <w:pPr>
              <w:jc w:val="center"/>
              <w:rPr>
                <w:color w:val="000000"/>
                <w:lang w:eastAsia="en-AU"/>
              </w:rPr>
            </w:pPr>
            <w:r w:rsidRPr="000639F6">
              <w:t>5%</w:t>
            </w:r>
          </w:p>
        </w:tc>
        <w:tc>
          <w:tcPr>
            <w:tcW w:w="2254" w:type="dxa"/>
            <w:noWrap/>
            <w:hideMark/>
          </w:tcPr>
          <w:p w14:paraId="08B0A798" w14:textId="3C2037C2" w:rsidR="00987C66" w:rsidRDefault="00987C66" w:rsidP="00987C66">
            <w:pPr>
              <w:jc w:val="center"/>
              <w:rPr>
                <w:color w:val="000000"/>
                <w:lang w:eastAsia="en-AU"/>
              </w:rPr>
            </w:pPr>
            <w:r w:rsidRPr="000639F6">
              <w:t>27</w:t>
            </w:r>
          </w:p>
        </w:tc>
      </w:tr>
      <w:tr w:rsidR="00987C66" w14:paraId="23BA46A5" w14:textId="77777777" w:rsidTr="00572CE8">
        <w:trPr>
          <w:trHeight w:val="435"/>
        </w:trPr>
        <w:tc>
          <w:tcPr>
            <w:tcW w:w="2547" w:type="dxa"/>
            <w:noWrap/>
            <w:hideMark/>
          </w:tcPr>
          <w:p w14:paraId="14529640" w14:textId="77777777" w:rsidR="00987C66" w:rsidRDefault="00987C66" w:rsidP="00987C66">
            <w:pPr>
              <w:rPr>
                <w:color w:val="000000"/>
                <w:lang w:eastAsia="en-AU"/>
              </w:rPr>
            </w:pPr>
            <w:r>
              <w:t>Practitioner Fellowships</w:t>
            </w:r>
          </w:p>
        </w:tc>
        <w:tc>
          <w:tcPr>
            <w:tcW w:w="1961" w:type="dxa"/>
            <w:noWrap/>
            <w:hideMark/>
          </w:tcPr>
          <w:p w14:paraId="3F5ACE6C" w14:textId="3B07E930" w:rsidR="00987C66" w:rsidRDefault="00987C66" w:rsidP="00987C66">
            <w:pPr>
              <w:jc w:val="center"/>
              <w:rPr>
                <w:color w:val="000000"/>
                <w:lang w:eastAsia="en-AU"/>
              </w:rPr>
            </w:pPr>
            <w:r w:rsidRPr="000639F6">
              <w:t>$5,182,842</w:t>
            </w:r>
          </w:p>
        </w:tc>
        <w:tc>
          <w:tcPr>
            <w:tcW w:w="2254" w:type="dxa"/>
            <w:noWrap/>
            <w:hideMark/>
          </w:tcPr>
          <w:p w14:paraId="19ADCF6B" w14:textId="3989BCDD" w:rsidR="00987C66" w:rsidRDefault="00987C66" w:rsidP="00987C66">
            <w:pPr>
              <w:jc w:val="center"/>
              <w:rPr>
                <w:color w:val="000000"/>
                <w:lang w:eastAsia="en-AU"/>
              </w:rPr>
            </w:pPr>
            <w:r w:rsidRPr="000639F6">
              <w:t>3%</w:t>
            </w:r>
          </w:p>
        </w:tc>
        <w:tc>
          <w:tcPr>
            <w:tcW w:w="2254" w:type="dxa"/>
            <w:noWrap/>
            <w:hideMark/>
          </w:tcPr>
          <w:p w14:paraId="3BFAE89B" w14:textId="741F4FBC" w:rsidR="00987C66" w:rsidRDefault="00987C66" w:rsidP="00987C66">
            <w:pPr>
              <w:jc w:val="center"/>
              <w:rPr>
                <w:color w:val="000000"/>
                <w:lang w:eastAsia="en-AU"/>
              </w:rPr>
            </w:pPr>
            <w:r w:rsidRPr="000639F6">
              <w:t>12</w:t>
            </w:r>
          </w:p>
        </w:tc>
      </w:tr>
      <w:tr w:rsidR="00987C66" w14:paraId="69BE2A09" w14:textId="77777777" w:rsidTr="00572CE8">
        <w:trPr>
          <w:trHeight w:val="435"/>
        </w:trPr>
        <w:tc>
          <w:tcPr>
            <w:tcW w:w="2547" w:type="dxa"/>
            <w:noWrap/>
            <w:hideMark/>
          </w:tcPr>
          <w:p w14:paraId="3C34F498" w14:textId="77777777" w:rsidR="00987C66" w:rsidRDefault="00987C66" w:rsidP="00987C66">
            <w:pPr>
              <w:rPr>
                <w:color w:val="000000"/>
                <w:lang w:eastAsia="en-AU"/>
              </w:rPr>
            </w:pPr>
            <w:r>
              <w:t>Postgraduate Scholarships</w:t>
            </w:r>
          </w:p>
        </w:tc>
        <w:tc>
          <w:tcPr>
            <w:tcW w:w="1961" w:type="dxa"/>
            <w:noWrap/>
            <w:hideMark/>
          </w:tcPr>
          <w:p w14:paraId="56983E17" w14:textId="7042DD40" w:rsidR="00987C66" w:rsidRDefault="00987C66" w:rsidP="00987C66">
            <w:pPr>
              <w:jc w:val="center"/>
              <w:rPr>
                <w:color w:val="000000"/>
                <w:lang w:eastAsia="en-AU"/>
              </w:rPr>
            </w:pPr>
            <w:r w:rsidRPr="000639F6">
              <w:t>$4,181,771</w:t>
            </w:r>
          </w:p>
        </w:tc>
        <w:tc>
          <w:tcPr>
            <w:tcW w:w="2254" w:type="dxa"/>
            <w:noWrap/>
            <w:hideMark/>
          </w:tcPr>
          <w:p w14:paraId="2992CE26" w14:textId="502EC720" w:rsidR="00987C66" w:rsidRDefault="00987C66" w:rsidP="00987C66">
            <w:pPr>
              <w:jc w:val="center"/>
              <w:rPr>
                <w:color w:val="000000"/>
                <w:lang w:eastAsia="en-AU"/>
              </w:rPr>
            </w:pPr>
            <w:r w:rsidRPr="000639F6">
              <w:t>3%</w:t>
            </w:r>
          </w:p>
        </w:tc>
        <w:tc>
          <w:tcPr>
            <w:tcW w:w="2254" w:type="dxa"/>
            <w:noWrap/>
            <w:hideMark/>
          </w:tcPr>
          <w:p w14:paraId="7FFB60D1" w14:textId="2D99FF9A" w:rsidR="00987C66" w:rsidRDefault="00987C66" w:rsidP="00987C66">
            <w:pPr>
              <w:jc w:val="center"/>
              <w:rPr>
                <w:color w:val="000000"/>
                <w:lang w:eastAsia="en-AU"/>
              </w:rPr>
            </w:pPr>
            <w:r w:rsidRPr="000639F6">
              <w:t>6</w:t>
            </w:r>
          </w:p>
        </w:tc>
      </w:tr>
      <w:tr w:rsidR="00987C66" w14:paraId="5E2B3707" w14:textId="77777777" w:rsidTr="00572CE8">
        <w:trPr>
          <w:trHeight w:val="435"/>
        </w:trPr>
        <w:tc>
          <w:tcPr>
            <w:tcW w:w="2547" w:type="dxa"/>
            <w:noWrap/>
            <w:hideMark/>
          </w:tcPr>
          <w:p w14:paraId="3F5F7BB4" w14:textId="77777777" w:rsidR="00987C66" w:rsidRDefault="00987C66" w:rsidP="00987C66">
            <w:pPr>
              <w:rPr>
                <w:color w:val="000000"/>
                <w:lang w:eastAsia="en-AU"/>
              </w:rPr>
            </w:pPr>
            <w:r>
              <w:t>Targeted Calls for Research</w:t>
            </w:r>
          </w:p>
        </w:tc>
        <w:tc>
          <w:tcPr>
            <w:tcW w:w="1961" w:type="dxa"/>
            <w:noWrap/>
            <w:hideMark/>
          </w:tcPr>
          <w:p w14:paraId="4D197976" w14:textId="07EF7CC8" w:rsidR="00987C66" w:rsidRDefault="00987C66" w:rsidP="00987C66">
            <w:pPr>
              <w:jc w:val="center"/>
              <w:rPr>
                <w:color w:val="000000"/>
                <w:lang w:eastAsia="en-AU"/>
              </w:rPr>
            </w:pPr>
            <w:r w:rsidRPr="000639F6">
              <w:t>$4,150,750</w:t>
            </w:r>
          </w:p>
        </w:tc>
        <w:tc>
          <w:tcPr>
            <w:tcW w:w="2254" w:type="dxa"/>
            <w:noWrap/>
            <w:hideMark/>
          </w:tcPr>
          <w:p w14:paraId="6555923C" w14:textId="0992C33A" w:rsidR="00987C66" w:rsidRDefault="00987C66" w:rsidP="00987C66">
            <w:pPr>
              <w:jc w:val="center"/>
              <w:rPr>
                <w:color w:val="000000"/>
                <w:lang w:eastAsia="en-AU"/>
              </w:rPr>
            </w:pPr>
            <w:r w:rsidRPr="000639F6">
              <w:t>3%</w:t>
            </w:r>
          </w:p>
        </w:tc>
        <w:tc>
          <w:tcPr>
            <w:tcW w:w="2254" w:type="dxa"/>
            <w:noWrap/>
            <w:hideMark/>
          </w:tcPr>
          <w:p w14:paraId="1ED7F6FE" w14:textId="5E582EE2" w:rsidR="00987C66" w:rsidRDefault="00987C66" w:rsidP="00987C66">
            <w:pPr>
              <w:jc w:val="center"/>
              <w:rPr>
                <w:color w:val="000000"/>
                <w:lang w:eastAsia="en-AU"/>
              </w:rPr>
            </w:pPr>
            <w:r w:rsidRPr="000639F6">
              <w:t>10</w:t>
            </w:r>
          </w:p>
        </w:tc>
      </w:tr>
      <w:tr w:rsidR="00987C66" w14:paraId="3A056D2F" w14:textId="77777777" w:rsidTr="00572CE8">
        <w:trPr>
          <w:trHeight w:val="435"/>
        </w:trPr>
        <w:tc>
          <w:tcPr>
            <w:tcW w:w="2547" w:type="dxa"/>
            <w:noWrap/>
            <w:hideMark/>
          </w:tcPr>
          <w:p w14:paraId="3AEAEFB2" w14:textId="77777777" w:rsidR="00987C66" w:rsidRDefault="00987C66" w:rsidP="00987C66">
            <w:pPr>
              <w:rPr>
                <w:color w:val="000000"/>
                <w:lang w:eastAsia="en-AU"/>
              </w:rPr>
            </w:pPr>
            <w:r>
              <w:t>Boosting Dementia Research Initiative</w:t>
            </w:r>
          </w:p>
        </w:tc>
        <w:tc>
          <w:tcPr>
            <w:tcW w:w="1961" w:type="dxa"/>
            <w:noWrap/>
            <w:hideMark/>
          </w:tcPr>
          <w:p w14:paraId="61FA4592" w14:textId="780B7162" w:rsidR="00987C66" w:rsidRDefault="00987C66" w:rsidP="00987C66">
            <w:pPr>
              <w:jc w:val="center"/>
              <w:rPr>
                <w:color w:val="000000"/>
                <w:lang w:eastAsia="en-AU"/>
              </w:rPr>
            </w:pPr>
            <w:r w:rsidRPr="000639F6">
              <w:t>$4,002,092</w:t>
            </w:r>
          </w:p>
        </w:tc>
        <w:tc>
          <w:tcPr>
            <w:tcW w:w="2254" w:type="dxa"/>
            <w:noWrap/>
            <w:hideMark/>
          </w:tcPr>
          <w:p w14:paraId="594BDDEF" w14:textId="6A09C245" w:rsidR="00987C66" w:rsidRDefault="00987C66" w:rsidP="00987C66">
            <w:pPr>
              <w:jc w:val="center"/>
              <w:rPr>
                <w:color w:val="000000"/>
                <w:lang w:eastAsia="en-AU"/>
              </w:rPr>
            </w:pPr>
            <w:r w:rsidRPr="000639F6">
              <w:t>3%</w:t>
            </w:r>
          </w:p>
        </w:tc>
        <w:tc>
          <w:tcPr>
            <w:tcW w:w="2254" w:type="dxa"/>
            <w:noWrap/>
            <w:hideMark/>
          </w:tcPr>
          <w:p w14:paraId="4E8E093E" w14:textId="136ED312" w:rsidR="00987C66" w:rsidRDefault="00987C66" w:rsidP="00987C66">
            <w:pPr>
              <w:jc w:val="center"/>
              <w:rPr>
                <w:color w:val="000000"/>
                <w:lang w:eastAsia="en-AU"/>
              </w:rPr>
            </w:pPr>
            <w:r w:rsidRPr="000639F6">
              <w:t>50</w:t>
            </w:r>
          </w:p>
        </w:tc>
      </w:tr>
      <w:tr w:rsidR="00987C66" w14:paraId="34542055" w14:textId="77777777" w:rsidTr="00572CE8">
        <w:trPr>
          <w:trHeight w:val="435"/>
        </w:trPr>
        <w:tc>
          <w:tcPr>
            <w:tcW w:w="2547" w:type="dxa"/>
            <w:noWrap/>
            <w:hideMark/>
          </w:tcPr>
          <w:p w14:paraId="7D3A7FDC" w14:textId="77777777" w:rsidR="00987C66" w:rsidRDefault="00987C66" w:rsidP="00987C66">
            <w:pPr>
              <w:rPr>
                <w:color w:val="000000"/>
                <w:lang w:eastAsia="en-AU"/>
              </w:rPr>
            </w:pPr>
            <w:r>
              <w:t>International Collaborations</w:t>
            </w:r>
          </w:p>
        </w:tc>
        <w:tc>
          <w:tcPr>
            <w:tcW w:w="1961" w:type="dxa"/>
            <w:noWrap/>
            <w:hideMark/>
          </w:tcPr>
          <w:p w14:paraId="48480851" w14:textId="1DA412A3" w:rsidR="00987C66" w:rsidRDefault="00987C66" w:rsidP="00987C66">
            <w:pPr>
              <w:jc w:val="center"/>
              <w:rPr>
                <w:color w:val="000000"/>
                <w:lang w:eastAsia="en-AU"/>
              </w:rPr>
            </w:pPr>
            <w:r w:rsidRPr="000639F6">
              <w:t>$3,628,308</w:t>
            </w:r>
          </w:p>
        </w:tc>
        <w:tc>
          <w:tcPr>
            <w:tcW w:w="2254" w:type="dxa"/>
            <w:noWrap/>
            <w:hideMark/>
          </w:tcPr>
          <w:p w14:paraId="0E73ECC3" w14:textId="3A6BBA6D" w:rsidR="00987C66" w:rsidRDefault="00987C66" w:rsidP="00987C66">
            <w:pPr>
              <w:jc w:val="center"/>
              <w:rPr>
                <w:color w:val="000000"/>
                <w:lang w:eastAsia="en-AU"/>
              </w:rPr>
            </w:pPr>
            <w:r w:rsidRPr="000639F6">
              <w:t>2%</w:t>
            </w:r>
          </w:p>
        </w:tc>
        <w:tc>
          <w:tcPr>
            <w:tcW w:w="2254" w:type="dxa"/>
            <w:noWrap/>
            <w:hideMark/>
          </w:tcPr>
          <w:p w14:paraId="104EA672" w14:textId="51DBBED0" w:rsidR="00987C66" w:rsidRDefault="00987C66" w:rsidP="00987C66">
            <w:pPr>
              <w:jc w:val="center"/>
              <w:rPr>
                <w:color w:val="000000"/>
                <w:lang w:eastAsia="en-AU"/>
              </w:rPr>
            </w:pPr>
            <w:r w:rsidRPr="000639F6">
              <w:t>3</w:t>
            </w:r>
          </w:p>
        </w:tc>
      </w:tr>
      <w:tr w:rsidR="00987C66" w14:paraId="2551844C" w14:textId="77777777" w:rsidTr="00572CE8">
        <w:trPr>
          <w:trHeight w:val="435"/>
        </w:trPr>
        <w:tc>
          <w:tcPr>
            <w:tcW w:w="2547" w:type="dxa"/>
            <w:noWrap/>
            <w:hideMark/>
          </w:tcPr>
          <w:p w14:paraId="1A692A35" w14:textId="77777777" w:rsidR="00987C66" w:rsidRDefault="00987C66" w:rsidP="00987C66">
            <w:pPr>
              <w:rPr>
                <w:color w:val="000000"/>
                <w:lang w:eastAsia="en-AU"/>
              </w:rPr>
            </w:pPr>
            <w:r>
              <w:t>Career Development Fellowships</w:t>
            </w:r>
          </w:p>
        </w:tc>
        <w:tc>
          <w:tcPr>
            <w:tcW w:w="1961" w:type="dxa"/>
            <w:noWrap/>
            <w:hideMark/>
          </w:tcPr>
          <w:p w14:paraId="4F84F81D" w14:textId="76341BE2" w:rsidR="00987C66" w:rsidRDefault="00987C66" w:rsidP="00987C66">
            <w:pPr>
              <w:jc w:val="center"/>
              <w:rPr>
                <w:color w:val="000000"/>
                <w:lang w:eastAsia="en-AU"/>
              </w:rPr>
            </w:pPr>
            <w:r w:rsidRPr="000639F6">
              <w:t>$3,110,749</w:t>
            </w:r>
          </w:p>
        </w:tc>
        <w:tc>
          <w:tcPr>
            <w:tcW w:w="2254" w:type="dxa"/>
            <w:noWrap/>
            <w:hideMark/>
          </w:tcPr>
          <w:p w14:paraId="3B2F479A" w14:textId="481EA3A3" w:rsidR="00987C66" w:rsidRDefault="00987C66" w:rsidP="00987C66">
            <w:pPr>
              <w:jc w:val="center"/>
              <w:rPr>
                <w:color w:val="000000"/>
                <w:lang w:eastAsia="en-AU"/>
              </w:rPr>
            </w:pPr>
            <w:r w:rsidRPr="000639F6">
              <w:t>2%</w:t>
            </w:r>
          </w:p>
        </w:tc>
        <w:tc>
          <w:tcPr>
            <w:tcW w:w="2254" w:type="dxa"/>
            <w:noWrap/>
            <w:hideMark/>
          </w:tcPr>
          <w:p w14:paraId="1FDABB56" w14:textId="5A788BD7" w:rsidR="00987C66" w:rsidRDefault="00987C66" w:rsidP="00987C66">
            <w:pPr>
              <w:jc w:val="center"/>
              <w:rPr>
                <w:color w:val="000000"/>
                <w:lang w:eastAsia="en-AU"/>
              </w:rPr>
            </w:pPr>
            <w:r w:rsidRPr="000639F6">
              <w:t>3</w:t>
            </w:r>
          </w:p>
        </w:tc>
      </w:tr>
      <w:tr w:rsidR="00987C66" w14:paraId="0383C900" w14:textId="77777777" w:rsidTr="00572CE8">
        <w:trPr>
          <w:trHeight w:val="435"/>
        </w:trPr>
        <w:tc>
          <w:tcPr>
            <w:tcW w:w="2547" w:type="dxa"/>
            <w:noWrap/>
            <w:hideMark/>
          </w:tcPr>
          <w:p w14:paraId="434D17F9" w14:textId="77777777" w:rsidR="00987C66" w:rsidRDefault="00987C66" w:rsidP="00987C66">
            <w:pPr>
              <w:rPr>
                <w:color w:val="000000"/>
                <w:lang w:eastAsia="en-AU"/>
              </w:rPr>
            </w:pPr>
            <w:r>
              <w:t>Enabling Grants</w:t>
            </w:r>
          </w:p>
        </w:tc>
        <w:tc>
          <w:tcPr>
            <w:tcW w:w="1961" w:type="dxa"/>
            <w:noWrap/>
            <w:hideMark/>
          </w:tcPr>
          <w:p w14:paraId="7F9D866B" w14:textId="5D9998F6" w:rsidR="00987C66" w:rsidRDefault="00987C66" w:rsidP="00987C66">
            <w:pPr>
              <w:jc w:val="center"/>
              <w:rPr>
                <w:color w:val="000000"/>
                <w:lang w:eastAsia="en-AU"/>
              </w:rPr>
            </w:pPr>
            <w:r w:rsidRPr="000639F6">
              <w:t>$3,017,065</w:t>
            </w:r>
          </w:p>
        </w:tc>
        <w:tc>
          <w:tcPr>
            <w:tcW w:w="2254" w:type="dxa"/>
            <w:noWrap/>
            <w:hideMark/>
          </w:tcPr>
          <w:p w14:paraId="593AA457" w14:textId="688DF7BF" w:rsidR="00987C66" w:rsidRDefault="00987C66" w:rsidP="00987C66">
            <w:pPr>
              <w:jc w:val="center"/>
              <w:rPr>
                <w:color w:val="000000"/>
                <w:lang w:eastAsia="en-AU"/>
              </w:rPr>
            </w:pPr>
            <w:r w:rsidRPr="000639F6">
              <w:t>2%</w:t>
            </w:r>
          </w:p>
        </w:tc>
        <w:tc>
          <w:tcPr>
            <w:tcW w:w="2254" w:type="dxa"/>
            <w:noWrap/>
            <w:hideMark/>
          </w:tcPr>
          <w:p w14:paraId="39BF85FB" w14:textId="2966472F" w:rsidR="00987C66" w:rsidRDefault="00987C66" w:rsidP="00987C66">
            <w:pPr>
              <w:jc w:val="center"/>
              <w:rPr>
                <w:color w:val="000000"/>
                <w:lang w:eastAsia="en-AU"/>
              </w:rPr>
            </w:pPr>
            <w:r w:rsidRPr="000639F6">
              <w:t>10</w:t>
            </w:r>
          </w:p>
        </w:tc>
      </w:tr>
      <w:tr w:rsidR="00987C66" w14:paraId="6912C41F" w14:textId="77777777" w:rsidTr="00572CE8">
        <w:trPr>
          <w:trHeight w:val="435"/>
        </w:trPr>
        <w:tc>
          <w:tcPr>
            <w:tcW w:w="2547" w:type="dxa"/>
            <w:noWrap/>
            <w:hideMark/>
          </w:tcPr>
          <w:p w14:paraId="71C2BE2B" w14:textId="77777777" w:rsidR="00987C66" w:rsidRDefault="00987C66" w:rsidP="00987C66">
            <w:pPr>
              <w:rPr>
                <w:color w:val="000000"/>
                <w:lang w:eastAsia="en-AU"/>
              </w:rPr>
            </w:pPr>
            <w:r>
              <w:t>Development Grants</w:t>
            </w:r>
          </w:p>
        </w:tc>
        <w:tc>
          <w:tcPr>
            <w:tcW w:w="1961" w:type="dxa"/>
            <w:noWrap/>
            <w:hideMark/>
          </w:tcPr>
          <w:p w14:paraId="5706682A" w14:textId="53C5A606" w:rsidR="00987C66" w:rsidRDefault="00987C66" w:rsidP="00987C66">
            <w:pPr>
              <w:jc w:val="center"/>
              <w:rPr>
                <w:color w:val="000000"/>
                <w:lang w:eastAsia="en-AU"/>
              </w:rPr>
            </w:pPr>
            <w:r w:rsidRPr="000639F6">
              <w:t>$2,364,333</w:t>
            </w:r>
          </w:p>
        </w:tc>
        <w:tc>
          <w:tcPr>
            <w:tcW w:w="2254" w:type="dxa"/>
            <w:noWrap/>
            <w:hideMark/>
          </w:tcPr>
          <w:p w14:paraId="2BD6E681" w14:textId="607F06C0" w:rsidR="00987C66" w:rsidRDefault="00987C66" w:rsidP="00987C66">
            <w:pPr>
              <w:jc w:val="center"/>
              <w:rPr>
                <w:color w:val="000000"/>
                <w:lang w:eastAsia="en-AU"/>
              </w:rPr>
            </w:pPr>
            <w:r w:rsidRPr="000639F6">
              <w:t>1%</w:t>
            </w:r>
          </w:p>
        </w:tc>
        <w:tc>
          <w:tcPr>
            <w:tcW w:w="2254" w:type="dxa"/>
            <w:noWrap/>
            <w:hideMark/>
          </w:tcPr>
          <w:p w14:paraId="6E55B522" w14:textId="0432D409" w:rsidR="00987C66" w:rsidRDefault="00987C66" w:rsidP="00987C66">
            <w:pPr>
              <w:jc w:val="center"/>
              <w:rPr>
                <w:color w:val="000000"/>
                <w:lang w:eastAsia="en-AU"/>
              </w:rPr>
            </w:pPr>
            <w:r w:rsidRPr="000639F6">
              <w:t>7</w:t>
            </w:r>
          </w:p>
        </w:tc>
      </w:tr>
      <w:tr w:rsidR="00987C66" w14:paraId="0C79BD99" w14:textId="77777777" w:rsidTr="00572CE8">
        <w:trPr>
          <w:trHeight w:val="435"/>
        </w:trPr>
        <w:tc>
          <w:tcPr>
            <w:tcW w:w="2547" w:type="dxa"/>
            <w:noWrap/>
            <w:hideMark/>
          </w:tcPr>
          <w:p w14:paraId="0FFAD353" w14:textId="77777777" w:rsidR="00987C66" w:rsidRDefault="00987C66" w:rsidP="00987C66">
            <w:pPr>
              <w:rPr>
                <w:color w:val="000000"/>
                <w:lang w:eastAsia="en-AU"/>
              </w:rPr>
            </w:pPr>
            <w:r>
              <w:t>Investigator Grants</w:t>
            </w:r>
          </w:p>
        </w:tc>
        <w:tc>
          <w:tcPr>
            <w:tcW w:w="1961" w:type="dxa"/>
            <w:noWrap/>
            <w:hideMark/>
          </w:tcPr>
          <w:p w14:paraId="2489C682" w14:textId="2CFD2068" w:rsidR="00987C66" w:rsidRDefault="00987C66" w:rsidP="00987C66">
            <w:pPr>
              <w:jc w:val="center"/>
              <w:rPr>
                <w:color w:val="000000"/>
                <w:lang w:eastAsia="en-AU"/>
              </w:rPr>
            </w:pPr>
            <w:r w:rsidRPr="000639F6">
              <w:t>$1,671,026</w:t>
            </w:r>
          </w:p>
        </w:tc>
        <w:tc>
          <w:tcPr>
            <w:tcW w:w="2254" w:type="dxa"/>
            <w:noWrap/>
            <w:hideMark/>
          </w:tcPr>
          <w:p w14:paraId="54913B46" w14:textId="05D10609" w:rsidR="00987C66" w:rsidRDefault="00987C66" w:rsidP="00987C66">
            <w:pPr>
              <w:jc w:val="center"/>
              <w:rPr>
                <w:color w:val="000000"/>
                <w:lang w:eastAsia="en-AU"/>
              </w:rPr>
            </w:pPr>
            <w:r w:rsidRPr="000639F6">
              <w:t>1%</w:t>
            </w:r>
          </w:p>
        </w:tc>
        <w:tc>
          <w:tcPr>
            <w:tcW w:w="2254" w:type="dxa"/>
            <w:noWrap/>
            <w:hideMark/>
          </w:tcPr>
          <w:p w14:paraId="629BC24C" w14:textId="3EE128FD" w:rsidR="00987C66" w:rsidRDefault="00987C66" w:rsidP="00987C66">
            <w:pPr>
              <w:jc w:val="center"/>
              <w:rPr>
                <w:color w:val="000000"/>
                <w:lang w:eastAsia="en-AU"/>
              </w:rPr>
            </w:pPr>
            <w:r w:rsidRPr="000639F6">
              <w:t>1</w:t>
            </w:r>
          </w:p>
        </w:tc>
      </w:tr>
      <w:tr w:rsidR="00987C66" w14:paraId="60B46C8A" w14:textId="77777777" w:rsidTr="00572CE8">
        <w:trPr>
          <w:trHeight w:val="435"/>
        </w:trPr>
        <w:tc>
          <w:tcPr>
            <w:tcW w:w="2547" w:type="dxa"/>
            <w:noWrap/>
            <w:hideMark/>
          </w:tcPr>
          <w:p w14:paraId="356B3DD8" w14:textId="77777777" w:rsidR="00987C66" w:rsidRDefault="00987C66" w:rsidP="00987C66">
            <w:pPr>
              <w:rPr>
                <w:color w:val="000000"/>
              </w:rPr>
            </w:pPr>
            <w:r>
              <w:t>Ideas Grants</w:t>
            </w:r>
          </w:p>
        </w:tc>
        <w:tc>
          <w:tcPr>
            <w:tcW w:w="1961" w:type="dxa"/>
            <w:noWrap/>
            <w:hideMark/>
          </w:tcPr>
          <w:p w14:paraId="6E306833" w14:textId="5EEE41B5" w:rsidR="00987C66" w:rsidRDefault="00987C66" w:rsidP="00987C66">
            <w:pPr>
              <w:jc w:val="center"/>
              <w:rPr>
                <w:color w:val="000000"/>
              </w:rPr>
            </w:pPr>
            <w:r w:rsidRPr="000639F6">
              <w:t>$1,462,238</w:t>
            </w:r>
          </w:p>
        </w:tc>
        <w:tc>
          <w:tcPr>
            <w:tcW w:w="2254" w:type="dxa"/>
            <w:noWrap/>
            <w:hideMark/>
          </w:tcPr>
          <w:p w14:paraId="521A5979" w14:textId="755BA7C0" w:rsidR="00987C66" w:rsidRDefault="00987C66" w:rsidP="00987C66">
            <w:pPr>
              <w:jc w:val="center"/>
              <w:rPr>
                <w:color w:val="000000"/>
              </w:rPr>
            </w:pPr>
            <w:r w:rsidRPr="000639F6">
              <w:t>1%</w:t>
            </w:r>
          </w:p>
        </w:tc>
        <w:tc>
          <w:tcPr>
            <w:tcW w:w="2254" w:type="dxa"/>
            <w:noWrap/>
            <w:hideMark/>
          </w:tcPr>
          <w:p w14:paraId="57E754FE" w14:textId="583F5946" w:rsidR="00987C66" w:rsidRDefault="00987C66" w:rsidP="00987C66">
            <w:pPr>
              <w:jc w:val="center"/>
              <w:rPr>
                <w:color w:val="000000"/>
              </w:rPr>
            </w:pPr>
            <w:r w:rsidRPr="000639F6">
              <w:t>4</w:t>
            </w:r>
          </w:p>
        </w:tc>
      </w:tr>
      <w:tr w:rsidR="00987C66" w14:paraId="2995B4D2" w14:textId="77777777" w:rsidTr="00572CE8">
        <w:trPr>
          <w:trHeight w:val="435"/>
        </w:trPr>
        <w:tc>
          <w:tcPr>
            <w:tcW w:w="2547" w:type="dxa"/>
            <w:noWrap/>
            <w:hideMark/>
          </w:tcPr>
          <w:p w14:paraId="04B4C2ED" w14:textId="77777777" w:rsidR="00987C66" w:rsidRDefault="00987C66" w:rsidP="00987C66">
            <w:pPr>
              <w:rPr>
                <w:color w:val="000000"/>
              </w:rPr>
            </w:pPr>
            <w:r>
              <w:t>Translating Research into Practice Fellowships</w:t>
            </w:r>
          </w:p>
        </w:tc>
        <w:tc>
          <w:tcPr>
            <w:tcW w:w="1961" w:type="dxa"/>
            <w:noWrap/>
            <w:hideMark/>
          </w:tcPr>
          <w:p w14:paraId="25A6BAF1" w14:textId="1150BB42" w:rsidR="00987C66" w:rsidRDefault="00987C66" w:rsidP="00987C66">
            <w:pPr>
              <w:jc w:val="center"/>
              <w:rPr>
                <w:color w:val="000000"/>
              </w:rPr>
            </w:pPr>
            <w:r w:rsidRPr="000639F6">
              <w:t>$352,266</w:t>
            </w:r>
          </w:p>
        </w:tc>
        <w:tc>
          <w:tcPr>
            <w:tcW w:w="2254" w:type="dxa"/>
            <w:noWrap/>
            <w:hideMark/>
          </w:tcPr>
          <w:p w14:paraId="085E75EA" w14:textId="612C8ADF" w:rsidR="00987C66" w:rsidRDefault="00987C66" w:rsidP="00987C66">
            <w:pPr>
              <w:jc w:val="center"/>
              <w:rPr>
                <w:color w:val="000000"/>
              </w:rPr>
            </w:pPr>
            <w:r w:rsidRPr="000639F6">
              <w:t>0%</w:t>
            </w:r>
          </w:p>
        </w:tc>
        <w:tc>
          <w:tcPr>
            <w:tcW w:w="2254" w:type="dxa"/>
            <w:noWrap/>
            <w:hideMark/>
          </w:tcPr>
          <w:p w14:paraId="2ADE34A0" w14:textId="04D87A30" w:rsidR="00987C66" w:rsidRDefault="00987C66" w:rsidP="00987C66">
            <w:pPr>
              <w:jc w:val="center"/>
              <w:rPr>
                <w:color w:val="000000"/>
              </w:rPr>
            </w:pPr>
            <w:r w:rsidRPr="000639F6">
              <w:t>2</w:t>
            </w:r>
          </w:p>
        </w:tc>
      </w:tr>
      <w:tr w:rsidR="00987C66" w14:paraId="1E722F80" w14:textId="77777777" w:rsidTr="00572CE8">
        <w:trPr>
          <w:trHeight w:val="435"/>
        </w:trPr>
        <w:tc>
          <w:tcPr>
            <w:tcW w:w="2547" w:type="dxa"/>
            <w:noWrap/>
            <w:hideMark/>
          </w:tcPr>
          <w:p w14:paraId="6F4695D5" w14:textId="77777777" w:rsidR="00987C66" w:rsidRDefault="00987C66" w:rsidP="00987C66">
            <w:pPr>
              <w:rPr>
                <w:b/>
                <w:bCs/>
                <w:color w:val="000000"/>
                <w:lang w:eastAsia="en-AU"/>
              </w:rPr>
            </w:pPr>
            <w:r>
              <w:rPr>
                <w:b/>
                <w:bCs/>
                <w:color w:val="000000"/>
                <w:lang w:eastAsia="en-AU"/>
              </w:rPr>
              <w:t>Grand Total</w:t>
            </w:r>
          </w:p>
        </w:tc>
        <w:tc>
          <w:tcPr>
            <w:tcW w:w="1961" w:type="dxa"/>
            <w:noWrap/>
            <w:hideMark/>
          </w:tcPr>
          <w:p w14:paraId="01EEF967" w14:textId="7FD4297F" w:rsidR="00987C66" w:rsidRDefault="00987C66" w:rsidP="00987C66">
            <w:pPr>
              <w:jc w:val="center"/>
              <w:rPr>
                <w:b/>
                <w:bCs/>
                <w:color w:val="000000"/>
                <w:lang w:eastAsia="en-AU"/>
              </w:rPr>
            </w:pPr>
            <w:r w:rsidRPr="000639F6">
              <w:t>$291,292</w:t>
            </w:r>
          </w:p>
        </w:tc>
        <w:tc>
          <w:tcPr>
            <w:tcW w:w="2254" w:type="dxa"/>
            <w:noWrap/>
            <w:hideMark/>
          </w:tcPr>
          <w:p w14:paraId="47E2A2FC" w14:textId="0948F7D5" w:rsidR="00987C66" w:rsidRDefault="00987C66" w:rsidP="00987C66">
            <w:pPr>
              <w:jc w:val="center"/>
              <w:rPr>
                <w:b/>
                <w:bCs/>
                <w:color w:val="000000"/>
                <w:lang w:eastAsia="en-AU"/>
              </w:rPr>
            </w:pPr>
            <w:r w:rsidRPr="000639F6">
              <w:t>0%</w:t>
            </w:r>
          </w:p>
        </w:tc>
        <w:tc>
          <w:tcPr>
            <w:tcW w:w="2254" w:type="dxa"/>
            <w:noWrap/>
            <w:hideMark/>
          </w:tcPr>
          <w:p w14:paraId="5C936AB9" w14:textId="4F58623F" w:rsidR="00987C66" w:rsidRDefault="00987C66" w:rsidP="00987C66">
            <w:pPr>
              <w:jc w:val="center"/>
              <w:rPr>
                <w:b/>
                <w:bCs/>
                <w:color w:val="000000"/>
                <w:lang w:eastAsia="en-AU"/>
              </w:rPr>
            </w:pPr>
            <w:r w:rsidRPr="000639F6">
              <w:t>1</w:t>
            </w:r>
          </w:p>
        </w:tc>
      </w:tr>
    </w:tbl>
    <w:p w14:paraId="644CF7C5" w14:textId="5772E310" w:rsidR="00280050" w:rsidRDefault="00280050" w:rsidP="00144CE2">
      <w:pPr>
        <w:rPr>
          <w:b/>
        </w:rPr>
      </w:pPr>
    </w:p>
    <w:sectPr w:rsidR="00280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E1A4" w14:textId="77777777" w:rsidR="00334E27" w:rsidRDefault="00334E27" w:rsidP="005D4664">
      <w:r>
        <w:separator/>
      </w:r>
    </w:p>
  </w:endnote>
  <w:endnote w:type="continuationSeparator" w:id="0">
    <w:p w14:paraId="2A1059C2" w14:textId="77777777" w:rsidR="00334E27" w:rsidRDefault="00334E27" w:rsidP="005D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561588"/>
      <w:docPartObj>
        <w:docPartGallery w:val="Page Numbers (Bottom of Page)"/>
        <w:docPartUnique/>
      </w:docPartObj>
    </w:sdtPr>
    <w:sdtEndPr>
      <w:rPr>
        <w:noProof/>
      </w:rPr>
    </w:sdtEndPr>
    <w:sdtContent>
      <w:p w14:paraId="582DFD7E" w14:textId="1F298303" w:rsidR="00EE136D" w:rsidRDefault="00EE13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3FEBC0" w14:textId="77777777" w:rsidR="00EE136D" w:rsidRDefault="00EE1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612F" w14:textId="77777777" w:rsidR="00334E27" w:rsidRDefault="00334E27" w:rsidP="005D4664">
      <w:r>
        <w:separator/>
      </w:r>
    </w:p>
  </w:footnote>
  <w:footnote w:type="continuationSeparator" w:id="0">
    <w:p w14:paraId="601D0C78" w14:textId="77777777" w:rsidR="00334E27" w:rsidRDefault="00334E27" w:rsidP="005D4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DAA"/>
    <w:multiLevelType w:val="hybridMultilevel"/>
    <w:tmpl w:val="7AE63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90CEB"/>
    <w:multiLevelType w:val="hybridMultilevel"/>
    <w:tmpl w:val="A61E58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8113739"/>
    <w:multiLevelType w:val="multilevel"/>
    <w:tmpl w:val="C2B639BC"/>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8D74384"/>
    <w:multiLevelType w:val="hybridMultilevel"/>
    <w:tmpl w:val="A36E1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D2807"/>
    <w:multiLevelType w:val="hybridMultilevel"/>
    <w:tmpl w:val="C2B42E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9D072D"/>
    <w:multiLevelType w:val="hybridMultilevel"/>
    <w:tmpl w:val="D3BC5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F032A"/>
    <w:multiLevelType w:val="hybridMultilevel"/>
    <w:tmpl w:val="00E00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16591C"/>
    <w:multiLevelType w:val="hybridMultilevel"/>
    <w:tmpl w:val="A41A0D82"/>
    <w:lvl w:ilvl="0" w:tplc="1DAA58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2D3EEB"/>
    <w:multiLevelType w:val="hybridMultilevel"/>
    <w:tmpl w:val="121C1CC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9" w15:restartNumberingAfterBreak="0">
    <w:nsid w:val="28075074"/>
    <w:multiLevelType w:val="hybridMultilevel"/>
    <w:tmpl w:val="8CBCA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2A4777"/>
    <w:multiLevelType w:val="hybridMultilevel"/>
    <w:tmpl w:val="E6A28B1A"/>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1" w15:restartNumberingAfterBreak="0">
    <w:nsid w:val="30817973"/>
    <w:multiLevelType w:val="hybridMultilevel"/>
    <w:tmpl w:val="0A525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5D5CAC"/>
    <w:multiLevelType w:val="hybridMultilevel"/>
    <w:tmpl w:val="DF369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B749C1"/>
    <w:multiLevelType w:val="hybridMultilevel"/>
    <w:tmpl w:val="6BCCFC3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3E0C0BC2"/>
    <w:multiLevelType w:val="hybridMultilevel"/>
    <w:tmpl w:val="A5A2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473426"/>
    <w:multiLevelType w:val="hybridMultilevel"/>
    <w:tmpl w:val="C19891E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6" w15:restartNumberingAfterBreak="0">
    <w:nsid w:val="4CC96FAB"/>
    <w:multiLevelType w:val="hybridMultilevel"/>
    <w:tmpl w:val="A63CD37C"/>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17" w15:restartNumberingAfterBreak="0">
    <w:nsid w:val="4FB8168D"/>
    <w:multiLevelType w:val="hybridMultilevel"/>
    <w:tmpl w:val="82A0C26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8" w15:restartNumberingAfterBreak="0">
    <w:nsid w:val="50A04F95"/>
    <w:multiLevelType w:val="hybridMultilevel"/>
    <w:tmpl w:val="9A70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4A48C6"/>
    <w:multiLevelType w:val="hybridMultilevel"/>
    <w:tmpl w:val="1338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0D23AA"/>
    <w:multiLevelType w:val="hybridMultilevel"/>
    <w:tmpl w:val="E1DE8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2F10C5"/>
    <w:multiLevelType w:val="hybridMultilevel"/>
    <w:tmpl w:val="1714C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F649CC"/>
    <w:multiLevelType w:val="hybridMultilevel"/>
    <w:tmpl w:val="167ACA08"/>
    <w:lvl w:ilvl="0" w:tplc="64D49DE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1118DB"/>
    <w:multiLevelType w:val="hybridMultilevel"/>
    <w:tmpl w:val="8A34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C37C65"/>
    <w:multiLevelType w:val="hybridMultilevel"/>
    <w:tmpl w:val="152812A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5" w15:restartNumberingAfterBreak="0">
    <w:nsid w:val="73085392"/>
    <w:multiLevelType w:val="hybridMultilevel"/>
    <w:tmpl w:val="A642BC5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6" w15:restartNumberingAfterBreak="0">
    <w:nsid w:val="7ED16C8E"/>
    <w:multiLevelType w:val="hybridMultilevel"/>
    <w:tmpl w:val="C4383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0492316">
    <w:abstractNumId w:val="15"/>
  </w:num>
  <w:num w:numId="2" w16cid:durableId="1014111989">
    <w:abstractNumId w:val="25"/>
  </w:num>
  <w:num w:numId="3" w16cid:durableId="1514802827">
    <w:abstractNumId w:val="17"/>
  </w:num>
  <w:num w:numId="4" w16cid:durableId="2043937109">
    <w:abstractNumId w:val="13"/>
  </w:num>
  <w:num w:numId="5" w16cid:durableId="1732728899">
    <w:abstractNumId w:val="10"/>
  </w:num>
  <w:num w:numId="6" w16cid:durableId="1293557747">
    <w:abstractNumId w:val="8"/>
  </w:num>
  <w:num w:numId="7" w16cid:durableId="998921853">
    <w:abstractNumId w:val="24"/>
  </w:num>
  <w:num w:numId="8" w16cid:durableId="1536038195">
    <w:abstractNumId w:val="16"/>
  </w:num>
  <w:num w:numId="9" w16cid:durableId="2043554750">
    <w:abstractNumId w:val="6"/>
  </w:num>
  <w:num w:numId="10" w16cid:durableId="590044172">
    <w:abstractNumId w:val="19"/>
  </w:num>
  <w:num w:numId="11" w16cid:durableId="2045712283">
    <w:abstractNumId w:val="12"/>
  </w:num>
  <w:num w:numId="12" w16cid:durableId="1843201077">
    <w:abstractNumId w:val="26"/>
  </w:num>
  <w:num w:numId="13" w16cid:durableId="1292247690">
    <w:abstractNumId w:val="2"/>
  </w:num>
  <w:num w:numId="14" w16cid:durableId="753353650">
    <w:abstractNumId w:val="21"/>
  </w:num>
  <w:num w:numId="15" w16cid:durableId="954143361">
    <w:abstractNumId w:val="0"/>
  </w:num>
  <w:num w:numId="16" w16cid:durableId="245574235">
    <w:abstractNumId w:val="18"/>
  </w:num>
  <w:num w:numId="17" w16cid:durableId="194126544">
    <w:abstractNumId w:val="3"/>
  </w:num>
  <w:num w:numId="18" w16cid:durableId="62723125">
    <w:abstractNumId w:val="11"/>
  </w:num>
  <w:num w:numId="19" w16cid:durableId="82915059">
    <w:abstractNumId w:val="5"/>
  </w:num>
  <w:num w:numId="20" w16cid:durableId="481429929">
    <w:abstractNumId w:val="14"/>
  </w:num>
  <w:num w:numId="21" w16cid:durableId="810099829">
    <w:abstractNumId w:val="20"/>
  </w:num>
  <w:num w:numId="22" w16cid:durableId="1619070035">
    <w:abstractNumId w:val="22"/>
  </w:num>
  <w:num w:numId="23" w16cid:durableId="1102259100">
    <w:abstractNumId w:val="4"/>
  </w:num>
  <w:num w:numId="24" w16cid:durableId="440731405">
    <w:abstractNumId w:val="23"/>
  </w:num>
  <w:num w:numId="25" w16cid:durableId="116030369">
    <w:abstractNumId w:val="1"/>
  </w:num>
  <w:num w:numId="26" w16cid:durableId="938753289">
    <w:abstractNumId w:val="9"/>
  </w:num>
  <w:num w:numId="27" w16cid:durableId="799610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07"/>
    <w:rsid w:val="00010F21"/>
    <w:rsid w:val="000119E4"/>
    <w:rsid w:val="000120C4"/>
    <w:rsid w:val="000179E0"/>
    <w:rsid w:val="00022337"/>
    <w:rsid w:val="0002708A"/>
    <w:rsid w:val="000341EE"/>
    <w:rsid w:val="00046C5B"/>
    <w:rsid w:val="00047863"/>
    <w:rsid w:val="000530C6"/>
    <w:rsid w:val="00055CB5"/>
    <w:rsid w:val="0006086C"/>
    <w:rsid w:val="0006405D"/>
    <w:rsid w:val="00067B57"/>
    <w:rsid w:val="00072ECB"/>
    <w:rsid w:val="00073B95"/>
    <w:rsid w:val="00083D70"/>
    <w:rsid w:val="000841D3"/>
    <w:rsid w:val="000867E2"/>
    <w:rsid w:val="000A0256"/>
    <w:rsid w:val="000A18C1"/>
    <w:rsid w:val="000A69CD"/>
    <w:rsid w:val="000A78F8"/>
    <w:rsid w:val="000B25BC"/>
    <w:rsid w:val="000B5A22"/>
    <w:rsid w:val="000C0393"/>
    <w:rsid w:val="000C1D63"/>
    <w:rsid w:val="000C3D54"/>
    <w:rsid w:val="000E73C6"/>
    <w:rsid w:val="000E7FA5"/>
    <w:rsid w:val="000F487B"/>
    <w:rsid w:val="000F6946"/>
    <w:rsid w:val="001009D2"/>
    <w:rsid w:val="00113694"/>
    <w:rsid w:val="00125DEF"/>
    <w:rsid w:val="00126F84"/>
    <w:rsid w:val="00127F43"/>
    <w:rsid w:val="00130778"/>
    <w:rsid w:val="0013204F"/>
    <w:rsid w:val="001372F8"/>
    <w:rsid w:val="0014078C"/>
    <w:rsid w:val="00143BFF"/>
    <w:rsid w:val="00144CE2"/>
    <w:rsid w:val="001632E7"/>
    <w:rsid w:val="00174986"/>
    <w:rsid w:val="001814BF"/>
    <w:rsid w:val="001A0845"/>
    <w:rsid w:val="001A2E09"/>
    <w:rsid w:val="001A3074"/>
    <w:rsid w:val="001A4473"/>
    <w:rsid w:val="001B627C"/>
    <w:rsid w:val="001B7CEC"/>
    <w:rsid w:val="001C18C8"/>
    <w:rsid w:val="001D14FA"/>
    <w:rsid w:val="001D53E0"/>
    <w:rsid w:val="001D6F7E"/>
    <w:rsid w:val="001E13A0"/>
    <w:rsid w:val="001E577E"/>
    <w:rsid w:val="001E717A"/>
    <w:rsid w:val="001F5A22"/>
    <w:rsid w:val="00205E41"/>
    <w:rsid w:val="0021197C"/>
    <w:rsid w:val="00222986"/>
    <w:rsid w:val="00223BB1"/>
    <w:rsid w:val="002403E8"/>
    <w:rsid w:val="00252486"/>
    <w:rsid w:val="00253991"/>
    <w:rsid w:val="00253FAE"/>
    <w:rsid w:val="002615AF"/>
    <w:rsid w:val="00264493"/>
    <w:rsid w:val="00280050"/>
    <w:rsid w:val="00281CEE"/>
    <w:rsid w:val="00286151"/>
    <w:rsid w:val="00287BB6"/>
    <w:rsid w:val="002927E6"/>
    <w:rsid w:val="002B18AC"/>
    <w:rsid w:val="002E0F79"/>
    <w:rsid w:val="002F166F"/>
    <w:rsid w:val="002F3FBD"/>
    <w:rsid w:val="002F5A06"/>
    <w:rsid w:val="00302CDA"/>
    <w:rsid w:val="003062A3"/>
    <w:rsid w:val="003101CB"/>
    <w:rsid w:val="00311937"/>
    <w:rsid w:val="00311F30"/>
    <w:rsid w:val="00312535"/>
    <w:rsid w:val="00313FEC"/>
    <w:rsid w:val="003148A5"/>
    <w:rsid w:val="00323A75"/>
    <w:rsid w:val="0033375B"/>
    <w:rsid w:val="00334E27"/>
    <w:rsid w:val="00343ED6"/>
    <w:rsid w:val="00351017"/>
    <w:rsid w:val="00354EEC"/>
    <w:rsid w:val="00365013"/>
    <w:rsid w:val="003660D5"/>
    <w:rsid w:val="00373D81"/>
    <w:rsid w:val="00382C22"/>
    <w:rsid w:val="00395436"/>
    <w:rsid w:val="003A277A"/>
    <w:rsid w:val="003A2864"/>
    <w:rsid w:val="003A3A62"/>
    <w:rsid w:val="003A679F"/>
    <w:rsid w:val="003E1675"/>
    <w:rsid w:val="003E2B08"/>
    <w:rsid w:val="003F1A14"/>
    <w:rsid w:val="003F576F"/>
    <w:rsid w:val="00402B04"/>
    <w:rsid w:val="0040518C"/>
    <w:rsid w:val="00405C19"/>
    <w:rsid w:val="00410939"/>
    <w:rsid w:val="0042266C"/>
    <w:rsid w:val="004278C4"/>
    <w:rsid w:val="00433DB0"/>
    <w:rsid w:val="004505EE"/>
    <w:rsid w:val="004544D7"/>
    <w:rsid w:val="004557AF"/>
    <w:rsid w:val="004631FD"/>
    <w:rsid w:val="0047220D"/>
    <w:rsid w:val="0047666E"/>
    <w:rsid w:val="0048375B"/>
    <w:rsid w:val="00487D07"/>
    <w:rsid w:val="00487F7E"/>
    <w:rsid w:val="00491B29"/>
    <w:rsid w:val="0049600A"/>
    <w:rsid w:val="004A0BAE"/>
    <w:rsid w:val="004A5CAF"/>
    <w:rsid w:val="004A71ED"/>
    <w:rsid w:val="004B1520"/>
    <w:rsid w:val="004B5326"/>
    <w:rsid w:val="004C48D6"/>
    <w:rsid w:val="004D5BAC"/>
    <w:rsid w:val="004D5EB1"/>
    <w:rsid w:val="004E141A"/>
    <w:rsid w:val="004E5CF2"/>
    <w:rsid w:val="004E5E46"/>
    <w:rsid w:val="004F2AC8"/>
    <w:rsid w:val="00500A2F"/>
    <w:rsid w:val="0050260E"/>
    <w:rsid w:val="00502E40"/>
    <w:rsid w:val="00513CEF"/>
    <w:rsid w:val="0052432F"/>
    <w:rsid w:val="0052494F"/>
    <w:rsid w:val="00524CAE"/>
    <w:rsid w:val="00530A26"/>
    <w:rsid w:val="005376C4"/>
    <w:rsid w:val="00537F5F"/>
    <w:rsid w:val="0054670C"/>
    <w:rsid w:val="00550BBA"/>
    <w:rsid w:val="00572CE8"/>
    <w:rsid w:val="00574E7E"/>
    <w:rsid w:val="00576A3E"/>
    <w:rsid w:val="00581482"/>
    <w:rsid w:val="005B15DB"/>
    <w:rsid w:val="005B3505"/>
    <w:rsid w:val="005B3BF7"/>
    <w:rsid w:val="005C093C"/>
    <w:rsid w:val="005D12FE"/>
    <w:rsid w:val="005D4664"/>
    <w:rsid w:val="005F32B7"/>
    <w:rsid w:val="005F6C91"/>
    <w:rsid w:val="005F6E81"/>
    <w:rsid w:val="00604DE9"/>
    <w:rsid w:val="00606F58"/>
    <w:rsid w:val="0061205F"/>
    <w:rsid w:val="00613E74"/>
    <w:rsid w:val="00620D0C"/>
    <w:rsid w:val="00634F02"/>
    <w:rsid w:val="0064033A"/>
    <w:rsid w:val="00644F58"/>
    <w:rsid w:val="00646B79"/>
    <w:rsid w:val="00647F1E"/>
    <w:rsid w:val="0065195D"/>
    <w:rsid w:val="00654CBA"/>
    <w:rsid w:val="00655508"/>
    <w:rsid w:val="006602DC"/>
    <w:rsid w:val="006654E9"/>
    <w:rsid w:val="006672AD"/>
    <w:rsid w:val="0067291C"/>
    <w:rsid w:val="00673AEA"/>
    <w:rsid w:val="00674679"/>
    <w:rsid w:val="00676207"/>
    <w:rsid w:val="0069394A"/>
    <w:rsid w:val="006A2940"/>
    <w:rsid w:val="006A6655"/>
    <w:rsid w:val="006C6A48"/>
    <w:rsid w:val="006D0035"/>
    <w:rsid w:val="006D175B"/>
    <w:rsid w:val="006D266F"/>
    <w:rsid w:val="006E6EA0"/>
    <w:rsid w:val="006F0E99"/>
    <w:rsid w:val="006F5402"/>
    <w:rsid w:val="0070382E"/>
    <w:rsid w:val="007048EB"/>
    <w:rsid w:val="00712128"/>
    <w:rsid w:val="00720342"/>
    <w:rsid w:val="00724AAC"/>
    <w:rsid w:val="00727C18"/>
    <w:rsid w:val="00727EDD"/>
    <w:rsid w:val="007325A1"/>
    <w:rsid w:val="00734D35"/>
    <w:rsid w:val="00747A90"/>
    <w:rsid w:val="0077011E"/>
    <w:rsid w:val="00770870"/>
    <w:rsid w:val="00773DC9"/>
    <w:rsid w:val="00783023"/>
    <w:rsid w:val="00783E2D"/>
    <w:rsid w:val="00784765"/>
    <w:rsid w:val="007868EF"/>
    <w:rsid w:val="00796E8F"/>
    <w:rsid w:val="007A767D"/>
    <w:rsid w:val="007B5CF4"/>
    <w:rsid w:val="007B7B81"/>
    <w:rsid w:val="007C220A"/>
    <w:rsid w:val="007C671C"/>
    <w:rsid w:val="007D1458"/>
    <w:rsid w:val="007D4034"/>
    <w:rsid w:val="007D4FB2"/>
    <w:rsid w:val="007E5C8F"/>
    <w:rsid w:val="007E67EC"/>
    <w:rsid w:val="007E7C79"/>
    <w:rsid w:val="007F1B94"/>
    <w:rsid w:val="007F64B9"/>
    <w:rsid w:val="00800C45"/>
    <w:rsid w:val="00802951"/>
    <w:rsid w:val="00820DE4"/>
    <w:rsid w:val="00843F90"/>
    <w:rsid w:val="008551D8"/>
    <w:rsid w:val="0085525D"/>
    <w:rsid w:val="008661C1"/>
    <w:rsid w:val="008713DC"/>
    <w:rsid w:val="0087457E"/>
    <w:rsid w:val="00882A27"/>
    <w:rsid w:val="00886221"/>
    <w:rsid w:val="0088764F"/>
    <w:rsid w:val="008900BA"/>
    <w:rsid w:val="008918C7"/>
    <w:rsid w:val="00896950"/>
    <w:rsid w:val="00897643"/>
    <w:rsid w:val="008A17D4"/>
    <w:rsid w:val="008B026D"/>
    <w:rsid w:val="008B492E"/>
    <w:rsid w:val="008B6749"/>
    <w:rsid w:val="008C1562"/>
    <w:rsid w:val="008D7AB8"/>
    <w:rsid w:val="008E1DF2"/>
    <w:rsid w:val="008E4E66"/>
    <w:rsid w:val="008E7A82"/>
    <w:rsid w:val="008F0CB2"/>
    <w:rsid w:val="008F1E08"/>
    <w:rsid w:val="009115FD"/>
    <w:rsid w:val="00912C23"/>
    <w:rsid w:val="00912D72"/>
    <w:rsid w:val="0091556B"/>
    <w:rsid w:val="0091667C"/>
    <w:rsid w:val="00921109"/>
    <w:rsid w:val="0093057D"/>
    <w:rsid w:val="0094451C"/>
    <w:rsid w:val="009543C4"/>
    <w:rsid w:val="0095463A"/>
    <w:rsid w:val="00967599"/>
    <w:rsid w:val="00972D1C"/>
    <w:rsid w:val="00974FF2"/>
    <w:rsid w:val="00987C66"/>
    <w:rsid w:val="009901F4"/>
    <w:rsid w:val="009B3F5B"/>
    <w:rsid w:val="009B4A31"/>
    <w:rsid w:val="009B4B19"/>
    <w:rsid w:val="009B52F0"/>
    <w:rsid w:val="009B66E2"/>
    <w:rsid w:val="009C723F"/>
    <w:rsid w:val="009D012B"/>
    <w:rsid w:val="009D76D8"/>
    <w:rsid w:val="009F4F0F"/>
    <w:rsid w:val="00A04755"/>
    <w:rsid w:val="00A07D3A"/>
    <w:rsid w:val="00A13FDF"/>
    <w:rsid w:val="00A16325"/>
    <w:rsid w:val="00A16623"/>
    <w:rsid w:val="00A2145B"/>
    <w:rsid w:val="00A22B72"/>
    <w:rsid w:val="00A238CA"/>
    <w:rsid w:val="00A3406A"/>
    <w:rsid w:val="00A57014"/>
    <w:rsid w:val="00A726B2"/>
    <w:rsid w:val="00A7501F"/>
    <w:rsid w:val="00A8438F"/>
    <w:rsid w:val="00A850AE"/>
    <w:rsid w:val="00A935F9"/>
    <w:rsid w:val="00A94BA6"/>
    <w:rsid w:val="00AA207C"/>
    <w:rsid w:val="00AA7466"/>
    <w:rsid w:val="00AB11EF"/>
    <w:rsid w:val="00AB22DC"/>
    <w:rsid w:val="00AB396C"/>
    <w:rsid w:val="00AD0936"/>
    <w:rsid w:val="00AD5F5D"/>
    <w:rsid w:val="00AD7494"/>
    <w:rsid w:val="00AE0815"/>
    <w:rsid w:val="00AE62C7"/>
    <w:rsid w:val="00AE6582"/>
    <w:rsid w:val="00AF251D"/>
    <w:rsid w:val="00B023D1"/>
    <w:rsid w:val="00B02780"/>
    <w:rsid w:val="00B0494B"/>
    <w:rsid w:val="00B24576"/>
    <w:rsid w:val="00B262E1"/>
    <w:rsid w:val="00B33695"/>
    <w:rsid w:val="00B3773A"/>
    <w:rsid w:val="00B40677"/>
    <w:rsid w:val="00B556B9"/>
    <w:rsid w:val="00B67CF1"/>
    <w:rsid w:val="00B933FB"/>
    <w:rsid w:val="00BA3859"/>
    <w:rsid w:val="00BB5918"/>
    <w:rsid w:val="00BD1E03"/>
    <w:rsid w:val="00BE0092"/>
    <w:rsid w:val="00C023E8"/>
    <w:rsid w:val="00C05EAC"/>
    <w:rsid w:val="00C063E7"/>
    <w:rsid w:val="00C1094A"/>
    <w:rsid w:val="00C13C6D"/>
    <w:rsid w:val="00C24AE0"/>
    <w:rsid w:val="00C31B75"/>
    <w:rsid w:val="00C4032A"/>
    <w:rsid w:val="00C4421D"/>
    <w:rsid w:val="00C53093"/>
    <w:rsid w:val="00C54D4E"/>
    <w:rsid w:val="00C60D8F"/>
    <w:rsid w:val="00C638DD"/>
    <w:rsid w:val="00C84235"/>
    <w:rsid w:val="00CA2324"/>
    <w:rsid w:val="00CA29C3"/>
    <w:rsid w:val="00CA3B1C"/>
    <w:rsid w:val="00CA742D"/>
    <w:rsid w:val="00CB615E"/>
    <w:rsid w:val="00CB6C9E"/>
    <w:rsid w:val="00CC017E"/>
    <w:rsid w:val="00CC0315"/>
    <w:rsid w:val="00CC31E5"/>
    <w:rsid w:val="00CD0BEB"/>
    <w:rsid w:val="00CD3E6F"/>
    <w:rsid w:val="00CD6F5A"/>
    <w:rsid w:val="00CE6AE7"/>
    <w:rsid w:val="00CF1B56"/>
    <w:rsid w:val="00CF263A"/>
    <w:rsid w:val="00CF5B50"/>
    <w:rsid w:val="00D1007A"/>
    <w:rsid w:val="00D22E53"/>
    <w:rsid w:val="00D317F2"/>
    <w:rsid w:val="00D33B2D"/>
    <w:rsid w:val="00D37919"/>
    <w:rsid w:val="00D41FFA"/>
    <w:rsid w:val="00D52F55"/>
    <w:rsid w:val="00D61FDA"/>
    <w:rsid w:val="00D64FFE"/>
    <w:rsid w:val="00D70176"/>
    <w:rsid w:val="00D83B6C"/>
    <w:rsid w:val="00D83EBF"/>
    <w:rsid w:val="00D90644"/>
    <w:rsid w:val="00DA40F7"/>
    <w:rsid w:val="00DA45EB"/>
    <w:rsid w:val="00DA4796"/>
    <w:rsid w:val="00DA7CF0"/>
    <w:rsid w:val="00DB49AF"/>
    <w:rsid w:val="00DC3FF5"/>
    <w:rsid w:val="00DE0245"/>
    <w:rsid w:val="00DE148F"/>
    <w:rsid w:val="00DE617C"/>
    <w:rsid w:val="00DF16EC"/>
    <w:rsid w:val="00DF5FD4"/>
    <w:rsid w:val="00DF5FE9"/>
    <w:rsid w:val="00E0159B"/>
    <w:rsid w:val="00E03DE0"/>
    <w:rsid w:val="00E049B0"/>
    <w:rsid w:val="00E06419"/>
    <w:rsid w:val="00E21F6E"/>
    <w:rsid w:val="00E252E9"/>
    <w:rsid w:val="00E25CC9"/>
    <w:rsid w:val="00E41278"/>
    <w:rsid w:val="00E44E9D"/>
    <w:rsid w:val="00E55C67"/>
    <w:rsid w:val="00E66D45"/>
    <w:rsid w:val="00E76E63"/>
    <w:rsid w:val="00E803D4"/>
    <w:rsid w:val="00E813D5"/>
    <w:rsid w:val="00E848C8"/>
    <w:rsid w:val="00E9078B"/>
    <w:rsid w:val="00E91674"/>
    <w:rsid w:val="00EA4BBD"/>
    <w:rsid w:val="00EA4EE6"/>
    <w:rsid w:val="00EB1CBE"/>
    <w:rsid w:val="00EB7296"/>
    <w:rsid w:val="00EC0029"/>
    <w:rsid w:val="00EC3535"/>
    <w:rsid w:val="00EC3683"/>
    <w:rsid w:val="00EC57CB"/>
    <w:rsid w:val="00EC58C7"/>
    <w:rsid w:val="00ED1474"/>
    <w:rsid w:val="00EE136D"/>
    <w:rsid w:val="00EE3ACE"/>
    <w:rsid w:val="00EE7077"/>
    <w:rsid w:val="00EF0605"/>
    <w:rsid w:val="00F14D6C"/>
    <w:rsid w:val="00F21DCA"/>
    <w:rsid w:val="00F31EAB"/>
    <w:rsid w:val="00F35C5D"/>
    <w:rsid w:val="00F40506"/>
    <w:rsid w:val="00F7080D"/>
    <w:rsid w:val="00F76BFF"/>
    <w:rsid w:val="00F8289A"/>
    <w:rsid w:val="00F871D9"/>
    <w:rsid w:val="00F876C6"/>
    <w:rsid w:val="00F90813"/>
    <w:rsid w:val="00F926A3"/>
    <w:rsid w:val="00F94161"/>
    <w:rsid w:val="00F943E3"/>
    <w:rsid w:val="00F94460"/>
    <w:rsid w:val="00F96B77"/>
    <w:rsid w:val="00F97C76"/>
    <w:rsid w:val="00FA0CC8"/>
    <w:rsid w:val="00FA5362"/>
    <w:rsid w:val="00FC7DE6"/>
    <w:rsid w:val="00FD02D6"/>
    <w:rsid w:val="00FD1354"/>
    <w:rsid w:val="00FD38C1"/>
    <w:rsid w:val="00FD6876"/>
    <w:rsid w:val="00FE03F2"/>
    <w:rsid w:val="00FE303E"/>
    <w:rsid w:val="00FE35E5"/>
    <w:rsid w:val="00FE7E6D"/>
    <w:rsid w:val="00FF38D2"/>
    <w:rsid w:val="00FF6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89F5"/>
  <w15:chartTrackingRefBased/>
  <w15:docId w15:val="{21655D37-5019-4080-B295-E4027AC2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07"/>
    <w:pPr>
      <w:spacing w:after="0" w:line="240" w:lineRule="auto"/>
    </w:pPr>
    <w:rPr>
      <w:rFonts w:eastAsia="Times New Roman"/>
    </w:rPr>
  </w:style>
  <w:style w:type="paragraph" w:styleId="Heading1">
    <w:name w:val="heading 1"/>
    <w:basedOn w:val="Normal"/>
    <w:next w:val="Normal"/>
    <w:link w:val="Heading1Char"/>
    <w:uiPriority w:val="9"/>
    <w:qFormat/>
    <w:rsid w:val="00E848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48C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A26"/>
    <w:pPr>
      <w:ind w:left="720"/>
      <w:contextualSpacing/>
    </w:pPr>
  </w:style>
  <w:style w:type="table" w:styleId="TableGrid">
    <w:name w:val="Table Grid"/>
    <w:basedOn w:val="TableNormal"/>
    <w:uiPriority w:val="39"/>
    <w:rsid w:val="00A16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463A"/>
    <w:rPr>
      <w:sz w:val="16"/>
      <w:szCs w:val="16"/>
    </w:rPr>
  </w:style>
  <w:style w:type="paragraph" w:styleId="CommentText">
    <w:name w:val="annotation text"/>
    <w:basedOn w:val="Normal"/>
    <w:link w:val="CommentTextChar"/>
    <w:uiPriority w:val="99"/>
    <w:semiHidden/>
    <w:unhideWhenUsed/>
    <w:rsid w:val="0095463A"/>
    <w:rPr>
      <w:sz w:val="20"/>
      <w:szCs w:val="20"/>
    </w:rPr>
  </w:style>
  <w:style w:type="character" w:customStyle="1" w:styleId="CommentTextChar">
    <w:name w:val="Comment Text Char"/>
    <w:basedOn w:val="DefaultParagraphFont"/>
    <w:link w:val="CommentText"/>
    <w:uiPriority w:val="99"/>
    <w:semiHidden/>
    <w:rsid w:val="0095463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5463A"/>
    <w:rPr>
      <w:b/>
      <w:bCs/>
    </w:rPr>
  </w:style>
  <w:style w:type="character" w:customStyle="1" w:styleId="CommentSubjectChar">
    <w:name w:val="Comment Subject Char"/>
    <w:basedOn w:val="CommentTextChar"/>
    <w:link w:val="CommentSubject"/>
    <w:uiPriority w:val="99"/>
    <w:semiHidden/>
    <w:rsid w:val="0095463A"/>
    <w:rPr>
      <w:rFonts w:eastAsia="Times New Roman"/>
      <w:b/>
      <w:bCs/>
      <w:sz w:val="20"/>
      <w:szCs w:val="20"/>
    </w:rPr>
  </w:style>
  <w:style w:type="paragraph" w:styleId="BalloonText">
    <w:name w:val="Balloon Text"/>
    <w:basedOn w:val="Normal"/>
    <w:link w:val="BalloonTextChar"/>
    <w:uiPriority w:val="99"/>
    <w:semiHidden/>
    <w:unhideWhenUsed/>
    <w:rsid w:val="00954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63A"/>
    <w:rPr>
      <w:rFonts w:ascii="Segoe UI" w:eastAsia="Times New Roman" w:hAnsi="Segoe UI" w:cs="Segoe UI"/>
      <w:sz w:val="18"/>
      <w:szCs w:val="18"/>
    </w:rPr>
  </w:style>
  <w:style w:type="paragraph" w:styleId="Caption">
    <w:name w:val="caption"/>
    <w:basedOn w:val="Normal"/>
    <w:next w:val="Normal"/>
    <w:uiPriority w:val="35"/>
    <w:unhideWhenUsed/>
    <w:qFormat/>
    <w:rsid w:val="00A13FDF"/>
    <w:pPr>
      <w:spacing w:after="200"/>
    </w:pPr>
    <w:rPr>
      <w:i/>
      <w:iCs/>
      <w:color w:val="44546A" w:themeColor="text2"/>
      <w:sz w:val="18"/>
      <w:szCs w:val="18"/>
    </w:rPr>
  </w:style>
  <w:style w:type="character" w:styleId="Hyperlink">
    <w:name w:val="Hyperlink"/>
    <w:basedOn w:val="DefaultParagraphFont"/>
    <w:uiPriority w:val="99"/>
    <w:unhideWhenUsed/>
    <w:rsid w:val="00A13FDF"/>
    <w:rPr>
      <w:color w:val="0563C1" w:themeColor="hyperlink"/>
      <w:u w:val="single"/>
    </w:rPr>
  </w:style>
  <w:style w:type="paragraph" w:styleId="FootnoteText">
    <w:name w:val="footnote text"/>
    <w:basedOn w:val="Normal"/>
    <w:link w:val="FootnoteTextChar"/>
    <w:uiPriority w:val="99"/>
    <w:semiHidden/>
    <w:unhideWhenUsed/>
    <w:rsid w:val="005D466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D4664"/>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5D4664"/>
    <w:rPr>
      <w:vertAlign w:val="superscript"/>
    </w:rPr>
  </w:style>
  <w:style w:type="paragraph" w:customStyle="1" w:styleId="RecommendationHeading">
    <w:name w:val="Recommendation Heading"/>
    <w:link w:val="RecommendationHeadingChar"/>
    <w:qFormat/>
    <w:rsid w:val="00E848C8"/>
    <w:pPr>
      <w:keepNext/>
      <w:pBdr>
        <w:bottom w:val="single" w:sz="4" w:space="0" w:color="auto"/>
      </w:pBdr>
      <w:suppressAutoHyphens/>
      <w:spacing w:before="227" w:after="170" w:line="240" w:lineRule="auto"/>
    </w:pPr>
    <w:rPr>
      <w:rFonts w:ascii="Palatino Linotype" w:eastAsia="Palatino Linotype" w:hAnsi="Palatino Linotype" w:cs="Palatino Linotype"/>
      <w:b/>
      <w:sz w:val="26"/>
      <w:szCs w:val="22"/>
    </w:rPr>
  </w:style>
  <w:style w:type="paragraph" w:styleId="Footer">
    <w:name w:val="footer"/>
    <w:basedOn w:val="Normal"/>
    <w:link w:val="FooterChar"/>
    <w:uiPriority w:val="99"/>
    <w:unhideWhenUsed/>
    <w:rsid w:val="00E848C8"/>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848C8"/>
    <w:rPr>
      <w:rFonts w:asciiTheme="minorHAnsi" w:hAnsiTheme="minorHAnsi" w:cstheme="minorBidi"/>
      <w:sz w:val="22"/>
      <w:szCs w:val="22"/>
    </w:rPr>
  </w:style>
  <w:style w:type="character" w:customStyle="1" w:styleId="RecommendationHeadingChar">
    <w:name w:val="Recommendation Heading Char"/>
    <w:basedOn w:val="DefaultParagraphFont"/>
    <w:link w:val="RecommendationHeading"/>
    <w:rsid w:val="00E848C8"/>
    <w:rPr>
      <w:rFonts w:ascii="Palatino Linotype" w:eastAsia="Palatino Linotype" w:hAnsi="Palatino Linotype" w:cs="Palatino Linotype"/>
      <w:b/>
      <w:sz w:val="26"/>
      <w:szCs w:val="22"/>
    </w:rPr>
  </w:style>
  <w:style w:type="character" w:customStyle="1" w:styleId="Heading1Char">
    <w:name w:val="Heading 1 Char"/>
    <w:basedOn w:val="DefaultParagraphFont"/>
    <w:link w:val="Heading1"/>
    <w:uiPriority w:val="9"/>
    <w:rsid w:val="00E848C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848C8"/>
    <w:pPr>
      <w:spacing w:line="259" w:lineRule="auto"/>
      <w:outlineLvl w:val="9"/>
    </w:pPr>
    <w:rPr>
      <w:lang w:val="en-US"/>
    </w:rPr>
  </w:style>
  <w:style w:type="paragraph" w:styleId="TOC2">
    <w:name w:val="toc 2"/>
    <w:basedOn w:val="Normal"/>
    <w:next w:val="Normal"/>
    <w:autoRedefine/>
    <w:uiPriority w:val="39"/>
    <w:unhideWhenUsed/>
    <w:rsid w:val="00E848C8"/>
    <w:pPr>
      <w:spacing w:after="100" w:line="259" w:lineRule="auto"/>
      <w:ind w:left="220"/>
    </w:pPr>
    <w:rPr>
      <w:rFonts w:asciiTheme="minorHAnsi" w:eastAsiaTheme="minorEastAsia" w:hAnsiTheme="minorHAnsi"/>
      <w:sz w:val="22"/>
      <w:szCs w:val="22"/>
      <w:lang w:val="en-US"/>
    </w:rPr>
  </w:style>
  <w:style w:type="character" w:customStyle="1" w:styleId="Heading2Char">
    <w:name w:val="Heading 2 Char"/>
    <w:basedOn w:val="DefaultParagraphFont"/>
    <w:link w:val="Heading2"/>
    <w:uiPriority w:val="9"/>
    <w:semiHidden/>
    <w:rsid w:val="00E848C8"/>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E9078B"/>
    <w:rPr>
      <w:color w:val="954F72" w:themeColor="followedHyperlink"/>
      <w:u w:val="single"/>
    </w:rPr>
  </w:style>
  <w:style w:type="paragraph" w:styleId="Header">
    <w:name w:val="header"/>
    <w:basedOn w:val="Normal"/>
    <w:link w:val="HeaderChar"/>
    <w:uiPriority w:val="99"/>
    <w:unhideWhenUsed/>
    <w:rsid w:val="001D6F7E"/>
    <w:pPr>
      <w:tabs>
        <w:tab w:val="center" w:pos="4513"/>
        <w:tab w:val="right" w:pos="9026"/>
      </w:tabs>
    </w:pPr>
  </w:style>
  <w:style w:type="character" w:customStyle="1" w:styleId="HeaderChar">
    <w:name w:val="Header Char"/>
    <w:basedOn w:val="DefaultParagraphFont"/>
    <w:link w:val="Header"/>
    <w:uiPriority w:val="99"/>
    <w:rsid w:val="001D6F7E"/>
    <w:rPr>
      <w:rFonts w:eastAsia="Times New Roman"/>
    </w:rPr>
  </w:style>
  <w:style w:type="paragraph" w:styleId="Revision">
    <w:name w:val="Revision"/>
    <w:hidden/>
    <w:uiPriority w:val="99"/>
    <w:semiHidden/>
    <w:rsid w:val="00A850AE"/>
    <w:pPr>
      <w:spacing w:after="0" w:line="240" w:lineRule="auto"/>
    </w:pPr>
    <w:rPr>
      <w:rFonts w:eastAsia="Times New Roman"/>
    </w:rPr>
  </w:style>
  <w:style w:type="character" w:customStyle="1" w:styleId="A15">
    <w:name w:val="A15"/>
    <w:uiPriority w:val="99"/>
    <w:rsid w:val="00130778"/>
    <w:rPr>
      <w:rFonts w:cs="Gotham Medium"/>
      <w:color w:val="000000"/>
      <w:sz w:val="17"/>
      <w:szCs w:val="17"/>
    </w:rPr>
  </w:style>
  <w:style w:type="character" w:styleId="UnresolvedMention">
    <w:name w:val="Unresolved Mention"/>
    <w:basedOn w:val="DefaultParagraphFont"/>
    <w:uiPriority w:val="99"/>
    <w:semiHidden/>
    <w:unhideWhenUsed/>
    <w:rsid w:val="00CF5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4731">
      <w:bodyDiv w:val="1"/>
      <w:marLeft w:val="0"/>
      <w:marRight w:val="0"/>
      <w:marTop w:val="0"/>
      <w:marBottom w:val="0"/>
      <w:divBdr>
        <w:top w:val="none" w:sz="0" w:space="0" w:color="auto"/>
        <w:left w:val="none" w:sz="0" w:space="0" w:color="auto"/>
        <w:bottom w:val="none" w:sz="0" w:space="0" w:color="auto"/>
        <w:right w:val="none" w:sz="0" w:space="0" w:color="auto"/>
      </w:divBdr>
    </w:div>
    <w:div w:id="145436996">
      <w:bodyDiv w:val="1"/>
      <w:marLeft w:val="0"/>
      <w:marRight w:val="0"/>
      <w:marTop w:val="0"/>
      <w:marBottom w:val="0"/>
      <w:divBdr>
        <w:top w:val="none" w:sz="0" w:space="0" w:color="auto"/>
        <w:left w:val="none" w:sz="0" w:space="0" w:color="auto"/>
        <w:bottom w:val="none" w:sz="0" w:space="0" w:color="auto"/>
        <w:right w:val="none" w:sz="0" w:space="0" w:color="auto"/>
      </w:divBdr>
    </w:div>
    <w:div w:id="312032309">
      <w:bodyDiv w:val="1"/>
      <w:marLeft w:val="0"/>
      <w:marRight w:val="0"/>
      <w:marTop w:val="0"/>
      <w:marBottom w:val="0"/>
      <w:divBdr>
        <w:top w:val="none" w:sz="0" w:space="0" w:color="auto"/>
        <w:left w:val="none" w:sz="0" w:space="0" w:color="auto"/>
        <w:bottom w:val="none" w:sz="0" w:space="0" w:color="auto"/>
        <w:right w:val="none" w:sz="0" w:space="0" w:color="auto"/>
      </w:divBdr>
    </w:div>
    <w:div w:id="323703498">
      <w:bodyDiv w:val="1"/>
      <w:marLeft w:val="0"/>
      <w:marRight w:val="0"/>
      <w:marTop w:val="0"/>
      <w:marBottom w:val="0"/>
      <w:divBdr>
        <w:top w:val="none" w:sz="0" w:space="0" w:color="auto"/>
        <w:left w:val="none" w:sz="0" w:space="0" w:color="auto"/>
        <w:bottom w:val="none" w:sz="0" w:space="0" w:color="auto"/>
        <w:right w:val="none" w:sz="0" w:space="0" w:color="auto"/>
      </w:divBdr>
    </w:div>
    <w:div w:id="345795530">
      <w:bodyDiv w:val="1"/>
      <w:marLeft w:val="0"/>
      <w:marRight w:val="0"/>
      <w:marTop w:val="0"/>
      <w:marBottom w:val="0"/>
      <w:divBdr>
        <w:top w:val="none" w:sz="0" w:space="0" w:color="auto"/>
        <w:left w:val="none" w:sz="0" w:space="0" w:color="auto"/>
        <w:bottom w:val="none" w:sz="0" w:space="0" w:color="auto"/>
        <w:right w:val="none" w:sz="0" w:space="0" w:color="auto"/>
      </w:divBdr>
    </w:div>
    <w:div w:id="409088034">
      <w:bodyDiv w:val="1"/>
      <w:marLeft w:val="0"/>
      <w:marRight w:val="0"/>
      <w:marTop w:val="0"/>
      <w:marBottom w:val="0"/>
      <w:divBdr>
        <w:top w:val="none" w:sz="0" w:space="0" w:color="auto"/>
        <w:left w:val="none" w:sz="0" w:space="0" w:color="auto"/>
        <w:bottom w:val="none" w:sz="0" w:space="0" w:color="auto"/>
        <w:right w:val="none" w:sz="0" w:space="0" w:color="auto"/>
      </w:divBdr>
    </w:div>
    <w:div w:id="506485805">
      <w:bodyDiv w:val="1"/>
      <w:marLeft w:val="0"/>
      <w:marRight w:val="0"/>
      <w:marTop w:val="0"/>
      <w:marBottom w:val="0"/>
      <w:divBdr>
        <w:top w:val="none" w:sz="0" w:space="0" w:color="auto"/>
        <w:left w:val="none" w:sz="0" w:space="0" w:color="auto"/>
        <w:bottom w:val="none" w:sz="0" w:space="0" w:color="auto"/>
        <w:right w:val="none" w:sz="0" w:space="0" w:color="auto"/>
      </w:divBdr>
    </w:div>
    <w:div w:id="512688316">
      <w:bodyDiv w:val="1"/>
      <w:marLeft w:val="0"/>
      <w:marRight w:val="0"/>
      <w:marTop w:val="0"/>
      <w:marBottom w:val="0"/>
      <w:divBdr>
        <w:top w:val="none" w:sz="0" w:space="0" w:color="auto"/>
        <w:left w:val="none" w:sz="0" w:space="0" w:color="auto"/>
        <w:bottom w:val="none" w:sz="0" w:space="0" w:color="auto"/>
        <w:right w:val="none" w:sz="0" w:space="0" w:color="auto"/>
      </w:divBdr>
    </w:div>
    <w:div w:id="561452067">
      <w:bodyDiv w:val="1"/>
      <w:marLeft w:val="0"/>
      <w:marRight w:val="0"/>
      <w:marTop w:val="0"/>
      <w:marBottom w:val="0"/>
      <w:divBdr>
        <w:top w:val="none" w:sz="0" w:space="0" w:color="auto"/>
        <w:left w:val="none" w:sz="0" w:space="0" w:color="auto"/>
        <w:bottom w:val="none" w:sz="0" w:space="0" w:color="auto"/>
        <w:right w:val="none" w:sz="0" w:space="0" w:color="auto"/>
      </w:divBdr>
    </w:div>
    <w:div w:id="759789883">
      <w:bodyDiv w:val="1"/>
      <w:marLeft w:val="0"/>
      <w:marRight w:val="0"/>
      <w:marTop w:val="0"/>
      <w:marBottom w:val="0"/>
      <w:divBdr>
        <w:top w:val="none" w:sz="0" w:space="0" w:color="auto"/>
        <w:left w:val="none" w:sz="0" w:space="0" w:color="auto"/>
        <w:bottom w:val="none" w:sz="0" w:space="0" w:color="auto"/>
        <w:right w:val="none" w:sz="0" w:space="0" w:color="auto"/>
      </w:divBdr>
    </w:div>
    <w:div w:id="798764842">
      <w:bodyDiv w:val="1"/>
      <w:marLeft w:val="0"/>
      <w:marRight w:val="0"/>
      <w:marTop w:val="0"/>
      <w:marBottom w:val="0"/>
      <w:divBdr>
        <w:top w:val="none" w:sz="0" w:space="0" w:color="auto"/>
        <w:left w:val="none" w:sz="0" w:space="0" w:color="auto"/>
        <w:bottom w:val="none" w:sz="0" w:space="0" w:color="auto"/>
        <w:right w:val="none" w:sz="0" w:space="0" w:color="auto"/>
      </w:divBdr>
    </w:div>
    <w:div w:id="807627196">
      <w:bodyDiv w:val="1"/>
      <w:marLeft w:val="0"/>
      <w:marRight w:val="0"/>
      <w:marTop w:val="0"/>
      <w:marBottom w:val="0"/>
      <w:divBdr>
        <w:top w:val="none" w:sz="0" w:space="0" w:color="auto"/>
        <w:left w:val="none" w:sz="0" w:space="0" w:color="auto"/>
        <w:bottom w:val="none" w:sz="0" w:space="0" w:color="auto"/>
        <w:right w:val="none" w:sz="0" w:space="0" w:color="auto"/>
      </w:divBdr>
    </w:div>
    <w:div w:id="934240589">
      <w:bodyDiv w:val="1"/>
      <w:marLeft w:val="0"/>
      <w:marRight w:val="0"/>
      <w:marTop w:val="0"/>
      <w:marBottom w:val="0"/>
      <w:divBdr>
        <w:top w:val="none" w:sz="0" w:space="0" w:color="auto"/>
        <w:left w:val="none" w:sz="0" w:space="0" w:color="auto"/>
        <w:bottom w:val="none" w:sz="0" w:space="0" w:color="auto"/>
        <w:right w:val="none" w:sz="0" w:space="0" w:color="auto"/>
      </w:divBdr>
    </w:div>
    <w:div w:id="945846811">
      <w:bodyDiv w:val="1"/>
      <w:marLeft w:val="0"/>
      <w:marRight w:val="0"/>
      <w:marTop w:val="0"/>
      <w:marBottom w:val="0"/>
      <w:divBdr>
        <w:top w:val="none" w:sz="0" w:space="0" w:color="auto"/>
        <w:left w:val="none" w:sz="0" w:space="0" w:color="auto"/>
        <w:bottom w:val="none" w:sz="0" w:space="0" w:color="auto"/>
        <w:right w:val="none" w:sz="0" w:space="0" w:color="auto"/>
      </w:divBdr>
    </w:div>
    <w:div w:id="1037318996">
      <w:bodyDiv w:val="1"/>
      <w:marLeft w:val="0"/>
      <w:marRight w:val="0"/>
      <w:marTop w:val="0"/>
      <w:marBottom w:val="0"/>
      <w:divBdr>
        <w:top w:val="none" w:sz="0" w:space="0" w:color="auto"/>
        <w:left w:val="none" w:sz="0" w:space="0" w:color="auto"/>
        <w:bottom w:val="none" w:sz="0" w:space="0" w:color="auto"/>
        <w:right w:val="none" w:sz="0" w:space="0" w:color="auto"/>
      </w:divBdr>
    </w:div>
    <w:div w:id="1095639294">
      <w:bodyDiv w:val="1"/>
      <w:marLeft w:val="0"/>
      <w:marRight w:val="0"/>
      <w:marTop w:val="0"/>
      <w:marBottom w:val="0"/>
      <w:divBdr>
        <w:top w:val="none" w:sz="0" w:space="0" w:color="auto"/>
        <w:left w:val="none" w:sz="0" w:space="0" w:color="auto"/>
        <w:bottom w:val="none" w:sz="0" w:space="0" w:color="auto"/>
        <w:right w:val="none" w:sz="0" w:space="0" w:color="auto"/>
      </w:divBdr>
    </w:div>
    <w:div w:id="1105227997">
      <w:bodyDiv w:val="1"/>
      <w:marLeft w:val="0"/>
      <w:marRight w:val="0"/>
      <w:marTop w:val="0"/>
      <w:marBottom w:val="0"/>
      <w:divBdr>
        <w:top w:val="none" w:sz="0" w:space="0" w:color="auto"/>
        <w:left w:val="none" w:sz="0" w:space="0" w:color="auto"/>
        <w:bottom w:val="none" w:sz="0" w:space="0" w:color="auto"/>
        <w:right w:val="none" w:sz="0" w:space="0" w:color="auto"/>
      </w:divBdr>
    </w:div>
    <w:div w:id="1166900887">
      <w:bodyDiv w:val="1"/>
      <w:marLeft w:val="0"/>
      <w:marRight w:val="0"/>
      <w:marTop w:val="0"/>
      <w:marBottom w:val="0"/>
      <w:divBdr>
        <w:top w:val="none" w:sz="0" w:space="0" w:color="auto"/>
        <w:left w:val="none" w:sz="0" w:space="0" w:color="auto"/>
        <w:bottom w:val="none" w:sz="0" w:space="0" w:color="auto"/>
        <w:right w:val="none" w:sz="0" w:space="0" w:color="auto"/>
      </w:divBdr>
    </w:div>
    <w:div w:id="1191989209">
      <w:bodyDiv w:val="1"/>
      <w:marLeft w:val="0"/>
      <w:marRight w:val="0"/>
      <w:marTop w:val="0"/>
      <w:marBottom w:val="0"/>
      <w:divBdr>
        <w:top w:val="none" w:sz="0" w:space="0" w:color="auto"/>
        <w:left w:val="none" w:sz="0" w:space="0" w:color="auto"/>
        <w:bottom w:val="none" w:sz="0" w:space="0" w:color="auto"/>
        <w:right w:val="none" w:sz="0" w:space="0" w:color="auto"/>
      </w:divBdr>
    </w:div>
    <w:div w:id="1260262494">
      <w:bodyDiv w:val="1"/>
      <w:marLeft w:val="0"/>
      <w:marRight w:val="0"/>
      <w:marTop w:val="0"/>
      <w:marBottom w:val="0"/>
      <w:divBdr>
        <w:top w:val="none" w:sz="0" w:space="0" w:color="auto"/>
        <w:left w:val="none" w:sz="0" w:space="0" w:color="auto"/>
        <w:bottom w:val="none" w:sz="0" w:space="0" w:color="auto"/>
        <w:right w:val="none" w:sz="0" w:space="0" w:color="auto"/>
      </w:divBdr>
    </w:div>
    <w:div w:id="1282541538">
      <w:bodyDiv w:val="1"/>
      <w:marLeft w:val="0"/>
      <w:marRight w:val="0"/>
      <w:marTop w:val="0"/>
      <w:marBottom w:val="0"/>
      <w:divBdr>
        <w:top w:val="none" w:sz="0" w:space="0" w:color="auto"/>
        <w:left w:val="none" w:sz="0" w:space="0" w:color="auto"/>
        <w:bottom w:val="none" w:sz="0" w:space="0" w:color="auto"/>
        <w:right w:val="none" w:sz="0" w:space="0" w:color="auto"/>
      </w:divBdr>
    </w:div>
    <w:div w:id="1399210341">
      <w:bodyDiv w:val="1"/>
      <w:marLeft w:val="0"/>
      <w:marRight w:val="0"/>
      <w:marTop w:val="0"/>
      <w:marBottom w:val="0"/>
      <w:divBdr>
        <w:top w:val="none" w:sz="0" w:space="0" w:color="auto"/>
        <w:left w:val="none" w:sz="0" w:space="0" w:color="auto"/>
        <w:bottom w:val="none" w:sz="0" w:space="0" w:color="auto"/>
        <w:right w:val="none" w:sz="0" w:space="0" w:color="auto"/>
      </w:divBdr>
    </w:div>
    <w:div w:id="1496140451">
      <w:bodyDiv w:val="1"/>
      <w:marLeft w:val="0"/>
      <w:marRight w:val="0"/>
      <w:marTop w:val="0"/>
      <w:marBottom w:val="0"/>
      <w:divBdr>
        <w:top w:val="none" w:sz="0" w:space="0" w:color="auto"/>
        <w:left w:val="none" w:sz="0" w:space="0" w:color="auto"/>
        <w:bottom w:val="none" w:sz="0" w:space="0" w:color="auto"/>
        <w:right w:val="none" w:sz="0" w:space="0" w:color="auto"/>
      </w:divBdr>
    </w:div>
    <w:div w:id="1586644927">
      <w:bodyDiv w:val="1"/>
      <w:marLeft w:val="0"/>
      <w:marRight w:val="0"/>
      <w:marTop w:val="0"/>
      <w:marBottom w:val="0"/>
      <w:divBdr>
        <w:top w:val="none" w:sz="0" w:space="0" w:color="auto"/>
        <w:left w:val="none" w:sz="0" w:space="0" w:color="auto"/>
        <w:bottom w:val="none" w:sz="0" w:space="0" w:color="auto"/>
        <w:right w:val="none" w:sz="0" w:space="0" w:color="auto"/>
      </w:divBdr>
    </w:div>
    <w:div w:id="1688216790">
      <w:bodyDiv w:val="1"/>
      <w:marLeft w:val="0"/>
      <w:marRight w:val="0"/>
      <w:marTop w:val="0"/>
      <w:marBottom w:val="0"/>
      <w:divBdr>
        <w:top w:val="none" w:sz="0" w:space="0" w:color="auto"/>
        <w:left w:val="none" w:sz="0" w:space="0" w:color="auto"/>
        <w:bottom w:val="none" w:sz="0" w:space="0" w:color="auto"/>
        <w:right w:val="none" w:sz="0" w:space="0" w:color="auto"/>
      </w:divBdr>
    </w:div>
    <w:div w:id="1689136309">
      <w:bodyDiv w:val="1"/>
      <w:marLeft w:val="0"/>
      <w:marRight w:val="0"/>
      <w:marTop w:val="0"/>
      <w:marBottom w:val="0"/>
      <w:divBdr>
        <w:top w:val="none" w:sz="0" w:space="0" w:color="auto"/>
        <w:left w:val="none" w:sz="0" w:space="0" w:color="auto"/>
        <w:bottom w:val="none" w:sz="0" w:space="0" w:color="auto"/>
        <w:right w:val="none" w:sz="0" w:space="0" w:color="auto"/>
      </w:divBdr>
    </w:div>
    <w:div w:id="1716274851">
      <w:bodyDiv w:val="1"/>
      <w:marLeft w:val="0"/>
      <w:marRight w:val="0"/>
      <w:marTop w:val="0"/>
      <w:marBottom w:val="0"/>
      <w:divBdr>
        <w:top w:val="none" w:sz="0" w:space="0" w:color="auto"/>
        <w:left w:val="none" w:sz="0" w:space="0" w:color="auto"/>
        <w:bottom w:val="none" w:sz="0" w:space="0" w:color="auto"/>
        <w:right w:val="none" w:sz="0" w:space="0" w:color="auto"/>
      </w:divBdr>
    </w:div>
    <w:div w:id="1731030417">
      <w:bodyDiv w:val="1"/>
      <w:marLeft w:val="0"/>
      <w:marRight w:val="0"/>
      <w:marTop w:val="0"/>
      <w:marBottom w:val="0"/>
      <w:divBdr>
        <w:top w:val="none" w:sz="0" w:space="0" w:color="auto"/>
        <w:left w:val="none" w:sz="0" w:space="0" w:color="auto"/>
        <w:bottom w:val="none" w:sz="0" w:space="0" w:color="auto"/>
        <w:right w:val="none" w:sz="0" w:space="0" w:color="auto"/>
      </w:divBdr>
    </w:div>
    <w:div w:id="1900289720">
      <w:bodyDiv w:val="1"/>
      <w:marLeft w:val="0"/>
      <w:marRight w:val="0"/>
      <w:marTop w:val="0"/>
      <w:marBottom w:val="0"/>
      <w:divBdr>
        <w:top w:val="none" w:sz="0" w:space="0" w:color="auto"/>
        <w:left w:val="none" w:sz="0" w:space="0" w:color="auto"/>
        <w:bottom w:val="none" w:sz="0" w:space="0" w:color="auto"/>
        <w:right w:val="none" w:sz="0" w:space="0" w:color="auto"/>
      </w:divBdr>
    </w:div>
    <w:div w:id="1901937169">
      <w:bodyDiv w:val="1"/>
      <w:marLeft w:val="0"/>
      <w:marRight w:val="0"/>
      <w:marTop w:val="0"/>
      <w:marBottom w:val="0"/>
      <w:divBdr>
        <w:top w:val="none" w:sz="0" w:space="0" w:color="auto"/>
        <w:left w:val="none" w:sz="0" w:space="0" w:color="auto"/>
        <w:bottom w:val="none" w:sz="0" w:space="0" w:color="auto"/>
        <w:right w:val="none" w:sz="0" w:space="0" w:color="auto"/>
      </w:divBdr>
    </w:div>
    <w:div w:id="2002195805">
      <w:bodyDiv w:val="1"/>
      <w:marLeft w:val="0"/>
      <w:marRight w:val="0"/>
      <w:marTop w:val="0"/>
      <w:marBottom w:val="0"/>
      <w:divBdr>
        <w:top w:val="none" w:sz="0" w:space="0" w:color="auto"/>
        <w:left w:val="none" w:sz="0" w:space="0" w:color="auto"/>
        <w:bottom w:val="none" w:sz="0" w:space="0" w:color="auto"/>
        <w:right w:val="none" w:sz="0" w:space="0" w:color="auto"/>
      </w:divBdr>
    </w:div>
    <w:div w:id="20945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ga.gov.au/publication/orphan-drug-designation-eligibility-crite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ga.gov.au/publication/pre-submission-meetings-tg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saustralia.gov.au/individuals/services/centrelink/essential-medical-equipment-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9952167784CC4E97CE60AF2B8E8B28" ma:contentTypeVersion="" ma:contentTypeDescription="PDMS Document Site Content Type" ma:contentTypeScope="" ma:versionID="38bb2c7d59d1b38500b1d3ff0bf18f63">
  <xsd:schema xmlns:xsd="http://www.w3.org/2001/XMLSchema" xmlns:xs="http://www.w3.org/2001/XMLSchema" xmlns:p="http://schemas.microsoft.com/office/2006/metadata/properties" xmlns:ns2="7ABF10DD-9248-4336-BB56-7AFFB2783417" targetNamespace="http://schemas.microsoft.com/office/2006/metadata/properties" ma:root="true" ma:fieldsID="4d885591ac55485f02eceab863bb22d4" ns2:_="">
    <xsd:import namespace="7ABF10DD-9248-4336-BB56-7AFFB278341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F10DD-9248-4336-BB56-7AFFB278341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ABF10DD-9248-4336-BB56-7AFFB2783417" xsi:nil="true"/>
  </documentManagement>
</p:properties>
</file>

<file path=customXml/itemProps1.xml><?xml version="1.0" encoding="utf-8"?>
<ds:datastoreItem xmlns:ds="http://schemas.openxmlformats.org/officeDocument/2006/customXml" ds:itemID="{76398720-D8DB-4B19-8735-F06640184D4B}">
  <ds:schemaRefs>
    <ds:schemaRef ds:uri="http://schemas.openxmlformats.org/officeDocument/2006/bibliography"/>
  </ds:schemaRefs>
</ds:datastoreItem>
</file>

<file path=customXml/itemProps2.xml><?xml version="1.0" encoding="utf-8"?>
<ds:datastoreItem xmlns:ds="http://schemas.openxmlformats.org/officeDocument/2006/customXml" ds:itemID="{0702A3EB-F03C-433B-B49A-0A8268F04185}">
  <ds:schemaRefs>
    <ds:schemaRef ds:uri="http://schemas.microsoft.com/sharepoint/v3/contenttype/forms"/>
  </ds:schemaRefs>
</ds:datastoreItem>
</file>

<file path=customXml/itemProps3.xml><?xml version="1.0" encoding="utf-8"?>
<ds:datastoreItem xmlns:ds="http://schemas.openxmlformats.org/officeDocument/2006/customXml" ds:itemID="{E2033786-4825-4A96-8542-9C3CB13A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F10DD-9248-4336-BB56-7AFFB2783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32D3E-04E2-40EF-A73F-FBE4ABF31C40}">
  <ds:schemaRefs>
    <ds:schemaRef ds:uri="http://schemas.microsoft.com/office/2006/metadata/properties"/>
    <ds:schemaRef ds:uri="http://schemas.microsoft.com/office/infopath/2007/PartnerControls"/>
    <ds:schemaRef ds:uri="7ABF10DD-9248-4336-BB56-7AFFB27834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6126</Words>
  <Characters>34919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Bedtime Reading: Inquiry into Sleep Health Awareness in Australia</vt:lpstr>
    </vt:vector>
  </TitlesOfParts>
  <Company/>
  <LinksUpToDate>false</LinksUpToDate>
  <CharactersWithSpaces>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Bedtime Reading: Inquiry into Sleep Health Awareness in Australia</dc:title>
  <dc:subject/>
  <dc:creator>Australian Government Department of Health and Aged Care</dc:creator>
  <cp:keywords/>
  <dc:description/>
  <cp:lastModifiedBy>HAMLEY, Erynn</cp:lastModifiedBy>
  <cp:revision>2</cp:revision>
  <cp:lastPrinted>2020-06-22T00:11:00Z</cp:lastPrinted>
  <dcterms:created xsi:type="dcterms:W3CDTF">2023-08-04T06:36:00Z</dcterms:created>
  <dcterms:modified xsi:type="dcterms:W3CDTF">2023-08-04T06:36:00Z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0x010100266966F133664895A6EE3632470D45F500409952167784CC4E97CE60AF2B8E8B28</vt:lpwstr>
  </property>
</Properties>
</file>