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7D9D9" w14:textId="092BF621" w:rsidR="00751A23" w:rsidRDefault="00FD1CBA" w:rsidP="00751A23">
      <w:pPr>
        <w:pStyle w:val="Title"/>
      </w:pPr>
      <w:r>
        <w:t>Stoma Appliance Scheme</w:t>
      </w:r>
    </w:p>
    <w:p w14:paraId="475D23F0" w14:textId="5C030BC6" w:rsidR="00751A23" w:rsidRDefault="00FD1CBA" w:rsidP="00751A23">
      <w:pPr>
        <w:pStyle w:val="Subtitle"/>
        <w:sectPr w:rsidR="00751A23" w:rsidSect="00D45D94">
          <w:headerReference w:type="first" r:id="rId11"/>
          <w:type w:val="continuous"/>
          <w:pgSz w:w="11906" w:h="16838"/>
          <w:pgMar w:top="1701" w:right="1418" w:bottom="1418" w:left="1418" w:header="850" w:footer="709" w:gutter="0"/>
          <w:cols w:space="708"/>
          <w:titlePg/>
          <w:docGrid w:linePitch="360"/>
        </w:sectPr>
      </w:pPr>
      <w:r>
        <w:t xml:space="preserve">Application and Assessment Guidelines </w:t>
      </w:r>
      <w:r w:rsidR="000F6458">
        <w:br/>
      </w:r>
      <w:r w:rsidR="00091295">
        <w:t>July 2023</w:t>
      </w:r>
      <w:r>
        <w:t xml:space="preserve"> </w:t>
      </w:r>
    </w:p>
    <w:bookmarkStart w:id="0" w:name="_Toc119409483" w:displacedByCustomXml="next"/>
    <w:sdt>
      <w:sdtPr>
        <w:rPr>
          <w:rFonts w:eastAsia="Times New Roman" w:cs="Times New Roman"/>
          <w:color w:val="000000" w:themeColor="text1"/>
          <w:sz w:val="22"/>
          <w:szCs w:val="24"/>
          <w:lang w:val="en-AU"/>
        </w:rPr>
        <w:id w:val="-187987220"/>
        <w:docPartObj>
          <w:docPartGallery w:val="Table of Contents"/>
          <w:docPartUnique/>
        </w:docPartObj>
      </w:sdtPr>
      <w:sdtEndPr/>
      <w:sdtContent>
        <w:p w14:paraId="7351B15B" w14:textId="68000F8B" w:rsidR="00C6734D" w:rsidRDefault="00C6734D">
          <w:pPr>
            <w:pStyle w:val="TOCHeading"/>
          </w:pPr>
          <w:r>
            <w:t>Contents</w:t>
          </w:r>
        </w:p>
        <w:p w14:paraId="63368A23" w14:textId="10576DAC" w:rsidR="000F6458" w:rsidRDefault="00C6734D">
          <w:pPr>
            <w:pStyle w:val="TOC1"/>
            <w:tabs>
              <w:tab w:val="right" w:leader="dot" w:pos="9060"/>
            </w:tabs>
            <w:rPr>
              <w:rFonts w:asciiTheme="minorHAnsi" w:eastAsiaTheme="minorEastAsia" w:hAnsiTheme="minorHAnsi" w:cstheme="minorBidi"/>
              <w:noProof/>
              <w:color w:val="auto"/>
              <w:szCs w:val="22"/>
              <w:lang w:eastAsia="en-AU"/>
            </w:rPr>
          </w:pPr>
          <w:r>
            <w:fldChar w:fldCharType="begin"/>
          </w:r>
          <w:r>
            <w:instrText xml:space="preserve"> TOC \o "1-3" \h \z \u </w:instrText>
          </w:r>
          <w:r>
            <w:fldChar w:fldCharType="separate"/>
          </w:r>
          <w:hyperlink w:anchor="_Toc138851178" w:history="1">
            <w:r w:rsidR="000F6458" w:rsidRPr="00E13E1D">
              <w:rPr>
                <w:rStyle w:val="Hyperlink"/>
                <w:noProof/>
              </w:rPr>
              <w:t>About this document</w:t>
            </w:r>
            <w:r w:rsidR="000F6458">
              <w:rPr>
                <w:noProof/>
                <w:webHidden/>
              </w:rPr>
              <w:tab/>
            </w:r>
            <w:r w:rsidR="000F6458">
              <w:rPr>
                <w:noProof/>
                <w:webHidden/>
              </w:rPr>
              <w:fldChar w:fldCharType="begin"/>
            </w:r>
            <w:r w:rsidR="000F6458">
              <w:rPr>
                <w:noProof/>
                <w:webHidden/>
              </w:rPr>
              <w:instrText xml:space="preserve"> PAGEREF _Toc138851178 \h </w:instrText>
            </w:r>
            <w:r w:rsidR="000F6458">
              <w:rPr>
                <w:noProof/>
                <w:webHidden/>
              </w:rPr>
            </w:r>
            <w:r w:rsidR="000F6458">
              <w:rPr>
                <w:noProof/>
                <w:webHidden/>
              </w:rPr>
              <w:fldChar w:fldCharType="separate"/>
            </w:r>
            <w:r w:rsidR="000F6458">
              <w:rPr>
                <w:noProof/>
                <w:webHidden/>
              </w:rPr>
              <w:t>3</w:t>
            </w:r>
            <w:r w:rsidR="000F6458">
              <w:rPr>
                <w:noProof/>
                <w:webHidden/>
              </w:rPr>
              <w:fldChar w:fldCharType="end"/>
            </w:r>
          </w:hyperlink>
        </w:p>
        <w:p w14:paraId="3E5E572D" w14:textId="66387206" w:rsidR="000F6458" w:rsidRDefault="000F6458">
          <w:pPr>
            <w:pStyle w:val="TOC1"/>
            <w:tabs>
              <w:tab w:val="right" w:leader="dot" w:pos="9060"/>
            </w:tabs>
            <w:rPr>
              <w:rFonts w:asciiTheme="minorHAnsi" w:eastAsiaTheme="minorEastAsia" w:hAnsiTheme="minorHAnsi" w:cstheme="minorBidi"/>
              <w:noProof/>
              <w:color w:val="auto"/>
              <w:szCs w:val="22"/>
              <w:lang w:eastAsia="en-AU"/>
            </w:rPr>
          </w:pPr>
          <w:hyperlink w:anchor="_Toc138851179" w:history="1">
            <w:r w:rsidRPr="00E13E1D">
              <w:rPr>
                <w:rStyle w:val="Hyperlink"/>
                <w:noProof/>
              </w:rPr>
              <w:t>Part 1 – Introduction</w:t>
            </w:r>
            <w:r>
              <w:rPr>
                <w:noProof/>
                <w:webHidden/>
              </w:rPr>
              <w:tab/>
            </w:r>
            <w:r>
              <w:rPr>
                <w:noProof/>
                <w:webHidden/>
              </w:rPr>
              <w:fldChar w:fldCharType="begin"/>
            </w:r>
            <w:r>
              <w:rPr>
                <w:noProof/>
                <w:webHidden/>
              </w:rPr>
              <w:instrText xml:space="preserve"> PAGEREF _Toc138851179 \h </w:instrText>
            </w:r>
            <w:r>
              <w:rPr>
                <w:noProof/>
                <w:webHidden/>
              </w:rPr>
            </w:r>
            <w:r>
              <w:rPr>
                <w:noProof/>
                <w:webHidden/>
              </w:rPr>
              <w:fldChar w:fldCharType="separate"/>
            </w:r>
            <w:r>
              <w:rPr>
                <w:noProof/>
                <w:webHidden/>
              </w:rPr>
              <w:t>4</w:t>
            </w:r>
            <w:r>
              <w:rPr>
                <w:noProof/>
                <w:webHidden/>
              </w:rPr>
              <w:fldChar w:fldCharType="end"/>
            </w:r>
          </w:hyperlink>
        </w:p>
        <w:p w14:paraId="444339DB" w14:textId="2159CDAA" w:rsidR="000F6458" w:rsidRDefault="000F6458">
          <w:pPr>
            <w:pStyle w:val="TOC2"/>
            <w:rPr>
              <w:rFonts w:asciiTheme="minorHAnsi" w:eastAsiaTheme="minorEastAsia" w:hAnsiTheme="minorHAnsi" w:cstheme="minorBidi"/>
              <w:noProof/>
              <w:color w:val="auto"/>
              <w:szCs w:val="22"/>
              <w:lang w:eastAsia="en-AU"/>
            </w:rPr>
          </w:pPr>
          <w:hyperlink w:anchor="_Toc138851180" w:history="1">
            <w:r w:rsidRPr="00E13E1D">
              <w:rPr>
                <w:rStyle w:val="Hyperlink"/>
                <w:noProof/>
              </w:rPr>
              <w:t>1.1 Overview of the Stoma Appliance Scheme</w:t>
            </w:r>
            <w:r>
              <w:rPr>
                <w:noProof/>
                <w:webHidden/>
              </w:rPr>
              <w:tab/>
            </w:r>
            <w:r>
              <w:rPr>
                <w:noProof/>
                <w:webHidden/>
              </w:rPr>
              <w:fldChar w:fldCharType="begin"/>
            </w:r>
            <w:r>
              <w:rPr>
                <w:noProof/>
                <w:webHidden/>
              </w:rPr>
              <w:instrText xml:space="preserve"> PAGEREF _Toc138851180 \h </w:instrText>
            </w:r>
            <w:r>
              <w:rPr>
                <w:noProof/>
                <w:webHidden/>
              </w:rPr>
            </w:r>
            <w:r>
              <w:rPr>
                <w:noProof/>
                <w:webHidden/>
              </w:rPr>
              <w:fldChar w:fldCharType="separate"/>
            </w:r>
            <w:r>
              <w:rPr>
                <w:noProof/>
                <w:webHidden/>
              </w:rPr>
              <w:t>4</w:t>
            </w:r>
            <w:r>
              <w:rPr>
                <w:noProof/>
                <w:webHidden/>
              </w:rPr>
              <w:fldChar w:fldCharType="end"/>
            </w:r>
          </w:hyperlink>
        </w:p>
        <w:p w14:paraId="620F5E99" w14:textId="761F1B34" w:rsidR="000F6458" w:rsidRDefault="000F6458">
          <w:pPr>
            <w:pStyle w:val="TOC2"/>
            <w:rPr>
              <w:rFonts w:asciiTheme="minorHAnsi" w:eastAsiaTheme="minorEastAsia" w:hAnsiTheme="minorHAnsi" w:cstheme="minorBidi"/>
              <w:noProof/>
              <w:color w:val="auto"/>
              <w:szCs w:val="22"/>
              <w:lang w:eastAsia="en-AU"/>
            </w:rPr>
          </w:pPr>
          <w:hyperlink w:anchor="_Toc138851181" w:history="1">
            <w:r w:rsidRPr="00E13E1D">
              <w:rPr>
                <w:rStyle w:val="Hyperlink"/>
                <w:noProof/>
              </w:rPr>
              <w:t>1.2 SAS Schedule</w:t>
            </w:r>
            <w:r>
              <w:rPr>
                <w:noProof/>
                <w:webHidden/>
              </w:rPr>
              <w:tab/>
            </w:r>
            <w:r>
              <w:rPr>
                <w:noProof/>
                <w:webHidden/>
              </w:rPr>
              <w:fldChar w:fldCharType="begin"/>
            </w:r>
            <w:r>
              <w:rPr>
                <w:noProof/>
                <w:webHidden/>
              </w:rPr>
              <w:instrText xml:space="preserve"> PAGEREF _Toc138851181 \h </w:instrText>
            </w:r>
            <w:r>
              <w:rPr>
                <w:noProof/>
                <w:webHidden/>
              </w:rPr>
            </w:r>
            <w:r>
              <w:rPr>
                <w:noProof/>
                <w:webHidden/>
              </w:rPr>
              <w:fldChar w:fldCharType="separate"/>
            </w:r>
            <w:r>
              <w:rPr>
                <w:noProof/>
                <w:webHidden/>
              </w:rPr>
              <w:t>4</w:t>
            </w:r>
            <w:r>
              <w:rPr>
                <w:noProof/>
                <w:webHidden/>
              </w:rPr>
              <w:fldChar w:fldCharType="end"/>
            </w:r>
          </w:hyperlink>
        </w:p>
        <w:p w14:paraId="02ACFDD6" w14:textId="106ABFD0" w:rsidR="000F6458" w:rsidRDefault="000F6458">
          <w:pPr>
            <w:pStyle w:val="TOC3"/>
            <w:tabs>
              <w:tab w:val="right" w:leader="dot" w:pos="9060"/>
            </w:tabs>
            <w:rPr>
              <w:rFonts w:asciiTheme="minorHAnsi" w:eastAsiaTheme="minorEastAsia" w:hAnsiTheme="minorHAnsi" w:cstheme="minorBidi"/>
              <w:noProof/>
              <w:color w:val="auto"/>
              <w:szCs w:val="22"/>
              <w:lang w:eastAsia="en-AU"/>
            </w:rPr>
          </w:pPr>
          <w:hyperlink w:anchor="_Toc138851182" w:history="1">
            <w:r w:rsidRPr="00E13E1D">
              <w:rPr>
                <w:rStyle w:val="Hyperlink"/>
                <w:noProof/>
              </w:rPr>
              <w:t>1.2.1 Groups and Subgroups</w:t>
            </w:r>
            <w:r>
              <w:rPr>
                <w:noProof/>
                <w:webHidden/>
              </w:rPr>
              <w:tab/>
            </w:r>
            <w:r>
              <w:rPr>
                <w:noProof/>
                <w:webHidden/>
              </w:rPr>
              <w:fldChar w:fldCharType="begin"/>
            </w:r>
            <w:r>
              <w:rPr>
                <w:noProof/>
                <w:webHidden/>
              </w:rPr>
              <w:instrText xml:space="preserve"> PAGEREF _Toc138851182 \h </w:instrText>
            </w:r>
            <w:r>
              <w:rPr>
                <w:noProof/>
                <w:webHidden/>
              </w:rPr>
            </w:r>
            <w:r>
              <w:rPr>
                <w:noProof/>
                <w:webHidden/>
              </w:rPr>
              <w:fldChar w:fldCharType="separate"/>
            </w:r>
            <w:r>
              <w:rPr>
                <w:noProof/>
                <w:webHidden/>
              </w:rPr>
              <w:t>4</w:t>
            </w:r>
            <w:r>
              <w:rPr>
                <w:noProof/>
                <w:webHidden/>
              </w:rPr>
              <w:fldChar w:fldCharType="end"/>
            </w:r>
          </w:hyperlink>
        </w:p>
        <w:p w14:paraId="41929D96" w14:textId="28685B87" w:rsidR="000F6458" w:rsidRDefault="000F6458">
          <w:pPr>
            <w:pStyle w:val="TOC3"/>
            <w:tabs>
              <w:tab w:val="right" w:leader="dot" w:pos="9060"/>
            </w:tabs>
            <w:rPr>
              <w:rFonts w:asciiTheme="minorHAnsi" w:eastAsiaTheme="minorEastAsia" w:hAnsiTheme="minorHAnsi" w:cstheme="minorBidi"/>
              <w:noProof/>
              <w:color w:val="auto"/>
              <w:szCs w:val="22"/>
              <w:lang w:eastAsia="en-AU"/>
            </w:rPr>
          </w:pPr>
          <w:hyperlink w:anchor="_Toc138851183" w:history="1">
            <w:r w:rsidRPr="00E13E1D">
              <w:rPr>
                <w:rStyle w:val="Hyperlink"/>
                <w:noProof/>
              </w:rPr>
              <w:t>1.2.2 Benchmark products and prices</w:t>
            </w:r>
            <w:r>
              <w:rPr>
                <w:noProof/>
                <w:webHidden/>
              </w:rPr>
              <w:tab/>
            </w:r>
            <w:r>
              <w:rPr>
                <w:noProof/>
                <w:webHidden/>
              </w:rPr>
              <w:fldChar w:fldCharType="begin"/>
            </w:r>
            <w:r>
              <w:rPr>
                <w:noProof/>
                <w:webHidden/>
              </w:rPr>
              <w:instrText xml:space="preserve"> PAGEREF _Toc138851183 \h </w:instrText>
            </w:r>
            <w:r>
              <w:rPr>
                <w:noProof/>
                <w:webHidden/>
              </w:rPr>
            </w:r>
            <w:r>
              <w:rPr>
                <w:noProof/>
                <w:webHidden/>
              </w:rPr>
              <w:fldChar w:fldCharType="separate"/>
            </w:r>
            <w:r>
              <w:rPr>
                <w:noProof/>
                <w:webHidden/>
              </w:rPr>
              <w:t>6</w:t>
            </w:r>
            <w:r>
              <w:rPr>
                <w:noProof/>
                <w:webHidden/>
              </w:rPr>
              <w:fldChar w:fldCharType="end"/>
            </w:r>
          </w:hyperlink>
        </w:p>
        <w:p w14:paraId="30B448BB" w14:textId="65103E41" w:rsidR="000F6458" w:rsidRDefault="000F6458">
          <w:pPr>
            <w:pStyle w:val="TOC3"/>
            <w:tabs>
              <w:tab w:val="right" w:leader="dot" w:pos="9060"/>
            </w:tabs>
            <w:rPr>
              <w:rFonts w:asciiTheme="minorHAnsi" w:eastAsiaTheme="minorEastAsia" w:hAnsiTheme="minorHAnsi" w:cstheme="minorBidi"/>
              <w:noProof/>
              <w:color w:val="auto"/>
              <w:szCs w:val="22"/>
              <w:lang w:eastAsia="en-AU"/>
            </w:rPr>
          </w:pPr>
          <w:hyperlink w:anchor="_Toc138851184" w:history="1">
            <w:r w:rsidRPr="00E13E1D">
              <w:rPr>
                <w:rStyle w:val="Hyperlink"/>
                <w:noProof/>
              </w:rPr>
              <w:t>1.2.3 Price premium products and prices in Groups 1 to 7</w:t>
            </w:r>
            <w:r>
              <w:rPr>
                <w:noProof/>
                <w:webHidden/>
              </w:rPr>
              <w:tab/>
            </w:r>
            <w:r>
              <w:rPr>
                <w:noProof/>
                <w:webHidden/>
              </w:rPr>
              <w:fldChar w:fldCharType="begin"/>
            </w:r>
            <w:r>
              <w:rPr>
                <w:noProof/>
                <w:webHidden/>
              </w:rPr>
              <w:instrText xml:space="preserve"> PAGEREF _Toc138851184 \h </w:instrText>
            </w:r>
            <w:r>
              <w:rPr>
                <w:noProof/>
                <w:webHidden/>
              </w:rPr>
            </w:r>
            <w:r>
              <w:rPr>
                <w:noProof/>
                <w:webHidden/>
              </w:rPr>
              <w:fldChar w:fldCharType="separate"/>
            </w:r>
            <w:r>
              <w:rPr>
                <w:noProof/>
                <w:webHidden/>
              </w:rPr>
              <w:t>6</w:t>
            </w:r>
            <w:r>
              <w:rPr>
                <w:noProof/>
                <w:webHidden/>
              </w:rPr>
              <w:fldChar w:fldCharType="end"/>
            </w:r>
          </w:hyperlink>
        </w:p>
        <w:p w14:paraId="0F56F21F" w14:textId="66E86D55" w:rsidR="000F6458" w:rsidRDefault="000F6458">
          <w:pPr>
            <w:pStyle w:val="TOC3"/>
            <w:tabs>
              <w:tab w:val="right" w:leader="dot" w:pos="9060"/>
            </w:tabs>
            <w:rPr>
              <w:rFonts w:asciiTheme="minorHAnsi" w:eastAsiaTheme="minorEastAsia" w:hAnsiTheme="minorHAnsi" w:cstheme="minorBidi"/>
              <w:noProof/>
              <w:color w:val="auto"/>
              <w:szCs w:val="22"/>
              <w:lang w:eastAsia="en-AU"/>
            </w:rPr>
          </w:pPr>
          <w:hyperlink w:anchor="_Toc138851185" w:history="1">
            <w:r w:rsidRPr="00E13E1D">
              <w:rPr>
                <w:rStyle w:val="Hyperlink"/>
                <w:noProof/>
              </w:rPr>
              <w:t>1.2.4 Maximum Quantities</w:t>
            </w:r>
            <w:r>
              <w:rPr>
                <w:noProof/>
                <w:webHidden/>
              </w:rPr>
              <w:tab/>
            </w:r>
            <w:r>
              <w:rPr>
                <w:noProof/>
                <w:webHidden/>
              </w:rPr>
              <w:fldChar w:fldCharType="begin"/>
            </w:r>
            <w:r>
              <w:rPr>
                <w:noProof/>
                <w:webHidden/>
              </w:rPr>
              <w:instrText xml:space="preserve"> PAGEREF _Toc138851185 \h </w:instrText>
            </w:r>
            <w:r>
              <w:rPr>
                <w:noProof/>
                <w:webHidden/>
              </w:rPr>
            </w:r>
            <w:r>
              <w:rPr>
                <w:noProof/>
                <w:webHidden/>
              </w:rPr>
              <w:fldChar w:fldCharType="separate"/>
            </w:r>
            <w:r>
              <w:rPr>
                <w:noProof/>
                <w:webHidden/>
              </w:rPr>
              <w:t>6</w:t>
            </w:r>
            <w:r>
              <w:rPr>
                <w:noProof/>
                <w:webHidden/>
              </w:rPr>
              <w:fldChar w:fldCharType="end"/>
            </w:r>
          </w:hyperlink>
        </w:p>
        <w:p w14:paraId="15934DFB" w14:textId="117467FB" w:rsidR="000F6458" w:rsidRDefault="000F6458">
          <w:pPr>
            <w:pStyle w:val="TOC3"/>
            <w:tabs>
              <w:tab w:val="right" w:leader="dot" w:pos="9060"/>
            </w:tabs>
            <w:rPr>
              <w:rFonts w:asciiTheme="minorHAnsi" w:eastAsiaTheme="minorEastAsia" w:hAnsiTheme="minorHAnsi" w:cstheme="minorBidi"/>
              <w:noProof/>
              <w:color w:val="auto"/>
              <w:szCs w:val="22"/>
              <w:lang w:eastAsia="en-AU"/>
            </w:rPr>
          </w:pPr>
          <w:hyperlink w:anchor="_Toc138851186" w:history="1">
            <w:r w:rsidRPr="00E13E1D">
              <w:rPr>
                <w:rStyle w:val="Hyperlink"/>
                <w:noProof/>
              </w:rPr>
              <w:t>1.2.5 The Stoma Product Assessment Panel</w:t>
            </w:r>
            <w:r>
              <w:rPr>
                <w:noProof/>
                <w:webHidden/>
              </w:rPr>
              <w:tab/>
            </w:r>
            <w:r>
              <w:rPr>
                <w:noProof/>
                <w:webHidden/>
              </w:rPr>
              <w:fldChar w:fldCharType="begin"/>
            </w:r>
            <w:r>
              <w:rPr>
                <w:noProof/>
                <w:webHidden/>
              </w:rPr>
              <w:instrText xml:space="preserve"> PAGEREF _Toc138851186 \h </w:instrText>
            </w:r>
            <w:r>
              <w:rPr>
                <w:noProof/>
                <w:webHidden/>
              </w:rPr>
            </w:r>
            <w:r>
              <w:rPr>
                <w:noProof/>
                <w:webHidden/>
              </w:rPr>
              <w:fldChar w:fldCharType="separate"/>
            </w:r>
            <w:r>
              <w:rPr>
                <w:noProof/>
                <w:webHidden/>
              </w:rPr>
              <w:t>6</w:t>
            </w:r>
            <w:r>
              <w:rPr>
                <w:noProof/>
                <w:webHidden/>
              </w:rPr>
              <w:fldChar w:fldCharType="end"/>
            </w:r>
          </w:hyperlink>
        </w:p>
        <w:p w14:paraId="4F234AEF" w14:textId="73171DFC" w:rsidR="000F6458" w:rsidRDefault="000F6458">
          <w:pPr>
            <w:pStyle w:val="TOC1"/>
            <w:tabs>
              <w:tab w:val="right" w:leader="dot" w:pos="9060"/>
            </w:tabs>
            <w:rPr>
              <w:rFonts w:asciiTheme="minorHAnsi" w:eastAsiaTheme="minorEastAsia" w:hAnsiTheme="minorHAnsi" w:cstheme="minorBidi"/>
              <w:noProof/>
              <w:color w:val="auto"/>
              <w:szCs w:val="22"/>
              <w:lang w:eastAsia="en-AU"/>
            </w:rPr>
          </w:pPr>
          <w:hyperlink w:anchor="_Toc138851187" w:history="1">
            <w:r w:rsidRPr="00E13E1D">
              <w:rPr>
                <w:rStyle w:val="Hyperlink"/>
                <w:noProof/>
              </w:rPr>
              <w:t>Part 2 – Application Guidelines and Evidence Requirements</w:t>
            </w:r>
            <w:r>
              <w:rPr>
                <w:noProof/>
                <w:webHidden/>
              </w:rPr>
              <w:tab/>
            </w:r>
            <w:r>
              <w:rPr>
                <w:noProof/>
                <w:webHidden/>
              </w:rPr>
              <w:fldChar w:fldCharType="begin"/>
            </w:r>
            <w:r>
              <w:rPr>
                <w:noProof/>
                <w:webHidden/>
              </w:rPr>
              <w:instrText xml:space="preserve"> PAGEREF _Toc138851187 \h </w:instrText>
            </w:r>
            <w:r>
              <w:rPr>
                <w:noProof/>
                <w:webHidden/>
              </w:rPr>
            </w:r>
            <w:r>
              <w:rPr>
                <w:noProof/>
                <w:webHidden/>
              </w:rPr>
              <w:fldChar w:fldCharType="separate"/>
            </w:r>
            <w:r>
              <w:rPr>
                <w:noProof/>
                <w:webHidden/>
              </w:rPr>
              <w:t>8</w:t>
            </w:r>
            <w:r>
              <w:rPr>
                <w:noProof/>
                <w:webHidden/>
              </w:rPr>
              <w:fldChar w:fldCharType="end"/>
            </w:r>
          </w:hyperlink>
        </w:p>
        <w:p w14:paraId="17FE87DF" w14:textId="7E886641" w:rsidR="000F6458" w:rsidRDefault="000F6458">
          <w:pPr>
            <w:pStyle w:val="TOC2"/>
            <w:rPr>
              <w:rFonts w:asciiTheme="minorHAnsi" w:eastAsiaTheme="minorEastAsia" w:hAnsiTheme="minorHAnsi" w:cstheme="minorBidi"/>
              <w:noProof/>
              <w:color w:val="auto"/>
              <w:szCs w:val="22"/>
              <w:lang w:eastAsia="en-AU"/>
            </w:rPr>
          </w:pPr>
          <w:hyperlink w:anchor="_Toc138851188" w:history="1">
            <w:r w:rsidRPr="00E13E1D">
              <w:rPr>
                <w:rStyle w:val="Hyperlink"/>
                <w:noProof/>
              </w:rPr>
              <w:t>2.1 Who can apply</w:t>
            </w:r>
            <w:r>
              <w:rPr>
                <w:noProof/>
                <w:webHidden/>
              </w:rPr>
              <w:tab/>
            </w:r>
            <w:r>
              <w:rPr>
                <w:noProof/>
                <w:webHidden/>
              </w:rPr>
              <w:fldChar w:fldCharType="begin"/>
            </w:r>
            <w:r>
              <w:rPr>
                <w:noProof/>
                <w:webHidden/>
              </w:rPr>
              <w:instrText xml:space="preserve"> PAGEREF _Toc138851188 \h </w:instrText>
            </w:r>
            <w:r>
              <w:rPr>
                <w:noProof/>
                <w:webHidden/>
              </w:rPr>
            </w:r>
            <w:r>
              <w:rPr>
                <w:noProof/>
                <w:webHidden/>
              </w:rPr>
              <w:fldChar w:fldCharType="separate"/>
            </w:r>
            <w:r>
              <w:rPr>
                <w:noProof/>
                <w:webHidden/>
              </w:rPr>
              <w:t>8</w:t>
            </w:r>
            <w:r>
              <w:rPr>
                <w:noProof/>
                <w:webHidden/>
              </w:rPr>
              <w:fldChar w:fldCharType="end"/>
            </w:r>
          </w:hyperlink>
        </w:p>
        <w:p w14:paraId="1AAF2FB6" w14:textId="640280FB" w:rsidR="000F6458" w:rsidRDefault="000F6458">
          <w:pPr>
            <w:pStyle w:val="TOC2"/>
            <w:rPr>
              <w:rFonts w:asciiTheme="minorHAnsi" w:eastAsiaTheme="minorEastAsia" w:hAnsiTheme="minorHAnsi" w:cstheme="minorBidi"/>
              <w:noProof/>
              <w:color w:val="auto"/>
              <w:szCs w:val="22"/>
              <w:lang w:eastAsia="en-AU"/>
            </w:rPr>
          </w:pPr>
          <w:hyperlink w:anchor="_Toc138851189" w:history="1">
            <w:r w:rsidRPr="00E13E1D">
              <w:rPr>
                <w:rStyle w:val="Hyperlink"/>
                <w:noProof/>
              </w:rPr>
              <w:t>2.2 Products eligible to be listed on the Scheme</w:t>
            </w:r>
            <w:r>
              <w:rPr>
                <w:noProof/>
                <w:webHidden/>
              </w:rPr>
              <w:tab/>
            </w:r>
            <w:r>
              <w:rPr>
                <w:noProof/>
                <w:webHidden/>
              </w:rPr>
              <w:fldChar w:fldCharType="begin"/>
            </w:r>
            <w:r>
              <w:rPr>
                <w:noProof/>
                <w:webHidden/>
              </w:rPr>
              <w:instrText xml:space="preserve"> PAGEREF _Toc138851189 \h </w:instrText>
            </w:r>
            <w:r>
              <w:rPr>
                <w:noProof/>
                <w:webHidden/>
              </w:rPr>
            </w:r>
            <w:r>
              <w:rPr>
                <w:noProof/>
                <w:webHidden/>
              </w:rPr>
              <w:fldChar w:fldCharType="separate"/>
            </w:r>
            <w:r>
              <w:rPr>
                <w:noProof/>
                <w:webHidden/>
              </w:rPr>
              <w:t>8</w:t>
            </w:r>
            <w:r>
              <w:rPr>
                <w:noProof/>
                <w:webHidden/>
              </w:rPr>
              <w:fldChar w:fldCharType="end"/>
            </w:r>
          </w:hyperlink>
        </w:p>
        <w:p w14:paraId="4DC60759" w14:textId="3A97AF5C" w:rsidR="000F6458" w:rsidRDefault="000F6458">
          <w:pPr>
            <w:pStyle w:val="TOC3"/>
            <w:tabs>
              <w:tab w:val="right" w:leader="dot" w:pos="9060"/>
            </w:tabs>
            <w:rPr>
              <w:rFonts w:asciiTheme="minorHAnsi" w:eastAsiaTheme="minorEastAsia" w:hAnsiTheme="minorHAnsi" w:cstheme="minorBidi"/>
              <w:noProof/>
              <w:color w:val="auto"/>
              <w:szCs w:val="22"/>
              <w:lang w:eastAsia="en-AU"/>
            </w:rPr>
          </w:pPr>
          <w:hyperlink w:anchor="_Toc138851190" w:history="1">
            <w:r w:rsidRPr="00E13E1D">
              <w:rPr>
                <w:rStyle w:val="Hyperlink"/>
                <w:noProof/>
              </w:rPr>
              <w:t>2.2.1 Products at the Benchmark Price</w:t>
            </w:r>
            <w:r>
              <w:rPr>
                <w:noProof/>
                <w:webHidden/>
              </w:rPr>
              <w:tab/>
            </w:r>
            <w:r>
              <w:rPr>
                <w:noProof/>
                <w:webHidden/>
              </w:rPr>
              <w:fldChar w:fldCharType="begin"/>
            </w:r>
            <w:r>
              <w:rPr>
                <w:noProof/>
                <w:webHidden/>
              </w:rPr>
              <w:instrText xml:space="preserve"> PAGEREF _Toc138851190 \h </w:instrText>
            </w:r>
            <w:r>
              <w:rPr>
                <w:noProof/>
                <w:webHidden/>
              </w:rPr>
            </w:r>
            <w:r>
              <w:rPr>
                <w:noProof/>
                <w:webHidden/>
              </w:rPr>
              <w:fldChar w:fldCharType="separate"/>
            </w:r>
            <w:r>
              <w:rPr>
                <w:noProof/>
                <w:webHidden/>
              </w:rPr>
              <w:t>9</w:t>
            </w:r>
            <w:r>
              <w:rPr>
                <w:noProof/>
                <w:webHidden/>
              </w:rPr>
              <w:fldChar w:fldCharType="end"/>
            </w:r>
          </w:hyperlink>
        </w:p>
        <w:p w14:paraId="4114BDF2" w14:textId="0630EF2C" w:rsidR="000F6458" w:rsidRDefault="000F6458">
          <w:pPr>
            <w:pStyle w:val="TOC3"/>
            <w:tabs>
              <w:tab w:val="right" w:leader="dot" w:pos="9060"/>
            </w:tabs>
            <w:rPr>
              <w:rFonts w:asciiTheme="minorHAnsi" w:eastAsiaTheme="minorEastAsia" w:hAnsiTheme="minorHAnsi" w:cstheme="minorBidi"/>
              <w:noProof/>
              <w:color w:val="auto"/>
              <w:szCs w:val="22"/>
              <w:lang w:eastAsia="en-AU"/>
            </w:rPr>
          </w:pPr>
          <w:hyperlink w:anchor="_Toc138851191" w:history="1">
            <w:r w:rsidRPr="00E13E1D">
              <w:rPr>
                <w:rStyle w:val="Hyperlink"/>
                <w:noProof/>
              </w:rPr>
              <w:t>2.2.2 Price Premium Products</w:t>
            </w:r>
            <w:r>
              <w:rPr>
                <w:noProof/>
                <w:webHidden/>
              </w:rPr>
              <w:tab/>
            </w:r>
            <w:r>
              <w:rPr>
                <w:noProof/>
                <w:webHidden/>
              </w:rPr>
              <w:fldChar w:fldCharType="begin"/>
            </w:r>
            <w:r>
              <w:rPr>
                <w:noProof/>
                <w:webHidden/>
              </w:rPr>
              <w:instrText xml:space="preserve"> PAGEREF _Toc138851191 \h </w:instrText>
            </w:r>
            <w:r>
              <w:rPr>
                <w:noProof/>
                <w:webHidden/>
              </w:rPr>
            </w:r>
            <w:r>
              <w:rPr>
                <w:noProof/>
                <w:webHidden/>
              </w:rPr>
              <w:fldChar w:fldCharType="separate"/>
            </w:r>
            <w:r>
              <w:rPr>
                <w:noProof/>
                <w:webHidden/>
              </w:rPr>
              <w:t>9</w:t>
            </w:r>
            <w:r>
              <w:rPr>
                <w:noProof/>
                <w:webHidden/>
              </w:rPr>
              <w:fldChar w:fldCharType="end"/>
            </w:r>
          </w:hyperlink>
        </w:p>
        <w:p w14:paraId="53C7B3DF" w14:textId="4AFF6978" w:rsidR="000F6458" w:rsidRDefault="000F6458">
          <w:pPr>
            <w:pStyle w:val="TOC2"/>
            <w:rPr>
              <w:rFonts w:asciiTheme="minorHAnsi" w:eastAsiaTheme="minorEastAsia" w:hAnsiTheme="minorHAnsi" w:cstheme="minorBidi"/>
              <w:noProof/>
              <w:color w:val="auto"/>
              <w:szCs w:val="22"/>
              <w:lang w:eastAsia="en-AU"/>
            </w:rPr>
          </w:pPr>
          <w:hyperlink w:anchor="_Toc138851192" w:history="1">
            <w:r w:rsidRPr="00E13E1D">
              <w:rPr>
                <w:rStyle w:val="Hyperlink"/>
                <w:noProof/>
              </w:rPr>
              <w:t>2.3 Application to List Products</w:t>
            </w:r>
            <w:r>
              <w:rPr>
                <w:noProof/>
                <w:webHidden/>
              </w:rPr>
              <w:tab/>
            </w:r>
            <w:r>
              <w:rPr>
                <w:noProof/>
                <w:webHidden/>
              </w:rPr>
              <w:fldChar w:fldCharType="begin"/>
            </w:r>
            <w:r>
              <w:rPr>
                <w:noProof/>
                <w:webHidden/>
              </w:rPr>
              <w:instrText xml:space="preserve"> PAGEREF _Toc138851192 \h </w:instrText>
            </w:r>
            <w:r>
              <w:rPr>
                <w:noProof/>
                <w:webHidden/>
              </w:rPr>
            </w:r>
            <w:r>
              <w:rPr>
                <w:noProof/>
                <w:webHidden/>
              </w:rPr>
              <w:fldChar w:fldCharType="separate"/>
            </w:r>
            <w:r>
              <w:rPr>
                <w:noProof/>
                <w:webHidden/>
              </w:rPr>
              <w:t>9</w:t>
            </w:r>
            <w:r>
              <w:rPr>
                <w:noProof/>
                <w:webHidden/>
              </w:rPr>
              <w:fldChar w:fldCharType="end"/>
            </w:r>
          </w:hyperlink>
        </w:p>
        <w:p w14:paraId="2F4C4C60" w14:textId="02E8AA22" w:rsidR="000F6458" w:rsidRDefault="000F6458">
          <w:pPr>
            <w:pStyle w:val="TOC3"/>
            <w:tabs>
              <w:tab w:val="right" w:leader="dot" w:pos="9060"/>
            </w:tabs>
            <w:rPr>
              <w:rFonts w:asciiTheme="minorHAnsi" w:eastAsiaTheme="minorEastAsia" w:hAnsiTheme="minorHAnsi" w:cstheme="minorBidi"/>
              <w:noProof/>
              <w:color w:val="auto"/>
              <w:szCs w:val="22"/>
              <w:lang w:eastAsia="en-AU"/>
            </w:rPr>
          </w:pPr>
          <w:hyperlink w:anchor="_Toc138851193" w:history="1">
            <w:r w:rsidRPr="00E13E1D">
              <w:rPr>
                <w:rStyle w:val="Hyperlink"/>
                <w:noProof/>
              </w:rPr>
              <w:t>2.3.1 Benchmark Listing and Price Premium Applications</w:t>
            </w:r>
            <w:r>
              <w:rPr>
                <w:noProof/>
                <w:webHidden/>
              </w:rPr>
              <w:tab/>
            </w:r>
            <w:r>
              <w:rPr>
                <w:noProof/>
                <w:webHidden/>
              </w:rPr>
              <w:fldChar w:fldCharType="begin"/>
            </w:r>
            <w:r>
              <w:rPr>
                <w:noProof/>
                <w:webHidden/>
              </w:rPr>
              <w:instrText xml:space="preserve"> PAGEREF _Toc138851193 \h </w:instrText>
            </w:r>
            <w:r>
              <w:rPr>
                <w:noProof/>
                <w:webHidden/>
              </w:rPr>
            </w:r>
            <w:r>
              <w:rPr>
                <w:noProof/>
                <w:webHidden/>
              </w:rPr>
              <w:fldChar w:fldCharType="separate"/>
            </w:r>
            <w:r>
              <w:rPr>
                <w:noProof/>
                <w:webHidden/>
              </w:rPr>
              <w:t>9</w:t>
            </w:r>
            <w:r>
              <w:rPr>
                <w:noProof/>
                <w:webHidden/>
              </w:rPr>
              <w:fldChar w:fldCharType="end"/>
            </w:r>
          </w:hyperlink>
        </w:p>
        <w:p w14:paraId="1D1ADAF7" w14:textId="6102A672" w:rsidR="000F6458" w:rsidRDefault="000F6458">
          <w:pPr>
            <w:pStyle w:val="TOC3"/>
            <w:tabs>
              <w:tab w:val="right" w:leader="dot" w:pos="9060"/>
            </w:tabs>
            <w:rPr>
              <w:rFonts w:asciiTheme="minorHAnsi" w:eastAsiaTheme="minorEastAsia" w:hAnsiTheme="minorHAnsi" w:cstheme="minorBidi"/>
              <w:noProof/>
              <w:color w:val="auto"/>
              <w:szCs w:val="22"/>
              <w:lang w:eastAsia="en-AU"/>
            </w:rPr>
          </w:pPr>
          <w:hyperlink w:anchor="_Toc138851194" w:history="1">
            <w:r w:rsidRPr="00E13E1D">
              <w:rPr>
                <w:rStyle w:val="Hyperlink"/>
                <w:noProof/>
              </w:rPr>
              <w:t>2.3.2 Completing a new application</w:t>
            </w:r>
            <w:r>
              <w:rPr>
                <w:noProof/>
                <w:webHidden/>
              </w:rPr>
              <w:tab/>
            </w:r>
            <w:r>
              <w:rPr>
                <w:noProof/>
                <w:webHidden/>
              </w:rPr>
              <w:fldChar w:fldCharType="begin"/>
            </w:r>
            <w:r>
              <w:rPr>
                <w:noProof/>
                <w:webHidden/>
              </w:rPr>
              <w:instrText xml:space="preserve"> PAGEREF _Toc138851194 \h </w:instrText>
            </w:r>
            <w:r>
              <w:rPr>
                <w:noProof/>
                <w:webHidden/>
              </w:rPr>
            </w:r>
            <w:r>
              <w:rPr>
                <w:noProof/>
                <w:webHidden/>
              </w:rPr>
              <w:fldChar w:fldCharType="separate"/>
            </w:r>
            <w:r>
              <w:rPr>
                <w:noProof/>
                <w:webHidden/>
              </w:rPr>
              <w:t>9</w:t>
            </w:r>
            <w:r>
              <w:rPr>
                <w:noProof/>
                <w:webHidden/>
              </w:rPr>
              <w:fldChar w:fldCharType="end"/>
            </w:r>
          </w:hyperlink>
        </w:p>
        <w:p w14:paraId="2A4EF246" w14:textId="1618581A" w:rsidR="000F6458" w:rsidRDefault="000F6458">
          <w:pPr>
            <w:pStyle w:val="TOC2"/>
            <w:rPr>
              <w:rFonts w:asciiTheme="minorHAnsi" w:eastAsiaTheme="minorEastAsia" w:hAnsiTheme="minorHAnsi" w:cstheme="minorBidi"/>
              <w:noProof/>
              <w:color w:val="auto"/>
              <w:szCs w:val="22"/>
              <w:lang w:eastAsia="en-AU"/>
            </w:rPr>
          </w:pPr>
          <w:hyperlink w:anchor="_Toc138851195" w:history="1">
            <w:r w:rsidRPr="00E13E1D">
              <w:rPr>
                <w:rStyle w:val="Hyperlink"/>
                <w:noProof/>
              </w:rPr>
              <w:t>2.4 Application to Vary a Listing</w:t>
            </w:r>
            <w:r>
              <w:rPr>
                <w:noProof/>
                <w:webHidden/>
              </w:rPr>
              <w:tab/>
            </w:r>
            <w:r>
              <w:rPr>
                <w:noProof/>
                <w:webHidden/>
              </w:rPr>
              <w:fldChar w:fldCharType="begin"/>
            </w:r>
            <w:r>
              <w:rPr>
                <w:noProof/>
                <w:webHidden/>
              </w:rPr>
              <w:instrText xml:space="preserve"> PAGEREF _Toc138851195 \h </w:instrText>
            </w:r>
            <w:r>
              <w:rPr>
                <w:noProof/>
                <w:webHidden/>
              </w:rPr>
            </w:r>
            <w:r>
              <w:rPr>
                <w:noProof/>
                <w:webHidden/>
              </w:rPr>
              <w:fldChar w:fldCharType="separate"/>
            </w:r>
            <w:r>
              <w:rPr>
                <w:noProof/>
                <w:webHidden/>
              </w:rPr>
              <w:t>13</w:t>
            </w:r>
            <w:r>
              <w:rPr>
                <w:noProof/>
                <w:webHidden/>
              </w:rPr>
              <w:fldChar w:fldCharType="end"/>
            </w:r>
          </w:hyperlink>
        </w:p>
        <w:p w14:paraId="31B13847" w14:textId="5E968FA0" w:rsidR="000F6458" w:rsidRDefault="000F6458">
          <w:pPr>
            <w:pStyle w:val="TOC3"/>
            <w:tabs>
              <w:tab w:val="right" w:leader="dot" w:pos="9060"/>
            </w:tabs>
            <w:rPr>
              <w:rFonts w:asciiTheme="minorHAnsi" w:eastAsiaTheme="minorEastAsia" w:hAnsiTheme="minorHAnsi" w:cstheme="minorBidi"/>
              <w:noProof/>
              <w:color w:val="auto"/>
              <w:szCs w:val="22"/>
              <w:lang w:eastAsia="en-AU"/>
            </w:rPr>
          </w:pPr>
          <w:hyperlink w:anchor="_Toc138851196" w:history="1">
            <w:r w:rsidRPr="00E13E1D">
              <w:rPr>
                <w:rStyle w:val="Hyperlink"/>
                <w:noProof/>
              </w:rPr>
              <w:t>2.4.1 Completing the Application to Vary a Listing form</w:t>
            </w:r>
            <w:r>
              <w:rPr>
                <w:noProof/>
                <w:webHidden/>
              </w:rPr>
              <w:tab/>
            </w:r>
            <w:r>
              <w:rPr>
                <w:noProof/>
                <w:webHidden/>
              </w:rPr>
              <w:fldChar w:fldCharType="begin"/>
            </w:r>
            <w:r>
              <w:rPr>
                <w:noProof/>
                <w:webHidden/>
              </w:rPr>
              <w:instrText xml:space="preserve"> PAGEREF _Toc138851196 \h </w:instrText>
            </w:r>
            <w:r>
              <w:rPr>
                <w:noProof/>
                <w:webHidden/>
              </w:rPr>
            </w:r>
            <w:r>
              <w:rPr>
                <w:noProof/>
                <w:webHidden/>
              </w:rPr>
              <w:fldChar w:fldCharType="separate"/>
            </w:r>
            <w:r>
              <w:rPr>
                <w:noProof/>
                <w:webHidden/>
              </w:rPr>
              <w:t>13</w:t>
            </w:r>
            <w:r>
              <w:rPr>
                <w:noProof/>
                <w:webHidden/>
              </w:rPr>
              <w:fldChar w:fldCharType="end"/>
            </w:r>
          </w:hyperlink>
        </w:p>
        <w:p w14:paraId="76C8D541" w14:textId="7714B6E4" w:rsidR="000F6458" w:rsidRDefault="000F6458">
          <w:pPr>
            <w:pStyle w:val="TOC2"/>
            <w:rPr>
              <w:rFonts w:asciiTheme="minorHAnsi" w:eastAsiaTheme="minorEastAsia" w:hAnsiTheme="minorHAnsi" w:cstheme="minorBidi"/>
              <w:noProof/>
              <w:color w:val="auto"/>
              <w:szCs w:val="22"/>
              <w:lang w:eastAsia="en-AU"/>
            </w:rPr>
          </w:pPr>
          <w:hyperlink w:anchor="_Toc138851197" w:history="1">
            <w:r w:rsidRPr="00E13E1D">
              <w:rPr>
                <w:rStyle w:val="Hyperlink"/>
                <w:noProof/>
              </w:rPr>
              <w:t>2.5 Application to Delete a Listing</w:t>
            </w:r>
            <w:r>
              <w:rPr>
                <w:noProof/>
                <w:webHidden/>
              </w:rPr>
              <w:tab/>
            </w:r>
            <w:r>
              <w:rPr>
                <w:noProof/>
                <w:webHidden/>
              </w:rPr>
              <w:fldChar w:fldCharType="begin"/>
            </w:r>
            <w:r>
              <w:rPr>
                <w:noProof/>
                <w:webHidden/>
              </w:rPr>
              <w:instrText xml:space="preserve"> PAGEREF _Toc138851197 \h </w:instrText>
            </w:r>
            <w:r>
              <w:rPr>
                <w:noProof/>
                <w:webHidden/>
              </w:rPr>
            </w:r>
            <w:r>
              <w:rPr>
                <w:noProof/>
                <w:webHidden/>
              </w:rPr>
              <w:fldChar w:fldCharType="separate"/>
            </w:r>
            <w:r>
              <w:rPr>
                <w:noProof/>
                <w:webHidden/>
              </w:rPr>
              <w:t>13</w:t>
            </w:r>
            <w:r>
              <w:rPr>
                <w:noProof/>
                <w:webHidden/>
              </w:rPr>
              <w:fldChar w:fldCharType="end"/>
            </w:r>
          </w:hyperlink>
        </w:p>
        <w:p w14:paraId="11AA1A2C" w14:textId="28C07A60" w:rsidR="000F6458" w:rsidRDefault="000F6458">
          <w:pPr>
            <w:pStyle w:val="TOC3"/>
            <w:tabs>
              <w:tab w:val="right" w:leader="dot" w:pos="9060"/>
            </w:tabs>
            <w:rPr>
              <w:rFonts w:asciiTheme="minorHAnsi" w:eastAsiaTheme="minorEastAsia" w:hAnsiTheme="minorHAnsi" w:cstheme="minorBidi"/>
              <w:noProof/>
              <w:color w:val="auto"/>
              <w:szCs w:val="22"/>
              <w:lang w:eastAsia="en-AU"/>
            </w:rPr>
          </w:pPr>
          <w:hyperlink w:anchor="_Toc138851198" w:history="1">
            <w:r w:rsidRPr="00E13E1D">
              <w:rPr>
                <w:rStyle w:val="Hyperlink"/>
                <w:noProof/>
              </w:rPr>
              <w:t>2.5.1 Completing the Application to Delete a Listing form</w:t>
            </w:r>
            <w:r>
              <w:rPr>
                <w:noProof/>
                <w:webHidden/>
              </w:rPr>
              <w:tab/>
            </w:r>
            <w:r>
              <w:rPr>
                <w:noProof/>
                <w:webHidden/>
              </w:rPr>
              <w:fldChar w:fldCharType="begin"/>
            </w:r>
            <w:r>
              <w:rPr>
                <w:noProof/>
                <w:webHidden/>
              </w:rPr>
              <w:instrText xml:space="preserve"> PAGEREF _Toc138851198 \h </w:instrText>
            </w:r>
            <w:r>
              <w:rPr>
                <w:noProof/>
                <w:webHidden/>
              </w:rPr>
            </w:r>
            <w:r>
              <w:rPr>
                <w:noProof/>
                <w:webHidden/>
              </w:rPr>
              <w:fldChar w:fldCharType="separate"/>
            </w:r>
            <w:r>
              <w:rPr>
                <w:noProof/>
                <w:webHidden/>
              </w:rPr>
              <w:t>14</w:t>
            </w:r>
            <w:r>
              <w:rPr>
                <w:noProof/>
                <w:webHidden/>
              </w:rPr>
              <w:fldChar w:fldCharType="end"/>
            </w:r>
          </w:hyperlink>
        </w:p>
        <w:p w14:paraId="45BAD1B1" w14:textId="5C013E74" w:rsidR="000F6458" w:rsidRDefault="000F6458">
          <w:pPr>
            <w:pStyle w:val="TOC2"/>
            <w:rPr>
              <w:rFonts w:asciiTheme="minorHAnsi" w:eastAsiaTheme="minorEastAsia" w:hAnsiTheme="minorHAnsi" w:cstheme="minorBidi"/>
              <w:noProof/>
              <w:color w:val="auto"/>
              <w:szCs w:val="22"/>
              <w:lang w:eastAsia="en-AU"/>
            </w:rPr>
          </w:pPr>
          <w:hyperlink w:anchor="_Toc138851199" w:history="1">
            <w:r w:rsidRPr="00E13E1D">
              <w:rPr>
                <w:rStyle w:val="Hyperlink"/>
                <w:noProof/>
              </w:rPr>
              <w:t>2.6 Lodging an application</w:t>
            </w:r>
            <w:r>
              <w:rPr>
                <w:noProof/>
                <w:webHidden/>
              </w:rPr>
              <w:tab/>
            </w:r>
            <w:r>
              <w:rPr>
                <w:noProof/>
                <w:webHidden/>
              </w:rPr>
              <w:fldChar w:fldCharType="begin"/>
            </w:r>
            <w:r>
              <w:rPr>
                <w:noProof/>
                <w:webHidden/>
              </w:rPr>
              <w:instrText xml:space="preserve"> PAGEREF _Toc138851199 \h </w:instrText>
            </w:r>
            <w:r>
              <w:rPr>
                <w:noProof/>
                <w:webHidden/>
              </w:rPr>
            </w:r>
            <w:r>
              <w:rPr>
                <w:noProof/>
                <w:webHidden/>
              </w:rPr>
              <w:fldChar w:fldCharType="separate"/>
            </w:r>
            <w:r>
              <w:rPr>
                <w:noProof/>
                <w:webHidden/>
              </w:rPr>
              <w:t>14</w:t>
            </w:r>
            <w:r>
              <w:rPr>
                <w:noProof/>
                <w:webHidden/>
              </w:rPr>
              <w:fldChar w:fldCharType="end"/>
            </w:r>
          </w:hyperlink>
        </w:p>
        <w:p w14:paraId="2B0B469F" w14:textId="06835DE7" w:rsidR="000F6458" w:rsidRDefault="000F6458">
          <w:pPr>
            <w:pStyle w:val="TOC3"/>
            <w:tabs>
              <w:tab w:val="right" w:leader="dot" w:pos="9060"/>
            </w:tabs>
            <w:rPr>
              <w:rFonts w:asciiTheme="minorHAnsi" w:eastAsiaTheme="minorEastAsia" w:hAnsiTheme="minorHAnsi" w:cstheme="minorBidi"/>
              <w:noProof/>
              <w:color w:val="auto"/>
              <w:szCs w:val="22"/>
              <w:lang w:eastAsia="en-AU"/>
            </w:rPr>
          </w:pPr>
          <w:hyperlink w:anchor="_Toc138851200" w:history="1">
            <w:r w:rsidRPr="00E13E1D">
              <w:rPr>
                <w:rStyle w:val="Hyperlink"/>
                <w:noProof/>
              </w:rPr>
              <w:t>2.6.1 When to submit an application</w:t>
            </w:r>
            <w:r>
              <w:rPr>
                <w:noProof/>
                <w:webHidden/>
              </w:rPr>
              <w:tab/>
            </w:r>
            <w:r>
              <w:rPr>
                <w:noProof/>
                <w:webHidden/>
              </w:rPr>
              <w:fldChar w:fldCharType="begin"/>
            </w:r>
            <w:r>
              <w:rPr>
                <w:noProof/>
                <w:webHidden/>
              </w:rPr>
              <w:instrText xml:space="preserve"> PAGEREF _Toc138851200 \h </w:instrText>
            </w:r>
            <w:r>
              <w:rPr>
                <w:noProof/>
                <w:webHidden/>
              </w:rPr>
            </w:r>
            <w:r>
              <w:rPr>
                <w:noProof/>
                <w:webHidden/>
              </w:rPr>
              <w:fldChar w:fldCharType="separate"/>
            </w:r>
            <w:r>
              <w:rPr>
                <w:noProof/>
                <w:webHidden/>
              </w:rPr>
              <w:t>14</w:t>
            </w:r>
            <w:r>
              <w:rPr>
                <w:noProof/>
                <w:webHidden/>
              </w:rPr>
              <w:fldChar w:fldCharType="end"/>
            </w:r>
          </w:hyperlink>
        </w:p>
        <w:p w14:paraId="6AA11B00" w14:textId="5486F899" w:rsidR="000F6458" w:rsidRDefault="000F6458">
          <w:pPr>
            <w:pStyle w:val="TOC3"/>
            <w:tabs>
              <w:tab w:val="right" w:leader="dot" w:pos="9060"/>
            </w:tabs>
            <w:rPr>
              <w:rFonts w:asciiTheme="minorHAnsi" w:eastAsiaTheme="minorEastAsia" w:hAnsiTheme="minorHAnsi" w:cstheme="minorBidi"/>
              <w:noProof/>
              <w:color w:val="auto"/>
              <w:szCs w:val="22"/>
              <w:lang w:eastAsia="en-AU"/>
            </w:rPr>
          </w:pPr>
          <w:hyperlink w:anchor="_Toc138851201" w:history="1">
            <w:r w:rsidRPr="00E13E1D">
              <w:rPr>
                <w:rStyle w:val="Hyperlink"/>
                <w:noProof/>
              </w:rPr>
              <w:t>2.6.2 Lodgement</w:t>
            </w:r>
            <w:r>
              <w:rPr>
                <w:noProof/>
                <w:webHidden/>
              </w:rPr>
              <w:tab/>
            </w:r>
            <w:r>
              <w:rPr>
                <w:noProof/>
                <w:webHidden/>
              </w:rPr>
              <w:fldChar w:fldCharType="begin"/>
            </w:r>
            <w:r>
              <w:rPr>
                <w:noProof/>
                <w:webHidden/>
              </w:rPr>
              <w:instrText xml:space="preserve"> PAGEREF _Toc138851201 \h </w:instrText>
            </w:r>
            <w:r>
              <w:rPr>
                <w:noProof/>
                <w:webHidden/>
              </w:rPr>
            </w:r>
            <w:r>
              <w:rPr>
                <w:noProof/>
                <w:webHidden/>
              </w:rPr>
              <w:fldChar w:fldCharType="separate"/>
            </w:r>
            <w:r>
              <w:rPr>
                <w:noProof/>
                <w:webHidden/>
              </w:rPr>
              <w:t>15</w:t>
            </w:r>
            <w:r>
              <w:rPr>
                <w:noProof/>
                <w:webHidden/>
              </w:rPr>
              <w:fldChar w:fldCharType="end"/>
            </w:r>
          </w:hyperlink>
        </w:p>
        <w:p w14:paraId="4195B5A7" w14:textId="487B90CE" w:rsidR="000F6458" w:rsidRDefault="000F6458">
          <w:pPr>
            <w:pStyle w:val="TOC1"/>
            <w:tabs>
              <w:tab w:val="right" w:leader="dot" w:pos="9060"/>
            </w:tabs>
            <w:rPr>
              <w:rFonts w:asciiTheme="minorHAnsi" w:eastAsiaTheme="minorEastAsia" w:hAnsiTheme="minorHAnsi" w:cstheme="minorBidi"/>
              <w:noProof/>
              <w:color w:val="auto"/>
              <w:szCs w:val="22"/>
              <w:lang w:eastAsia="en-AU"/>
            </w:rPr>
          </w:pPr>
          <w:hyperlink w:anchor="_Toc138851202" w:history="1">
            <w:r w:rsidRPr="00E13E1D">
              <w:rPr>
                <w:rStyle w:val="Hyperlink"/>
                <w:noProof/>
              </w:rPr>
              <w:t>Part 3 – Assessment Guidelines</w:t>
            </w:r>
            <w:r>
              <w:rPr>
                <w:noProof/>
                <w:webHidden/>
              </w:rPr>
              <w:tab/>
            </w:r>
            <w:r>
              <w:rPr>
                <w:noProof/>
                <w:webHidden/>
              </w:rPr>
              <w:fldChar w:fldCharType="begin"/>
            </w:r>
            <w:r>
              <w:rPr>
                <w:noProof/>
                <w:webHidden/>
              </w:rPr>
              <w:instrText xml:space="preserve"> PAGEREF _Toc138851202 \h </w:instrText>
            </w:r>
            <w:r>
              <w:rPr>
                <w:noProof/>
                <w:webHidden/>
              </w:rPr>
            </w:r>
            <w:r>
              <w:rPr>
                <w:noProof/>
                <w:webHidden/>
              </w:rPr>
              <w:fldChar w:fldCharType="separate"/>
            </w:r>
            <w:r>
              <w:rPr>
                <w:noProof/>
                <w:webHidden/>
              </w:rPr>
              <w:t>16</w:t>
            </w:r>
            <w:r>
              <w:rPr>
                <w:noProof/>
                <w:webHidden/>
              </w:rPr>
              <w:fldChar w:fldCharType="end"/>
            </w:r>
          </w:hyperlink>
        </w:p>
        <w:p w14:paraId="27669BAA" w14:textId="1A622753" w:rsidR="000F6458" w:rsidRDefault="000F6458">
          <w:pPr>
            <w:pStyle w:val="TOC2"/>
            <w:rPr>
              <w:rFonts w:asciiTheme="minorHAnsi" w:eastAsiaTheme="minorEastAsia" w:hAnsiTheme="minorHAnsi" w:cstheme="minorBidi"/>
              <w:noProof/>
              <w:color w:val="auto"/>
              <w:szCs w:val="22"/>
              <w:lang w:eastAsia="en-AU"/>
            </w:rPr>
          </w:pPr>
          <w:hyperlink w:anchor="_Toc138851203" w:history="1">
            <w:r w:rsidRPr="00E13E1D">
              <w:rPr>
                <w:rStyle w:val="Hyperlink"/>
                <w:noProof/>
              </w:rPr>
              <w:t>3.1 Introduction</w:t>
            </w:r>
            <w:r>
              <w:rPr>
                <w:noProof/>
                <w:webHidden/>
              </w:rPr>
              <w:tab/>
            </w:r>
            <w:r>
              <w:rPr>
                <w:noProof/>
                <w:webHidden/>
              </w:rPr>
              <w:fldChar w:fldCharType="begin"/>
            </w:r>
            <w:r>
              <w:rPr>
                <w:noProof/>
                <w:webHidden/>
              </w:rPr>
              <w:instrText xml:space="preserve"> PAGEREF _Toc138851203 \h </w:instrText>
            </w:r>
            <w:r>
              <w:rPr>
                <w:noProof/>
                <w:webHidden/>
              </w:rPr>
            </w:r>
            <w:r>
              <w:rPr>
                <w:noProof/>
                <w:webHidden/>
              </w:rPr>
              <w:fldChar w:fldCharType="separate"/>
            </w:r>
            <w:r>
              <w:rPr>
                <w:noProof/>
                <w:webHidden/>
              </w:rPr>
              <w:t>16</w:t>
            </w:r>
            <w:r>
              <w:rPr>
                <w:noProof/>
                <w:webHidden/>
              </w:rPr>
              <w:fldChar w:fldCharType="end"/>
            </w:r>
          </w:hyperlink>
        </w:p>
        <w:p w14:paraId="266E93FD" w14:textId="6BB82AB8" w:rsidR="000F6458" w:rsidRDefault="000F6458">
          <w:pPr>
            <w:pStyle w:val="TOC2"/>
            <w:rPr>
              <w:rFonts w:asciiTheme="minorHAnsi" w:eastAsiaTheme="minorEastAsia" w:hAnsiTheme="minorHAnsi" w:cstheme="minorBidi"/>
              <w:noProof/>
              <w:color w:val="auto"/>
              <w:szCs w:val="22"/>
              <w:lang w:eastAsia="en-AU"/>
            </w:rPr>
          </w:pPr>
          <w:hyperlink w:anchor="_Toc138851204" w:history="1">
            <w:r w:rsidRPr="00E13E1D">
              <w:rPr>
                <w:rStyle w:val="Hyperlink"/>
                <w:noProof/>
              </w:rPr>
              <w:t>3.2 Assessment by SPAP</w:t>
            </w:r>
            <w:r>
              <w:rPr>
                <w:noProof/>
                <w:webHidden/>
              </w:rPr>
              <w:tab/>
            </w:r>
            <w:r>
              <w:rPr>
                <w:noProof/>
                <w:webHidden/>
              </w:rPr>
              <w:fldChar w:fldCharType="begin"/>
            </w:r>
            <w:r>
              <w:rPr>
                <w:noProof/>
                <w:webHidden/>
              </w:rPr>
              <w:instrText xml:space="preserve"> PAGEREF _Toc138851204 \h </w:instrText>
            </w:r>
            <w:r>
              <w:rPr>
                <w:noProof/>
                <w:webHidden/>
              </w:rPr>
            </w:r>
            <w:r>
              <w:rPr>
                <w:noProof/>
                <w:webHidden/>
              </w:rPr>
              <w:fldChar w:fldCharType="separate"/>
            </w:r>
            <w:r>
              <w:rPr>
                <w:noProof/>
                <w:webHidden/>
              </w:rPr>
              <w:t>16</w:t>
            </w:r>
            <w:r>
              <w:rPr>
                <w:noProof/>
                <w:webHidden/>
              </w:rPr>
              <w:fldChar w:fldCharType="end"/>
            </w:r>
          </w:hyperlink>
        </w:p>
        <w:p w14:paraId="7B301278" w14:textId="13CD38E6" w:rsidR="000F6458" w:rsidRDefault="000F6458">
          <w:pPr>
            <w:pStyle w:val="TOC3"/>
            <w:tabs>
              <w:tab w:val="right" w:leader="dot" w:pos="9060"/>
            </w:tabs>
            <w:rPr>
              <w:rFonts w:asciiTheme="minorHAnsi" w:eastAsiaTheme="minorEastAsia" w:hAnsiTheme="minorHAnsi" w:cstheme="minorBidi"/>
              <w:noProof/>
              <w:color w:val="auto"/>
              <w:szCs w:val="22"/>
              <w:lang w:eastAsia="en-AU"/>
            </w:rPr>
          </w:pPr>
          <w:hyperlink w:anchor="_Toc138851205" w:history="1">
            <w:r w:rsidRPr="00E13E1D">
              <w:rPr>
                <w:rStyle w:val="Hyperlink"/>
                <w:noProof/>
              </w:rPr>
              <w:t>3.2.1 Assessment process</w:t>
            </w:r>
            <w:r>
              <w:rPr>
                <w:noProof/>
                <w:webHidden/>
              </w:rPr>
              <w:tab/>
            </w:r>
            <w:r>
              <w:rPr>
                <w:noProof/>
                <w:webHidden/>
              </w:rPr>
              <w:fldChar w:fldCharType="begin"/>
            </w:r>
            <w:r>
              <w:rPr>
                <w:noProof/>
                <w:webHidden/>
              </w:rPr>
              <w:instrText xml:space="preserve"> PAGEREF _Toc138851205 \h </w:instrText>
            </w:r>
            <w:r>
              <w:rPr>
                <w:noProof/>
                <w:webHidden/>
              </w:rPr>
            </w:r>
            <w:r>
              <w:rPr>
                <w:noProof/>
                <w:webHidden/>
              </w:rPr>
              <w:fldChar w:fldCharType="separate"/>
            </w:r>
            <w:r>
              <w:rPr>
                <w:noProof/>
                <w:webHidden/>
              </w:rPr>
              <w:t>16</w:t>
            </w:r>
            <w:r>
              <w:rPr>
                <w:noProof/>
                <w:webHidden/>
              </w:rPr>
              <w:fldChar w:fldCharType="end"/>
            </w:r>
          </w:hyperlink>
        </w:p>
        <w:p w14:paraId="7E418352" w14:textId="6EB01EC3" w:rsidR="000F6458" w:rsidRDefault="000F6458">
          <w:pPr>
            <w:pStyle w:val="TOC3"/>
            <w:tabs>
              <w:tab w:val="right" w:leader="dot" w:pos="9060"/>
            </w:tabs>
            <w:rPr>
              <w:rFonts w:asciiTheme="minorHAnsi" w:eastAsiaTheme="minorEastAsia" w:hAnsiTheme="minorHAnsi" w:cstheme="minorBidi"/>
              <w:noProof/>
              <w:color w:val="auto"/>
              <w:szCs w:val="22"/>
              <w:lang w:eastAsia="en-AU"/>
            </w:rPr>
          </w:pPr>
          <w:hyperlink w:anchor="_Toc138851206" w:history="1">
            <w:r w:rsidRPr="00E13E1D">
              <w:rPr>
                <w:rStyle w:val="Hyperlink"/>
                <w:noProof/>
              </w:rPr>
              <w:t>3.2.2 Assessment questions</w:t>
            </w:r>
            <w:r>
              <w:rPr>
                <w:noProof/>
                <w:webHidden/>
              </w:rPr>
              <w:tab/>
            </w:r>
            <w:r>
              <w:rPr>
                <w:noProof/>
                <w:webHidden/>
              </w:rPr>
              <w:fldChar w:fldCharType="begin"/>
            </w:r>
            <w:r>
              <w:rPr>
                <w:noProof/>
                <w:webHidden/>
              </w:rPr>
              <w:instrText xml:space="preserve"> PAGEREF _Toc138851206 \h </w:instrText>
            </w:r>
            <w:r>
              <w:rPr>
                <w:noProof/>
                <w:webHidden/>
              </w:rPr>
            </w:r>
            <w:r>
              <w:rPr>
                <w:noProof/>
                <w:webHidden/>
              </w:rPr>
              <w:fldChar w:fldCharType="separate"/>
            </w:r>
            <w:r>
              <w:rPr>
                <w:noProof/>
                <w:webHidden/>
              </w:rPr>
              <w:t>17</w:t>
            </w:r>
            <w:r>
              <w:rPr>
                <w:noProof/>
                <w:webHidden/>
              </w:rPr>
              <w:fldChar w:fldCharType="end"/>
            </w:r>
          </w:hyperlink>
        </w:p>
        <w:p w14:paraId="3257D933" w14:textId="2114738C" w:rsidR="000F6458" w:rsidRDefault="000F6458">
          <w:pPr>
            <w:pStyle w:val="TOC3"/>
            <w:tabs>
              <w:tab w:val="right" w:leader="dot" w:pos="9060"/>
            </w:tabs>
            <w:rPr>
              <w:rFonts w:asciiTheme="minorHAnsi" w:eastAsiaTheme="minorEastAsia" w:hAnsiTheme="minorHAnsi" w:cstheme="minorBidi"/>
              <w:noProof/>
              <w:color w:val="auto"/>
              <w:szCs w:val="22"/>
              <w:lang w:eastAsia="en-AU"/>
            </w:rPr>
          </w:pPr>
          <w:hyperlink w:anchor="_Toc138851207" w:history="1">
            <w:r w:rsidRPr="00E13E1D">
              <w:rPr>
                <w:rStyle w:val="Hyperlink"/>
                <w:noProof/>
              </w:rPr>
              <w:t>3.2.3 Assessing evidence</w:t>
            </w:r>
            <w:r>
              <w:rPr>
                <w:noProof/>
                <w:webHidden/>
              </w:rPr>
              <w:tab/>
            </w:r>
            <w:r>
              <w:rPr>
                <w:noProof/>
                <w:webHidden/>
              </w:rPr>
              <w:fldChar w:fldCharType="begin"/>
            </w:r>
            <w:r>
              <w:rPr>
                <w:noProof/>
                <w:webHidden/>
              </w:rPr>
              <w:instrText xml:space="preserve"> PAGEREF _Toc138851207 \h </w:instrText>
            </w:r>
            <w:r>
              <w:rPr>
                <w:noProof/>
                <w:webHidden/>
              </w:rPr>
            </w:r>
            <w:r>
              <w:rPr>
                <w:noProof/>
                <w:webHidden/>
              </w:rPr>
              <w:fldChar w:fldCharType="separate"/>
            </w:r>
            <w:r>
              <w:rPr>
                <w:noProof/>
                <w:webHidden/>
              </w:rPr>
              <w:t>17</w:t>
            </w:r>
            <w:r>
              <w:rPr>
                <w:noProof/>
                <w:webHidden/>
              </w:rPr>
              <w:fldChar w:fldCharType="end"/>
            </w:r>
          </w:hyperlink>
        </w:p>
        <w:p w14:paraId="6F344F78" w14:textId="467142FB" w:rsidR="000F6458" w:rsidRDefault="000F6458">
          <w:pPr>
            <w:pStyle w:val="TOC2"/>
            <w:rPr>
              <w:rFonts w:asciiTheme="minorHAnsi" w:eastAsiaTheme="minorEastAsia" w:hAnsiTheme="minorHAnsi" w:cstheme="minorBidi"/>
              <w:noProof/>
              <w:color w:val="auto"/>
              <w:szCs w:val="22"/>
              <w:lang w:eastAsia="en-AU"/>
            </w:rPr>
          </w:pPr>
          <w:hyperlink w:anchor="_Toc138851208" w:history="1">
            <w:r w:rsidRPr="00E13E1D">
              <w:rPr>
                <w:rStyle w:val="Hyperlink"/>
                <w:noProof/>
              </w:rPr>
              <w:t>3.3 SPAP Recommendations</w:t>
            </w:r>
            <w:r>
              <w:rPr>
                <w:noProof/>
                <w:webHidden/>
              </w:rPr>
              <w:tab/>
            </w:r>
            <w:r>
              <w:rPr>
                <w:noProof/>
                <w:webHidden/>
              </w:rPr>
              <w:fldChar w:fldCharType="begin"/>
            </w:r>
            <w:r>
              <w:rPr>
                <w:noProof/>
                <w:webHidden/>
              </w:rPr>
              <w:instrText xml:space="preserve"> PAGEREF _Toc138851208 \h </w:instrText>
            </w:r>
            <w:r>
              <w:rPr>
                <w:noProof/>
                <w:webHidden/>
              </w:rPr>
            </w:r>
            <w:r>
              <w:rPr>
                <w:noProof/>
                <w:webHidden/>
              </w:rPr>
              <w:fldChar w:fldCharType="separate"/>
            </w:r>
            <w:r>
              <w:rPr>
                <w:noProof/>
                <w:webHidden/>
              </w:rPr>
              <w:t>18</w:t>
            </w:r>
            <w:r>
              <w:rPr>
                <w:noProof/>
                <w:webHidden/>
              </w:rPr>
              <w:fldChar w:fldCharType="end"/>
            </w:r>
          </w:hyperlink>
        </w:p>
        <w:p w14:paraId="44D9958C" w14:textId="7C947B20" w:rsidR="000F6458" w:rsidRDefault="000F6458">
          <w:pPr>
            <w:pStyle w:val="TOC2"/>
            <w:rPr>
              <w:rFonts w:asciiTheme="minorHAnsi" w:eastAsiaTheme="minorEastAsia" w:hAnsiTheme="minorHAnsi" w:cstheme="minorBidi"/>
              <w:noProof/>
              <w:color w:val="auto"/>
              <w:szCs w:val="22"/>
              <w:lang w:eastAsia="en-AU"/>
            </w:rPr>
          </w:pPr>
          <w:hyperlink w:anchor="_Toc138851209" w:history="1">
            <w:r w:rsidRPr="00E13E1D">
              <w:rPr>
                <w:rStyle w:val="Hyperlink"/>
                <w:noProof/>
              </w:rPr>
              <w:t>3.4 Decision Review</w:t>
            </w:r>
            <w:r>
              <w:rPr>
                <w:noProof/>
                <w:webHidden/>
              </w:rPr>
              <w:tab/>
            </w:r>
            <w:r>
              <w:rPr>
                <w:noProof/>
                <w:webHidden/>
              </w:rPr>
              <w:fldChar w:fldCharType="begin"/>
            </w:r>
            <w:r>
              <w:rPr>
                <w:noProof/>
                <w:webHidden/>
              </w:rPr>
              <w:instrText xml:space="preserve"> PAGEREF _Toc138851209 \h </w:instrText>
            </w:r>
            <w:r>
              <w:rPr>
                <w:noProof/>
                <w:webHidden/>
              </w:rPr>
            </w:r>
            <w:r>
              <w:rPr>
                <w:noProof/>
                <w:webHidden/>
              </w:rPr>
              <w:fldChar w:fldCharType="separate"/>
            </w:r>
            <w:r>
              <w:rPr>
                <w:noProof/>
                <w:webHidden/>
              </w:rPr>
              <w:t>19</w:t>
            </w:r>
            <w:r>
              <w:rPr>
                <w:noProof/>
                <w:webHidden/>
              </w:rPr>
              <w:fldChar w:fldCharType="end"/>
            </w:r>
          </w:hyperlink>
        </w:p>
        <w:p w14:paraId="6A4AE583" w14:textId="013FF926" w:rsidR="000F6458" w:rsidRDefault="000F6458">
          <w:pPr>
            <w:pStyle w:val="TOC1"/>
            <w:tabs>
              <w:tab w:val="right" w:leader="dot" w:pos="9060"/>
            </w:tabs>
            <w:rPr>
              <w:rFonts w:asciiTheme="minorHAnsi" w:eastAsiaTheme="minorEastAsia" w:hAnsiTheme="minorHAnsi" w:cstheme="minorBidi"/>
              <w:noProof/>
              <w:color w:val="auto"/>
              <w:szCs w:val="22"/>
              <w:lang w:eastAsia="en-AU"/>
            </w:rPr>
          </w:pPr>
          <w:hyperlink w:anchor="_Toc138851210" w:history="1">
            <w:r w:rsidRPr="00E13E1D">
              <w:rPr>
                <w:rStyle w:val="Hyperlink"/>
                <w:noProof/>
              </w:rPr>
              <w:t>Part 4 – Product listings</w:t>
            </w:r>
            <w:r>
              <w:rPr>
                <w:noProof/>
                <w:webHidden/>
              </w:rPr>
              <w:tab/>
            </w:r>
            <w:r>
              <w:rPr>
                <w:noProof/>
                <w:webHidden/>
              </w:rPr>
              <w:fldChar w:fldCharType="begin"/>
            </w:r>
            <w:r>
              <w:rPr>
                <w:noProof/>
                <w:webHidden/>
              </w:rPr>
              <w:instrText xml:space="preserve"> PAGEREF _Toc138851210 \h </w:instrText>
            </w:r>
            <w:r>
              <w:rPr>
                <w:noProof/>
                <w:webHidden/>
              </w:rPr>
            </w:r>
            <w:r>
              <w:rPr>
                <w:noProof/>
                <w:webHidden/>
              </w:rPr>
              <w:fldChar w:fldCharType="separate"/>
            </w:r>
            <w:r>
              <w:rPr>
                <w:noProof/>
                <w:webHidden/>
              </w:rPr>
              <w:t>20</w:t>
            </w:r>
            <w:r>
              <w:rPr>
                <w:noProof/>
                <w:webHidden/>
              </w:rPr>
              <w:fldChar w:fldCharType="end"/>
            </w:r>
          </w:hyperlink>
        </w:p>
        <w:p w14:paraId="5653C1A2" w14:textId="0B32C0D4" w:rsidR="000F6458" w:rsidRDefault="000F6458">
          <w:pPr>
            <w:pStyle w:val="TOC2"/>
            <w:rPr>
              <w:rFonts w:asciiTheme="minorHAnsi" w:eastAsiaTheme="minorEastAsia" w:hAnsiTheme="minorHAnsi" w:cstheme="minorBidi"/>
              <w:noProof/>
              <w:color w:val="auto"/>
              <w:szCs w:val="22"/>
              <w:lang w:eastAsia="en-AU"/>
            </w:rPr>
          </w:pPr>
          <w:hyperlink w:anchor="_Toc138851211" w:history="1">
            <w:r w:rsidRPr="00E13E1D">
              <w:rPr>
                <w:rStyle w:val="Hyperlink"/>
                <w:noProof/>
              </w:rPr>
              <w:t>4.1 Listing Process and timing for Schedule Updates to the Stoma Appliance Scheme</w:t>
            </w:r>
            <w:r>
              <w:rPr>
                <w:noProof/>
                <w:webHidden/>
              </w:rPr>
              <w:tab/>
            </w:r>
            <w:r>
              <w:rPr>
                <w:noProof/>
                <w:webHidden/>
              </w:rPr>
              <w:fldChar w:fldCharType="begin"/>
            </w:r>
            <w:r>
              <w:rPr>
                <w:noProof/>
                <w:webHidden/>
              </w:rPr>
              <w:instrText xml:space="preserve"> PAGEREF _Toc138851211 \h </w:instrText>
            </w:r>
            <w:r>
              <w:rPr>
                <w:noProof/>
                <w:webHidden/>
              </w:rPr>
            </w:r>
            <w:r>
              <w:rPr>
                <w:noProof/>
                <w:webHidden/>
              </w:rPr>
              <w:fldChar w:fldCharType="separate"/>
            </w:r>
            <w:r>
              <w:rPr>
                <w:noProof/>
                <w:webHidden/>
              </w:rPr>
              <w:t>20</w:t>
            </w:r>
            <w:r>
              <w:rPr>
                <w:noProof/>
                <w:webHidden/>
              </w:rPr>
              <w:fldChar w:fldCharType="end"/>
            </w:r>
          </w:hyperlink>
        </w:p>
        <w:p w14:paraId="66384508" w14:textId="52A4E6BC" w:rsidR="000F6458" w:rsidRDefault="000F6458">
          <w:pPr>
            <w:pStyle w:val="TOC1"/>
            <w:tabs>
              <w:tab w:val="right" w:leader="dot" w:pos="9060"/>
            </w:tabs>
            <w:rPr>
              <w:rFonts w:asciiTheme="minorHAnsi" w:eastAsiaTheme="minorEastAsia" w:hAnsiTheme="minorHAnsi" w:cstheme="minorBidi"/>
              <w:noProof/>
              <w:color w:val="auto"/>
              <w:szCs w:val="22"/>
              <w:lang w:eastAsia="en-AU"/>
            </w:rPr>
          </w:pPr>
          <w:hyperlink w:anchor="_Toc138851212" w:history="1">
            <w:r w:rsidRPr="00E13E1D">
              <w:rPr>
                <w:rStyle w:val="Hyperlink"/>
                <w:noProof/>
              </w:rPr>
              <w:t>Glossary</w:t>
            </w:r>
            <w:r>
              <w:rPr>
                <w:noProof/>
                <w:webHidden/>
              </w:rPr>
              <w:tab/>
            </w:r>
            <w:r>
              <w:rPr>
                <w:noProof/>
                <w:webHidden/>
              </w:rPr>
              <w:fldChar w:fldCharType="begin"/>
            </w:r>
            <w:r>
              <w:rPr>
                <w:noProof/>
                <w:webHidden/>
              </w:rPr>
              <w:instrText xml:space="preserve"> PAGEREF _Toc138851212 \h </w:instrText>
            </w:r>
            <w:r>
              <w:rPr>
                <w:noProof/>
                <w:webHidden/>
              </w:rPr>
            </w:r>
            <w:r>
              <w:rPr>
                <w:noProof/>
                <w:webHidden/>
              </w:rPr>
              <w:fldChar w:fldCharType="separate"/>
            </w:r>
            <w:r>
              <w:rPr>
                <w:noProof/>
                <w:webHidden/>
              </w:rPr>
              <w:t>21</w:t>
            </w:r>
            <w:r>
              <w:rPr>
                <w:noProof/>
                <w:webHidden/>
              </w:rPr>
              <w:fldChar w:fldCharType="end"/>
            </w:r>
          </w:hyperlink>
        </w:p>
        <w:p w14:paraId="0ECB7D2E" w14:textId="17BD344D" w:rsidR="00C6734D" w:rsidRPr="004755B9" w:rsidRDefault="00C6734D" w:rsidP="004755B9">
          <w:r>
            <w:rPr>
              <w:noProof/>
            </w:rPr>
            <w:lastRenderedPageBreak/>
            <w:fldChar w:fldCharType="end"/>
          </w:r>
        </w:p>
      </w:sdtContent>
    </w:sdt>
    <w:p w14:paraId="5F96920F" w14:textId="71E58FD3" w:rsidR="003E3264" w:rsidRPr="003D7369" w:rsidRDefault="00634625" w:rsidP="0097033F">
      <w:pPr>
        <w:pStyle w:val="Heading1"/>
      </w:pPr>
      <w:bookmarkStart w:id="1" w:name="_Toc138851178"/>
      <w:r w:rsidRPr="003D7369">
        <w:t>About this document</w:t>
      </w:r>
      <w:bookmarkEnd w:id="0"/>
      <w:bookmarkEnd w:id="1"/>
    </w:p>
    <w:p w14:paraId="0AB36891" w14:textId="136755BF" w:rsidR="00634625" w:rsidRPr="00CA58F1" w:rsidRDefault="00B75A2F" w:rsidP="00CA58F1">
      <w:pPr>
        <w:sectPr w:rsidR="00634625" w:rsidRPr="00CA58F1">
          <w:pgSz w:w="11906" w:h="16838"/>
          <w:pgMar w:top="1701" w:right="1418" w:bottom="1418" w:left="1418" w:header="709" w:footer="709" w:gutter="0"/>
          <w:cols w:space="720"/>
        </w:sectPr>
      </w:pPr>
      <w:r>
        <w:t>T</w:t>
      </w:r>
      <w:r w:rsidR="006313FA" w:rsidRPr="00CA58F1">
        <w:t xml:space="preserve">he Department of Health and Aged Care </w:t>
      </w:r>
      <w:r>
        <w:t>has</w:t>
      </w:r>
      <w:r w:rsidR="006313FA">
        <w:t xml:space="preserve"> prepared t</w:t>
      </w:r>
      <w:r w:rsidR="00467AF2" w:rsidRPr="00CA58F1">
        <w:t xml:space="preserve">he Application and Assessment Guidelines to assist product sponsors applying to add new products to the Stoma Appliance Scheme </w:t>
      </w:r>
      <w:r w:rsidR="00C82BDF" w:rsidRPr="00CA58F1">
        <w:t xml:space="preserve">Schedule </w:t>
      </w:r>
      <w:r w:rsidR="00467AF2" w:rsidRPr="00CA58F1">
        <w:t xml:space="preserve">or </w:t>
      </w:r>
      <w:r w:rsidR="00C82BDF" w:rsidRPr="00CA58F1">
        <w:t xml:space="preserve">to </w:t>
      </w:r>
      <w:r w:rsidR="00467AF2" w:rsidRPr="00CA58F1">
        <w:t xml:space="preserve">vary or delete existing listings. This document was </w:t>
      </w:r>
      <w:r w:rsidR="003D7369" w:rsidRPr="00CA58F1">
        <w:t>revised in 2022</w:t>
      </w:r>
      <w:r w:rsidR="00AD6320">
        <w:t xml:space="preserve"> </w:t>
      </w:r>
      <w:r w:rsidR="00467AF2" w:rsidRPr="00CA58F1">
        <w:t>to provide greater clarity around requirements</w:t>
      </w:r>
      <w:r>
        <w:t xml:space="preserve"> and again in 2023 in conjunction with updates to application </w:t>
      </w:r>
      <w:proofErr w:type="gramStart"/>
      <w:r>
        <w:t>forms,</w:t>
      </w:r>
      <w:r w:rsidR="00815343" w:rsidRPr="00CA58F1">
        <w:t xml:space="preserve"> and</w:t>
      </w:r>
      <w:proofErr w:type="gramEnd"/>
      <w:r w:rsidR="00815343" w:rsidRPr="00CA58F1">
        <w:t xml:space="preserve"> will be revised again as required</w:t>
      </w:r>
      <w:r w:rsidR="00467AF2" w:rsidRPr="00CA58F1">
        <w:t>. T</w:t>
      </w:r>
      <w:r w:rsidR="00634625" w:rsidRPr="00CA58F1">
        <w:t>he</w:t>
      </w:r>
      <w:r w:rsidR="00467AF2" w:rsidRPr="00CA58F1">
        <w:t xml:space="preserve"> Stoma Product Assessment Panel and</w:t>
      </w:r>
      <w:r w:rsidR="00634625" w:rsidRPr="00CA58F1">
        <w:t xml:space="preserve"> Stoma Industry Association</w:t>
      </w:r>
      <w:r w:rsidR="00467AF2" w:rsidRPr="00CA58F1">
        <w:t xml:space="preserve"> were consulted regarding the </w:t>
      </w:r>
      <w:r>
        <w:t>2022 revisions to the</w:t>
      </w:r>
      <w:r w:rsidRPr="00CA58F1">
        <w:t xml:space="preserve"> </w:t>
      </w:r>
      <w:r w:rsidR="00467AF2" w:rsidRPr="00CA58F1">
        <w:t xml:space="preserve">document. </w:t>
      </w:r>
      <w:r w:rsidR="00634625" w:rsidRPr="00CA58F1">
        <w:t xml:space="preserve"> </w:t>
      </w:r>
    </w:p>
    <w:p w14:paraId="499B2A17" w14:textId="670302F7" w:rsidR="00FD1CBA" w:rsidRPr="00CA58F1" w:rsidRDefault="00FD1CBA" w:rsidP="00FD1CBA">
      <w:pPr>
        <w:pStyle w:val="Heading1"/>
      </w:pPr>
      <w:bookmarkStart w:id="2" w:name="_Toc473893047"/>
      <w:bookmarkStart w:id="3" w:name="_Toc107411657"/>
      <w:bookmarkStart w:id="4" w:name="_Toc119409484"/>
      <w:bookmarkStart w:id="5" w:name="_Toc138851179"/>
      <w:r>
        <w:lastRenderedPageBreak/>
        <w:t>Part 1 – Introduction</w:t>
      </w:r>
      <w:bookmarkEnd w:id="2"/>
      <w:bookmarkEnd w:id="3"/>
      <w:bookmarkEnd w:id="4"/>
      <w:bookmarkEnd w:id="5"/>
    </w:p>
    <w:p w14:paraId="60AAA366" w14:textId="270BF340" w:rsidR="00FD1CBA" w:rsidRDefault="003E3264" w:rsidP="003F4BF0">
      <w:pPr>
        <w:pStyle w:val="Heading2"/>
        <w:rPr>
          <w:szCs w:val="32"/>
        </w:rPr>
      </w:pPr>
      <w:bookmarkStart w:id="6" w:name="_Toc473893048"/>
      <w:bookmarkStart w:id="7" w:name="_Toc107411658"/>
      <w:bookmarkStart w:id="8" w:name="_Toc119409485"/>
      <w:bookmarkStart w:id="9" w:name="_Toc138851180"/>
      <w:r>
        <w:rPr>
          <w:szCs w:val="32"/>
        </w:rPr>
        <w:t xml:space="preserve">1.1 </w:t>
      </w:r>
      <w:r w:rsidR="00FD1CBA">
        <w:rPr>
          <w:szCs w:val="32"/>
        </w:rPr>
        <w:t>Overview of the Stoma Appliance Scheme</w:t>
      </w:r>
      <w:bookmarkEnd w:id="6"/>
      <w:bookmarkEnd w:id="7"/>
      <w:bookmarkEnd w:id="8"/>
      <w:bookmarkEnd w:id="9"/>
    </w:p>
    <w:p w14:paraId="0D4B613D" w14:textId="251A3B44" w:rsidR="00FD1CBA" w:rsidRDefault="00FD1CBA" w:rsidP="00FD1CBA">
      <w:pPr>
        <w:rPr>
          <w:rFonts w:cs="Arial"/>
        </w:rPr>
      </w:pPr>
      <w:r>
        <w:rPr>
          <w:rFonts w:cs="Arial"/>
        </w:rPr>
        <w:t xml:space="preserve">The Stoma Appliance Scheme (the Scheme) is an Australian Government program that assists eligible people with stomas to better manage their condition by providing subsidised access to a range of different stoma-related products. The Scheme commenced in 1975 and is legislated under Section 9A of the </w:t>
      </w:r>
      <w:r w:rsidRPr="00C7274C">
        <w:rPr>
          <w:rStyle w:val="Emphasis"/>
        </w:rPr>
        <w:t>National Health Act 1953</w:t>
      </w:r>
      <w:r>
        <w:rPr>
          <w:rFonts w:cs="Arial"/>
          <w:iCs/>
        </w:rPr>
        <w:t xml:space="preserve">. </w:t>
      </w:r>
      <w:r>
        <w:rPr>
          <w:rFonts w:cs="Arial"/>
        </w:rPr>
        <w:t xml:space="preserve">Products are distributed via stoma associations nationally. A person with a stoma who </w:t>
      </w:r>
      <w:r w:rsidR="007553E9">
        <w:rPr>
          <w:rFonts w:cs="Arial"/>
        </w:rPr>
        <w:t>is eligible</w:t>
      </w:r>
      <w:r>
        <w:rPr>
          <w:rFonts w:cs="Arial"/>
        </w:rPr>
        <w:t xml:space="preserve"> to access the</w:t>
      </w:r>
      <w:r w:rsidRPr="00C7274C">
        <w:t xml:space="preserve"> </w:t>
      </w:r>
      <w:r>
        <w:rPr>
          <w:rFonts w:cs="Arial"/>
        </w:rPr>
        <w:t>Scheme must join one of these associations and pay an annual membership fee.</w:t>
      </w:r>
    </w:p>
    <w:p w14:paraId="292BBBF6" w14:textId="77777777" w:rsidR="00FD1CBA" w:rsidRDefault="00FD1CBA" w:rsidP="00FD1CBA">
      <w:pPr>
        <w:rPr>
          <w:rFonts w:cs="Arial"/>
        </w:rPr>
      </w:pPr>
      <w:r>
        <w:rPr>
          <w:rFonts w:cs="Arial"/>
        </w:rPr>
        <w:t xml:space="preserve">The Department of Health and Aged Care (the Department) and Services Australia administer the Scheme on behalf of the Government. The Department has policy responsibility for the Scheme and manages the </w:t>
      </w:r>
      <w:hyperlink r:id="rId12" w:history="1">
        <w:r>
          <w:rPr>
            <w:rStyle w:val="Hyperlink"/>
            <w:rFonts w:cs="Arial"/>
          </w:rPr>
          <w:t>Scheme Schedule</w:t>
        </w:r>
      </w:hyperlink>
      <w:r>
        <w:rPr>
          <w:rFonts w:cs="Arial"/>
        </w:rPr>
        <w:t xml:space="preserve"> (the SAS Schedule) and the product application and assessment process. It also provides secretariat support for the Stoma Product Assessment Panel (SPAP), the Department’s independent technical advice panel. Services Australia administers the stoma association claiming and payment process and the registration of new participants in the Scheme.</w:t>
      </w:r>
    </w:p>
    <w:p w14:paraId="7CB647D0" w14:textId="77777777" w:rsidR="00FD1CBA" w:rsidRDefault="00FD1CBA" w:rsidP="00FD1CBA">
      <w:pPr>
        <w:rPr>
          <w:rFonts w:cs="Arial"/>
        </w:rPr>
      </w:pPr>
      <w:r>
        <w:rPr>
          <w:rFonts w:cs="Arial"/>
        </w:rPr>
        <w:t>Stoma-related products subsidised under the Scheme currently include one-piece and two</w:t>
      </w:r>
      <w:r>
        <w:rPr>
          <w:rFonts w:cs="Arial"/>
        </w:rPr>
        <w:noBreakHyphen/>
        <w:t xml:space="preserve">piece pouching systems, irrigation devices, catheters, hernia support garments, creams and ointments, deodorants, protective films, skin cleansers, </w:t>
      </w:r>
      <w:proofErr w:type="gramStart"/>
      <w:r>
        <w:rPr>
          <w:rFonts w:cs="Arial"/>
        </w:rPr>
        <w:t>powders</w:t>
      </w:r>
      <w:proofErr w:type="gramEnd"/>
      <w:r>
        <w:rPr>
          <w:rFonts w:cs="Arial"/>
        </w:rPr>
        <w:t xml:space="preserve"> and pastes.</w:t>
      </w:r>
    </w:p>
    <w:p w14:paraId="77EDF6D6" w14:textId="02AEA37D" w:rsidR="00FD1CBA" w:rsidRDefault="003E3264" w:rsidP="003F4BF0">
      <w:pPr>
        <w:pStyle w:val="Heading2"/>
        <w:rPr>
          <w:szCs w:val="32"/>
        </w:rPr>
      </w:pPr>
      <w:bookmarkStart w:id="10" w:name="_Toc473893049"/>
      <w:bookmarkStart w:id="11" w:name="_Toc107411659"/>
      <w:bookmarkStart w:id="12" w:name="_Toc119409486"/>
      <w:bookmarkStart w:id="13" w:name="_Toc138851181"/>
      <w:r>
        <w:rPr>
          <w:szCs w:val="32"/>
        </w:rPr>
        <w:t xml:space="preserve">1.2 </w:t>
      </w:r>
      <w:r w:rsidR="00FD1CBA">
        <w:rPr>
          <w:szCs w:val="32"/>
        </w:rPr>
        <w:t>SAS Schedule</w:t>
      </w:r>
      <w:bookmarkEnd w:id="10"/>
      <w:bookmarkEnd w:id="11"/>
      <w:bookmarkEnd w:id="12"/>
      <w:bookmarkEnd w:id="13"/>
    </w:p>
    <w:p w14:paraId="7F236EBE" w14:textId="77777777" w:rsidR="00FD1CBA" w:rsidRDefault="00FD1CBA" w:rsidP="00FD1CBA">
      <w:pPr>
        <w:rPr>
          <w:rFonts w:cs="Arial"/>
        </w:rPr>
      </w:pPr>
      <w:r>
        <w:rPr>
          <w:rFonts w:cs="Arial"/>
        </w:rPr>
        <w:t xml:space="preserve">All products available under the Scheme are listed on the </w:t>
      </w:r>
      <w:hyperlink r:id="rId13" w:history="1">
        <w:r>
          <w:rPr>
            <w:rStyle w:val="Hyperlink"/>
            <w:rFonts w:cs="Arial"/>
          </w:rPr>
          <w:t>SAS Schedule</w:t>
        </w:r>
      </w:hyperlink>
      <w:r>
        <w:rPr>
          <w:rFonts w:cs="Arial"/>
        </w:rPr>
        <w:t xml:space="preserve"> which specifies the following information for each product:</w:t>
      </w:r>
    </w:p>
    <w:p w14:paraId="0D5C6ABC" w14:textId="77777777" w:rsidR="00FD1CBA" w:rsidRDefault="00FD1CBA" w:rsidP="00CA58F1">
      <w:pPr>
        <w:pStyle w:val="ListBullet"/>
      </w:pPr>
      <w:r>
        <w:t>Group and Subgroup</w:t>
      </w:r>
    </w:p>
    <w:p w14:paraId="2D775D94" w14:textId="77777777" w:rsidR="00FD1CBA" w:rsidRDefault="00FD1CBA" w:rsidP="00CA58F1">
      <w:pPr>
        <w:pStyle w:val="ListBullet"/>
      </w:pPr>
      <w:r>
        <w:t>SAS code</w:t>
      </w:r>
    </w:p>
    <w:p w14:paraId="574DC1D8" w14:textId="77777777" w:rsidR="00FD1CBA" w:rsidRDefault="00FD1CBA" w:rsidP="00CA58F1">
      <w:pPr>
        <w:pStyle w:val="ListBullet"/>
      </w:pPr>
      <w:r>
        <w:t>Company product code</w:t>
      </w:r>
    </w:p>
    <w:p w14:paraId="5D125575" w14:textId="77777777" w:rsidR="00FD1CBA" w:rsidRDefault="00FD1CBA" w:rsidP="00CA58F1">
      <w:pPr>
        <w:pStyle w:val="ListBullet"/>
      </w:pPr>
      <w:r>
        <w:t>Product name</w:t>
      </w:r>
    </w:p>
    <w:p w14:paraId="2365491D" w14:textId="77777777" w:rsidR="00FD1CBA" w:rsidRDefault="00FD1CBA" w:rsidP="00CA58F1">
      <w:pPr>
        <w:pStyle w:val="ListBullet"/>
      </w:pPr>
      <w:r>
        <w:t>Product description</w:t>
      </w:r>
    </w:p>
    <w:p w14:paraId="7FB2AEAE" w14:textId="77777777" w:rsidR="00FD1CBA" w:rsidRDefault="00FD1CBA" w:rsidP="00CA58F1">
      <w:pPr>
        <w:pStyle w:val="ListBullet"/>
      </w:pPr>
      <w:r>
        <w:t>Pack size in units</w:t>
      </w:r>
    </w:p>
    <w:p w14:paraId="04E43E8D" w14:textId="77777777" w:rsidR="00FD1CBA" w:rsidRDefault="00FD1CBA" w:rsidP="00CA58F1">
      <w:pPr>
        <w:pStyle w:val="ListBullet"/>
      </w:pPr>
      <w:r>
        <w:t>Allowable monthly/annual (if applicable) maximum quantity</w:t>
      </w:r>
    </w:p>
    <w:p w14:paraId="43406C15" w14:textId="77777777" w:rsidR="00FD1CBA" w:rsidRDefault="00FD1CBA" w:rsidP="00CA58F1">
      <w:pPr>
        <w:pStyle w:val="ListBullet"/>
      </w:pPr>
      <w:r>
        <w:t>Price per pack</w:t>
      </w:r>
    </w:p>
    <w:p w14:paraId="197F38B3" w14:textId="77777777" w:rsidR="00FD1CBA" w:rsidRDefault="00FD1CBA" w:rsidP="00CA58F1">
      <w:pPr>
        <w:pStyle w:val="ListBullet"/>
      </w:pPr>
      <w:r>
        <w:t>Price Premium (if applicable).</w:t>
      </w:r>
    </w:p>
    <w:p w14:paraId="40AEE10D" w14:textId="7345F311" w:rsidR="00FD1CBA" w:rsidRDefault="003E3264" w:rsidP="003F4BF0">
      <w:pPr>
        <w:pStyle w:val="Heading3"/>
      </w:pPr>
      <w:bookmarkStart w:id="14" w:name="_Toc473893050"/>
      <w:bookmarkStart w:id="15" w:name="_Toc107411660"/>
      <w:bookmarkStart w:id="16" w:name="_Toc119409487"/>
      <w:bookmarkStart w:id="17" w:name="_Toc138851182"/>
      <w:r>
        <w:t xml:space="preserve">1.2.1 </w:t>
      </w:r>
      <w:r w:rsidR="00FD1CBA">
        <w:t>Groups and Subgroups</w:t>
      </w:r>
      <w:bookmarkEnd w:id="14"/>
      <w:bookmarkEnd w:id="15"/>
      <w:bookmarkEnd w:id="16"/>
      <w:bookmarkEnd w:id="17"/>
    </w:p>
    <w:p w14:paraId="6E3010AA" w14:textId="68DF9360" w:rsidR="00F32B91" w:rsidRDefault="00FD1CBA" w:rsidP="00FD1CBA">
      <w:pPr>
        <w:rPr>
          <w:rFonts w:cs="Arial"/>
        </w:rPr>
      </w:pPr>
      <w:r>
        <w:rPr>
          <w:rFonts w:cs="Arial"/>
        </w:rPr>
        <w:t>Stoma-related products which have comparable features or functions are placed together in a group. Products may be further classified based on their distinct features and placed in subgroups. Groups are identified numerically, with alphabetical suffixes to indicate subgroups.</w:t>
      </w:r>
    </w:p>
    <w:p w14:paraId="3014759F" w14:textId="77777777" w:rsidR="00FD1CBA" w:rsidRPr="00CA58F1" w:rsidRDefault="00FD1CBA" w:rsidP="00FD1CBA">
      <w:r>
        <w:rPr>
          <w:rFonts w:cs="Arial"/>
        </w:rPr>
        <w:t>The Schedule is currently divided into 11 groups and 38 subgroups:</w:t>
      </w:r>
    </w:p>
    <w:p w14:paraId="0CBB50F6" w14:textId="0F7C8C19" w:rsidR="00FD1CBA" w:rsidRPr="00C7274C" w:rsidRDefault="00C7274C" w:rsidP="00C7274C">
      <w:pPr>
        <w:pStyle w:val="Caption"/>
      </w:pPr>
      <w:r>
        <w:lastRenderedPageBreak/>
        <w:t xml:space="preserve">Table </w:t>
      </w:r>
      <w:r w:rsidR="00410317">
        <w:fldChar w:fldCharType="begin"/>
      </w:r>
      <w:r w:rsidR="00410317">
        <w:instrText xml:space="preserve"> SEQ Table \* ARABIC </w:instrText>
      </w:r>
      <w:r w:rsidR="00410317">
        <w:fldChar w:fldCharType="separate"/>
      </w:r>
      <w:r>
        <w:rPr>
          <w:noProof/>
        </w:rPr>
        <w:t>1</w:t>
      </w:r>
      <w:r w:rsidR="00410317">
        <w:rPr>
          <w:noProof/>
        </w:rPr>
        <w:fldChar w:fldCharType="end"/>
      </w:r>
      <w:r>
        <w:t>:</w:t>
      </w:r>
      <w:r w:rsidR="00FD1CBA" w:rsidRPr="00C7274C">
        <w:t xml:space="preserve">Stoma Appliance Scheme (SAS) Schedule Groups and Subgroups </w:t>
      </w:r>
      <w:r>
        <w:t>t</w:t>
      </w:r>
      <w:r w:rsidR="00FD1CBA" w:rsidRPr="00C7274C">
        <w:t>able</w:t>
      </w:r>
    </w:p>
    <w:tbl>
      <w:tblPr>
        <w:tblStyle w:val="DepartmentofHealthtable"/>
        <w:tblW w:w="0" w:type="auto"/>
        <w:tblLook w:val="06A0" w:firstRow="1" w:lastRow="0" w:firstColumn="1" w:lastColumn="0" w:noHBand="1" w:noVBand="1"/>
        <w:tblDescription w:val="Stoma application scheme table is a list of the different groups and sub groups in which stoma products are grouped."/>
      </w:tblPr>
      <w:tblGrid>
        <w:gridCol w:w="1418"/>
        <w:gridCol w:w="2693"/>
        <w:gridCol w:w="4949"/>
      </w:tblGrid>
      <w:tr w:rsidR="00FD1CBA" w:rsidRPr="0097033F" w14:paraId="76A01202" w14:textId="77777777" w:rsidTr="002C40C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8" w:type="dxa"/>
            <w:hideMark/>
          </w:tcPr>
          <w:p w14:paraId="091D95D5" w14:textId="77777777" w:rsidR="00FD1CBA" w:rsidRPr="002C40C8" w:rsidRDefault="00FD1CBA" w:rsidP="002C40C8">
            <w:pPr>
              <w:pStyle w:val="TableHeaderWhite"/>
              <w:spacing w:before="0" w:after="0"/>
              <w:rPr>
                <w:rFonts w:cs="Arial"/>
              </w:rPr>
            </w:pPr>
            <w:r w:rsidRPr="002C40C8">
              <w:rPr>
                <w:rFonts w:cs="Arial"/>
              </w:rPr>
              <w:t>Group Number</w:t>
            </w:r>
          </w:p>
        </w:tc>
        <w:tc>
          <w:tcPr>
            <w:tcW w:w="2693" w:type="dxa"/>
            <w:hideMark/>
          </w:tcPr>
          <w:p w14:paraId="4F09C327" w14:textId="77777777" w:rsidR="00FD1CBA" w:rsidRPr="002C40C8" w:rsidRDefault="00FD1CBA" w:rsidP="002C40C8">
            <w:pPr>
              <w:pStyle w:val="TableHeaderWhite"/>
              <w:spacing w:before="0" w:after="0"/>
              <w:cnfStyle w:val="100000000000" w:firstRow="1" w:lastRow="0" w:firstColumn="0" w:lastColumn="0" w:oddVBand="0" w:evenVBand="0" w:oddHBand="0" w:evenHBand="0" w:firstRowFirstColumn="0" w:firstRowLastColumn="0" w:lastRowFirstColumn="0" w:lastRowLastColumn="0"/>
              <w:rPr>
                <w:rFonts w:cs="Arial"/>
              </w:rPr>
            </w:pPr>
            <w:r w:rsidRPr="002C40C8">
              <w:rPr>
                <w:rFonts w:cs="Arial"/>
              </w:rPr>
              <w:t>Main Group</w:t>
            </w:r>
          </w:p>
        </w:tc>
        <w:tc>
          <w:tcPr>
            <w:tcW w:w="4949" w:type="dxa"/>
            <w:hideMark/>
          </w:tcPr>
          <w:p w14:paraId="4490808A" w14:textId="77777777" w:rsidR="00FD1CBA" w:rsidRPr="002C40C8" w:rsidRDefault="00FD1CBA" w:rsidP="002C40C8">
            <w:pPr>
              <w:pStyle w:val="TableHeaderWhite"/>
              <w:spacing w:before="0" w:after="0"/>
              <w:cnfStyle w:val="100000000000" w:firstRow="1" w:lastRow="0" w:firstColumn="0" w:lastColumn="0" w:oddVBand="0" w:evenVBand="0" w:oddHBand="0" w:evenHBand="0" w:firstRowFirstColumn="0" w:firstRowLastColumn="0" w:lastRowFirstColumn="0" w:lastRowLastColumn="0"/>
              <w:rPr>
                <w:rFonts w:cs="Arial"/>
              </w:rPr>
            </w:pPr>
            <w:r w:rsidRPr="002C40C8">
              <w:rPr>
                <w:rFonts w:cs="Arial"/>
              </w:rPr>
              <w:t>Subgroup</w:t>
            </w:r>
          </w:p>
        </w:tc>
      </w:tr>
      <w:tr w:rsidR="00FD1CBA" w:rsidRPr="0097033F" w14:paraId="48740476" w14:textId="77777777" w:rsidTr="002C40C8">
        <w:tc>
          <w:tcPr>
            <w:cnfStyle w:val="001000000000" w:firstRow="0" w:lastRow="0" w:firstColumn="1" w:lastColumn="0" w:oddVBand="0" w:evenVBand="0" w:oddHBand="0" w:evenHBand="0" w:firstRowFirstColumn="0" w:firstRowLastColumn="0" w:lastRowFirstColumn="0" w:lastRowLastColumn="0"/>
            <w:tcW w:w="1418" w:type="dxa"/>
            <w:hideMark/>
          </w:tcPr>
          <w:p w14:paraId="75DFDBCC" w14:textId="77777777" w:rsidR="00FD1CBA" w:rsidRPr="002C40C8" w:rsidRDefault="00FD1CBA" w:rsidP="002C40C8">
            <w:pPr>
              <w:spacing w:before="0" w:after="0"/>
              <w:rPr>
                <w:rFonts w:cs="Arial"/>
                <w:szCs w:val="22"/>
              </w:rPr>
            </w:pPr>
            <w:r w:rsidRPr="002C40C8">
              <w:rPr>
                <w:rFonts w:cs="Arial"/>
                <w:szCs w:val="22"/>
              </w:rPr>
              <w:t>1</w:t>
            </w:r>
          </w:p>
        </w:tc>
        <w:tc>
          <w:tcPr>
            <w:tcW w:w="2693" w:type="dxa"/>
            <w:hideMark/>
          </w:tcPr>
          <w:p w14:paraId="280011BA" w14:textId="77777777" w:rsidR="00FD1CBA" w:rsidRPr="002C40C8" w:rsidRDefault="00FD1CBA" w:rsidP="002C40C8">
            <w:pPr>
              <w:spacing w:before="0" w:after="0"/>
              <w:cnfStyle w:val="000000000000" w:firstRow="0" w:lastRow="0" w:firstColumn="0" w:lastColumn="0" w:oddVBand="0" w:evenVBand="0" w:oddHBand="0" w:evenHBand="0" w:firstRowFirstColumn="0" w:firstRowLastColumn="0" w:lastRowFirstColumn="0" w:lastRowLastColumn="0"/>
              <w:rPr>
                <w:rFonts w:cs="Arial"/>
                <w:szCs w:val="22"/>
              </w:rPr>
            </w:pPr>
            <w:r w:rsidRPr="002C40C8">
              <w:rPr>
                <w:rFonts w:cs="Arial"/>
                <w:szCs w:val="22"/>
              </w:rPr>
              <w:t>One-Piece Closed</w:t>
            </w:r>
          </w:p>
        </w:tc>
        <w:tc>
          <w:tcPr>
            <w:tcW w:w="4949" w:type="dxa"/>
            <w:hideMark/>
          </w:tcPr>
          <w:p w14:paraId="25B4E6B6" w14:textId="77777777" w:rsidR="00FD1CBA" w:rsidRPr="002C40C8" w:rsidRDefault="00FD1CBA" w:rsidP="002C40C8">
            <w:pPr>
              <w:pStyle w:val="ListNumber3"/>
              <w:spacing w:before="0" w:after="0"/>
              <w:cnfStyle w:val="000000000000" w:firstRow="0" w:lastRow="0" w:firstColumn="0" w:lastColumn="0" w:oddVBand="0" w:evenVBand="0" w:oddHBand="0" w:evenHBand="0" w:firstRowFirstColumn="0" w:firstRowLastColumn="0" w:lastRowFirstColumn="0" w:lastRowLastColumn="0"/>
              <w:rPr>
                <w:rFonts w:cs="Arial"/>
              </w:rPr>
            </w:pPr>
            <w:r w:rsidRPr="002C40C8">
              <w:rPr>
                <w:rFonts w:cs="Arial"/>
              </w:rPr>
              <w:t>Stoma Caps</w:t>
            </w:r>
          </w:p>
          <w:p w14:paraId="28039B4D" w14:textId="77777777" w:rsidR="00FD1CBA" w:rsidRPr="002C40C8" w:rsidRDefault="00FD1CBA" w:rsidP="002C40C8">
            <w:pPr>
              <w:pStyle w:val="ListNumber3"/>
              <w:spacing w:before="0" w:after="0"/>
              <w:cnfStyle w:val="000000000000" w:firstRow="0" w:lastRow="0" w:firstColumn="0" w:lastColumn="0" w:oddVBand="0" w:evenVBand="0" w:oddHBand="0" w:evenHBand="0" w:firstRowFirstColumn="0" w:firstRowLastColumn="0" w:lastRowFirstColumn="0" w:lastRowLastColumn="0"/>
              <w:rPr>
                <w:rFonts w:cs="Arial"/>
              </w:rPr>
            </w:pPr>
            <w:r w:rsidRPr="002C40C8">
              <w:rPr>
                <w:rFonts w:cs="Arial"/>
              </w:rPr>
              <w:t>Flat Baseplate</w:t>
            </w:r>
          </w:p>
          <w:p w14:paraId="2D69A1E1" w14:textId="77777777" w:rsidR="00FD1CBA" w:rsidRPr="002C40C8" w:rsidRDefault="00FD1CBA" w:rsidP="002C40C8">
            <w:pPr>
              <w:pStyle w:val="ListNumber3"/>
              <w:spacing w:before="0" w:after="0"/>
              <w:cnfStyle w:val="000000000000" w:firstRow="0" w:lastRow="0" w:firstColumn="0" w:lastColumn="0" w:oddVBand="0" w:evenVBand="0" w:oddHBand="0" w:evenHBand="0" w:firstRowFirstColumn="0" w:firstRowLastColumn="0" w:lastRowFirstColumn="0" w:lastRowLastColumn="0"/>
              <w:rPr>
                <w:rFonts w:cs="Arial"/>
              </w:rPr>
            </w:pPr>
            <w:r w:rsidRPr="002C40C8">
              <w:rPr>
                <w:rFonts w:cs="Arial"/>
              </w:rPr>
              <w:t>Convex Baseplate</w:t>
            </w:r>
          </w:p>
        </w:tc>
      </w:tr>
      <w:tr w:rsidR="00FD1CBA" w:rsidRPr="0097033F" w14:paraId="7A2CDBA6" w14:textId="77777777" w:rsidTr="002C40C8">
        <w:tc>
          <w:tcPr>
            <w:cnfStyle w:val="001000000000" w:firstRow="0" w:lastRow="0" w:firstColumn="1" w:lastColumn="0" w:oddVBand="0" w:evenVBand="0" w:oddHBand="0" w:evenHBand="0" w:firstRowFirstColumn="0" w:firstRowLastColumn="0" w:lastRowFirstColumn="0" w:lastRowLastColumn="0"/>
            <w:tcW w:w="1418" w:type="dxa"/>
            <w:hideMark/>
          </w:tcPr>
          <w:p w14:paraId="25DC06E6" w14:textId="77777777" w:rsidR="00FD1CBA" w:rsidRPr="002C40C8" w:rsidRDefault="00FD1CBA" w:rsidP="002C40C8">
            <w:pPr>
              <w:spacing w:before="0" w:after="0"/>
              <w:rPr>
                <w:rFonts w:cs="Arial"/>
                <w:szCs w:val="22"/>
              </w:rPr>
            </w:pPr>
            <w:r w:rsidRPr="002C40C8">
              <w:rPr>
                <w:rFonts w:cs="Arial"/>
                <w:szCs w:val="22"/>
              </w:rPr>
              <w:t>2</w:t>
            </w:r>
          </w:p>
        </w:tc>
        <w:tc>
          <w:tcPr>
            <w:tcW w:w="2693" w:type="dxa"/>
            <w:hideMark/>
          </w:tcPr>
          <w:p w14:paraId="05016BD7" w14:textId="77777777" w:rsidR="00FD1CBA" w:rsidRPr="002C40C8" w:rsidRDefault="00FD1CBA" w:rsidP="002C40C8">
            <w:pPr>
              <w:spacing w:before="0" w:after="0"/>
              <w:cnfStyle w:val="000000000000" w:firstRow="0" w:lastRow="0" w:firstColumn="0" w:lastColumn="0" w:oddVBand="0" w:evenVBand="0" w:oddHBand="0" w:evenHBand="0" w:firstRowFirstColumn="0" w:firstRowLastColumn="0" w:lastRowFirstColumn="0" w:lastRowLastColumn="0"/>
              <w:rPr>
                <w:rFonts w:cs="Arial"/>
                <w:szCs w:val="22"/>
              </w:rPr>
            </w:pPr>
            <w:r w:rsidRPr="002C40C8">
              <w:rPr>
                <w:rFonts w:cs="Arial"/>
                <w:szCs w:val="22"/>
              </w:rPr>
              <w:t>One-Piece Drainable</w:t>
            </w:r>
          </w:p>
        </w:tc>
        <w:tc>
          <w:tcPr>
            <w:tcW w:w="4949" w:type="dxa"/>
            <w:hideMark/>
          </w:tcPr>
          <w:p w14:paraId="2292D91F" w14:textId="77777777" w:rsidR="00FD1CBA" w:rsidRPr="002C40C8" w:rsidRDefault="00FD1CBA" w:rsidP="002C40C8">
            <w:pPr>
              <w:pStyle w:val="ListNumber3"/>
              <w:numPr>
                <w:ilvl w:val="0"/>
                <w:numId w:val="9"/>
              </w:numPr>
              <w:spacing w:before="0" w:after="0"/>
              <w:cnfStyle w:val="000000000000" w:firstRow="0" w:lastRow="0" w:firstColumn="0" w:lastColumn="0" w:oddVBand="0" w:evenVBand="0" w:oddHBand="0" w:evenHBand="0" w:firstRowFirstColumn="0" w:firstRowLastColumn="0" w:lastRowFirstColumn="0" w:lastRowLastColumn="0"/>
              <w:rPr>
                <w:rFonts w:cs="Arial"/>
              </w:rPr>
            </w:pPr>
            <w:r w:rsidRPr="002C40C8">
              <w:rPr>
                <w:rFonts w:cs="Arial"/>
              </w:rPr>
              <w:t>Flat Baseplate</w:t>
            </w:r>
          </w:p>
          <w:p w14:paraId="76A02EB5" w14:textId="77777777" w:rsidR="00FD1CBA" w:rsidRPr="002C40C8" w:rsidRDefault="00FD1CBA" w:rsidP="002C40C8">
            <w:pPr>
              <w:pStyle w:val="ListNumber3"/>
              <w:spacing w:before="0" w:after="0"/>
              <w:cnfStyle w:val="000000000000" w:firstRow="0" w:lastRow="0" w:firstColumn="0" w:lastColumn="0" w:oddVBand="0" w:evenVBand="0" w:oddHBand="0" w:evenHBand="0" w:firstRowFirstColumn="0" w:firstRowLastColumn="0" w:lastRowFirstColumn="0" w:lastRowLastColumn="0"/>
              <w:rPr>
                <w:rFonts w:cs="Arial"/>
              </w:rPr>
            </w:pPr>
            <w:r w:rsidRPr="002C40C8">
              <w:rPr>
                <w:rFonts w:cs="Arial"/>
              </w:rPr>
              <w:t>Convex Baseplate</w:t>
            </w:r>
          </w:p>
        </w:tc>
      </w:tr>
      <w:tr w:rsidR="00FD1CBA" w:rsidRPr="0097033F" w14:paraId="0FCCF95C" w14:textId="77777777" w:rsidTr="002C40C8">
        <w:tc>
          <w:tcPr>
            <w:cnfStyle w:val="001000000000" w:firstRow="0" w:lastRow="0" w:firstColumn="1" w:lastColumn="0" w:oddVBand="0" w:evenVBand="0" w:oddHBand="0" w:evenHBand="0" w:firstRowFirstColumn="0" w:firstRowLastColumn="0" w:lastRowFirstColumn="0" w:lastRowLastColumn="0"/>
            <w:tcW w:w="1418" w:type="dxa"/>
            <w:hideMark/>
          </w:tcPr>
          <w:p w14:paraId="25F35FED" w14:textId="77777777" w:rsidR="00FD1CBA" w:rsidRPr="002C40C8" w:rsidRDefault="00FD1CBA" w:rsidP="002C40C8">
            <w:pPr>
              <w:spacing w:before="0" w:after="0"/>
              <w:rPr>
                <w:rFonts w:cs="Arial"/>
                <w:szCs w:val="22"/>
              </w:rPr>
            </w:pPr>
            <w:r w:rsidRPr="002C40C8">
              <w:rPr>
                <w:rFonts w:cs="Arial"/>
                <w:szCs w:val="22"/>
              </w:rPr>
              <w:t>3</w:t>
            </w:r>
          </w:p>
        </w:tc>
        <w:tc>
          <w:tcPr>
            <w:tcW w:w="2693" w:type="dxa"/>
            <w:hideMark/>
          </w:tcPr>
          <w:p w14:paraId="04B3BAE1" w14:textId="77777777" w:rsidR="00FD1CBA" w:rsidRPr="002C40C8" w:rsidRDefault="00FD1CBA" w:rsidP="002C40C8">
            <w:pPr>
              <w:spacing w:before="0" w:after="0"/>
              <w:cnfStyle w:val="000000000000" w:firstRow="0" w:lastRow="0" w:firstColumn="0" w:lastColumn="0" w:oddVBand="0" w:evenVBand="0" w:oddHBand="0" w:evenHBand="0" w:firstRowFirstColumn="0" w:firstRowLastColumn="0" w:lastRowFirstColumn="0" w:lastRowLastColumn="0"/>
              <w:rPr>
                <w:rFonts w:cs="Arial"/>
                <w:szCs w:val="22"/>
              </w:rPr>
            </w:pPr>
            <w:r w:rsidRPr="002C40C8">
              <w:rPr>
                <w:rFonts w:cs="Arial"/>
                <w:szCs w:val="22"/>
              </w:rPr>
              <w:t xml:space="preserve">One-Piece Urostomy </w:t>
            </w:r>
          </w:p>
        </w:tc>
        <w:tc>
          <w:tcPr>
            <w:tcW w:w="4949" w:type="dxa"/>
            <w:hideMark/>
          </w:tcPr>
          <w:p w14:paraId="7E14EA8E" w14:textId="77777777" w:rsidR="00FD1CBA" w:rsidRPr="002C40C8" w:rsidRDefault="00FD1CBA" w:rsidP="002C40C8">
            <w:pPr>
              <w:pStyle w:val="ListNumber3"/>
              <w:numPr>
                <w:ilvl w:val="0"/>
                <w:numId w:val="10"/>
              </w:numPr>
              <w:spacing w:before="0" w:after="0"/>
              <w:cnfStyle w:val="000000000000" w:firstRow="0" w:lastRow="0" w:firstColumn="0" w:lastColumn="0" w:oddVBand="0" w:evenVBand="0" w:oddHBand="0" w:evenHBand="0" w:firstRowFirstColumn="0" w:firstRowLastColumn="0" w:lastRowFirstColumn="0" w:lastRowLastColumn="0"/>
              <w:rPr>
                <w:rFonts w:cs="Arial"/>
              </w:rPr>
            </w:pPr>
            <w:r w:rsidRPr="002C40C8">
              <w:rPr>
                <w:rFonts w:cs="Arial"/>
              </w:rPr>
              <w:t>Flat Baseplate</w:t>
            </w:r>
          </w:p>
          <w:p w14:paraId="037738DC" w14:textId="77777777" w:rsidR="00FD1CBA" w:rsidRPr="002C40C8" w:rsidRDefault="00FD1CBA" w:rsidP="002C40C8">
            <w:pPr>
              <w:pStyle w:val="ListNumber3"/>
              <w:spacing w:before="0" w:after="0"/>
              <w:cnfStyle w:val="000000000000" w:firstRow="0" w:lastRow="0" w:firstColumn="0" w:lastColumn="0" w:oddVBand="0" w:evenVBand="0" w:oddHBand="0" w:evenHBand="0" w:firstRowFirstColumn="0" w:firstRowLastColumn="0" w:lastRowFirstColumn="0" w:lastRowLastColumn="0"/>
              <w:rPr>
                <w:rFonts w:cs="Arial"/>
              </w:rPr>
            </w:pPr>
            <w:r w:rsidRPr="002C40C8">
              <w:rPr>
                <w:rFonts w:cs="Arial"/>
              </w:rPr>
              <w:t>Convex Baseplate</w:t>
            </w:r>
          </w:p>
        </w:tc>
      </w:tr>
      <w:tr w:rsidR="00FD1CBA" w:rsidRPr="0097033F" w14:paraId="421285C7" w14:textId="77777777" w:rsidTr="002C40C8">
        <w:tc>
          <w:tcPr>
            <w:cnfStyle w:val="001000000000" w:firstRow="0" w:lastRow="0" w:firstColumn="1" w:lastColumn="0" w:oddVBand="0" w:evenVBand="0" w:oddHBand="0" w:evenHBand="0" w:firstRowFirstColumn="0" w:firstRowLastColumn="0" w:lastRowFirstColumn="0" w:lastRowLastColumn="0"/>
            <w:tcW w:w="1418" w:type="dxa"/>
            <w:hideMark/>
          </w:tcPr>
          <w:p w14:paraId="4587030E" w14:textId="77777777" w:rsidR="00FD1CBA" w:rsidRPr="002C40C8" w:rsidRDefault="00FD1CBA" w:rsidP="002C40C8">
            <w:pPr>
              <w:spacing w:before="0" w:after="0"/>
              <w:rPr>
                <w:rFonts w:cs="Arial"/>
                <w:szCs w:val="22"/>
              </w:rPr>
            </w:pPr>
            <w:r w:rsidRPr="002C40C8">
              <w:rPr>
                <w:rFonts w:cs="Arial"/>
                <w:szCs w:val="22"/>
              </w:rPr>
              <w:t>4</w:t>
            </w:r>
          </w:p>
        </w:tc>
        <w:tc>
          <w:tcPr>
            <w:tcW w:w="2693" w:type="dxa"/>
            <w:hideMark/>
          </w:tcPr>
          <w:p w14:paraId="678D189C" w14:textId="77777777" w:rsidR="00FD1CBA" w:rsidRPr="002C40C8" w:rsidRDefault="00FD1CBA" w:rsidP="002C40C8">
            <w:pPr>
              <w:spacing w:before="0" w:after="0"/>
              <w:cnfStyle w:val="000000000000" w:firstRow="0" w:lastRow="0" w:firstColumn="0" w:lastColumn="0" w:oddVBand="0" w:evenVBand="0" w:oddHBand="0" w:evenHBand="0" w:firstRowFirstColumn="0" w:firstRowLastColumn="0" w:lastRowFirstColumn="0" w:lastRowLastColumn="0"/>
              <w:rPr>
                <w:rFonts w:cs="Arial"/>
                <w:szCs w:val="22"/>
              </w:rPr>
            </w:pPr>
            <w:r w:rsidRPr="002C40C8">
              <w:rPr>
                <w:rFonts w:cs="Arial"/>
                <w:szCs w:val="22"/>
              </w:rPr>
              <w:t>Two-Piece Baseplate</w:t>
            </w:r>
          </w:p>
        </w:tc>
        <w:tc>
          <w:tcPr>
            <w:tcW w:w="4949" w:type="dxa"/>
            <w:hideMark/>
          </w:tcPr>
          <w:p w14:paraId="2AF6016C" w14:textId="77777777" w:rsidR="00FD1CBA" w:rsidRPr="002C40C8" w:rsidRDefault="00FD1CBA" w:rsidP="002C40C8">
            <w:pPr>
              <w:pStyle w:val="ListNumber3"/>
              <w:numPr>
                <w:ilvl w:val="0"/>
                <w:numId w:val="11"/>
              </w:numPr>
              <w:spacing w:before="0" w:after="0"/>
              <w:cnfStyle w:val="000000000000" w:firstRow="0" w:lastRow="0" w:firstColumn="0" w:lastColumn="0" w:oddVBand="0" w:evenVBand="0" w:oddHBand="0" w:evenHBand="0" w:firstRowFirstColumn="0" w:firstRowLastColumn="0" w:lastRowFirstColumn="0" w:lastRowLastColumn="0"/>
              <w:rPr>
                <w:rFonts w:cs="Arial"/>
              </w:rPr>
            </w:pPr>
            <w:r w:rsidRPr="002C40C8">
              <w:rPr>
                <w:rFonts w:cs="Arial"/>
              </w:rPr>
              <w:t>Mechanical Coupling – Flat</w:t>
            </w:r>
          </w:p>
          <w:p w14:paraId="3AA16387" w14:textId="77777777" w:rsidR="00FD1CBA" w:rsidRPr="002C40C8" w:rsidRDefault="00FD1CBA" w:rsidP="002C40C8">
            <w:pPr>
              <w:pStyle w:val="ListNumber3"/>
              <w:spacing w:before="0" w:after="0"/>
              <w:cnfStyle w:val="000000000000" w:firstRow="0" w:lastRow="0" w:firstColumn="0" w:lastColumn="0" w:oddVBand="0" w:evenVBand="0" w:oddHBand="0" w:evenHBand="0" w:firstRowFirstColumn="0" w:firstRowLastColumn="0" w:lastRowFirstColumn="0" w:lastRowLastColumn="0"/>
              <w:rPr>
                <w:rFonts w:cs="Arial"/>
              </w:rPr>
            </w:pPr>
            <w:r w:rsidRPr="002C40C8">
              <w:rPr>
                <w:rFonts w:cs="Arial"/>
              </w:rPr>
              <w:t>Mechanical Coupling – Extended Wear</w:t>
            </w:r>
          </w:p>
          <w:p w14:paraId="5C73FCF8" w14:textId="77777777" w:rsidR="00FD1CBA" w:rsidRPr="002C40C8" w:rsidRDefault="00FD1CBA" w:rsidP="002C40C8">
            <w:pPr>
              <w:pStyle w:val="ListNumber3"/>
              <w:spacing w:before="0" w:after="0"/>
              <w:cnfStyle w:val="000000000000" w:firstRow="0" w:lastRow="0" w:firstColumn="0" w:lastColumn="0" w:oddVBand="0" w:evenVBand="0" w:oddHBand="0" w:evenHBand="0" w:firstRowFirstColumn="0" w:firstRowLastColumn="0" w:lastRowFirstColumn="0" w:lastRowLastColumn="0"/>
              <w:rPr>
                <w:rFonts w:cs="Arial"/>
              </w:rPr>
            </w:pPr>
            <w:r w:rsidRPr="002C40C8">
              <w:rPr>
                <w:rFonts w:cs="Arial"/>
              </w:rPr>
              <w:t>Mechanical Coupling – Convex</w:t>
            </w:r>
          </w:p>
          <w:p w14:paraId="68BCA882" w14:textId="77777777" w:rsidR="00FD1CBA" w:rsidRPr="002C40C8" w:rsidRDefault="00FD1CBA" w:rsidP="002C40C8">
            <w:pPr>
              <w:pStyle w:val="ListNumber3"/>
              <w:spacing w:before="0" w:after="0"/>
              <w:cnfStyle w:val="000000000000" w:firstRow="0" w:lastRow="0" w:firstColumn="0" w:lastColumn="0" w:oddVBand="0" w:evenVBand="0" w:oddHBand="0" w:evenHBand="0" w:firstRowFirstColumn="0" w:firstRowLastColumn="0" w:lastRowFirstColumn="0" w:lastRowLastColumn="0"/>
              <w:rPr>
                <w:rFonts w:cs="Arial"/>
              </w:rPr>
            </w:pPr>
            <w:r w:rsidRPr="002C40C8">
              <w:rPr>
                <w:rFonts w:cs="Arial"/>
              </w:rPr>
              <w:t>Adhesive Coupling – Flat</w:t>
            </w:r>
          </w:p>
          <w:p w14:paraId="28996B14" w14:textId="77777777" w:rsidR="00FD1CBA" w:rsidRPr="002C40C8" w:rsidRDefault="00FD1CBA" w:rsidP="002C40C8">
            <w:pPr>
              <w:pStyle w:val="ListNumber3"/>
              <w:spacing w:before="0" w:after="0"/>
              <w:cnfStyle w:val="000000000000" w:firstRow="0" w:lastRow="0" w:firstColumn="0" w:lastColumn="0" w:oddVBand="0" w:evenVBand="0" w:oddHBand="0" w:evenHBand="0" w:firstRowFirstColumn="0" w:firstRowLastColumn="0" w:lastRowFirstColumn="0" w:lastRowLastColumn="0"/>
              <w:rPr>
                <w:rFonts w:cs="Arial"/>
              </w:rPr>
            </w:pPr>
            <w:r w:rsidRPr="002C40C8">
              <w:rPr>
                <w:rFonts w:cs="Arial"/>
              </w:rPr>
              <w:t>Adhesive Coupling – Extended Wear</w:t>
            </w:r>
          </w:p>
          <w:p w14:paraId="20ADAEAA" w14:textId="77777777" w:rsidR="00FD1CBA" w:rsidRPr="002C40C8" w:rsidRDefault="00FD1CBA" w:rsidP="002C40C8">
            <w:pPr>
              <w:pStyle w:val="ListNumber3"/>
              <w:spacing w:before="0" w:after="0"/>
              <w:cnfStyle w:val="000000000000" w:firstRow="0" w:lastRow="0" w:firstColumn="0" w:lastColumn="0" w:oddVBand="0" w:evenVBand="0" w:oddHBand="0" w:evenHBand="0" w:firstRowFirstColumn="0" w:firstRowLastColumn="0" w:lastRowFirstColumn="0" w:lastRowLastColumn="0"/>
              <w:rPr>
                <w:rFonts w:cs="Arial"/>
              </w:rPr>
            </w:pPr>
            <w:r w:rsidRPr="002C40C8">
              <w:rPr>
                <w:rFonts w:cs="Arial"/>
              </w:rPr>
              <w:t>Adhesive Coupling – Convex</w:t>
            </w:r>
          </w:p>
        </w:tc>
      </w:tr>
      <w:tr w:rsidR="00FD1CBA" w:rsidRPr="0097033F" w14:paraId="18305F6C" w14:textId="77777777" w:rsidTr="002C40C8">
        <w:tc>
          <w:tcPr>
            <w:cnfStyle w:val="001000000000" w:firstRow="0" w:lastRow="0" w:firstColumn="1" w:lastColumn="0" w:oddVBand="0" w:evenVBand="0" w:oddHBand="0" w:evenHBand="0" w:firstRowFirstColumn="0" w:firstRowLastColumn="0" w:lastRowFirstColumn="0" w:lastRowLastColumn="0"/>
            <w:tcW w:w="1418" w:type="dxa"/>
            <w:hideMark/>
          </w:tcPr>
          <w:p w14:paraId="5BA2EAD9" w14:textId="77777777" w:rsidR="00FD1CBA" w:rsidRPr="002C40C8" w:rsidRDefault="00FD1CBA" w:rsidP="002C40C8">
            <w:pPr>
              <w:spacing w:before="0" w:after="0"/>
              <w:rPr>
                <w:rFonts w:cs="Arial"/>
                <w:szCs w:val="22"/>
              </w:rPr>
            </w:pPr>
            <w:r w:rsidRPr="002C40C8">
              <w:rPr>
                <w:rFonts w:cs="Arial"/>
                <w:szCs w:val="22"/>
              </w:rPr>
              <w:t>5</w:t>
            </w:r>
          </w:p>
        </w:tc>
        <w:tc>
          <w:tcPr>
            <w:tcW w:w="2693" w:type="dxa"/>
            <w:hideMark/>
          </w:tcPr>
          <w:p w14:paraId="14187295" w14:textId="77777777" w:rsidR="00FD1CBA" w:rsidRPr="002C40C8" w:rsidRDefault="00FD1CBA" w:rsidP="002C40C8">
            <w:pPr>
              <w:spacing w:before="0" w:after="0"/>
              <w:cnfStyle w:val="000000000000" w:firstRow="0" w:lastRow="0" w:firstColumn="0" w:lastColumn="0" w:oddVBand="0" w:evenVBand="0" w:oddHBand="0" w:evenHBand="0" w:firstRowFirstColumn="0" w:firstRowLastColumn="0" w:lastRowFirstColumn="0" w:lastRowLastColumn="0"/>
              <w:rPr>
                <w:rFonts w:cs="Arial"/>
                <w:szCs w:val="22"/>
              </w:rPr>
            </w:pPr>
            <w:r w:rsidRPr="002C40C8">
              <w:rPr>
                <w:rFonts w:cs="Arial"/>
                <w:szCs w:val="22"/>
              </w:rPr>
              <w:t>Two-Piece Closed</w:t>
            </w:r>
          </w:p>
        </w:tc>
        <w:tc>
          <w:tcPr>
            <w:tcW w:w="4949" w:type="dxa"/>
            <w:hideMark/>
          </w:tcPr>
          <w:p w14:paraId="08F07940" w14:textId="77777777" w:rsidR="00FD1CBA" w:rsidRPr="002C40C8" w:rsidRDefault="00FD1CBA" w:rsidP="002C40C8">
            <w:pPr>
              <w:pStyle w:val="ListNumber3"/>
              <w:numPr>
                <w:ilvl w:val="0"/>
                <w:numId w:val="12"/>
              </w:numPr>
              <w:spacing w:before="0" w:after="0"/>
              <w:cnfStyle w:val="000000000000" w:firstRow="0" w:lastRow="0" w:firstColumn="0" w:lastColumn="0" w:oddVBand="0" w:evenVBand="0" w:oddHBand="0" w:evenHBand="0" w:firstRowFirstColumn="0" w:firstRowLastColumn="0" w:lastRowFirstColumn="0" w:lastRowLastColumn="0"/>
              <w:rPr>
                <w:rFonts w:cs="Arial"/>
              </w:rPr>
            </w:pPr>
            <w:r w:rsidRPr="002C40C8">
              <w:rPr>
                <w:rFonts w:cs="Arial"/>
              </w:rPr>
              <w:t>Mechanical Coupling</w:t>
            </w:r>
          </w:p>
          <w:p w14:paraId="0C684BCB" w14:textId="77777777" w:rsidR="00FD1CBA" w:rsidRPr="002C40C8" w:rsidRDefault="00FD1CBA" w:rsidP="002C40C8">
            <w:pPr>
              <w:pStyle w:val="ListNumber3"/>
              <w:spacing w:before="0" w:after="0"/>
              <w:cnfStyle w:val="000000000000" w:firstRow="0" w:lastRow="0" w:firstColumn="0" w:lastColumn="0" w:oddVBand="0" w:evenVBand="0" w:oddHBand="0" w:evenHBand="0" w:firstRowFirstColumn="0" w:firstRowLastColumn="0" w:lastRowFirstColumn="0" w:lastRowLastColumn="0"/>
              <w:rPr>
                <w:rFonts w:cs="Arial"/>
              </w:rPr>
            </w:pPr>
            <w:r w:rsidRPr="002C40C8">
              <w:rPr>
                <w:rFonts w:cs="Arial"/>
              </w:rPr>
              <w:t>Adhesive Coupling</w:t>
            </w:r>
          </w:p>
        </w:tc>
      </w:tr>
      <w:tr w:rsidR="00FD1CBA" w:rsidRPr="0097033F" w14:paraId="51773A47" w14:textId="77777777" w:rsidTr="002C40C8">
        <w:tc>
          <w:tcPr>
            <w:cnfStyle w:val="001000000000" w:firstRow="0" w:lastRow="0" w:firstColumn="1" w:lastColumn="0" w:oddVBand="0" w:evenVBand="0" w:oddHBand="0" w:evenHBand="0" w:firstRowFirstColumn="0" w:firstRowLastColumn="0" w:lastRowFirstColumn="0" w:lastRowLastColumn="0"/>
            <w:tcW w:w="1418" w:type="dxa"/>
            <w:hideMark/>
          </w:tcPr>
          <w:p w14:paraId="12C98050" w14:textId="77777777" w:rsidR="00FD1CBA" w:rsidRPr="002C40C8" w:rsidRDefault="00FD1CBA" w:rsidP="002C40C8">
            <w:pPr>
              <w:spacing w:before="0" w:after="0"/>
              <w:rPr>
                <w:rFonts w:cs="Arial"/>
                <w:szCs w:val="22"/>
              </w:rPr>
            </w:pPr>
            <w:r w:rsidRPr="002C40C8">
              <w:rPr>
                <w:rFonts w:cs="Arial"/>
                <w:szCs w:val="22"/>
              </w:rPr>
              <w:t>6</w:t>
            </w:r>
          </w:p>
        </w:tc>
        <w:tc>
          <w:tcPr>
            <w:tcW w:w="2693" w:type="dxa"/>
            <w:hideMark/>
          </w:tcPr>
          <w:p w14:paraId="574C3AE1" w14:textId="77777777" w:rsidR="00FD1CBA" w:rsidRPr="002C40C8" w:rsidRDefault="00FD1CBA" w:rsidP="002C40C8">
            <w:pPr>
              <w:spacing w:before="0" w:after="0"/>
              <w:cnfStyle w:val="000000000000" w:firstRow="0" w:lastRow="0" w:firstColumn="0" w:lastColumn="0" w:oddVBand="0" w:evenVBand="0" w:oddHBand="0" w:evenHBand="0" w:firstRowFirstColumn="0" w:firstRowLastColumn="0" w:lastRowFirstColumn="0" w:lastRowLastColumn="0"/>
              <w:rPr>
                <w:rFonts w:cs="Arial"/>
                <w:szCs w:val="22"/>
              </w:rPr>
            </w:pPr>
            <w:r w:rsidRPr="002C40C8">
              <w:rPr>
                <w:rFonts w:cs="Arial"/>
                <w:szCs w:val="22"/>
              </w:rPr>
              <w:t>Two-Piece Drainable</w:t>
            </w:r>
          </w:p>
        </w:tc>
        <w:tc>
          <w:tcPr>
            <w:tcW w:w="4949" w:type="dxa"/>
            <w:hideMark/>
          </w:tcPr>
          <w:p w14:paraId="227B9DF6" w14:textId="77777777" w:rsidR="00FD1CBA" w:rsidRPr="002C40C8" w:rsidRDefault="00FD1CBA" w:rsidP="002C40C8">
            <w:pPr>
              <w:pStyle w:val="ListNumber3"/>
              <w:numPr>
                <w:ilvl w:val="0"/>
                <w:numId w:val="13"/>
              </w:numPr>
              <w:spacing w:before="0" w:after="0"/>
              <w:cnfStyle w:val="000000000000" w:firstRow="0" w:lastRow="0" w:firstColumn="0" w:lastColumn="0" w:oddVBand="0" w:evenVBand="0" w:oddHBand="0" w:evenHBand="0" w:firstRowFirstColumn="0" w:firstRowLastColumn="0" w:lastRowFirstColumn="0" w:lastRowLastColumn="0"/>
              <w:rPr>
                <w:rFonts w:cs="Arial"/>
              </w:rPr>
            </w:pPr>
            <w:r w:rsidRPr="002C40C8">
              <w:rPr>
                <w:rFonts w:cs="Arial"/>
              </w:rPr>
              <w:t>Mechanical Coupling</w:t>
            </w:r>
          </w:p>
          <w:p w14:paraId="7B67A022" w14:textId="77777777" w:rsidR="00FD1CBA" w:rsidRPr="002C40C8" w:rsidRDefault="00FD1CBA" w:rsidP="002C40C8">
            <w:pPr>
              <w:pStyle w:val="ListNumber3"/>
              <w:spacing w:before="0" w:after="0"/>
              <w:cnfStyle w:val="000000000000" w:firstRow="0" w:lastRow="0" w:firstColumn="0" w:lastColumn="0" w:oddVBand="0" w:evenVBand="0" w:oddHBand="0" w:evenHBand="0" w:firstRowFirstColumn="0" w:firstRowLastColumn="0" w:lastRowFirstColumn="0" w:lastRowLastColumn="0"/>
              <w:rPr>
                <w:rFonts w:cs="Arial"/>
              </w:rPr>
            </w:pPr>
            <w:r w:rsidRPr="002C40C8">
              <w:rPr>
                <w:rFonts w:cs="Arial"/>
              </w:rPr>
              <w:t>Adhesive Coupling</w:t>
            </w:r>
          </w:p>
        </w:tc>
      </w:tr>
      <w:tr w:rsidR="00FD1CBA" w:rsidRPr="0097033F" w14:paraId="63394A0D" w14:textId="77777777" w:rsidTr="002C40C8">
        <w:tc>
          <w:tcPr>
            <w:cnfStyle w:val="001000000000" w:firstRow="0" w:lastRow="0" w:firstColumn="1" w:lastColumn="0" w:oddVBand="0" w:evenVBand="0" w:oddHBand="0" w:evenHBand="0" w:firstRowFirstColumn="0" w:firstRowLastColumn="0" w:lastRowFirstColumn="0" w:lastRowLastColumn="0"/>
            <w:tcW w:w="1418" w:type="dxa"/>
            <w:hideMark/>
          </w:tcPr>
          <w:p w14:paraId="66038E6E" w14:textId="77777777" w:rsidR="00FD1CBA" w:rsidRPr="002C40C8" w:rsidRDefault="00FD1CBA" w:rsidP="002C40C8">
            <w:pPr>
              <w:spacing w:before="0" w:after="0"/>
              <w:rPr>
                <w:rFonts w:cs="Arial"/>
                <w:szCs w:val="22"/>
              </w:rPr>
            </w:pPr>
            <w:r w:rsidRPr="002C40C8">
              <w:rPr>
                <w:rFonts w:cs="Arial"/>
                <w:szCs w:val="22"/>
              </w:rPr>
              <w:t>7</w:t>
            </w:r>
          </w:p>
        </w:tc>
        <w:tc>
          <w:tcPr>
            <w:tcW w:w="2693" w:type="dxa"/>
            <w:hideMark/>
          </w:tcPr>
          <w:p w14:paraId="317C0D98" w14:textId="77777777" w:rsidR="00FD1CBA" w:rsidRPr="002C40C8" w:rsidRDefault="00FD1CBA" w:rsidP="002C40C8">
            <w:pPr>
              <w:spacing w:before="0" w:after="0"/>
              <w:cnfStyle w:val="000000000000" w:firstRow="0" w:lastRow="0" w:firstColumn="0" w:lastColumn="0" w:oddVBand="0" w:evenVBand="0" w:oddHBand="0" w:evenHBand="0" w:firstRowFirstColumn="0" w:firstRowLastColumn="0" w:lastRowFirstColumn="0" w:lastRowLastColumn="0"/>
              <w:rPr>
                <w:rFonts w:cs="Arial"/>
                <w:szCs w:val="22"/>
              </w:rPr>
            </w:pPr>
            <w:r w:rsidRPr="002C40C8">
              <w:rPr>
                <w:rFonts w:cs="Arial"/>
                <w:szCs w:val="22"/>
              </w:rPr>
              <w:t>Two-Piece Urostomy</w:t>
            </w:r>
          </w:p>
        </w:tc>
        <w:tc>
          <w:tcPr>
            <w:tcW w:w="4949" w:type="dxa"/>
            <w:hideMark/>
          </w:tcPr>
          <w:p w14:paraId="7F224ED1" w14:textId="77777777" w:rsidR="00FD1CBA" w:rsidRPr="002C40C8" w:rsidRDefault="00FD1CBA" w:rsidP="002C40C8">
            <w:pPr>
              <w:pStyle w:val="ListNumber3"/>
              <w:numPr>
                <w:ilvl w:val="0"/>
                <w:numId w:val="14"/>
              </w:numPr>
              <w:spacing w:before="0" w:after="0"/>
              <w:cnfStyle w:val="000000000000" w:firstRow="0" w:lastRow="0" w:firstColumn="0" w:lastColumn="0" w:oddVBand="0" w:evenVBand="0" w:oddHBand="0" w:evenHBand="0" w:firstRowFirstColumn="0" w:firstRowLastColumn="0" w:lastRowFirstColumn="0" w:lastRowLastColumn="0"/>
              <w:rPr>
                <w:rFonts w:cs="Arial"/>
              </w:rPr>
            </w:pPr>
            <w:r w:rsidRPr="002C40C8">
              <w:rPr>
                <w:rFonts w:cs="Arial"/>
              </w:rPr>
              <w:t>Mechanical Coupling</w:t>
            </w:r>
          </w:p>
          <w:p w14:paraId="62369685" w14:textId="77777777" w:rsidR="00FD1CBA" w:rsidRPr="002C40C8" w:rsidRDefault="00FD1CBA" w:rsidP="002C40C8">
            <w:pPr>
              <w:pStyle w:val="ListNumber3"/>
              <w:spacing w:before="0" w:after="0"/>
              <w:cnfStyle w:val="000000000000" w:firstRow="0" w:lastRow="0" w:firstColumn="0" w:lastColumn="0" w:oddVBand="0" w:evenVBand="0" w:oddHBand="0" w:evenHBand="0" w:firstRowFirstColumn="0" w:firstRowLastColumn="0" w:lastRowFirstColumn="0" w:lastRowLastColumn="0"/>
              <w:rPr>
                <w:rFonts w:cs="Arial"/>
              </w:rPr>
            </w:pPr>
            <w:r w:rsidRPr="002C40C8">
              <w:rPr>
                <w:rFonts w:cs="Arial"/>
              </w:rPr>
              <w:t>Adhesive Coupling</w:t>
            </w:r>
          </w:p>
        </w:tc>
      </w:tr>
      <w:tr w:rsidR="00FD1CBA" w:rsidRPr="0097033F" w14:paraId="657866B0" w14:textId="77777777" w:rsidTr="002C40C8">
        <w:tc>
          <w:tcPr>
            <w:cnfStyle w:val="001000000000" w:firstRow="0" w:lastRow="0" w:firstColumn="1" w:lastColumn="0" w:oddVBand="0" w:evenVBand="0" w:oddHBand="0" w:evenHBand="0" w:firstRowFirstColumn="0" w:firstRowLastColumn="0" w:lastRowFirstColumn="0" w:lastRowLastColumn="0"/>
            <w:tcW w:w="1418" w:type="dxa"/>
            <w:hideMark/>
          </w:tcPr>
          <w:p w14:paraId="27DAB77B" w14:textId="77777777" w:rsidR="00FD1CBA" w:rsidRPr="002C40C8" w:rsidRDefault="00FD1CBA" w:rsidP="002C40C8">
            <w:pPr>
              <w:spacing w:before="0" w:after="0"/>
              <w:rPr>
                <w:rFonts w:cs="Arial"/>
                <w:szCs w:val="22"/>
              </w:rPr>
            </w:pPr>
            <w:r w:rsidRPr="002C40C8">
              <w:rPr>
                <w:rFonts w:cs="Arial"/>
                <w:szCs w:val="22"/>
              </w:rPr>
              <w:t>8</w:t>
            </w:r>
          </w:p>
        </w:tc>
        <w:tc>
          <w:tcPr>
            <w:tcW w:w="2693" w:type="dxa"/>
            <w:hideMark/>
          </w:tcPr>
          <w:p w14:paraId="0CBDAC99" w14:textId="77777777" w:rsidR="00FD1CBA" w:rsidRPr="002C40C8" w:rsidRDefault="00FD1CBA" w:rsidP="002C40C8">
            <w:pPr>
              <w:spacing w:before="0" w:after="0"/>
              <w:cnfStyle w:val="000000000000" w:firstRow="0" w:lastRow="0" w:firstColumn="0" w:lastColumn="0" w:oddVBand="0" w:evenVBand="0" w:oddHBand="0" w:evenHBand="0" w:firstRowFirstColumn="0" w:firstRowLastColumn="0" w:lastRowFirstColumn="0" w:lastRowLastColumn="0"/>
              <w:rPr>
                <w:rFonts w:cs="Arial"/>
                <w:szCs w:val="22"/>
              </w:rPr>
            </w:pPr>
            <w:r w:rsidRPr="002C40C8">
              <w:rPr>
                <w:rFonts w:cs="Arial"/>
                <w:szCs w:val="22"/>
              </w:rPr>
              <w:t>Alternative Systems</w:t>
            </w:r>
          </w:p>
        </w:tc>
        <w:tc>
          <w:tcPr>
            <w:tcW w:w="4949" w:type="dxa"/>
            <w:hideMark/>
          </w:tcPr>
          <w:p w14:paraId="639324EC" w14:textId="77777777" w:rsidR="00FD1CBA" w:rsidRPr="002C40C8" w:rsidRDefault="00FD1CBA" w:rsidP="002C40C8">
            <w:pPr>
              <w:pStyle w:val="ListNumber3"/>
              <w:numPr>
                <w:ilvl w:val="0"/>
                <w:numId w:val="15"/>
              </w:numPr>
              <w:spacing w:before="0" w:after="0"/>
              <w:cnfStyle w:val="000000000000" w:firstRow="0" w:lastRow="0" w:firstColumn="0" w:lastColumn="0" w:oddVBand="0" w:evenVBand="0" w:oddHBand="0" w:evenHBand="0" w:firstRowFirstColumn="0" w:firstRowLastColumn="0" w:lastRowFirstColumn="0" w:lastRowLastColumn="0"/>
              <w:rPr>
                <w:rFonts w:cs="Arial"/>
              </w:rPr>
            </w:pPr>
            <w:r w:rsidRPr="002C40C8">
              <w:rPr>
                <w:rFonts w:cs="Arial"/>
              </w:rPr>
              <w:t>Plug Systems</w:t>
            </w:r>
          </w:p>
          <w:p w14:paraId="1EFC6C8B" w14:textId="77777777" w:rsidR="00FD1CBA" w:rsidRPr="002C40C8" w:rsidRDefault="00FD1CBA" w:rsidP="002C40C8">
            <w:pPr>
              <w:pStyle w:val="ListNumber3"/>
              <w:spacing w:before="0" w:after="0"/>
              <w:cnfStyle w:val="000000000000" w:firstRow="0" w:lastRow="0" w:firstColumn="0" w:lastColumn="0" w:oddVBand="0" w:evenVBand="0" w:oddHBand="0" w:evenHBand="0" w:firstRowFirstColumn="0" w:firstRowLastColumn="0" w:lastRowFirstColumn="0" w:lastRowLastColumn="0"/>
              <w:rPr>
                <w:rFonts w:cs="Arial"/>
              </w:rPr>
            </w:pPr>
            <w:r w:rsidRPr="002C40C8">
              <w:rPr>
                <w:rFonts w:cs="Arial"/>
              </w:rPr>
              <w:t>Irrigation</w:t>
            </w:r>
          </w:p>
          <w:p w14:paraId="54DCDF2B" w14:textId="77777777" w:rsidR="00FD1CBA" w:rsidRPr="002C40C8" w:rsidRDefault="00FD1CBA" w:rsidP="002C40C8">
            <w:pPr>
              <w:pStyle w:val="ListNumber3"/>
              <w:spacing w:before="0" w:after="0"/>
              <w:cnfStyle w:val="000000000000" w:firstRow="0" w:lastRow="0" w:firstColumn="0" w:lastColumn="0" w:oddVBand="0" w:evenVBand="0" w:oddHBand="0" w:evenHBand="0" w:firstRowFirstColumn="0" w:firstRowLastColumn="0" w:lastRowFirstColumn="0" w:lastRowLastColumn="0"/>
              <w:rPr>
                <w:rFonts w:cs="Arial"/>
              </w:rPr>
            </w:pPr>
            <w:r w:rsidRPr="002C40C8">
              <w:rPr>
                <w:rFonts w:cs="Arial"/>
              </w:rPr>
              <w:t>Catheters</w:t>
            </w:r>
          </w:p>
          <w:p w14:paraId="386A6A2F" w14:textId="77777777" w:rsidR="00FD1CBA" w:rsidRPr="002C40C8" w:rsidRDefault="00FD1CBA" w:rsidP="002C40C8">
            <w:pPr>
              <w:pStyle w:val="ListNumber3"/>
              <w:spacing w:before="0" w:after="0"/>
              <w:cnfStyle w:val="000000000000" w:firstRow="0" w:lastRow="0" w:firstColumn="0" w:lastColumn="0" w:oddVBand="0" w:evenVBand="0" w:oddHBand="0" w:evenHBand="0" w:firstRowFirstColumn="0" w:firstRowLastColumn="0" w:lastRowFirstColumn="0" w:lastRowLastColumn="0"/>
              <w:rPr>
                <w:rFonts w:cs="Arial"/>
              </w:rPr>
            </w:pPr>
            <w:r w:rsidRPr="002C40C8">
              <w:rPr>
                <w:rFonts w:cs="Arial"/>
              </w:rPr>
              <w:t>Rubber Appliances</w:t>
            </w:r>
          </w:p>
        </w:tc>
      </w:tr>
      <w:tr w:rsidR="00FD1CBA" w:rsidRPr="0097033F" w14:paraId="0DC8C1FF" w14:textId="77777777" w:rsidTr="002C40C8">
        <w:tc>
          <w:tcPr>
            <w:cnfStyle w:val="001000000000" w:firstRow="0" w:lastRow="0" w:firstColumn="1" w:lastColumn="0" w:oddVBand="0" w:evenVBand="0" w:oddHBand="0" w:evenHBand="0" w:firstRowFirstColumn="0" w:firstRowLastColumn="0" w:lastRowFirstColumn="0" w:lastRowLastColumn="0"/>
            <w:tcW w:w="1418" w:type="dxa"/>
            <w:hideMark/>
          </w:tcPr>
          <w:p w14:paraId="57085111" w14:textId="77777777" w:rsidR="00FD1CBA" w:rsidRPr="002C40C8" w:rsidRDefault="00FD1CBA" w:rsidP="002C40C8">
            <w:pPr>
              <w:spacing w:before="0" w:after="0"/>
              <w:rPr>
                <w:rFonts w:cs="Arial"/>
                <w:szCs w:val="22"/>
              </w:rPr>
            </w:pPr>
            <w:r w:rsidRPr="002C40C8">
              <w:rPr>
                <w:rFonts w:cs="Arial"/>
                <w:szCs w:val="22"/>
              </w:rPr>
              <w:t>9</w:t>
            </w:r>
          </w:p>
        </w:tc>
        <w:tc>
          <w:tcPr>
            <w:tcW w:w="2693" w:type="dxa"/>
            <w:hideMark/>
          </w:tcPr>
          <w:p w14:paraId="751ADEED" w14:textId="77777777" w:rsidR="00FD1CBA" w:rsidRPr="002C40C8" w:rsidRDefault="00FD1CBA" w:rsidP="002C40C8">
            <w:pPr>
              <w:spacing w:before="0" w:after="0"/>
              <w:cnfStyle w:val="000000000000" w:firstRow="0" w:lastRow="0" w:firstColumn="0" w:lastColumn="0" w:oddVBand="0" w:evenVBand="0" w:oddHBand="0" w:evenHBand="0" w:firstRowFirstColumn="0" w:firstRowLastColumn="0" w:lastRowFirstColumn="0" w:lastRowLastColumn="0"/>
              <w:rPr>
                <w:rFonts w:cs="Arial"/>
                <w:szCs w:val="22"/>
              </w:rPr>
            </w:pPr>
            <w:r w:rsidRPr="002C40C8">
              <w:rPr>
                <w:rFonts w:cs="Arial"/>
                <w:szCs w:val="22"/>
              </w:rPr>
              <w:t>Accessories</w:t>
            </w:r>
          </w:p>
        </w:tc>
        <w:tc>
          <w:tcPr>
            <w:tcW w:w="4949" w:type="dxa"/>
            <w:hideMark/>
          </w:tcPr>
          <w:p w14:paraId="22E71D90" w14:textId="77777777" w:rsidR="00FD1CBA" w:rsidRPr="002C40C8" w:rsidRDefault="00FD1CBA" w:rsidP="002C40C8">
            <w:pPr>
              <w:pStyle w:val="ListNumber3"/>
              <w:numPr>
                <w:ilvl w:val="0"/>
                <w:numId w:val="16"/>
              </w:numPr>
              <w:spacing w:before="0" w:after="0"/>
              <w:cnfStyle w:val="000000000000" w:firstRow="0" w:lastRow="0" w:firstColumn="0" w:lastColumn="0" w:oddVBand="0" w:evenVBand="0" w:oddHBand="0" w:evenHBand="0" w:firstRowFirstColumn="0" w:firstRowLastColumn="0" w:lastRowFirstColumn="0" w:lastRowLastColumn="0"/>
              <w:rPr>
                <w:rFonts w:cs="Arial"/>
              </w:rPr>
            </w:pPr>
            <w:r w:rsidRPr="002C40C8">
              <w:rPr>
                <w:rFonts w:cs="Arial"/>
              </w:rPr>
              <w:t>Adhesive Barrier</w:t>
            </w:r>
          </w:p>
          <w:p w14:paraId="1765F3B5" w14:textId="77777777" w:rsidR="00FD1CBA" w:rsidRPr="002C40C8" w:rsidRDefault="00FD1CBA" w:rsidP="002C40C8">
            <w:pPr>
              <w:pStyle w:val="ListNumber3"/>
              <w:spacing w:before="0" w:after="0"/>
              <w:cnfStyle w:val="000000000000" w:firstRow="0" w:lastRow="0" w:firstColumn="0" w:lastColumn="0" w:oddVBand="0" w:evenVBand="0" w:oddHBand="0" w:evenHBand="0" w:firstRowFirstColumn="0" w:firstRowLastColumn="0" w:lastRowFirstColumn="0" w:lastRowLastColumn="0"/>
              <w:rPr>
                <w:rFonts w:cs="Arial"/>
              </w:rPr>
            </w:pPr>
            <w:r w:rsidRPr="002C40C8">
              <w:rPr>
                <w:rFonts w:cs="Arial"/>
              </w:rPr>
              <w:t>Belts</w:t>
            </w:r>
          </w:p>
          <w:p w14:paraId="3D432ACA" w14:textId="77777777" w:rsidR="00FD1CBA" w:rsidRPr="002C40C8" w:rsidRDefault="00FD1CBA" w:rsidP="002C40C8">
            <w:pPr>
              <w:pStyle w:val="ListNumber3"/>
              <w:spacing w:before="0" w:after="0"/>
              <w:cnfStyle w:val="000000000000" w:firstRow="0" w:lastRow="0" w:firstColumn="0" w:lastColumn="0" w:oddVBand="0" w:evenVBand="0" w:oddHBand="0" w:evenHBand="0" w:firstRowFirstColumn="0" w:firstRowLastColumn="0" w:lastRowFirstColumn="0" w:lastRowLastColumn="0"/>
              <w:rPr>
                <w:rFonts w:cs="Arial"/>
              </w:rPr>
            </w:pPr>
            <w:r w:rsidRPr="002C40C8">
              <w:rPr>
                <w:rFonts w:cs="Arial"/>
              </w:rPr>
              <w:t>Clamps and Clips</w:t>
            </w:r>
          </w:p>
          <w:p w14:paraId="54CD5E86" w14:textId="77777777" w:rsidR="00FD1CBA" w:rsidRPr="002C40C8" w:rsidRDefault="00FD1CBA" w:rsidP="002C40C8">
            <w:pPr>
              <w:pStyle w:val="ListNumber3"/>
              <w:spacing w:before="0" w:after="0"/>
              <w:cnfStyle w:val="000000000000" w:firstRow="0" w:lastRow="0" w:firstColumn="0" w:lastColumn="0" w:oddVBand="0" w:evenVBand="0" w:oddHBand="0" w:evenHBand="0" w:firstRowFirstColumn="0" w:firstRowLastColumn="0" w:lastRowFirstColumn="0" w:lastRowLastColumn="0"/>
              <w:rPr>
                <w:rFonts w:cs="Arial"/>
              </w:rPr>
            </w:pPr>
            <w:r w:rsidRPr="002C40C8">
              <w:rPr>
                <w:rFonts w:cs="Arial"/>
              </w:rPr>
              <w:t>Cleansers and Solvents</w:t>
            </w:r>
          </w:p>
          <w:p w14:paraId="65B01E08" w14:textId="77777777" w:rsidR="00FD1CBA" w:rsidRPr="002C40C8" w:rsidRDefault="00FD1CBA" w:rsidP="002C40C8">
            <w:pPr>
              <w:pStyle w:val="ListNumber3"/>
              <w:spacing w:before="0" w:after="0"/>
              <w:cnfStyle w:val="000000000000" w:firstRow="0" w:lastRow="0" w:firstColumn="0" w:lastColumn="0" w:oddVBand="0" w:evenVBand="0" w:oddHBand="0" w:evenHBand="0" w:firstRowFirstColumn="0" w:firstRowLastColumn="0" w:lastRowFirstColumn="0" w:lastRowLastColumn="0"/>
              <w:rPr>
                <w:rFonts w:cs="Arial"/>
              </w:rPr>
            </w:pPr>
            <w:r w:rsidRPr="002C40C8">
              <w:rPr>
                <w:rFonts w:cs="Arial"/>
              </w:rPr>
              <w:t>Convexity Inserts</w:t>
            </w:r>
          </w:p>
          <w:p w14:paraId="307D1391" w14:textId="77777777" w:rsidR="00FD1CBA" w:rsidRPr="002C40C8" w:rsidRDefault="00FD1CBA" w:rsidP="002C40C8">
            <w:pPr>
              <w:pStyle w:val="ListNumber3"/>
              <w:spacing w:before="0" w:after="0"/>
              <w:cnfStyle w:val="000000000000" w:firstRow="0" w:lastRow="0" w:firstColumn="0" w:lastColumn="0" w:oddVBand="0" w:evenVBand="0" w:oddHBand="0" w:evenHBand="0" w:firstRowFirstColumn="0" w:firstRowLastColumn="0" w:lastRowFirstColumn="0" w:lastRowLastColumn="0"/>
              <w:rPr>
                <w:rFonts w:cs="Arial"/>
              </w:rPr>
            </w:pPr>
            <w:r w:rsidRPr="002C40C8">
              <w:rPr>
                <w:rFonts w:cs="Arial"/>
              </w:rPr>
              <w:t>Creams and Ointments</w:t>
            </w:r>
          </w:p>
          <w:p w14:paraId="4964626A" w14:textId="77777777" w:rsidR="00FD1CBA" w:rsidRPr="002C40C8" w:rsidRDefault="00FD1CBA" w:rsidP="002C40C8">
            <w:pPr>
              <w:pStyle w:val="ListNumber3"/>
              <w:spacing w:before="0" w:after="0"/>
              <w:cnfStyle w:val="000000000000" w:firstRow="0" w:lastRow="0" w:firstColumn="0" w:lastColumn="0" w:oddVBand="0" w:evenVBand="0" w:oddHBand="0" w:evenHBand="0" w:firstRowFirstColumn="0" w:firstRowLastColumn="0" w:lastRowFirstColumn="0" w:lastRowLastColumn="0"/>
              <w:rPr>
                <w:rFonts w:cs="Arial"/>
              </w:rPr>
            </w:pPr>
            <w:r w:rsidRPr="002C40C8">
              <w:rPr>
                <w:rFonts w:cs="Arial"/>
              </w:rPr>
              <w:t>Deodorants</w:t>
            </w:r>
          </w:p>
          <w:p w14:paraId="2B2053F3" w14:textId="77777777" w:rsidR="00FD1CBA" w:rsidRPr="002C40C8" w:rsidRDefault="00FD1CBA" w:rsidP="002C40C8">
            <w:pPr>
              <w:pStyle w:val="ListNumber3"/>
              <w:spacing w:before="0" w:after="0"/>
              <w:cnfStyle w:val="000000000000" w:firstRow="0" w:lastRow="0" w:firstColumn="0" w:lastColumn="0" w:oddVBand="0" w:evenVBand="0" w:oddHBand="0" w:evenHBand="0" w:firstRowFirstColumn="0" w:firstRowLastColumn="0" w:lastRowFirstColumn="0" w:lastRowLastColumn="0"/>
              <w:rPr>
                <w:rFonts w:cs="Arial"/>
              </w:rPr>
            </w:pPr>
            <w:r w:rsidRPr="002C40C8">
              <w:rPr>
                <w:rFonts w:cs="Arial"/>
              </w:rPr>
              <w:t>Hernia Support Belts and Garments</w:t>
            </w:r>
          </w:p>
          <w:p w14:paraId="12416A25" w14:textId="77777777" w:rsidR="00FD1CBA" w:rsidRPr="002C40C8" w:rsidRDefault="00FD1CBA" w:rsidP="002C40C8">
            <w:pPr>
              <w:pStyle w:val="ListNumber3"/>
              <w:spacing w:before="0" w:after="0"/>
              <w:cnfStyle w:val="000000000000" w:firstRow="0" w:lastRow="0" w:firstColumn="0" w:lastColumn="0" w:oddVBand="0" w:evenVBand="0" w:oddHBand="0" w:evenHBand="0" w:firstRowFirstColumn="0" w:firstRowLastColumn="0" w:lastRowFirstColumn="0" w:lastRowLastColumn="0"/>
              <w:rPr>
                <w:rFonts w:cs="Arial"/>
              </w:rPr>
            </w:pPr>
            <w:r w:rsidRPr="002C40C8">
              <w:rPr>
                <w:rFonts w:cs="Arial"/>
              </w:rPr>
              <w:t>Night Drainage</w:t>
            </w:r>
          </w:p>
          <w:p w14:paraId="7291D140" w14:textId="77777777" w:rsidR="00FD1CBA" w:rsidRPr="002C40C8" w:rsidRDefault="00FD1CBA" w:rsidP="002C40C8">
            <w:pPr>
              <w:pStyle w:val="ListNumber3"/>
              <w:spacing w:before="0" w:after="0"/>
              <w:cnfStyle w:val="000000000000" w:firstRow="0" w:lastRow="0" w:firstColumn="0" w:lastColumn="0" w:oddVBand="0" w:evenVBand="0" w:oddHBand="0" w:evenHBand="0" w:firstRowFirstColumn="0" w:firstRowLastColumn="0" w:lastRowFirstColumn="0" w:lastRowLastColumn="0"/>
              <w:rPr>
                <w:rFonts w:cs="Arial"/>
              </w:rPr>
            </w:pPr>
            <w:r w:rsidRPr="002C40C8">
              <w:rPr>
                <w:rFonts w:cs="Arial"/>
              </w:rPr>
              <w:t>Powders and Pastes</w:t>
            </w:r>
          </w:p>
          <w:p w14:paraId="5F156CD9" w14:textId="77777777" w:rsidR="00FD1CBA" w:rsidRPr="002C40C8" w:rsidRDefault="00FD1CBA" w:rsidP="002C40C8">
            <w:pPr>
              <w:pStyle w:val="ListNumber3"/>
              <w:spacing w:before="0" w:after="0"/>
              <w:cnfStyle w:val="000000000000" w:firstRow="0" w:lastRow="0" w:firstColumn="0" w:lastColumn="0" w:oddVBand="0" w:evenVBand="0" w:oddHBand="0" w:evenHBand="0" w:firstRowFirstColumn="0" w:firstRowLastColumn="0" w:lastRowFirstColumn="0" w:lastRowLastColumn="0"/>
              <w:rPr>
                <w:rFonts w:cs="Arial"/>
              </w:rPr>
            </w:pPr>
            <w:r w:rsidRPr="002C40C8">
              <w:rPr>
                <w:rFonts w:cs="Arial"/>
              </w:rPr>
              <w:t>Protective Films</w:t>
            </w:r>
          </w:p>
          <w:p w14:paraId="53FDB08D" w14:textId="77777777" w:rsidR="00FD1CBA" w:rsidRPr="002C40C8" w:rsidRDefault="00FD1CBA" w:rsidP="002C40C8">
            <w:pPr>
              <w:pStyle w:val="ListNumber3"/>
              <w:spacing w:before="0" w:after="0"/>
              <w:cnfStyle w:val="000000000000" w:firstRow="0" w:lastRow="0" w:firstColumn="0" w:lastColumn="0" w:oddVBand="0" w:evenVBand="0" w:oddHBand="0" w:evenHBand="0" w:firstRowFirstColumn="0" w:firstRowLastColumn="0" w:lastRowFirstColumn="0" w:lastRowLastColumn="0"/>
              <w:rPr>
                <w:rFonts w:cs="Arial"/>
              </w:rPr>
            </w:pPr>
            <w:r w:rsidRPr="002C40C8">
              <w:rPr>
                <w:rFonts w:cs="Arial"/>
              </w:rPr>
              <w:t>Seals</w:t>
            </w:r>
          </w:p>
          <w:p w14:paraId="466AE465" w14:textId="77777777" w:rsidR="00FD1CBA" w:rsidRPr="002C40C8" w:rsidRDefault="00FD1CBA" w:rsidP="002C40C8">
            <w:pPr>
              <w:pStyle w:val="ListNumber3"/>
              <w:spacing w:before="0" w:after="0"/>
              <w:cnfStyle w:val="000000000000" w:firstRow="0" w:lastRow="0" w:firstColumn="0" w:lastColumn="0" w:oddVBand="0" w:evenVBand="0" w:oddHBand="0" w:evenHBand="0" w:firstRowFirstColumn="0" w:firstRowLastColumn="0" w:lastRowFirstColumn="0" w:lastRowLastColumn="0"/>
              <w:rPr>
                <w:rFonts w:cs="Arial"/>
              </w:rPr>
            </w:pPr>
            <w:r w:rsidRPr="002C40C8">
              <w:rPr>
                <w:rFonts w:cs="Arial"/>
              </w:rPr>
              <w:t>Miscellaneous</w:t>
            </w:r>
          </w:p>
        </w:tc>
      </w:tr>
      <w:tr w:rsidR="00FD1CBA" w:rsidRPr="0097033F" w14:paraId="3C4A1025" w14:textId="77777777" w:rsidTr="002C40C8">
        <w:tc>
          <w:tcPr>
            <w:cnfStyle w:val="001000000000" w:firstRow="0" w:lastRow="0" w:firstColumn="1" w:lastColumn="0" w:oddVBand="0" w:evenVBand="0" w:oddHBand="0" w:evenHBand="0" w:firstRowFirstColumn="0" w:firstRowLastColumn="0" w:lastRowFirstColumn="0" w:lastRowLastColumn="0"/>
            <w:tcW w:w="1418" w:type="dxa"/>
            <w:hideMark/>
          </w:tcPr>
          <w:p w14:paraId="69C71C2A" w14:textId="77777777" w:rsidR="00FD1CBA" w:rsidRPr="002C40C8" w:rsidRDefault="00FD1CBA" w:rsidP="002C40C8">
            <w:pPr>
              <w:spacing w:before="0" w:after="0"/>
              <w:rPr>
                <w:rFonts w:cs="Arial"/>
                <w:szCs w:val="22"/>
              </w:rPr>
            </w:pPr>
            <w:r w:rsidRPr="002C40C8">
              <w:rPr>
                <w:rFonts w:cs="Arial"/>
                <w:szCs w:val="22"/>
              </w:rPr>
              <w:t>10</w:t>
            </w:r>
          </w:p>
        </w:tc>
        <w:tc>
          <w:tcPr>
            <w:tcW w:w="2693" w:type="dxa"/>
            <w:hideMark/>
          </w:tcPr>
          <w:p w14:paraId="169070DF" w14:textId="77777777" w:rsidR="00FD1CBA" w:rsidRPr="002C40C8" w:rsidRDefault="00FD1CBA" w:rsidP="002C40C8">
            <w:pPr>
              <w:spacing w:before="0" w:after="0"/>
              <w:cnfStyle w:val="000000000000" w:firstRow="0" w:lastRow="0" w:firstColumn="0" w:lastColumn="0" w:oddVBand="0" w:evenVBand="0" w:oddHBand="0" w:evenHBand="0" w:firstRowFirstColumn="0" w:firstRowLastColumn="0" w:lastRowFirstColumn="0" w:lastRowLastColumn="0"/>
              <w:rPr>
                <w:rFonts w:cs="Arial"/>
                <w:szCs w:val="22"/>
              </w:rPr>
            </w:pPr>
            <w:r w:rsidRPr="002C40C8">
              <w:rPr>
                <w:rFonts w:cs="Arial"/>
                <w:szCs w:val="22"/>
              </w:rPr>
              <w:t>Paediatric</w:t>
            </w:r>
          </w:p>
        </w:tc>
        <w:tc>
          <w:tcPr>
            <w:tcW w:w="4949" w:type="dxa"/>
            <w:hideMark/>
          </w:tcPr>
          <w:p w14:paraId="3E46C6EC" w14:textId="1EBF8447" w:rsidR="00FD1CBA" w:rsidRPr="002C40C8" w:rsidRDefault="00FD1CBA" w:rsidP="002C40C8">
            <w:pPr>
              <w:pStyle w:val="ListNumber3"/>
              <w:numPr>
                <w:ilvl w:val="0"/>
                <w:numId w:val="17"/>
              </w:numPr>
              <w:spacing w:before="0" w:after="0"/>
              <w:cnfStyle w:val="000000000000" w:firstRow="0" w:lastRow="0" w:firstColumn="0" w:lastColumn="0" w:oddVBand="0" w:evenVBand="0" w:oddHBand="0" w:evenHBand="0" w:firstRowFirstColumn="0" w:firstRowLastColumn="0" w:lastRowFirstColumn="0" w:lastRowLastColumn="0"/>
              <w:rPr>
                <w:rFonts w:cs="Arial"/>
              </w:rPr>
            </w:pPr>
            <w:r w:rsidRPr="002C40C8">
              <w:rPr>
                <w:rFonts w:cs="Arial"/>
              </w:rPr>
              <w:t>All</w:t>
            </w:r>
          </w:p>
        </w:tc>
      </w:tr>
      <w:tr w:rsidR="00FD1CBA" w:rsidRPr="0097033F" w14:paraId="0A2A9391" w14:textId="77777777" w:rsidTr="002C40C8">
        <w:tc>
          <w:tcPr>
            <w:cnfStyle w:val="001000000000" w:firstRow="0" w:lastRow="0" w:firstColumn="1" w:lastColumn="0" w:oddVBand="0" w:evenVBand="0" w:oddHBand="0" w:evenHBand="0" w:firstRowFirstColumn="0" w:firstRowLastColumn="0" w:lastRowFirstColumn="0" w:lastRowLastColumn="0"/>
            <w:tcW w:w="1418" w:type="dxa"/>
            <w:hideMark/>
          </w:tcPr>
          <w:p w14:paraId="005A2F11" w14:textId="77777777" w:rsidR="00FD1CBA" w:rsidRPr="002C40C8" w:rsidRDefault="00FD1CBA" w:rsidP="002C40C8">
            <w:pPr>
              <w:spacing w:before="0" w:after="0"/>
              <w:rPr>
                <w:rFonts w:cs="Arial"/>
                <w:szCs w:val="22"/>
              </w:rPr>
            </w:pPr>
            <w:r w:rsidRPr="002C40C8">
              <w:rPr>
                <w:rFonts w:cs="Arial"/>
                <w:szCs w:val="22"/>
              </w:rPr>
              <w:t>11</w:t>
            </w:r>
          </w:p>
        </w:tc>
        <w:tc>
          <w:tcPr>
            <w:tcW w:w="2693" w:type="dxa"/>
            <w:hideMark/>
          </w:tcPr>
          <w:p w14:paraId="1ECC4791" w14:textId="77777777" w:rsidR="00FD1CBA" w:rsidRPr="002C40C8" w:rsidRDefault="00FD1CBA" w:rsidP="002C40C8">
            <w:pPr>
              <w:spacing w:before="0" w:after="0"/>
              <w:cnfStyle w:val="000000000000" w:firstRow="0" w:lastRow="0" w:firstColumn="0" w:lastColumn="0" w:oddVBand="0" w:evenVBand="0" w:oddHBand="0" w:evenHBand="0" w:firstRowFirstColumn="0" w:firstRowLastColumn="0" w:lastRowFirstColumn="0" w:lastRowLastColumn="0"/>
              <w:rPr>
                <w:rFonts w:cs="Arial"/>
                <w:szCs w:val="22"/>
              </w:rPr>
            </w:pPr>
            <w:r w:rsidRPr="002C40C8">
              <w:rPr>
                <w:rFonts w:cs="Arial"/>
                <w:szCs w:val="22"/>
              </w:rPr>
              <w:t>Fistulae</w:t>
            </w:r>
          </w:p>
        </w:tc>
        <w:tc>
          <w:tcPr>
            <w:tcW w:w="4949" w:type="dxa"/>
            <w:hideMark/>
          </w:tcPr>
          <w:p w14:paraId="1DE2357C" w14:textId="4B78DA28" w:rsidR="00FD1CBA" w:rsidRPr="002C40C8" w:rsidRDefault="00FD1CBA" w:rsidP="002C40C8">
            <w:pPr>
              <w:pStyle w:val="ListNumber3"/>
              <w:numPr>
                <w:ilvl w:val="0"/>
                <w:numId w:val="18"/>
              </w:numPr>
              <w:spacing w:before="0" w:after="0"/>
              <w:cnfStyle w:val="000000000000" w:firstRow="0" w:lastRow="0" w:firstColumn="0" w:lastColumn="0" w:oddVBand="0" w:evenVBand="0" w:oddHBand="0" w:evenHBand="0" w:firstRowFirstColumn="0" w:firstRowLastColumn="0" w:lastRowFirstColumn="0" w:lastRowLastColumn="0"/>
              <w:rPr>
                <w:rFonts w:cs="Arial"/>
              </w:rPr>
            </w:pPr>
            <w:r w:rsidRPr="002C40C8">
              <w:rPr>
                <w:rFonts w:cs="Arial"/>
              </w:rPr>
              <w:t>All</w:t>
            </w:r>
          </w:p>
        </w:tc>
      </w:tr>
    </w:tbl>
    <w:p w14:paraId="1A61D268" w14:textId="77777777" w:rsidR="002C40C8" w:rsidRDefault="002C40C8" w:rsidP="003F4BF0">
      <w:pPr>
        <w:pStyle w:val="Heading3"/>
      </w:pPr>
      <w:bookmarkStart w:id="18" w:name="_Toc473893051"/>
      <w:bookmarkStart w:id="19" w:name="_Toc107411661"/>
      <w:bookmarkStart w:id="20" w:name="_Toc119409488"/>
    </w:p>
    <w:p w14:paraId="23D2273C" w14:textId="74F5F26A" w:rsidR="00FD1CBA" w:rsidRPr="00CA58F1" w:rsidRDefault="003E3264" w:rsidP="003F4BF0">
      <w:pPr>
        <w:pStyle w:val="Heading3"/>
      </w:pPr>
      <w:bookmarkStart w:id="21" w:name="_Toc138851183"/>
      <w:r>
        <w:t xml:space="preserve">1.2.2 </w:t>
      </w:r>
      <w:r w:rsidR="00FD1CBA">
        <w:t>Benchmark products and prices</w:t>
      </w:r>
      <w:bookmarkEnd w:id="18"/>
      <w:bookmarkEnd w:id="19"/>
      <w:bookmarkEnd w:id="20"/>
      <w:bookmarkEnd w:id="21"/>
    </w:p>
    <w:p w14:paraId="5037FEF7" w14:textId="77777777" w:rsidR="00FD1CBA" w:rsidRDefault="00FD1CBA" w:rsidP="00FD1CBA">
      <w:pPr>
        <w:rPr>
          <w:rFonts w:cs="Arial"/>
        </w:rPr>
      </w:pPr>
      <w:r>
        <w:rPr>
          <w:rFonts w:cs="Arial"/>
        </w:rPr>
        <w:t>Product prices in the SAS Schedule are set by the Department following advice from SPAP and negotiation with sponsors.</w:t>
      </w:r>
    </w:p>
    <w:p w14:paraId="36E3B136" w14:textId="582CD4A2" w:rsidR="00FD1CBA" w:rsidRDefault="00FD1CBA" w:rsidP="00FD1CBA">
      <w:pPr>
        <w:rPr>
          <w:rFonts w:cs="Arial"/>
        </w:rPr>
      </w:pPr>
      <w:r>
        <w:rPr>
          <w:rFonts w:cs="Arial"/>
        </w:rPr>
        <w:t xml:space="preserve">The Department has defined a benchmark price for each subgroup in Groups 1 to 7 of the SAS Schedule. This allows new products listed on the SAS Schedule in these subgroups to be priced consistently and transparently in relation to existing products. All </w:t>
      </w:r>
      <w:r>
        <w:rPr>
          <w:rFonts w:cs="Arial"/>
          <w:bCs/>
        </w:rPr>
        <w:t>new</w:t>
      </w:r>
      <w:r>
        <w:rPr>
          <w:rFonts w:cs="Arial"/>
        </w:rPr>
        <w:t xml:space="preserve"> products seeking listing on the SAS Schedule must either be equivalent or superior to a benchmark product of the relevant subgroup in terms of features</w:t>
      </w:r>
      <w:r w:rsidR="009467BF">
        <w:rPr>
          <w:rFonts w:cs="Arial"/>
        </w:rPr>
        <w:t xml:space="preserve">, </w:t>
      </w:r>
      <w:proofErr w:type="gramStart"/>
      <w:r w:rsidR="009467BF">
        <w:rPr>
          <w:rFonts w:cs="Arial"/>
        </w:rPr>
        <w:t>safety</w:t>
      </w:r>
      <w:proofErr w:type="gramEnd"/>
      <w:r>
        <w:rPr>
          <w:rFonts w:cs="Arial"/>
        </w:rPr>
        <w:t xml:space="preserve"> and clinical effectiveness. </w:t>
      </w:r>
    </w:p>
    <w:p w14:paraId="5034D1B1" w14:textId="77777777" w:rsidR="00FD1CBA" w:rsidRDefault="00FD1CBA" w:rsidP="00FD1CBA">
      <w:pPr>
        <w:rPr>
          <w:rFonts w:cs="Arial"/>
        </w:rPr>
      </w:pPr>
      <w:r>
        <w:rPr>
          <w:rFonts w:cs="Arial"/>
        </w:rPr>
        <w:t>Products listed in Groups 8, 9, 10 and 11 will be reviewed by SPAP to determine the most appropriate benchmarking process.</w:t>
      </w:r>
    </w:p>
    <w:p w14:paraId="155D4B7F" w14:textId="098D0149" w:rsidR="00FD1CBA" w:rsidRDefault="003E3264" w:rsidP="003F4BF0">
      <w:pPr>
        <w:pStyle w:val="Heading3"/>
      </w:pPr>
      <w:bookmarkStart w:id="22" w:name="_Toc473893052"/>
      <w:bookmarkStart w:id="23" w:name="_Toc107411662"/>
      <w:bookmarkStart w:id="24" w:name="_Toc119409489"/>
      <w:bookmarkStart w:id="25" w:name="_Toc138851184"/>
      <w:r>
        <w:t xml:space="preserve">1.2.3 </w:t>
      </w:r>
      <w:r w:rsidR="00FD1CBA">
        <w:t>Price premium products and prices in Groups 1 to 7</w:t>
      </w:r>
      <w:bookmarkEnd w:id="22"/>
      <w:bookmarkEnd w:id="23"/>
      <w:bookmarkEnd w:id="24"/>
      <w:bookmarkEnd w:id="25"/>
    </w:p>
    <w:p w14:paraId="3725F299" w14:textId="77777777" w:rsidR="00FD1CBA" w:rsidRDefault="00FD1CBA" w:rsidP="00FD1CBA">
      <w:pPr>
        <w:rPr>
          <w:rFonts w:cs="Arial"/>
          <w:szCs w:val="22"/>
        </w:rPr>
      </w:pPr>
      <w:r>
        <w:rPr>
          <w:rFonts w:cs="Arial"/>
          <w:szCs w:val="22"/>
        </w:rPr>
        <w:t>Products may be eligible to be listed as price premium products at a higher price than the benchmark price in a subgroup if they are assessed by SPAP as providing improved health outcomes and are cost-effective at the higher price.</w:t>
      </w:r>
    </w:p>
    <w:p w14:paraId="2160F8D8" w14:textId="77777777" w:rsidR="00FD1CBA" w:rsidRDefault="00FD1CBA" w:rsidP="00FD1CBA">
      <w:pPr>
        <w:rPr>
          <w:rFonts w:cs="Arial"/>
          <w:szCs w:val="22"/>
        </w:rPr>
      </w:pPr>
      <w:r>
        <w:rPr>
          <w:rFonts w:cs="Arial"/>
          <w:szCs w:val="22"/>
        </w:rPr>
        <w:t>The price premium is set by the Department following advice from SPAP and is determined by assessing the improved quality of life and/or survival provided by the product in comparison to a benchmark product. The Premium column in the SAS Schedule specifies the premium applied to the pack price of listed premium products.</w:t>
      </w:r>
    </w:p>
    <w:p w14:paraId="203742F9" w14:textId="39CEAB16" w:rsidR="00FD1CBA" w:rsidRDefault="003E3264" w:rsidP="003F4BF0">
      <w:pPr>
        <w:pStyle w:val="Heading3"/>
      </w:pPr>
      <w:bookmarkStart w:id="26" w:name="_Toc473893053"/>
      <w:bookmarkStart w:id="27" w:name="_Toc107411663"/>
      <w:bookmarkStart w:id="28" w:name="_Toc119409490"/>
      <w:bookmarkStart w:id="29" w:name="_Toc138851185"/>
      <w:r>
        <w:t xml:space="preserve">1.2.4 </w:t>
      </w:r>
      <w:r w:rsidR="00FD1CBA">
        <w:t>Maximum Quantities</w:t>
      </w:r>
      <w:bookmarkEnd w:id="26"/>
      <w:bookmarkEnd w:id="27"/>
      <w:bookmarkEnd w:id="28"/>
      <w:bookmarkEnd w:id="29"/>
    </w:p>
    <w:p w14:paraId="4729E3B0" w14:textId="77777777" w:rsidR="00F32B91" w:rsidRPr="00F32B91" w:rsidRDefault="00FD1CBA" w:rsidP="00F32B91">
      <w:pPr>
        <w:rPr>
          <w:rFonts w:cs="Arial"/>
          <w:szCs w:val="22"/>
        </w:rPr>
      </w:pPr>
      <w:r>
        <w:rPr>
          <w:szCs w:val="22"/>
        </w:rPr>
        <w:t xml:space="preserve">The SAS Schedule specifies the maximum number of units of stoma-related products available to participants under the Scheme per month (or annually if relevant). Maximum </w:t>
      </w:r>
      <w:r w:rsidRPr="00F32B91">
        <w:rPr>
          <w:rFonts w:cs="Arial"/>
          <w:szCs w:val="22"/>
        </w:rPr>
        <w:t xml:space="preserve">quantities for each subgroup are set by the Department after consultation with SPAP and are designed to reflect clinically appropriate usage. </w:t>
      </w:r>
    </w:p>
    <w:p w14:paraId="480CC10E" w14:textId="5C865BD4" w:rsidR="00FD1CBA" w:rsidRDefault="007553E9" w:rsidP="00F32B91">
      <w:pPr>
        <w:rPr>
          <w:szCs w:val="22"/>
        </w:rPr>
      </w:pPr>
      <w:r>
        <w:rPr>
          <w:rFonts w:cs="Arial"/>
          <w:szCs w:val="22"/>
        </w:rPr>
        <w:t>Scheme</w:t>
      </w:r>
      <w:r w:rsidR="00FD1CBA" w:rsidRPr="00F32B91">
        <w:rPr>
          <w:rFonts w:cs="Arial"/>
          <w:szCs w:val="22"/>
        </w:rPr>
        <w:t xml:space="preserve"> participant</w:t>
      </w:r>
      <w:r>
        <w:rPr>
          <w:rFonts w:cs="Arial"/>
          <w:szCs w:val="22"/>
        </w:rPr>
        <w:t>s</w:t>
      </w:r>
      <w:r w:rsidR="00FD1CBA" w:rsidRPr="00F32B91">
        <w:rPr>
          <w:rFonts w:cs="Arial"/>
          <w:szCs w:val="22"/>
        </w:rPr>
        <w:t xml:space="preserve"> can apply for additional supplies of stoma-related products, if required, where their</w:t>
      </w:r>
      <w:r w:rsidR="00FD1CBA">
        <w:rPr>
          <w:szCs w:val="22"/>
        </w:rPr>
        <w:t xml:space="preserve"> condition cannot be managed with the specified maximum quantity</w:t>
      </w:r>
      <w:r>
        <w:rPr>
          <w:szCs w:val="22"/>
        </w:rPr>
        <w:t xml:space="preserve"> following consultation with a stomal therapy nurse</w:t>
      </w:r>
      <w:r w:rsidR="002E559D">
        <w:rPr>
          <w:szCs w:val="22"/>
        </w:rPr>
        <w:t>.</w:t>
      </w:r>
      <w:r w:rsidR="009B6C4A">
        <w:rPr>
          <w:rStyle w:val="FootnoteReference"/>
          <w:szCs w:val="22"/>
        </w:rPr>
        <w:footnoteReference w:id="2"/>
      </w:r>
    </w:p>
    <w:p w14:paraId="2C56FF84" w14:textId="7D69A7C4" w:rsidR="00FD1CBA" w:rsidRPr="00CA58F1" w:rsidRDefault="003E3264" w:rsidP="003F4BF0">
      <w:pPr>
        <w:pStyle w:val="Heading3"/>
      </w:pPr>
      <w:bookmarkStart w:id="30" w:name="_Toc107411664"/>
      <w:bookmarkStart w:id="31" w:name="_Toc119409491"/>
      <w:bookmarkStart w:id="32" w:name="_Toc138851186"/>
      <w:r>
        <w:t xml:space="preserve">1.2.5 </w:t>
      </w:r>
      <w:r w:rsidR="00FD1CBA">
        <w:t>The Stoma Product Assessment Panel</w:t>
      </w:r>
      <w:bookmarkEnd w:id="30"/>
      <w:bookmarkEnd w:id="31"/>
      <w:bookmarkEnd w:id="32"/>
      <w:r w:rsidR="00FD1CBA">
        <w:t xml:space="preserve"> </w:t>
      </w:r>
    </w:p>
    <w:p w14:paraId="20954518" w14:textId="77777777" w:rsidR="00FD1CBA" w:rsidRDefault="00FD1CBA" w:rsidP="00FD1CBA">
      <w:pPr>
        <w:rPr>
          <w:rFonts w:cs="Arial"/>
        </w:rPr>
      </w:pPr>
      <w:r>
        <w:rPr>
          <w:rFonts w:cs="Arial"/>
        </w:rPr>
        <w:t>The Stoma Product Assessment Panel (SPAP) is an independent technical advice panel appointed by the Department to review applications from sponsors for inclusion of stoma</w:t>
      </w:r>
      <w:r>
        <w:rPr>
          <w:rFonts w:cs="Arial"/>
        </w:rPr>
        <w:noBreakHyphen/>
        <w:t>related products on the SAS Schedule.</w:t>
      </w:r>
    </w:p>
    <w:p w14:paraId="226016D3" w14:textId="77777777" w:rsidR="00FD1CBA" w:rsidRDefault="00FD1CBA" w:rsidP="00FD1CBA">
      <w:pPr>
        <w:rPr>
          <w:rFonts w:cs="Arial"/>
        </w:rPr>
      </w:pPr>
      <w:r>
        <w:rPr>
          <w:rFonts w:cs="Arial"/>
        </w:rPr>
        <w:t xml:space="preserve">The Department established the SPAP in 2002 and restructured it following a 2009-2010 review to improve its independence and ability to assess economic evidence. The SPAP comprises 9 members: </w:t>
      </w:r>
    </w:p>
    <w:p w14:paraId="5B586C60" w14:textId="77777777" w:rsidR="00FD1CBA" w:rsidRDefault="00FD1CBA" w:rsidP="000F6458">
      <w:pPr>
        <w:pStyle w:val="ListBullet"/>
        <w:keepNext/>
      </w:pPr>
      <w:r>
        <w:lastRenderedPageBreak/>
        <w:t>an independent chair</w:t>
      </w:r>
    </w:p>
    <w:p w14:paraId="6A4282E7" w14:textId="77777777" w:rsidR="00FD1CBA" w:rsidRDefault="00FD1CBA" w:rsidP="00CA58F1">
      <w:pPr>
        <w:pStyle w:val="ListBullet"/>
      </w:pPr>
      <w:r>
        <w:t>clinical and economic experts</w:t>
      </w:r>
    </w:p>
    <w:p w14:paraId="14A4C491" w14:textId="77777777" w:rsidR="00FD1CBA" w:rsidRDefault="00FD1CBA" w:rsidP="00CA58F1">
      <w:pPr>
        <w:pStyle w:val="ListBullet"/>
      </w:pPr>
      <w:r>
        <w:t xml:space="preserve">a consumer representative </w:t>
      </w:r>
    </w:p>
    <w:p w14:paraId="1015B0B1" w14:textId="77777777" w:rsidR="00FD1CBA" w:rsidRDefault="00FD1CBA" w:rsidP="00CA58F1">
      <w:pPr>
        <w:pStyle w:val="ListBullet"/>
      </w:pPr>
      <w:r>
        <w:t>non-voting representatives from the Australian Council of Stoma Associations (ACSA) and industry.</w:t>
      </w:r>
    </w:p>
    <w:p w14:paraId="3EFCE749" w14:textId="77777777" w:rsidR="00FD1CBA" w:rsidRDefault="00FD1CBA" w:rsidP="00FD1CBA">
      <w:pPr>
        <w:rPr>
          <w:rFonts w:cs="Arial"/>
        </w:rPr>
      </w:pPr>
      <w:r>
        <w:rPr>
          <w:rFonts w:cs="Arial"/>
        </w:rPr>
        <w:t xml:space="preserve">The primary role of </w:t>
      </w:r>
      <w:r>
        <w:rPr>
          <w:rFonts w:cs="Arial"/>
          <w:bCs/>
        </w:rPr>
        <w:t>the</w:t>
      </w:r>
      <w:r>
        <w:rPr>
          <w:rFonts w:cs="Arial"/>
        </w:rPr>
        <w:t xml:space="preserve"> SPAP is to consider applications from sponsors for the listing of new products on the SAS Schedule and to make recommendations to the Department regarding those applications.</w:t>
      </w:r>
    </w:p>
    <w:p w14:paraId="053DF1E8" w14:textId="77777777" w:rsidR="00F32B91" w:rsidRPr="00CA58F1" w:rsidRDefault="00F32B91" w:rsidP="00F32B91">
      <w:r>
        <w:rPr>
          <w:rFonts w:cs="Arial"/>
        </w:rPr>
        <w:t>The Terms of Reference for the SPAP are:</w:t>
      </w:r>
    </w:p>
    <w:p w14:paraId="34760356" w14:textId="77777777" w:rsidR="00F32B91" w:rsidRPr="003F4BF0" w:rsidRDefault="00F32B91" w:rsidP="00CA58F1">
      <w:pPr>
        <w:pStyle w:val="ListNumber"/>
      </w:pPr>
      <w:r w:rsidRPr="000D3F1D">
        <w:t>Provide advice to the Department on definitions, criteria, and processes for the inclusion of products on the Schem</w:t>
      </w:r>
      <w:r w:rsidRPr="003F4BF0">
        <w:t>e.</w:t>
      </w:r>
    </w:p>
    <w:p w14:paraId="2E6ABA9B" w14:textId="3716546C" w:rsidR="00F32B91" w:rsidRPr="003F4BF0" w:rsidRDefault="00F32B91" w:rsidP="00CA58F1">
      <w:pPr>
        <w:pStyle w:val="ListNumber"/>
      </w:pPr>
      <w:r w:rsidRPr="003F4BF0">
        <w:t>Review and assess products considering effectiveness (</w:t>
      </w:r>
      <w:proofErr w:type="gramStart"/>
      <w:r w:rsidRPr="003F4BF0">
        <w:t>i.e.</w:t>
      </w:r>
      <w:proofErr w:type="gramEnd"/>
      <w:r w:rsidRPr="003F4BF0">
        <w:t xml:space="preserve"> effect on health outcomes for participants), quality, ease of use, safety, cost and cost</w:t>
      </w:r>
      <w:r w:rsidRPr="003F4BF0">
        <w:noBreakHyphen/>
        <w:t>effectiveness and to provide a recommendation to the Department.</w:t>
      </w:r>
    </w:p>
    <w:p w14:paraId="4F85A745" w14:textId="77777777" w:rsidR="00F32B91" w:rsidRPr="003F4BF0" w:rsidRDefault="00F32B91" w:rsidP="00CA58F1">
      <w:pPr>
        <w:pStyle w:val="ListNumber"/>
      </w:pPr>
      <w:r w:rsidRPr="003F4BF0">
        <w:t>Ensure that high quality stoma-related products are contained in the Scheme, and periodically review products and associated pricing as required.</w:t>
      </w:r>
    </w:p>
    <w:p w14:paraId="556EEF89" w14:textId="77777777" w:rsidR="00F32B91" w:rsidRPr="003F4BF0" w:rsidRDefault="00F32B91" w:rsidP="00CA58F1">
      <w:pPr>
        <w:pStyle w:val="ListNumber"/>
      </w:pPr>
      <w:r w:rsidRPr="003F4BF0">
        <w:t>Where requested, provide advice to the Department on appropriate structuring of the SAS Schedule, and where appropriate recommend strategies or principles in relation to schedule management.</w:t>
      </w:r>
    </w:p>
    <w:p w14:paraId="1BE84312" w14:textId="77777777" w:rsidR="00F32B91" w:rsidRPr="003F4BF0" w:rsidRDefault="00F32B91" w:rsidP="00CA58F1">
      <w:pPr>
        <w:pStyle w:val="ListNumber"/>
      </w:pPr>
      <w:r w:rsidRPr="003F4BF0">
        <w:t>Consider policy issues in relation to the Scheme as directed by the Department.</w:t>
      </w:r>
    </w:p>
    <w:p w14:paraId="3861DD62" w14:textId="77777777" w:rsidR="00F32B91" w:rsidRDefault="00F32B91" w:rsidP="00F32B91">
      <w:pPr>
        <w:widowControl w:val="0"/>
        <w:rPr>
          <w:rFonts w:cs="Arial"/>
        </w:rPr>
      </w:pPr>
      <w:r>
        <w:rPr>
          <w:rFonts w:cs="Arial"/>
        </w:rPr>
        <w:t>The SPAP Secretariat provides administrative support to SPAP. Its functions include:</w:t>
      </w:r>
    </w:p>
    <w:p w14:paraId="1D76DC42" w14:textId="77777777" w:rsidR="00F32B91" w:rsidRPr="00CA58F1" w:rsidRDefault="00F32B91" w:rsidP="00CA58F1">
      <w:pPr>
        <w:pStyle w:val="ListBullet"/>
      </w:pPr>
      <w:r w:rsidRPr="00CA58F1">
        <w:t>Managing the receipt of applications to list stoma-related products on the SAS Schedule, including compliance with application administrative requirements</w:t>
      </w:r>
    </w:p>
    <w:p w14:paraId="73EC99C7" w14:textId="77777777" w:rsidR="00F32B91" w:rsidRPr="00CA58F1" w:rsidRDefault="00F32B91" w:rsidP="00CA58F1">
      <w:pPr>
        <w:pStyle w:val="ListBullet"/>
      </w:pPr>
      <w:r w:rsidRPr="00CA58F1">
        <w:t>Maintaining the SAS Schedule and Schedule release arrangements</w:t>
      </w:r>
    </w:p>
    <w:p w14:paraId="70D2EDF0" w14:textId="1799CD5A" w:rsidR="000D3F1D" w:rsidRPr="00CA58F1" w:rsidRDefault="00F32B91" w:rsidP="00CA58F1">
      <w:pPr>
        <w:pStyle w:val="ListBullet"/>
      </w:pPr>
      <w:r w:rsidRPr="00CA58F1">
        <w:t>Managing the administrative aspects of SPAP meetings and the preparation of Public Summary Documents</w:t>
      </w:r>
    </w:p>
    <w:p w14:paraId="54051473" w14:textId="2BFF2225" w:rsidR="003B32F1" w:rsidRPr="00CA58F1" w:rsidRDefault="00F32B91" w:rsidP="00CA58F1">
      <w:pPr>
        <w:pStyle w:val="ListBullet"/>
      </w:pPr>
      <w:r w:rsidRPr="00CA58F1">
        <w:t>Providing advice regarding poli</w:t>
      </w:r>
      <w:r w:rsidRPr="000D3F1D">
        <w:t>cy and administration of the Scheme.</w:t>
      </w:r>
      <w:bookmarkStart w:id="33" w:name="_Toc473893056"/>
      <w:bookmarkStart w:id="34" w:name="_Toc107411665"/>
      <w:r w:rsidR="003B32F1">
        <w:br w:type="page"/>
      </w:r>
    </w:p>
    <w:p w14:paraId="7AFBAD67" w14:textId="3E801DD4" w:rsidR="00F32B91" w:rsidRPr="00CA58F1" w:rsidRDefault="00F32B91" w:rsidP="00F32B91">
      <w:pPr>
        <w:pStyle w:val="Heading1"/>
      </w:pPr>
      <w:bookmarkStart w:id="35" w:name="_Toc119409492"/>
      <w:bookmarkStart w:id="36" w:name="_Toc138851187"/>
      <w:r>
        <w:lastRenderedPageBreak/>
        <w:t>Part 2 – Application Guidelines and Evidence Requirements</w:t>
      </w:r>
      <w:bookmarkEnd w:id="33"/>
      <w:bookmarkEnd w:id="34"/>
      <w:bookmarkEnd w:id="35"/>
      <w:bookmarkEnd w:id="36"/>
    </w:p>
    <w:p w14:paraId="243843FA" w14:textId="77777777" w:rsidR="00F32B91" w:rsidRDefault="00F32B91" w:rsidP="00F32B91">
      <w:pPr>
        <w:rPr>
          <w:rFonts w:cs="Arial"/>
        </w:rPr>
      </w:pPr>
      <w:r>
        <w:rPr>
          <w:rFonts w:cs="Arial"/>
        </w:rPr>
        <w:t xml:space="preserve">This part of the document is to provide guidance to sponsors who wish to </w:t>
      </w:r>
      <w:proofErr w:type="gramStart"/>
      <w:r>
        <w:rPr>
          <w:rFonts w:cs="Arial"/>
        </w:rPr>
        <w:t>submit an application</w:t>
      </w:r>
      <w:proofErr w:type="gramEnd"/>
      <w:r>
        <w:rPr>
          <w:rFonts w:cs="Arial"/>
        </w:rPr>
        <w:t xml:space="preserve"> to:</w:t>
      </w:r>
    </w:p>
    <w:p w14:paraId="1D949587" w14:textId="77777777" w:rsidR="00F32B91" w:rsidRDefault="00F32B91" w:rsidP="00CA58F1">
      <w:pPr>
        <w:pStyle w:val="ListBullet"/>
      </w:pPr>
      <w:r>
        <w:t>list a new stoma-related product on the SAS Schedule</w:t>
      </w:r>
    </w:p>
    <w:p w14:paraId="68392F5C" w14:textId="77777777" w:rsidR="00F32B91" w:rsidRDefault="00F32B91" w:rsidP="00CA58F1">
      <w:pPr>
        <w:pStyle w:val="ListBullet"/>
      </w:pPr>
      <w:r>
        <w:t xml:space="preserve">vary a current product listing, or </w:t>
      </w:r>
    </w:p>
    <w:p w14:paraId="74DADC06" w14:textId="77777777" w:rsidR="00F32B91" w:rsidRDefault="00F32B91" w:rsidP="00CA58F1">
      <w:pPr>
        <w:pStyle w:val="ListBullet"/>
      </w:pPr>
      <w:r>
        <w:t xml:space="preserve">delete a current product from the SAS Schedule. </w:t>
      </w:r>
    </w:p>
    <w:p w14:paraId="73BA9785" w14:textId="77777777" w:rsidR="00F32B91" w:rsidRPr="00CA58F1" w:rsidRDefault="00F32B91" w:rsidP="00CA58F1">
      <w:r w:rsidRPr="00CA58F1">
        <w:t xml:space="preserve">Application forms can be found on the </w:t>
      </w:r>
      <w:hyperlink r:id="rId14" w:history="1">
        <w:r>
          <w:rPr>
            <w:rStyle w:val="Hyperlink"/>
            <w:szCs w:val="22"/>
          </w:rPr>
          <w:t xml:space="preserve">Department's Stoma webpage </w:t>
        </w:r>
      </w:hyperlink>
      <w:r w:rsidRPr="00CA58F1">
        <w:t xml:space="preserve">or can be requested from the SPAP Secretariat at: </w:t>
      </w:r>
      <w:hyperlink r:id="rId15" w:history="1">
        <w:r>
          <w:rPr>
            <w:rStyle w:val="Hyperlink"/>
            <w:rFonts w:cs="Arial"/>
            <w:szCs w:val="22"/>
          </w:rPr>
          <w:t>stoma@health.gov.au</w:t>
        </w:r>
      </w:hyperlink>
      <w:r w:rsidRPr="00CA58F1">
        <w:t xml:space="preserve"> or phone: (02) 6289 2308.</w:t>
      </w:r>
      <w:bookmarkStart w:id="37" w:name="_Toc473893057"/>
      <w:bookmarkStart w:id="38" w:name="_Toc474141479"/>
      <w:bookmarkEnd w:id="37"/>
      <w:bookmarkEnd w:id="38"/>
    </w:p>
    <w:p w14:paraId="214CE64E" w14:textId="5CE3A8B6" w:rsidR="00F32B91" w:rsidRDefault="003E3264" w:rsidP="003F4BF0">
      <w:pPr>
        <w:pStyle w:val="Heading2"/>
      </w:pPr>
      <w:bookmarkStart w:id="39" w:name="_Toc107498865"/>
      <w:bookmarkStart w:id="40" w:name="_Toc107498898"/>
      <w:bookmarkStart w:id="41" w:name="_Toc113619567"/>
      <w:bookmarkStart w:id="42" w:name="_Toc473893059"/>
      <w:bookmarkStart w:id="43" w:name="_Toc107411666"/>
      <w:bookmarkStart w:id="44" w:name="_Toc119409493"/>
      <w:bookmarkStart w:id="45" w:name="_Toc138851188"/>
      <w:bookmarkEnd w:id="39"/>
      <w:bookmarkEnd w:id="40"/>
      <w:bookmarkEnd w:id="41"/>
      <w:r>
        <w:t xml:space="preserve">2.1 </w:t>
      </w:r>
      <w:r w:rsidR="00F32B91">
        <w:t>Who can apply</w:t>
      </w:r>
      <w:bookmarkEnd w:id="42"/>
      <w:bookmarkEnd w:id="43"/>
      <w:bookmarkEnd w:id="44"/>
      <w:bookmarkEnd w:id="45"/>
    </w:p>
    <w:p w14:paraId="1E2BFE07" w14:textId="77777777" w:rsidR="00F32B91" w:rsidRDefault="00F32B91" w:rsidP="00F32B91">
      <w:pPr>
        <w:rPr>
          <w:rFonts w:cs="Arial"/>
        </w:rPr>
      </w:pPr>
      <w:r>
        <w:rPr>
          <w:rFonts w:cs="Arial"/>
        </w:rPr>
        <w:t>A sponsor of a stoma-related product must meet the following conditions:</w:t>
      </w:r>
    </w:p>
    <w:p w14:paraId="18BD1528" w14:textId="77777777" w:rsidR="00F32B91" w:rsidRDefault="00F32B91" w:rsidP="00CA58F1">
      <w:pPr>
        <w:pStyle w:val="ListBullet"/>
      </w:pPr>
      <w:r>
        <w:t xml:space="preserve">have an Australian Business Number (ABN) </w:t>
      </w:r>
    </w:p>
    <w:p w14:paraId="28E1655E" w14:textId="77777777" w:rsidR="00F32B91" w:rsidRDefault="00F32B91" w:rsidP="00CA58F1">
      <w:pPr>
        <w:pStyle w:val="ListBullet"/>
      </w:pPr>
      <w:r>
        <w:t>be able to guarantee supply of the product to eligible stoma associations in Australia at the time of listing.</w:t>
      </w:r>
    </w:p>
    <w:p w14:paraId="69FA85B6" w14:textId="77777777" w:rsidR="00F32B91" w:rsidRDefault="00F32B91" w:rsidP="00F32B91">
      <w:pPr>
        <w:rPr>
          <w:rFonts w:cs="Arial"/>
        </w:rPr>
      </w:pPr>
      <w:r>
        <w:rPr>
          <w:rFonts w:cs="Arial"/>
        </w:rPr>
        <w:t>Products can only be listed on the SAS Schedule if the listing has been initiated by a sponsor who meets the conditions listed above.</w:t>
      </w:r>
    </w:p>
    <w:p w14:paraId="4AE88AA8" w14:textId="7F2A4446" w:rsidR="00F32B91" w:rsidRDefault="003E3264" w:rsidP="003F4BF0">
      <w:pPr>
        <w:pStyle w:val="Heading2"/>
      </w:pPr>
      <w:bookmarkStart w:id="46" w:name="_Toc473893060"/>
      <w:bookmarkStart w:id="47" w:name="_Toc107411667"/>
      <w:bookmarkStart w:id="48" w:name="_Toc119409494"/>
      <w:bookmarkStart w:id="49" w:name="_Toc138851189"/>
      <w:r>
        <w:t xml:space="preserve">2.2 </w:t>
      </w:r>
      <w:r w:rsidR="00F32B91">
        <w:t>Products eligible to be listed on the Scheme</w:t>
      </w:r>
      <w:bookmarkEnd w:id="46"/>
      <w:bookmarkEnd w:id="47"/>
      <w:bookmarkEnd w:id="48"/>
      <w:bookmarkEnd w:id="49"/>
    </w:p>
    <w:p w14:paraId="561C2C51" w14:textId="41FC6159" w:rsidR="00F32B91" w:rsidRDefault="00F32B91" w:rsidP="00F32B91">
      <w:pPr>
        <w:rPr>
          <w:rFonts w:cs="Arial"/>
        </w:rPr>
      </w:pPr>
      <w:r>
        <w:rPr>
          <w:rFonts w:cs="Arial"/>
        </w:rPr>
        <w:t>A</w:t>
      </w:r>
      <w:r w:rsidR="00A043BF">
        <w:rPr>
          <w:rFonts w:cs="Arial"/>
        </w:rPr>
        <w:t xml:space="preserve"> </w:t>
      </w:r>
      <w:r>
        <w:rPr>
          <w:rFonts w:cs="Arial"/>
        </w:rPr>
        <w:t>product may be considered for listing on the SAS Schedule providing it meets the following conditions:</w:t>
      </w:r>
    </w:p>
    <w:p w14:paraId="11C60354" w14:textId="77777777" w:rsidR="00BF005E" w:rsidRDefault="00BF005E" w:rsidP="00CA58F1">
      <w:pPr>
        <w:pStyle w:val="ListBullet"/>
      </w:pPr>
      <w:r>
        <w:t>The product is registered on the Australian Register of Therapeutic Goods (ARTG) if applicable, and the listing details from a valid ARTG certificate are specified in the application.</w:t>
      </w:r>
      <w:r w:rsidRPr="000D3F1D">
        <w:rPr>
          <w:rStyle w:val="FootnoteReference"/>
          <w:rFonts w:cs="Arial"/>
        </w:rPr>
        <w:footnoteReference w:id="3"/>
      </w:r>
      <w:r>
        <w:t xml:space="preserve"> </w:t>
      </w:r>
    </w:p>
    <w:p w14:paraId="747A7B4A" w14:textId="77777777" w:rsidR="00BF005E" w:rsidRDefault="00BF005E" w:rsidP="00CA58F1">
      <w:pPr>
        <w:pStyle w:val="ListBullet"/>
      </w:pPr>
      <w:r>
        <w:t>A product can still be assessed if it does not have an ARTG certificate, but it cannot be listed on the SAS Schedule until the details of the certificate are provided and verified by the SPAP Secretariat.</w:t>
      </w:r>
    </w:p>
    <w:p w14:paraId="19D8B48E" w14:textId="12BA6278" w:rsidR="00BF005E" w:rsidRDefault="00BF005E" w:rsidP="00CA58F1">
      <w:pPr>
        <w:pStyle w:val="ListBullet"/>
      </w:pPr>
      <w:r>
        <w:t xml:space="preserve">There is a clinical need </w:t>
      </w:r>
      <w:r w:rsidR="0040105E">
        <w:t xml:space="preserve">for the product in management of a stoma, </w:t>
      </w:r>
      <w:r w:rsidR="001742AA">
        <w:t>and evidence of clinical effectiveness</w:t>
      </w:r>
      <w:r w:rsidR="003E1410" w:rsidRPr="003E1410">
        <w:t xml:space="preserve"> </w:t>
      </w:r>
      <w:r w:rsidR="003E1410">
        <w:t>for the product</w:t>
      </w:r>
      <w:r>
        <w:t xml:space="preserve">. </w:t>
      </w:r>
    </w:p>
    <w:p w14:paraId="29936A01" w14:textId="77777777" w:rsidR="00BF005E" w:rsidRDefault="00BF005E" w:rsidP="00CA58F1">
      <w:pPr>
        <w:pStyle w:val="ListBullet"/>
      </w:pPr>
      <w:r>
        <w:t>The product will be available to be supplied from the date it is listed on the SAS Schedule.</w:t>
      </w:r>
    </w:p>
    <w:p w14:paraId="4170E20C" w14:textId="00CF000F" w:rsidR="00422743" w:rsidRDefault="00302C7C" w:rsidP="00F32B91">
      <w:pPr>
        <w:rPr>
          <w:rFonts w:cs="Arial"/>
        </w:rPr>
      </w:pPr>
      <w:r>
        <w:rPr>
          <w:rFonts w:cs="Arial"/>
        </w:rPr>
        <w:t>A</w:t>
      </w:r>
      <w:r w:rsidR="0084481B">
        <w:rPr>
          <w:rFonts w:cs="Arial"/>
        </w:rPr>
        <w:t xml:space="preserve">dditional </w:t>
      </w:r>
      <w:r w:rsidR="00906B1B">
        <w:rPr>
          <w:rFonts w:cs="Arial"/>
        </w:rPr>
        <w:t xml:space="preserve">conditions apply </w:t>
      </w:r>
      <w:r w:rsidR="0084481B">
        <w:rPr>
          <w:rFonts w:cs="Arial"/>
        </w:rPr>
        <w:t>to</w:t>
      </w:r>
      <w:r w:rsidR="00906B1B">
        <w:rPr>
          <w:rFonts w:cs="Arial"/>
        </w:rPr>
        <w:t xml:space="preserve"> applications for</w:t>
      </w:r>
      <w:r>
        <w:rPr>
          <w:rFonts w:cs="Arial"/>
        </w:rPr>
        <w:t xml:space="preserve"> products at the benchmark price and price premium products, as set out below. </w:t>
      </w:r>
      <w:r w:rsidR="00422743">
        <w:rPr>
          <w:rFonts w:cs="Arial"/>
        </w:rPr>
        <w:t xml:space="preserve"> </w:t>
      </w:r>
    </w:p>
    <w:p w14:paraId="11DCFEBD" w14:textId="53FA007A" w:rsidR="00F32B91" w:rsidRDefault="0097033F" w:rsidP="000F6458">
      <w:pPr>
        <w:pStyle w:val="Heading3"/>
        <w:keepLines/>
      </w:pPr>
      <w:bookmarkStart w:id="50" w:name="_Toc473893061"/>
      <w:bookmarkStart w:id="51" w:name="_Toc138851190"/>
      <w:r>
        <w:lastRenderedPageBreak/>
        <w:t xml:space="preserve">2.2.1 </w:t>
      </w:r>
      <w:r w:rsidR="00F32B91">
        <w:t>Products at the Benchmark Price</w:t>
      </w:r>
      <w:bookmarkEnd w:id="50"/>
      <w:bookmarkEnd w:id="51"/>
    </w:p>
    <w:p w14:paraId="035DBD22" w14:textId="77777777" w:rsidR="00F32B91" w:rsidRDefault="00F32B91" w:rsidP="000F6458">
      <w:pPr>
        <w:pStyle w:val="ListBullet"/>
        <w:keepNext/>
        <w:keepLines/>
      </w:pPr>
      <w:r>
        <w:t>The product is no worse than its comparator regarding safety and/or efficacy.</w:t>
      </w:r>
    </w:p>
    <w:p w14:paraId="3E2D6B29" w14:textId="77777777" w:rsidR="00F32B91" w:rsidRDefault="00F32B91" w:rsidP="000F6458">
      <w:pPr>
        <w:pStyle w:val="ListBullet"/>
        <w:keepLines/>
      </w:pPr>
      <w:r>
        <w:t>The product’s requested price does not exceed the benchmark price for the relevant subgroup.</w:t>
      </w:r>
    </w:p>
    <w:p w14:paraId="6F74EB5E" w14:textId="3DC45408" w:rsidR="00F32B91" w:rsidRDefault="0097033F" w:rsidP="0097033F">
      <w:pPr>
        <w:pStyle w:val="Heading3"/>
      </w:pPr>
      <w:bookmarkStart w:id="52" w:name="_Toc473893062"/>
      <w:bookmarkStart w:id="53" w:name="_Toc138851191"/>
      <w:r>
        <w:t xml:space="preserve">2.2.2 </w:t>
      </w:r>
      <w:r w:rsidR="00F32B91">
        <w:t>Price Premium Products</w:t>
      </w:r>
      <w:bookmarkEnd w:id="52"/>
      <w:bookmarkEnd w:id="53"/>
    </w:p>
    <w:p w14:paraId="0FCFF637" w14:textId="77777777" w:rsidR="00F32B91" w:rsidRDefault="00F32B91" w:rsidP="00CA58F1">
      <w:pPr>
        <w:pStyle w:val="ListBullet"/>
      </w:pPr>
      <w:r>
        <w:t>The product has been compared to one or more comparators on the SAS Schedule and SPAP considers that the evidence indicates:</w:t>
      </w:r>
    </w:p>
    <w:p w14:paraId="382546EA" w14:textId="77777777" w:rsidR="00F32B91" w:rsidRDefault="00F32B91" w:rsidP="00CA58F1">
      <w:pPr>
        <w:pStyle w:val="ListNumber2"/>
      </w:pPr>
      <w:r>
        <w:t>it is superior in efficacy and/or safety</w:t>
      </w:r>
    </w:p>
    <w:p w14:paraId="091E5BEC" w14:textId="13F13855" w:rsidR="00F32B91" w:rsidRDefault="00F32B91" w:rsidP="00CA58F1">
      <w:pPr>
        <w:pStyle w:val="ListNumber2"/>
      </w:pPr>
      <w:r>
        <w:t>its cost</w:t>
      </w:r>
      <w:r w:rsidR="009467BF">
        <w:t xml:space="preserve"> effectiveness </w:t>
      </w:r>
      <w:r>
        <w:t>relative to its clinical effectiveness</w:t>
      </w:r>
    </w:p>
    <w:p w14:paraId="6CB92933" w14:textId="77777777" w:rsidR="00F32B91" w:rsidRDefault="00F32B91" w:rsidP="00CA58F1">
      <w:pPr>
        <w:pStyle w:val="ListNumber2"/>
      </w:pPr>
      <w:r>
        <w:t>where the product cannot be compared to a product currently listed on the SAS Schedule, evidence of its clinical and cost effectiveness is provided.</w:t>
      </w:r>
    </w:p>
    <w:p w14:paraId="166E79C6" w14:textId="5CE52DFD" w:rsidR="00F32B91" w:rsidRDefault="003E3264" w:rsidP="003F4BF0">
      <w:pPr>
        <w:pStyle w:val="Heading2"/>
      </w:pPr>
      <w:bookmarkStart w:id="54" w:name="_2.3_Application_to"/>
      <w:bookmarkStart w:id="55" w:name="_Toc473893069"/>
      <w:bookmarkStart w:id="56" w:name="_Toc107411668"/>
      <w:bookmarkStart w:id="57" w:name="_Toc119409495"/>
      <w:bookmarkStart w:id="58" w:name="_Toc138851192"/>
      <w:bookmarkEnd w:id="54"/>
      <w:r>
        <w:t xml:space="preserve">2.3 </w:t>
      </w:r>
      <w:r w:rsidR="00F32B91">
        <w:t>Application to List Products</w:t>
      </w:r>
      <w:bookmarkEnd w:id="55"/>
      <w:bookmarkEnd w:id="56"/>
      <w:bookmarkEnd w:id="57"/>
      <w:bookmarkEnd w:id="58"/>
    </w:p>
    <w:p w14:paraId="2742584E" w14:textId="16BE8A1E" w:rsidR="00F32B91" w:rsidRDefault="003E3264" w:rsidP="003F4BF0">
      <w:pPr>
        <w:pStyle w:val="Heading3"/>
      </w:pPr>
      <w:bookmarkStart w:id="59" w:name="_Toc473893070"/>
      <w:bookmarkStart w:id="60" w:name="_Toc107411669"/>
      <w:bookmarkStart w:id="61" w:name="_Toc119409496"/>
      <w:bookmarkStart w:id="62" w:name="_Toc138851193"/>
      <w:r>
        <w:t xml:space="preserve">2.3.1 </w:t>
      </w:r>
      <w:r w:rsidR="00F32B91">
        <w:t>Benchmark Listing and Price Premium Applications</w:t>
      </w:r>
      <w:bookmarkEnd w:id="59"/>
      <w:bookmarkEnd w:id="60"/>
      <w:bookmarkEnd w:id="61"/>
      <w:bookmarkEnd w:id="62"/>
    </w:p>
    <w:p w14:paraId="374264BB" w14:textId="197C0C1D" w:rsidR="00F32B91" w:rsidRPr="00CA58F1" w:rsidRDefault="00F32B91" w:rsidP="00CA58F1">
      <w:r w:rsidRPr="00CA58F1">
        <w:t xml:space="preserve">The applicant should consider the type of application and use the </w:t>
      </w:r>
      <w:hyperlink r:id="rId16" w:history="1">
        <w:r w:rsidRPr="0004036F">
          <w:rPr>
            <w:rStyle w:val="Hyperlink"/>
          </w:rPr>
          <w:t>relevant form</w:t>
        </w:r>
      </w:hyperlink>
      <w:r w:rsidRPr="00CA58F1">
        <w:t xml:space="preserve"> when lodging an application. There are separate application forms for:</w:t>
      </w:r>
    </w:p>
    <w:p w14:paraId="091F1CD9" w14:textId="77777777" w:rsidR="00F32B91" w:rsidRDefault="00F32B91" w:rsidP="00CA58F1">
      <w:pPr>
        <w:pStyle w:val="ListBullet"/>
      </w:pPr>
      <w:r>
        <w:t xml:space="preserve">Benchmark Listings in Groups 1 to 7 </w:t>
      </w:r>
    </w:p>
    <w:p w14:paraId="0697EFAA" w14:textId="3EC2DDFA" w:rsidR="00AD6320" w:rsidRDefault="00F32B91" w:rsidP="00CA58F1">
      <w:pPr>
        <w:pStyle w:val="ListBullet"/>
      </w:pPr>
      <w:r>
        <w:t xml:space="preserve">Listings in Groups 8 to 11 </w:t>
      </w:r>
    </w:p>
    <w:p w14:paraId="09A26C2E" w14:textId="10C13982" w:rsidR="00F32B91" w:rsidRDefault="00AD6320" w:rsidP="00CA58F1">
      <w:pPr>
        <w:pStyle w:val="ListBullet"/>
      </w:pPr>
      <w:r>
        <w:t xml:space="preserve">Listings for </w:t>
      </w:r>
      <w:r w:rsidR="00F32B91">
        <w:t xml:space="preserve">Price Premium products. </w:t>
      </w:r>
    </w:p>
    <w:p w14:paraId="6736106B" w14:textId="77777777" w:rsidR="00F32B91" w:rsidRPr="00CA58F1" w:rsidRDefault="00F32B91" w:rsidP="00CA58F1">
      <w:r w:rsidRPr="00CA58F1">
        <w:t>Products listed in Groups 8, 9, 10 and 11 will be reviewed by SPAP to determine the most appropriate benchmarking process for these products.</w:t>
      </w:r>
    </w:p>
    <w:p w14:paraId="259C51F1" w14:textId="54CA9B02" w:rsidR="00F32B91" w:rsidRPr="00CA58F1" w:rsidRDefault="00F32B91" w:rsidP="00CA58F1">
      <w:r w:rsidRPr="00CA58F1">
        <w:t xml:space="preserve">The application form is divided into </w:t>
      </w:r>
      <w:r w:rsidR="00AD6320">
        <w:t>7</w:t>
      </w:r>
      <w:r w:rsidR="00AD6320" w:rsidRPr="00CA58F1">
        <w:t xml:space="preserve"> </w:t>
      </w:r>
      <w:r w:rsidRPr="00CA58F1">
        <w:t>sections. Information relating to the completion of each section is provided below. Applicants should complete all sections of the application form. Where information is not available, a statement to this effect should be included in the relevant section.</w:t>
      </w:r>
    </w:p>
    <w:p w14:paraId="1ABCD42E" w14:textId="0920C6FD" w:rsidR="00F32B91" w:rsidRDefault="00F32B91" w:rsidP="00F32B91">
      <w:pPr>
        <w:rPr>
          <w:rFonts w:cs="Arial"/>
        </w:rPr>
      </w:pPr>
      <w:r>
        <w:rPr>
          <w:rFonts w:cs="Arial"/>
        </w:rPr>
        <w:t xml:space="preserve">If </w:t>
      </w:r>
      <w:r w:rsidR="00B75A2F">
        <w:rPr>
          <w:rFonts w:cs="Arial"/>
        </w:rPr>
        <w:t>applying to vary a</w:t>
      </w:r>
      <w:r>
        <w:rPr>
          <w:rFonts w:cs="Arial"/>
        </w:rPr>
        <w:t xml:space="preserve"> currently listed product</w:t>
      </w:r>
      <w:r w:rsidR="00B75A2F">
        <w:rPr>
          <w:rFonts w:cs="Arial"/>
        </w:rPr>
        <w:t xml:space="preserve">, please refer to </w:t>
      </w:r>
      <w:r w:rsidR="00B75A2F" w:rsidRPr="00C7274C">
        <w:rPr>
          <w:rStyle w:val="Strong"/>
        </w:rPr>
        <w:t xml:space="preserve">Part 2.4 Application to </w:t>
      </w:r>
      <w:r w:rsidR="00B75A2F">
        <w:rPr>
          <w:rStyle w:val="Strong"/>
        </w:rPr>
        <w:t>Vary</w:t>
      </w:r>
      <w:r w:rsidR="00B75A2F" w:rsidRPr="00C7274C">
        <w:rPr>
          <w:rStyle w:val="Strong"/>
        </w:rPr>
        <w:t xml:space="preserve"> a Listing</w:t>
      </w:r>
      <w:r w:rsidR="00B75A2F" w:rsidRPr="000F6458">
        <w:rPr>
          <w:rStyle w:val="Strong"/>
          <w:b w:val="0"/>
          <w:bCs w:val="0"/>
        </w:rPr>
        <w:t>.</w:t>
      </w:r>
      <w:r w:rsidR="00B75A2F">
        <w:rPr>
          <w:rStyle w:val="Strong"/>
        </w:rPr>
        <w:t xml:space="preserve"> </w:t>
      </w:r>
      <w:r w:rsidR="00B75A2F">
        <w:rPr>
          <w:rStyle w:val="Strong"/>
          <w:b w:val="0"/>
          <w:bCs w:val="0"/>
        </w:rPr>
        <w:t>If applying to delete a currently listed product</w:t>
      </w:r>
      <w:r>
        <w:rPr>
          <w:rFonts w:cs="Arial"/>
        </w:rPr>
        <w:t xml:space="preserve">, </w:t>
      </w:r>
      <w:r w:rsidR="00B75A2F">
        <w:rPr>
          <w:rStyle w:val="Strong"/>
          <w:b w:val="0"/>
          <w:bCs w:val="0"/>
        </w:rPr>
        <w:t>please refer to</w:t>
      </w:r>
      <w:r w:rsidR="006313FA" w:rsidRPr="000F6458">
        <w:rPr>
          <w:rStyle w:val="Strong"/>
          <w:b w:val="0"/>
          <w:bCs w:val="0"/>
        </w:rPr>
        <w:t xml:space="preserve"> </w:t>
      </w:r>
      <w:r w:rsidR="006313FA">
        <w:rPr>
          <w:rStyle w:val="Strong"/>
        </w:rPr>
        <w:t>Part 2.5 Application to Delete a Listing</w:t>
      </w:r>
      <w:r>
        <w:rPr>
          <w:rFonts w:cs="Arial"/>
        </w:rPr>
        <w:t xml:space="preserve">. </w:t>
      </w:r>
    </w:p>
    <w:p w14:paraId="4130C8BC" w14:textId="312FE41D" w:rsidR="00A620F2" w:rsidRDefault="00A620F2" w:rsidP="003F4BF0">
      <w:pPr>
        <w:pStyle w:val="Heading3"/>
      </w:pPr>
      <w:bookmarkStart w:id="63" w:name="_Toc119409497"/>
      <w:bookmarkStart w:id="64" w:name="_Toc138851194"/>
      <w:r>
        <w:t>2.3.2 Completing a new application</w:t>
      </w:r>
      <w:bookmarkEnd w:id="63"/>
      <w:bookmarkEnd w:id="64"/>
    </w:p>
    <w:p w14:paraId="5924B5F6" w14:textId="77777777" w:rsidR="00F32B91" w:rsidRDefault="00F32B91" w:rsidP="003F4BF0">
      <w:pPr>
        <w:pStyle w:val="Heading4"/>
      </w:pPr>
      <w:bookmarkStart w:id="65" w:name="_Toc473893071"/>
      <w:bookmarkStart w:id="66" w:name="_Toc107411670"/>
      <w:r>
        <w:t>Section 1 – Applicant Details and Declaration</w:t>
      </w:r>
      <w:bookmarkEnd w:id="65"/>
      <w:bookmarkEnd w:id="66"/>
    </w:p>
    <w:p w14:paraId="7065829E" w14:textId="77777777" w:rsidR="00F32B91" w:rsidRDefault="00F32B91" w:rsidP="00F32B91">
      <w:pPr>
        <w:rPr>
          <w:rFonts w:cs="Arial"/>
        </w:rPr>
      </w:pPr>
      <w:r>
        <w:rPr>
          <w:rFonts w:cs="Arial"/>
        </w:rPr>
        <w:t>The applicant must be the sponsor of the stoma-related product in Australia. All contact information should be completed, and the nominated contact officer should be able to assist with any queries about the application at both the time of submission and when the application is considered by SPAP. The person who signs the application declaration must be able to legally bind the applicant.</w:t>
      </w:r>
    </w:p>
    <w:p w14:paraId="6D250A6A" w14:textId="77777777" w:rsidR="00F32B91" w:rsidRDefault="00F32B91" w:rsidP="003F4BF0">
      <w:pPr>
        <w:pStyle w:val="Heading4"/>
      </w:pPr>
      <w:bookmarkStart w:id="67" w:name="_Toc473893073"/>
      <w:bookmarkStart w:id="68" w:name="_Toc107411671"/>
      <w:r>
        <w:lastRenderedPageBreak/>
        <w:t>Section 2 – Product Information</w:t>
      </w:r>
      <w:bookmarkEnd w:id="67"/>
      <w:bookmarkEnd w:id="68"/>
    </w:p>
    <w:p w14:paraId="410D8071" w14:textId="77777777" w:rsidR="00F32B91" w:rsidRDefault="00F32B91" w:rsidP="00F32B91">
      <w:pPr>
        <w:rPr>
          <w:rFonts w:cs="Arial"/>
        </w:rPr>
      </w:pPr>
      <w:r>
        <w:rPr>
          <w:rFonts w:cs="Arial"/>
        </w:rPr>
        <w:t>The applicant should provide information about the product and upload an image of the product in the space provided in the application form.</w:t>
      </w:r>
    </w:p>
    <w:p w14:paraId="688E49BE" w14:textId="77777777" w:rsidR="00F32B91" w:rsidRDefault="00F32B91" w:rsidP="00F32B91">
      <w:pPr>
        <w:rPr>
          <w:rFonts w:cs="Arial"/>
        </w:rPr>
      </w:pPr>
      <w:r>
        <w:rPr>
          <w:rFonts w:cs="Arial"/>
        </w:rPr>
        <w:t>The applicant should indicate which group and subgroup the product is to be listed in. If the product cannot be categorised in an existing group and subgroup (</w:t>
      </w:r>
      <w:proofErr w:type="gramStart"/>
      <w:r>
        <w:rPr>
          <w:rFonts w:cs="Arial"/>
        </w:rPr>
        <w:t>e.g.</w:t>
      </w:r>
      <w:proofErr w:type="gramEnd"/>
      <w:r>
        <w:rPr>
          <w:rFonts w:cs="Arial"/>
        </w:rPr>
        <w:t xml:space="preserve"> because the product is new technology, is satisfying a previously unmet clinical need, or there is uncertainty), the applicant should complete the Price Premium</w:t>
      </w:r>
      <w:r w:rsidRPr="00C7274C">
        <w:rPr>
          <w:rStyle w:val="Emphasis"/>
        </w:rPr>
        <w:t xml:space="preserve"> </w:t>
      </w:r>
      <w:r>
        <w:rPr>
          <w:rFonts w:cs="Arial"/>
        </w:rPr>
        <w:t>Form and fully describe the features or technology which differentiate the product.</w:t>
      </w:r>
    </w:p>
    <w:p w14:paraId="3B4B8DA8" w14:textId="77777777" w:rsidR="00F32B91" w:rsidRDefault="00F32B91" w:rsidP="00F32B91">
      <w:pPr>
        <w:rPr>
          <w:rFonts w:cs="Arial"/>
        </w:rPr>
      </w:pPr>
      <w:r>
        <w:rPr>
          <w:rFonts w:cs="Arial"/>
        </w:rPr>
        <w:t>The product name is the name under which the product is or will be supplied in Australia. This name should also appear on any product packaging. The quantity per pack should also be provided.</w:t>
      </w:r>
    </w:p>
    <w:p w14:paraId="25B49B08" w14:textId="77777777" w:rsidR="00F32B91" w:rsidRDefault="00F32B91" w:rsidP="00F32B91">
      <w:pPr>
        <w:rPr>
          <w:rFonts w:cs="Arial"/>
        </w:rPr>
      </w:pPr>
      <w:r>
        <w:rPr>
          <w:rFonts w:cs="Arial"/>
        </w:rPr>
        <w:t>Details of a valid ARTG Certificate of Inclusion for the product must be supplied if applicable, on the SAS. This includes the name of the sponsor, the ARTG ID number and a list of specific indications and/or conditions of inclusion of the product on the ARTG. A product can still be assessed if it does not have an ARTG certificate, but it cannot be listed on the SAS Schedule until the details of the certificate are provided and verified by the SPAP Secretariat. The name of the applicant should be the same as the sponsor’s name that appears on the ARTG certificate.</w:t>
      </w:r>
    </w:p>
    <w:p w14:paraId="163AFA42" w14:textId="77777777" w:rsidR="00F32B91" w:rsidRDefault="00F32B91" w:rsidP="00F32B91">
      <w:pPr>
        <w:rPr>
          <w:rFonts w:cs="Arial"/>
        </w:rPr>
      </w:pPr>
      <w:r>
        <w:rPr>
          <w:rFonts w:cs="Arial"/>
        </w:rPr>
        <w:t>It is important to include all the product’s features and relevant information. Do not include any promotional descriptions to describe the product’s features or technology.</w:t>
      </w:r>
    </w:p>
    <w:p w14:paraId="66AF05FC" w14:textId="2C719A19" w:rsidR="001847CD" w:rsidRDefault="001847CD" w:rsidP="00F32B91">
      <w:pPr>
        <w:rPr>
          <w:rFonts w:cs="Arial"/>
        </w:rPr>
      </w:pPr>
      <w:r>
        <w:rPr>
          <w:sz w:val="23"/>
          <w:szCs w:val="23"/>
        </w:rPr>
        <w:t xml:space="preserve">If the application is to list a product range with multiple variants, use the Microsoft Excel </w:t>
      </w:r>
      <w:r w:rsidR="00143955">
        <w:rPr>
          <w:sz w:val="23"/>
          <w:szCs w:val="23"/>
        </w:rPr>
        <w:t>P</w:t>
      </w:r>
      <w:r>
        <w:rPr>
          <w:sz w:val="23"/>
          <w:szCs w:val="23"/>
        </w:rPr>
        <w:t xml:space="preserve">roduct </w:t>
      </w:r>
      <w:r w:rsidR="00143955">
        <w:rPr>
          <w:sz w:val="23"/>
          <w:szCs w:val="23"/>
        </w:rPr>
        <w:t>F</w:t>
      </w:r>
      <w:r>
        <w:rPr>
          <w:sz w:val="23"/>
          <w:szCs w:val="23"/>
        </w:rPr>
        <w:t xml:space="preserve">eatures </w:t>
      </w:r>
      <w:r w:rsidR="00143955">
        <w:rPr>
          <w:sz w:val="23"/>
          <w:szCs w:val="23"/>
        </w:rPr>
        <w:t>T</w:t>
      </w:r>
      <w:r>
        <w:rPr>
          <w:sz w:val="23"/>
          <w:szCs w:val="23"/>
        </w:rPr>
        <w:t xml:space="preserve">able to add additional variants within the same product range to an ‘Application to list </w:t>
      </w:r>
      <w:r w:rsidR="0004036F">
        <w:rPr>
          <w:sz w:val="23"/>
          <w:szCs w:val="23"/>
        </w:rPr>
        <w:t>a product</w:t>
      </w:r>
      <w:r w:rsidR="00143955">
        <w:rPr>
          <w:sz w:val="23"/>
          <w:szCs w:val="23"/>
        </w:rPr>
        <w:t xml:space="preserve"> </w:t>
      </w:r>
      <w:r w:rsidR="00B75A2F">
        <w:rPr>
          <w:sz w:val="23"/>
          <w:szCs w:val="23"/>
        </w:rPr>
        <w:t>–</w:t>
      </w:r>
      <w:r>
        <w:rPr>
          <w:sz w:val="23"/>
          <w:szCs w:val="23"/>
        </w:rPr>
        <w:t xml:space="preserve"> </w:t>
      </w:r>
      <w:r w:rsidR="0004036F">
        <w:rPr>
          <w:sz w:val="23"/>
          <w:szCs w:val="23"/>
        </w:rPr>
        <w:t xml:space="preserve">Benchmark </w:t>
      </w:r>
      <w:r>
        <w:rPr>
          <w:sz w:val="23"/>
          <w:szCs w:val="23"/>
        </w:rPr>
        <w:t>Groups 1 to 7</w:t>
      </w:r>
      <w:r w:rsidR="00143955">
        <w:rPr>
          <w:sz w:val="23"/>
          <w:szCs w:val="23"/>
        </w:rPr>
        <w:t>’</w:t>
      </w:r>
      <w:r w:rsidR="0004036F">
        <w:rPr>
          <w:sz w:val="23"/>
          <w:szCs w:val="23"/>
        </w:rPr>
        <w:t xml:space="preserve"> or </w:t>
      </w:r>
      <w:r w:rsidR="00E1052B">
        <w:rPr>
          <w:sz w:val="23"/>
          <w:szCs w:val="23"/>
        </w:rPr>
        <w:t>‘</w:t>
      </w:r>
      <w:r w:rsidR="00143955">
        <w:rPr>
          <w:sz w:val="23"/>
          <w:szCs w:val="23"/>
        </w:rPr>
        <w:t xml:space="preserve">Application to list a product - </w:t>
      </w:r>
      <w:r>
        <w:rPr>
          <w:sz w:val="23"/>
          <w:szCs w:val="23"/>
        </w:rPr>
        <w:t xml:space="preserve">Price Premium Products’. Only fill out the </w:t>
      </w:r>
      <w:r w:rsidR="00B75A2F">
        <w:rPr>
          <w:sz w:val="23"/>
          <w:szCs w:val="23"/>
        </w:rPr>
        <w:t xml:space="preserve">fields in the </w:t>
      </w:r>
      <w:r>
        <w:rPr>
          <w:sz w:val="23"/>
          <w:szCs w:val="23"/>
        </w:rPr>
        <w:t xml:space="preserve">table </w:t>
      </w:r>
      <w:r w:rsidR="00B75A2F">
        <w:rPr>
          <w:sz w:val="23"/>
          <w:szCs w:val="23"/>
        </w:rPr>
        <w:t>for features that are relevant</w:t>
      </w:r>
      <w:r>
        <w:rPr>
          <w:sz w:val="23"/>
          <w:szCs w:val="23"/>
        </w:rPr>
        <w:t xml:space="preserve"> to the product. </w:t>
      </w:r>
    </w:p>
    <w:p w14:paraId="63813C52" w14:textId="0B980BDD" w:rsidR="00F32B91" w:rsidRDefault="00F32B91" w:rsidP="00F32B91">
      <w:pPr>
        <w:rPr>
          <w:rFonts w:cs="Arial"/>
        </w:rPr>
      </w:pPr>
      <w:r>
        <w:rPr>
          <w:rFonts w:cs="Arial"/>
        </w:rPr>
        <w:t xml:space="preserve">A comparator must be nominated from the SAS Schedule, including its group and subgroup. The comparator </w:t>
      </w:r>
      <w:r w:rsidR="00B75A2F">
        <w:rPr>
          <w:rFonts w:cs="Arial"/>
        </w:rPr>
        <w:t xml:space="preserve">should be </w:t>
      </w:r>
      <w:r>
        <w:rPr>
          <w:rFonts w:cs="Arial"/>
        </w:rPr>
        <w:t xml:space="preserve">the product most likely to experience a change in utilisation if the product in the application is listed on the SAS Schedule. </w:t>
      </w:r>
    </w:p>
    <w:p w14:paraId="6FF40DD2" w14:textId="77777777" w:rsidR="00F32B91" w:rsidRDefault="00F32B91" w:rsidP="003F4BF0">
      <w:pPr>
        <w:pStyle w:val="Heading4"/>
      </w:pPr>
      <w:bookmarkStart w:id="69" w:name="_Toc473893074"/>
      <w:bookmarkStart w:id="70" w:name="_Toc107411672"/>
      <w:r>
        <w:t>Section 3 – Clinical Assessment Information</w:t>
      </w:r>
      <w:bookmarkEnd w:id="69"/>
      <w:bookmarkEnd w:id="70"/>
      <w:r>
        <w:t xml:space="preserve"> </w:t>
      </w:r>
    </w:p>
    <w:p w14:paraId="00C3310C" w14:textId="77777777" w:rsidR="00F32B91" w:rsidRDefault="00F32B91" w:rsidP="00F32B91">
      <w:pPr>
        <w:rPr>
          <w:rFonts w:cs="Arial"/>
        </w:rPr>
      </w:pPr>
      <w:r>
        <w:rPr>
          <w:rFonts w:cs="Arial"/>
        </w:rPr>
        <w:t xml:space="preserve">The purpose of this section is to obtain all relevant clinical information about the product to enable it to be fully assessed against to the appropriate comparator. Information provided under this section will be used to assess the product’s clinical effectiveness and safety. </w:t>
      </w:r>
    </w:p>
    <w:p w14:paraId="57FED355" w14:textId="77777777" w:rsidR="00F32B91" w:rsidRDefault="00F32B91" w:rsidP="00F32B91">
      <w:pPr>
        <w:rPr>
          <w:rFonts w:cs="Arial"/>
        </w:rPr>
      </w:pPr>
      <w:r>
        <w:rPr>
          <w:rFonts w:cs="Arial"/>
        </w:rPr>
        <w:t>Information may include, but is not limited to:</w:t>
      </w:r>
    </w:p>
    <w:p w14:paraId="65FE3732" w14:textId="77777777" w:rsidR="00F32B91" w:rsidRDefault="00F32B91" w:rsidP="00CA58F1">
      <w:pPr>
        <w:pStyle w:val="ListBullet"/>
      </w:pPr>
      <w:r>
        <w:t xml:space="preserve">information concerning the clinical need for the product </w:t>
      </w:r>
    </w:p>
    <w:p w14:paraId="649878C4" w14:textId="7B14D70E" w:rsidR="00F32B91" w:rsidRDefault="00F32B91" w:rsidP="00CA58F1">
      <w:pPr>
        <w:pStyle w:val="ListBullet"/>
      </w:pPr>
      <w:r>
        <w:t xml:space="preserve">evidence of the </w:t>
      </w:r>
      <w:r w:rsidR="003532FF">
        <w:t xml:space="preserve">clinical and safety </w:t>
      </w:r>
      <w:r>
        <w:t>benefits of the product over the specified comparator or other relevant products</w:t>
      </w:r>
    </w:p>
    <w:p w14:paraId="485DDDDB" w14:textId="77777777" w:rsidR="00F32B91" w:rsidRDefault="00F32B91" w:rsidP="00CA58F1">
      <w:pPr>
        <w:pStyle w:val="ListBullet"/>
      </w:pPr>
      <w:r>
        <w:t>clinical opinion concerning the product</w:t>
      </w:r>
    </w:p>
    <w:p w14:paraId="5414EE8D" w14:textId="5AF21AF9" w:rsidR="00F32B91" w:rsidRDefault="00A63C4A" w:rsidP="00CA58F1">
      <w:pPr>
        <w:pStyle w:val="ListBullet"/>
      </w:pPr>
      <w:r>
        <w:t>evidence</w:t>
      </w:r>
      <w:r w:rsidR="00EF7589">
        <w:t xml:space="preserve"> from </w:t>
      </w:r>
      <w:r w:rsidR="00F32B91">
        <w:t xml:space="preserve">literature searches </w:t>
      </w:r>
    </w:p>
    <w:p w14:paraId="0F5D7B7E" w14:textId="1DD80812" w:rsidR="00F32B91" w:rsidRDefault="00F32B91" w:rsidP="00F32B91">
      <w:pPr>
        <w:rPr>
          <w:rFonts w:cs="Arial"/>
        </w:rPr>
      </w:pPr>
      <w:r>
        <w:rPr>
          <w:rFonts w:cs="Arial"/>
        </w:rPr>
        <w:t>If information on patient preferences is provided, it should be supported by objective data</w:t>
      </w:r>
      <w:r w:rsidR="00761EDC">
        <w:rPr>
          <w:rFonts w:cs="Arial"/>
        </w:rPr>
        <w:t xml:space="preserve"> as described at 3.2.3</w:t>
      </w:r>
      <w:r>
        <w:rPr>
          <w:rFonts w:cs="Arial"/>
        </w:rPr>
        <w:t>.</w:t>
      </w:r>
      <w:r w:rsidR="00761EDC">
        <w:rPr>
          <w:rFonts w:cs="Arial"/>
        </w:rPr>
        <w:t xml:space="preserve"> </w:t>
      </w:r>
    </w:p>
    <w:p w14:paraId="105741C8" w14:textId="77777777" w:rsidR="00F32B91" w:rsidRDefault="00F32B91" w:rsidP="003F4BF0">
      <w:pPr>
        <w:pStyle w:val="Heading5"/>
      </w:pPr>
      <w:r>
        <w:lastRenderedPageBreak/>
        <w:t xml:space="preserve">Additional information for Groups 8 to 11 and Price Premium applications </w:t>
      </w:r>
    </w:p>
    <w:p w14:paraId="7E834130" w14:textId="77777777" w:rsidR="00F32B91" w:rsidRDefault="00F32B91" w:rsidP="003F4BF0">
      <w:pPr>
        <w:pStyle w:val="Heading6"/>
      </w:pPr>
      <w:bookmarkStart w:id="71" w:name="_Toc473893075"/>
      <w:r>
        <w:t>Clinical efficacy</w:t>
      </w:r>
      <w:bookmarkEnd w:id="71"/>
      <w:r>
        <w:t xml:space="preserve"> </w:t>
      </w:r>
    </w:p>
    <w:p w14:paraId="0C68BCBC" w14:textId="77777777" w:rsidR="00F32B91" w:rsidRDefault="00F32B91" w:rsidP="00F32B91">
      <w:pPr>
        <w:rPr>
          <w:rFonts w:cs="Arial"/>
        </w:rPr>
      </w:pPr>
      <w:r>
        <w:rPr>
          <w:rFonts w:cs="Arial"/>
        </w:rPr>
        <w:t>SPAP will consider the strength and quality of evidence and its relevance to Australian practice and conditions when assessing an application. It is important to consider the evidence provided particularly relating to leakage and skin condition where the product is in contact with the stoma or skin.</w:t>
      </w:r>
    </w:p>
    <w:p w14:paraId="614D03C5" w14:textId="77777777" w:rsidR="00F32B91" w:rsidRDefault="00F32B91" w:rsidP="00F32B91">
      <w:pPr>
        <w:rPr>
          <w:rFonts w:cs="Arial"/>
        </w:rPr>
      </w:pPr>
      <w:r>
        <w:rPr>
          <w:rFonts w:cs="Arial"/>
        </w:rPr>
        <w:t xml:space="preserve">For applications requesting a price premium, the SPAP will place the highest value on systematic reviews of high-quality randomised trials (level 1), noting some randomised trials are poorly organised may provide less information than a non-randomised trial. </w:t>
      </w:r>
    </w:p>
    <w:p w14:paraId="435FED66" w14:textId="77777777" w:rsidR="00F32B91" w:rsidRDefault="00F32B91" w:rsidP="00F32B91">
      <w:pPr>
        <w:rPr>
          <w:rFonts w:cs="Arial"/>
        </w:rPr>
      </w:pPr>
      <w:r>
        <w:rPr>
          <w:rFonts w:cs="Arial"/>
        </w:rPr>
        <w:t>If a study is provided for a product that is not currently funded in Australia, it is important to consider whether the product is adequately described in the study and accompanying submission and can be compared to a product or products with similar features.</w:t>
      </w:r>
    </w:p>
    <w:p w14:paraId="52233C31" w14:textId="77777777" w:rsidR="00F32B91" w:rsidRDefault="00F32B91" w:rsidP="003F4BF0">
      <w:pPr>
        <w:pStyle w:val="Heading6"/>
      </w:pPr>
      <w:bookmarkStart w:id="72" w:name="_Toc473893076"/>
      <w:r>
        <w:t>Safety</w:t>
      </w:r>
      <w:bookmarkEnd w:id="72"/>
    </w:p>
    <w:p w14:paraId="2CC91159" w14:textId="77777777" w:rsidR="00F32B91" w:rsidRDefault="00F32B91" w:rsidP="00F32B91">
      <w:pPr>
        <w:rPr>
          <w:rFonts w:cs="Arial"/>
        </w:rPr>
      </w:pPr>
      <w:r>
        <w:rPr>
          <w:rFonts w:cs="Arial"/>
        </w:rPr>
        <w:t xml:space="preserve">If possible, a summary of the adverse events related to both the product for which listing is sought and the comparator nominated in Section 2 (if applicable) should be provided. Details of adverse events should include the nature, </w:t>
      </w:r>
      <w:proofErr w:type="gramStart"/>
      <w:r>
        <w:rPr>
          <w:rFonts w:cs="Arial"/>
        </w:rPr>
        <w:t>frequency</w:t>
      </w:r>
      <w:proofErr w:type="gramEnd"/>
      <w:r>
        <w:rPr>
          <w:rFonts w:cs="Arial"/>
        </w:rPr>
        <w:t xml:space="preserve"> and outcome of any event.</w:t>
      </w:r>
    </w:p>
    <w:p w14:paraId="38AB4C3D" w14:textId="62DB7946" w:rsidR="00F32B91" w:rsidRDefault="00F32B91" w:rsidP="003F4BF0">
      <w:pPr>
        <w:pStyle w:val="Heading6"/>
      </w:pPr>
      <w:bookmarkStart w:id="73" w:name="_Toc473893077"/>
      <w:r>
        <w:t>Literature Search</w:t>
      </w:r>
      <w:bookmarkEnd w:id="73"/>
    </w:p>
    <w:p w14:paraId="1E988FE3" w14:textId="18C85E1B" w:rsidR="00F32B91" w:rsidRDefault="00F32B91" w:rsidP="00F32B91">
      <w:pPr>
        <w:rPr>
          <w:rFonts w:cs="Arial"/>
        </w:rPr>
      </w:pPr>
      <w:r>
        <w:rPr>
          <w:rFonts w:cs="Arial"/>
        </w:rPr>
        <w:t>A literature search should be conducted for price premium requests to identify evidence supporting the clinical nature, clinical effectiveness, safety, and cost effectiveness of the product. Results of both published and unpublished (in house) studies should be provided in the application.</w:t>
      </w:r>
    </w:p>
    <w:p w14:paraId="44359FA2" w14:textId="77777777" w:rsidR="00F32B91" w:rsidRDefault="00F32B91" w:rsidP="00F32B91">
      <w:pPr>
        <w:rPr>
          <w:rFonts w:cs="Arial"/>
        </w:rPr>
      </w:pPr>
      <w:r>
        <w:rPr>
          <w:rFonts w:cs="Arial"/>
        </w:rPr>
        <w:t xml:space="preserve">A description of the search strategy used to retrieve relevant studies, as well as the specific databases </w:t>
      </w:r>
      <w:proofErr w:type="gramStart"/>
      <w:r>
        <w:rPr>
          <w:rFonts w:cs="Arial"/>
        </w:rPr>
        <w:t>searched</w:t>
      </w:r>
      <w:proofErr w:type="gramEnd"/>
      <w:r>
        <w:rPr>
          <w:rFonts w:cs="Arial"/>
        </w:rPr>
        <w:t xml:space="preserve"> and dates of the searches should be included. Where a literature search has not provided any additional evidence, the applicant should indicate this by marking the relevant check box.</w:t>
      </w:r>
    </w:p>
    <w:p w14:paraId="5839F23A" w14:textId="77777777" w:rsidR="00F32B91" w:rsidRDefault="00F32B91" w:rsidP="003F4BF0">
      <w:pPr>
        <w:pStyle w:val="Heading4"/>
      </w:pPr>
      <w:bookmarkStart w:id="74" w:name="_Toc473893078"/>
      <w:bookmarkStart w:id="75" w:name="_Toc107411673"/>
      <w:r>
        <w:t>Section 4 – Economic Assessment Information</w:t>
      </w:r>
      <w:bookmarkEnd w:id="74"/>
      <w:bookmarkEnd w:id="75"/>
    </w:p>
    <w:p w14:paraId="420E75E2" w14:textId="59CEE5F5" w:rsidR="00F32B91" w:rsidRDefault="00F32B91" w:rsidP="00F32B91">
      <w:pPr>
        <w:rPr>
          <w:rFonts w:cs="Arial"/>
        </w:rPr>
      </w:pPr>
      <w:r>
        <w:rPr>
          <w:rFonts w:cs="Arial"/>
        </w:rPr>
        <w:t>The purpose of this section is to obtain relevant economic information, if available, about the product, to allow the cost and cost effectiveness of the product to be assessed in relation to the nominated comparator or other relevant products. This will enable SPAP to determine whether the product is likely to represent value in terms of expenditure on healthcare in Australia.</w:t>
      </w:r>
    </w:p>
    <w:p w14:paraId="3FCD3EA3" w14:textId="77777777" w:rsidR="00F32B91" w:rsidRDefault="00F32B91" w:rsidP="003F4BF0">
      <w:pPr>
        <w:pStyle w:val="Heading5"/>
      </w:pPr>
      <w:bookmarkStart w:id="76" w:name="_Toc473893079"/>
      <w:r>
        <w:t>Benchmark Listing</w:t>
      </w:r>
      <w:bookmarkEnd w:id="76"/>
    </w:p>
    <w:p w14:paraId="3FE8BD65" w14:textId="77777777" w:rsidR="00F32B91" w:rsidRDefault="00F32B91" w:rsidP="00F32B91">
      <w:pPr>
        <w:rPr>
          <w:rFonts w:cs="Arial"/>
        </w:rPr>
      </w:pPr>
      <w:r>
        <w:rPr>
          <w:rFonts w:cs="Arial"/>
        </w:rPr>
        <w:t>Applications for benchmark listing will be assessed on a cost minimisation basis.</w:t>
      </w:r>
    </w:p>
    <w:p w14:paraId="5EB69EC9" w14:textId="77777777" w:rsidR="00F32B91" w:rsidRDefault="00F32B91" w:rsidP="003F4BF0">
      <w:pPr>
        <w:pStyle w:val="Heading5"/>
      </w:pPr>
      <w:bookmarkStart w:id="77" w:name="_Toc473893080"/>
      <w:r>
        <w:t>Price Premium</w:t>
      </w:r>
      <w:bookmarkEnd w:id="77"/>
    </w:p>
    <w:p w14:paraId="1EF66FB8" w14:textId="7158D206" w:rsidR="00F32B91" w:rsidRDefault="00F32B91" w:rsidP="00F32B91">
      <w:pPr>
        <w:rPr>
          <w:rFonts w:cs="Arial"/>
        </w:rPr>
      </w:pPr>
      <w:r>
        <w:rPr>
          <w:rFonts w:cs="Arial"/>
        </w:rPr>
        <w:t>Applicants requesting a price premium should provide evidence demonstrating the product offers an improved health outcome over the appropriate benchmark comparator, and that the higher cost can be justified.</w:t>
      </w:r>
    </w:p>
    <w:p w14:paraId="07548503" w14:textId="77777777" w:rsidR="00F32B91" w:rsidRDefault="00F32B91" w:rsidP="00F32B91">
      <w:pPr>
        <w:rPr>
          <w:rFonts w:cs="Arial"/>
        </w:rPr>
      </w:pPr>
      <w:r>
        <w:rPr>
          <w:rFonts w:cs="Arial"/>
        </w:rPr>
        <w:lastRenderedPageBreak/>
        <w:t>SPAP recognises there are different methods for assessing costs and outcomes in health economic analyses. The most widely used methods are cost-effectiveness, cost utility and cost benefit analyses.</w:t>
      </w:r>
    </w:p>
    <w:p w14:paraId="507F73AB" w14:textId="77777777" w:rsidR="00F32B91" w:rsidRDefault="00F32B91" w:rsidP="003F4BF0">
      <w:pPr>
        <w:pStyle w:val="Heading4"/>
      </w:pPr>
      <w:bookmarkStart w:id="78" w:name="_Toc473893081"/>
      <w:bookmarkStart w:id="79" w:name="_Toc107411674"/>
      <w:r>
        <w:t>Section 5 – Financial Assessment Information</w:t>
      </w:r>
      <w:bookmarkEnd w:id="78"/>
      <w:bookmarkEnd w:id="79"/>
    </w:p>
    <w:p w14:paraId="44854E13" w14:textId="77777777" w:rsidR="00F32B91" w:rsidRDefault="00F32B91" w:rsidP="00F32B91">
      <w:pPr>
        <w:rPr>
          <w:rFonts w:cs="Arial"/>
        </w:rPr>
      </w:pPr>
      <w:r>
        <w:rPr>
          <w:rFonts w:cs="Arial"/>
        </w:rPr>
        <w:t xml:space="preserve">The purpose of this section is to seek information about the proposed price, the proposed monthly (or annual) maximum quantity and potential utilisation of the product. </w:t>
      </w:r>
    </w:p>
    <w:p w14:paraId="2B168EE4" w14:textId="77777777" w:rsidR="00F32B91" w:rsidRDefault="00F32B91" w:rsidP="00F32B91">
      <w:pPr>
        <w:rPr>
          <w:rFonts w:cs="Arial"/>
        </w:rPr>
      </w:pPr>
      <w:r>
        <w:rPr>
          <w:rFonts w:cs="Arial"/>
        </w:rPr>
        <w:t>Information about the predicted change in utilisation of other products resulting from listing the new product and the corresponding cost offsets should also be submitted. Predicted utilisation of the product under the Scheme and corresponding costs for the first 4 full years should be specified. Epidemiological data (incidence and prevalence of the condition for which the product will be used) should be included in this section. Data references for derived estimates are required.</w:t>
      </w:r>
    </w:p>
    <w:p w14:paraId="5FF48B1B" w14:textId="77777777" w:rsidR="00F32B91" w:rsidRDefault="00F32B91" w:rsidP="00F32B91">
      <w:pPr>
        <w:rPr>
          <w:rFonts w:cs="Arial"/>
        </w:rPr>
      </w:pPr>
      <w:r>
        <w:rPr>
          <w:rFonts w:cs="Arial"/>
        </w:rPr>
        <w:t>All pricing information and cost calculations should be in Australian dollars.</w:t>
      </w:r>
    </w:p>
    <w:p w14:paraId="0C9B9B4D" w14:textId="77777777" w:rsidR="00F32B91" w:rsidRDefault="00F32B91" w:rsidP="00F32B91">
      <w:pPr>
        <w:rPr>
          <w:rFonts w:cs="Arial"/>
        </w:rPr>
      </w:pPr>
      <w:r w:rsidRPr="00C7274C">
        <w:rPr>
          <w:rStyle w:val="Strong"/>
        </w:rPr>
        <w:t>Note:</w:t>
      </w:r>
      <w:r>
        <w:rPr>
          <w:rFonts w:cs="Arial"/>
        </w:rPr>
        <w:t xml:space="preserve"> Where SPAP has rejected an application to list a price premium product </w:t>
      </w:r>
      <w:proofErr w:type="gramStart"/>
      <w:r>
        <w:rPr>
          <w:rFonts w:cs="Arial"/>
        </w:rPr>
        <w:t>on the basis of</w:t>
      </w:r>
      <w:proofErr w:type="gramEnd"/>
      <w:r>
        <w:rPr>
          <w:rFonts w:cs="Arial"/>
        </w:rPr>
        <w:t xml:space="preserve"> price, the Department may negotiate with the applicant to list the product in the relevant subgroup at the benchmark price provided it meets the requirements for a benchmark product listing.</w:t>
      </w:r>
    </w:p>
    <w:p w14:paraId="48A1A121" w14:textId="77777777" w:rsidR="00F32B91" w:rsidRDefault="00F32B91" w:rsidP="003F4BF0">
      <w:pPr>
        <w:pStyle w:val="Heading4"/>
      </w:pPr>
      <w:bookmarkStart w:id="80" w:name="_Toc473893082"/>
      <w:bookmarkStart w:id="81" w:name="_Toc107411675"/>
      <w:r>
        <w:t>Section 6 – Additional Information</w:t>
      </w:r>
      <w:bookmarkEnd w:id="80"/>
      <w:bookmarkEnd w:id="81"/>
    </w:p>
    <w:p w14:paraId="7BAF45C0" w14:textId="77777777" w:rsidR="00F32B91" w:rsidRPr="00C7274C" w:rsidRDefault="00F32B91" w:rsidP="00F32B91">
      <w:pPr>
        <w:rPr>
          <w:rStyle w:val="Emphasis"/>
        </w:rPr>
      </w:pPr>
      <w:r>
        <w:rPr>
          <w:rFonts w:cs="Arial"/>
        </w:rPr>
        <w:t>The purpose of this section is to allow any further information not included in previous sections and relevant to the assessment of the product to be provided. Additional information may include reports from international regulatory authorities and health technology assessment committees, unpublished studies, and manufacturer studies.</w:t>
      </w:r>
      <w:r w:rsidRPr="00C7274C">
        <w:rPr>
          <w:rStyle w:val="Emphasis"/>
        </w:rPr>
        <w:t xml:space="preserve"> </w:t>
      </w:r>
    </w:p>
    <w:p w14:paraId="76ED92C4" w14:textId="0BBCF8A5" w:rsidR="006313FA" w:rsidRDefault="006313FA" w:rsidP="006313FA">
      <w:pPr>
        <w:pStyle w:val="Heading5"/>
      </w:pPr>
      <w:r>
        <w:t>Confidential Material</w:t>
      </w:r>
    </w:p>
    <w:p w14:paraId="13245494" w14:textId="1A9A28A0" w:rsidR="006313FA" w:rsidRDefault="006313FA" w:rsidP="006313FA">
      <w:pPr>
        <w:rPr>
          <w:rFonts w:cs="Arial"/>
        </w:rPr>
      </w:pPr>
      <w:r>
        <w:rPr>
          <w:rFonts w:cs="Arial"/>
        </w:rPr>
        <w:t>The applicant should identify which parts of the information in the application are considered confidential material and detail</w:t>
      </w:r>
      <w:r w:rsidR="00B75A2F">
        <w:rPr>
          <w:rFonts w:cs="Arial"/>
        </w:rPr>
        <w:t xml:space="preserve"> the</w:t>
      </w:r>
      <w:r>
        <w:rPr>
          <w:rFonts w:cs="Arial"/>
        </w:rPr>
        <w:t xml:space="preserve"> reasons why. Confidential material will not be included in any public documentation released by the Department where there is sufficient justification for the information to be excluded. However, all information supplied in an application will be provided to SPAP for consideration. </w:t>
      </w:r>
    </w:p>
    <w:p w14:paraId="73CD707A" w14:textId="77777777" w:rsidR="006313FA" w:rsidRDefault="006313FA" w:rsidP="006313FA">
      <w:pPr>
        <w:rPr>
          <w:rFonts w:cs="Arial"/>
        </w:rPr>
      </w:pPr>
      <w:r>
        <w:rPr>
          <w:rFonts w:cs="Arial"/>
        </w:rPr>
        <w:t>The details provided by the applicant under this section will be used by SPAP and the Department to determine the information which can be released as part of the publication of SPAP meeting summary outcomes and, if the product is approved for listing, the information that will be included to describe the product in the SAS Schedule.</w:t>
      </w:r>
    </w:p>
    <w:p w14:paraId="4CF629D7" w14:textId="09B289E0" w:rsidR="006313FA" w:rsidRDefault="00C04346" w:rsidP="00F32B91">
      <w:pPr>
        <w:rPr>
          <w:rFonts w:cs="Arial"/>
          <w:b/>
          <w:color w:val="358189" w:themeColor="accent2"/>
          <w:sz w:val="28"/>
          <w:szCs w:val="28"/>
        </w:rPr>
      </w:pPr>
      <w:r w:rsidRPr="007F25AB">
        <w:rPr>
          <w:rFonts w:cs="Arial"/>
          <w:b/>
          <w:color w:val="358189" w:themeColor="accent2"/>
          <w:sz w:val="28"/>
          <w:szCs w:val="28"/>
        </w:rPr>
        <w:t>Section 7 – Supporting Documentation</w:t>
      </w:r>
    </w:p>
    <w:p w14:paraId="7B0DD162" w14:textId="2981F1F9" w:rsidR="00C04346" w:rsidRDefault="00C04346" w:rsidP="00C04346">
      <w:pPr>
        <w:rPr>
          <w:rFonts w:cs="Arial"/>
        </w:rPr>
      </w:pPr>
      <w:r>
        <w:rPr>
          <w:rFonts w:cs="Arial"/>
        </w:rPr>
        <w:t>The purpose of this section is for</w:t>
      </w:r>
      <w:r>
        <w:rPr>
          <w:rFonts w:cs="Arial"/>
        </w:rPr>
        <w:t xml:space="preserve"> the applicant to list the supporting documents that will be submitted with the application, noting which section of the application they support.</w:t>
      </w:r>
    </w:p>
    <w:p w14:paraId="14BA989D" w14:textId="77777777" w:rsidR="001847CD" w:rsidRDefault="001847CD" w:rsidP="001847CD">
      <w:pPr>
        <w:rPr>
          <w:rFonts w:cs="Arial"/>
        </w:rPr>
      </w:pPr>
      <w:r>
        <w:rPr>
          <w:rFonts w:cs="Arial"/>
          <w:bCs/>
        </w:rPr>
        <w:t>Further information a</w:t>
      </w:r>
      <w:r>
        <w:rPr>
          <w:rFonts w:cs="Arial"/>
        </w:rPr>
        <w:t xml:space="preserve">bout how SPAP will assess applications can be found in </w:t>
      </w:r>
      <w:hyperlink w:anchor="_Part_3_–" w:history="1">
        <w:r w:rsidRPr="003666CC">
          <w:rPr>
            <w:rStyle w:val="Hyperlink"/>
          </w:rPr>
          <w:t>Part 3 – Assessment Guidelines</w:t>
        </w:r>
      </w:hyperlink>
      <w:r>
        <w:rPr>
          <w:rFonts w:cs="Arial"/>
        </w:rPr>
        <w:t>.</w:t>
      </w:r>
    </w:p>
    <w:p w14:paraId="5721AA4F" w14:textId="430F7BFD" w:rsidR="00F32B91" w:rsidRDefault="00A620F2" w:rsidP="003F4BF0">
      <w:pPr>
        <w:pStyle w:val="Heading2"/>
      </w:pPr>
      <w:bookmarkStart w:id="82" w:name="_Toc473893083"/>
      <w:bookmarkStart w:id="83" w:name="_Toc107411676"/>
      <w:bookmarkStart w:id="84" w:name="_Toc119409498"/>
      <w:bookmarkStart w:id="85" w:name="_Toc138851195"/>
      <w:r>
        <w:lastRenderedPageBreak/>
        <w:t xml:space="preserve">2.4 </w:t>
      </w:r>
      <w:r w:rsidR="00F32B91">
        <w:t xml:space="preserve">Application to </w:t>
      </w:r>
      <w:r w:rsidR="006313FA">
        <w:t>Vary</w:t>
      </w:r>
      <w:r w:rsidR="00F32B91">
        <w:t xml:space="preserve"> a Listing</w:t>
      </w:r>
      <w:bookmarkEnd w:id="82"/>
      <w:bookmarkEnd w:id="83"/>
      <w:bookmarkEnd w:id="84"/>
      <w:bookmarkEnd w:id="85"/>
    </w:p>
    <w:p w14:paraId="443DFCAC" w14:textId="7355179A" w:rsidR="00127E40" w:rsidRDefault="00F32B91" w:rsidP="00F32B91">
      <w:pPr>
        <w:rPr>
          <w:rFonts w:cs="Arial"/>
        </w:rPr>
      </w:pPr>
      <w:r>
        <w:rPr>
          <w:rFonts w:cs="Arial"/>
        </w:rPr>
        <w:t xml:space="preserve">A sponsor may apply to vary a product which is currently listed on the SAS Schedule. Sponsors seeking to vary a product listing should use the </w:t>
      </w:r>
      <w:r w:rsidRPr="00C7274C">
        <w:rPr>
          <w:rStyle w:val="Emphasis"/>
        </w:rPr>
        <w:t xml:space="preserve">Application to </w:t>
      </w:r>
      <w:r w:rsidR="004D5D5E">
        <w:rPr>
          <w:rStyle w:val="Emphasis"/>
        </w:rPr>
        <w:t>Vary</w:t>
      </w:r>
      <w:r w:rsidR="004D5D5E" w:rsidRPr="00C7274C">
        <w:rPr>
          <w:rStyle w:val="Emphasis"/>
        </w:rPr>
        <w:t xml:space="preserve"> </w:t>
      </w:r>
      <w:r w:rsidRPr="00C7274C">
        <w:rPr>
          <w:rStyle w:val="Emphasis"/>
        </w:rPr>
        <w:t>a Listing</w:t>
      </w:r>
      <w:r>
        <w:rPr>
          <w:rFonts w:cs="Arial"/>
        </w:rPr>
        <w:t xml:space="preserve"> form. </w:t>
      </w:r>
    </w:p>
    <w:p w14:paraId="26EAB1A0" w14:textId="4AB6072C" w:rsidR="00F32B91" w:rsidRDefault="00F32B91" w:rsidP="00F32B91">
      <w:pPr>
        <w:rPr>
          <w:rFonts w:cs="Arial"/>
        </w:rPr>
      </w:pPr>
      <w:r>
        <w:rPr>
          <w:rFonts w:cs="Arial"/>
        </w:rPr>
        <w:t xml:space="preserve">Variations are generally processed by the SPAP Secretariat. However, if a variation will affect a product’s classification, pricing, maximum </w:t>
      </w:r>
      <w:proofErr w:type="gramStart"/>
      <w:r>
        <w:rPr>
          <w:rFonts w:cs="Arial"/>
        </w:rPr>
        <w:t>quantity</w:t>
      </w:r>
      <w:proofErr w:type="gramEnd"/>
      <w:r>
        <w:rPr>
          <w:rFonts w:cs="Arial"/>
        </w:rPr>
        <w:t xml:space="preserve"> or composition (in certain circumstances), the variation will be assessed by SPAP and the sponsor seeking the variation should apply using the application form for new products (see above). SAS codes can only be varied by the SPAP Secretariat.</w:t>
      </w:r>
    </w:p>
    <w:p w14:paraId="5C17EFED" w14:textId="77F46BFB" w:rsidR="00F32B91" w:rsidRDefault="00A620F2" w:rsidP="003F4BF0">
      <w:pPr>
        <w:pStyle w:val="Heading3"/>
      </w:pPr>
      <w:bookmarkStart w:id="86" w:name="_Toc107411678"/>
      <w:bookmarkStart w:id="87" w:name="_Toc119409501"/>
      <w:bookmarkStart w:id="88" w:name="_Toc138851196"/>
      <w:r>
        <w:t>2.4.</w:t>
      </w:r>
      <w:r w:rsidR="00621FF3">
        <w:t>1</w:t>
      </w:r>
      <w:r>
        <w:t xml:space="preserve"> Completing the </w:t>
      </w:r>
      <w:r w:rsidR="00F32B91">
        <w:t xml:space="preserve">Application to </w:t>
      </w:r>
      <w:r w:rsidR="006313FA">
        <w:t>Vary</w:t>
      </w:r>
      <w:r w:rsidR="00F32B91">
        <w:t xml:space="preserve"> a Listing form</w:t>
      </w:r>
      <w:bookmarkEnd w:id="86"/>
      <w:bookmarkEnd w:id="87"/>
      <w:bookmarkEnd w:id="88"/>
    </w:p>
    <w:p w14:paraId="1D5C41B9" w14:textId="03A7082F" w:rsidR="00F32B91" w:rsidRDefault="00F32B91" w:rsidP="00F32B91">
      <w:pPr>
        <w:rPr>
          <w:rFonts w:cs="Arial"/>
        </w:rPr>
      </w:pPr>
      <w:r>
        <w:rPr>
          <w:rFonts w:cs="Arial"/>
        </w:rPr>
        <w:t xml:space="preserve">Sponsors wishing to vary a currently listed product should complete an </w:t>
      </w:r>
      <w:proofErr w:type="gramStart"/>
      <w:r w:rsidRPr="00C7274C">
        <w:rPr>
          <w:rStyle w:val="Emphasis"/>
        </w:rPr>
        <w:t>Application</w:t>
      </w:r>
      <w:proofErr w:type="gramEnd"/>
      <w:r w:rsidRPr="00C7274C">
        <w:rPr>
          <w:rStyle w:val="Emphasis"/>
        </w:rPr>
        <w:t xml:space="preserve"> to </w:t>
      </w:r>
      <w:r w:rsidR="006313FA">
        <w:rPr>
          <w:rStyle w:val="Emphasis"/>
        </w:rPr>
        <w:t>Vary</w:t>
      </w:r>
      <w:r w:rsidRPr="00C7274C">
        <w:rPr>
          <w:rStyle w:val="Emphasis"/>
        </w:rPr>
        <w:t xml:space="preserve"> a Listing</w:t>
      </w:r>
      <w:r>
        <w:rPr>
          <w:rFonts w:cs="Arial"/>
        </w:rPr>
        <w:t xml:space="preserve"> form.  </w:t>
      </w:r>
    </w:p>
    <w:p w14:paraId="2404D0D2" w14:textId="060826FA" w:rsidR="00F32B91" w:rsidRDefault="00F32B91" w:rsidP="00F32B91">
      <w:pPr>
        <w:rPr>
          <w:rFonts w:cs="Arial"/>
        </w:rPr>
      </w:pPr>
      <w:r>
        <w:rPr>
          <w:rFonts w:cs="Arial"/>
        </w:rPr>
        <w:t>The</w:t>
      </w:r>
      <w:r w:rsidRPr="00C7274C">
        <w:rPr>
          <w:rStyle w:val="Emphasis"/>
        </w:rPr>
        <w:t xml:space="preserve"> Application to </w:t>
      </w:r>
      <w:r w:rsidR="006313FA">
        <w:rPr>
          <w:rStyle w:val="Emphasis"/>
        </w:rPr>
        <w:t>Vary</w:t>
      </w:r>
      <w:r w:rsidRPr="00C7274C">
        <w:rPr>
          <w:rStyle w:val="Emphasis"/>
        </w:rPr>
        <w:t xml:space="preserve"> a Listing</w:t>
      </w:r>
      <w:r>
        <w:rPr>
          <w:rFonts w:cs="Arial"/>
        </w:rPr>
        <w:t xml:space="preserve"> form includes </w:t>
      </w:r>
      <w:r w:rsidR="00FC71A9">
        <w:rPr>
          <w:rFonts w:cs="Arial"/>
        </w:rPr>
        <w:t>5</w:t>
      </w:r>
      <w:r>
        <w:rPr>
          <w:rFonts w:cs="Arial"/>
        </w:rPr>
        <w:t xml:space="preserve"> sections. Information relating to the completion of each section is below.</w:t>
      </w:r>
    </w:p>
    <w:p w14:paraId="67CBDDC8" w14:textId="77777777" w:rsidR="00F32B91" w:rsidRDefault="00F32B91" w:rsidP="003F4BF0">
      <w:pPr>
        <w:pStyle w:val="Heading4"/>
      </w:pPr>
      <w:bookmarkStart w:id="89" w:name="_Toc473893084"/>
      <w:bookmarkStart w:id="90" w:name="_Toc107411679"/>
      <w:r>
        <w:t>Section 1 – Applicant Details and Declaration</w:t>
      </w:r>
      <w:bookmarkEnd w:id="89"/>
      <w:bookmarkEnd w:id="90"/>
    </w:p>
    <w:p w14:paraId="1308252A" w14:textId="23D6DF95" w:rsidR="00F32B91" w:rsidRDefault="00F32B91" w:rsidP="00F32B91">
      <w:pPr>
        <w:rPr>
          <w:rFonts w:cs="Arial"/>
        </w:rPr>
      </w:pPr>
      <w:r>
        <w:rPr>
          <w:rFonts w:cs="Arial"/>
        </w:rPr>
        <w:t>The Applicant must be the sponsor of the stoma-related product in Australia. All contact information should be completed, and the nominated contact officer should be able to assist with any queries.</w:t>
      </w:r>
    </w:p>
    <w:p w14:paraId="3A867820" w14:textId="01CBF9B9" w:rsidR="00F32B91" w:rsidRDefault="00F32B91" w:rsidP="003F4BF0">
      <w:pPr>
        <w:pStyle w:val="Heading4"/>
      </w:pPr>
      <w:bookmarkStart w:id="91" w:name="_Toc473893085"/>
      <w:bookmarkStart w:id="92" w:name="_Toc107411680"/>
      <w:r>
        <w:t xml:space="preserve">Section 2 – </w:t>
      </w:r>
      <w:r w:rsidR="00E0163F">
        <w:t>Product Information</w:t>
      </w:r>
      <w:r w:rsidR="00FC71A9">
        <w:t xml:space="preserve"> </w:t>
      </w:r>
      <w:bookmarkEnd w:id="91"/>
      <w:bookmarkEnd w:id="92"/>
    </w:p>
    <w:p w14:paraId="53BB427C" w14:textId="3046B577" w:rsidR="00F32B91" w:rsidRDefault="00F32B91" w:rsidP="00F32B91">
      <w:pPr>
        <w:rPr>
          <w:rFonts w:cs="Arial"/>
        </w:rPr>
      </w:pPr>
      <w:r>
        <w:rPr>
          <w:rFonts w:cs="Arial"/>
        </w:rPr>
        <w:t xml:space="preserve">The purpose of this section is to </w:t>
      </w:r>
      <w:r w:rsidR="00FC71A9">
        <w:rPr>
          <w:rFonts w:cs="Arial"/>
        </w:rPr>
        <w:t>establish</w:t>
      </w:r>
      <w:r>
        <w:rPr>
          <w:rFonts w:cs="Arial"/>
        </w:rPr>
        <w:t xml:space="preserve"> which product/s are to be varied</w:t>
      </w:r>
      <w:r w:rsidR="00127E40" w:rsidRPr="00127E40">
        <w:rPr>
          <w:rFonts w:cs="Arial"/>
        </w:rPr>
        <w:t xml:space="preserve"> </w:t>
      </w:r>
      <w:r w:rsidR="00127E40">
        <w:rPr>
          <w:rFonts w:cs="Arial"/>
        </w:rPr>
        <w:t>on the SAS Schedule</w:t>
      </w:r>
      <w:r>
        <w:rPr>
          <w:rFonts w:cs="Arial"/>
        </w:rPr>
        <w:t>. The product’s SAS code</w:t>
      </w:r>
      <w:r w:rsidR="00FC71A9">
        <w:rPr>
          <w:rFonts w:cs="Arial"/>
        </w:rPr>
        <w:t>, product code, group and subgroup</w:t>
      </w:r>
      <w:r>
        <w:rPr>
          <w:rFonts w:cs="Arial"/>
        </w:rPr>
        <w:t xml:space="preserve"> should be specified.</w:t>
      </w:r>
      <w:r w:rsidR="00FC71A9">
        <w:rPr>
          <w:rFonts w:cs="Arial"/>
        </w:rPr>
        <w:t xml:space="preserve"> Use a separate application for products listed under each individual SAS code.</w:t>
      </w:r>
    </w:p>
    <w:p w14:paraId="51F2673D" w14:textId="23AC6522" w:rsidR="00F32B91" w:rsidRDefault="00F32B91" w:rsidP="003F4BF0">
      <w:pPr>
        <w:pStyle w:val="Heading4"/>
      </w:pPr>
      <w:bookmarkStart w:id="93" w:name="_Toc473893086"/>
      <w:bookmarkStart w:id="94" w:name="_Toc107411681"/>
      <w:r>
        <w:t xml:space="preserve">Section 3 – </w:t>
      </w:r>
      <w:r w:rsidR="00FC71A9">
        <w:t>Type of Variation</w:t>
      </w:r>
      <w:bookmarkEnd w:id="93"/>
      <w:bookmarkEnd w:id="94"/>
    </w:p>
    <w:p w14:paraId="06AAD2C1" w14:textId="1569BE5A" w:rsidR="00FC71A9" w:rsidRDefault="00F32B91" w:rsidP="00FC71A9">
      <w:pPr>
        <w:rPr>
          <w:rFonts w:cs="Arial"/>
        </w:rPr>
      </w:pPr>
      <w:r>
        <w:rPr>
          <w:rFonts w:cs="Arial"/>
        </w:rPr>
        <w:t xml:space="preserve">The purpose of this section is to establish </w:t>
      </w:r>
      <w:r w:rsidR="00FC71A9">
        <w:rPr>
          <w:rFonts w:cs="Arial"/>
        </w:rPr>
        <w:t>the nature of the variation being sought. Only complete the relevant table</w:t>
      </w:r>
      <w:r w:rsidR="00014583">
        <w:rPr>
          <w:rFonts w:cs="Arial"/>
        </w:rPr>
        <w:t>/s</w:t>
      </w:r>
      <w:r w:rsidR="00FC71A9">
        <w:rPr>
          <w:rFonts w:cs="Arial"/>
        </w:rPr>
        <w:t xml:space="preserve"> for the type of variation </w:t>
      </w:r>
      <w:r w:rsidR="00014583">
        <w:rPr>
          <w:rFonts w:cs="Arial"/>
        </w:rPr>
        <w:t xml:space="preserve">being sought through </w:t>
      </w:r>
      <w:r w:rsidR="00FC71A9">
        <w:rPr>
          <w:rFonts w:cs="Arial"/>
        </w:rPr>
        <w:t xml:space="preserve">the application. </w:t>
      </w:r>
      <w:r w:rsidR="00143955">
        <w:rPr>
          <w:rFonts w:cs="Arial"/>
        </w:rPr>
        <w:t xml:space="preserve">Examples of the type of variations that can be included in this section are variations </w:t>
      </w:r>
      <w:r w:rsidR="00CB44C0">
        <w:rPr>
          <w:rFonts w:cs="Arial"/>
        </w:rPr>
        <w:t>to</w:t>
      </w:r>
      <w:r w:rsidR="00143955">
        <w:rPr>
          <w:rFonts w:cs="Arial"/>
        </w:rPr>
        <w:t xml:space="preserve"> a company code, sponsor name, product description</w:t>
      </w:r>
      <w:r w:rsidR="00CB44C0">
        <w:rPr>
          <w:rFonts w:cs="Arial"/>
        </w:rPr>
        <w:t xml:space="preserve"> or name, or pack size. </w:t>
      </w:r>
    </w:p>
    <w:p w14:paraId="6FDE3303" w14:textId="77777777" w:rsidR="00F32B91" w:rsidRDefault="00F32B91" w:rsidP="003F4BF0">
      <w:pPr>
        <w:pStyle w:val="Heading4"/>
      </w:pPr>
      <w:bookmarkStart w:id="95" w:name="_Toc107411682"/>
      <w:r>
        <w:t>Section 4 – Additional information</w:t>
      </w:r>
      <w:bookmarkEnd w:id="95"/>
    </w:p>
    <w:p w14:paraId="5BF06394" w14:textId="30D2FEB4" w:rsidR="00F32B91" w:rsidRDefault="00F32B91" w:rsidP="00F32B91">
      <w:pPr>
        <w:rPr>
          <w:rFonts w:cs="Arial"/>
        </w:rPr>
      </w:pPr>
      <w:r>
        <w:rPr>
          <w:rFonts w:cs="Arial"/>
        </w:rPr>
        <w:t xml:space="preserve">The purpose of this section is to allow any further information not included in previous sections and relevant to the </w:t>
      </w:r>
      <w:r w:rsidR="004D5D5E">
        <w:rPr>
          <w:rFonts w:cs="Arial"/>
        </w:rPr>
        <w:t>variation</w:t>
      </w:r>
      <w:r>
        <w:rPr>
          <w:rFonts w:cs="Arial"/>
        </w:rPr>
        <w:t xml:space="preserve"> of the product</w:t>
      </w:r>
      <w:r w:rsidR="00127E40">
        <w:rPr>
          <w:rFonts w:cs="Arial"/>
        </w:rPr>
        <w:t>/s</w:t>
      </w:r>
      <w:r>
        <w:rPr>
          <w:rFonts w:cs="Arial"/>
        </w:rPr>
        <w:t xml:space="preserve"> to be provided.</w:t>
      </w:r>
      <w:bookmarkStart w:id="96" w:name="_Toc106980838"/>
      <w:bookmarkEnd w:id="96"/>
    </w:p>
    <w:p w14:paraId="4D9C998F" w14:textId="19DD3BD0" w:rsidR="00FC71A9" w:rsidRDefault="00FC71A9" w:rsidP="00FC71A9">
      <w:pPr>
        <w:pStyle w:val="Heading4"/>
      </w:pPr>
      <w:r>
        <w:t>Section 5 – Supporting Documentation</w:t>
      </w:r>
    </w:p>
    <w:p w14:paraId="2E886996" w14:textId="7332D6C7" w:rsidR="00127E40" w:rsidRDefault="00127E40" w:rsidP="00127E40">
      <w:pPr>
        <w:rPr>
          <w:rFonts w:cs="Arial"/>
        </w:rPr>
      </w:pPr>
      <w:r>
        <w:rPr>
          <w:rFonts w:cs="Arial"/>
        </w:rPr>
        <w:t xml:space="preserve">The purpose of this section is for the applicant to list the supporting documents </w:t>
      </w:r>
      <w:r w:rsidR="007F25AB">
        <w:rPr>
          <w:rFonts w:cs="Arial"/>
        </w:rPr>
        <w:t xml:space="preserve">(if any) </w:t>
      </w:r>
      <w:r>
        <w:rPr>
          <w:rFonts w:cs="Arial"/>
        </w:rPr>
        <w:t>that will be submitted with the application, noting which section of the application they support.</w:t>
      </w:r>
    </w:p>
    <w:p w14:paraId="03F99718" w14:textId="408453AD" w:rsidR="00621FF3" w:rsidRDefault="00621FF3" w:rsidP="00621FF3">
      <w:pPr>
        <w:pStyle w:val="Heading2"/>
      </w:pPr>
      <w:bookmarkStart w:id="97" w:name="_Toc138851197"/>
      <w:r>
        <w:t>2.5 Application to Delete a Listing</w:t>
      </w:r>
      <w:bookmarkEnd w:id="97"/>
    </w:p>
    <w:p w14:paraId="3615C709" w14:textId="5A0D05E2" w:rsidR="007F25AB" w:rsidRDefault="00621FF3" w:rsidP="00621FF3">
      <w:pPr>
        <w:rPr>
          <w:rFonts w:cs="Arial"/>
        </w:rPr>
      </w:pPr>
      <w:r>
        <w:rPr>
          <w:rFonts w:cs="Arial"/>
        </w:rPr>
        <w:t xml:space="preserve">A sponsor should apply to have a product deleted from the SAS Schedule if that product can no longer be distributed in Australia. Where possible, a period of notice of </w:t>
      </w:r>
      <w:r>
        <w:rPr>
          <w:rFonts w:cs="Arial"/>
          <w:bCs/>
        </w:rPr>
        <w:t xml:space="preserve">not less than </w:t>
      </w:r>
      <w:r>
        <w:rPr>
          <w:rFonts w:cs="Arial"/>
          <w:bCs/>
        </w:rPr>
        <w:lastRenderedPageBreak/>
        <w:t>6 months</w:t>
      </w:r>
      <w:r>
        <w:rPr>
          <w:rFonts w:cs="Arial"/>
        </w:rPr>
        <w:t xml:space="preserve"> should be given to allow users of the product to seek a suitable alternative and to enable stoma associations to manage their stock levels. </w:t>
      </w:r>
    </w:p>
    <w:p w14:paraId="1236FA1F" w14:textId="0F010B28" w:rsidR="00621FF3" w:rsidRDefault="00621FF3" w:rsidP="00621FF3">
      <w:pPr>
        <w:rPr>
          <w:rFonts w:cs="Arial"/>
        </w:rPr>
      </w:pPr>
      <w:r>
        <w:rPr>
          <w:rFonts w:cs="Arial"/>
        </w:rPr>
        <w:t>It is important to provide as much information as possible, including the steps that will be taken to inform associations and participants in the Scheme about the deletion. Deletions are generally processed by the SPAP Secretariat.</w:t>
      </w:r>
    </w:p>
    <w:p w14:paraId="62263154" w14:textId="40A7A56A" w:rsidR="00621FF3" w:rsidRDefault="00621FF3" w:rsidP="00621FF3">
      <w:pPr>
        <w:rPr>
          <w:rFonts w:cs="Arial"/>
        </w:rPr>
      </w:pPr>
      <w:r>
        <w:rPr>
          <w:rFonts w:cs="Arial"/>
        </w:rPr>
        <w:t>A product may be deleted from the SAS Schedule if there has been no use of that product under the Scheme for a period of 24 months. SPAP may also recommend deleting a product from the SAS Schedule (</w:t>
      </w:r>
      <w:proofErr w:type="gramStart"/>
      <w:r>
        <w:rPr>
          <w:rFonts w:cs="Arial"/>
        </w:rPr>
        <w:t>e.g.</w:t>
      </w:r>
      <w:proofErr w:type="gramEnd"/>
      <w:r>
        <w:rPr>
          <w:rFonts w:cs="Arial"/>
        </w:rPr>
        <w:t xml:space="preserve"> for clinical or efficacy reasons). If so, the sponsor will be notified of the intended deletion and given </w:t>
      </w:r>
      <w:r>
        <w:rPr>
          <w:rFonts w:cs="Arial"/>
          <w:bCs/>
        </w:rPr>
        <w:t>6 months’ notice</w:t>
      </w:r>
      <w:r>
        <w:rPr>
          <w:rFonts w:cs="Arial"/>
        </w:rPr>
        <w:t xml:space="preserve"> of such intention.</w:t>
      </w:r>
    </w:p>
    <w:p w14:paraId="69FB5027" w14:textId="52538658" w:rsidR="00E0163F" w:rsidRDefault="00E0163F" w:rsidP="00E0163F">
      <w:pPr>
        <w:pStyle w:val="Heading3"/>
      </w:pPr>
      <w:bookmarkStart w:id="98" w:name="_Toc138851198"/>
      <w:r>
        <w:t>2.5.1 Completing the Application to Delete a Listing form</w:t>
      </w:r>
      <w:bookmarkEnd w:id="98"/>
    </w:p>
    <w:p w14:paraId="3AC1A88B" w14:textId="6F2ADF6C" w:rsidR="00127E40" w:rsidRDefault="00127E40" w:rsidP="00127E40">
      <w:pPr>
        <w:rPr>
          <w:rFonts w:cs="Arial"/>
        </w:rPr>
      </w:pPr>
      <w:r>
        <w:rPr>
          <w:rFonts w:cs="Arial"/>
        </w:rPr>
        <w:t>The</w:t>
      </w:r>
      <w:r w:rsidRPr="00C7274C">
        <w:rPr>
          <w:rStyle w:val="Emphasis"/>
        </w:rPr>
        <w:t xml:space="preserve"> Application to </w:t>
      </w:r>
      <w:r>
        <w:rPr>
          <w:rStyle w:val="Emphasis"/>
        </w:rPr>
        <w:t>Delete</w:t>
      </w:r>
      <w:r w:rsidRPr="00C7274C">
        <w:rPr>
          <w:rStyle w:val="Emphasis"/>
        </w:rPr>
        <w:t xml:space="preserve"> a Listing</w:t>
      </w:r>
      <w:r>
        <w:rPr>
          <w:rFonts w:cs="Arial"/>
        </w:rPr>
        <w:t xml:space="preserve"> form includes 3 sections. Information relating to the completion of each section is below.</w:t>
      </w:r>
    </w:p>
    <w:p w14:paraId="74767397" w14:textId="77777777" w:rsidR="00127E40" w:rsidRDefault="00127E40" w:rsidP="00127E40">
      <w:pPr>
        <w:pStyle w:val="Heading4"/>
      </w:pPr>
      <w:r>
        <w:t>Section 1 – Applicant Details and Declaration</w:t>
      </w:r>
    </w:p>
    <w:p w14:paraId="7F3D5971" w14:textId="77777777" w:rsidR="00127E40" w:rsidRDefault="00127E40" w:rsidP="00127E40">
      <w:pPr>
        <w:rPr>
          <w:rFonts w:cs="Arial"/>
        </w:rPr>
      </w:pPr>
      <w:r>
        <w:rPr>
          <w:rFonts w:cs="Arial"/>
        </w:rPr>
        <w:t>The Applicant must be the sponsor of the stoma-related product in Australia. All contact information should be completed, and the nominated contact officer should be able to assist with any queries.</w:t>
      </w:r>
    </w:p>
    <w:p w14:paraId="6F9D5256" w14:textId="77777777" w:rsidR="00127E40" w:rsidRDefault="00127E40" w:rsidP="00127E40">
      <w:pPr>
        <w:pStyle w:val="Heading4"/>
      </w:pPr>
      <w:r>
        <w:t xml:space="preserve">Section 2 – Product Information </w:t>
      </w:r>
    </w:p>
    <w:p w14:paraId="016CAB0D" w14:textId="7A81A613" w:rsidR="00127E40" w:rsidRDefault="00127E40" w:rsidP="00127E40">
      <w:pPr>
        <w:rPr>
          <w:rFonts w:cs="Arial"/>
        </w:rPr>
      </w:pPr>
      <w:r>
        <w:rPr>
          <w:rFonts w:cs="Arial"/>
        </w:rPr>
        <w:t>The purpose of this section is to establish which product</w:t>
      </w:r>
      <w:r w:rsidR="00014583">
        <w:rPr>
          <w:rFonts w:cs="Arial"/>
        </w:rPr>
        <w:t xml:space="preserve"> is</w:t>
      </w:r>
      <w:r>
        <w:rPr>
          <w:rFonts w:cs="Arial"/>
        </w:rPr>
        <w:t xml:space="preserve"> to be deleted</w:t>
      </w:r>
      <w:r w:rsidRPr="00127E40">
        <w:rPr>
          <w:rFonts w:cs="Arial"/>
        </w:rPr>
        <w:t xml:space="preserve"> </w:t>
      </w:r>
      <w:r>
        <w:rPr>
          <w:rFonts w:cs="Arial"/>
        </w:rPr>
        <w:t>from the SAS Schedule. The product’s SAS code, product code, group and subgroup should be specified.  Use a separate application for products listed under each individual SAS code.</w:t>
      </w:r>
    </w:p>
    <w:p w14:paraId="40EAC44D" w14:textId="4DFBEF23" w:rsidR="00127E40" w:rsidRDefault="00127E40" w:rsidP="00127E40">
      <w:pPr>
        <w:pStyle w:val="Heading4"/>
      </w:pPr>
      <w:r>
        <w:t>Section 3 – Additional information</w:t>
      </w:r>
    </w:p>
    <w:p w14:paraId="6981AD9F" w14:textId="5ACD2D8C" w:rsidR="00127E40" w:rsidRDefault="00127E40" w:rsidP="00127E40">
      <w:pPr>
        <w:rPr>
          <w:rFonts w:cs="Arial"/>
        </w:rPr>
      </w:pPr>
      <w:r>
        <w:rPr>
          <w:rFonts w:cs="Arial"/>
        </w:rPr>
        <w:t>The purpose of this section is to allow any further information not included in previous sections and relevant to the deletion of the product to be provided.</w:t>
      </w:r>
    </w:p>
    <w:p w14:paraId="541B5BD8" w14:textId="5696A28A" w:rsidR="00621FF3" w:rsidRDefault="00FC71A9" w:rsidP="00F32B91">
      <w:pPr>
        <w:rPr>
          <w:rFonts w:cs="Arial"/>
        </w:rPr>
      </w:pPr>
      <w:r>
        <w:rPr>
          <w:rFonts w:cs="Arial"/>
        </w:rPr>
        <w:t xml:space="preserve">If the product is to be deleted earlier than 6 months from the application date, an explanation should be provided in </w:t>
      </w:r>
      <w:r w:rsidR="00127E40">
        <w:rPr>
          <w:rFonts w:cs="Arial"/>
        </w:rPr>
        <w:t xml:space="preserve">this </w:t>
      </w:r>
      <w:r>
        <w:rPr>
          <w:rFonts w:cs="Arial"/>
        </w:rPr>
        <w:t>section</w:t>
      </w:r>
      <w:r w:rsidR="00127E40">
        <w:rPr>
          <w:rFonts w:cs="Arial"/>
        </w:rPr>
        <w:t>.</w:t>
      </w:r>
      <w:r w:rsidR="007F25AB">
        <w:rPr>
          <w:rFonts w:cs="Arial"/>
        </w:rPr>
        <w:t xml:space="preserve"> Sponsors may nominate a </w:t>
      </w:r>
      <w:r>
        <w:rPr>
          <w:rFonts w:cs="Arial"/>
        </w:rPr>
        <w:t>substitute product</w:t>
      </w:r>
      <w:r w:rsidR="00014583">
        <w:rPr>
          <w:rFonts w:cs="Arial"/>
        </w:rPr>
        <w:t xml:space="preserve"> in this section, noting that t</w:t>
      </w:r>
      <w:r w:rsidR="00014583">
        <w:rPr>
          <w:rFonts w:cs="Arial"/>
        </w:rPr>
        <w:t>he Department does not include suggested alternative products with its release of the SAS Schedule</w:t>
      </w:r>
      <w:r w:rsidR="007F25AB">
        <w:rPr>
          <w:rFonts w:cs="Arial"/>
        </w:rPr>
        <w:t>. T</w:t>
      </w:r>
      <w:r>
        <w:rPr>
          <w:rFonts w:cs="Arial"/>
        </w:rPr>
        <w:t xml:space="preserve">his information will be provided to SPAP at its next meeting. </w:t>
      </w:r>
    </w:p>
    <w:p w14:paraId="30290AD2" w14:textId="42C99DF5" w:rsidR="00F32B91" w:rsidRDefault="00A620F2" w:rsidP="003F4BF0">
      <w:pPr>
        <w:pStyle w:val="Heading2"/>
      </w:pPr>
      <w:bookmarkStart w:id="99" w:name="_Toc473893087"/>
      <w:bookmarkStart w:id="100" w:name="_Toc107411683"/>
      <w:bookmarkStart w:id="101" w:name="_Toc119409502"/>
      <w:bookmarkStart w:id="102" w:name="_Toc138851199"/>
      <w:r>
        <w:t>2.</w:t>
      </w:r>
      <w:r w:rsidR="00E0163F">
        <w:t>6</w:t>
      </w:r>
      <w:r>
        <w:t xml:space="preserve"> </w:t>
      </w:r>
      <w:r w:rsidR="00F32B91">
        <w:t xml:space="preserve">Lodging an </w:t>
      </w:r>
      <w:bookmarkEnd w:id="99"/>
      <w:bookmarkEnd w:id="100"/>
      <w:bookmarkEnd w:id="101"/>
      <w:r w:rsidR="003666CC">
        <w:t>application</w:t>
      </w:r>
      <w:bookmarkEnd w:id="102"/>
    </w:p>
    <w:p w14:paraId="3190DCE7" w14:textId="1B4E5820" w:rsidR="00F32B91" w:rsidRDefault="00A620F2" w:rsidP="003F4BF0">
      <w:pPr>
        <w:pStyle w:val="Heading3"/>
      </w:pPr>
      <w:bookmarkStart w:id="103" w:name="_Toc107411684"/>
      <w:bookmarkStart w:id="104" w:name="_Toc119409503"/>
      <w:bookmarkStart w:id="105" w:name="_Toc138851200"/>
      <w:r>
        <w:t>2.</w:t>
      </w:r>
      <w:r w:rsidR="00E0163F">
        <w:t>6</w:t>
      </w:r>
      <w:r>
        <w:t xml:space="preserve">.1 </w:t>
      </w:r>
      <w:r w:rsidR="00F32B91">
        <w:t xml:space="preserve">When to </w:t>
      </w:r>
      <w:proofErr w:type="gramStart"/>
      <w:r w:rsidR="00F32B91">
        <w:t>submit an application</w:t>
      </w:r>
      <w:bookmarkEnd w:id="103"/>
      <w:bookmarkEnd w:id="104"/>
      <w:bookmarkEnd w:id="105"/>
      <w:proofErr w:type="gramEnd"/>
    </w:p>
    <w:p w14:paraId="1D774FC1" w14:textId="77777777" w:rsidR="00F32B91" w:rsidRDefault="00F32B91" w:rsidP="00F32B91">
      <w:pPr>
        <w:rPr>
          <w:rFonts w:cs="Arial"/>
        </w:rPr>
      </w:pPr>
      <w:r>
        <w:rPr>
          <w:rFonts w:cs="Arial"/>
        </w:rPr>
        <w:t xml:space="preserve">The SPAP Secretariat manages application lodgements. Applications should be completed using the electronic forms located at the </w:t>
      </w:r>
      <w:hyperlink r:id="rId17" w:history="1">
        <w:r>
          <w:rPr>
            <w:rStyle w:val="Hyperlink"/>
            <w:rFonts w:cs="Arial"/>
          </w:rPr>
          <w:t>SAS Resources webpage</w:t>
        </w:r>
      </w:hyperlink>
      <w:r w:rsidRPr="000F6458">
        <w:t>. Forms can also be requested by contacting the Secretariat.</w:t>
      </w:r>
      <w:r>
        <w:rPr>
          <w:rStyle w:val="Hyperlink"/>
          <w:rFonts w:cs="Arial"/>
        </w:rPr>
        <w:t xml:space="preserve"> </w:t>
      </w:r>
    </w:p>
    <w:p w14:paraId="5185A963" w14:textId="68E6EB53" w:rsidR="00F32B91" w:rsidRDefault="00F32B91" w:rsidP="00F32B91">
      <w:pPr>
        <w:rPr>
          <w:rFonts w:cs="Arial"/>
        </w:rPr>
      </w:pPr>
      <w:r>
        <w:rPr>
          <w:rFonts w:cs="Arial"/>
        </w:rPr>
        <w:t>A checklist is provided at the end of each Application Form to ensure applicants have included all relevant and requested information.</w:t>
      </w:r>
    </w:p>
    <w:p w14:paraId="576F2E8F" w14:textId="77777777" w:rsidR="00F32B91" w:rsidRDefault="00F32B91" w:rsidP="00F32B91">
      <w:pPr>
        <w:rPr>
          <w:rFonts w:cs="Arial"/>
        </w:rPr>
      </w:pPr>
      <w:r>
        <w:rPr>
          <w:rFonts w:cs="Arial"/>
        </w:rPr>
        <w:t xml:space="preserve">Applications can be submitted to the SPAP Secretariat at </w:t>
      </w:r>
      <w:r>
        <w:rPr>
          <w:rFonts w:cs="Arial"/>
          <w:bCs/>
        </w:rPr>
        <w:t>any time throughout the year</w:t>
      </w:r>
      <w:r>
        <w:rPr>
          <w:rFonts w:cs="Arial"/>
        </w:rPr>
        <w:t xml:space="preserve">. The Secretariat will process each application once received and arrange for the application to be </w:t>
      </w:r>
      <w:r>
        <w:rPr>
          <w:rFonts w:cs="Arial"/>
        </w:rPr>
        <w:lastRenderedPageBreak/>
        <w:t>considered at the next SPAP meeting. Applications are assessed by SPAP twice per year.</w:t>
      </w:r>
      <w:r>
        <w:rPr>
          <w:rFonts w:cs="Arial"/>
          <w:szCs w:val="22"/>
        </w:rPr>
        <w:t xml:space="preserve"> The closing date for applications is usually at least 6 weeks prior to the SPAP meeting date.</w:t>
      </w:r>
    </w:p>
    <w:p w14:paraId="5F59FF96" w14:textId="159987E8" w:rsidR="00F32B91" w:rsidRDefault="00F32B91" w:rsidP="00F32B91">
      <w:pPr>
        <w:rPr>
          <w:rFonts w:cs="Arial"/>
        </w:rPr>
      </w:pPr>
      <w:r>
        <w:rPr>
          <w:rFonts w:cs="Arial"/>
        </w:rPr>
        <w:t xml:space="preserve">Current application timetable details can be found on the </w:t>
      </w:r>
      <w:hyperlink r:id="rId18" w:history="1">
        <w:r>
          <w:rPr>
            <w:rStyle w:val="Hyperlink"/>
            <w:rFonts w:cs="Arial"/>
          </w:rPr>
          <w:t>Department’s Stoma webpage</w:t>
        </w:r>
      </w:hyperlink>
      <w:r>
        <w:rPr>
          <w:rFonts w:cs="Arial"/>
        </w:rPr>
        <w:t>.</w:t>
      </w:r>
    </w:p>
    <w:p w14:paraId="4CEE86D7" w14:textId="7DE09EFF" w:rsidR="00F32B91" w:rsidRDefault="00F32B91" w:rsidP="00F32B91">
      <w:pPr>
        <w:rPr>
          <w:rFonts w:cs="Arial"/>
        </w:rPr>
      </w:pPr>
      <w:r w:rsidRPr="00CA58F1">
        <w:t xml:space="preserve">SPAP will consider all applications to list products (benchmark and price premium) and applications to </w:t>
      </w:r>
      <w:r w:rsidR="007B7A08">
        <w:t>vary</w:t>
      </w:r>
      <w:r w:rsidRPr="00CA58F1">
        <w:t xml:space="preserve"> products </w:t>
      </w:r>
      <w:r w:rsidR="003E3264" w:rsidRPr="00CA58F1">
        <w:t xml:space="preserve">currently listed on the SAS Schedule </w:t>
      </w:r>
      <w:r w:rsidRPr="00CA58F1">
        <w:t xml:space="preserve">where the </w:t>
      </w:r>
      <w:r>
        <w:rPr>
          <w:rFonts w:cs="Arial"/>
        </w:rPr>
        <w:t xml:space="preserve">variation will affect a product’s classification, pricing, maximum </w:t>
      </w:r>
      <w:proofErr w:type="gramStart"/>
      <w:r>
        <w:rPr>
          <w:rFonts w:cs="Arial"/>
        </w:rPr>
        <w:t>quantity</w:t>
      </w:r>
      <w:proofErr w:type="gramEnd"/>
      <w:r>
        <w:rPr>
          <w:rFonts w:cs="Arial"/>
        </w:rPr>
        <w:t xml:space="preserve"> or composition</w:t>
      </w:r>
      <w:r w:rsidRPr="00CA58F1">
        <w:t xml:space="preserve">. </w:t>
      </w:r>
      <w:r w:rsidR="00014583">
        <w:t xml:space="preserve">Administrative variations and deletions will usually be processed by the SPAP Secretariat. </w:t>
      </w:r>
    </w:p>
    <w:p w14:paraId="75B7D48C" w14:textId="2326D1EC" w:rsidR="00F32B91" w:rsidRDefault="00A620F2" w:rsidP="003F4BF0">
      <w:pPr>
        <w:pStyle w:val="Heading3"/>
      </w:pPr>
      <w:bookmarkStart w:id="106" w:name="_Toc473893090"/>
      <w:bookmarkStart w:id="107" w:name="_Toc107411686"/>
      <w:bookmarkStart w:id="108" w:name="_Toc119409505"/>
      <w:bookmarkStart w:id="109" w:name="_Toc138851201"/>
      <w:r>
        <w:t>2.</w:t>
      </w:r>
      <w:r w:rsidR="00E0163F">
        <w:t>6</w:t>
      </w:r>
      <w:r>
        <w:t>.</w:t>
      </w:r>
      <w:r w:rsidR="00014583">
        <w:t>2</w:t>
      </w:r>
      <w:r>
        <w:t xml:space="preserve"> </w:t>
      </w:r>
      <w:r w:rsidR="00F32B91">
        <w:t>Lodgement</w:t>
      </w:r>
      <w:bookmarkEnd w:id="106"/>
      <w:bookmarkEnd w:id="107"/>
      <w:bookmarkEnd w:id="108"/>
      <w:bookmarkEnd w:id="109"/>
    </w:p>
    <w:p w14:paraId="2861F506" w14:textId="234FFF09" w:rsidR="00F32B91" w:rsidRDefault="00014583" w:rsidP="00F32B91">
      <w:pPr>
        <w:rPr>
          <w:rFonts w:cs="Arial"/>
        </w:rPr>
      </w:pPr>
      <w:r>
        <w:rPr>
          <w:rFonts w:cs="Arial"/>
        </w:rPr>
        <w:t xml:space="preserve">Applicants must provide a signed electronic version of the application and all supporting information via email. </w:t>
      </w:r>
      <w:r w:rsidR="00F32B91">
        <w:rPr>
          <w:rFonts w:cs="Arial"/>
        </w:rPr>
        <w:t xml:space="preserve">The completed application and all relevant information should be emailed to the SPAP Secretariat at </w:t>
      </w:r>
      <w:hyperlink r:id="rId19" w:history="1">
        <w:r w:rsidR="00F32B91">
          <w:rPr>
            <w:rStyle w:val="Hyperlink"/>
            <w:rFonts w:cs="Arial"/>
          </w:rPr>
          <w:t>stoma@health.gov.au</w:t>
        </w:r>
      </w:hyperlink>
      <w:r w:rsidR="00F32B91">
        <w:rPr>
          <w:rFonts w:cs="Arial"/>
        </w:rPr>
        <w:t>.</w:t>
      </w:r>
      <w:r>
        <w:rPr>
          <w:rFonts w:cs="Arial"/>
        </w:rPr>
        <w:t xml:space="preserve"> </w:t>
      </w:r>
      <w:r>
        <w:rPr>
          <w:rFonts w:cs="Arial"/>
        </w:rPr>
        <w:t>Applicants should complete all sections of the relevant application form. Incomplete applications will be returned to the applicant.</w:t>
      </w:r>
    </w:p>
    <w:p w14:paraId="482C12F5" w14:textId="71564D7D" w:rsidR="00F32B91" w:rsidRDefault="00014583" w:rsidP="00F32B91">
      <w:pPr>
        <w:rPr>
          <w:rFonts w:cs="Arial"/>
        </w:rPr>
      </w:pPr>
      <w:r>
        <w:rPr>
          <w:rFonts w:cs="Arial"/>
        </w:rPr>
        <w:t xml:space="preserve">For new products, applicants should provide 3 samples. </w:t>
      </w:r>
      <w:r w:rsidR="00F32B91">
        <w:rPr>
          <w:rFonts w:cs="Arial"/>
        </w:rPr>
        <w:t>The product samples for new listing applications should be sent via post to the SPAP Secretariat:</w:t>
      </w:r>
    </w:p>
    <w:p w14:paraId="7B108F84" w14:textId="77777777" w:rsidR="00F32B91" w:rsidRDefault="00F32B91" w:rsidP="00F32B91">
      <w:pPr>
        <w:contextualSpacing/>
        <w:rPr>
          <w:rFonts w:cs="Arial"/>
        </w:rPr>
      </w:pPr>
      <w:r>
        <w:rPr>
          <w:rFonts w:cs="Arial"/>
        </w:rPr>
        <w:t>Stoma Product Assessment Panel (SPAP) Secretariat</w:t>
      </w:r>
    </w:p>
    <w:p w14:paraId="455EA8B9" w14:textId="77777777" w:rsidR="00F32B91" w:rsidRDefault="00F32B91" w:rsidP="00F32B91">
      <w:pPr>
        <w:contextualSpacing/>
        <w:rPr>
          <w:rFonts w:cs="Arial"/>
        </w:rPr>
      </w:pPr>
      <w:r>
        <w:rPr>
          <w:rFonts w:cs="Arial"/>
        </w:rPr>
        <w:t xml:space="preserve">Department of Health </w:t>
      </w:r>
    </w:p>
    <w:p w14:paraId="5B7B9F17" w14:textId="77777777" w:rsidR="00F32B91" w:rsidRDefault="00F32B91" w:rsidP="00F32B91">
      <w:pPr>
        <w:contextualSpacing/>
        <w:rPr>
          <w:rFonts w:cs="Arial"/>
        </w:rPr>
      </w:pPr>
      <w:r>
        <w:rPr>
          <w:rFonts w:cs="Arial"/>
        </w:rPr>
        <w:t>PO Box 9848</w:t>
      </w:r>
    </w:p>
    <w:p w14:paraId="7A8EDAA0" w14:textId="6021684A" w:rsidR="003E3264" w:rsidRDefault="00F32B91" w:rsidP="00F32B91">
      <w:pPr>
        <w:rPr>
          <w:rFonts w:cs="Arial"/>
        </w:rPr>
      </w:pPr>
      <w:r>
        <w:rPr>
          <w:rFonts w:cs="Arial"/>
        </w:rPr>
        <w:t>CANBERRA ACT 2601</w:t>
      </w:r>
    </w:p>
    <w:p w14:paraId="057A5375" w14:textId="3CE4DE39" w:rsidR="003E3264" w:rsidRDefault="00F32B91" w:rsidP="00F32B91">
      <w:pPr>
        <w:rPr>
          <w:rFonts w:cs="Arial"/>
        </w:rPr>
      </w:pPr>
      <w:r>
        <w:rPr>
          <w:rFonts w:cs="Arial"/>
        </w:rPr>
        <w:t xml:space="preserve">If more than one application is being submitted, please ensure that the product samples are clearly labelled and separated. </w:t>
      </w:r>
    </w:p>
    <w:p w14:paraId="1C7B74C3" w14:textId="3F7D4EDE" w:rsidR="00F32B91" w:rsidRDefault="00F32B91" w:rsidP="00F32B91">
      <w:pPr>
        <w:rPr>
          <w:rFonts w:cs="Arial"/>
        </w:rPr>
      </w:pPr>
      <w:r>
        <w:rPr>
          <w:rFonts w:cs="Arial"/>
        </w:rPr>
        <w:t xml:space="preserve">Any questions about the lodgement process should be directed to the SPAP Secretariat via email: </w:t>
      </w:r>
      <w:hyperlink r:id="rId20" w:history="1">
        <w:r w:rsidRPr="003E3264">
          <w:rPr>
            <w:rStyle w:val="Hyperlink"/>
            <w:rFonts w:cs="Arial"/>
          </w:rPr>
          <w:t>stoma@health.gov.au</w:t>
        </w:r>
      </w:hyperlink>
      <w:r>
        <w:rPr>
          <w:rFonts w:cs="Arial"/>
        </w:rPr>
        <w:t xml:space="preserve"> or phone: (02) 6289 2308.</w:t>
      </w:r>
    </w:p>
    <w:p w14:paraId="0E756525" w14:textId="77777777" w:rsidR="003B32F1" w:rsidRPr="00CA58F1" w:rsidRDefault="003B32F1" w:rsidP="00CA58F1">
      <w:bookmarkStart w:id="110" w:name="_Toc473893091"/>
      <w:bookmarkStart w:id="111" w:name="_Toc107411687"/>
      <w:r>
        <w:br w:type="page"/>
      </w:r>
    </w:p>
    <w:p w14:paraId="405DE00E" w14:textId="61EE4FB9" w:rsidR="00F32B91" w:rsidRDefault="00F32B91" w:rsidP="00F32B91">
      <w:pPr>
        <w:pStyle w:val="Heading1"/>
      </w:pPr>
      <w:bookmarkStart w:id="112" w:name="_Part_3_–"/>
      <w:bookmarkStart w:id="113" w:name="_Toc119409506"/>
      <w:bookmarkStart w:id="114" w:name="_Toc138851202"/>
      <w:bookmarkEnd w:id="112"/>
      <w:r>
        <w:lastRenderedPageBreak/>
        <w:t>Part 3 – Assessment Guidelines</w:t>
      </w:r>
      <w:bookmarkEnd w:id="110"/>
      <w:bookmarkEnd w:id="111"/>
      <w:bookmarkEnd w:id="113"/>
      <w:bookmarkEnd w:id="114"/>
    </w:p>
    <w:p w14:paraId="6C694B34" w14:textId="3B1B3BD6" w:rsidR="00F32B91" w:rsidRDefault="00A620F2" w:rsidP="003F4BF0">
      <w:pPr>
        <w:pStyle w:val="Heading2"/>
      </w:pPr>
      <w:bookmarkStart w:id="115" w:name="_Toc473893092"/>
      <w:bookmarkStart w:id="116" w:name="_Toc107411688"/>
      <w:bookmarkStart w:id="117" w:name="_Toc119409507"/>
      <w:bookmarkStart w:id="118" w:name="_Toc138851203"/>
      <w:r>
        <w:t xml:space="preserve">3.1 </w:t>
      </w:r>
      <w:r w:rsidR="00F32B91">
        <w:t>Introduction</w:t>
      </w:r>
      <w:bookmarkEnd w:id="115"/>
      <w:bookmarkEnd w:id="116"/>
      <w:bookmarkEnd w:id="117"/>
      <w:bookmarkEnd w:id="118"/>
    </w:p>
    <w:p w14:paraId="1E770D18" w14:textId="77777777" w:rsidR="00F32B91" w:rsidRDefault="00F32B91" w:rsidP="00F32B91">
      <w:pPr>
        <w:rPr>
          <w:rFonts w:cs="Arial"/>
        </w:rPr>
      </w:pPr>
      <w:r>
        <w:rPr>
          <w:rFonts w:cs="Arial"/>
        </w:rPr>
        <w:t>This part of the Guidelines provides information to applicants about the process used to assess applications to list new stoma-related products on the SAS Schedule, including how clinical and economic evidence will be assessed by SPAP and the process following a SPAP recommendation.</w:t>
      </w:r>
    </w:p>
    <w:p w14:paraId="5EAA9D37" w14:textId="77777777" w:rsidR="00F32B91" w:rsidRDefault="00F32B91" w:rsidP="00F32B91">
      <w:pPr>
        <w:rPr>
          <w:rFonts w:cs="Arial"/>
        </w:rPr>
      </w:pPr>
      <w:r>
        <w:rPr>
          <w:rFonts w:cs="Arial"/>
        </w:rPr>
        <w:t xml:space="preserve">Applications are examined by the SPAP Secretariat to ensure they comply with administrative requirements. </w:t>
      </w:r>
    </w:p>
    <w:p w14:paraId="00012B42" w14:textId="77777777" w:rsidR="00F32B91" w:rsidRDefault="00F32B91" w:rsidP="00F32B91">
      <w:pPr>
        <w:rPr>
          <w:rFonts w:cs="Arial"/>
        </w:rPr>
      </w:pPr>
      <w:r>
        <w:rPr>
          <w:rFonts w:cs="Arial"/>
        </w:rPr>
        <w:t xml:space="preserve">When an application is received by the Department, it is logged by the SPAP </w:t>
      </w:r>
      <w:proofErr w:type="gramStart"/>
      <w:r>
        <w:rPr>
          <w:rFonts w:cs="Arial"/>
        </w:rPr>
        <w:t>Secretariat</w:t>
      </w:r>
      <w:proofErr w:type="gramEnd"/>
      <w:r>
        <w:rPr>
          <w:rFonts w:cs="Arial"/>
        </w:rPr>
        <w:t xml:space="preserve"> and an email confirmation is sent to the applicant within 2 business days. Incomplete applications will be returned to the applicant. The Secretariat will conduct a preliminary examination of the application to ensure that it contains all information required to support an application for listing. The Secretariat will contact the applicant to clarify or seek additional information if required.</w:t>
      </w:r>
    </w:p>
    <w:p w14:paraId="47E538DA" w14:textId="470FA696" w:rsidR="00F32B91" w:rsidRDefault="00A620F2" w:rsidP="003F4BF0">
      <w:pPr>
        <w:pStyle w:val="Heading2"/>
      </w:pPr>
      <w:bookmarkStart w:id="119" w:name="_Toc473893094"/>
      <w:bookmarkStart w:id="120" w:name="_Toc107411689"/>
      <w:bookmarkStart w:id="121" w:name="_Toc119409508"/>
      <w:bookmarkStart w:id="122" w:name="_Toc138851204"/>
      <w:r>
        <w:t xml:space="preserve">3.2 </w:t>
      </w:r>
      <w:r w:rsidR="00F32B91">
        <w:t>Assessment by SPAP</w:t>
      </w:r>
      <w:bookmarkEnd w:id="119"/>
      <w:bookmarkEnd w:id="120"/>
      <w:bookmarkEnd w:id="121"/>
      <w:bookmarkEnd w:id="122"/>
    </w:p>
    <w:p w14:paraId="3FC2CDAD" w14:textId="50FC8A4F" w:rsidR="00F32B91" w:rsidRDefault="00F32B91" w:rsidP="00F32B91">
      <w:pPr>
        <w:pStyle w:val="Heading3"/>
      </w:pPr>
      <w:bookmarkStart w:id="123" w:name="_Toc473893095"/>
      <w:bookmarkStart w:id="124" w:name="_Toc107411690"/>
      <w:bookmarkStart w:id="125" w:name="_Toc119409509"/>
      <w:bookmarkStart w:id="126" w:name="_Toc138851205"/>
      <w:r>
        <w:t xml:space="preserve">3.2.1 </w:t>
      </w:r>
      <w:bookmarkEnd w:id="123"/>
      <w:bookmarkEnd w:id="124"/>
      <w:r w:rsidR="00A620F2">
        <w:t>Assessment process</w:t>
      </w:r>
      <w:bookmarkEnd w:id="125"/>
      <w:bookmarkEnd w:id="126"/>
      <w:r w:rsidR="00A620F2">
        <w:t xml:space="preserve"> </w:t>
      </w:r>
    </w:p>
    <w:p w14:paraId="2F593C51" w14:textId="77777777" w:rsidR="00F32B91" w:rsidRDefault="00F32B91" w:rsidP="00F32B91">
      <w:pPr>
        <w:rPr>
          <w:rFonts w:cs="Arial"/>
        </w:rPr>
      </w:pPr>
      <w:r>
        <w:rPr>
          <w:rFonts w:cs="Arial"/>
        </w:rPr>
        <w:t>SPAP provides advice to the Department concerning which stoma-related products are suitable for listing on the SAS Schedule. SPAP must have regard to comparative clinical function and effectiveness, comparative cost effectiveness and comparative safety.</w:t>
      </w:r>
    </w:p>
    <w:p w14:paraId="0D6BBA6F" w14:textId="77777777" w:rsidR="00F32B91" w:rsidRDefault="00F32B91" w:rsidP="00F32B91">
      <w:pPr>
        <w:rPr>
          <w:rFonts w:cs="Arial"/>
        </w:rPr>
      </w:pPr>
      <w:r>
        <w:rPr>
          <w:rFonts w:cs="Arial"/>
        </w:rPr>
        <w:t>While not directly part of the Australian Government’s Health Technology Assessment (HTA) system, SPAP endeavours to ensure that it undertakes the Scheme application assessment process in a way that is:</w:t>
      </w:r>
    </w:p>
    <w:p w14:paraId="78DBE0FA" w14:textId="77777777" w:rsidR="00F32B91" w:rsidRDefault="00F32B91" w:rsidP="00CA58F1">
      <w:pPr>
        <w:pStyle w:val="ListBullet"/>
      </w:pPr>
      <w:r>
        <w:t>sustainable</w:t>
      </w:r>
    </w:p>
    <w:p w14:paraId="2652E0EA" w14:textId="77777777" w:rsidR="00F32B91" w:rsidRDefault="00F32B91" w:rsidP="00CA58F1">
      <w:pPr>
        <w:pStyle w:val="ListBullet"/>
      </w:pPr>
      <w:r>
        <w:t xml:space="preserve">transparent, </w:t>
      </w:r>
      <w:proofErr w:type="gramStart"/>
      <w:r>
        <w:t>accountable</w:t>
      </w:r>
      <w:proofErr w:type="gramEnd"/>
      <w:r>
        <w:t xml:space="preserve"> and independent</w:t>
      </w:r>
    </w:p>
    <w:p w14:paraId="548B41DB" w14:textId="77777777" w:rsidR="00F32B91" w:rsidRDefault="00F32B91" w:rsidP="00CA58F1">
      <w:pPr>
        <w:pStyle w:val="ListBullet"/>
      </w:pPr>
      <w:r>
        <w:t>consultative and reflective of Australian community values</w:t>
      </w:r>
    </w:p>
    <w:p w14:paraId="7D6A4805" w14:textId="41B5BD2B" w:rsidR="00F32B91" w:rsidRDefault="00F32B91" w:rsidP="00CA58F1">
      <w:pPr>
        <w:pStyle w:val="ListBullet"/>
      </w:pPr>
      <w:r>
        <w:t>administratively efficient</w:t>
      </w:r>
      <w:r w:rsidR="00E74A08">
        <w:t xml:space="preserve"> and cost-effective</w:t>
      </w:r>
    </w:p>
    <w:p w14:paraId="7159E35F" w14:textId="77777777" w:rsidR="00F32B91" w:rsidRDefault="00F32B91" w:rsidP="00CA58F1">
      <w:pPr>
        <w:pStyle w:val="ListBullet"/>
      </w:pPr>
      <w:r>
        <w:t>flexible and fit for purpose</w:t>
      </w:r>
    </w:p>
    <w:p w14:paraId="2074A195" w14:textId="77777777" w:rsidR="00F32B91" w:rsidRDefault="00F32B91" w:rsidP="00CA58F1">
      <w:pPr>
        <w:pStyle w:val="ListBullet"/>
      </w:pPr>
      <w:r>
        <w:t>informed by robust and relevant evidence.</w:t>
      </w:r>
    </w:p>
    <w:p w14:paraId="3567A486" w14:textId="77777777" w:rsidR="00F32B91" w:rsidRDefault="00F32B91" w:rsidP="00F32B91">
      <w:pPr>
        <w:pStyle w:val="Heading4"/>
      </w:pPr>
      <w:bookmarkStart w:id="127" w:name="_Toc473893096"/>
      <w:r>
        <w:t>To list a new product at the benchmark price</w:t>
      </w:r>
    </w:p>
    <w:p w14:paraId="641F88E3" w14:textId="77777777" w:rsidR="00F32B91" w:rsidRDefault="00F32B91" w:rsidP="00F32B91">
      <w:pPr>
        <w:rPr>
          <w:rFonts w:cs="Arial"/>
        </w:rPr>
      </w:pPr>
      <w:r>
        <w:rPr>
          <w:rFonts w:cs="Arial"/>
        </w:rPr>
        <w:t>For applications requesting a product be listed at the benchmark price for a given Group/Sub-Group, evidence must be presented that the product is no worse than its comparator regarding both safety and efficacy.</w:t>
      </w:r>
    </w:p>
    <w:p w14:paraId="28D34EFF" w14:textId="77777777" w:rsidR="00F32B91" w:rsidRDefault="00F32B91" w:rsidP="000B50C5">
      <w:pPr>
        <w:pStyle w:val="Heading4"/>
      </w:pPr>
      <w:r>
        <w:lastRenderedPageBreak/>
        <w:t>To list a price premium product</w:t>
      </w:r>
      <w:bookmarkEnd w:id="127"/>
    </w:p>
    <w:p w14:paraId="4D8A6101" w14:textId="77777777" w:rsidR="00F32B91" w:rsidRDefault="00F32B91" w:rsidP="000F6458">
      <w:pPr>
        <w:keepNext/>
        <w:rPr>
          <w:rFonts w:cs="Arial"/>
        </w:rPr>
      </w:pPr>
      <w:r>
        <w:rPr>
          <w:rFonts w:cs="Arial"/>
        </w:rPr>
        <w:t>For a product to be granted a price premium over a currently listed comparator product, evidence must be provided to the SPAP that demonstrates:</w:t>
      </w:r>
    </w:p>
    <w:p w14:paraId="50B8516F" w14:textId="77777777" w:rsidR="00F32B91" w:rsidRDefault="00F32B91" w:rsidP="000F6458">
      <w:pPr>
        <w:pStyle w:val="ListBullet"/>
        <w:keepNext/>
      </w:pPr>
      <w:r>
        <w:t>an incremental clinical benefit is provided to patients</w:t>
      </w:r>
    </w:p>
    <w:p w14:paraId="4A18E2A5" w14:textId="77777777" w:rsidR="00F32B91" w:rsidRDefault="00F32B91" w:rsidP="00CA58F1">
      <w:pPr>
        <w:pStyle w:val="ListBullet"/>
      </w:pPr>
      <w:r>
        <w:t>the incremental costs are justified by demonstrating that the product is of acceptable cost-effectiveness at the price requested.</w:t>
      </w:r>
    </w:p>
    <w:p w14:paraId="37BBAD2F" w14:textId="3DD6E53D" w:rsidR="00F32B91" w:rsidRDefault="00A620F2" w:rsidP="00F32B91">
      <w:pPr>
        <w:pStyle w:val="Heading3"/>
      </w:pPr>
      <w:bookmarkStart w:id="128" w:name="_Toc473893098"/>
      <w:bookmarkStart w:id="129" w:name="_Toc107411691"/>
      <w:bookmarkStart w:id="130" w:name="_Toc119409510"/>
      <w:bookmarkStart w:id="131" w:name="_Toc138851206"/>
      <w:r>
        <w:t xml:space="preserve">3.2.2 </w:t>
      </w:r>
      <w:r w:rsidR="00F32B91">
        <w:t xml:space="preserve">Assessment </w:t>
      </w:r>
      <w:r>
        <w:t>q</w:t>
      </w:r>
      <w:r w:rsidR="00F32B91">
        <w:t>uestions</w:t>
      </w:r>
      <w:bookmarkEnd w:id="128"/>
      <w:bookmarkEnd w:id="129"/>
      <w:bookmarkEnd w:id="130"/>
      <w:bookmarkEnd w:id="131"/>
      <w:r w:rsidR="00F32B91">
        <w:t xml:space="preserve"> </w:t>
      </w:r>
    </w:p>
    <w:p w14:paraId="35EFA45D" w14:textId="272D66C3" w:rsidR="00F32B91" w:rsidRDefault="00F32B91" w:rsidP="00F32B91">
      <w:pPr>
        <w:rPr>
          <w:rFonts w:cs="Arial"/>
        </w:rPr>
      </w:pPr>
      <w:r>
        <w:rPr>
          <w:rFonts w:cs="Arial"/>
        </w:rPr>
        <w:t>The SPAP will assess the application</w:t>
      </w:r>
      <w:r w:rsidR="000D3F1D">
        <w:rPr>
          <w:rFonts w:cs="Arial"/>
        </w:rPr>
        <w:t>,</w:t>
      </w:r>
      <w:r>
        <w:rPr>
          <w:rFonts w:cs="Arial"/>
        </w:rPr>
        <w:t xml:space="preserve"> considering the:</w:t>
      </w:r>
    </w:p>
    <w:p w14:paraId="458157C8" w14:textId="77777777" w:rsidR="00F32B91" w:rsidRDefault="00F32B91" w:rsidP="00CA58F1">
      <w:pPr>
        <w:pStyle w:val="ListBullet"/>
      </w:pPr>
      <w:r>
        <w:t>features and proposed use of the product</w:t>
      </w:r>
    </w:p>
    <w:p w14:paraId="0E115EE3" w14:textId="77777777" w:rsidR="00F32B91" w:rsidRDefault="00F32B91" w:rsidP="00CA58F1">
      <w:pPr>
        <w:pStyle w:val="ListBullet"/>
      </w:pPr>
      <w:r>
        <w:t>relevant background to the application</w:t>
      </w:r>
    </w:p>
    <w:p w14:paraId="4B71EC07" w14:textId="77777777" w:rsidR="00F32B91" w:rsidRDefault="00F32B91" w:rsidP="00CA58F1">
      <w:pPr>
        <w:pStyle w:val="ListBullet"/>
      </w:pPr>
      <w:r>
        <w:t xml:space="preserve">appropriateness of the product </w:t>
      </w:r>
    </w:p>
    <w:p w14:paraId="6C789FE8" w14:textId="77777777" w:rsidR="00F32B91" w:rsidRDefault="00F32B91" w:rsidP="00CA58F1">
      <w:pPr>
        <w:pStyle w:val="ListBullet"/>
      </w:pPr>
      <w:r>
        <w:t>any proposed restrictions or maximum quantities</w:t>
      </w:r>
    </w:p>
    <w:p w14:paraId="6A9B7F8A" w14:textId="77777777" w:rsidR="00F32B91" w:rsidRDefault="00F32B91" w:rsidP="00CA58F1">
      <w:pPr>
        <w:pStyle w:val="ListBullet"/>
      </w:pPr>
      <w:r>
        <w:t>clinical need for the product and its placement in the clinical pathway</w:t>
      </w:r>
    </w:p>
    <w:p w14:paraId="6A78BF80" w14:textId="77777777" w:rsidR="00F32B91" w:rsidRDefault="00F32B91" w:rsidP="00CA58F1">
      <w:pPr>
        <w:pStyle w:val="ListBullet"/>
      </w:pPr>
      <w:r>
        <w:t>appropriateness of the comparator</w:t>
      </w:r>
    </w:p>
    <w:p w14:paraId="355780B2" w14:textId="77777777" w:rsidR="00F32B91" w:rsidRDefault="00F32B91" w:rsidP="00CA58F1">
      <w:pPr>
        <w:pStyle w:val="ListBullet"/>
      </w:pPr>
      <w:r>
        <w:t>clinical evidence</w:t>
      </w:r>
    </w:p>
    <w:p w14:paraId="78F0F56B" w14:textId="77777777" w:rsidR="00F32B91" w:rsidRDefault="00F32B91" w:rsidP="00CA58F1">
      <w:pPr>
        <w:pStyle w:val="ListBullet"/>
      </w:pPr>
      <w:r>
        <w:t>economic and financial analysis</w:t>
      </w:r>
    </w:p>
    <w:p w14:paraId="4F03F205" w14:textId="77777777" w:rsidR="00F32B91" w:rsidRDefault="00F32B91" w:rsidP="00CA58F1">
      <w:pPr>
        <w:pStyle w:val="ListBullet"/>
      </w:pPr>
      <w:r>
        <w:t>recommendations for inclusion and price on the Schedule.</w:t>
      </w:r>
    </w:p>
    <w:p w14:paraId="785875A1" w14:textId="77777777" w:rsidR="00F32B91" w:rsidRDefault="00F32B91" w:rsidP="00F32B91">
      <w:pPr>
        <w:pStyle w:val="Heading3"/>
      </w:pPr>
      <w:bookmarkStart w:id="132" w:name="_Toc473893104"/>
      <w:bookmarkStart w:id="133" w:name="_Toc107411692"/>
      <w:bookmarkStart w:id="134" w:name="_Toc119409511"/>
      <w:bookmarkStart w:id="135" w:name="_Toc138851207"/>
      <w:r>
        <w:t>3.2.3 Assessing evidence</w:t>
      </w:r>
      <w:bookmarkEnd w:id="132"/>
      <w:bookmarkEnd w:id="133"/>
      <w:bookmarkEnd w:id="134"/>
      <w:bookmarkEnd w:id="135"/>
    </w:p>
    <w:p w14:paraId="74A588A9" w14:textId="71F49459" w:rsidR="00F32B91" w:rsidRDefault="00F32B91" w:rsidP="00F32B91">
      <w:pPr>
        <w:rPr>
          <w:rFonts w:cs="Arial"/>
        </w:rPr>
      </w:pPr>
      <w:r>
        <w:rPr>
          <w:rFonts w:cs="Arial"/>
        </w:rPr>
        <w:t xml:space="preserve">As noted in </w:t>
      </w:r>
      <w:hyperlink w:anchor="_2.3_Application_to" w:history="1">
        <w:r w:rsidRPr="003666CC">
          <w:rPr>
            <w:rStyle w:val="Hyperlink"/>
          </w:rPr>
          <w:t>Part 2.3 – Application to List Products</w:t>
        </w:r>
      </w:hyperlink>
      <w:r>
        <w:rPr>
          <w:rFonts w:cs="Arial"/>
        </w:rPr>
        <w:t>, there is a minimum level of evidence required, and it is acknowledged that the level of evidence available may vary among applications. SPAP will consider the relevance and propriety of the evidence submitted including:</w:t>
      </w:r>
    </w:p>
    <w:p w14:paraId="0D78C03F" w14:textId="2EDE2766" w:rsidR="00F32B91" w:rsidRDefault="00F32B91" w:rsidP="00CA58F1">
      <w:pPr>
        <w:pStyle w:val="ListBullet"/>
      </w:pPr>
      <w:r>
        <w:t>Has an appropriate approach been used to select studies for presentation in the application (</w:t>
      </w:r>
      <w:r w:rsidR="003666CC">
        <w:t>i.e.,</w:t>
      </w:r>
      <w:r>
        <w:t xml:space="preserve"> is there any risk that there is selection bias in the presentation of studies)?</w:t>
      </w:r>
    </w:p>
    <w:p w14:paraId="6C73E64F" w14:textId="1EA6D5E6" w:rsidR="00F32B91" w:rsidRDefault="00F32B91" w:rsidP="00CA58F1">
      <w:pPr>
        <w:pStyle w:val="ListBullet"/>
      </w:pPr>
      <w:r>
        <w:t>What is the quality of the studies (</w:t>
      </w:r>
      <w:r w:rsidR="003666CC">
        <w:t>i.e.,</w:t>
      </w:r>
      <w:r>
        <w:t xml:space="preserve"> what is the likelihood the results of the studies have been affected by bias during their conduct)?</w:t>
      </w:r>
    </w:p>
    <w:p w14:paraId="35575218" w14:textId="77777777" w:rsidR="00F32B91" w:rsidRDefault="00F32B91" w:rsidP="00CA58F1">
      <w:pPr>
        <w:pStyle w:val="ListBullet"/>
      </w:pPr>
      <w:r>
        <w:t>Are the results of the studies presented consistent and are they consistent with the results of studies that may have been excluded from presentation in the application?</w:t>
      </w:r>
    </w:p>
    <w:p w14:paraId="71F5440C" w14:textId="77777777" w:rsidR="00F32B91" w:rsidRDefault="00F32B91" w:rsidP="00CA58F1">
      <w:pPr>
        <w:pStyle w:val="ListBullet"/>
      </w:pPr>
      <w:r>
        <w:t>Is there any reason why results of the studies may not be generalised to the Australian setting?</w:t>
      </w:r>
    </w:p>
    <w:p w14:paraId="69407EB0" w14:textId="3477B648" w:rsidR="00F32B91" w:rsidRDefault="00F32B91" w:rsidP="00CA58F1">
      <w:pPr>
        <w:pStyle w:val="ListBullet"/>
      </w:pPr>
      <w:r>
        <w:t xml:space="preserve">Does the trial design minimise bias, </w:t>
      </w:r>
      <w:r w:rsidR="003666CC">
        <w:t>e.g.,</w:t>
      </w:r>
      <w:r>
        <w:t xml:space="preserve"> carry-over effects? For studies involving the measure of skin integrity, the minimum duration </w:t>
      </w:r>
      <w:r>
        <w:rPr>
          <w:bCs/>
        </w:rPr>
        <w:t xml:space="preserve">should be no less than 4 weeks </w:t>
      </w:r>
      <w:r>
        <w:t>for each phase of the study.</w:t>
      </w:r>
    </w:p>
    <w:p w14:paraId="6A49095D" w14:textId="6093F7FC" w:rsidR="00F32B91" w:rsidRDefault="00F32B91" w:rsidP="00CA58F1">
      <w:pPr>
        <w:pStyle w:val="ListBullet"/>
      </w:pPr>
      <w:r>
        <w:t xml:space="preserve">Are the </w:t>
      </w:r>
      <w:r w:rsidR="003666CC">
        <w:t>endpoints</w:t>
      </w:r>
      <w:r>
        <w:t xml:space="preserve"> measured relevant to patients </w:t>
      </w:r>
      <w:r w:rsidR="003666CC">
        <w:t>e.g.,</w:t>
      </w:r>
      <w:r>
        <w:t xml:space="preserve"> leakage, skin integrity, ballooning?</w:t>
      </w:r>
    </w:p>
    <w:p w14:paraId="0EF9366A" w14:textId="6AE40FC6" w:rsidR="00F32B91" w:rsidRDefault="00F32B91" w:rsidP="00CA58F1">
      <w:pPr>
        <w:pStyle w:val="ListBullet"/>
      </w:pPr>
      <w:r>
        <w:lastRenderedPageBreak/>
        <w:t xml:space="preserve">Are the endpoints surrogate outcomes, and if so, have they been validated? </w:t>
      </w:r>
      <w:proofErr w:type="gramStart"/>
      <w:r w:rsidR="003666CC">
        <w:t>e.g.</w:t>
      </w:r>
      <w:proofErr w:type="gramEnd"/>
      <w:r>
        <w:t xml:space="preserve"> air flow rates through filters on ostomy bags should be correlated with the incidence of ballooning and/or odour.</w:t>
      </w:r>
    </w:p>
    <w:p w14:paraId="09A93D21" w14:textId="73A33F22" w:rsidR="00F32B91" w:rsidRDefault="00F32B91" w:rsidP="00CA58F1">
      <w:pPr>
        <w:pStyle w:val="ListBullet"/>
      </w:pPr>
      <w:r>
        <w:t xml:space="preserve">If standardised measures are used </w:t>
      </w:r>
      <w:r w:rsidR="003666CC">
        <w:t>e.g.,</w:t>
      </w:r>
      <w:r>
        <w:t xml:space="preserve"> for skin integrity, what is the inter and intra</w:t>
      </w:r>
      <w:r>
        <w:noBreakHyphen/>
      </w:r>
      <w:proofErr w:type="spellStart"/>
      <w:r>
        <w:t>rater</w:t>
      </w:r>
      <w:proofErr w:type="spellEnd"/>
      <w:r>
        <w:t xml:space="preserve"> variability? How was this tested and how may this influence the results of the studies?</w:t>
      </w:r>
    </w:p>
    <w:p w14:paraId="3C9ACC71" w14:textId="77777777" w:rsidR="00F32B91" w:rsidRDefault="00F32B91" w:rsidP="00CA58F1">
      <w:pPr>
        <w:pStyle w:val="ListBullet"/>
      </w:pPr>
      <w:r>
        <w:t>Are patient-preference studies included in the application? How were these studies conducted to minimise confounding of the results? Is there a correlation between differences in patient relevant outcomes and expressed patient preferences? If not, why not?</w:t>
      </w:r>
    </w:p>
    <w:p w14:paraId="19A1E066" w14:textId="77777777" w:rsidR="00F32B91" w:rsidRDefault="00F32B91" w:rsidP="00CA58F1">
      <w:pPr>
        <w:pStyle w:val="ListBullet"/>
      </w:pPr>
      <w:r>
        <w:t>Is the data on comparative safety and effectiveness the result of head-to-head trials with the comparator or via indirect analyses?</w:t>
      </w:r>
    </w:p>
    <w:p w14:paraId="722A5842" w14:textId="509244A9" w:rsidR="00F32B91" w:rsidRDefault="00F32B91" w:rsidP="00F32B91">
      <w:pPr>
        <w:rPr>
          <w:rFonts w:cs="Arial"/>
        </w:rPr>
      </w:pPr>
      <w:r>
        <w:rPr>
          <w:rFonts w:cs="Arial"/>
        </w:rPr>
        <w:t>SPAP will refer to the National Health and Medical Research Council (NHMRC)’s Hierarchy of Evidence when assessing the quality of evidence presented in applications</w:t>
      </w:r>
      <w:r>
        <w:rPr>
          <w:rStyle w:val="FootnoteReference"/>
          <w:rFonts w:cs="Arial"/>
        </w:rPr>
        <w:footnoteReference w:id="4"/>
      </w:r>
      <w:r>
        <w:rPr>
          <w:rFonts w:cs="Arial"/>
        </w:rPr>
        <w:t>.</w:t>
      </w:r>
    </w:p>
    <w:p w14:paraId="633207F6" w14:textId="4EEC0BEC" w:rsidR="00F32B91" w:rsidRDefault="00F32B91" w:rsidP="00F32B91">
      <w:pPr>
        <w:rPr>
          <w:rFonts w:cs="Arial"/>
        </w:rPr>
      </w:pPr>
      <w:r>
        <w:rPr>
          <w:rFonts w:cs="Arial"/>
        </w:rPr>
        <w:t>Product information or statements and testimonials from sponsors or clinicians will not be sufficient to demonstrate clinical effectiveness or superiority.</w:t>
      </w:r>
      <w:r w:rsidR="00761EDC">
        <w:rPr>
          <w:rFonts w:cs="Arial"/>
        </w:rPr>
        <w:t xml:space="preserve"> If the SPAP does not consider the evidence provided is sufficient to support </w:t>
      </w:r>
      <w:r w:rsidR="00E46D5C">
        <w:rPr>
          <w:rFonts w:cs="Arial"/>
        </w:rPr>
        <w:t xml:space="preserve">a positive recommendation for </w:t>
      </w:r>
      <w:r w:rsidR="00761EDC">
        <w:rPr>
          <w:rFonts w:cs="Arial"/>
        </w:rPr>
        <w:t>the application</w:t>
      </w:r>
      <w:r w:rsidR="003E1410">
        <w:rPr>
          <w:rFonts w:cs="Arial"/>
        </w:rPr>
        <w:t>,</w:t>
      </w:r>
      <w:r w:rsidR="00761EDC">
        <w:rPr>
          <w:rFonts w:cs="Arial"/>
        </w:rPr>
        <w:t xml:space="preserve"> the SPAP may defer </w:t>
      </w:r>
      <w:r w:rsidR="00E46D5C">
        <w:rPr>
          <w:rFonts w:cs="Arial"/>
        </w:rPr>
        <w:t>the application until sufficient</w:t>
      </w:r>
      <w:r w:rsidR="003E1410">
        <w:rPr>
          <w:rFonts w:cs="Arial"/>
        </w:rPr>
        <w:t xml:space="preserve"> evidence</w:t>
      </w:r>
      <w:r w:rsidR="00E46D5C">
        <w:rPr>
          <w:rFonts w:cs="Arial"/>
        </w:rPr>
        <w:t xml:space="preserve"> is provided.</w:t>
      </w:r>
    </w:p>
    <w:p w14:paraId="11684E93" w14:textId="34E4A774" w:rsidR="00F32B91" w:rsidRDefault="00A620F2" w:rsidP="003F4BF0">
      <w:pPr>
        <w:pStyle w:val="Heading2"/>
      </w:pPr>
      <w:bookmarkStart w:id="136" w:name="_Toc473893106"/>
      <w:bookmarkStart w:id="137" w:name="_Toc107411693"/>
      <w:bookmarkStart w:id="138" w:name="_Toc119409512"/>
      <w:bookmarkStart w:id="139" w:name="_Toc138851208"/>
      <w:r>
        <w:t xml:space="preserve">3.3 </w:t>
      </w:r>
      <w:r w:rsidR="00F32B91">
        <w:t>SPAP Recommendations</w:t>
      </w:r>
      <w:bookmarkEnd w:id="136"/>
      <w:bookmarkEnd w:id="137"/>
      <w:bookmarkEnd w:id="138"/>
      <w:bookmarkEnd w:id="139"/>
    </w:p>
    <w:p w14:paraId="699B0796" w14:textId="77777777" w:rsidR="00F32B91" w:rsidRDefault="00F32B91" w:rsidP="00F32B91">
      <w:pPr>
        <w:rPr>
          <w:rFonts w:cs="Arial"/>
        </w:rPr>
      </w:pPr>
      <w:r>
        <w:rPr>
          <w:rFonts w:cs="Arial"/>
        </w:rPr>
        <w:t xml:space="preserve">Following consideration of an application to list a new product on the SAS Schedule, SPAP will decide whether to recommend the product for listing. At the conclusion of each SPAP meeting, SPAP’s recommendations </w:t>
      </w:r>
      <w:r w:rsidR="00E74A08">
        <w:rPr>
          <w:rFonts w:cs="Arial"/>
        </w:rPr>
        <w:t xml:space="preserve">are provided to sponsors for their respective applications and </w:t>
      </w:r>
      <w:r>
        <w:rPr>
          <w:rFonts w:cs="Arial"/>
        </w:rPr>
        <w:t xml:space="preserve">will be provided to the Department delegate. </w:t>
      </w:r>
    </w:p>
    <w:p w14:paraId="4ECEA017" w14:textId="77777777" w:rsidR="00F32B91" w:rsidRDefault="00F32B91" w:rsidP="00F32B91">
      <w:pPr>
        <w:rPr>
          <w:rFonts w:cs="Arial"/>
        </w:rPr>
      </w:pPr>
      <w:r>
        <w:rPr>
          <w:rFonts w:cs="Arial"/>
        </w:rPr>
        <w:t>A recommendation will include:</w:t>
      </w:r>
    </w:p>
    <w:p w14:paraId="67E07EED" w14:textId="77777777" w:rsidR="00F32B91" w:rsidRDefault="00F32B91" w:rsidP="00CA58F1">
      <w:pPr>
        <w:pStyle w:val="ListBullet"/>
      </w:pPr>
      <w:r>
        <w:t>whether the product should be listed on the SAS Schedule</w:t>
      </w:r>
    </w:p>
    <w:p w14:paraId="2A722B82" w14:textId="77777777" w:rsidR="00F32B91" w:rsidRDefault="00F32B91" w:rsidP="00CA58F1">
      <w:pPr>
        <w:pStyle w:val="ListBullet"/>
      </w:pPr>
      <w:r>
        <w:t>an explanation of SPAP recommendations.</w:t>
      </w:r>
    </w:p>
    <w:p w14:paraId="78FBD2CB" w14:textId="77777777" w:rsidR="00F32B91" w:rsidRDefault="00F32B91" w:rsidP="00F32B91">
      <w:pPr>
        <w:rPr>
          <w:rFonts w:cs="Arial"/>
        </w:rPr>
      </w:pPr>
      <w:r>
        <w:rPr>
          <w:rFonts w:cs="Arial"/>
        </w:rPr>
        <w:t>If SPAP recommends that the product should be considered for listing on the SAS Schedule, it will also provide the following information:</w:t>
      </w:r>
    </w:p>
    <w:p w14:paraId="6FD2BB44" w14:textId="77777777" w:rsidR="00F32B91" w:rsidRDefault="00F32B91" w:rsidP="00CA58F1">
      <w:pPr>
        <w:pStyle w:val="ListBullet"/>
      </w:pPr>
      <w:r>
        <w:t>Monthly (or annual) maximum quantity for the product</w:t>
      </w:r>
    </w:p>
    <w:p w14:paraId="026713EC" w14:textId="77777777" w:rsidR="00F32B91" w:rsidRDefault="00F32B91" w:rsidP="00CA58F1">
      <w:pPr>
        <w:pStyle w:val="ListBullet"/>
      </w:pPr>
      <w:r>
        <w:t>The price at which the product should be listed</w:t>
      </w:r>
    </w:p>
    <w:p w14:paraId="4773EDB8" w14:textId="77777777" w:rsidR="00F32B91" w:rsidRDefault="00F32B91" w:rsidP="00CA58F1">
      <w:pPr>
        <w:pStyle w:val="ListBullet"/>
      </w:pPr>
      <w:r>
        <w:t>Any usage restrictions, if relevant.</w:t>
      </w:r>
    </w:p>
    <w:p w14:paraId="5332ABA7" w14:textId="181EE029" w:rsidR="00747729" w:rsidRPr="00747729" w:rsidRDefault="00747729" w:rsidP="00747729">
      <w:pPr>
        <w:autoSpaceDE w:val="0"/>
        <w:autoSpaceDN w:val="0"/>
        <w:rPr>
          <w:rFonts w:cs="Arial"/>
          <w:szCs w:val="22"/>
        </w:rPr>
      </w:pPr>
      <w:r w:rsidRPr="00747729">
        <w:rPr>
          <w:rFonts w:cs="Arial"/>
          <w:szCs w:val="22"/>
        </w:rPr>
        <w:t xml:space="preserve">The </w:t>
      </w:r>
      <w:r>
        <w:rPr>
          <w:rFonts w:cs="Arial"/>
          <w:szCs w:val="22"/>
        </w:rPr>
        <w:t>SPAP</w:t>
      </w:r>
      <w:r w:rsidRPr="00747729">
        <w:rPr>
          <w:rFonts w:cs="Arial"/>
          <w:szCs w:val="22"/>
        </w:rPr>
        <w:t xml:space="preserve"> determines if products on the SAS Schedule will be subject to restrictions. Where a product is subject to a restriction, the restriction group will be identified as part of the product description on the SAS Schedule. Restriction definitions are below. </w:t>
      </w:r>
    </w:p>
    <w:tbl>
      <w:tblPr>
        <w:tblStyle w:val="DepartmentofHealthtable"/>
        <w:tblW w:w="0" w:type="auto"/>
        <w:tblLook w:val="04A0" w:firstRow="1" w:lastRow="0" w:firstColumn="1" w:lastColumn="0" w:noHBand="0" w:noVBand="1"/>
        <w:tblDescription w:val="Table showing what each restriction group means"/>
      </w:tblPr>
      <w:tblGrid>
        <w:gridCol w:w="2126"/>
        <w:gridCol w:w="6663"/>
      </w:tblGrid>
      <w:tr w:rsidR="00747729" w14:paraId="7239330E" w14:textId="77777777" w:rsidTr="003666C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26" w:type="dxa"/>
            <w:hideMark/>
          </w:tcPr>
          <w:p w14:paraId="59F0043A" w14:textId="77777777" w:rsidR="00747729" w:rsidRPr="00C7274C" w:rsidRDefault="00747729" w:rsidP="003666CC">
            <w:pPr>
              <w:pStyle w:val="TableHeaderWhite"/>
            </w:pPr>
            <w:r w:rsidRPr="00C7274C">
              <w:lastRenderedPageBreak/>
              <w:t>Restriction Group</w:t>
            </w:r>
          </w:p>
        </w:tc>
        <w:tc>
          <w:tcPr>
            <w:tcW w:w="6663" w:type="dxa"/>
            <w:hideMark/>
          </w:tcPr>
          <w:p w14:paraId="67DF07C0" w14:textId="77777777" w:rsidR="00747729" w:rsidRPr="00C7274C" w:rsidRDefault="00747729" w:rsidP="003666CC">
            <w:pPr>
              <w:pStyle w:val="TableHeaderWhite"/>
              <w:cnfStyle w:val="100000000000" w:firstRow="1" w:lastRow="0" w:firstColumn="0" w:lastColumn="0" w:oddVBand="0" w:evenVBand="0" w:oddHBand="0" w:evenHBand="0" w:firstRowFirstColumn="0" w:firstRowLastColumn="0" w:lastRowFirstColumn="0" w:lastRowLastColumn="0"/>
            </w:pPr>
            <w:r w:rsidRPr="00C7274C">
              <w:t>Definition</w:t>
            </w:r>
          </w:p>
        </w:tc>
      </w:tr>
      <w:tr w:rsidR="00747729" w14:paraId="5DB84F55" w14:textId="77777777" w:rsidTr="003666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hideMark/>
          </w:tcPr>
          <w:p w14:paraId="176885EB" w14:textId="77777777" w:rsidR="00747729" w:rsidRDefault="00747729" w:rsidP="00001F5A">
            <w:pPr>
              <w:autoSpaceDE w:val="0"/>
              <w:autoSpaceDN w:val="0"/>
              <w:rPr>
                <w:rFonts w:cs="Arial"/>
                <w:szCs w:val="22"/>
              </w:rPr>
            </w:pPr>
            <w:r>
              <w:rPr>
                <w:rFonts w:cs="Arial"/>
                <w:szCs w:val="22"/>
              </w:rPr>
              <w:t>R1</w:t>
            </w:r>
          </w:p>
        </w:tc>
        <w:tc>
          <w:tcPr>
            <w:tcW w:w="6663" w:type="dxa"/>
            <w:hideMark/>
          </w:tcPr>
          <w:p w14:paraId="1FE63628" w14:textId="77777777" w:rsidR="00747729" w:rsidRDefault="00747729" w:rsidP="00001F5A">
            <w:pPr>
              <w:autoSpaceDE w:val="0"/>
              <w:autoSpaceDN w:val="0"/>
              <w:cnfStyle w:val="000000100000" w:firstRow="0" w:lastRow="0" w:firstColumn="0" w:lastColumn="0" w:oddVBand="0" w:evenVBand="0" w:oddHBand="1" w:evenHBand="0" w:firstRowFirstColumn="0" w:firstRowLastColumn="0" w:lastRowFirstColumn="0" w:lastRowLastColumn="0"/>
              <w:rPr>
                <w:rFonts w:cs="Arial"/>
                <w:szCs w:val="22"/>
              </w:rPr>
            </w:pPr>
            <w:r>
              <w:rPr>
                <w:rFonts w:cs="Arial"/>
                <w:szCs w:val="22"/>
              </w:rPr>
              <w:t xml:space="preserve">Requires STN, Nurse Practitioner, Registered </w:t>
            </w:r>
            <w:proofErr w:type="gramStart"/>
            <w:r>
              <w:rPr>
                <w:rFonts w:cs="Arial"/>
                <w:szCs w:val="22"/>
              </w:rPr>
              <w:t>Nurse</w:t>
            </w:r>
            <w:proofErr w:type="gramEnd"/>
            <w:r>
              <w:rPr>
                <w:rFonts w:cs="Arial"/>
                <w:szCs w:val="22"/>
              </w:rPr>
              <w:t xml:space="preserve"> or Registered Medical Professional authorisation.</w:t>
            </w:r>
          </w:p>
        </w:tc>
      </w:tr>
      <w:tr w:rsidR="00747729" w14:paraId="153F89D2" w14:textId="77777777" w:rsidTr="003666C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hideMark/>
          </w:tcPr>
          <w:p w14:paraId="02C84F91" w14:textId="77777777" w:rsidR="00747729" w:rsidRDefault="00747729" w:rsidP="00001F5A">
            <w:pPr>
              <w:autoSpaceDE w:val="0"/>
              <w:autoSpaceDN w:val="0"/>
              <w:rPr>
                <w:rFonts w:cs="Arial"/>
                <w:szCs w:val="22"/>
              </w:rPr>
            </w:pPr>
            <w:r>
              <w:rPr>
                <w:rFonts w:cs="Arial"/>
                <w:szCs w:val="22"/>
              </w:rPr>
              <w:t>R2</w:t>
            </w:r>
          </w:p>
        </w:tc>
        <w:tc>
          <w:tcPr>
            <w:tcW w:w="6663" w:type="dxa"/>
            <w:hideMark/>
          </w:tcPr>
          <w:p w14:paraId="59A11F6D" w14:textId="77777777" w:rsidR="00747729" w:rsidRDefault="00747729" w:rsidP="00001F5A">
            <w:pPr>
              <w:autoSpaceDE w:val="0"/>
              <w:autoSpaceDN w:val="0"/>
              <w:cnfStyle w:val="000000010000" w:firstRow="0" w:lastRow="0" w:firstColumn="0" w:lastColumn="0" w:oddVBand="0" w:evenVBand="0" w:oddHBand="0" w:evenHBand="1" w:firstRowFirstColumn="0" w:firstRowLastColumn="0" w:lastRowFirstColumn="0" w:lastRowLastColumn="0"/>
              <w:rPr>
                <w:rFonts w:cs="Arial"/>
                <w:szCs w:val="22"/>
              </w:rPr>
            </w:pPr>
            <w:r>
              <w:rPr>
                <w:rFonts w:cs="Arial"/>
                <w:szCs w:val="22"/>
              </w:rPr>
              <w:t>No authority for an increase in the yearly allocation can be granted.</w:t>
            </w:r>
          </w:p>
        </w:tc>
      </w:tr>
      <w:tr w:rsidR="00747729" w14:paraId="2794B37C" w14:textId="77777777" w:rsidTr="003666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hideMark/>
          </w:tcPr>
          <w:p w14:paraId="4196F303" w14:textId="77777777" w:rsidR="00747729" w:rsidRDefault="00747729" w:rsidP="00001F5A">
            <w:pPr>
              <w:autoSpaceDE w:val="0"/>
              <w:autoSpaceDN w:val="0"/>
              <w:rPr>
                <w:rFonts w:cs="Arial"/>
                <w:szCs w:val="22"/>
              </w:rPr>
            </w:pPr>
            <w:r>
              <w:rPr>
                <w:rFonts w:cs="Arial"/>
                <w:szCs w:val="22"/>
              </w:rPr>
              <w:t>R3</w:t>
            </w:r>
          </w:p>
        </w:tc>
        <w:tc>
          <w:tcPr>
            <w:tcW w:w="6663" w:type="dxa"/>
            <w:hideMark/>
          </w:tcPr>
          <w:p w14:paraId="56F59CFE" w14:textId="77777777" w:rsidR="00747729" w:rsidRDefault="00747729" w:rsidP="00001F5A">
            <w:pPr>
              <w:autoSpaceDE w:val="0"/>
              <w:autoSpaceDN w:val="0"/>
              <w:cnfStyle w:val="000000100000" w:firstRow="0" w:lastRow="0" w:firstColumn="0" w:lastColumn="0" w:oddVBand="0" w:evenVBand="0" w:oddHBand="1" w:evenHBand="0" w:firstRowFirstColumn="0" w:firstRowLastColumn="0" w:lastRowFirstColumn="0" w:lastRowLastColumn="0"/>
              <w:rPr>
                <w:rFonts w:cs="Arial"/>
                <w:szCs w:val="22"/>
              </w:rPr>
            </w:pPr>
            <w:r>
              <w:rPr>
                <w:rFonts w:cs="Arial"/>
                <w:szCs w:val="22"/>
              </w:rPr>
              <w:t>Strict Usage Restriction – Requires STN, Nurse Practitioner, Registered Nurse or Registered Medical Professional authorisation including clinical justification.</w:t>
            </w:r>
          </w:p>
        </w:tc>
      </w:tr>
      <w:tr w:rsidR="00747729" w14:paraId="541CA1A6" w14:textId="77777777" w:rsidTr="003666C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hideMark/>
          </w:tcPr>
          <w:p w14:paraId="0EB67584" w14:textId="77777777" w:rsidR="00747729" w:rsidRDefault="00747729" w:rsidP="00001F5A">
            <w:pPr>
              <w:autoSpaceDE w:val="0"/>
              <w:autoSpaceDN w:val="0"/>
              <w:rPr>
                <w:rFonts w:cs="Arial"/>
                <w:szCs w:val="22"/>
              </w:rPr>
            </w:pPr>
            <w:r>
              <w:rPr>
                <w:rFonts w:cs="Arial"/>
                <w:szCs w:val="22"/>
              </w:rPr>
              <w:t>R4</w:t>
            </w:r>
          </w:p>
        </w:tc>
        <w:tc>
          <w:tcPr>
            <w:tcW w:w="6663" w:type="dxa"/>
            <w:hideMark/>
          </w:tcPr>
          <w:p w14:paraId="08C6F7C9" w14:textId="77777777" w:rsidR="00747729" w:rsidRDefault="00747729" w:rsidP="00001F5A">
            <w:pPr>
              <w:autoSpaceDE w:val="0"/>
              <w:autoSpaceDN w:val="0"/>
              <w:cnfStyle w:val="000000010000" w:firstRow="0" w:lastRow="0" w:firstColumn="0" w:lastColumn="0" w:oddVBand="0" w:evenVBand="0" w:oddHBand="0" w:evenHBand="1" w:firstRowFirstColumn="0" w:firstRowLastColumn="0" w:lastRowFirstColumn="0" w:lastRowLastColumn="0"/>
              <w:rPr>
                <w:rFonts w:cs="Arial"/>
                <w:szCs w:val="22"/>
              </w:rPr>
            </w:pPr>
            <w:r>
              <w:rPr>
                <w:rFonts w:cs="Arial"/>
                <w:szCs w:val="22"/>
              </w:rPr>
              <w:t>Strict Usage Restriction – Requires Colorectal or General Surgeon authorisation.</w:t>
            </w:r>
          </w:p>
        </w:tc>
      </w:tr>
    </w:tbl>
    <w:p w14:paraId="45739366" w14:textId="1501AF68" w:rsidR="00F32B91" w:rsidRDefault="00F32B91" w:rsidP="00F32B91">
      <w:pPr>
        <w:rPr>
          <w:rFonts w:cs="Arial"/>
        </w:rPr>
      </w:pPr>
      <w:r>
        <w:rPr>
          <w:rFonts w:cs="Arial"/>
        </w:rPr>
        <w:t xml:space="preserve">Sponsors can request a meeting with the SPAP </w:t>
      </w:r>
      <w:r w:rsidR="00A63C4A">
        <w:rPr>
          <w:rFonts w:cs="Arial"/>
        </w:rPr>
        <w:t>S</w:t>
      </w:r>
      <w:r>
        <w:rPr>
          <w:rFonts w:cs="Arial"/>
        </w:rPr>
        <w:t>ecretariat to discuss the outcomes of the SPAP meeting.</w:t>
      </w:r>
    </w:p>
    <w:p w14:paraId="2793E091" w14:textId="77777777" w:rsidR="00F32B91" w:rsidRDefault="00F32B91" w:rsidP="00F32B91">
      <w:pPr>
        <w:rPr>
          <w:rFonts w:cs="Arial"/>
        </w:rPr>
      </w:pPr>
      <w:r>
        <w:rPr>
          <w:rFonts w:cs="Arial"/>
        </w:rPr>
        <w:t xml:space="preserve">Where SPAP has rejected an application to list a price premium product </w:t>
      </w:r>
      <w:proofErr w:type="gramStart"/>
      <w:r>
        <w:rPr>
          <w:rFonts w:cs="Arial"/>
        </w:rPr>
        <w:t>on the basis of</w:t>
      </w:r>
      <w:proofErr w:type="gramEnd"/>
      <w:r>
        <w:rPr>
          <w:rFonts w:cs="Arial"/>
        </w:rPr>
        <w:t xml:space="preserve"> price, the Department may negotiate with the applicant to list the product in the relevant subgroup at the benchmark price provided that SPAP has confirmed:</w:t>
      </w:r>
    </w:p>
    <w:p w14:paraId="6F1AE1A1" w14:textId="77777777" w:rsidR="00F32B91" w:rsidRDefault="00F32B91" w:rsidP="00CA58F1">
      <w:pPr>
        <w:pStyle w:val="ListBullet"/>
      </w:pPr>
      <w:r>
        <w:t>the product is no worse than its comparator regarding safety and efficacy; and</w:t>
      </w:r>
    </w:p>
    <w:p w14:paraId="754EDE36" w14:textId="77777777" w:rsidR="00F32B91" w:rsidRDefault="00F32B91" w:rsidP="00CA58F1">
      <w:pPr>
        <w:pStyle w:val="ListBullet"/>
      </w:pPr>
      <w:r>
        <w:t>it does not intend to expand the subgroup’s benchmark product definition.</w:t>
      </w:r>
    </w:p>
    <w:p w14:paraId="0A6DEEE7" w14:textId="1192207D" w:rsidR="00F32B91" w:rsidRDefault="00F32B91" w:rsidP="00F32B91">
      <w:pPr>
        <w:rPr>
          <w:rFonts w:cs="Arial"/>
        </w:rPr>
      </w:pPr>
      <w:r>
        <w:rPr>
          <w:rFonts w:cs="Arial"/>
        </w:rPr>
        <w:t>The Secretariat prepares Public Summary Documents (PSDs) which are ratified by the SPAP and sent to sponsors for comment. The ratified PSDs with sponsor comments are published on the Department's website</w:t>
      </w:r>
      <w:r w:rsidR="00BF005E">
        <w:rPr>
          <w:rFonts w:cs="Arial"/>
        </w:rPr>
        <w:t xml:space="preserve">, usually </w:t>
      </w:r>
      <w:r w:rsidR="00906B1B">
        <w:rPr>
          <w:rFonts w:cs="Arial"/>
        </w:rPr>
        <w:t>within 2</w:t>
      </w:r>
      <w:r w:rsidR="00BF005E">
        <w:rPr>
          <w:rFonts w:cs="Arial"/>
        </w:rPr>
        <w:t xml:space="preserve"> months after the SPAP meeting</w:t>
      </w:r>
      <w:r>
        <w:rPr>
          <w:rFonts w:cs="Arial"/>
        </w:rPr>
        <w:t>.</w:t>
      </w:r>
    </w:p>
    <w:p w14:paraId="6AD150F3" w14:textId="26419A18" w:rsidR="00F32B91" w:rsidRPr="00CA58F1" w:rsidRDefault="00A620F2" w:rsidP="00CA58F1">
      <w:pPr>
        <w:pStyle w:val="Heading2"/>
      </w:pPr>
      <w:bookmarkStart w:id="140" w:name="_Toc473893107"/>
      <w:bookmarkStart w:id="141" w:name="_Toc107411694"/>
      <w:bookmarkStart w:id="142" w:name="_Toc119409513"/>
      <w:bookmarkStart w:id="143" w:name="_Toc138851209"/>
      <w:r w:rsidRPr="00CA58F1">
        <w:t xml:space="preserve">3.4 </w:t>
      </w:r>
      <w:r w:rsidR="00F32B91" w:rsidRPr="00CA58F1">
        <w:t>Decision Review</w:t>
      </w:r>
      <w:bookmarkEnd w:id="140"/>
      <w:bookmarkEnd w:id="141"/>
      <w:bookmarkEnd w:id="142"/>
      <w:bookmarkEnd w:id="143"/>
    </w:p>
    <w:p w14:paraId="65E66D12" w14:textId="4F96559E" w:rsidR="00F32B91" w:rsidRDefault="00F32B91" w:rsidP="00F32B91">
      <w:pPr>
        <w:rPr>
          <w:rFonts w:cs="Arial"/>
        </w:rPr>
      </w:pPr>
      <w:r>
        <w:rPr>
          <w:rFonts w:cs="Arial"/>
        </w:rPr>
        <w:t>All unsuccessful applications can be resubmitted to SPAP for consideration at a subsequent SPAP meeting providing they include additional information which addresses the SPAP concerns outlined in its initial advice.</w:t>
      </w:r>
    </w:p>
    <w:p w14:paraId="07B910ED" w14:textId="77777777" w:rsidR="003B32F1" w:rsidRPr="00CA58F1" w:rsidRDefault="003B32F1" w:rsidP="00CA58F1">
      <w:bookmarkStart w:id="144" w:name="_Toc107411695"/>
      <w:r>
        <w:br w:type="page"/>
      </w:r>
    </w:p>
    <w:p w14:paraId="53F330EB" w14:textId="48B5F65C" w:rsidR="00F32B91" w:rsidRDefault="00A620F2" w:rsidP="00F32B91">
      <w:pPr>
        <w:pStyle w:val="Heading1"/>
      </w:pPr>
      <w:bookmarkStart w:id="145" w:name="_Toc119409514"/>
      <w:bookmarkStart w:id="146" w:name="_Toc138851210"/>
      <w:r>
        <w:lastRenderedPageBreak/>
        <w:t xml:space="preserve">Part 4 – </w:t>
      </w:r>
      <w:r w:rsidR="00F32B91">
        <w:t>Product listings</w:t>
      </w:r>
      <w:bookmarkEnd w:id="144"/>
      <w:bookmarkEnd w:id="145"/>
      <w:bookmarkEnd w:id="146"/>
    </w:p>
    <w:p w14:paraId="2E78C00F" w14:textId="77777777" w:rsidR="003E3264" w:rsidRDefault="00F32B91" w:rsidP="00F32B91">
      <w:pPr>
        <w:rPr>
          <w:rFonts w:cs="Arial"/>
        </w:rPr>
      </w:pPr>
      <w:r>
        <w:rPr>
          <w:rFonts w:cs="Arial"/>
        </w:rPr>
        <w:t xml:space="preserve">The Department delegate will consider SPAP recommendations. </w:t>
      </w:r>
    </w:p>
    <w:p w14:paraId="31FA139F" w14:textId="688E0570" w:rsidR="00F70B5D" w:rsidRDefault="00F32B91" w:rsidP="00F32B91">
      <w:pPr>
        <w:rPr>
          <w:rFonts w:cs="Arial"/>
        </w:rPr>
      </w:pPr>
      <w:r>
        <w:rPr>
          <w:rFonts w:cs="Arial"/>
        </w:rPr>
        <w:t xml:space="preserve">Where a positive recommendation for the listing of a benchmark or price premium product has been given by SPAP, </w:t>
      </w:r>
      <w:r w:rsidR="00BF005E">
        <w:rPr>
          <w:rFonts w:cs="Arial"/>
        </w:rPr>
        <w:t xml:space="preserve">irrespective of its fiscal impact, </w:t>
      </w:r>
      <w:r>
        <w:rPr>
          <w:rFonts w:cs="Arial"/>
        </w:rPr>
        <w:t xml:space="preserve">the Department will advise the Department of Finance and the Minister for Health and Aged Care </w:t>
      </w:r>
      <w:r w:rsidR="000B50C5">
        <w:rPr>
          <w:rFonts w:cs="Arial"/>
        </w:rPr>
        <w:t xml:space="preserve">(or delegate) </w:t>
      </w:r>
      <w:r>
        <w:rPr>
          <w:rFonts w:cs="Arial"/>
        </w:rPr>
        <w:t xml:space="preserve">and seek approval to schedule a listing submission to be considered by Government. This </w:t>
      </w:r>
      <w:r w:rsidR="003B7F7E">
        <w:rPr>
          <w:rFonts w:cs="Arial"/>
        </w:rPr>
        <w:t xml:space="preserve">approval </w:t>
      </w:r>
      <w:r>
        <w:rPr>
          <w:rFonts w:cs="Arial"/>
        </w:rPr>
        <w:t xml:space="preserve">process may take up to 4 months and is dependent on competing priorities. </w:t>
      </w:r>
    </w:p>
    <w:p w14:paraId="5B49F4BB" w14:textId="5183FF74" w:rsidR="00E3131F" w:rsidRDefault="00F32B91" w:rsidP="00F32B91">
      <w:pPr>
        <w:rPr>
          <w:rFonts w:cs="Arial"/>
        </w:rPr>
      </w:pPr>
      <w:r>
        <w:rPr>
          <w:rFonts w:cs="Arial"/>
        </w:rPr>
        <w:t>If products are approved for listing by Government, the Department will facilitate publishing the SAS Schedule on the date determined by Government. Once a listing is approved, sponsors are notified of the agreement by Government and the effective date of change</w:t>
      </w:r>
      <w:r w:rsidR="008159CC">
        <w:rPr>
          <w:rFonts w:cs="Arial"/>
        </w:rPr>
        <w:t xml:space="preserve"> and asked to confirm the changes to their products are correct</w:t>
      </w:r>
      <w:r>
        <w:rPr>
          <w:rFonts w:cs="Arial"/>
        </w:rPr>
        <w:t>.</w:t>
      </w:r>
      <w:r w:rsidR="008159CC">
        <w:rPr>
          <w:rFonts w:cs="Arial"/>
        </w:rPr>
        <w:t xml:space="preserve"> The updated Schedule </w:t>
      </w:r>
      <w:r w:rsidR="008159CC" w:rsidRPr="008159CC">
        <w:rPr>
          <w:rFonts w:cs="Arial"/>
        </w:rPr>
        <w:t>is circulated at least one month prior to the new effective date to stoma associations (through ACSA)</w:t>
      </w:r>
      <w:r w:rsidR="008159CC">
        <w:rPr>
          <w:rFonts w:cs="Arial"/>
        </w:rPr>
        <w:t xml:space="preserve"> and</w:t>
      </w:r>
      <w:r w:rsidR="008159CC" w:rsidRPr="008159CC">
        <w:rPr>
          <w:rFonts w:cs="Arial"/>
        </w:rPr>
        <w:t xml:space="preserve"> Services Australia</w:t>
      </w:r>
      <w:r w:rsidR="00B657DD">
        <w:rPr>
          <w:rFonts w:cs="Arial"/>
        </w:rPr>
        <w:t xml:space="preserve"> to allow all organisations to prepare for the changes.</w:t>
      </w:r>
    </w:p>
    <w:p w14:paraId="6AA44AEE" w14:textId="0703A69D" w:rsidR="00475680" w:rsidRPr="00CA58F1" w:rsidRDefault="00064112" w:rsidP="00CA58F1">
      <w:pPr>
        <w:pStyle w:val="Heading2"/>
      </w:pPr>
      <w:bookmarkStart w:id="147" w:name="_Toc119409515"/>
      <w:bookmarkStart w:id="148" w:name="_Toc138851211"/>
      <w:r w:rsidRPr="00CA58F1">
        <w:t xml:space="preserve">4.1 </w:t>
      </w:r>
      <w:r w:rsidR="00475680" w:rsidRPr="00CA58F1">
        <w:t xml:space="preserve">Listing Process </w:t>
      </w:r>
      <w:r w:rsidR="00422743" w:rsidRPr="00CA58F1">
        <w:t xml:space="preserve">and timing </w:t>
      </w:r>
      <w:r w:rsidR="00475680" w:rsidRPr="00CA58F1">
        <w:t>for Schedule Update</w:t>
      </w:r>
      <w:r w:rsidRPr="00CA58F1">
        <w:t>s to the</w:t>
      </w:r>
      <w:r w:rsidR="00475680" w:rsidRPr="00CA58F1">
        <w:t xml:space="preserve"> Stoma Appliance Scheme</w:t>
      </w:r>
      <w:bookmarkEnd w:id="147"/>
      <w:bookmarkEnd w:id="148"/>
    </w:p>
    <w:p w14:paraId="12F19A43" w14:textId="3E4076BF" w:rsidR="00475680" w:rsidRPr="00BC40A2" w:rsidRDefault="00475680" w:rsidP="003666CC">
      <w:pPr>
        <w:pStyle w:val="ListNumber"/>
        <w:numPr>
          <w:ilvl w:val="0"/>
          <w:numId w:val="24"/>
        </w:numPr>
      </w:pPr>
      <w:r w:rsidRPr="00064112">
        <w:t>Applications</w:t>
      </w:r>
      <w:r>
        <w:t xml:space="preserve"> </w:t>
      </w:r>
      <w:r w:rsidR="00AF3572">
        <w:t xml:space="preserve">and product samples </w:t>
      </w:r>
      <w:r>
        <w:t xml:space="preserve">accepted up to 6 weeks prior to scheduled SPAP meeting date. </w:t>
      </w:r>
      <w:r w:rsidR="00BC40A2" w:rsidRPr="00AF3572">
        <w:t xml:space="preserve">Applications are considered at </w:t>
      </w:r>
      <w:r w:rsidRPr="00AF3572">
        <w:t xml:space="preserve">SPAP meetings </w:t>
      </w:r>
      <w:r w:rsidR="00BC40A2" w:rsidRPr="00AF3572">
        <w:t xml:space="preserve">which </w:t>
      </w:r>
      <w:r w:rsidRPr="00AF3572">
        <w:t xml:space="preserve">are usually </w:t>
      </w:r>
      <w:r w:rsidR="00BC40A2" w:rsidRPr="00AF3572">
        <w:t xml:space="preserve">held </w:t>
      </w:r>
      <w:r w:rsidRPr="00AF3572">
        <w:t>twice a year</w:t>
      </w:r>
      <w:r w:rsidR="001C6DBC">
        <w:t>.</w:t>
      </w:r>
    </w:p>
    <w:p w14:paraId="23B46103" w14:textId="6BF6E12F" w:rsidR="00475680" w:rsidRDefault="00BC40A2" w:rsidP="00CA58F1">
      <w:pPr>
        <w:pStyle w:val="ListNumber"/>
      </w:pPr>
      <w:r>
        <w:rPr>
          <w:rFonts w:cs="Arial"/>
        </w:rPr>
        <w:t>SPAP meeting</w:t>
      </w:r>
      <w:r w:rsidR="00AF3572">
        <w:rPr>
          <w:rFonts w:cs="Arial"/>
        </w:rPr>
        <w:t xml:space="preserve">. </w:t>
      </w:r>
      <w:r w:rsidR="00475680">
        <w:t xml:space="preserve">SPAP recommends </w:t>
      </w:r>
      <w:r w:rsidR="001C6DBC">
        <w:t xml:space="preserve">whether </w:t>
      </w:r>
      <w:r w:rsidR="00475680">
        <w:t xml:space="preserve">products </w:t>
      </w:r>
      <w:r w:rsidR="001C6DBC">
        <w:t xml:space="preserve">should </w:t>
      </w:r>
      <w:r w:rsidR="00475680">
        <w:t>be listed/</w:t>
      </w:r>
      <w:r w:rsidR="004D5D5E">
        <w:t>varied</w:t>
      </w:r>
      <w:r w:rsidR="00475680">
        <w:t xml:space="preserve">/deleted on the </w:t>
      </w:r>
      <w:proofErr w:type="gramStart"/>
      <w:r w:rsidR="00475680">
        <w:t>Schedule</w:t>
      </w:r>
      <w:r w:rsidR="00815343">
        <w:t>,</w:t>
      </w:r>
      <w:r w:rsidR="00466815">
        <w:t xml:space="preserve"> or</w:t>
      </w:r>
      <w:proofErr w:type="gramEnd"/>
      <w:r w:rsidR="00466815">
        <w:t xml:space="preserve"> defer</w:t>
      </w:r>
      <w:r w:rsidR="00E830F7">
        <w:t>s its recommendations</w:t>
      </w:r>
      <w:r w:rsidR="00466815">
        <w:t xml:space="preserve"> to be considered at a later meeting</w:t>
      </w:r>
      <w:r w:rsidR="001C6DBC">
        <w:t>.</w:t>
      </w:r>
    </w:p>
    <w:p w14:paraId="01A7F161" w14:textId="7929C0EE" w:rsidR="00BC40A2" w:rsidRDefault="00475680" w:rsidP="00CA58F1">
      <w:pPr>
        <w:pStyle w:val="ListNumber"/>
      </w:pPr>
      <w:r>
        <w:t xml:space="preserve">Meeting outcomes are sent to sponsors approximately 2 weeks </w:t>
      </w:r>
      <w:r w:rsidR="001C6DBC">
        <w:t xml:space="preserve">following the </w:t>
      </w:r>
      <w:r>
        <w:t>meeting</w:t>
      </w:r>
      <w:r w:rsidR="001C6DBC">
        <w:t>.</w:t>
      </w:r>
    </w:p>
    <w:p w14:paraId="38ADC824" w14:textId="786D0996" w:rsidR="00BC40A2" w:rsidRDefault="00BC40A2" w:rsidP="00CA58F1">
      <w:pPr>
        <w:pStyle w:val="ListNumber"/>
      </w:pPr>
      <w:r>
        <w:t xml:space="preserve">Public Summary Documents (PSDs) </w:t>
      </w:r>
      <w:r w:rsidR="001C6DBC">
        <w:t xml:space="preserve">are </w:t>
      </w:r>
      <w:r>
        <w:t>prepared and r</w:t>
      </w:r>
      <w:r w:rsidR="008E657E">
        <w:t xml:space="preserve">atified </w:t>
      </w:r>
      <w:r>
        <w:t xml:space="preserve">by SPAP </w:t>
      </w:r>
      <w:r w:rsidR="0014266E">
        <w:t>(</w:t>
      </w:r>
      <w:r w:rsidR="009C5978">
        <w:t>approximately</w:t>
      </w:r>
      <w:r w:rsidR="0014266E">
        <w:t xml:space="preserve"> </w:t>
      </w:r>
      <w:r w:rsidR="00FD45E3">
        <w:t>4</w:t>
      </w:r>
      <w:r w:rsidR="0014266E">
        <w:t xml:space="preserve"> to </w:t>
      </w:r>
      <w:r w:rsidR="00FD45E3">
        <w:t>6</w:t>
      </w:r>
      <w:r w:rsidR="0014266E">
        <w:t xml:space="preserve"> weeks after the meeting)</w:t>
      </w:r>
      <w:r w:rsidR="001C6DBC">
        <w:t>.</w:t>
      </w:r>
    </w:p>
    <w:p w14:paraId="59FA7AA4" w14:textId="0A15CB03" w:rsidR="00475680" w:rsidRDefault="00BC40A2" w:rsidP="00CA58F1">
      <w:pPr>
        <w:pStyle w:val="ListNumber"/>
      </w:pPr>
      <w:r>
        <w:t xml:space="preserve">Sponsors </w:t>
      </w:r>
      <w:r w:rsidR="003D7369">
        <w:t xml:space="preserve">are </w:t>
      </w:r>
      <w:r w:rsidR="008E657E">
        <w:t>given 1 to 2 weeks to review and comment on</w:t>
      </w:r>
      <w:r>
        <w:t xml:space="preserve"> PSDs</w:t>
      </w:r>
      <w:r w:rsidR="001C6DBC">
        <w:t>.</w:t>
      </w:r>
      <w:r>
        <w:t xml:space="preserve"> </w:t>
      </w:r>
    </w:p>
    <w:p w14:paraId="793FDB83" w14:textId="69868E47" w:rsidR="00475680" w:rsidRDefault="00475680" w:rsidP="00CA58F1">
      <w:pPr>
        <w:pStyle w:val="ListNumber"/>
      </w:pPr>
      <w:r>
        <w:t>P</w:t>
      </w:r>
      <w:r w:rsidR="00BC40A2">
        <w:t>SDs</w:t>
      </w:r>
      <w:r>
        <w:t xml:space="preserve"> published </w:t>
      </w:r>
      <w:r w:rsidR="00BC40A2">
        <w:t>on</w:t>
      </w:r>
      <w:r>
        <w:t xml:space="preserve"> the Department’s webpage approximately 6</w:t>
      </w:r>
      <w:r w:rsidR="00AF3572">
        <w:t xml:space="preserve"> to </w:t>
      </w:r>
      <w:r>
        <w:t xml:space="preserve">8 weeks </w:t>
      </w:r>
      <w:r w:rsidR="001C6DBC">
        <w:t xml:space="preserve">following the </w:t>
      </w:r>
      <w:r w:rsidR="00BC40A2">
        <w:t>SPAP</w:t>
      </w:r>
      <w:r>
        <w:t xml:space="preserve"> meeting</w:t>
      </w:r>
      <w:r w:rsidR="001C6DBC">
        <w:t>.</w:t>
      </w:r>
      <w:r>
        <w:t xml:space="preserve"> </w:t>
      </w:r>
    </w:p>
    <w:p w14:paraId="21D52D0C" w14:textId="0E9115F8" w:rsidR="00475680" w:rsidRDefault="00475680" w:rsidP="001C6DBC">
      <w:pPr>
        <w:pStyle w:val="ListNumber"/>
      </w:pPr>
      <w:r>
        <w:t>SPAP recommendations</w:t>
      </w:r>
      <w:r w:rsidR="008E657E">
        <w:t xml:space="preserve"> </w:t>
      </w:r>
      <w:r w:rsidR="001C6DBC">
        <w:t xml:space="preserve">for </w:t>
      </w:r>
      <w:r>
        <w:t>proposed listings</w:t>
      </w:r>
      <w:r w:rsidR="007B7A08">
        <w:t>, variations, or deletions</w:t>
      </w:r>
      <w:r w:rsidR="008E657E">
        <w:t xml:space="preserve"> </w:t>
      </w:r>
      <w:r w:rsidR="001C6DBC">
        <w:t xml:space="preserve">on </w:t>
      </w:r>
      <w:r w:rsidR="008E657E">
        <w:t xml:space="preserve">the </w:t>
      </w:r>
      <w:r w:rsidR="00275A50">
        <w:t xml:space="preserve">SAS </w:t>
      </w:r>
      <w:r w:rsidR="008E657E">
        <w:t xml:space="preserve">Schedule </w:t>
      </w:r>
      <w:r w:rsidR="003D7369">
        <w:t>and a proposed listing</w:t>
      </w:r>
      <w:r w:rsidR="008E657E">
        <w:t xml:space="preserve"> date </w:t>
      </w:r>
      <w:r>
        <w:t xml:space="preserve">are sent </w:t>
      </w:r>
      <w:r w:rsidR="00BC40A2">
        <w:t xml:space="preserve">to </w:t>
      </w:r>
      <w:r w:rsidR="001C6DBC">
        <w:t xml:space="preserve">the </w:t>
      </w:r>
      <w:r w:rsidR="00BC40A2">
        <w:t xml:space="preserve">Department of Finance and </w:t>
      </w:r>
      <w:r>
        <w:t>Government</w:t>
      </w:r>
      <w:r w:rsidR="008E657E">
        <w:t xml:space="preserve"> for approval. Note: </w:t>
      </w:r>
      <w:r w:rsidR="008E657E" w:rsidRPr="008E657E">
        <w:t>T</w:t>
      </w:r>
      <w:r w:rsidRPr="008E657E">
        <w:t>his process can take between 2</w:t>
      </w:r>
      <w:r w:rsidR="00AF3572">
        <w:t xml:space="preserve"> to </w:t>
      </w:r>
      <w:r w:rsidRPr="008E657E">
        <w:t>4 months</w:t>
      </w:r>
      <w:r w:rsidR="008E657E" w:rsidRPr="008E657E">
        <w:t xml:space="preserve"> and is dependent on competing priorities</w:t>
      </w:r>
      <w:r w:rsidR="00DD1768">
        <w:t xml:space="preserve"> of Government</w:t>
      </w:r>
      <w:r w:rsidR="00AF3572">
        <w:t xml:space="preserve">. </w:t>
      </w:r>
    </w:p>
    <w:p w14:paraId="0A2DF3F6" w14:textId="1D9A74A2" w:rsidR="00475680" w:rsidRDefault="003D7369" w:rsidP="00CA58F1">
      <w:pPr>
        <w:pStyle w:val="ListNumber"/>
      </w:pPr>
      <w:r>
        <w:t>Sponsors are advised of the approved listing date and sent r</w:t>
      </w:r>
      <w:r w:rsidR="00475680">
        <w:t xml:space="preserve">eports </w:t>
      </w:r>
      <w:r w:rsidR="00064112">
        <w:t xml:space="preserve">with </w:t>
      </w:r>
      <w:r w:rsidR="008E657E">
        <w:t>the proposed listings</w:t>
      </w:r>
      <w:r w:rsidR="007B7A08">
        <w:t>, variations, or deletions</w:t>
      </w:r>
      <w:r w:rsidR="008E657E">
        <w:t xml:space="preserve"> </w:t>
      </w:r>
      <w:r w:rsidR="001C6DBC">
        <w:t xml:space="preserve">on </w:t>
      </w:r>
      <w:r w:rsidR="008E657E">
        <w:t xml:space="preserve">the </w:t>
      </w:r>
      <w:r w:rsidR="00275A50">
        <w:t xml:space="preserve">SAS </w:t>
      </w:r>
      <w:r w:rsidR="008E657E">
        <w:t xml:space="preserve">Schedule for their </w:t>
      </w:r>
      <w:r>
        <w:t xml:space="preserve">respective </w:t>
      </w:r>
      <w:r w:rsidR="008E657E">
        <w:t xml:space="preserve">products </w:t>
      </w:r>
      <w:r w:rsidR="00475680">
        <w:t>to review</w:t>
      </w:r>
      <w:r w:rsidR="00064112">
        <w:t>.</w:t>
      </w:r>
      <w:r w:rsidR="00475680">
        <w:t xml:space="preserve"> S</w:t>
      </w:r>
      <w:r w:rsidR="00064112">
        <w:t>ponsors</w:t>
      </w:r>
      <w:r w:rsidR="00475680">
        <w:t xml:space="preserve"> are given a week to review </w:t>
      </w:r>
      <w:r w:rsidR="00064112">
        <w:t xml:space="preserve">the </w:t>
      </w:r>
      <w:r w:rsidR="00475680">
        <w:t>reports and make any comments.</w:t>
      </w:r>
      <w:r w:rsidR="001C6DBC">
        <w:t xml:space="preserve"> It is important that these reports are reviewed </w:t>
      </w:r>
      <w:proofErr w:type="gramStart"/>
      <w:r w:rsidR="001C6DBC">
        <w:t>carefully</w:t>
      </w:r>
      <w:proofErr w:type="gramEnd"/>
      <w:r w:rsidR="001C6DBC">
        <w:t xml:space="preserve"> and any errors reported to the Department as all details of the reports will be reflected in the SAS Schedule. </w:t>
      </w:r>
      <w:r w:rsidR="00475680">
        <w:t xml:space="preserve"> </w:t>
      </w:r>
    </w:p>
    <w:p w14:paraId="1FF4EC9A" w14:textId="24EBB843" w:rsidR="00475680" w:rsidRDefault="00475680" w:rsidP="00CA58F1">
      <w:pPr>
        <w:pStyle w:val="ListNumber"/>
      </w:pPr>
      <w:r>
        <w:t xml:space="preserve">The </w:t>
      </w:r>
      <w:r w:rsidR="00275A50">
        <w:t xml:space="preserve">SAS </w:t>
      </w:r>
      <w:r>
        <w:t>Schedule is sent to stakeholders including Services Australia</w:t>
      </w:r>
      <w:r w:rsidR="008E657E">
        <w:t xml:space="preserve">, </w:t>
      </w:r>
      <w:proofErr w:type="gramStart"/>
      <w:r w:rsidR="00064112">
        <w:t>ACSA</w:t>
      </w:r>
      <w:proofErr w:type="gramEnd"/>
      <w:r>
        <w:t xml:space="preserve"> and the Department’s web team 4 weeks prior to the listing date to prepare for the Schedule update. </w:t>
      </w:r>
    </w:p>
    <w:p w14:paraId="4F1F4096" w14:textId="49791F14" w:rsidR="00FD45E3" w:rsidRDefault="00475680" w:rsidP="00CA58F1">
      <w:pPr>
        <w:pStyle w:val="ListNumber"/>
      </w:pPr>
      <w:r>
        <w:t xml:space="preserve">The </w:t>
      </w:r>
      <w:r w:rsidR="000B50C5">
        <w:t>SAS</w:t>
      </w:r>
      <w:r>
        <w:t xml:space="preserve"> Schedule is updated.</w:t>
      </w:r>
    </w:p>
    <w:p w14:paraId="40075527" w14:textId="77777777" w:rsidR="009A5977" w:rsidRPr="00CA58F1" w:rsidRDefault="009A5977" w:rsidP="00CA58F1">
      <w:bookmarkStart w:id="149" w:name="_Toc473893108"/>
      <w:bookmarkStart w:id="150" w:name="_Toc107411696"/>
      <w:r>
        <w:br w:type="page"/>
      </w:r>
    </w:p>
    <w:p w14:paraId="7D74D759" w14:textId="1B59EE1B" w:rsidR="00F32B91" w:rsidRPr="00CA58F1" w:rsidRDefault="00F32B91" w:rsidP="00F32B91">
      <w:pPr>
        <w:pStyle w:val="Heading1"/>
      </w:pPr>
      <w:bookmarkStart w:id="151" w:name="_Toc119409516"/>
      <w:bookmarkStart w:id="152" w:name="_Toc138851212"/>
      <w:r>
        <w:lastRenderedPageBreak/>
        <w:t>Glossary</w:t>
      </w:r>
      <w:bookmarkEnd w:id="149"/>
      <w:bookmarkEnd w:id="150"/>
      <w:bookmarkEnd w:id="151"/>
      <w:bookmarkEnd w:id="152"/>
    </w:p>
    <w:p w14:paraId="05790E5A" w14:textId="4F1AE8DB" w:rsidR="00F32B91" w:rsidRDefault="00F32B91" w:rsidP="00F32B91">
      <w:pPr>
        <w:rPr>
          <w:rFonts w:cs="Arial"/>
        </w:rPr>
      </w:pPr>
      <w:r>
        <w:rPr>
          <w:rFonts w:cs="Arial"/>
        </w:rPr>
        <w:t>The following terms and abbreviations have the meanings indicated:</w:t>
      </w:r>
    </w:p>
    <w:tbl>
      <w:tblPr>
        <w:tblStyle w:val="DepartmentofHealthtable"/>
        <w:tblW w:w="0" w:type="auto"/>
        <w:tblLook w:val="01E0" w:firstRow="1" w:lastRow="1" w:firstColumn="1" w:lastColumn="1" w:noHBand="0" w:noVBand="0"/>
        <w:tblDescription w:val="This table list the Glossary terms and definitions within the Review Stoma Appliance Scheme Guidelines."/>
      </w:tblPr>
      <w:tblGrid>
        <w:gridCol w:w="2547"/>
        <w:gridCol w:w="6513"/>
      </w:tblGrid>
      <w:tr w:rsidR="00F32B91" w14:paraId="661E5118" w14:textId="77777777" w:rsidTr="00CA58F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47" w:type="dxa"/>
            <w:hideMark/>
          </w:tcPr>
          <w:p w14:paraId="10284FFD" w14:textId="77777777" w:rsidR="00F32B91" w:rsidRPr="00BC3E5E" w:rsidRDefault="00F32B91" w:rsidP="00BC3E5E">
            <w:pPr>
              <w:pStyle w:val="TableHeaderWhite"/>
            </w:pPr>
            <w:r w:rsidRPr="00BC3E5E">
              <w:t>Term</w:t>
            </w:r>
          </w:p>
        </w:tc>
        <w:tc>
          <w:tcPr>
            <w:tcW w:w="6513" w:type="dxa"/>
            <w:hideMark/>
          </w:tcPr>
          <w:p w14:paraId="759166B6" w14:textId="77777777" w:rsidR="00F32B91" w:rsidRPr="00BC3E5E" w:rsidRDefault="00F32B91" w:rsidP="00BC3E5E">
            <w:pPr>
              <w:pStyle w:val="TableHeaderWhite"/>
              <w:cnfStyle w:val="100000000000" w:firstRow="1" w:lastRow="0" w:firstColumn="0" w:lastColumn="0" w:oddVBand="0" w:evenVBand="0" w:oddHBand="0" w:evenHBand="0" w:firstRowFirstColumn="0" w:firstRowLastColumn="0" w:lastRowFirstColumn="0" w:lastRowLastColumn="0"/>
            </w:pPr>
            <w:r w:rsidRPr="00BC3E5E">
              <w:t>Definition</w:t>
            </w:r>
          </w:p>
        </w:tc>
      </w:tr>
      <w:tr w:rsidR="00F32B91" w14:paraId="5069787B" w14:textId="77777777" w:rsidTr="00CA58F1">
        <w:trPr>
          <w:cnfStyle w:val="000000100000" w:firstRow="0" w:lastRow="0" w:firstColumn="0" w:lastColumn="0" w:oddVBand="0" w:evenVBand="0" w:oddHBand="1" w:evenHBand="0"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2547" w:type="dxa"/>
            <w:hideMark/>
          </w:tcPr>
          <w:p w14:paraId="341A0506" w14:textId="77777777" w:rsidR="00F32B91" w:rsidRPr="00CA58F1" w:rsidRDefault="00F32B91" w:rsidP="00CA58F1">
            <w:r w:rsidRPr="00CA58F1">
              <w:t>ACSA</w:t>
            </w:r>
          </w:p>
        </w:tc>
        <w:tc>
          <w:tcPr>
            <w:tcW w:w="6513" w:type="dxa"/>
            <w:hideMark/>
          </w:tcPr>
          <w:p w14:paraId="653F81F5" w14:textId="77777777" w:rsidR="00F32B91" w:rsidRPr="00CA58F1" w:rsidRDefault="00F32B91" w:rsidP="00CA58F1">
            <w:pPr>
              <w:cnfStyle w:val="000000100000" w:firstRow="0" w:lastRow="0" w:firstColumn="0" w:lastColumn="0" w:oddVBand="0" w:evenVBand="0" w:oddHBand="1" w:evenHBand="0" w:firstRowFirstColumn="0" w:firstRowLastColumn="0" w:lastRowFirstColumn="0" w:lastRowLastColumn="0"/>
            </w:pPr>
            <w:r w:rsidRPr="00CA58F1">
              <w:t>Australian Council of Stoma Associations</w:t>
            </w:r>
          </w:p>
        </w:tc>
      </w:tr>
      <w:tr w:rsidR="00F32B91" w14:paraId="43699DB0" w14:textId="77777777" w:rsidTr="00CA58F1">
        <w:trPr>
          <w:cnfStyle w:val="000000010000" w:firstRow="0" w:lastRow="0" w:firstColumn="0" w:lastColumn="0" w:oddVBand="0" w:evenVBand="0" w:oddHBand="0" w:evenHBand="1"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2547" w:type="dxa"/>
            <w:hideMark/>
          </w:tcPr>
          <w:p w14:paraId="793FF6C6" w14:textId="77777777" w:rsidR="00F32B91" w:rsidRPr="00CA58F1" w:rsidRDefault="00F32B91" w:rsidP="00CA58F1">
            <w:r w:rsidRPr="00CA58F1">
              <w:t>Adverse Event</w:t>
            </w:r>
          </w:p>
        </w:tc>
        <w:tc>
          <w:tcPr>
            <w:tcW w:w="6513" w:type="dxa"/>
            <w:hideMark/>
          </w:tcPr>
          <w:p w14:paraId="25EAFFF2" w14:textId="77777777" w:rsidR="00F32B91" w:rsidRPr="00CA58F1" w:rsidRDefault="00F32B91" w:rsidP="00CA58F1">
            <w:pPr>
              <w:cnfStyle w:val="000000010000" w:firstRow="0" w:lastRow="0" w:firstColumn="0" w:lastColumn="0" w:oddVBand="0" w:evenVBand="0" w:oddHBand="0" w:evenHBand="1" w:firstRowFirstColumn="0" w:firstRowLastColumn="0" w:lastRowFirstColumn="0" w:lastRowLastColumn="0"/>
            </w:pPr>
            <w:r w:rsidRPr="00CA58F1">
              <w:t>Any unfavourable or unintended change in health or side effect that occurs while a participant is receiving treatment for a condition or using a specific stoma-related product for that condition</w:t>
            </w:r>
          </w:p>
        </w:tc>
      </w:tr>
      <w:tr w:rsidR="00F32B91" w14:paraId="2965287A" w14:textId="77777777" w:rsidTr="00CA58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hideMark/>
          </w:tcPr>
          <w:p w14:paraId="45D33A4F" w14:textId="77777777" w:rsidR="00F32B91" w:rsidRPr="00CA58F1" w:rsidRDefault="00F32B91" w:rsidP="00CA58F1">
            <w:r w:rsidRPr="00CA58F1">
              <w:t>ARTG</w:t>
            </w:r>
          </w:p>
        </w:tc>
        <w:tc>
          <w:tcPr>
            <w:tcW w:w="6513" w:type="dxa"/>
            <w:hideMark/>
          </w:tcPr>
          <w:p w14:paraId="5370CC94" w14:textId="77777777" w:rsidR="00F32B91" w:rsidRPr="00CA58F1" w:rsidRDefault="00F32B91" w:rsidP="00CA58F1">
            <w:pPr>
              <w:cnfStyle w:val="000000100000" w:firstRow="0" w:lastRow="0" w:firstColumn="0" w:lastColumn="0" w:oddVBand="0" w:evenVBand="0" w:oddHBand="1" w:evenHBand="0" w:firstRowFirstColumn="0" w:firstRowLastColumn="0" w:lastRowFirstColumn="0" w:lastRowLastColumn="0"/>
            </w:pPr>
            <w:r w:rsidRPr="00CA58F1">
              <w:t xml:space="preserve">Australian Register of Therapeutic Goods as established under the </w:t>
            </w:r>
            <w:r w:rsidRPr="00375C75">
              <w:rPr>
                <w:rStyle w:val="Emphasis"/>
                <w:rFonts w:eastAsiaTheme="majorEastAsia"/>
              </w:rPr>
              <w:t>Therapeutic Goods Act 1989</w:t>
            </w:r>
          </w:p>
        </w:tc>
      </w:tr>
      <w:tr w:rsidR="00F32B91" w14:paraId="1C1962CF" w14:textId="77777777" w:rsidTr="00CA58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hideMark/>
          </w:tcPr>
          <w:p w14:paraId="28CE9A93" w14:textId="77777777" w:rsidR="00F32B91" w:rsidRPr="00CA58F1" w:rsidRDefault="00F32B91" w:rsidP="00CA58F1">
            <w:r w:rsidRPr="00CA58F1">
              <w:t>ARTG Certificate of Inclusion</w:t>
            </w:r>
          </w:p>
        </w:tc>
        <w:tc>
          <w:tcPr>
            <w:tcW w:w="6513" w:type="dxa"/>
            <w:hideMark/>
          </w:tcPr>
          <w:p w14:paraId="190CD378" w14:textId="77777777" w:rsidR="00F32B91" w:rsidRPr="00CA58F1" w:rsidRDefault="00F32B91" w:rsidP="00CA58F1">
            <w:pPr>
              <w:cnfStyle w:val="000000010000" w:firstRow="0" w:lastRow="0" w:firstColumn="0" w:lastColumn="0" w:oddVBand="0" w:evenVBand="0" w:oddHBand="0" w:evenHBand="1" w:firstRowFirstColumn="0" w:firstRowLastColumn="0" w:lastRowFirstColumn="0" w:lastRowLastColumn="0"/>
            </w:pPr>
            <w:r w:rsidRPr="00CA58F1">
              <w:t xml:space="preserve">Certificate from the TGA </w:t>
            </w:r>
            <w:proofErr w:type="spellStart"/>
            <w:r w:rsidRPr="00CA58F1">
              <w:t>eBS</w:t>
            </w:r>
            <w:proofErr w:type="spellEnd"/>
            <w:r w:rsidRPr="00CA58F1">
              <w:t xml:space="preserve"> system following a product’s inclusion on the ARTG</w:t>
            </w:r>
          </w:p>
        </w:tc>
      </w:tr>
      <w:tr w:rsidR="00F32B91" w14:paraId="276D3C6C" w14:textId="77777777" w:rsidTr="00CA58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hideMark/>
          </w:tcPr>
          <w:p w14:paraId="14F06C3A" w14:textId="77777777" w:rsidR="00F32B91" w:rsidRPr="00CA58F1" w:rsidRDefault="00F32B91" w:rsidP="00CA58F1">
            <w:r w:rsidRPr="00CA58F1">
              <w:t>Benchmark Product</w:t>
            </w:r>
          </w:p>
        </w:tc>
        <w:tc>
          <w:tcPr>
            <w:tcW w:w="6513" w:type="dxa"/>
            <w:hideMark/>
          </w:tcPr>
          <w:p w14:paraId="6674BC6B" w14:textId="77777777" w:rsidR="00F32B91" w:rsidRPr="00CA58F1" w:rsidRDefault="00F32B91" w:rsidP="00CA58F1">
            <w:pPr>
              <w:cnfStyle w:val="000000100000" w:firstRow="0" w:lastRow="0" w:firstColumn="0" w:lastColumn="0" w:oddVBand="0" w:evenVBand="0" w:oddHBand="1" w:evenHBand="0" w:firstRowFirstColumn="0" w:firstRowLastColumn="0" w:lastRowFirstColumn="0" w:lastRowLastColumn="0"/>
            </w:pPr>
            <w:r w:rsidRPr="00CA58F1">
              <w:t xml:space="preserve">The notional stoma-related product within each subgroup that comprises a specified set of features, as updated from time to time, which represents the minimum standard product which would be used by a participant in the Scheme who has a need for a product in the subgroup </w:t>
            </w:r>
          </w:p>
        </w:tc>
      </w:tr>
      <w:tr w:rsidR="00F32B91" w14:paraId="4B5CAA43" w14:textId="77777777" w:rsidTr="00CA58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hideMark/>
          </w:tcPr>
          <w:p w14:paraId="24B3D620" w14:textId="77777777" w:rsidR="00F32B91" w:rsidRPr="00CA58F1" w:rsidRDefault="00F32B91" w:rsidP="00CA58F1">
            <w:r w:rsidRPr="00CA58F1">
              <w:t>Benchmark Price or Benchmark Product Price</w:t>
            </w:r>
          </w:p>
        </w:tc>
        <w:tc>
          <w:tcPr>
            <w:tcW w:w="6513" w:type="dxa"/>
            <w:hideMark/>
          </w:tcPr>
          <w:p w14:paraId="222A49C4" w14:textId="77777777" w:rsidR="00F32B91" w:rsidRPr="00CA58F1" w:rsidRDefault="00F32B91" w:rsidP="00CA58F1">
            <w:pPr>
              <w:cnfStyle w:val="000000010000" w:firstRow="0" w:lastRow="0" w:firstColumn="0" w:lastColumn="0" w:oddVBand="0" w:evenVBand="0" w:oddHBand="0" w:evenHBand="1" w:firstRowFirstColumn="0" w:firstRowLastColumn="0" w:lastRowFirstColumn="0" w:lastRowLastColumn="0"/>
            </w:pPr>
            <w:r w:rsidRPr="00CA58F1">
              <w:t>The price of the benchmark product in a subgroup. Derived by calculating the sum of the base product price plus the specified cost of each key feature of the benchmark product additional to the base product’s set of key features. For a product to receive the benchmark price that applies for a subgroup, the product must include all the specified key features</w:t>
            </w:r>
          </w:p>
        </w:tc>
      </w:tr>
      <w:tr w:rsidR="00F32B91" w14:paraId="03D3D44A" w14:textId="77777777" w:rsidTr="00CA58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hideMark/>
          </w:tcPr>
          <w:p w14:paraId="3CFC9FCF" w14:textId="77777777" w:rsidR="00F32B91" w:rsidRPr="00CA58F1" w:rsidRDefault="00F32B91" w:rsidP="00CA58F1">
            <w:r w:rsidRPr="00CA58F1">
              <w:t>Clinical effectiveness</w:t>
            </w:r>
          </w:p>
        </w:tc>
        <w:tc>
          <w:tcPr>
            <w:tcW w:w="6513" w:type="dxa"/>
            <w:hideMark/>
          </w:tcPr>
          <w:p w14:paraId="428BAF60" w14:textId="77777777" w:rsidR="00F32B91" w:rsidRPr="00CA58F1" w:rsidRDefault="00F32B91" w:rsidP="00CA58F1">
            <w:pPr>
              <w:cnfStyle w:val="000000100000" w:firstRow="0" w:lastRow="0" w:firstColumn="0" w:lastColumn="0" w:oddVBand="0" w:evenVBand="0" w:oddHBand="1" w:evenHBand="0" w:firstRowFirstColumn="0" w:firstRowLastColumn="0" w:lastRowFirstColumn="0" w:lastRowLastColumn="0"/>
            </w:pPr>
            <w:r w:rsidRPr="00CA58F1">
              <w:t>The measurement of the improvement of health outcomes attributable to a stoma-related product</w:t>
            </w:r>
          </w:p>
        </w:tc>
      </w:tr>
      <w:tr w:rsidR="00F32B91" w14:paraId="749B5EB1" w14:textId="77777777" w:rsidTr="00CA58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hideMark/>
          </w:tcPr>
          <w:p w14:paraId="7083C943" w14:textId="77777777" w:rsidR="00F32B91" w:rsidRPr="00CA58F1" w:rsidRDefault="00F32B91" w:rsidP="00CA58F1">
            <w:r w:rsidRPr="00CA58F1">
              <w:t>Comparative effectiveness</w:t>
            </w:r>
          </w:p>
        </w:tc>
        <w:tc>
          <w:tcPr>
            <w:tcW w:w="6513" w:type="dxa"/>
            <w:hideMark/>
          </w:tcPr>
          <w:p w14:paraId="0ACCF9E4" w14:textId="77777777" w:rsidR="00F32B91" w:rsidRPr="00CA58F1" w:rsidRDefault="00F32B91" w:rsidP="00CA58F1">
            <w:pPr>
              <w:cnfStyle w:val="000000010000" w:firstRow="0" w:lastRow="0" w:firstColumn="0" w:lastColumn="0" w:oddVBand="0" w:evenVBand="0" w:oddHBand="0" w:evenHBand="1" w:firstRowFirstColumn="0" w:firstRowLastColumn="0" w:lastRowFirstColumn="0" w:lastRowLastColumn="0"/>
            </w:pPr>
            <w:r w:rsidRPr="00CA58F1">
              <w:t>The measurement of the clinical and economic benefits of a stoma-related product compared to an alternative product</w:t>
            </w:r>
          </w:p>
        </w:tc>
      </w:tr>
      <w:tr w:rsidR="00F32B91" w14:paraId="3CEA2AB0" w14:textId="77777777" w:rsidTr="00CA58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hideMark/>
          </w:tcPr>
          <w:p w14:paraId="078C955B" w14:textId="77777777" w:rsidR="00F32B91" w:rsidRPr="00CA58F1" w:rsidRDefault="00F32B91" w:rsidP="00CA58F1">
            <w:r w:rsidRPr="00CA58F1">
              <w:t>Comparator</w:t>
            </w:r>
          </w:p>
        </w:tc>
        <w:tc>
          <w:tcPr>
            <w:tcW w:w="6513" w:type="dxa"/>
            <w:hideMark/>
          </w:tcPr>
          <w:p w14:paraId="374A6AA6" w14:textId="233A22EF" w:rsidR="00F32B91" w:rsidRPr="00CA58F1" w:rsidRDefault="00F32B91" w:rsidP="00CA58F1">
            <w:pPr>
              <w:cnfStyle w:val="000000100000" w:firstRow="0" w:lastRow="0" w:firstColumn="0" w:lastColumn="0" w:oddVBand="0" w:evenVBand="0" w:oddHBand="1" w:evenHBand="0" w:firstRowFirstColumn="0" w:firstRowLastColumn="0" w:lastRowFirstColumn="0" w:lastRowLastColumn="0"/>
            </w:pPr>
            <w:r w:rsidRPr="00CA58F1">
              <w:t xml:space="preserve">A stoma-related product nominated by an applicant as the product </w:t>
            </w:r>
            <w:r w:rsidR="007553E9" w:rsidRPr="00CA58F1">
              <w:t xml:space="preserve">with similar features and benefits </w:t>
            </w:r>
            <w:r w:rsidRPr="00CA58F1">
              <w:t>most likely to be replaced, or experience a decrease in utilisation, if the applicant’s product is listed</w:t>
            </w:r>
          </w:p>
        </w:tc>
      </w:tr>
      <w:tr w:rsidR="00F32B91" w14:paraId="53C75114" w14:textId="77777777" w:rsidTr="00CA58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hideMark/>
          </w:tcPr>
          <w:p w14:paraId="7E74673E" w14:textId="77777777" w:rsidR="00F32B91" w:rsidRPr="00CA58F1" w:rsidRDefault="00F32B91" w:rsidP="00CA58F1">
            <w:r w:rsidRPr="00CA58F1">
              <w:t>Confidential material</w:t>
            </w:r>
          </w:p>
        </w:tc>
        <w:tc>
          <w:tcPr>
            <w:tcW w:w="6513" w:type="dxa"/>
            <w:hideMark/>
          </w:tcPr>
          <w:p w14:paraId="52A9B666" w14:textId="77777777" w:rsidR="00F32B91" w:rsidRPr="00CA58F1" w:rsidRDefault="00F32B91" w:rsidP="00CA58F1">
            <w:pPr>
              <w:cnfStyle w:val="000000010000" w:firstRow="0" w:lastRow="0" w:firstColumn="0" w:lastColumn="0" w:oddVBand="0" w:evenVBand="0" w:oddHBand="0" w:evenHBand="1" w:firstRowFirstColumn="0" w:firstRowLastColumn="0" w:lastRowFirstColumn="0" w:lastRowLastColumn="0"/>
            </w:pPr>
            <w:r w:rsidRPr="00CA58F1">
              <w:t>Information which may be withheld from the public or unauthorised persons because disclosure would cause a foreseeable harm to the organisation which supplied the information</w:t>
            </w:r>
          </w:p>
        </w:tc>
      </w:tr>
      <w:tr w:rsidR="00F32B91" w14:paraId="24E713DF" w14:textId="77777777" w:rsidTr="00CA58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hideMark/>
          </w:tcPr>
          <w:p w14:paraId="207E46EE" w14:textId="77777777" w:rsidR="00F32B91" w:rsidRPr="00CA58F1" w:rsidRDefault="00F32B91" w:rsidP="00CA58F1">
            <w:r w:rsidRPr="00CA58F1">
              <w:lastRenderedPageBreak/>
              <w:t>Cost-effectiveness</w:t>
            </w:r>
          </w:p>
        </w:tc>
        <w:tc>
          <w:tcPr>
            <w:tcW w:w="6513" w:type="dxa"/>
            <w:hideMark/>
          </w:tcPr>
          <w:p w14:paraId="2773EA0F" w14:textId="77777777" w:rsidR="00F32B91" w:rsidRPr="00CA58F1" w:rsidRDefault="00F32B91" w:rsidP="00CA58F1">
            <w:pPr>
              <w:cnfStyle w:val="000000100000" w:firstRow="0" w:lastRow="0" w:firstColumn="0" w:lastColumn="0" w:oddVBand="0" w:evenVBand="0" w:oddHBand="1" w:evenHBand="0" w:firstRowFirstColumn="0" w:firstRowLastColumn="0" w:lastRowFirstColumn="0" w:lastRowLastColumn="0"/>
            </w:pPr>
            <w:r w:rsidRPr="00CA58F1">
              <w:t>The measurement of the incremental cost relative to the incremental health outcomes achieved by a stoma-related product compared to the alternative product that is most likely to be replaced</w:t>
            </w:r>
          </w:p>
        </w:tc>
      </w:tr>
      <w:tr w:rsidR="00F32B91" w14:paraId="4B7D8FF9" w14:textId="77777777" w:rsidTr="00CA58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hideMark/>
          </w:tcPr>
          <w:p w14:paraId="4FF2245B" w14:textId="77777777" w:rsidR="00F32B91" w:rsidRPr="00CA58F1" w:rsidRDefault="00F32B91" w:rsidP="00CA58F1">
            <w:r w:rsidRPr="00CA58F1">
              <w:t>Cost-minimisation analysis</w:t>
            </w:r>
          </w:p>
        </w:tc>
        <w:tc>
          <w:tcPr>
            <w:tcW w:w="6513" w:type="dxa"/>
            <w:hideMark/>
          </w:tcPr>
          <w:p w14:paraId="1769A8CD" w14:textId="77777777" w:rsidR="00F32B91" w:rsidRPr="00CA58F1" w:rsidRDefault="00F32B91" w:rsidP="00CA58F1">
            <w:pPr>
              <w:cnfStyle w:val="000000010000" w:firstRow="0" w:lastRow="0" w:firstColumn="0" w:lastColumn="0" w:oddVBand="0" w:evenVBand="0" w:oddHBand="0" w:evenHBand="1" w:firstRowFirstColumn="0" w:firstRowLastColumn="0" w:lastRowFirstColumn="0" w:lastRowLastColumn="0"/>
            </w:pPr>
            <w:r w:rsidRPr="00CA58F1">
              <w:t>Analysis which considers whether the proposed intervention is demonstrated to provide a health outcome which is at least no worse than another intervention at the same or a lower price</w:t>
            </w:r>
          </w:p>
        </w:tc>
      </w:tr>
      <w:tr w:rsidR="00F32B91" w14:paraId="18FC832F" w14:textId="77777777" w:rsidTr="00CA58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hideMark/>
          </w:tcPr>
          <w:p w14:paraId="2B091295" w14:textId="77777777" w:rsidR="00F32B91" w:rsidRPr="00CA58F1" w:rsidRDefault="00F32B91" w:rsidP="00CA58F1">
            <w:r w:rsidRPr="00CA58F1">
              <w:t>Department</w:t>
            </w:r>
          </w:p>
        </w:tc>
        <w:tc>
          <w:tcPr>
            <w:tcW w:w="6513" w:type="dxa"/>
            <w:hideMark/>
          </w:tcPr>
          <w:p w14:paraId="161AB0C7" w14:textId="77777777" w:rsidR="00F32B91" w:rsidRPr="00CA58F1" w:rsidRDefault="00F32B91" w:rsidP="00CA58F1">
            <w:pPr>
              <w:cnfStyle w:val="000000100000" w:firstRow="0" w:lastRow="0" w:firstColumn="0" w:lastColumn="0" w:oddVBand="0" w:evenVBand="0" w:oddHBand="1" w:evenHBand="0" w:firstRowFirstColumn="0" w:firstRowLastColumn="0" w:lastRowFirstColumn="0" w:lastRowLastColumn="0"/>
            </w:pPr>
            <w:r w:rsidRPr="00CA58F1">
              <w:t>Department of Health and Aged Care</w:t>
            </w:r>
          </w:p>
        </w:tc>
      </w:tr>
      <w:tr w:rsidR="00F32B91" w14:paraId="2AD884BF" w14:textId="77777777" w:rsidTr="00CA58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hideMark/>
          </w:tcPr>
          <w:p w14:paraId="2A416117" w14:textId="77777777" w:rsidR="00F32B91" w:rsidRPr="00CA58F1" w:rsidRDefault="00F32B91" w:rsidP="00CA58F1">
            <w:r w:rsidRPr="00CA58F1">
              <w:t>Departmental delegate</w:t>
            </w:r>
          </w:p>
        </w:tc>
        <w:tc>
          <w:tcPr>
            <w:tcW w:w="6513" w:type="dxa"/>
            <w:hideMark/>
          </w:tcPr>
          <w:p w14:paraId="29367FFB" w14:textId="77777777" w:rsidR="00F32B91" w:rsidRPr="00CA58F1" w:rsidRDefault="00F32B91" w:rsidP="00CA58F1">
            <w:pPr>
              <w:cnfStyle w:val="000000010000" w:firstRow="0" w:lastRow="0" w:firstColumn="0" w:lastColumn="0" w:oddVBand="0" w:evenVBand="0" w:oddHBand="0" w:evenHBand="1" w:firstRowFirstColumn="0" w:firstRowLastColumn="0" w:lastRowFirstColumn="0" w:lastRowLastColumn="0"/>
            </w:pPr>
            <w:r w:rsidRPr="00CA58F1">
              <w:t>The relevant Departmental Officer holding delegation to make formal decisions in relation to the Scheme</w:t>
            </w:r>
          </w:p>
        </w:tc>
      </w:tr>
      <w:tr w:rsidR="00F32B91" w14:paraId="7705F421" w14:textId="77777777" w:rsidTr="00CA58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hideMark/>
          </w:tcPr>
          <w:p w14:paraId="4F694E94" w14:textId="77777777" w:rsidR="00F32B91" w:rsidRPr="00CA58F1" w:rsidRDefault="00F32B91" w:rsidP="00CA58F1">
            <w:r w:rsidRPr="00CA58F1">
              <w:t>Feature</w:t>
            </w:r>
          </w:p>
        </w:tc>
        <w:tc>
          <w:tcPr>
            <w:tcW w:w="6513" w:type="dxa"/>
            <w:hideMark/>
          </w:tcPr>
          <w:p w14:paraId="15F870A4" w14:textId="77777777" w:rsidR="00F32B91" w:rsidRPr="00CA58F1" w:rsidRDefault="00F32B91" w:rsidP="00CA58F1">
            <w:pPr>
              <w:cnfStyle w:val="000000100000" w:firstRow="0" w:lastRow="0" w:firstColumn="0" w:lastColumn="0" w:oddVBand="0" w:evenVBand="0" w:oddHBand="1" w:evenHBand="0" w:firstRowFirstColumn="0" w:firstRowLastColumn="0" w:lastRowFirstColumn="0" w:lastRowLastColumn="0"/>
            </w:pPr>
            <w:r w:rsidRPr="00CA58F1">
              <w:t>A specified component of a stoma-related product</w:t>
            </w:r>
          </w:p>
        </w:tc>
      </w:tr>
      <w:tr w:rsidR="00F32B91" w14:paraId="1A3AA6D7" w14:textId="77777777" w:rsidTr="00CA58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hideMark/>
          </w:tcPr>
          <w:p w14:paraId="3A738ACD" w14:textId="77777777" w:rsidR="00F32B91" w:rsidRPr="00CA58F1" w:rsidRDefault="00F32B91" w:rsidP="00CA58F1">
            <w:r w:rsidRPr="00CA58F1">
              <w:t>Finance</w:t>
            </w:r>
          </w:p>
        </w:tc>
        <w:tc>
          <w:tcPr>
            <w:tcW w:w="6513" w:type="dxa"/>
            <w:hideMark/>
          </w:tcPr>
          <w:p w14:paraId="7DA0BB34" w14:textId="77777777" w:rsidR="00F32B91" w:rsidRPr="00CA58F1" w:rsidRDefault="00F32B91" w:rsidP="00CA58F1">
            <w:pPr>
              <w:cnfStyle w:val="000000010000" w:firstRow="0" w:lastRow="0" w:firstColumn="0" w:lastColumn="0" w:oddVBand="0" w:evenVBand="0" w:oddHBand="0" w:evenHBand="1" w:firstRowFirstColumn="0" w:firstRowLastColumn="0" w:lastRowFirstColumn="0" w:lastRowLastColumn="0"/>
            </w:pPr>
            <w:r w:rsidRPr="00CA58F1">
              <w:t>The Department of Finance</w:t>
            </w:r>
          </w:p>
        </w:tc>
      </w:tr>
      <w:tr w:rsidR="00F32B91" w14:paraId="496DEDBD" w14:textId="77777777" w:rsidTr="00CA58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hideMark/>
          </w:tcPr>
          <w:p w14:paraId="571F3DC7" w14:textId="77777777" w:rsidR="00F32B91" w:rsidRPr="00CA58F1" w:rsidRDefault="00F32B91" w:rsidP="00CA58F1">
            <w:r w:rsidRPr="00CA58F1">
              <w:t>Group</w:t>
            </w:r>
          </w:p>
        </w:tc>
        <w:tc>
          <w:tcPr>
            <w:tcW w:w="6513" w:type="dxa"/>
            <w:hideMark/>
          </w:tcPr>
          <w:p w14:paraId="6491D38E" w14:textId="77777777" w:rsidR="00F32B91" w:rsidRPr="00CA58F1" w:rsidRDefault="00F32B91" w:rsidP="00CA58F1">
            <w:pPr>
              <w:cnfStyle w:val="000000100000" w:firstRow="0" w:lastRow="0" w:firstColumn="0" w:lastColumn="0" w:oddVBand="0" w:evenVBand="0" w:oddHBand="1" w:evenHBand="0" w:firstRowFirstColumn="0" w:firstRowLastColumn="0" w:lastRowFirstColumn="0" w:lastRowLastColumn="0"/>
            </w:pPr>
            <w:r w:rsidRPr="00CA58F1">
              <w:t>A collection of stoma-related products which comprise similar features listed together within the SAS Schedule</w:t>
            </w:r>
          </w:p>
        </w:tc>
      </w:tr>
      <w:tr w:rsidR="00F32B91" w14:paraId="423252B5" w14:textId="77777777" w:rsidTr="00CA58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hideMark/>
          </w:tcPr>
          <w:p w14:paraId="19464EDE" w14:textId="77777777" w:rsidR="00F32B91" w:rsidRPr="00CA58F1" w:rsidRDefault="00F32B91" w:rsidP="00CA58F1">
            <w:r w:rsidRPr="00CA58F1">
              <w:t>Health outcome</w:t>
            </w:r>
          </w:p>
        </w:tc>
        <w:tc>
          <w:tcPr>
            <w:tcW w:w="6513" w:type="dxa"/>
            <w:hideMark/>
          </w:tcPr>
          <w:p w14:paraId="394C6102" w14:textId="77777777" w:rsidR="00F32B91" w:rsidRPr="00CA58F1" w:rsidRDefault="00F32B91" w:rsidP="00CA58F1">
            <w:pPr>
              <w:cnfStyle w:val="000000010000" w:firstRow="0" w:lastRow="0" w:firstColumn="0" w:lastColumn="0" w:oddVBand="0" w:evenVBand="0" w:oddHBand="0" w:evenHBand="1" w:firstRowFirstColumn="0" w:firstRowLastColumn="0" w:lastRowFirstColumn="0" w:lastRowLastColumn="0"/>
            </w:pPr>
            <w:r w:rsidRPr="00CA58F1">
              <w:t>A change (or lack of change) in a person’s health status resulting from utilisation of the stoma-related product of interest compared to health status when using the comparator. Health status may be assessed when using disease-specific measures, health-related quality of life measures; measurement of survival; or a combination of these measures</w:t>
            </w:r>
          </w:p>
        </w:tc>
      </w:tr>
      <w:tr w:rsidR="00F32B91" w14:paraId="7562F7CF" w14:textId="77777777" w:rsidTr="00CA58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hideMark/>
          </w:tcPr>
          <w:p w14:paraId="1F9BC073" w14:textId="77777777" w:rsidR="00F32B91" w:rsidRPr="00CA58F1" w:rsidRDefault="00F32B91" w:rsidP="00CA58F1">
            <w:r w:rsidRPr="00CA58F1">
              <w:t>HTA</w:t>
            </w:r>
          </w:p>
        </w:tc>
        <w:tc>
          <w:tcPr>
            <w:tcW w:w="6513" w:type="dxa"/>
            <w:hideMark/>
          </w:tcPr>
          <w:p w14:paraId="3532B553" w14:textId="77777777" w:rsidR="00F32B91" w:rsidRPr="00CA58F1" w:rsidRDefault="00F32B91" w:rsidP="00CA58F1">
            <w:pPr>
              <w:cnfStyle w:val="000000100000" w:firstRow="0" w:lastRow="0" w:firstColumn="0" w:lastColumn="0" w:oddVBand="0" w:evenVBand="0" w:oddHBand="1" w:evenHBand="0" w:firstRowFirstColumn="0" w:firstRowLastColumn="0" w:lastRowFirstColumn="0" w:lastRowLastColumn="0"/>
            </w:pPr>
            <w:r w:rsidRPr="00CA58F1">
              <w:t xml:space="preserve">Health Technology Assessment </w:t>
            </w:r>
          </w:p>
        </w:tc>
      </w:tr>
      <w:tr w:rsidR="00F32B91" w14:paraId="2CC26E78" w14:textId="77777777" w:rsidTr="00CA58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hideMark/>
          </w:tcPr>
          <w:p w14:paraId="70C9A50D" w14:textId="77777777" w:rsidR="00F32B91" w:rsidRPr="00CA58F1" w:rsidRDefault="00F32B91" w:rsidP="00CA58F1">
            <w:r w:rsidRPr="00CA58F1">
              <w:t>Manufacturer Code</w:t>
            </w:r>
          </w:p>
        </w:tc>
        <w:tc>
          <w:tcPr>
            <w:tcW w:w="6513" w:type="dxa"/>
            <w:hideMark/>
          </w:tcPr>
          <w:p w14:paraId="02CDD073" w14:textId="77777777" w:rsidR="00F32B91" w:rsidRPr="00CA58F1" w:rsidRDefault="00F32B91" w:rsidP="00CA58F1">
            <w:pPr>
              <w:cnfStyle w:val="000000010000" w:firstRow="0" w:lastRow="0" w:firstColumn="0" w:lastColumn="0" w:oddVBand="0" w:evenVBand="0" w:oddHBand="0" w:evenHBand="1" w:firstRowFirstColumn="0" w:firstRowLastColumn="0" w:lastRowFirstColumn="0" w:lastRowLastColumn="0"/>
            </w:pPr>
            <w:r w:rsidRPr="00CA58F1">
              <w:t>The code assigned to distinguish a sponsor by the Department, as specified in the SAS Schedule</w:t>
            </w:r>
          </w:p>
        </w:tc>
      </w:tr>
      <w:tr w:rsidR="00F32B91" w14:paraId="38A3CABF" w14:textId="77777777" w:rsidTr="00CA58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hideMark/>
          </w:tcPr>
          <w:p w14:paraId="3A14CF42" w14:textId="77777777" w:rsidR="00F32B91" w:rsidRPr="00CA58F1" w:rsidRDefault="00F32B91" w:rsidP="00CA58F1">
            <w:r w:rsidRPr="00CA58F1">
              <w:t>Maximum quantity</w:t>
            </w:r>
          </w:p>
        </w:tc>
        <w:tc>
          <w:tcPr>
            <w:tcW w:w="6513" w:type="dxa"/>
            <w:hideMark/>
          </w:tcPr>
          <w:p w14:paraId="4B5FE367" w14:textId="77777777" w:rsidR="00F32B91" w:rsidRPr="00CA58F1" w:rsidRDefault="00F32B91" w:rsidP="00CA58F1">
            <w:pPr>
              <w:cnfStyle w:val="000000100000" w:firstRow="0" w:lastRow="0" w:firstColumn="0" w:lastColumn="0" w:oddVBand="0" w:evenVBand="0" w:oddHBand="1" w:evenHBand="0" w:firstRowFirstColumn="0" w:firstRowLastColumn="0" w:lastRowFirstColumn="0" w:lastRowLastColumn="0"/>
            </w:pPr>
            <w:r w:rsidRPr="00CA58F1">
              <w:t>The number of units of a product which can be provided to a participant in the Scheme per month (or annually where relevant)</w:t>
            </w:r>
          </w:p>
        </w:tc>
      </w:tr>
      <w:tr w:rsidR="00F32B91" w14:paraId="3BB5695A" w14:textId="77777777" w:rsidTr="00CA58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hideMark/>
          </w:tcPr>
          <w:p w14:paraId="7EA5E38A" w14:textId="77777777" w:rsidR="00F32B91" w:rsidRPr="00CA58F1" w:rsidRDefault="00F32B91" w:rsidP="00CA58F1">
            <w:r w:rsidRPr="00CA58F1">
              <w:t>Participant</w:t>
            </w:r>
          </w:p>
        </w:tc>
        <w:tc>
          <w:tcPr>
            <w:tcW w:w="6513" w:type="dxa"/>
            <w:hideMark/>
          </w:tcPr>
          <w:p w14:paraId="3D172363" w14:textId="77777777" w:rsidR="00F32B91" w:rsidRPr="00CA58F1" w:rsidRDefault="00F32B91" w:rsidP="00CA58F1">
            <w:pPr>
              <w:cnfStyle w:val="000000010000" w:firstRow="0" w:lastRow="0" w:firstColumn="0" w:lastColumn="0" w:oddVBand="0" w:evenVBand="0" w:oddHBand="0" w:evenHBand="1" w:firstRowFirstColumn="0" w:firstRowLastColumn="0" w:lastRowFirstColumn="0" w:lastRowLastColumn="0"/>
            </w:pPr>
            <w:r w:rsidRPr="00CA58F1">
              <w:t>A member of a stoma association who is eligible to receive stoma-related products through the Scheme</w:t>
            </w:r>
          </w:p>
        </w:tc>
      </w:tr>
      <w:tr w:rsidR="00F32B91" w14:paraId="0CF5D485" w14:textId="77777777" w:rsidTr="00CA58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hideMark/>
          </w:tcPr>
          <w:p w14:paraId="39977A1D" w14:textId="77777777" w:rsidR="00F32B91" w:rsidRPr="00CA58F1" w:rsidRDefault="00F32B91" w:rsidP="00CA58F1">
            <w:r w:rsidRPr="00CA58F1">
              <w:t>Price difference</w:t>
            </w:r>
          </w:p>
        </w:tc>
        <w:tc>
          <w:tcPr>
            <w:tcW w:w="6513" w:type="dxa"/>
            <w:hideMark/>
          </w:tcPr>
          <w:p w14:paraId="03346AE7" w14:textId="77777777" w:rsidR="00F32B91" w:rsidRPr="00CA58F1" w:rsidRDefault="00F32B91" w:rsidP="00CA58F1">
            <w:pPr>
              <w:cnfStyle w:val="000000100000" w:firstRow="0" w:lastRow="0" w:firstColumn="0" w:lastColumn="0" w:oddVBand="0" w:evenVBand="0" w:oddHBand="1" w:evenHBand="0" w:firstRowFirstColumn="0" w:firstRowLastColumn="0" w:lastRowFirstColumn="0" w:lastRowLastColumn="0"/>
            </w:pPr>
            <w:r w:rsidRPr="00CA58F1">
              <w:t>The difference in the price paid between the price of the benchmark product and the premium price product in each subgroup</w:t>
            </w:r>
          </w:p>
        </w:tc>
      </w:tr>
      <w:tr w:rsidR="00F32B91" w14:paraId="514B13E6" w14:textId="77777777" w:rsidTr="00CA58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hideMark/>
          </w:tcPr>
          <w:p w14:paraId="4DE6B96D" w14:textId="77777777" w:rsidR="00F32B91" w:rsidRPr="00CA58F1" w:rsidRDefault="00F32B91" w:rsidP="00CA58F1">
            <w:r w:rsidRPr="00CA58F1">
              <w:lastRenderedPageBreak/>
              <w:t>Price Premium</w:t>
            </w:r>
          </w:p>
        </w:tc>
        <w:tc>
          <w:tcPr>
            <w:tcW w:w="6513" w:type="dxa"/>
            <w:hideMark/>
          </w:tcPr>
          <w:p w14:paraId="27646388" w14:textId="77777777" w:rsidR="00F32B91" w:rsidRPr="00CA58F1" w:rsidRDefault="00F32B91" w:rsidP="00CA58F1">
            <w:pPr>
              <w:cnfStyle w:val="000000010000" w:firstRow="0" w:lastRow="0" w:firstColumn="0" w:lastColumn="0" w:oddVBand="0" w:evenVBand="0" w:oddHBand="0" w:evenHBand="1" w:firstRowFirstColumn="0" w:firstRowLastColumn="0" w:lastRowFirstColumn="0" w:lastRowLastColumn="0"/>
            </w:pPr>
            <w:r w:rsidRPr="00CA58F1">
              <w:t>The incremental price that has been justified for a key feature that provides improved health outcomes, additional to those provided by the benchmark product</w:t>
            </w:r>
          </w:p>
        </w:tc>
      </w:tr>
      <w:tr w:rsidR="00F32B91" w14:paraId="52188CB6" w14:textId="77777777" w:rsidTr="00CA58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hideMark/>
          </w:tcPr>
          <w:p w14:paraId="484740EF" w14:textId="77777777" w:rsidR="00F32B91" w:rsidRPr="00CA58F1" w:rsidRDefault="00F32B91" w:rsidP="00CA58F1">
            <w:r w:rsidRPr="00CA58F1">
              <w:t>Price Premium Product</w:t>
            </w:r>
          </w:p>
        </w:tc>
        <w:tc>
          <w:tcPr>
            <w:tcW w:w="6513" w:type="dxa"/>
            <w:hideMark/>
          </w:tcPr>
          <w:p w14:paraId="7092FD9E" w14:textId="77777777" w:rsidR="00F32B91" w:rsidRPr="00CA58F1" w:rsidRDefault="00F32B91" w:rsidP="00CA58F1">
            <w:pPr>
              <w:cnfStyle w:val="000000100000" w:firstRow="0" w:lastRow="0" w:firstColumn="0" w:lastColumn="0" w:oddVBand="0" w:evenVBand="0" w:oddHBand="1" w:evenHBand="0" w:firstRowFirstColumn="0" w:firstRowLastColumn="0" w:lastRowFirstColumn="0" w:lastRowLastColumn="0"/>
            </w:pPr>
            <w:r w:rsidRPr="00CA58F1">
              <w:t>A stoma-related product within a subgroup, which has one or more key features for which a price premium has been approved</w:t>
            </w:r>
          </w:p>
        </w:tc>
      </w:tr>
      <w:tr w:rsidR="00F32B91" w14:paraId="3A2B8BBC" w14:textId="77777777" w:rsidTr="00CA58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hideMark/>
          </w:tcPr>
          <w:p w14:paraId="12DAF4C4" w14:textId="77777777" w:rsidR="00F32B91" w:rsidRPr="00CA58F1" w:rsidRDefault="00F32B91" w:rsidP="00CA58F1">
            <w:r w:rsidRPr="00CA58F1">
              <w:t>Product</w:t>
            </w:r>
          </w:p>
        </w:tc>
        <w:tc>
          <w:tcPr>
            <w:tcW w:w="6513" w:type="dxa"/>
            <w:hideMark/>
          </w:tcPr>
          <w:p w14:paraId="74ECC417" w14:textId="77777777" w:rsidR="00F32B91" w:rsidRPr="00CA58F1" w:rsidRDefault="00F32B91" w:rsidP="00CA58F1">
            <w:pPr>
              <w:cnfStyle w:val="000000010000" w:firstRow="0" w:lastRow="0" w:firstColumn="0" w:lastColumn="0" w:oddVBand="0" w:evenVBand="0" w:oddHBand="0" w:evenHBand="1" w:firstRowFirstColumn="0" w:firstRowLastColumn="0" w:lastRowFirstColumn="0" w:lastRowLastColumn="0"/>
            </w:pPr>
            <w:r w:rsidRPr="00CA58F1">
              <w:t>A stoma-related product used in the management of a stoma and/or fistula</w:t>
            </w:r>
          </w:p>
        </w:tc>
      </w:tr>
      <w:tr w:rsidR="00F32B91" w14:paraId="609275B1" w14:textId="77777777" w:rsidTr="00CA58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hideMark/>
          </w:tcPr>
          <w:p w14:paraId="339C7BFF" w14:textId="77777777" w:rsidR="00F32B91" w:rsidRPr="00CA58F1" w:rsidRDefault="00F32B91" w:rsidP="00CA58F1">
            <w:pPr>
              <w:rPr>
                <w:highlight w:val="yellow"/>
              </w:rPr>
            </w:pPr>
            <w:r w:rsidRPr="00CA58F1">
              <w:t>Related feature</w:t>
            </w:r>
          </w:p>
        </w:tc>
        <w:tc>
          <w:tcPr>
            <w:tcW w:w="6513" w:type="dxa"/>
            <w:hideMark/>
          </w:tcPr>
          <w:p w14:paraId="154DB12B" w14:textId="77777777" w:rsidR="00F32B91" w:rsidRPr="00CA58F1" w:rsidRDefault="00F32B91" w:rsidP="00CA58F1">
            <w:pPr>
              <w:cnfStyle w:val="000000100000" w:firstRow="0" w:lastRow="0" w:firstColumn="0" w:lastColumn="0" w:oddVBand="0" w:evenVBand="0" w:oddHBand="1" w:evenHBand="0" w:firstRowFirstColumn="0" w:firstRowLastColumn="0" w:lastRowFirstColumn="0" w:lastRowLastColumn="0"/>
            </w:pPr>
            <w:r w:rsidRPr="00CA58F1">
              <w:t>A feature, as determined by SPAP, which must be part of a benchmark product</w:t>
            </w:r>
          </w:p>
        </w:tc>
      </w:tr>
      <w:tr w:rsidR="00B67380" w14:paraId="1C21F235" w14:textId="77777777" w:rsidTr="00CA58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4DA5CFF" w14:textId="357B769E" w:rsidR="00B67380" w:rsidRPr="00CA58F1" w:rsidRDefault="00B67380" w:rsidP="00CA58F1">
            <w:r w:rsidRPr="00CA58F1">
              <w:t>Restriction</w:t>
            </w:r>
          </w:p>
        </w:tc>
        <w:tc>
          <w:tcPr>
            <w:tcW w:w="6513" w:type="dxa"/>
          </w:tcPr>
          <w:p w14:paraId="282E87F1" w14:textId="518080F0" w:rsidR="00B67380" w:rsidRPr="00CA58F1" w:rsidRDefault="0040105E" w:rsidP="00CA58F1">
            <w:pPr>
              <w:cnfStyle w:val="000000010000" w:firstRow="0" w:lastRow="0" w:firstColumn="0" w:lastColumn="0" w:oddVBand="0" w:evenVBand="0" w:oddHBand="0" w:evenHBand="1" w:firstRowFirstColumn="0" w:firstRowLastColumn="0" w:lastRowFirstColumn="0" w:lastRowLastColumn="0"/>
            </w:pPr>
            <w:r w:rsidRPr="00CA58F1">
              <w:t>A limitation on when a product on the Scheme can be used, included</w:t>
            </w:r>
            <w:r w:rsidR="00B67380" w:rsidRPr="00CA58F1">
              <w:t xml:space="preserve"> as part of the product description on the SAS Schedule</w:t>
            </w:r>
          </w:p>
        </w:tc>
      </w:tr>
      <w:tr w:rsidR="00F32B91" w14:paraId="771707E5" w14:textId="77777777" w:rsidTr="00CA58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hideMark/>
          </w:tcPr>
          <w:p w14:paraId="6DB9F48B" w14:textId="77777777" w:rsidR="00F32B91" w:rsidRPr="00CA58F1" w:rsidRDefault="00F32B91" w:rsidP="00CA58F1">
            <w:r w:rsidRPr="00CA58F1">
              <w:t>SAS</w:t>
            </w:r>
          </w:p>
        </w:tc>
        <w:tc>
          <w:tcPr>
            <w:tcW w:w="6513" w:type="dxa"/>
            <w:hideMark/>
          </w:tcPr>
          <w:p w14:paraId="11E77242" w14:textId="77777777" w:rsidR="00F32B91" w:rsidRPr="00CA58F1" w:rsidRDefault="00F32B91" w:rsidP="00CA58F1">
            <w:pPr>
              <w:cnfStyle w:val="000000100000" w:firstRow="0" w:lastRow="0" w:firstColumn="0" w:lastColumn="0" w:oddVBand="0" w:evenVBand="0" w:oddHBand="1" w:evenHBand="0" w:firstRowFirstColumn="0" w:firstRowLastColumn="0" w:lastRowFirstColumn="0" w:lastRowLastColumn="0"/>
            </w:pPr>
            <w:r w:rsidRPr="00CA58F1">
              <w:t>Stoma Appliance Scheme</w:t>
            </w:r>
          </w:p>
        </w:tc>
      </w:tr>
      <w:tr w:rsidR="00F32B91" w14:paraId="6101D44D" w14:textId="77777777" w:rsidTr="00CA58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hideMark/>
          </w:tcPr>
          <w:p w14:paraId="4996C5B1" w14:textId="77777777" w:rsidR="00F32B91" w:rsidRPr="00CA58F1" w:rsidRDefault="00F32B91" w:rsidP="00CA58F1">
            <w:r w:rsidRPr="00CA58F1">
              <w:t>SAS Code</w:t>
            </w:r>
          </w:p>
        </w:tc>
        <w:tc>
          <w:tcPr>
            <w:tcW w:w="6513" w:type="dxa"/>
            <w:hideMark/>
          </w:tcPr>
          <w:p w14:paraId="382AE78D" w14:textId="77777777" w:rsidR="00F32B91" w:rsidRPr="00CA58F1" w:rsidRDefault="00F32B91" w:rsidP="00CA58F1">
            <w:pPr>
              <w:cnfStyle w:val="000000010000" w:firstRow="0" w:lastRow="0" w:firstColumn="0" w:lastColumn="0" w:oddVBand="0" w:evenVBand="0" w:oddHBand="0" w:evenHBand="1" w:firstRowFirstColumn="0" w:firstRowLastColumn="0" w:lastRowFirstColumn="0" w:lastRowLastColumn="0"/>
            </w:pPr>
            <w:r w:rsidRPr="00CA58F1">
              <w:t>The 5- or 6-digit alphanumerical code given to stoma-related product when listed on the SAS Schedule which is used to identify the product for Services Australia for Medicare claiming purposes. The SAS Code is also referred to as the PBS item code.</w:t>
            </w:r>
          </w:p>
        </w:tc>
      </w:tr>
      <w:tr w:rsidR="00F32B91" w14:paraId="087CF9DC" w14:textId="77777777" w:rsidTr="00CA58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hideMark/>
          </w:tcPr>
          <w:p w14:paraId="1E3A8423" w14:textId="77777777" w:rsidR="00F32B91" w:rsidRPr="00CA58F1" w:rsidRDefault="00F32B91" w:rsidP="00CA58F1">
            <w:r w:rsidRPr="00CA58F1">
              <w:t>SAS Schedule</w:t>
            </w:r>
          </w:p>
        </w:tc>
        <w:tc>
          <w:tcPr>
            <w:tcW w:w="6513" w:type="dxa"/>
            <w:hideMark/>
          </w:tcPr>
          <w:p w14:paraId="45EBF759" w14:textId="77777777" w:rsidR="00F32B91" w:rsidRPr="00CA58F1" w:rsidRDefault="00F32B91" w:rsidP="00CA58F1">
            <w:pPr>
              <w:cnfStyle w:val="000000100000" w:firstRow="0" w:lastRow="0" w:firstColumn="0" w:lastColumn="0" w:oddVBand="0" w:evenVBand="0" w:oddHBand="1" w:evenHBand="0" w:firstRowFirstColumn="0" w:firstRowLastColumn="0" w:lastRowFirstColumn="0" w:lastRowLastColumn="0"/>
            </w:pPr>
            <w:r w:rsidRPr="00CA58F1">
              <w:t xml:space="preserve">The list of stoma-related products which can be accessed under the Scheme and their associated SAS codes, sponsor codes, product descriptions, </w:t>
            </w:r>
            <w:proofErr w:type="gramStart"/>
            <w:r w:rsidRPr="00CA58F1">
              <w:t>prices</w:t>
            </w:r>
            <w:proofErr w:type="gramEnd"/>
            <w:r w:rsidRPr="00CA58F1">
              <w:t xml:space="preserve"> and maximum quantities. The SAS Schedule also specifies whether a stoma-related product is a benchmark product or a price premium product</w:t>
            </w:r>
          </w:p>
        </w:tc>
      </w:tr>
      <w:tr w:rsidR="00F32B91" w14:paraId="04099B35" w14:textId="77777777" w:rsidTr="00CA58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hideMark/>
          </w:tcPr>
          <w:p w14:paraId="3D8A2F4F" w14:textId="77777777" w:rsidR="00F32B91" w:rsidRPr="00CA58F1" w:rsidRDefault="00F32B91" w:rsidP="00CA58F1">
            <w:r w:rsidRPr="00CA58F1">
              <w:t>Scheme</w:t>
            </w:r>
          </w:p>
        </w:tc>
        <w:tc>
          <w:tcPr>
            <w:tcW w:w="6513" w:type="dxa"/>
            <w:hideMark/>
          </w:tcPr>
          <w:p w14:paraId="7945C0FD" w14:textId="77777777" w:rsidR="00F32B91" w:rsidRPr="00CA58F1" w:rsidRDefault="00F32B91" w:rsidP="00CA58F1">
            <w:pPr>
              <w:cnfStyle w:val="000000010000" w:firstRow="0" w:lastRow="0" w:firstColumn="0" w:lastColumn="0" w:oddVBand="0" w:evenVBand="0" w:oddHBand="0" w:evenHBand="1" w:firstRowFirstColumn="0" w:firstRowLastColumn="0" w:lastRowFirstColumn="0" w:lastRowLastColumn="0"/>
            </w:pPr>
            <w:r w:rsidRPr="00CA58F1">
              <w:t>Stoma Appliance Scheme</w:t>
            </w:r>
          </w:p>
        </w:tc>
      </w:tr>
      <w:tr w:rsidR="00F32B91" w14:paraId="78D8DDF6" w14:textId="77777777" w:rsidTr="00CA58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hideMark/>
          </w:tcPr>
          <w:p w14:paraId="7F93E5F0" w14:textId="77777777" w:rsidR="00F32B91" w:rsidRPr="00CA58F1" w:rsidRDefault="00F32B91" w:rsidP="00CA58F1">
            <w:r w:rsidRPr="00CA58F1">
              <w:t xml:space="preserve">Services Australia </w:t>
            </w:r>
          </w:p>
        </w:tc>
        <w:tc>
          <w:tcPr>
            <w:tcW w:w="6513" w:type="dxa"/>
            <w:hideMark/>
          </w:tcPr>
          <w:p w14:paraId="67E93666" w14:textId="77777777" w:rsidR="00F32B91" w:rsidRPr="00CA58F1" w:rsidRDefault="00F32B91" w:rsidP="00CA58F1">
            <w:pPr>
              <w:cnfStyle w:val="000000100000" w:firstRow="0" w:lastRow="0" w:firstColumn="0" w:lastColumn="0" w:oddVBand="0" w:evenVBand="0" w:oddHBand="1" w:evenHBand="0" w:firstRowFirstColumn="0" w:firstRowLastColumn="0" w:lastRowFirstColumn="0" w:lastRowLastColumn="0"/>
            </w:pPr>
            <w:r w:rsidRPr="00CA58F1">
              <w:t xml:space="preserve">Services Australia </w:t>
            </w:r>
          </w:p>
        </w:tc>
      </w:tr>
      <w:tr w:rsidR="00F32B91" w14:paraId="418A367D" w14:textId="77777777" w:rsidTr="00CA58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hideMark/>
          </w:tcPr>
          <w:p w14:paraId="32C830B0" w14:textId="77777777" w:rsidR="00F32B91" w:rsidRPr="00CA58F1" w:rsidRDefault="00F32B91" w:rsidP="00CA58F1">
            <w:r w:rsidRPr="00CA58F1">
              <w:t>SPAP</w:t>
            </w:r>
          </w:p>
        </w:tc>
        <w:tc>
          <w:tcPr>
            <w:tcW w:w="6513" w:type="dxa"/>
            <w:hideMark/>
          </w:tcPr>
          <w:p w14:paraId="45008F67" w14:textId="77777777" w:rsidR="00F32B91" w:rsidRPr="00CA58F1" w:rsidRDefault="00F32B91" w:rsidP="00CA58F1">
            <w:pPr>
              <w:cnfStyle w:val="000000010000" w:firstRow="0" w:lastRow="0" w:firstColumn="0" w:lastColumn="0" w:oddVBand="0" w:evenVBand="0" w:oddHBand="0" w:evenHBand="1" w:firstRowFirstColumn="0" w:firstRowLastColumn="0" w:lastRowFirstColumn="0" w:lastRowLastColumn="0"/>
            </w:pPr>
            <w:r w:rsidRPr="00CA58F1">
              <w:t>Stoma Product Assessment Panel</w:t>
            </w:r>
          </w:p>
        </w:tc>
      </w:tr>
      <w:tr w:rsidR="00F32B91" w14:paraId="6165D946" w14:textId="77777777" w:rsidTr="00CA58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hideMark/>
          </w:tcPr>
          <w:p w14:paraId="6E592B9B" w14:textId="77777777" w:rsidR="00F32B91" w:rsidRPr="00CA58F1" w:rsidRDefault="00F32B91" w:rsidP="00CA58F1">
            <w:r w:rsidRPr="00CA58F1">
              <w:t>Sponsor</w:t>
            </w:r>
          </w:p>
        </w:tc>
        <w:tc>
          <w:tcPr>
            <w:tcW w:w="6513" w:type="dxa"/>
            <w:hideMark/>
          </w:tcPr>
          <w:p w14:paraId="6DEABD1C" w14:textId="77777777" w:rsidR="00F32B91" w:rsidRPr="00CA58F1" w:rsidRDefault="00F32B91" w:rsidP="00CA58F1">
            <w:pPr>
              <w:cnfStyle w:val="000000100000" w:firstRow="0" w:lastRow="0" w:firstColumn="0" w:lastColumn="0" w:oddVBand="0" w:evenVBand="0" w:oddHBand="1" w:evenHBand="0" w:firstRowFirstColumn="0" w:firstRowLastColumn="0" w:lastRowFirstColumn="0" w:lastRowLastColumn="0"/>
            </w:pPr>
            <w:r w:rsidRPr="00CA58F1">
              <w:t xml:space="preserve">The manufacturer or distributor of stoma-related products in Australia which are listed or may be listed on the SAS Schedule </w:t>
            </w:r>
          </w:p>
        </w:tc>
      </w:tr>
      <w:tr w:rsidR="00F32B91" w14:paraId="329B28B1" w14:textId="77777777" w:rsidTr="00CA58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hideMark/>
          </w:tcPr>
          <w:p w14:paraId="1B4D473F" w14:textId="77777777" w:rsidR="00F32B91" w:rsidRPr="00CA58F1" w:rsidRDefault="00F32B91" w:rsidP="00CA58F1">
            <w:r w:rsidRPr="00CA58F1">
              <w:t>Stoma</w:t>
            </w:r>
          </w:p>
        </w:tc>
        <w:tc>
          <w:tcPr>
            <w:tcW w:w="6513" w:type="dxa"/>
            <w:hideMark/>
          </w:tcPr>
          <w:p w14:paraId="7EB2F62D" w14:textId="5D6863E1" w:rsidR="00F32B91" w:rsidRPr="00CA58F1" w:rsidRDefault="00F32B91" w:rsidP="00CA58F1">
            <w:pPr>
              <w:cnfStyle w:val="000000010000" w:firstRow="0" w:lastRow="0" w:firstColumn="0" w:lastColumn="0" w:oddVBand="0" w:evenVBand="0" w:oddHBand="0" w:evenHBand="1" w:firstRowFirstColumn="0" w:firstRowLastColumn="0" w:lastRowFirstColumn="0" w:lastRowLastColumn="0"/>
            </w:pPr>
            <w:r w:rsidRPr="00CA58F1">
              <w:t>For the purposes of the Scheme, a stoma is a temporary or permanent artificial body opening (created surgically or otherwise, including a fistula that originates from the urinary or gastrointestinal trac</w:t>
            </w:r>
            <w:r w:rsidR="009467BF" w:rsidRPr="00CA58F1">
              <w:t>t</w:t>
            </w:r>
            <w:r w:rsidRPr="00CA58F1">
              <w:t xml:space="preserve">) which facilitates the removal of urine and/or faeces from the body where the person does not have normal bowel or bladder functions </w:t>
            </w:r>
          </w:p>
        </w:tc>
      </w:tr>
      <w:tr w:rsidR="00F32B91" w14:paraId="2A4B1D18" w14:textId="77777777" w:rsidTr="00CA58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hideMark/>
          </w:tcPr>
          <w:p w14:paraId="0574CA06" w14:textId="77777777" w:rsidR="00F32B91" w:rsidRPr="00CA58F1" w:rsidRDefault="00F32B91" w:rsidP="00CA58F1">
            <w:r w:rsidRPr="00CA58F1">
              <w:lastRenderedPageBreak/>
              <w:t>Stoma-related product</w:t>
            </w:r>
          </w:p>
        </w:tc>
        <w:tc>
          <w:tcPr>
            <w:tcW w:w="6513" w:type="dxa"/>
            <w:hideMark/>
          </w:tcPr>
          <w:p w14:paraId="6C76F2BD" w14:textId="77777777" w:rsidR="00F32B91" w:rsidRPr="00CA58F1" w:rsidRDefault="00F32B91" w:rsidP="00CA58F1">
            <w:pPr>
              <w:cnfStyle w:val="000000100000" w:firstRow="0" w:lastRow="0" w:firstColumn="0" w:lastColumn="0" w:oddVBand="0" w:evenVBand="0" w:oddHBand="1" w:evenHBand="0" w:firstRowFirstColumn="0" w:firstRowLastColumn="0" w:lastRowFirstColumn="0" w:lastRowLastColumn="0"/>
            </w:pPr>
            <w:r w:rsidRPr="00CA58F1">
              <w:t xml:space="preserve">A therapeutic device, appliance, </w:t>
            </w:r>
            <w:proofErr w:type="gramStart"/>
            <w:r w:rsidRPr="00CA58F1">
              <w:t>aid</w:t>
            </w:r>
            <w:proofErr w:type="gramEnd"/>
            <w:r w:rsidRPr="00CA58F1">
              <w:t xml:space="preserve"> or product which is used in the management of a stoma or fistula.</w:t>
            </w:r>
          </w:p>
        </w:tc>
      </w:tr>
      <w:tr w:rsidR="00F32B91" w14:paraId="6F3AA7D5" w14:textId="77777777" w:rsidTr="00CA58F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hideMark/>
          </w:tcPr>
          <w:p w14:paraId="1EA7F2DE" w14:textId="77777777" w:rsidR="00F32B91" w:rsidRPr="00CA58F1" w:rsidRDefault="00F32B91" w:rsidP="00CA58F1">
            <w:r w:rsidRPr="00CA58F1">
              <w:t>Subgroup</w:t>
            </w:r>
          </w:p>
        </w:tc>
        <w:tc>
          <w:tcPr>
            <w:tcW w:w="6513" w:type="dxa"/>
            <w:hideMark/>
          </w:tcPr>
          <w:p w14:paraId="2C1CFDA0" w14:textId="77777777" w:rsidR="00F32B91" w:rsidRPr="00CA58F1" w:rsidRDefault="00F32B91" w:rsidP="00CA58F1">
            <w:pPr>
              <w:cnfStyle w:val="000000010000" w:firstRow="0" w:lastRow="0" w:firstColumn="0" w:lastColumn="0" w:oddVBand="0" w:evenVBand="0" w:oddHBand="0" w:evenHBand="1" w:firstRowFirstColumn="0" w:firstRowLastColumn="0" w:lastRowFirstColumn="0" w:lastRowLastColumn="0"/>
            </w:pPr>
            <w:r w:rsidRPr="00CA58F1">
              <w:t>A collection of stoma-related products with similar key features which form part of a group in the SAS Schedule</w:t>
            </w:r>
          </w:p>
        </w:tc>
      </w:tr>
      <w:tr w:rsidR="00F32B91" w14:paraId="17788B3F" w14:textId="77777777" w:rsidTr="00CA58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hideMark/>
          </w:tcPr>
          <w:p w14:paraId="384585DF" w14:textId="77777777" w:rsidR="00F32B91" w:rsidRPr="00CA58F1" w:rsidRDefault="00F32B91" w:rsidP="00CA58F1">
            <w:r w:rsidRPr="00CA58F1">
              <w:t>TGA</w:t>
            </w:r>
          </w:p>
        </w:tc>
        <w:tc>
          <w:tcPr>
            <w:tcW w:w="6513" w:type="dxa"/>
            <w:hideMark/>
          </w:tcPr>
          <w:p w14:paraId="5E2DA0A4" w14:textId="77777777" w:rsidR="00F32B91" w:rsidRPr="00CA58F1" w:rsidRDefault="00F32B91" w:rsidP="00CA58F1">
            <w:pPr>
              <w:cnfStyle w:val="000000100000" w:firstRow="0" w:lastRow="0" w:firstColumn="0" w:lastColumn="0" w:oddVBand="0" w:evenVBand="0" w:oddHBand="1" w:evenHBand="0" w:firstRowFirstColumn="0" w:firstRowLastColumn="0" w:lastRowFirstColumn="0" w:lastRowLastColumn="0"/>
            </w:pPr>
            <w:r w:rsidRPr="00CA58F1">
              <w:t>Therapeutic Goods Administration</w:t>
            </w:r>
          </w:p>
        </w:tc>
      </w:tr>
      <w:tr w:rsidR="00F32B91" w14:paraId="2D8F80D0" w14:textId="77777777" w:rsidTr="00CA58F1">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hideMark/>
          </w:tcPr>
          <w:p w14:paraId="0682B74C" w14:textId="77777777" w:rsidR="00F32B91" w:rsidRPr="00CA58F1" w:rsidRDefault="00F32B91" w:rsidP="00CA58F1">
            <w:r w:rsidRPr="00CA58F1">
              <w:t>Variant</w:t>
            </w:r>
          </w:p>
        </w:tc>
        <w:tc>
          <w:tcPr>
            <w:tcW w:w="6513" w:type="dxa"/>
            <w:hideMark/>
          </w:tcPr>
          <w:p w14:paraId="5FBE960E" w14:textId="77777777" w:rsidR="00F32B91" w:rsidRPr="00CA58F1" w:rsidRDefault="00F32B91" w:rsidP="00CA58F1">
            <w:pPr>
              <w:cnfStyle w:val="010000000000" w:firstRow="0" w:lastRow="1" w:firstColumn="0" w:lastColumn="0" w:oddVBand="0" w:evenVBand="0" w:oddHBand="0" w:evenHBand="0" w:firstRowFirstColumn="0" w:firstRowLastColumn="0" w:lastRowFirstColumn="0" w:lastRowLastColumn="0"/>
            </w:pPr>
            <w:r w:rsidRPr="00CA58F1">
              <w:t>A form of a related feature</w:t>
            </w:r>
          </w:p>
        </w:tc>
      </w:tr>
    </w:tbl>
    <w:p w14:paraId="754D6A59" w14:textId="77777777" w:rsidR="00F32B91" w:rsidRDefault="00F32B91" w:rsidP="00CA58F1"/>
    <w:sectPr w:rsidR="00F32B91" w:rsidSect="00A74345">
      <w:headerReference w:type="default" r:id="rId21"/>
      <w:footerReference w:type="default" r:id="rId22"/>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57107" w14:textId="77777777" w:rsidR="00410317" w:rsidRDefault="00410317" w:rsidP="00934368">
      <w:r>
        <w:separator/>
      </w:r>
    </w:p>
    <w:p w14:paraId="77ADFF84" w14:textId="77777777" w:rsidR="00410317" w:rsidRDefault="00410317" w:rsidP="00934368"/>
  </w:endnote>
  <w:endnote w:type="continuationSeparator" w:id="0">
    <w:p w14:paraId="02C5011C" w14:textId="77777777" w:rsidR="00410317" w:rsidRDefault="00410317" w:rsidP="00934368">
      <w:r>
        <w:continuationSeparator/>
      </w:r>
    </w:p>
    <w:p w14:paraId="5AC84D5C" w14:textId="77777777" w:rsidR="00410317" w:rsidRDefault="00410317" w:rsidP="00934368"/>
  </w:endnote>
  <w:endnote w:type="continuationNotice" w:id="1">
    <w:p w14:paraId="0774AC95" w14:textId="77777777" w:rsidR="00410317" w:rsidRDefault="00410317" w:rsidP="009343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B8BA6" w14:textId="75739544" w:rsidR="00B657DD" w:rsidRPr="00751A23" w:rsidRDefault="00B657DD" w:rsidP="00D34E6E">
    <w:pPr>
      <w:pStyle w:val="Footer"/>
      <w:tabs>
        <w:tab w:val="left" w:pos="6946"/>
      </w:tabs>
      <w:jc w:val="left"/>
    </w:pPr>
    <w:r>
      <w:t xml:space="preserve">Stoma Appliance Scheme </w:t>
    </w:r>
    <w:r w:rsidR="000B50C5">
      <w:t>–</w:t>
    </w:r>
    <w:r w:rsidR="00E61E89">
      <w:t xml:space="preserve"> </w:t>
    </w:r>
    <w:r>
      <w:t>Application and Assessment Guidelines</w:t>
    </w:r>
    <w:r w:rsidR="00D34E6E">
      <w:tab/>
    </w:r>
    <w:r w:rsidR="00091295">
      <w:t xml:space="preserve">July </w:t>
    </w:r>
    <w:r>
      <w:t>202</w:t>
    </w:r>
    <w:r w:rsidR="00091295">
      <w:t>3</w:t>
    </w:r>
    <w:sdt>
      <w:sdtPr>
        <w:id w:val="-443848716"/>
        <w:docPartObj>
          <w:docPartGallery w:val="Page Numbers (Bottom of Page)"/>
          <w:docPartUnique/>
        </w:docPartObj>
      </w:sdtPr>
      <w:sdtEndPr>
        <w:rPr>
          <w:noProof/>
        </w:rPr>
      </w:sdtEndPr>
      <w:sdtContent>
        <w:r>
          <w:tab/>
        </w:r>
        <w:r w:rsidRPr="006043C7">
          <w:fldChar w:fldCharType="begin"/>
        </w:r>
        <w:r w:rsidRPr="006043C7">
          <w:instrText xml:space="preserve"> PAGE   \* MERGEFORMAT </w:instrText>
        </w:r>
        <w:r w:rsidRPr="006043C7">
          <w:fldChar w:fldCharType="separate"/>
        </w:r>
        <w:r>
          <w:rPr>
            <w:noProof/>
          </w:rPr>
          <w:t>2</w:t>
        </w:r>
        <w:r w:rsidRPr="006043C7">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4D96C" w14:textId="77777777" w:rsidR="00410317" w:rsidRDefault="00410317" w:rsidP="000D3F1D">
      <w:r>
        <w:separator/>
      </w:r>
    </w:p>
  </w:footnote>
  <w:footnote w:type="continuationSeparator" w:id="0">
    <w:p w14:paraId="70034A8D" w14:textId="77777777" w:rsidR="00410317" w:rsidRDefault="00410317" w:rsidP="00934368">
      <w:r>
        <w:continuationSeparator/>
      </w:r>
    </w:p>
    <w:p w14:paraId="494FE59A" w14:textId="77777777" w:rsidR="00410317" w:rsidRDefault="00410317" w:rsidP="00934368"/>
  </w:footnote>
  <w:footnote w:type="continuationNotice" w:id="1">
    <w:p w14:paraId="360BF5D8" w14:textId="77777777" w:rsidR="00410317" w:rsidRDefault="00410317" w:rsidP="00934368"/>
  </w:footnote>
  <w:footnote w:id="2">
    <w:p w14:paraId="43618EBA" w14:textId="297DC8D5" w:rsidR="00B657DD" w:rsidRDefault="00B657DD">
      <w:pPr>
        <w:pStyle w:val="FootnoteText"/>
      </w:pPr>
      <w:r>
        <w:rPr>
          <w:rStyle w:val="FootnoteReference"/>
        </w:rPr>
        <w:footnoteRef/>
      </w:r>
      <w:r>
        <w:t xml:space="preserve"> </w:t>
      </w:r>
      <w:r w:rsidR="007553E9">
        <w:t>Scheme p</w:t>
      </w:r>
      <w:r>
        <w:t xml:space="preserve">articipants apply to their association for additional supplies – refer to SAS Operational Guidelines for further details  </w:t>
      </w:r>
    </w:p>
  </w:footnote>
  <w:footnote w:id="3">
    <w:p w14:paraId="1756679B" w14:textId="77777777" w:rsidR="00B657DD" w:rsidRDefault="00B657DD" w:rsidP="00BF005E">
      <w:pPr>
        <w:pStyle w:val="FootnoteText"/>
      </w:pPr>
      <w:r>
        <w:rPr>
          <w:rStyle w:val="FootnoteReference"/>
        </w:rPr>
        <w:footnoteRef/>
      </w:r>
      <w:r>
        <w:t xml:space="preserve"> This requirement does not apply for products that are excluded from TGA regulation such as adhesive removers and non-medicated skin cleansers.</w:t>
      </w:r>
    </w:p>
  </w:footnote>
  <w:footnote w:id="4">
    <w:p w14:paraId="37B7DB1F" w14:textId="77777777" w:rsidR="00B657DD" w:rsidRDefault="00B657DD" w:rsidP="00F32B91">
      <w:pPr>
        <w:pStyle w:val="FootnoteText"/>
      </w:pPr>
      <w:r>
        <w:rPr>
          <w:rStyle w:val="FootnoteReference"/>
        </w:rPr>
        <w:footnoteRef/>
      </w:r>
      <w:r>
        <w:t xml:space="preserve"> </w:t>
      </w:r>
      <w:r>
        <w:rPr>
          <w:rFonts w:cs="Arial"/>
        </w:rPr>
        <w:t xml:space="preserve">The NHMRC Evidence Hierarchy is available on NHMRC </w:t>
      </w:r>
      <w:hyperlink r:id="rId1" w:history="1">
        <w:r>
          <w:rPr>
            <w:rStyle w:val="Hyperlink"/>
          </w:rPr>
          <w:t>webpage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3200C" w14:textId="77777777" w:rsidR="00B657DD" w:rsidRDefault="00B657DD" w:rsidP="00934368">
    <w:pPr>
      <w:pStyle w:val="Header"/>
    </w:pPr>
    <w:r>
      <w:rPr>
        <w:noProof/>
        <w:lang w:eastAsia="en-AU"/>
      </w:rPr>
      <w:drawing>
        <wp:anchor distT="0" distB="0" distL="114300" distR="114300" simplePos="0" relativeHeight="251657216" behindDoc="1" locked="0" layoutInCell="1" allowOverlap="1" wp14:anchorId="03B3E95F" wp14:editId="280C9E6E">
          <wp:simplePos x="0" y="0"/>
          <wp:positionH relativeFrom="page">
            <wp:align>center</wp:align>
          </wp:positionH>
          <wp:positionV relativeFrom="page">
            <wp:align>center</wp:align>
          </wp:positionV>
          <wp:extent cx="7559245" cy="10692675"/>
          <wp:effectExtent l="0" t="0" r="0" b="127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245" cy="1069267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3E73F" w14:textId="0A88E5FB" w:rsidR="00B657DD" w:rsidRDefault="00B657DD" w:rsidP="00934368">
    <w:pPr>
      <w:pStyle w:val="Header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BE868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F0474C"/>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8AF44750"/>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25B63C5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3060CE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8"/>
    <w:multiLevelType w:val="singleLevel"/>
    <w:tmpl w:val="829AC3B8"/>
    <w:lvl w:ilvl="0">
      <w:start w:val="1"/>
      <w:numFmt w:val="decimal"/>
      <w:pStyle w:val="ListNumber"/>
      <w:lvlText w:val="%1."/>
      <w:lvlJc w:val="left"/>
      <w:pPr>
        <w:tabs>
          <w:tab w:val="num" w:pos="360"/>
        </w:tabs>
        <w:ind w:left="360" w:hanging="360"/>
      </w:pPr>
    </w:lvl>
  </w:abstractNum>
  <w:abstractNum w:abstractNumId="6" w15:restartNumberingAfterBreak="0">
    <w:nsid w:val="0058519E"/>
    <w:multiLevelType w:val="multilevel"/>
    <w:tmpl w:val="CFEE6FF8"/>
    <w:styleLink w:val="Style3"/>
    <w:lvl w:ilvl="0">
      <w:start w:val="3"/>
      <w:numFmt w:val="decimal"/>
      <w:lvlText w:val="%1."/>
      <w:lvlJc w:val="left"/>
      <w:pPr>
        <w:ind w:left="360" w:hanging="360"/>
      </w:pPr>
    </w:lvl>
    <w:lvl w:ilvl="1">
      <w:start w:val="1"/>
      <w:numFmt w:val="decimal"/>
      <w:lvlRestart w:val="0"/>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4CD50FD"/>
    <w:multiLevelType w:val="hybridMultilevel"/>
    <w:tmpl w:val="29F028EA"/>
    <w:lvl w:ilvl="0" w:tplc="00423EA8">
      <w:start w:val="1"/>
      <w:numFmt w:val="bullet"/>
      <w:pStyle w:val="ListNumber2"/>
      <w:lvlText w:val="-"/>
      <w:lvlJc w:val="left"/>
      <w:pPr>
        <w:ind w:left="644" w:hanging="360"/>
      </w:pPr>
      <w:rPr>
        <w:rFonts w:ascii="Courier New" w:hAnsi="Courier New"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51E0409D"/>
    <w:multiLevelType w:val="hybridMultilevel"/>
    <w:tmpl w:val="97CA9D64"/>
    <w:lvl w:ilvl="0" w:tplc="C5BC5C90">
      <w:start w:val="1"/>
      <w:numFmt w:val="lowerLetter"/>
      <w:pStyle w:val="ListNumber3"/>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0B80C88"/>
    <w:multiLevelType w:val="multilevel"/>
    <w:tmpl w:val="CFEE6FF8"/>
    <w:name w:val="32"/>
    <w:numStyleLink w:val="Style3"/>
  </w:abstractNum>
  <w:abstractNum w:abstractNumId="13"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8"/>
  </w:num>
  <w:num w:numId="2">
    <w:abstractNumId w:val="9"/>
  </w:num>
  <w:num w:numId="3">
    <w:abstractNumId w:val="13"/>
  </w:num>
  <w:num w:numId="4">
    <w:abstractNumId w:val="10"/>
  </w:num>
  <w:num w:numId="5">
    <w:abstractNumId w:val="11"/>
  </w:num>
  <w:num w:numId="6">
    <w:abstractNumId w:val="7"/>
  </w:num>
  <w:num w:numId="7">
    <w:abstractNumId w:val="6"/>
  </w:num>
  <w:num w:numId="8">
    <w:abstractNumId w:val="5"/>
  </w:num>
  <w:num w:numId="9">
    <w:abstractNumId w:val="10"/>
    <w:lvlOverride w:ilvl="0">
      <w:startOverride w:val="1"/>
    </w:lvlOverride>
  </w:num>
  <w:num w:numId="10">
    <w:abstractNumId w:val="10"/>
    <w:lvlOverride w:ilvl="0">
      <w:startOverride w:val="1"/>
    </w:lvlOverride>
  </w:num>
  <w:num w:numId="11">
    <w:abstractNumId w:val="10"/>
    <w:lvlOverride w:ilvl="0">
      <w:startOverride w:val="1"/>
    </w:lvlOverride>
  </w:num>
  <w:num w:numId="12">
    <w:abstractNumId w:val="10"/>
    <w:lvlOverride w:ilvl="0">
      <w:startOverride w:val="1"/>
    </w:lvlOverride>
  </w:num>
  <w:num w:numId="13">
    <w:abstractNumId w:val="10"/>
    <w:lvlOverride w:ilvl="0">
      <w:startOverride w:val="1"/>
    </w:lvlOverride>
  </w:num>
  <w:num w:numId="14">
    <w:abstractNumId w:val="10"/>
    <w:lvlOverride w:ilvl="0">
      <w:startOverride w:val="1"/>
    </w:lvlOverride>
  </w:num>
  <w:num w:numId="15">
    <w:abstractNumId w:val="10"/>
    <w:lvlOverride w:ilvl="0">
      <w:startOverride w:val="1"/>
    </w:lvlOverride>
  </w:num>
  <w:num w:numId="16">
    <w:abstractNumId w:val="10"/>
    <w:lvlOverride w:ilvl="0">
      <w:startOverride w:val="1"/>
    </w:lvlOverride>
  </w:num>
  <w:num w:numId="17">
    <w:abstractNumId w:val="10"/>
    <w:lvlOverride w:ilvl="0">
      <w:startOverride w:val="1"/>
    </w:lvlOverride>
  </w:num>
  <w:num w:numId="18">
    <w:abstractNumId w:val="10"/>
    <w:lvlOverride w:ilvl="0">
      <w:startOverride w:val="1"/>
    </w:lvlOverride>
  </w:num>
  <w:num w:numId="19">
    <w:abstractNumId w:val="1"/>
  </w:num>
  <w:num w:numId="20">
    <w:abstractNumId w:val="0"/>
  </w:num>
  <w:num w:numId="21">
    <w:abstractNumId w:val="4"/>
  </w:num>
  <w:num w:numId="22">
    <w:abstractNumId w:val="3"/>
  </w:num>
  <w:num w:numId="23">
    <w:abstractNumId w:val="2"/>
  </w:num>
  <w:num w:numId="24">
    <w:abstractNumId w:val="5"/>
    <w:lvlOverride w:ilvl="0">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CBA"/>
    <w:rsid w:val="00001F41"/>
    <w:rsid w:val="00003743"/>
    <w:rsid w:val="000047B4"/>
    <w:rsid w:val="00005712"/>
    <w:rsid w:val="0000730A"/>
    <w:rsid w:val="00007FD8"/>
    <w:rsid w:val="000117F8"/>
    <w:rsid w:val="00014583"/>
    <w:rsid w:val="00026139"/>
    <w:rsid w:val="00027071"/>
    <w:rsid w:val="00027601"/>
    <w:rsid w:val="00033321"/>
    <w:rsid w:val="000338E5"/>
    <w:rsid w:val="00033ECC"/>
    <w:rsid w:val="0003422F"/>
    <w:rsid w:val="0004036F"/>
    <w:rsid w:val="00046FF0"/>
    <w:rsid w:val="00050176"/>
    <w:rsid w:val="00062B65"/>
    <w:rsid w:val="00064112"/>
    <w:rsid w:val="00067456"/>
    <w:rsid w:val="00071506"/>
    <w:rsid w:val="0007154F"/>
    <w:rsid w:val="00081AB1"/>
    <w:rsid w:val="00090316"/>
    <w:rsid w:val="00091295"/>
    <w:rsid w:val="00093981"/>
    <w:rsid w:val="00093CD9"/>
    <w:rsid w:val="000B067A"/>
    <w:rsid w:val="000B1540"/>
    <w:rsid w:val="000B33FD"/>
    <w:rsid w:val="000B4ABA"/>
    <w:rsid w:val="000B50C5"/>
    <w:rsid w:val="000C4B16"/>
    <w:rsid w:val="000C50C3"/>
    <w:rsid w:val="000D21F6"/>
    <w:rsid w:val="000D3F1D"/>
    <w:rsid w:val="000D42C3"/>
    <w:rsid w:val="000D4500"/>
    <w:rsid w:val="000D7AEA"/>
    <w:rsid w:val="000E01A9"/>
    <w:rsid w:val="000E088E"/>
    <w:rsid w:val="000E2C66"/>
    <w:rsid w:val="000E54F5"/>
    <w:rsid w:val="000E6E7D"/>
    <w:rsid w:val="000F123C"/>
    <w:rsid w:val="000F2FED"/>
    <w:rsid w:val="000F6458"/>
    <w:rsid w:val="0010616D"/>
    <w:rsid w:val="00110478"/>
    <w:rsid w:val="0011711B"/>
    <w:rsid w:val="00117F8A"/>
    <w:rsid w:val="00121B9B"/>
    <w:rsid w:val="00122ADC"/>
    <w:rsid w:val="00127E40"/>
    <w:rsid w:val="00130F59"/>
    <w:rsid w:val="00133A4C"/>
    <w:rsid w:val="00133EC0"/>
    <w:rsid w:val="00140EEE"/>
    <w:rsid w:val="00141CE5"/>
    <w:rsid w:val="0014266E"/>
    <w:rsid w:val="00143955"/>
    <w:rsid w:val="00144908"/>
    <w:rsid w:val="001571C7"/>
    <w:rsid w:val="00161094"/>
    <w:rsid w:val="00172A55"/>
    <w:rsid w:val="001742AA"/>
    <w:rsid w:val="001758CD"/>
    <w:rsid w:val="0017665C"/>
    <w:rsid w:val="00177AD2"/>
    <w:rsid w:val="001815A8"/>
    <w:rsid w:val="001840FA"/>
    <w:rsid w:val="001847CD"/>
    <w:rsid w:val="00190079"/>
    <w:rsid w:val="0019622E"/>
    <w:rsid w:val="001966A7"/>
    <w:rsid w:val="001A4627"/>
    <w:rsid w:val="001A4979"/>
    <w:rsid w:val="001A5520"/>
    <w:rsid w:val="001B15D3"/>
    <w:rsid w:val="001B3443"/>
    <w:rsid w:val="001B7E14"/>
    <w:rsid w:val="001C0326"/>
    <w:rsid w:val="001C192F"/>
    <w:rsid w:val="001C3C42"/>
    <w:rsid w:val="001C6DBC"/>
    <w:rsid w:val="001D7869"/>
    <w:rsid w:val="001E1AF6"/>
    <w:rsid w:val="001E7835"/>
    <w:rsid w:val="001F274B"/>
    <w:rsid w:val="001F2F78"/>
    <w:rsid w:val="001F67B1"/>
    <w:rsid w:val="002026CD"/>
    <w:rsid w:val="002033FC"/>
    <w:rsid w:val="002044BB"/>
    <w:rsid w:val="00210B09"/>
    <w:rsid w:val="00210C9E"/>
    <w:rsid w:val="00211840"/>
    <w:rsid w:val="00220E5F"/>
    <w:rsid w:val="002212B5"/>
    <w:rsid w:val="00226668"/>
    <w:rsid w:val="00233809"/>
    <w:rsid w:val="00240046"/>
    <w:rsid w:val="0024797F"/>
    <w:rsid w:val="00250F7C"/>
    <w:rsid w:val="0025119E"/>
    <w:rsid w:val="00251269"/>
    <w:rsid w:val="002535C0"/>
    <w:rsid w:val="002579FE"/>
    <w:rsid w:val="0026311C"/>
    <w:rsid w:val="0026668C"/>
    <w:rsid w:val="00266AC1"/>
    <w:rsid w:val="0027178C"/>
    <w:rsid w:val="002719FA"/>
    <w:rsid w:val="00272292"/>
    <w:rsid w:val="00272668"/>
    <w:rsid w:val="0027330B"/>
    <w:rsid w:val="00275A50"/>
    <w:rsid w:val="002803AD"/>
    <w:rsid w:val="00282052"/>
    <w:rsid w:val="00284DE3"/>
    <w:rsid w:val="0028519E"/>
    <w:rsid w:val="002856A5"/>
    <w:rsid w:val="002872ED"/>
    <w:rsid w:val="002905C2"/>
    <w:rsid w:val="00295AF2"/>
    <w:rsid w:val="00295C91"/>
    <w:rsid w:val="00297151"/>
    <w:rsid w:val="002A0910"/>
    <w:rsid w:val="002B20E6"/>
    <w:rsid w:val="002B42A3"/>
    <w:rsid w:val="002C0CDD"/>
    <w:rsid w:val="002C40C8"/>
    <w:rsid w:val="002C4923"/>
    <w:rsid w:val="002D6A91"/>
    <w:rsid w:val="002E0906"/>
    <w:rsid w:val="002E1A1D"/>
    <w:rsid w:val="002E4081"/>
    <w:rsid w:val="002E559D"/>
    <w:rsid w:val="002E5B78"/>
    <w:rsid w:val="002F3AE3"/>
    <w:rsid w:val="00300F63"/>
    <w:rsid w:val="00302C7C"/>
    <w:rsid w:val="0030464B"/>
    <w:rsid w:val="0030786C"/>
    <w:rsid w:val="003233DE"/>
    <w:rsid w:val="0032466B"/>
    <w:rsid w:val="00327B44"/>
    <w:rsid w:val="003330EB"/>
    <w:rsid w:val="003339CE"/>
    <w:rsid w:val="00336605"/>
    <w:rsid w:val="003415FD"/>
    <w:rsid w:val="003429F0"/>
    <w:rsid w:val="0035097A"/>
    <w:rsid w:val="003532FF"/>
    <w:rsid w:val="003540A4"/>
    <w:rsid w:val="003556CB"/>
    <w:rsid w:val="00360E4E"/>
    <w:rsid w:val="003666CC"/>
    <w:rsid w:val="00370AAA"/>
    <w:rsid w:val="00375C75"/>
    <w:rsid w:val="00375F77"/>
    <w:rsid w:val="00377A78"/>
    <w:rsid w:val="00381BBE"/>
    <w:rsid w:val="00382903"/>
    <w:rsid w:val="003846FF"/>
    <w:rsid w:val="00385AD4"/>
    <w:rsid w:val="00387924"/>
    <w:rsid w:val="0039384D"/>
    <w:rsid w:val="00395C23"/>
    <w:rsid w:val="003A2E4F"/>
    <w:rsid w:val="003A4438"/>
    <w:rsid w:val="003A5013"/>
    <w:rsid w:val="003A5078"/>
    <w:rsid w:val="003A62DD"/>
    <w:rsid w:val="003A775A"/>
    <w:rsid w:val="003B0DAB"/>
    <w:rsid w:val="003B213A"/>
    <w:rsid w:val="003B32F1"/>
    <w:rsid w:val="003B43AD"/>
    <w:rsid w:val="003B7F7E"/>
    <w:rsid w:val="003C0FEC"/>
    <w:rsid w:val="003C15B8"/>
    <w:rsid w:val="003C2AC8"/>
    <w:rsid w:val="003C46A6"/>
    <w:rsid w:val="003D17F9"/>
    <w:rsid w:val="003D2D88"/>
    <w:rsid w:val="003D41EA"/>
    <w:rsid w:val="003D4850"/>
    <w:rsid w:val="003D535A"/>
    <w:rsid w:val="003D7369"/>
    <w:rsid w:val="003E1410"/>
    <w:rsid w:val="003E3264"/>
    <w:rsid w:val="003E5265"/>
    <w:rsid w:val="003F0955"/>
    <w:rsid w:val="003F4BF0"/>
    <w:rsid w:val="003F6FE1"/>
    <w:rsid w:val="00400F00"/>
    <w:rsid w:val="0040105E"/>
    <w:rsid w:val="00404F8B"/>
    <w:rsid w:val="00405256"/>
    <w:rsid w:val="00410031"/>
    <w:rsid w:val="00410317"/>
    <w:rsid w:val="004115A2"/>
    <w:rsid w:val="00415C81"/>
    <w:rsid w:val="00416731"/>
    <w:rsid w:val="00422127"/>
    <w:rsid w:val="00422743"/>
    <w:rsid w:val="00432378"/>
    <w:rsid w:val="00440D65"/>
    <w:rsid w:val="004435E6"/>
    <w:rsid w:val="00447E31"/>
    <w:rsid w:val="00453923"/>
    <w:rsid w:val="00454B9B"/>
    <w:rsid w:val="00457858"/>
    <w:rsid w:val="00460B0B"/>
    <w:rsid w:val="00461023"/>
    <w:rsid w:val="004628D1"/>
    <w:rsid w:val="00462FAC"/>
    <w:rsid w:val="00464631"/>
    <w:rsid w:val="00464B79"/>
    <w:rsid w:val="00466815"/>
    <w:rsid w:val="00467AF2"/>
    <w:rsid w:val="00467BBF"/>
    <w:rsid w:val="004755B9"/>
    <w:rsid w:val="00475680"/>
    <w:rsid w:val="0048253E"/>
    <w:rsid w:val="004867E2"/>
    <w:rsid w:val="004929A9"/>
    <w:rsid w:val="004C2FEC"/>
    <w:rsid w:val="004C6BCF"/>
    <w:rsid w:val="004D093F"/>
    <w:rsid w:val="004D3F05"/>
    <w:rsid w:val="004D58BF"/>
    <w:rsid w:val="004D5D5E"/>
    <w:rsid w:val="004E1668"/>
    <w:rsid w:val="004E4335"/>
    <w:rsid w:val="004E5ACF"/>
    <w:rsid w:val="004F13EE"/>
    <w:rsid w:val="004F2022"/>
    <w:rsid w:val="004F7C05"/>
    <w:rsid w:val="00501C94"/>
    <w:rsid w:val="00502319"/>
    <w:rsid w:val="00506432"/>
    <w:rsid w:val="005064F1"/>
    <w:rsid w:val="0051242B"/>
    <w:rsid w:val="0052051D"/>
    <w:rsid w:val="00545EE6"/>
    <w:rsid w:val="005550E7"/>
    <w:rsid w:val="005564FB"/>
    <w:rsid w:val="005572C7"/>
    <w:rsid w:val="005650ED"/>
    <w:rsid w:val="0057570B"/>
    <w:rsid w:val="00575754"/>
    <w:rsid w:val="00591E20"/>
    <w:rsid w:val="00595408"/>
    <w:rsid w:val="00595E84"/>
    <w:rsid w:val="00597D79"/>
    <w:rsid w:val="005A0C59"/>
    <w:rsid w:val="005A48EB"/>
    <w:rsid w:val="005A6CFB"/>
    <w:rsid w:val="005C2081"/>
    <w:rsid w:val="005C50C7"/>
    <w:rsid w:val="005C5AEB"/>
    <w:rsid w:val="005D7933"/>
    <w:rsid w:val="005E0A3F"/>
    <w:rsid w:val="005E6883"/>
    <w:rsid w:val="005E772F"/>
    <w:rsid w:val="005F4ECA"/>
    <w:rsid w:val="005F62A5"/>
    <w:rsid w:val="006041BE"/>
    <w:rsid w:val="006043C7"/>
    <w:rsid w:val="00621FF3"/>
    <w:rsid w:val="00624B52"/>
    <w:rsid w:val="006313FA"/>
    <w:rsid w:val="00631DF4"/>
    <w:rsid w:val="00634175"/>
    <w:rsid w:val="00634625"/>
    <w:rsid w:val="006408AC"/>
    <w:rsid w:val="006511B6"/>
    <w:rsid w:val="00652742"/>
    <w:rsid w:val="00657FF8"/>
    <w:rsid w:val="00670D99"/>
    <w:rsid w:val="00670E2B"/>
    <w:rsid w:val="0067137A"/>
    <w:rsid w:val="00672743"/>
    <w:rsid w:val="006734BB"/>
    <w:rsid w:val="00681A34"/>
    <w:rsid w:val="006821EB"/>
    <w:rsid w:val="006B2286"/>
    <w:rsid w:val="006B56BB"/>
    <w:rsid w:val="006C77A8"/>
    <w:rsid w:val="006D4098"/>
    <w:rsid w:val="006D7681"/>
    <w:rsid w:val="006D7B2E"/>
    <w:rsid w:val="006E02EA"/>
    <w:rsid w:val="006E0968"/>
    <w:rsid w:val="006E2AF6"/>
    <w:rsid w:val="006E5B69"/>
    <w:rsid w:val="006F0469"/>
    <w:rsid w:val="006F2D41"/>
    <w:rsid w:val="006F7353"/>
    <w:rsid w:val="00701275"/>
    <w:rsid w:val="00707F56"/>
    <w:rsid w:val="00713558"/>
    <w:rsid w:val="00720D08"/>
    <w:rsid w:val="007263B9"/>
    <w:rsid w:val="007334F8"/>
    <w:rsid w:val="007339CD"/>
    <w:rsid w:val="007359D8"/>
    <w:rsid w:val="007362D4"/>
    <w:rsid w:val="00747729"/>
    <w:rsid w:val="00751A23"/>
    <w:rsid w:val="007553E9"/>
    <w:rsid w:val="00761EDC"/>
    <w:rsid w:val="0076672A"/>
    <w:rsid w:val="00775E45"/>
    <w:rsid w:val="00776E74"/>
    <w:rsid w:val="00781986"/>
    <w:rsid w:val="00785169"/>
    <w:rsid w:val="007954AB"/>
    <w:rsid w:val="007A14C5"/>
    <w:rsid w:val="007A3E38"/>
    <w:rsid w:val="007A4A10"/>
    <w:rsid w:val="007B1760"/>
    <w:rsid w:val="007B3D03"/>
    <w:rsid w:val="007B7A08"/>
    <w:rsid w:val="007C0FD9"/>
    <w:rsid w:val="007C6D9C"/>
    <w:rsid w:val="007C7DDB"/>
    <w:rsid w:val="007D2CC7"/>
    <w:rsid w:val="007D4650"/>
    <w:rsid w:val="007D5066"/>
    <w:rsid w:val="007D673D"/>
    <w:rsid w:val="007F2220"/>
    <w:rsid w:val="007F25AB"/>
    <w:rsid w:val="007F4B3E"/>
    <w:rsid w:val="007F588A"/>
    <w:rsid w:val="0080013E"/>
    <w:rsid w:val="008127AF"/>
    <w:rsid w:val="00812B46"/>
    <w:rsid w:val="00815343"/>
    <w:rsid w:val="00815700"/>
    <w:rsid w:val="008159CC"/>
    <w:rsid w:val="00816ED9"/>
    <w:rsid w:val="00817B70"/>
    <w:rsid w:val="008264EB"/>
    <w:rsid w:val="00826B8F"/>
    <w:rsid w:val="00831E8A"/>
    <w:rsid w:val="00835C76"/>
    <w:rsid w:val="00843049"/>
    <w:rsid w:val="0084481B"/>
    <w:rsid w:val="0085209B"/>
    <w:rsid w:val="00856B66"/>
    <w:rsid w:val="00861A5F"/>
    <w:rsid w:val="008644AD"/>
    <w:rsid w:val="00865735"/>
    <w:rsid w:val="00865DDB"/>
    <w:rsid w:val="00867538"/>
    <w:rsid w:val="00873D90"/>
    <w:rsid w:val="00873FC8"/>
    <w:rsid w:val="008802BB"/>
    <w:rsid w:val="0088469C"/>
    <w:rsid w:val="00884C63"/>
    <w:rsid w:val="00885908"/>
    <w:rsid w:val="008864B7"/>
    <w:rsid w:val="0089677E"/>
    <w:rsid w:val="00896E8C"/>
    <w:rsid w:val="008A7438"/>
    <w:rsid w:val="008A7BC6"/>
    <w:rsid w:val="008B1334"/>
    <w:rsid w:val="008C0278"/>
    <w:rsid w:val="008C24E9"/>
    <w:rsid w:val="008D0533"/>
    <w:rsid w:val="008D42CB"/>
    <w:rsid w:val="008D48C9"/>
    <w:rsid w:val="008D5B79"/>
    <w:rsid w:val="008D6381"/>
    <w:rsid w:val="008E0C77"/>
    <w:rsid w:val="008E625F"/>
    <w:rsid w:val="008E657E"/>
    <w:rsid w:val="008F264D"/>
    <w:rsid w:val="0090054A"/>
    <w:rsid w:val="00906B1B"/>
    <w:rsid w:val="009074E1"/>
    <w:rsid w:val="009112F7"/>
    <w:rsid w:val="009122AF"/>
    <w:rsid w:val="009127BC"/>
    <w:rsid w:val="00912D54"/>
    <w:rsid w:val="00913863"/>
    <w:rsid w:val="0091389F"/>
    <w:rsid w:val="009208F7"/>
    <w:rsid w:val="00922517"/>
    <w:rsid w:val="00922722"/>
    <w:rsid w:val="009261E6"/>
    <w:rsid w:val="009268E1"/>
    <w:rsid w:val="00932757"/>
    <w:rsid w:val="00934368"/>
    <w:rsid w:val="00945E7F"/>
    <w:rsid w:val="009467BF"/>
    <w:rsid w:val="00953231"/>
    <w:rsid w:val="009557C1"/>
    <w:rsid w:val="00960D6E"/>
    <w:rsid w:val="00965DB1"/>
    <w:rsid w:val="0097033F"/>
    <w:rsid w:val="00972BC1"/>
    <w:rsid w:val="00974B59"/>
    <w:rsid w:val="0098340B"/>
    <w:rsid w:val="00986830"/>
    <w:rsid w:val="009924C3"/>
    <w:rsid w:val="00993102"/>
    <w:rsid w:val="009A5977"/>
    <w:rsid w:val="009A7BB5"/>
    <w:rsid w:val="009B1303"/>
    <w:rsid w:val="009B6C4A"/>
    <w:rsid w:val="009C4A39"/>
    <w:rsid w:val="009C5978"/>
    <w:rsid w:val="009C6F10"/>
    <w:rsid w:val="009D148F"/>
    <w:rsid w:val="009D3D70"/>
    <w:rsid w:val="009E6F7E"/>
    <w:rsid w:val="009E7A57"/>
    <w:rsid w:val="009F4F6A"/>
    <w:rsid w:val="00A04084"/>
    <w:rsid w:val="00A043BF"/>
    <w:rsid w:val="00A16E36"/>
    <w:rsid w:val="00A17D38"/>
    <w:rsid w:val="00A24961"/>
    <w:rsid w:val="00A24B10"/>
    <w:rsid w:val="00A30E9B"/>
    <w:rsid w:val="00A4512D"/>
    <w:rsid w:val="00A50244"/>
    <w:rsid w:val="00A56F17"/>
    <w:rsid w:val="00A620F2"/>
    <w:rsid w:val="00A627D7"/>
    <w:rsid w:val="00A63C4A"/>
    <w:rsid w:val="00A656C7"/>
    <w:rsid w:val="00A705AF"/>
    <w:rsid w:val="00A72454"/>
    <w:rsid w:val="00A73635"/>
    <w:rsid w:val="00A73B6C"/>
    <w:rsid w:val="00A74345"/>
    <w:rsid w:val="00A77696"/>
    <w:rsid w:val="00A80557"/>
    <w:rsid w:val="00A81D33"/>
    <w:rsid w:val="00A839CC"/>
    <w:rsid w:val="00A930AE"/>
    <w:rsid w:val="00AA1A95"/>
    <w:rsid w:val="00AA260F"/>
    <w:rsid w:val="00AA2FB3"/>
    <w:rsid w:val="00AB119F"/>
    <w:rsid w:val="00AB1EE7"/>
    <w:rsid w:val="00AB4B37"/>
    <w:rsid w:val="00AB5762"/>
    <w:rsid w:val="00AC2679"/>
    <w:rsid w:val="00AC3153"/>
    <w:rsid w:val="00AC4BE4"/>
    <w:rsid w:val="00AC6BF9"/>
    <w:rsid w:val="00AD05E6"/>
    <w:rsid w:val="00AD0D3F"/>
    <w:rsid w:val="00AD1C5A"/>
    <w:rsid w:val="00AD6320"/>
    <w:rsid w:val="00AD6AAC"/>
    <w:rsid w:val="00AE1D7D"/>
    <w:rsid w:val="00AE2A8B"/>
    <w:rsid w:val="00AE3F64"/>
    <w:rsid w:val="00AF3572"/>
    <w:rsid w:val="00AF7386"/>
    <w:rsid w:val="00AF7934"/>
    <w:rsid w:val="00B00B81"/>
    <w:rsid w:val="00B04580"/>
    <w:rsid w:val="00B04B09"/>
    <w:rsid w:val="00B16A51"/>
    <w:rsid w:val="00B25440"/>
    <w:rsid w:val="00B32222"/>
    <w:rsid w:val="00B3618D"/>
    <w:rsid w:val="00B36233"/>
    <w:rsid w:val="00B42851"/>
    <w:rsid w:val="00B45AC7"/>
    <w:rsid w:val="00B5372F"/>
    <w:rsid w:val="00B61129"/>
    <w:rsid w:val="00B62D2A"/>
    <w:rsid w:val="00B657DD"/>
    <w:rsid w:val="00B67380"/>
    <w:rsid w:val="00B67E7F"/>
    <w:rsid w:val="00B75A04"/>
    <w:rsid w:val="00B75A2F"/>
    <w:rsid w:val="00B839B2"/>
    <w:rsid w:val="00B94252"/>
    <w:rsid w:val="00B9715A"/>
    <w:rsid w:val="00BA14BE"/>
    <w:rsid w:val="00BA2732"/>
    <w:rsid w:val="00BA293D"/>
    <w:rsid w:val="00BA49BC"/>
    <w:rsid w:val="00BA56B7"/>
    <w:rsid w:val="00BA7A1E"/>
    <w:rsid w:val="00BA7CA9"/>
    <w:rsid w:val="00BB2F6C"/>
    <w:rsid w:val="00BB3875"/>
    <w:rsid w:val="00BB5860"/>
    <w:rsid w:val="00BB6AAD"/>
    <w:rsid w:val="00BC3E5E"/>
    <w:rsid w:val="00BC40A2"/>
    <w:rsid w:val="00BC4A19"/>
    <w:rsid w:val="00BC4E6D"/>
    <w:rsid w:val="00BC53A7"/>
    <w:rsid w:val="00BC5D26"/>
    <w:rsid w:val="00BD0617"/>
    <w:rsid w:val="00BD2E9B"/>
    <w:rsid w:val="00BD5FDF"/>
    <w:rsid w:val="00BF005E"/>
    <w:rsid w:val="00BF7AD7"/>
    <w:rsid w:val="00C00930"/>
    <w:rsid w:val="00C04346"/>
    <w:rsid w:val="00C060AD"/>
    <w:rsid w:val="00C0670D"/>
    <w:rsid w:val="00C113BF"/>
    <w:rsid w:val="00C2176E"/>
    <w:rsid w:val="00C23430"/>
    <w:rsid w:val="00C27D67"/>
    <w:rsid w:val="00C340F7"/>
    <w:rsid w:val="00C4631F"/>
    <w:rsid w:val="00C50E16"/>
    <w:rsid w:val="00C55258"/>
    <w:rsid w:val="00C6734D"/>
    <w:rsid w:val="00C7274C"/>
    <w:rsid w:val="00C768C1"/>
    <w:rsid w:val="00C82BDF"/>
    <w:rsid w:val="00C82EEB"/>
    <w:rsid w:val="00C971DC"/>
    <w:rsid w:val="00CA16B7"/>
    <w:rsid w:val="00CA4BE3"/>
    <w:rsid w:val="00CA58F1"/>
    <w:rsid w:val="00CA62AE"/>
    <w:rsid w:val="00CB44C0"/>
    <w:rsid w:val="00CB5B1A"/>
    <w:rsid w:val="00CC220B"/>
    <w:rsid w:val="00CC5936"/>
    <w:rsid w:val="00CC5C43"/>
    <w:rsid w:val="00CD02AE"/>
    <w:rsid w:val="00CD2A4F"/>
    <w:rsid w:val="00CE03CA"/>
    <w:rsid w:val="00CE22F1"/>
    <w:rsid w:val="00CE50F2"/>
    <w:rsid w:val="00CE6502"/>
    <w:rsid w:val="00CF7D3C"/>
    <w:rsid w:val="00D03933"/>
    <w:rsid w:val="00D073B4"/>
    <w:rsid w:val="00D147EB"/>
    <w:rsid w:val="00D21429"/>
    <w:rsid w:val="00D34667"/>
    <w:rsid w:val="00D34E6E"/>
    <w:rsid w:val="00D401E1"/>
    <w:rsid w:val="00D408B4"/>
    <w:rsid w:val="00D423B1"/>
    <w:rsid w:val="00D45D94"/>
    <w:rsid w:val="00D524C8"/>
    <w:rsid w:val="00D60E25"/>
    <w:rsid w:val="00D70E24"/>
    <w:rsid w:val="00D72B61"/>
    <w:rsid w:val="00DA3D1D"/>
    <w:rsid w:val="00DB0138"/>
    <w:rsid w:val="00DB6286"/>
    <w:rsid w:val="00DB645F"/>
    <w:rsid w:val="00DB76E9"/>
    <w:rsid w:val="00DC0A67"/>
    <w:rsid w:val="00DC1D5E"/>
    <w:rsid w:val="00DC2313"/>
    <w:rsid w:val="00DC5220"/>
    <w:rsid w:val="00DC7910"/>
    <w:rsid w:val="00DD1768"/>
    <w:rsid w:val="00DD2061"/>
    <w:rsid w:val="00DD278E"/>
    <w:rsid w:val="00DD3965"/>
    <w:rsid w:val="00DD7DAB"/>
    <w:rsid w:val="00DE3355"/>
    <w:rsid w:val="00DF486F"/>
    <w:rsid w:val="00DF5B5B"/>
    <w:rsid w:val="00DF5DFE"/>
    <w:rsid w:val="00DF7619"/>
    <w:rsid w:val="00DF7D7D"/>
    <w:rsid w:val="00E0163F"/>
    <w:rsid w:val="00E042D8"/>
    <w:rsid w:val="00E07EE7"/>
    <w:rsid w:val="00E1052B"/>
    <w:rsid w:val="00E1103B"/>
    <w:rsid w:val="00E17B44"/>
    <w:rsid w:val="00E27FEA"/>
    <w:rsid w:val="00E3131F"/>
    <w:rsid w:val="00E363AF"/>
    <w:rsid w:val="00E4086F"/>
    <w:rsid w:val="00E43B3C"/>
    <w:rsid w:val="00E46D5C"/>
    <w:rsid w:val="00E50188"/>
    <w:rsid w:val="00E515CB"/>
    <w:rsid w:val="00E52260"/>
    <w:rsid w:val="00E61E89"/>
    <w:rsid w:val="00E639B6"/>
    <w:rsid w:val="00E6434B"/>
    <w:rsid w:val="00E6463D"/>
    <w:rsid w:val="00E72E9B"/>
    <w:rsid w:val="00E73893"/>
    <w:rsid w:val="00E74A08"/>
    <w:rsid w:val="00E75A24"/>
    <w:rsid w:val="00E8291E"/>
    <w:rsid w:val="00E830F7"/>
    <w:rsid w:val="00E849DA"/>
    <w:rsid w:val="00E9462E"/>
    <w:rsid w:val="00EA470E"/>
    <w:rsid w:val="00EA47A7"/>
    <w:rsid w:val="00EA57EB"/>
    <w:rsid w:val="00EB3226"/>
    <w:rsid w:val="00EC213A"/>
    <w:rsid w:val="00EC6603"/>
    <w:rsid w:val="00EC7744"/>
    <w:rsid w:val="00ED0DAD"/>
    <w:rsid w:val="00ED0F46"/>
    <w:rsid w:val="00ED2373"/>
    <w:rsid w:val="00EE3E8A"/>
    <w:rsid w:val="00EF6ECA"/>
    <w:rsid w:val="00EF7589"/>
    <w:rsid w:val="00F02160"/>
    <w:rsid w:val="00F024E1"/>
    <w:rsid w:val="00F04496"/>
    <w:rsid w:val="00F049F6"/>
    <w:rsid w:val="00F06C10"/>
    <w:rsid w:val="00F1096F"/>
    <w:rsid w:val="00F12589"/>
    <w:rsid w:val="00F12595"/>
    <w:rsid w:val="00F1311E"/>
    <w:rsid w:val="00F134D9"/>
    <w:rsid w:val="00F1403D"/>
    <w:rsid w:val="00F1463F"/>
    <w:rsid w:val="00F21302"/>
    <w:rsid w:val="00F321DE"/>
    <w:rsid w:val="00F32B91"/>
    <w:rsid w:val="00F33777"/>
    <w:rsid w:val="00F40648"/>
    <w:rsid w:val="00F47DA2"/>
    <w:rsid w:val="00F519FC"/>
    <w:rsid w:val="00F52E47"/>
    <w:rsid w:val="00F55B0A"/>
    <w:rsid w:val="00F6239D"/>
    <w:rsid w:val="00F70B5D"/>
    <w:rsid w:val="00F715D2"/>
    <w:rsid w:val="00F7274F"/>
    <w:rsid w:val="00F76FA8"/>
    <w:rsid w:val="00F93F08"/>
    <w:rsid w:val="00F94CED"/>
    <w:rsid w:val="00FA2CEE"/>
    <w:rsid w:val="00FA318C"/>
    <w:rsid w:val="00FB0B34"/>
    <w:rsid w:val="00FB6F92"/>
    <w:rsid w:val="00FC026E"/>
    <w:rsid w:val="00FC5124"/>
    <w:rsid w:val="00FC71A9"/>
    <w:rsid w:val="00FD1CBA"/>
    <w:rsid w:val="00FD45E3"/>
    <w:rsid w:val="00FD4731"/>
    <w:rsid w:val="00FF0AB0"/>
    <w:rsid w:val="00FF28AC"/>
    <w:rsid w:val="00FF5246"/>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4F8C58"/>
  <w15:docId w15:val="{C9886799-D1BE-4AF0-BA9F-A352DCA93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34E6E"/>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BF7AD7"/>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BF7AD7"/>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BF7AD7"/>
    <w:pPr>
      <w:keepNext/>
      <w:spacing w:before="180" w:after="60"/>
      <w:outlineLvl w:val="2"/>
    </w:pPr>
    <w:rPr>
      <w:rFonts w:ascii="Arial" w:hAnsi="Arial" w:cs="Arial"/>
      <w:b/>
      <w:bCs/>
      <w:color w:val="358189"/>
      <w:sz w:val="32"/>
      <w:szCs w:val="26"/>
      <w:lang w:eastAsia="en-US"/>
    </w:rPr>
  </w:style>
  <w:style w:type="paragraph" w:styleId="Heading4">
    <w:name w:val="heading 4"/>
    <w:basedOn w:val="Heading3"/>
    <w:next w:val="Normal"/>
    <w:qFormat/>
    <w:rsid w:val="00D34E6E"/>
    <w:pPr>
      <w:spacing w:before="240"/>
      <w:outlineLvl w:val="3"/>
    </w:pPr>
    <w:rPr>
      <w:bCs w:val="0"/>
      <w:color w:val="358189" w:themeColor="accent2"/>
      <w:sz w:val="28"/>
      <w:szCs w:val="28"/>
    </w:rPr>
  </w:style>
  <w:style w:type="paragraph" w:styleId="Heading5">
    <w:name w:val="heading 5"/>
    <w:next w:val="Normal"/>
    <w:rsid w:val="00D34E6E"/>
    <w:pPr>
      <w:keepNext/>
      <w:spacing w:before="240" w:after="60"/>
      <w:outlineLvl w:val="4"/>
    </w:pPr>
    <w:rPr>
      <w:rFonts w:ascii="Arial" w:hAnsi="Arial"/>
      <w:b/>
      <w:bCs/>
      <w:iCs/>
      <w:color w:val="3F4A75" w:themeColor="text2"/>
      <w:sz w:val="24"/>
      <w:szCs w:val="26"/>
      <w:lang w:eastAsia="en-US"/>
    </w:rPr>
  </w:style>
  <w:style w:type="paragraph" w:styleId="Heading6">
    <w:name w:val="heading 6"/>
    <w:basedOn w:val="Heading5"/>
    <w:next w:val="Normal"/>
    <w:rsid w:val="00BF7AD7"/>
    <w:pPr>
      <w:outlineLvl w:val="5"/>
    </w:pPr>
    <w:rPr>
      <w:b w:val="0"/>
      <w:bCs w:val="0"/>
      <w:sz w:val="22"/>
      <w:szCs w:val="22"/>
    </w:rPr>
  </w:style>
  <w:style w:type="paragraph" w:styleId="Heading7">
    <w:name w:val="heading 7"/>
    <w:next w:val="Normal"/>
    <w:link w:val="Heading7Char"/>
    <w:semiHidden/>
    <w:unhideWhenUsed/>
    <w:rsid w:val="00BF7AD7"/>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BF7AD7"/>
    <w:rPr>
      <w:i/>
      <w:iCs/>
    </w:rPr>
  </w:style>
  <w:style w:type="character" w:styleId="Strong">
    <w:name w:val="Strong"/>
    <w:basedOn w:val="DefaultParagraphFont"/>
    <w:rsid w:val="00BF7AD7"/>
    <w:rPr>
      <w:b/>
      <w:bCs/>
    </w:rPr>
  </w:style>
  <w:style w:type="paragraph" w:styleId="Subtitle">
    <w:name w:val="Subtitle"/>
    <w:next w:val="Normal"/>
    <w:link w:val="SubtitleChar"/>
    <w:qFormat/>
    <w:rsid w:val="00BF7AD7"/>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BF7AD7"/>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BF7AD7"/>
    <w:pPr>
      <w:spacing w:before="21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BF7AD7"/>
    <w:rPr>
      <w:rFonts w:ascii="Arial" w:eastAsiaTheme="majorEastAsia" w:hAnsi="Arial" w:cstheme="majorBidi"/>
      <w:b/>
      <w:color w:val="3F4A75"/>
      <w:kern w:val="28"/>
      <w:sz w:val="48"/>
      <w:szCs w:val="52"/>
      <w:lang w:eastAsia="en-US"/>
    </w:rPr>
  </w:style>
  <w:style w:type="paragraph" w:styleId="NoSpacing">
    <w:name w:val="No Spacing"/>
    <w:uiPriority w:val="1"/>
    <w:rsid w:val="00BF7AD7"/>
    <w:rPr>
      <w:sz w:val="24"/>
      <w:szCs w:val="24"/>
      <w:lang w:eastAsia="en-US"/>
    </w:rPr>
  </w:style>
  <w:style w:type="character" w:styleId="SubtleEmphasis">
    <w:name w:val="Subtle Emphasis"/>
    <w:basedOn w:val="DefaultParagraphFont"/>
    <w:uiPriority w:val="19"/>
    <w:rsid w:val="00BF7AD7"/>
    <w:rPr>
      <w:i/>
      <w:iCs/>
      <w:color w:val="808080" w:themeColor="text1" w:themeTint="7F"/>
    </w:rPr>
  </w:style>
  <w:style w:type="character" w:styleId="IntenseEmphasis">
    <w:name w:val="Intense Emphasis"/>
    <w:basedOn w:val="DefaultParagraphFont"/>
    <w:uiPriority w:val="21"/>
    <w:rsid w:val="00BF7AD7"/>
    <w:rPr>
      <w:b/>
      <w:bCs/>
      <w:i/>
      <w:iCs/>
      <w:color w:val="3F4A75" w:themeColor="accent1"/>
    </w:rPr>
  </w:style>
  <w:style w:type="paragraph" w:styleId="Quote">
    <w:name w:val="Quote"/>
    <w:next w:val="Normal"/>
    <w:link w:val="QuoteChar"/>
    <w:uiPriority w:val="29"/>
    <w:qFormat/>
    <w:rsid w:val="00BF7AD7"/>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BF7AD7"/>
    <w:rPr>
      <w:rFonts w:ascii="Arial" w:hAnsi="Arial"/>
      <w:i/>
      <w:iCs/>
      <w:color w:val="000000" w:themeColor="text1"/>
      <w:sz w:val="22"/>
      <w:szCs w:val="24"/>
      <w:lang w:eastAsia="en-US"/>
    </w:rPr>
  </w:style>
  <w:style w:type="paragraph" w:styleId="IntenseQuote">
    <w:name w:val="Intense Quote"/>
    <w:next w:val="Normal"/>
    <w:link w:val="IntenseQuoteChar"/>
    <w:uiPriority w:val="30"/>
    <w:rsid w:val="00BF7AD7"/>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BF7AD7"/>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BF7AD7"/>
    <w:rPr>
      <w:smallCaps/>
      <w:color w:val="358189" w:themeColor="accent2"/>
      <w:u w:val="single"/>
    </w:rPr>
  </w:style>
  <w:style w:type="character" w:styleId="IntenseReference">
    <w:name w:val="Intense Reference"/>
    <w:basedOn w:val="DefaultParagraphFont"/>
    <w:uiPriority w:val="32"/>
    <w:rsid w:val="00BF7AD7"/>
    <w:rPr>
      <w:b/>
      <w:bCs/>
      <w:i/>
      <w:smallCaps/>
      <w:color w:val="358189" w:themeColor="accent2"/>
      <w:spacing w:val="5"/>
      <w:u w:val="none"/>
    </w:rPr>
  </w:style>
  <w:style w:type="paragraph" w:styleId="ListBullet2">
    <w:name w:val="List Bullet 2"/>
    <w:basedOn w:val="ListNumber2"/>
    <w:rsid w:val="00BF7AD7"/>
    <w:pPr>
      <w:numPr>
        <w:numId w:val="3"/>
      </w:numPr>
    </w:pPr>
  </w:style>
  <w:style w:type="paragraph" w:styleId="ListNumber2">
    <w:name w:val="List Number 2"/>
    <w:basedOn w:val="ListBullet"/>
    <w:qFormat/>
    <w:rsid w:val="00CA58F1"/>
    <w:pPr>
      <w:numPr>
        <w:numId w:val="2"/>
      </w:numPr>
      <w:ind w:left="811" w:hanging="357"/>
    </w:pPr>
  </w:style>
  <w:style w:type="paragraph" w:styleId="ListBullet">
    <w:name w:val="List Bullet"/>
    <w:basedOn w:val="Normal"/>
    <w:qFormat/>
    <w:rsid w:val="00D34E6E"/>
    <w:pPr>
      <w:numPr>
        <w:numId w:val="1"/>
      </w:numPr>
      <w:spacing w:before="60" w:after="60"/>
      <w:ind w:left="527" w:hanging="357"/>
    </w:pPr>
  </w:style>
  <w:style w:type="paragraph" w:styleId="ListParagraph">
    <w:name w:val="List Paragraph"/>
    <w:basedOn w:val="Normal"/>
    <w:uiPriority w:val="34"/>
    <w:qFormat/>
    <w:rsid w:val="00BF7AD7"/>
    <w:pPr>
      <w:ind w:left="720"/>
      <w:contextualSpacing/>
    </w:pPr>
  </w:style>
  <w:style w:type="paragraph" w:styleId="ListNumber3">
    <w:name w:val="List Number 3"/>
    <w:aliases w:val="List Third Level"/>
    <w:basedOn w:val="ListNumber2"/>
    <w:rsid w:val="00CA58F1"/>
    <w:pPr>
      <w:numPr>
        <w:numId w:val="4"/>
      </w:numPr>
    </w:pPr>
    <w:rPr>
      <w:rFonts w:eastAsia="Cambria"/>
      <w:color w:val="auto"/>
      <w:szCs w:val="22"/>
      <w:lang w:val="en-US"/>
    </w:rPr>
  </w:style>
  <w:style w:type="paragraph" w:customStyle="1" w:styleId="ImageTitle">
    <w:name w:val="Image Title"/>
    <w:locked/>
    <w:rsid w:val="00BF7AD7"/>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BF7AD7"/>
    <w:rPr>
      <w:rFonts w:ascii="Tahoma" w:hAnsi="Tahoma" w:cs="Tahoma"/>
      <w:sz w:val="16"/>
      <w:szCs w:val="16"/>
    </w:rPr>
  </w:style>
  <w:style w:type="character" w:customStyle="1" w:styleId="BalloonTextChar">
    <w:name w:val="Balloon Text Char"/>
    <w:basedOn w:val="DefaultParagraphFont"/>
    <w:link w:val="BalloonText"/>
    <w:rsid w:val="00BF7AD7"/>
    <w:rPr>
      <w:rFonts w:ascii="Tahoma" w:hAnsi="Tahoma" w:cs="Tahoma"/>
      <w:color w:val="000000" w:themeColor="text1"/>
      <w:sz w:val="16"/>
      <w:szCs w:val="16"/>
      <w:lang w:eastAsia="en-US"/>
    </w:rPr>
  </w:style>
  <w:style w:type="table" w:styleId="TableGrid">
    <w:name w:val="Table Grid"/>
    <w:basedOn w:val="TableNormal"/>
    <w:locked/>
    <w:rsid w:val="00BF7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BF7AD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BF7AD7"/>
    <w:pPr>
      <w:spacing w:before="60" w:after="60"/>
    </w:pPr>
    <w:rPr>
      <w:rFonts w:ascii="Arial" w:hAnsi="Arial"/>
      <w:color w:val="000000" w:themeColor="text1"/>
      <w:sz w:val="21"/>
      <w:szCs w:val="24"/>
      <w:lang w:eastAsia="en-US"/>
    </w:rPr>
  </w:style>
  <w:style w:type="table" w:styleId="TableColumns2">
    <w:name w:val="Table Columns 2"/>
    <w:basedOn w:val="TableNormal"/>
    <w:locked/>
    <w:rsid w:val="00BF7AD7"/>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BF7AD7"/>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BF7AD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BF7AD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BF7AD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BF7AD7"/>
    <w:pPr>
      <w:spacing w:before="120" w:after="120"/>
    </w:pPr>
    <w:rPr>
      <w:rFonts w:ascii="Arial" w:hAnsi="Arial"/>
      <w:b/>
      <w:color w:val="000000" w:themeColor="text1"/>
      <w:sz w:val="22"/>
      <w:szCs w:val="24"/>
      <w:lang w:val="en-US" w:eastAsia="en-US"/>
    </w:rPr>
  </w:style>
  <w:style w:type="paragraph" w:styleId="Header">
    <w:name w:val="header"/>
    <w:link w:val="HeaderChar"/>
    <w:qFormat/>
    <w:rsid w:val="00BF7AD7"/>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BF7AD7"/>
    <w:rPr>
      <w:rFonts w:ascii="Arial" w:hAnsi="Arial"/>
      <w:sz w:val="22"/>
      <w:szCs w:val="24"/>
      <w:lang w:eastAsia="en-US"/>
    </w:rPr>
  </w:style>
  <w:style w:type="paragraph" w:styleId="Footer">
    <w:name w:val="footer"/>
    <w:link w:val="FooterChar"/>
    <w:uiPriority w:val="99"/>
    <w:qFormat/>
    <w:rsid w:val="00BF7AD7"/>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F7AD7"/>
    <w:rPr>
      <w:rFonts w:ascii="Arial" w:hAnsi="Arial"/>
      <w:szCs w:val="24"/>
      <w:lang w:eastAsia="en-US"/>
    </w:rPr>
  </w:style>
  <w:style w:type="paragraph" w:customStyle="1" w:styleId="TableHeaderWhite">
    <w:name w:val="Table Header White"/>
    <w:basedOn w:val="Normal"/>
    <w:next w:val="Tabletextleft"/>
    <w:qFormat/>
    <w:rsid w:val="00BF7AD7"/>
    <w:pPr>
      <w:spacing w:before="80" w:after="80"/>
    </w:pPr>
    <w:rPr>
      <w:rFonts w:eastAsia="Cambria"/>
      <w:b/>
      <w:color w:val="FFFFFF" w:themeColor="background1"/>
      <w:szCs w:val="22"/>
      <w:lang w:val="en-US"/>
    </w:rPr>
  </w:style>
  <w:style w:type="table" w:styleId="TableGrid7">
    <w:name w:val="Table Grid 7"/>
    <w:basedOn w:val="TableNormal"/>
    <w:locked/>
    <w:rsid w:val="00BF7AD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BF7AD7"/>
    <w:pPr>
      <w:spacing w:before="60"/>
    </w:pPr>
    <w:rPr>
      <w:rFonts w:cs="Arial"/>
      <w:b/>
      <w:sz w:val="20"/>
    </w:rPr>
  </w:style>
  <w:style w:type="paragraph" w:customStyle="1" w:styleId="FigureTitle">
    <w:name w:val="Figure Title"/>
    <w:next w:val="Normal"/>
    <w:qFormat/>
    <w:rsid w:val="00BF7AD7"/>
    <w:pPr>
      <w:spacing w:before="120" w:after="120"/>
    </w:pPr>
    <w:rPr>
      <w:rFonts w:ascii="Arial" w:hAnsi="Arial" w:cs="Arial"/>
      <w:b/>
      <w:bCs/>
      <w:iCs/>
      <w:color w:val="000000" w:themeColor="text1"/>
      <w:sz w:val="22"/>
      <w:szCs w:val="22"/>
      <w:lang w:eastAsia="en-US"/>
    </w:rPr>
  </w:style>
  <w:style w:type="paragraph" w:styleId="NormalWeb">
    <w:name w:val="Normal (Web)"/>
    <w:basedOn w:val="Normal"/>
    <w:uiPriority w:val="99"/>
    <w:unhideWhenUsed/>
    <w:rsid w:val="00BF7AD7"/>
    <w:pPr>
      <w:spacing w:before="100" w:beforeAutospacing="1" w:after="100" w:afterAutospacing="1"/>
    </w:pPr>
    <w:rPr>
      <w:rFonts w:ascii="Times New Roman" w:hAnsi="Times New Roman"/>
      <w:sz w:val="24"/>
      <w:lang w:eastAsia="en-AU"/>
    </w:rPr>
  </w:style>
  <w:style w:type="paragraph" w:customStyle="1" w:styleId="Headertext">
    <w:name w:val="Header text"/>
    <w:rsid w:val="00BF7AD7"/>
    <w:pPr>
      <w:jc w:val="right"/>
    </w:pPr>
    <w:rPr>
      <w:rFonts w:ascii="Arial" w:hAnsi="Arial"/>
      <w:szCs w:val="24"/>
      <w:lang w:eastAsia="en-US"/>
    </w:rPr>
  </w:style>
  <w:style w:type="character" w:styleId="Hyperlink">
    <w:name w:val="Hyperlink"/>
    <w:basedOn w:val="DefaultParagraphFont"/>
    <w:uiPriority w:val="99"/>
    <w:qFormat/>
    <w:rsid w:val="00BF7AD7"/>
    <w:rPr>
      <w:color w:val="0000FF" w:themeColor="hyperlink"/>
      <w:u w:val="single"/>
    </w:rPr>
  </w:style>
  <w:style w:type="table" w:customStyle="1" w:styleId="PHNGreyTable">
    <w:name w:val="PHN Grey Table"/>
    <w:basedOn w:val="TableNormal"/>
    <w:uiPriority w:val="99"/>
    <w:rsid w:val="00BF7AD7"/>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BF7AD7"/>
    <w:pPr>
      <w:numPr>
        <w:numId w:val="5"/>
      </w:numPr>
    </w:pPr>
    <w:rPr>
      <w:szCs w:val="20"/>
    </w:rPr>
  </w:style>
  <w:style w:type="paragraph" w:customStyle="1" w:styleId="Tablelistnumber">
    <w:name w:val="Table list number"/>
    <w:basedOn w:val="Tabletextleft"/>
    <w:qFormat/>
    <w:rsid w:val="00BF7AD7"/>
    <w:pPr>
      <w:numPr>
        <w:numId w:val="6"/>
      </w:numPr>
    </w:pPr>
    <w:rPr>
      <w:bCs/>
      <w14:numSpacing w14:val="proportional"/>
    </w:rPr>
  </w:style>
  <w:style w:type="paragraph" w:customStyle="1" w:styleId="TableHeader">
    <w:name w:val="Table Header"/>
    <w:basedOn w:val="Normal"/>
    <w:next w:val="Tabletextleft"/>
    <w:qFormat/>
    <w:rsid w:val="00BF7AD7"/>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BF7AD7"/>
    <w:rPr>
      <w:szCs w:val="32"/>
    </w:rPr>
  </w:style>
  <w:style w:type="paragraph" w:styleId="FootnoteText">
    <w:name w:val="footnote text"/>
    <w:link w:val="FootnoteTextChar"/>
    <w:rsid w:val="00BF7AD7"/>
    <w:rPr>
      <w:rFonts w:ascii="Arial" w:hAnsi="Arial"/>
      <w:lang w:eastAsia="en-US"/>
    </w:rPr>
  </w:style>
  <w:style w:type="character" w:customStyle="1" w:styleId="FootnoteTextChar">
    <w:name w:val="Footnote Text Char"/>
    <w:basedOn w:val="DefaultParagraphFont"/>
    <w:link w:val="FootnoteText"/>
    <w:rsid w:val="00BF7AD7"/>
    <w:rPr>
      <w:rFonts w:ascii="Arial" w:hAnsi="Arial"/>
      <w:lang w:eastAsia="en-US"/>
    </w:rPr>
  </w:style>
  <w:style w:type="paragraph" w:styleId="Caption">
    <w:name w:val="caption"/>
    <w:basedOn w:val="Normal"/>
    <w:next w:val="Normal"/>
    <w:unhideWhenUsed/>
    <w:rsid w:val="006F0469"/>
    <w:pPr>
      <w:keepNext/>
      <w:spacing w:after="200"/>
    </w:pPr>
    <w:rPr>
      <w:b/>
      <w:bCs/>
      <w:color w:val="3F4A75" w:themeColor="accent1"/>
      <w:sz w:val="18"/>
      <w:szCs w:val="18"/>
    </w:rPr>
  </w:style>
  <w:style w:type="paragraph" w:customStyle="1" w:styleId="VisionBox">
    <w:name w:val="VisionBox"/>
    <w:basedOn w:val="Normal"/>
    <w:qFormat/>
    <w:rsid w:val="00BF7AD7"/>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BF7AD7"/>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BF7AD7"/>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DepartmentofHealthtable">
    <w:name w:val="Department of Health table"/>
    <w:basedOn w:val="TableNormal"/>
    <w:uiPriority w:val="99"/>
    <w:rsid w:val="00BC3E5E"/>
    <w:rPr>
      <w:rFonts w:ascii="Arial" w:hAnsi="Arial"/>
      <w:color w:val="000000" w:themeColor="text1"/>
      <w:sz w:val="22"/>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b/>
        <w:color w:val="FFFFFF" w:themeColor="background1"/>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rPr>
        <w:rFonts w:ascii="Arial" w:hAnsi="Arial"/>
        <w:b/>
        <w:sz w:val="22"/>
      </w:rPr>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BF7AD7"/>
    <w:rPr>
      <w:rFonts w:ascii="Arial" w:hAnsi="Arial"/>
      <w:b/>
      <w:color w:val="000000" w:themeColor="text1"/>
      <w:sz w:val="22"/>
      <w:szCs w:val="24"/>
      <w:lang w:val="en-US" w:eastAsia="en-US"/>
    </w:rPr>
  </w:style>
  <w:style w:type="paragraph" w:customStyle="1" w:styleId="IntroPara">
    <w:name w:val="Intro Para"/>
    <w:basedOn w:val="Normal"/>
    <w:next w:val="Normal"/>
    <w:qFormat/>
    <w:rsid w:val="00BF7AD7"/>
    <w:pPr>
      <w:spacing w:before="480" w:line="400" w:lineRule="exact"/>
    </w:pPr>
    <w:rPr>
      <w:color w:val="358189"/>
      <w:sz w:val="28"/>
    </w:rPr>
  </w:style>
  <w:style w:type="paragraph" w:customStyle="1" w:styleId="TableTextright">
    <w:name w:val="Table Text right"/>
    <w:basedOn w:val="Tabletextleft"/>
    <w:rsid w:val="00BF7AD7"/>
    <w:pPr>
      <w:jc w:val="right"/>
    </w:pPr>
  </w:style>
  <w:style w:type="paragraph" w:customStyle="1" w:styleId="Tabletextright0">
    <w:name w:val="Table text right"/>
    <w:basedOn w:val="Tabletextleft"/>
    <w:rsid w:val="00BF7AD7"/>
    <w:pPr>
      <w:jc w:val="right"/>
    </w:pPr>
  </w:style>
  <w:style w:type="paragraph" w:customStyle="1" w:styleId="Tabletextcentre">
    <w:name w:val="Table text centre"/>
    <w:basedOn w:val="Tabletextleft"/>
    <w:rsid w:val="00BF7AD7"/>
    <w:pPr>
      <w:jc w:val="center"/>
    </w:pPr>
  </w:style>
  <w:style w:type="paragraph" w:customStyle="1" w:styleId="Boxheading">
    <w:name w:val="Box heading"/>
    <w:basedOn w:val="Boxtype"/>
    <w:qFormat/>
    <w:rsid w:val="00BF7AD7"/>
    <w:pPr>
      <w:spacing w:before="240"/>
    </w:pPr>
    <w:rPr>
      <w:rFonts w:cs="Times New Roman"/>
      <w:b/>
      <w:bCs/>
      <w:caps/>
      <w:color w:val="358189"/>
      <w:szCs w:val="20"/>
    </w:rPr>
  </w:style>
  <w:style w:type="paragraph" w:customStyle="1" w:styleId="Boxtype">
    <w:name w:val="Box type"/>
    <w:next w:val="Normal"/>
    <w:qFormat/>
    <w:rsid w:val="00BF7AD7"/>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paragraph" w:styleId="BodyText">
    <w:name w:val="Body Text"/>
    <w:basedOn w:val="Normal"/>
    <w:link w:val="BodyTextChar"/>
    <w:semiHidden/>
    <w:unhideWhenUsed/>
    <w:rsid w:val="00BF7AD7"/>
  </w:style>
  <w:style w:type="character" w:customStyle="1" w:styleId="BodyTextChar">
    <w:name w:val="Body Text Char"/>
    <w:basedOn w:val="DefaultParagraphFont"/>
    <w:link w:val="BodyText"/>
    <w:semiHidden/>
    <w:rsid w:val="00BF7AD7"/>
    <w:rPr>
      <w:rFonts w:ascii="Arial" w:hAnsi="Arial"/>
      <w:color w:val="000000" w:themeColor="text1"/>
      <w:sz w:val="22"/>
      <w:szCs w:val="24"/>
      <w:lang w:eastAsia="en-US"/>
    </w:rPr>
  </w:style>
  <w:style w:type="paragraph" w:customStyle="1" w:styleId="Footerrightpage">
    <w:name w:val="Footer right page"/>
    <w:basedOn w:val="Footer"/>
    <w:rsid w:val="00BF7AD7"/>
  </w:style>
  <w:style w:type="character" w:customStyle="1" w:styleId="Heading7Char">
    <w:name w:val="Heading 7 Char"/>
    <w:basedOn w:val="DefaultParagraphFont"/>
    <w:link w:val="Heading7"/>
    <w:semiHidden/>
    <w:rsid w:val="00BF7AD7"/>
    <w:rPr>
      <w:rFonts w:ascii="Arial" w:eastAsiaTheme="majorEastAsia" w:hAnsi="Arial" w:cstheme="majorBidi"/>
      <w:b/>
      <w:i/>
      <w:iCs/>
      <w:color w:val="1F243A" w:themeColor="accent1" w:themeShade="7F"/>
      <w:sz w:val="22"/>
      <w:szCs w:val="24"/>
      <w:lang w:eastAsia="en-US"/>
    </w:rPr>
  </w:style>
  <w:style w:type="paragraph" w:customStyle="1" w:styleId="URL">
    <w:name w:val="URL"/>
    <w:basedOn w:val="Normal"/>
    <w:rsid w:val="00BF7AD7"/>
    <w:pPr>
      <w:spacing w:before="3120"/>
      <w:jc w:val="center"/>
    </w:pPr>
    <w:rPr>
      <w:b/>
      <w:bCs/>
      <w:sz w:val="24"/>
      <w:szCs w:val="20"/>
    </w:rPr>
  </w:style>
  <w:style w:type="paragraph" w:styleId="CommentText">
    <w:name w:val="annotation text"/>
    <w:basedOn w:val="Normal"/>
    <w:link w:val="CommentTextChar"/>
    <w:semiHidden/>
    <w:unhideWhenUsed/>
    <w:rsid w:val="00FD1CBA"/>
    <w:pPr>
      <w:spacing w:before="0" w:after="0" w:line="240" w:lineRule="auto"/>
    </w:pPr>
    <w:rPr>
      <w:color w:val="auto"/>
      <w:sz w:val="20"/>
      <w:szCs w:val="20"/>
    </w:rPr>
  </w:style>
  <w:style w:type="character" w:customStyle="1" w:styleId="CommentTextChar">
    <w:name w:val="Comment Text Char"/>
    <w:basedOn w:val="DefaultParagraphFont"/>
    <w:link w:val="CommentText"/>
    <w:semiHidden/>
    <w:rsid w:val="00FD1CBA"/>
    <w:rPr>
      <w:rFonts w:ascii="Arial" w:hAnsi="Arial"/>
      <w:lang w:eastAsia="en-US"/>
    </w:rPr>
  </w:style>
  <w:style w:type="character" w:styleId="CommentReference">
    <w:name w:val="annotation reference"/>
    <w:basedOn w:val="DefaultParagraphFont"/>
    <w:semiHidden/>
    <w:unhideWhenUsed/>
    <w:rsid w:val="00FD1CBA"/>
    <w:rPr>
      <w:sz w:val="16"/>
      <w:szCs w:val="16"/>
    </w:rPr>
  </w:style>
  <w:style w:type="paragraph" w:customStyle="1" w:styleId="Default">
    <w:name w:val="Default"/>
    <w:rsid w:val="00FD1CBA"/>
    <w:pPr>
      <w:autoSpaceDE w:val="0"/>
      <w:autoSpaceDN w:val="0"/>
      <w:adjustRightInd w:val="0"/>
    </w:pPr>
    <w:rPr>
      <w:rFonts w:ascii="Arial" w:hAnsi="Arial" w:cs="Arial"/>
      <w:color w:val="000000"/>
      <w:sz w:val="24"/>
      <w:szCs w:val="24"/>
      <w:lang w:val="en-US" w:eastAsia="en-US"/>
    </w:rPr>
  </w:style>
  <w:style w:type="paragraph" w:customStyle="1" w:styleId="Paragraphtext">
    <w:name w:val="Paragraph text"/>
    <w:basedOn w:val="Normal"/>
    <w:qFormat/>
    <w:rsid w:val="00F32B91"/>
    <w:pPr>
      <w:spacing w:after="60" w:line="240" w:lineRule="auto"/>
    </w:pPr>
    <w:rPr>
      <w:sz w:val="21"/>
    </w:rPr>
  </w:style>
  <w:style w:type="character" w:styleId="FootnoteReference">
    <w:name w:val="footnote reference"/>
    <w:basedOn w:val="DefaultParagraphFont"/>
    <w:semiHidden/>
    <w:unhideWhenUsed/>
    <w:rsid w:val="00F32B91"/>
    <w:rPr>
      <w:vertAlign w:val="superscript"/>
    </w:rPr>
  </w:style>
  <w:style w:type="numbering" w:customStyle="1" w:styleId="Style3">
    <w:name w:val="Style3"/>
    <w:uiPriority w:val="99"/>
    <w:rsid w:val="00F32B91"/>
    <w:pPr>
      <w:numPr>
        <w:numId w:val="7"/>
      </w:numPr>
    </w:pPr>
  </w:style>
  <w:style w:type="character" w:customStyle="1" w:styleId="pubtitle">
    <w:name w:val="pubtitle"/>
    <w:basedOn w:val="DefaultParagraphFont"/>
    <w:rsid w:val="00F32B91"/>
  </w:style>
  <w:style w:type="paragraph" w:styleId="TOCHeading">
    <w:name w:val="TOC Heading"/>
    <w:basedOn w:val="Heading1"/>
    <w:next w:val="Normal"/>
    <w:uiPriority w:val="39"/>
    <w:unhideWhenUsed/>
    <w:qFormat/>
    <w:rsid w:val="00BC3E5E"/>
    <w:pPr>
      <w:keepLines/>
      <w:spacing w:after="0" w:line="259" w:lineRule="auto"/>
      <w:outlineLvl w:val="9"/>
    </w:pPr>
    <w:rPr>
      <w:rFonts w:eastAsiaTheme="majorEastAsia" w:cstheme="majorBidi"/>
      <w:b w:val="0"/>
      <w:bCs w:val="0"/>
      <w:color w:val="2F3757" w:themeColor="accent1" w:themeShade="BF"/>
      <w:kern w:val="0"/>
      <w:sz w:val="32"/>
      <w:szCs w:val="32"/>
      <w:lang w:val="en-US"/>
    </w:rPr>
  </w:style>
  <w:style w:type="paragraph" w:styleId="TOC2">
    <w:name w:val="toc 2"/>
    <w:basedOn w:val="Normal"/>
    <w:next w:val="Normal"/>
    <w:autoRedefine/>
    <w:uiPriority w:val="39"/>
    <w:unhideWhenUsed/>
    <w:rsid w:val="003B32F1"/>
    <w:pPr>
      <w:tabs>
        <w:tab w:val="right" w:leader="dot" w:pos="9060"/>
      </w:tabs>
      <w:spacing w:before="0" w:after="100" w:line="240" w:lineRule="auto"/>
      <w:ind w:left="220"/>
    </w:pPr>
  </w:style>
  <w:style w:type="paragraph" w:styleId="TOC1">
    <w:name w:val="toc 1"/>
    <w:basedOn w:val="Normal"/>
    <w:next w:val="Normal"/>
    <w:autoRedefine/>
    <w:uiPriority w:val="39"/>
    <w:unhideWhenUsed/>
    <w:rsid w:val="00BC3E5E"/>
    <w:pPr>
      <w:spacing w:before="60" w:after="60" w:line="240" w:lineRule="auto"/>
    </w:pPr>
  </w:style>
  <w:style w:type="paragraph" w:styleId="TOC3">
    <w:name w:val="toc 3"/>
    <w:basedOn w:val="Normal"/>
    <w:next w:val="Normal"/>
    <w:autoRedefine/>
    <w:uiPriority w:val="39"/>
    <w:unhideWhenUsed/>
    <w:rsid w:val="00F32B91"/>
    <w:pPr>
      <w:spacing w:after="100"/>
      <w:ind w:left="440"/>
    </w:pPr>
  </w:style>
  <w:style w:type="paragraph" w:styleId="CommentSubject">
    <w:name w:val="annotation subject"/>
    <w:basedOn w:val="CommentText"/>
    <w:next w:val="CommentText"/>
    <w:link w:val="CommentSubjectChar"/>
    <w:semiHidden/>
    <w:unhideWhenUsed/>
    <w:rsid w:val="003E3264"/>
    <w:pPr>
      <w:spacing w:before="120" w:after="120"/>
    </w:pPr>
    <w:rPr>
      <w:b/>
      <w:bCs/>
      <w:color w:val="000000" w:themeColor="text1"/>
    </w:rPr>
  </w:style>
  <w:style w:type="character" w:customStyle="1" w:styleId="CommentSubjectChar">
    <w:name w:val="Comment Subject Char"/>
    <w:basedOn w:val="CommentTextChar"/>
    <w:link w:val="CommentSubject"/>
    <w:semiHidden/>
    <w:rsid w:val="003E3264"/>
    <w:rPr>
      <w:rFonts w:ascii="Arial" w:hAnsi="Arial"/>
      <w:b/>
      <w:bCs/>
      <w:color w:val="000000" w:themeColor="text1"/>
      <w:lang w:eastAsia="en-US"/>
    </w:rPr>
  </w:style>
  <w:style w:type="paragraph" w:styleId="Revision">
    <w:name w:val="Revision"/>
    <w:hidden/>
    <w:uiPriority w:val="99"/>
    <w:semiHidden/>
    <w:rsid w:val="00AF3572"/>
    <w:rPr>
      <w:rFonts w:ascii="Arial" w:hAnsi="Arial"/>
      <w:color w:val="000000" w:themeColor="text1"/>
      <w:sz w:val="22"/>
      <w:szCs w:val="24"/>
      <w:lang w:eastAsia="en-US"/>
    </w:rPr>
  </w:style>
  <w:style w:type="paragraph" w:styleId="ListNumber">
    <w:name w:val="List Number"/>
    <w:basedOn w:val="Normal"/>
    <w:rsid w:val="00CA58F1"/>
    <w:pPr>
      <w:numPr>
        <w:numId w:val="8"/>
      </w:numPr>
      <w:contextualSpacing/>
    </w:pPr>
  </w:style>
  <w:style w:type="character" w:styleId="UnresolvedMention">
    <w:name w:val="Unresolved Mention"/>
    <w:basedOn w:val="DefaultParagraphFont"/>
    <w:uiPriority w:val="99"/>
    <w:semiHidden/>
    <w:unhideWhenUsed/>
    <w:rsid w:val="003666CC"/>
    <w:rPr>
      <w:color w:val="605E5C"/>
      <w:shd w:val="clear" w:color="auto" w:fill="E1DFDD"/>
    </w:rPr>
  </w:style>
  <w:style w:type="character" w:styleId="FollowedHyperlink">
    <w:name w:val="FollowedHyperlink"/>
    <w:basedOn w:val="DefaultParagraphFont"/>
    <w:semiHidden/>
    <w:unhideWhenUsed/>
    <w:rsid w:val="001F27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04769">
      <w:bodyDiv w:val="1"/>
      <w:marLeft w:val="0"/>
      <w:marRight w:val="0"/>
      <w:marTop w:val="0"/>
      <w:marBottom w:val="0"/>
      <w:divBdr>
        <w:top w:val="none" w:sz="0" w:space="0" w:color="auto"/>
        <w:left w:val="none" w:sz="0" w:space="0" w:color="auto"/>
        <w:bottom w:val="none" w:sz="0" w:space="0" w:color="auto"/>
        <w:right w:val="none" w:sz="0" w:space="0" w:color="auto"/>
      </w:divBdr>
    </w:div>
    <w:div w:id="153182602">
      <w:bodyDiv w:val="1"/>
      <w:marLeft w:val="0"/>
      <w:marRight w:val="0"/>
      <w:marTop w:val="0"/>
      <w:marBottom w:val="0"/>
      <w:divBdr>
        <w:top w:val="none" w:sz="0" w:space="0" w:color="auto"/>
        <w:left w:val="none" w:sz="0" w:space="0" w:color="auto"/>
        <w:bottom w:val="none" w:sz="0" w:space="0" w:color="auto"/>
        <w:right w:val="none" w:sz="0" w:space="0" w:color="auto"/>
      </w:divBdr>
    </w:div>
    <w:div w:id="194466202">
      <w:bodyDiv w:val="1"/>
      <w:marLeft w:val="0"/>
      <w:marRight w:val="0"/>
      <w:marTop w:val="0"/>
      <w:marBottom w:val="0"/>
      <w:divBdr>
        <w:top w:val="none" w:sz="0" w:space="0" w:color="auto"/>
        <w:left w:val="none" w:sz="0" w:space="0" w:color="auto"/>
        <w:bottom w:val="none" w:sz="0" w:space="0" w:color="auto"/>
        <w:right w:val="none" w:sz="0" w:space="0" w:color="auto"/>
      </w:divBdr>
    </w:div>
    <w:div w:id="234358716">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1287">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91622706">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56109750">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773400916">
      <w:bodyDiv w:val="1"/>
      <w:marLeft w:val="0"/>
      <w:marRight w:val="0"/>
      <w:marTop w:val="0"/>
      <w:marBottom w:val="0"/>
      <w:divBdr>
        <w:top w:val="none" w:sz="0" w:space="0" w:color="auto"/>
        <w:left w:val="none" w:sz="0" w:space="0" w:color="auto"/>
        <w:bottom w:val="none" w:sz="0" w:space="0" w:color="auto"/>
        <w:right w:val="none" w:sz="0" w:space="0" w:color="auto"/>
      </w:divBdr>
      <w:divsChild>
        <w:div w:id="1616403247">
          <w:marLeft w:val="547"/>
          <w:marRight w:val="0"/>
          <w:marTop w:val="0"/>
          <w:marBottom w:val="0"/>
          <w:divBdr>
            <w:top w:val="none" w:sz="0" w:space="0" w:color="auto"/>
            <w:left w:val="none" w:sz="0" w:space="0" w:color="auto"/>
            <w:bottom w:val="none" w:sz="0" w:space="0" w:color="auto"/>
            <w:right w:val="none" w:sz="0" w:space="0" w:color="auto"/>
          </w:divBdr>
        </w:div>
      </w:divsChild>
    </w:div>
    <w:div w:id="800613279">
      <w:bodyDiv w:val="1"/>
      <w:marLeft w:val="0"/>
      <w:marRight w:val="0"/>
      <w:marTop w:val="0"/>
      <w:marBottom w:val="0"/>
      <w:divBdr>
        <w:top w:val="none" w:sz="0" w:space="0" w:color="auto"/>
        <w:left w:val="none" w:sz="0" w:space="0" w:color="auto"/>
        <w:bottom w:val="none" w:sz="0" w:space="0" w:color="auto"/>
        <w:right w:val="none" w:sz="0" w:space="0" w:color="auto"/>
      </w:divBdr>
    </w:div>
    <w:div w:id="875196230">
      <w:bodyDiv w:val="1"/>
      <w:marLeft w:val="0"/>
      <w:marRight w:val="0"/>
      <w:marTop w:val="0"/>
      <w:marBottom w:val="0"/>
      <w:divBdr>
        <w:top w:val="none" w:sz="0" w:space="0" w:color="auto"/>
        <w:left w:val="none" w:sz="0" w:space="0" w:color="auto"/>
        <w:bottom w:val="none" w:sz="0" w:space="0" w:color="auto"/>
        <w:right w:val="none" w:sz="0" w:space="0" w:color="auto"/>
      </w:divBdr>
    </w:div>
    <w:div w:id="895118808">
      <w:bodyDiv w:val="1"/>
      <w:marLeft w:val="0"/>
      <w:marRight w:val="0"/>
      <w:marTop w:val="0"/>
      <w:marBottom w:val="0"/>
      <w:divBdr>
        <w:top w:val="none" w:sz="0" w:space="0" w:color="auto"/>
        <w:left w:val="none" w:sz="0" w:space="0" w:color="auto"/>
        <w:bottom w:val="none" w:sz="0" w:space="0" w:color="auto"/>
        <w:right w:val="none" w:sz="0" w:space="0" w:color="auto"/>
      </w:divBdr>
    </w:div>
    <w:div w:id="1017997052">
      <w:bodyDiv w:val="1"/>
      <w:marLeft w:val="0"/>
      <w:marRight w:val="0"/>
      <w:marTop w:val="0"/>
      <w:marBottom w:val="0"/>
      <w:divBdr>
        <w:top w:val="none" w:sz="0" w:space="0" w:color="auto"/>
        <w:left w:val="none" w:sz="0" w:space="0" w:color="auto"/>
        <w:bottom w:val="none" w:sz="0" w:space="0" w:color="auto"/>
        <w:right w:val="none" w:sz="0" w:space="0" w:color="auto"/>
      </w:divBdr>
      <w:divsChild>
        <w:div w:id="2101363635">
          <w:marLeft w:val="547"/>
          <w:marRight w:val="0"/>
          <w:marTop w:val="0"/>
          <w:marBottom w:val="0"/>
          <w:divBdr>
            <w:top w:val="none" w:sz="0" w:space="0" w:color="auto"/>
            <w:left w:val="none" w:sz="0" w:space="0" w:color="auto"/>
            <w:bottom w:val="none" w:sz="0" w:space="0" w:color="auto"/>
            <w:right w:val="none" w:sz="0" w:space="0" w:color="auto"/>
          </w:divBdr>
        </w:div>
      </w:divsChild>
    </w:div>
    <w:div w:id="105146171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287159281">
      <w:bodyDiv w:val="1"/>
      <w:marLeft w:val="0"/>
      <w:marRight w:val="0"/>
      <w:marTop w:val="0"/>
      <w:marBottom w:val="0"/>
      <w:divBdr>
        <w:top w:val="none" w:sz="0" w:space="0" w:color="auto"/>
        <w:left w:val="none" w:sz="0" w:space="0" w:color="auto"/>
        <w:bottom w:val="none" w:sz="0" w:space="0" w:color="auto"/>
        <w:right w:val="none" w:sz="0" w:space="0" w:color="auto"/>
      </w:divBdr>
    </w:div>
    <w:div w:id="1398430595">
      <w:bodyDiv w:val="1"/>
      <w:marLeft w:val="0"/>
      <w:marRight w:val="0"/>
      <w:marTop w:val="0"/>
      <w:marBottom w:val="0"/>
      <w:divBdr>
        <w:top w:val="none" w:sz="0" w:space="0" w:color="auto"/>
        <w:left w:val="none" w:sz="0" w:space="0" w:color="auto"/>
        <w:bottom w:val="none" w:sz="0" w:space="0" w:color="auto"/>
        <w:right w:val="none" w:sz="0" w:space="0" w:color="auto"/>
      </w:divBdr>
    </w:div>
    <w:div w:id="1470711046">
      <w:bodyDiv w:val="1"/>
      <w:marLeft w:val="0"/>
      <w:marRight w:val="0"/>
      <w:marTop w:val="0"/>
      <w:marBottom w:val="0"/>
      <w:divBdr>
        <w:top w:val="none" w:sz="0" w:space="0" w:color="auto"/>
        <w:left w:val="none" w:sz="0" w:space="0" w:color="auto"/>
        <w:bottom w:val="none" w:sz="0" w:space="0" w:color="auto"/>
        <w:right w:val="none" w:sz="0" w:space="0" w:color="auto"/>
      </w:divBdr>
    </w:div>
    <w:div w:id="1611206988">
      <w:bodyDiv w:val="1"/>
      <w:marLeft w:val="0"/>
      <w:marRight w:val="0"/>
      <w:marTop w:val="0"/>
      <w:marBottom w:val="0"/>
      <w:divBdr>
        <w:top w:val="none" w:sz="0" w:space="0" w:color="auto"/>
        <w:left w:val="none" w:sz="0" w:space="0" w:color="auto"/>
        <w:bottom w:val="none" w:sz="0" w:space="0" w:color="auto"/>
        <w:right w:val="none" w:sz="0" w:space="0" w:color="auto"/>
      </w:divBdr>
    </w:div>
    <w:div w:id="1631663061">
      <w:bodyDiv w:val="1"/>
      <w:marLeft w:val="0"/>
      <w:marRight w:val="0"/>
      <w:marTop w:val="0"/>
      <w:marBottom w:val="0"/>
      <w:divBdr>
        <w:top w:val="none" w:sz="0" w:space="0" w:color="auto"/>
        <w:left w:val="none" w:sz="0" w:space="0" w:color="auto"/>
        <w:bottom w:val="none" w:sz="0" w:space="0" w:color="auto"/>
        <w:right w:val="none" w:sz="0" w:space="0" w:color="auto"/>
      </w:divBdr>
    </w:div>
    <w:div w:id="1646860741">
      <w:bodyDiv w:val="1"/>
      <w:marLeft w:val="0"/>
      <w:marRight w:val="0"/>
      <w:marTop w:val="0"/>
      <w:marBottom w:val="0"/>
      <w:divBdr>
        <w:top w:val="none" w:sz="0" w:space="0" w:color="auto"/>
        <w:left w:val="none" w:sz="0" w:space="0" w:color="auto"/>
        <w:bottom w:val="none" w:sz="0" w:space="0" w:color="auto"/>
        <w:right w:val="none" w:sz="0" w:space="0" w:color="auto"/>
      </w:divBdr>
    </w:div>
    <w:div w:id="1656950067">
      <w:bodyDiv w:val="1"/>
      <w:marLeft w:val="0"/>
      <w:marRight w:val="0"/>
      <w:marTop w:val="0"/>
      <w:marBottom w:val="0"/>
      <w:divBdr>
        <w:top w:val="none" w:sz="0" w:space="0" w:color="auto"/>
        <w:left w:val="none" w:sz="0" w:space="0" w:color="auto"/>
        <w:bottom w:val="none" w:sz="0" w:space="0" w:color="auto"/>
        <w:right w:val="none" w:sz="0" w:space="0" w:color="auto"/>
      </w:divBdr>
    </w:div>
    <w:div w:id="1707950138">
      <w:bodyDiv w:val="1"/>
      <w:marLeft w:val="0"/>
      <w:marRight w:val="0"/>
      <w:marTop w:val="0"/>
      <w:marBottom w:val="0"/>
      <w:divBdr>
        <w:top w:val="none" w:sz="0" w:space="0" w:color="auto"/>
        <w:left w:val="none" w:sz="0" w:space="0" w:color="auto"/>
        <w:bottom w:val="none" w:sz="0" w:space="0" w:color="auto"/>
        <w:right w:val="none" w:sz="0" w:space="0" w:color="auto"/>
      </w:divBdr>
    </w:div>
    <w:div w:id="1765757665">
      <w:bodyDiv w:val="1"/>
      <w:marLeft w:val="0"/>
      <w:marRight w:val="0"/>
      <w:marTop w:val="0"/>
      <w:marBottom w:val="0"/>
      <w:divBdr>
        <w:top w:val="none" w:sz="0" w:space="0" w:color="auto"/>
        <w:left w:val="none" w:sz="0" w:space="0" w:color="auto"/>
        <w:bottom w:val="none" w:sz="0" w:space="0" w:color="auto"/>
        <w:right w:val="none" w:sz="0" w:space="0" w:color="auto"/>
      </w:divBdr>
    </w:div>
    <w:div w:id="1899851793">
      <w:bodyDiv w:val="1"/>
      <w:marLeft w:val="0"/>
      <w:marRight w:val="0"/>
      <w:marTop w:val="0"/>
      <w:marBottom w:val="0"/>
      <w:divBdr>
        <w:top w:val="none" w:sz="0" w:space="0" w:color="auto"/>
        <w:left w:val="none" w:sz="0" w:space="0" w:color="auto"/>
        <w:bottom w:val="none" w:sz="0" w:space="0" w:color="auto"/>
        <w:right w:val="none" w:sz="0" w:space="0" w:color="auto"/>
      </w:divBdr>
    </w:div>
    <w:div w:id="1907959715">
      <w:bodyDiv w:val="1"/>
      <w:marLeft w:val="0"/>
      <w:marRight w:val="0"/>
      <w:marTop w:val="0"/>
      <w:marBottom w:val="0"/>
      <w:divBdr>
        <w:top w:val="none" w:sz="0" w:space="0" w:color="auto"/>
        <w:left w:val="none" w:sz="0" w:space="0" w:color="auto"/>
        <w:bottom w:val="none" w:sz="0" w:space="0" w:color="auto"/>
        <w:right w:val="none" w:sz="0" w:space="0" w:color="auto"/>
      </w:divBdr>
    </w:div>
    <w:div w:id="210904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resources/apps-and-tools/stoma-appliance-scheme/schedule" TargetMode="External"/><Relationship Id="rId18" Type="http://schemas.openxmlformats.org/officeDocument/2006/relationships/hyperlink" Target="https://www.health.gov.au/initiatives-and-programs/stoma-appliance-scheme"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health.gov.au/resources/apps-and-tools/stoma-appliance-scheme/schedule" TargetMode="External"/><Relationship Id="rId17" Type="http://schemas.openxmlformats.org/officeDocument/2006/relationships/hyperlink" Target="https://www.health.gov.au/resources/collections/stoma-appliance-scheme-resources-for-suppliers" TargetMode="External"/><Relationship Id="rId2" Type="http://schemas.openxmlformats.org/officeDocument/2006/relationships/customXml" Target="../customXml/item2.xml"/><Relationship Id="rId16" Type="http://schemas.openxmlformats.org/officeDocument/2006/relationships/hyperlink" Target="https://www.health.gov.au/our-work/stoma-appliance-scheme/stoma-appliance-scheme-resources" TargetMode="External"/><Relationship Id="rId20" Type="http://schemas.openxmlformats.org/officeDocument/2006/relationships/hyperlink" Target="mailto:stoma@health.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stoma@health.gov.a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stoma@health.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initiatives-and-programs/stoma-appliance-scheme?utm_source=health.gov.au&amp;utm_medium=callout-auto-custom&amp;utm_campaign=digital_transformation"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nhmr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26f12c0-2397-4242-8c80-fd768a193b91"/>
    <k9e62685be2c405f85feeb7d59bccd54 xmlns="b26f12c0-2397-4242-8c80-fd768a193b91">
      <Terms xmlns="http://schemas.microsoft.com/office/infopath/2007/PartnerControls"/>
    </k9e62685be2c405f85feeb7d59bccd54>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Intranet Document" ma:contentTypeID="0x010100D187BEFF042AB247BFDAEBCEDD44B1C00095B49DA94573E042B2F386EB369D3E46" ma:contentTypeVersion="6" ma:contentTypeDescription="Use this template to create a new Intranet Document" ma:contentTypeScope="" ma:versionID="02a5e495f82b5560465d9612e43a99b5">
  <xsd:schema xmlns:xsd="http://www.w3.org/2001/XMLSchema" xmlns:xs="http://www.w3.org/2001/XMLSchema" xmlns:p="http://schemas.microsoft.com/office/2006/metadata/properties" xmlns:ns2="b26f12c0-2397-4242-8c80-fd768a193b91" targetNamespace="http://schemas.microsoft.com/office/2006/metadata/properties" ma:root="true" ma:fieldsID="52b480a199e2418fc85399c8ace7daef" ns2:_="">
    <xsd:import namespace="b26f12c0-2397-4242-8c80-fd768a193b91"/>
    <xsd:element name="properties">
      <xsd:complexType>
        <xsd:sequence>
          <xsd:element name="documentManagement">
            <xsd:complexType>
              <xsd:all>
                <xsd:element ref="ns2:k9e62685be2c405f85feeb7d59bccd5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6f12c0-2397-4242-8c80-fd768a193b91" elementFormDefault="qualified">
    <xsd:import namespace="http://schemas.microsoft.com/office/2006/documentManagement/types"/>
    <xsd:import namespace="http://schemas.microsoft.com/office/infopath/2007/PartnerControls"/>
    <xsd:element name="k9e62685be2c405f85feeb7d59bccd54" ma:index="8" nillable="true" ma:taxonomy="true" ma:internalName="k9e62685be2c405f85feeb7d59bccd54" ma:taxonomyFieldName="IntranetTopics" ma:displayName="Intranet Topics" ma:readOnly="false" ma:default="" ma:fieldId="{49e62685-be2c-405f-85fe-eb7d59bccd54}" ma:taxonomyMulti="true" ma:sspId="f2f65582-1933-475e-97e6-ecaac437d71e" ma:termSetId="1a61460b-a038-4df9-a301-e1c01aaddbcd"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4ef1f974-7099-405e-9af7-5c384f03feb5}" ma:internalName="TaxCatchAll" ma:showField="CatchAllData" ma:web="28093982-a616-49b5-b657-c9f81c6a5c4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ef1f974-7099-405e-9af7-5c384f03feb5}" ma:internalName="TaxCatchAllLabel" ma:readOnly="true" ma:showField="CatchAllDataLabel" ma:web="28093982-a616-49b5-b657-c9f81c6a5c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b26f12c0-2397-4242-8c80-fd768a193b91"/>
  </ds:schemaRefs>
</ds:datastoreItem>
</file>

<file path=customXml/itemProps3.xml><?xml version="1.0" encoding="utf-8"?>
<ds:datastoreItem xmlns:ds="http://schemas.openxmlformats.org/officeDocument/2006/customXml" ds:itemID="{0FB9117E-35B3-4AB3-A88F-834EF93E30D0}">
  <ds:schemaRefs>
    <ds:schemaRef ds:uri="http://schemas.openxmlformats.org/officeDocument/2006/bibliography"/>
  </ds:schemaRefs>
</ds:datastoreItem>
</file>

<file path=customXml/itemProps4.xml><?xml version="1.0" encoding="utf-8"?>
<ds:datastoreItem xmlns:ds="http://schemas.openxmlformats.org/officeDocument/2006/customXml" ds:itemID="{9D03F9F3-A85E-4480-B4CF-65447CD245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6f12c0-2397-4242-8c80-fd768a193b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24</Pages>
  <Words>7003</Words>
  <Characters>39918</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Stoma Appliance Scheme – Application and Assessment Guidelines</vt:lpstr>
    </vt:vector>
  </TitlesOfParts>
  <Company/>
  <LinksUpToDate>false</LinksUpToDate>
  <CharactersWithSpaces>46828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Stoma Appliance Scheme – Application and Assessment Guidelines</dc:title>
  <dc:subject>Bladder and bowel</dc:subject>
  <dc:creator>Australian Government Department of Health and Aged Care</dc:creator>
  <cp:keywords>stoma; bladder and bowel; health technology assessment; stoma product assessment panel;</cp:keywords>
  <cp:lastModifiedBy>GREENWOOD, Anna</cp:lastModifiedBy>
  <cp:revision>17</cp:revision>
  <cp:lastPrinted>2022-06-22T22:44:00Z</cp:lastPrinted>
  <dcterms:created xsi:type="dcterms:W3CDTF">2023-05-11T01:39:00Z</dcterms:created>
  <dcterms:modified xsi:type="dcterms:W3CDTF">2023-06-28T03:26:00Z</dcterms:modified>
</cp:coreProperties>
</file>