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E4BFE" w14:textId="77777777" w:rsidR="0034293D" w:rsidRPr="00BC3255" w:rsidRDefault="0034293D" w:rsidP="0034293D">
      <w:pPr>
        <w:pStyle w:val="Title"/>
      </w:pPr>
      <w:r>
        <w:t xml:space="preserve">Portal user guide – </w:t>
      </w:r>
      <w:r w:rsidRPr="00BC3255">
        <w:t xml:space="preserve">Process a </w:t>
      </w:r>
      <w:r>
        <w:t>r</w:t>
      </w:r>
      <w:r w:rsidRPr="00BC3255">
        <w:t>ecovery</w:t>
      </w:r>
    </w:p>
    <w:p w14:paraId="193620B9" w14:textId="77777777" w:rsidR="0034293D" w:rsidRPr="00BC3255" w:rsidRDefault="0034293D" w:rsidP="0034293D">
      <w:r w:rsidRPr="00BC3255">
        <w:t>Claims which were submitted in error, submitted with incorrect information or were not compliant with program requirements should be recovered using the HSO portal. Fitting claims should also be recovered if devices were returned for credit. Claims can only be recovered after they have been paid. Once recovered, the claim amount will be deducted from your next payment run.</w:t>
      </w:r>
    </w:p>
    <w:p w14:paraId="4C921DB1" w14:textId="77777777" w:rsidR="0034293D" w:rsidRDefault="0034293D" w:rsidP="0034293D">
      <w:pPr>
        <w:pStyle w:val="Heading1"/>
      </w:pPr>
      <w:r>
        <w:t>Access</w:t>
      </w:r>
    </w:p>
    <w:p w14:paraId="1C89E9E4" w14:textId="77777777" w:rsidR="0034293D" w:rsidRPr="00BC3255" w:rsidRDefault="0034293D" w:rsidP="0034293D">
      <w:pPr>
        <w:pStyle w:val="Heading2"/>
      </w:pPr>
      <w:r w:rsidRPr="00BC3255">
        <w:t>What access do I need?</w:t>
      </w:r>
    </w:p>
    <w:p w14:paraId="71DE9A74" w14:textId="77777777" w:rsidR="0034293D" w:rsidRPr="00BC3255" w:rsidRDefault="0034293D" w:rsidP="0034293D">
      <w:r>
        <w:t>SP Claims</w:t>
      </w:r>
      <w:r w:rsidRPr="00BC3255">
        <w:t xml:space="preserve"> </w:t>
      </w:r>
      <w:bookmarkStart w:id="0" w:name="What_else_do_I_need?"/>
      <w:bookmarkEnd w:id="0"/>
    </w:p>
    <w:p w14:paraId="03D8510D" w14:textId="77777777" w:rsidR="0034293D" w:rsidRDefault="0034293D" w:rsidP="0034293D">
      <w:pPr>
        <w:pStyle w:val="Heading1"/>
      </w:pPr>
      <w:r w:rsidRPr="00FB1892">
        <w:t xml:space="preserve">Processing a </w:t>
      </w:r>
      <w:r>
        <w:t>r</w:t>
      </w:r>
      <w:r w:rsidRPr="00FB1892">
        <w:t xml:space="preserve">ecovery in </w:t>
      </w:r>
      <w:r>
        <w:t>the portal</w:t>
      </w:r>
    </w:p>
    <w:p w14:paraId="1CAA0B69" w14:textId="77777777" w:rsidR="0034293D" w:rsidRPr="00FB1892" w:rsidRDefault="0034293D" w:rsidP="0034293D">
      <w:pPr>
        <w:pStyle w:val="Heading2"/>
      </w:pPr>
      <w:r w:rsidRPr="00FB1892">
        <w:t>Step 1</w:t>
      </w:r>
    </w:p>
    <w:p w14:paraId="42846AA6" w14:textId="77777777" w:rsidR="0034293D" w:rsidRDefault="0034293D" w:rsidP="0034293D">
      <w:r>
        <w:t>Log</w:t>
      </w:r>
      <w:r w:rsidRPr="00BC3255">
        <w:t xml:space="preserve"> </w:t>
      </w:r>
      <w:r>
        <w:t>in</w:t>
      </w:r>
      <w:r w:rsidRPr="00BC3255">
        <w:t xml:space="preserve"> </w:t>
      </w:r>
      <w:r>
        <w:t>to</w:t>
      </w:r>
      <w:r w:rsidRPr="00BC3255">
        <w:t xml:space="preserve"> </w:t>
      </w:r>
      <w:r>
        <w:t>the</w:t>
      </w:r>
      <w:r w:rsidRPr="00BC3255">
        <w:t xml:space="preserve"> </w:t>
      </w:r>
      <w:r>
        <w:t xml:space="preserve">portal, select the </w:t>
      </w:r>
      <w:r w:rsidRPr="00BC3255">
        <w:t>client</w:t>
      </w:r>
      <w:r>
        <w:t xml:space="preserve"> tab, search for a </w:t>
      </w:r>
      <w:proofErr w:type="gramStart"/>
      <w:r>
        <w:t>client</w:t>
      </w:r>
      <w:proofErr w:type="gramEnd"/>
      <w:r w:rsidRPr="00BC3255">
        <w:t xml:space="preserve"> </w:t>
      </w:r>
      <w:r>
        <w:t>and bring</w:t>
      </w:r>
      <w:r w:rsidRPr="00BC3255">
        <w:t xml:space="preserve"> </w:t>
      </w:r>
      <w:r>
        <w:t>up</w:t>
      </w:r>
      <w:r w:rsidRPr="00BC3255">
        <w:t xml:space="preserve"> </w:t>
      </w:r>
      <w:r>
        <w:t>the</w:t>
      </w:r>
      <w:r w:rsidRPr="00BC3255">
        <w:t xml:space="preserve"> </w:t>
      </w:r>
      <w:r>
        <w:t>client</w:t>
      </w:r>
      <w:r w:rsidRPr="00BC3255">
        <w:t xml:space="preserve"> </w:t>
      </w:r>
      <w:r>
        <w:t>details</w:t>
      </w:r>
      <w:r w:rsidRPr="00BC3255">
        <w:t xml:space="preserve"> screen.</w:t>
      </w:r>
    </w:p>
    <w:p w14:paraId="6CFC4249" w14:textId="77777777" w:rsidR="0034293D" w:rsidRPr="00FB1892" w:rsidRDefault="0034293D" w:rsidP="0034293D">
      <w:pPr>
        <w:pStyle w:val="Heading2"/>
      </w:pPr>
      <w:bookmarkStart w:id="1" w:name="Processing_a_Recovery_in_HSO"/>
      <w:bookmarkEnd w:id="1"/>
      <w:r w:rsidRPr="00FB1892">
        <w:t>Step 2</w:t>
      </w:r>
    </w:p>
    <w:p w14:paraId="2487DE83" w14:textId="77777777" w:rsidR="0034293D" w:rsidRPr="00BC3255" w:rsidRDefault="0034293D" w:rsidP="0034293D">
      <w:r w:rsidRPr="00BC3255">
        <w:t xml:space="preserve">In the Claims History </w:t>
      </w:r>
      <w:r>
        <w:t>tab</w:t>
      </w:r>
      <w:r w:rsidRPr="00BC3255">
        <w:t xml:space="preserve">, click the </w:t>
      </w:r>
      <w:r w:rsidRPr="00BC3255">
        <w:rPr>
          <w:rStyle w:val="Bluebuttonstyle"/>
        </w:rPr>
        <w:t>item number</w:t>
      </w:r>
      <w:r w:rsidRPr="00BC3255">
        <w:t xml:space="preserve"> </w:t>
      </w:r>
      <w:r>
        <w:t>that</w:t>
      </w:r>
      <w:r w:rsidRPr="00BC3255">
        <w:t xml:space="preserve"> </w:t>
      </w:r>
      <w:r>
        <w:t>you</w:t>
      </w:r>
      <w:r w:rsidRPr="00BC3255">
        <w:t xml:space="preserve"> </w:t>
      </w:r>
      <w:r>
        <w:t>wish</w:t>
      </w:r>
      <w:r w:rsidRPr="00BC3255">
        <w:t xml:space="preserve"> to </w:t>
      </w:r>
      <w:r>
        <w:t xml:space="preserve">recover or click the </w:t>
      </w:r>
      <w:r w:rsidRPr="00BC3255">
        <w:rPr>
          <w:rStyle w:val="Bluebuttonstyle"/>
        </w:rPr>
        <w:t>View All</w:t>
      </w:r>
      <w:r w:rsidRPr="00BC3255">
        <w:t xml:space="preserve"> button if you can’t see the claim that needs to be recovered. </w:t>
      </w:r>
    </w:p>
    <w:p w14:paraId="0B7001F6" w14:textId="77777777" w:rsidR="0034293D" w:rsidRDefault="0034293D" w:rsidP="0034293D">
      <w:r>
        <w:rPr>
          <w:noProof/>
        </w:rPr>
        <w:drawing>
          <wp:inline distT="0" distB="0" distL="0" distR="0" wp14:anchorId="0B5EAE1D" wp14:editId="4A4A4F1F">
            <wp:extent cx="3600000" cy="1803352"/>
            <wp:effectExtent l="152400" t="152400" r="362585" b="368935"/>
            <wp:docPr id="1" name="Picture 1" descr="Screenshot of the Claims History, with headers (left to right): Claim Source, Item number, Date of Service, Date of Payment and Claim Statu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reenshot of the Claims History, with headers (left to right): Claim Source, Item number, Date of Service, Date of Payment and Claim Status.&#10;"/>
                    <pic:cNvPicPr/>
                  </pic:nvPicPr>
                  <pic:blipFill>
                    <a:blip r:embed="rId11"/>
                    <a:stretch>
                      <a:fillRect/>
                    </a:stretch>
                  </pic:blipFill>
                  <pic:spPr>
                    <a:xfrm>
                      <a:off x="0" y="0"/>
                      <a:ext cx="3600000" cy="1803352"/>
                    </a:xfrm>
                    <a:prstGeom prst="rect">
                      <a:avLst/>
                    </a:prstGeom>
                    <a:ln>
                      <a:noFill/>
                    </a:ln>
                    <a:effectLst>
                      <a:outerShdw blurRad="292100" dist="139700" dir="2700000" algn="tl" rotWithShape="0">
                        <a:srgbClr val="333333">
                          <a:alpha val="65000"/>
                        </a:srgbClr>
                      </a:outerShdw>
                    </a:effectLst>
                  </pic:spPr>
                </pic:pic>
              </a:graphicData>
            </a:graphic>
          </wp:inline>
        </w:drawing>
      </w:r>
    </w:p>
    <w:p w14:paraId="630800F3" w14:textId="77777777" w:rsidR="0034293D" w:rsidRPr="007E6604" w:rsidRDefault="0034293D" w:rsidP="0034293D">
      <w:pPr>
        <w:rPr>
          <w:rFonts w:eastAsiaTheme="majorEastAsia"/>
        </w:rPr>
      </w:pPr>
      <w:r w:rsidRPr="00B90264">
        <w:lastRenderedPageBreak/>
        <w:t>The</w:t>
      </w:r>
      <w:r w:rsidRPr="007E6604">
        <w:rPr>
          <w:rFonts w:eastAsiaTheme="majorEastAsia"/>
        </w:rPr>
        <w:t xml:space="preserve"> </w:t>
      </w:r>
      <w:r w:rsidRPr="007E6604">
        <w:t>Claim Details</w:t>
      </w:r>
      <w:r w:rsidRPr="007E6604">
        <w:rPr>
          <w:rFonts w:eastAsiaTheme="majorEastAsia"/>
        </w:rPr>
        <w:t xml:space="preserve"> </w:t>
      </w:r>
      <w:r w:rsidRPr="00B90264">
        <w:t>page will appear. Scroll to the bottom of this page and click the</w:t>
      </w:r>
      <w:r w:rsidRPr="007E6604">
        <w:rPr>
          <w:rFonts w:eastAsiaTheme="majorEastAsia"/>
        </w:rPr>
        <w:t xml:space="preserve"> </w:t>
      </w:r>
      <w:r w:rsidRPr="007E6604">
        <w:rPr>
          <w:rStyle w:val="Bluebuttonstyle"/>
        </w:rPr>
        <w:t>Recover</w:t>
      </w:r>
      <w:r w:rsidRPr="007E6604">
        <w:rPr>
          <w:rFonts w:eastAsiaTheme="majorEastAsia"/>
        </w:rPr>
        <w:t xml:space="preserve"> button. </w:t>
      </w:r>
    </w:p>
    <w:p w14:paraId="4519482A" w14:textId="77777777" w:rsidR="0034293D" w:rsidRDefault="0034293D" w:rsidP="0034293D">
      <w:r>
        <w:rPr>
          <w:noProof/>
        </w:rPr>
        <w:drawing>
          <wp:inline distT="0" distB="0" distL="0" distR="0" wp14:anchorId="1FCA4822" wp14:editId="2E3DFB19">
            <wp:extent cx="1800000" cy="641379"/>
            <wp:effectExtent l="152400" t="152400" r="353060" b="368300"/>
            <wp:docPr id="2" name="Picture 2" descr="Screenshot of the Recover and Cancel buttons on the Hearing Services Online port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creenshot of the Recover and Cancel buttons on the Hearing Services Online portal. "/>
                    <pic:cNvPicPr/>
                  </pic:nvPicPr>
                  <pic:blipFill>
                    <a:blip r:embed="rId12"/>
                    <a:stretch>
                      <a:fillRect/>
                    </a:stretch>
                  </pic:blipFill>
                  <pic:spPr>
                    <a:xfrm>
                      <a:off x="0" y="0"/>
                      <a:ext cx="1800000" cy="641379"/>
                    </a:xfrm>
                    <a:prstGeom prst="rect">
                      <a:avLst/>
                    </a:prstGeom>
                    <a:ln>
                      <a:noFill/>
                    </a:ln>
                    <a:effectLst>
                      <a:outerShdw blurRad="292100" dist="139700" dir="2700000" algn="tl" rotWithShape="0">
                        <a:srgbClr val="333333">
                          <a:alpha val="65000"/>
                        </a:srgbClr>
                      </a:outerShdw>
                    </a:effectLst>
                  </pic:spPr>
                </pic:pic>
              </a:graphicData>
            </a:graphic>
          </wp:inline>
        </w:drawing>
      </w:r>
    </w:p>
    <w:p w14:paraId="75F23D95" w14:textId="77777777" w:rsidR="0034293D" w:rsidRPr="00B90264" w:rsidRDefault="0034293D" w:rsidP="0034293D">
      <w:pPr>
        <w:pStyle w:val="Heading2"/>
      </w:pPr>
      <w:r w:rsidRPr="00B90264">
        <w:t>Step 3</w:t>
      </w:r>
    </w:p>
    <w:p w14:paraId="69318486" w14:textId="77777777" w:rsidR="0034293D" w:rsidRDefault="0034293D" w:rsidP="0034293D">
      <w:r>
        <w:t>The</w:t>
      </w:r>
      <w:r w:rsidRPr="007E6604">
        <w:t xml:space="preserve"> Recovery Reason field</w:t>
      </w:r>
      <w:r>
        <w:t xml:space="preserve"> will appear. </w:t>
      </w:r>
    </w:p>
    <w:p w14:paraId="2BB5EB36" w14:textId="77777777" w:rsidR="0034293D" w:rsidRDefault="0034293D" w:rsidP="0034293D">
      <w:r w:rsidRPr="007E6604">
        <w:t>S</w:t>
      </w:r>
      <w:r w:rsidRPr="0CE0D600">
        <w:t>elect</w:t>
      </w:r>
      <w:r w:rsidRPr="007E6604">
        <w:t xml:space="preserve"> </w:t>
      </w:r>
      <w:r w:rsidRPr="0CE0D600">
        <w:t>one</w:t>
      </w:r>
      <w:r w:rsidRPr="007E6604">
        <w:t xml:space="preserve"> </w:t>
      </w:r>
      <w:r w:rsidRPr="0CE0D600">
        <w:t>of</w:t>
      </w:r>
      <w:r w:rsidRPr="007E6604">
        <w:t xml:space="preserve"> </w:t>
      </w:r>
      <w:r w:rsidRPr="0CE0D600">
        <w:t>the</w:t>
      </w:r>
      <w:r w:rsidRPr="007E6604">
        <w:t xml:space="preserve"> </w:t>
      </w:r>
      <w:r w:rsidRPr="0CE0D600">
        <w:t xml:space="preserve">8 </w:t>
      </w:r>
      <w:r w:rsidRPr="007E6604">
        <w:t>options</w:t>
      </w:r>
      <w:r w:rsidRPr="0CE0D600">
        <w:rPr>
          <w:b/>
          <w:bCs/>
          <w:color w:val="FF0000"/>
          <w:spacing w:val="-2"/>
        </w:rPr>
        <w:t>*</w:t>
      </w:r>
      <w:r w:rsidRPr="007E6604">
        <w:t>:</w:t>
      </w:r>
    </w:p>
    <w:p w14:paraId="7D0D4AFC" w14:textId="77777777" w:rsidR="0034293D" w:rsidRPr="007E6604" w:rsidRDefault="0034293D" w:rsidP="0034293D">
      <w:pPr>
        <w:pStyle w:val="ListBullet"/>
        <w:numPr>
          <w:ilvl w:val="0"/>
          <w:numId w:val="17"/>
        </w:numPr>
      </w:pPr>
      <w:r w:rsidRPr="00A23853">
        <w:rPr>
          <w:b/>
          <w:bCs/>
        </w:rPr>
        <w:t>Aid/s returned for credit</w:t>
      </w:r>
      <w:r w:rsidRPr="007E6604">
        <w:t>:</w:t>
      </w:r>
      <w:r w:rsidRPr="0CE0D600">
        <w:t xml:space="preserve"> aids fitted, now returned by the client – unsuccessful fitting</w:t>
      </w:r>
    </w:p>
    <w:p w14:paraId="0202939F" w14:textId="77777777" w:rsidR="0034293D" w:rsidRPr="007E6604" w:rsidRDefault="0034293D" w:rsidP="0034293D">
      <w:pPr>
        <w:pStyle w:val="ListBullet"/>
        <w:numPr>
          <w:ilvl w:val="0"/>
          <w:numId w:val="17"/>
        </w:numPr>
      </w:pPr>
      <w:r w:rsidRPr="00A23853">
        <w:rPr>
          <w:b/>
          <w:bCs/>
        </w:rPr>
        <w:t>Change of device</w:t>
      </w:r>
      <w:r>
        <w:t>:</w:t>
      </w:r>
      <w:r w:rsidRPr="0CE0D600">
        <w:t xml:space="preserve"> there has been a change device/s (C1, C2 or C3)</w:t>
      </w:r>
    </w:p>
    <w:p w14:paraId="37E5E7CB" w14:textId="77777777" w:rsidR="0034293D" w:rsidRPr="007E6604" w:rsidRDefault="0034293D" w:rsidP="0034293D">
      <w:pPr>
        <w:pStyle w:val="ListBullet"/>
        <w:numPr>
          <w:ilvl w:val="0"/>
          <w:numId w:val="17"/>
        </w:numPr>
      </w:pPr>
      <w:r w:rsidRPr="00A23853">
        <w:rPr>
          <w:b/>
          <w:bCs/>
        </w:rPr>
        <w:t>Item claimed against incorrect client</w:t>
      </w:r>
      <w:r w:rsidRPr="007E6604">
        <w:t>:</w:t>
      </w:r>
      <w:r w:rsidRPr="0CE0D600">
        <w:t xml:space="preserve"> a claim has been made against an incorrect client record</w:t>
      </w:r>
    </w:p>
    <w:p w14:paraId="09FA36F6" w14:textId="77777777" w:rsidR="0034293D" w:rsidRPr="007E6604" w:rsidRDefault="0034293D" w:rsidP="0034293D">
      <w:pPr>
        <w:pStyle w:val="ListBullet"/>
        <w:numPr>
          <w:ilvl w:val="0"/>
          <w:numId w:val="17"/>
        </w:numPr>
      </w:pPr>
      <w:r w:rsidRPr="00A23853">
        <w:rPr>
          <w:b/>
          <w:bCs/>
        </w:rPr>
        <w:t>Client is monaurally fitted</w:t>
      </w:r>
      <w:r w:rsidRPr="007E6604">
        <w:t>:</w:t>
      </w:r>
      <w:r w:rsidRPr="0CE0D600">
        <w:t xml:space="preserve"> a binaural service has been claimed in error</w:t>
      </w:r>
    </w:p>
    <w:p w14:paraId="5F1B282C" w14:textId="77777777" w:rsidR="0034293D" w:rsidRPr="007E6604" w:rsidRDefault="0034293D" w:rsidP="0034293D">
      <w:pPr>
        <w:pStyle w:val="ListBullet"/>
        <w:numPr>
          <w:ilvl w:val="0"/>
          <w:numId w:val="17"/>
        </w:numPr>
      </w:pPr>
      <w:r w:rsidRPr="00A23853">
        <w:rPr>
          <w:b/>
          <w:bCs/>
        </w:rPr>
        <w:t>e-Claim approved in error</w:t>
      </w:r>
      <w:r w:rsidRPr="007E6604">
        <w:t xml:space="preserve">: </w:t>
      </w:r>
      <w:r w:rsidRPr="0CE0D600">
        <w:t>an e-Claim was submitted and approved in error</w:t>
      </w:r>
    </w:p>
    <w:p w14:paraId="2FE111A7" w14:textId="77777777" w:rsidR="0034293D" w:rsidRPr="007E6604" w:rsidRDefault="0034293D" w:rsidP="0034293D">
      <w:pPr>
        <w:pStyle w:val="ListBullet"/>
        <w:numPr>
          <w:ilvl w:val="0"/>
          <w:numId w:val="17"/>
        </w:numPr>
      </w:pPr>
      <w:r w:rsidRPr="00A23853">
        <w:rPr>
          <w:b/>
          <w:bCs/>
        </w:rPr>
        <w:t>HSO claim approved in error</w:t>
      </w:r>
      <w:r>
        <w:t>:</w:t>
      </w:r>
      <w:r w:rsidRPr="0CE0D600">
        <w:t xml:space="preserve"> a Portal claim was submitted and approved in error</w:t>
      </w:r>
    </w:p>
    <w:p w14:paraId="686EFC32" w14:textId="77777777" w:rsidR="0034293D" w:rsidRPr="007E6604" w:rsidRDefault="0034293D" w:rsidP="0034293D">
      <w:pPr>
        <w:pStyle w:val="ListBullet"/>
        <w:numPr>
          <w:ilvl w:val="0"/>
          <w:numId w:val="17"/>
        </w:numPr>
      </w:pPr>
      <w:r w:rsidRPr="00A23853">
        <w:rPr>
          <w:b/>
          <w:bCs/>
        </w:rPr>
        <w:t>Incorrect item claimed</w:t>
      </w:r>
      <w:r w:rsidRPr="007E6604">
        <w:t>:</w:t>
      </w:r>
      <w:r w:rsidRPr="0CE0D600">
        <w:t xml:space="preserve"> an item was submitted and approved in error</w:t>
      </w:r>
    </w:p>
    <w:p w14:paraId="04CE03C7" w14:textId="77777777" w:rsidR="0034293D" w:rsidRDefault="0034293D" w:rsidP="0034293D">
      <w:pPr>
        <w:pStyle w:val="ListBullet"/>
        <w:numPr>
          <w:ilvl w:val="0"/>
          <w:numId w:val="17"/>
        </w:numPr>
      </w:pPr>
      <w:r w:rsidRPr="00A23853">
        <w:rPr>
          <w:b/>
          <w:bCs/>
        </w:rPr>
        <w:t>Other</w:t>
      </w:r>
      <w:r w:rsidRPr="007E6604">
        <w:t>:</w:t>
      </w:r>
      <w:r w:rsidRPr="0CE0D600">
        <w:t xml:space="preserve"> you identified a reason that is not listed above.</w:t>
      </w:r>
    </w:p>
    <w:p w14:paraId="6E739533" w14:textId="77777777" w:rsidR="0034293D" w:rsidRDefault="0034293D" w:rsidP="0034293D">
      <w:r>
        <w:t>Click</w:t>
      </w:r>
      <w:r w:rsidRPr="00E25A02">
        <w:t xml:space="preserve"> </w:t>
      </w:r>
      <w:r>
        <w:t>the</w:t>
      </w:r>
      <w:r w:rsidRPr="00E25A02">
        <w:t xml:space="preserve"> </w:t>
      </w:r>
      <w:r w:rsidRPr="00E25A02">
        <w:rPr>
          <w:rStyle w:val="Bluebuttonstyle"/>
        </w:rPr>
        <w:t>Submit</w:t>
      </w:r>
      <w:r w:rsidRPr="00E25A02">
        <w:t xml:space="preserve"> </w:t>
      </w:r>
      <w:r>
        <w:t>button</w:t>
      </w:r>
      <w:r w:rsidRPr="00E25A02">
        <w:t xml:space="preserve"> </w:t>
      </w:r>
      <w:r>
        <w:t>to</w:t>
      </w:r>
      <w:r w:rsidRPr="00E25A02">
        <w:t xml:space="preserve"> </w:t>
      </w:r>
      <w:r>
        <w:t>complete</w:t>
      </w:r>
      <w:r w:rsidRPr="00E25A02">
        <w:t xml:space="preserve"> </w:t>
      </w:r>
      <w:r>
        <w:t>the</w:t>
      </w:r>
      <w:r w:rsidRPr="00E25A02">
        <w:t xml:space="preserve"> </w:t>
      </w:r>
      <w:r>
        <w:t>recovery. You will be taken back to the client details page.</w:t>
      </w:r>
    </w:p>
    <w:p w14:paraId="632FB04C" w14:textId="77777777" w:rsidR="0034293D" w:rsidRDefault="0034293D" w:rsidP="0034293D">
      <w:r>
        <w:rPr>
          <w:noProof/>
        </w:rPr>
        <w:drawing>
          <wp:inline distT="0" distB="0" distL="0" distR="0" wp14:anchorId="1AD6B125" wp14:editId="3956A1B9">
            <wp:extent cx="3600000" cy="868769"/>
            <wp:effectExtent l="152400" t="152400" r="362585" b="369570"/>
            <wp:docPr id="4" name="Picture 4" descr="Screenshot of the Recovery Reason drop down list on the Hearing Services Online portal, with the Submit and Cancel butt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creenshot of the Recovery Reason drop down list on the Hearing Services Online portal, with the Submit and Cancel buttons."/>
                    <pic:cNvPicPr/>
                  </pic:nvPicPr>
                  <pic:blipFill>
                    <a:blip r:embed="rId13"/>
                    <a:stretch>
                      <a:fillRect/>
                    </a:stretch>
                  </pic:blipFill>
                  <pic:spPr>
                    <a:xfrm>
                      <a:off x="0" y="0"/>
                      <a:ext cx="3600000" cy="868769"/>
                    </a:xfrm>
                    <a:prstGeom prst="rect">
                      <a:avLst/>
                    </a:prstGeom>
                    <a:ln>
                      <a:noFill/>
                    </a:ln>
                    <a:effectLst>
                      <a:outerShdw blurRad="292100" dist="139700" dir="2700000" algn="tl" rotWithShape="0">
                        <a:srgbClr val="333333">
                          <a:alpha val="65000"/>
                        </a:srgbClr>
                      </a:outerShdw>
                    </a:effectLst>
                  </pic:spPr>
                </pic:pic>
              </a:graphicData>
            </a:graphic>
          </wp:inline>
        </w:drawing>
      </w:r>
    </w:p>
    <w:p w14:paraId="378B4DAB" w14:textId="77777777" w:rsidR="0034293D" w:rsidRDefault="0034293D" w:rsidP="0034293D">
      <w:r>
        <w:t>If you</w:t>
      </w:r>
      <w:r w:rsidRPr="00E25A02">
        <w:t xml:space="preserve"> </w:t>
      </w:r>
      <w:r>
        <w:t>have</w:t>
      </w:r>
      <w:r w:rsidRPr="00E25A02">
        <w:t xml:space="preserve"> </w:t>
      </w:r>
      <w:r>
        <w:t>a</w:t>
      </w:r>
      <w:r w:rsidRPr="00E25A02">
        <w:t xml:space="preserve"> </w:t>
      </w:r>
      <w:r>
        <w:t>claim that</w:t>
      </w:r>
      <w:r w:rsidRPr="00E25A02">
        <w:t xml:space="preserve"> </w:t>
      </w:r>
      <w:r>
        <w:t>will</w:t>
      </w:r>
      <w:r w:rsidRPr="00E25A02">
        <w:t xml:space="preserve"> </w:t>
      </w:r>
      <w:r>
        <w:t>replace</w:t>
      </w:r>
      <w:r w:rsidRPr="00E25A02">
        <w:t xml:space="preserve"> </w:t>
      </w:r>
      <w:r>
        <w:t>or</w:t>
      </w:r>
      <w:r w:rsidRPr="00E25A02">
        <w:t xml:space="preserve"> </w:t>
      </w:r>
      <w:r>
        <w:t>substitute the</w:t>
      </w:r>
      <w:r w:rsidRPr="00E25A02">
        <w:t xml:space="preserve"> </w:t>
      </w:r>
      <w:r>
        <w:t>recovered</w:t>
      </w:r>
      <w:r w:rsidRPr="00E25A02">
        <w:t xml:space="preserve"> </w:t>
      </w:r>
      <w:r>
        <w:t>claim,</w:t>
      </w:r>
      <w:r w:rsidRPr="00E25A02">
        <w:t xml:space="preserve"> </w:t>
      </w:r>
      <w:r>
        <w:t xml:space="preserve">click the </w:t>
      </w:r>
      <w:r w:rsidRPr="00E25A02">
        <w:rPr>
          <w:rStyle w:val="Bluebuttonstyle"/>
        </w:rPr>
        <w:t>Manual Claim</w:t>
      </w:r>
      <w:r w:rsidRPr="00E25A02">
        <w:t xml:space="preserve"> </w:t>
      </w:r>
      <w:r>
        <w:t xml:space="preserve">button under the </w:t>
      </w:r>
      <w:r w:rsidRPr="00E25A02">
        <w:t>Claims History</w:t>
      </w:r>
      <w:r w:rsidRPr="0CE0D600">
        <w:rPr>
          <w:b/>
          <w:bCs/>
          <w:color w:val="FFFFFF"/>
        </w:rPr>
        <w:t xml:space="preserve"> </w:t>
      </w:r>
      <w:r>
        <w:t xml:space="preserve">tab. Enter the new claim details and click the </w:t>
      </w:r>
      <w:r w:rsidRPr="00E25A02">
        <w:rPr>
          <w:rStyle w:val="Bluebuttonstyle"/>
        </w:rPr>
        <w:t>Submit</w:t>
      </w:r>
      <w:r w:rsidRPr="0CE0D600">
        <w:rPr>
          <w:b/>
          <w:bCs/>
          <w:color w:val="FFFFFF"/>
        </w:rPr>
        <w:t xml:space="preserve"> </w:t>
      </w:r>
      <w:r>
        <w:t>button.</w:t>
      </w:r>
    </w:p>
    <w:p w14:paraId="762F6ED6" w14:textId="77777777" w:rsidR="0034293D" w:rsidRPr="00E25A02" w:rsidRDefault="0034293D" w:rsidP="0034293D">
      <w:pPr>
        <w:pStyle w:val="Heading1"/>
      </w:pPr>
      <w:r w:rsidRPr="00E25A02">
        <w:lastRenderedPageBreak/>
        <w:t>What happens when I perform a recovery?</w:t>
      </w:r>
    </w:p>
    <w:p w14:paraId="14BC0028" w14:textId="77777777" w:rsidR="0034293D" w:rsidRPr="00BC3255" w:rsidRDefault="0034293D" w:rsidP="0034293D">
      <w:r>
        <w:t xml:space="preserve">When a recovery is </w:t>
      </w:r>
      <w:proofErr w:type="gramStart"/>
      <w:r>
        <w:t>initiated</w:t>
      </w:r>
      <w:proofErr w:type="gramEnd"/>
      <w:r>
        <w:t xml:space="preserve"> the amount owed will automatically be</w:t>
      </w:r>
      <w:r w:rsidRPr="00E25A02">
        <w:t xml:space="preserve"> </w:t>
      </w:r>
      <w:r>
        <w:t>deducted</w:t>
      </w:r>
      <w:r w:rsidRPr="00E25A02">
        <w:t xml:space="preserve"> </w:t>
      </w:r>
      <w:r>
        <w:t>from your</w:t>
      </w:r>
      <w:r w:rsidRPr="00E25A02">
        <w:t xml:space="preserve"> </w:t>
      </w:r>
      <w:r>
        <w:t>next payment.</w:t>
      </w:r>
      <w:r w:rsidRPr="00352CE7">
        <w:t xml:space="preserve"> The claim status will change t</w:t>
      </w:r>
      <w:r>
        <w:t>o ‘</w:t>
      </w:r>
      <w:r w:rsidRPr="00E25A02">
        <w:t>Recovery’</w:t>
      </w:r>
      <w:r>
        <w:t xml:space="preserve"> against the individual client profile. </w:t>
      </w:r>
    </w:p>
    <w:p w14:paraId="6B066D95" w14:textId="77777777" w:rsidR="009040E9" w:rsidRPr="009040E9" w:rsidRDefault="009040E9" w:rsidP="009040E9">
      <w:pPr>
        <w:pStyle w:val="Tabletextleft"/>
      </w:pPr>
    </w:p>
    <w:sectPr w:rsidR="009040E9" w:rsidRPr="009040E9" w:rsidSect="00B53987">
      <w:headerReference w:type="default" r:id="rId14"/>
      <w:footerReference w:type="default" r:id="rId15"/>
      <w:headerReference w:type="first" r:id="rId16"/>
      <w:footerReference w:type="first" r:id="rId17"/>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02C54D" w14:textId="77777777" w:rsidR="000E7C21" w:rsidRDefault="000E7C21" w:rsidP="006B56BB">
      <w:r>
        <w:separator/>
      </w:r>
    </w:p>
    <w:p w14:paraId="0357D439" w14:textId="77777777" w:rsidR="000E7C21" w:rsidRDefault="000E7C21"/>
  </w:endnote>
  <w:endnote w:type="continuationSeparator" w:id="0">
    <w:p w14:paraId="3B2B65C0" w14:textId="77777777" w:rsidR="000E7C21" w:rsidRDefault="000E7C21" w:rsidP="006B56BB">
      <w:r>
        <w:continuationSeparator/>
      </w:r>
    </w:p>
    <w:p w14:paraId="0AEB3B76" w14:textId="77777777" w:rsidR="000E7C21" w:rsidRDefault="000E7C21"/>
  </w:endnote>
  <w:endnote w:type="continuationNotice" w:id="1">
    <w:p w14:paraId="3D2EA944" w14:textId="77777777" w:rsidR="000E7C21" w:rsidRDefault="000E7C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C3BB7" w14:textId="2847FFC0" w:rsidR="00B53987" w:rsidRDefault="0034293D" w:rsidP="00B53987">
    <w:pPr>
      <w:pStyle w:val="Footer"/>
    </w:pPr>
    <w:r>
      <w:t>Hearing Services Program – Portal user guide – Process a recovery</w:t>
    </w:r>
    <w:sdt>
      <w:sdtPr>
        <w:id w:val="-183903453"/>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1</w:t>
        </w:r>
        <w:r w:rsidR="00B53987"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F2655" w14:textId="00B659FA" w:rsidR="00B53987" w:rsidRDefault="0034293D" w:rsidP="00B53987">
    <w:pPr>
      <w:pStyle w:val="Footer"/>
    </w:pPr>
    <w:r>
      <w:t>Hearing Services Program – Portal user guide – Process a recovery</w:t>
    </w:r>
    <w:sdt>
      <w:sdtPr>
        <w:id w:val="-178737789"/>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2</w:t>
        </w:r>
        <w:r w:rsidR="00B53987"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490595" w14:textId="77777777" w:rsidR="000E7C21" w:rsidRDefault="000E7C21" w:rsidP="006B56BB">
      <w:r>
        <w:separator/>
      </w:r>
    </w:p>
    <w:p w14:paraId="0F6819B8" w14:textId="77777777" w:rsidR="000E7C21" w:rsidRDefault="000E7C21"/>
  </w:footnote>
  <w:footnote w:type="continuationSeparator" w:id="0">
    <w:p w14:paraId="10F28090" w14:textId="77777777" w:rsidR="000E7C21" w:rsidRDefault="000E7C21" w:rsidP="006B56BB">
      <w:r>
        <w:continuationSeparator/>
      </w:r>
    </w:p>
    <w:p w14:paraId="423ACED5" w14:textId="77777777" w:rsidR="000E7C21" w:rsidRDefault="000E7C21"/>
  </w:footnote>
  <w:footnote w:type="continuationNotice" w:id="1">
    <w:p w14:paraId="3B0C6E33" w14:textId="77777777" w:rsidR="000E7C21" w:rsidRDefault="000E7C2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37CC9"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E6534" w14:textId="7DDCE4F5" w:rsidR="00B53987" w:rsidRDefault="000E7C21">
    <w:pPr>
      <w:pStyle w:val="Header"/>
    </w:pPr>
    <w:r>
      <w:rPr>
        <w:noProof/>
        <w:lang w:eastAsia="en-AU"/>
      </w:rPr>
      <w:drawing>
        <wp:anchor distT="0" distB="0" distL="114300" distR="114300" simplePos="0" relativeHeight="251659264" behindDoc="0" locked="0" layoutInCell="1" allowOverlap="1" wp14:anchorId="1E4890D4" wp14:editId="43EF7C18">
          <wp:simplePos x="0" y="0"/>
          <wp:positionH relativeFrom="column">
            <wp:posOffset>4511040</wp:posOffset>
          </wp:positionH>
          <wp:positionV relativeFrom="paragraph">
            <wp:posOffset>14605</wp:posOffset>
          </wp:positionV>
          <wp:extent cx="1325880" cy="788937"/>
          <wp:effectExtent l="0" t="0" r="0" b="0"/>
          <wp:wrapNone/>
          <wp:docPr id="253564476" name="Picture 1" descr="Hearing Services Program visual identity. A blue ear icon, next to the words Hearing Services Program in blue let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564476" name="Picture 1" descr="Hearing Services Program visual identity. A blue ear icon, next to the words Hearing Services Program in blue letters."/>
                  <pic:cNvPicPr/>
                </pic:nvPicPr>
                <pic:blipFill>
                  <a:blip r:embed="rId1">
                    <a:extLst>
                      <a:ext uri="{28A0092B-C50C-407E-A947-70E740481C1C}">
                        <a14:useLocalDpi xmlns:a14="http://schemas.microsoft.com/office/drawing/2010/main" val="0"/>
                      </a:ext>
                    </a:extLst>
                  </a:blip>
                  <a:stretch>
                    <a:fillRect/>
                  </a:stretch>
                </pic:blipFill>
                <pic:spPr>
                  <a:xfrm>
                    <a:off x="0" y="0"/>
                    <a:ext cx="1325880" cy="788937"/>
                  </a:xfrm>
                  <a:prstGeom prst="rect">
                    <a:avLst/>
                  </a:prstGeom>
                </pic:spPr>
              </pic:pic>
            </a:graphicData>
          </a:graphic>
          <wp14:sizeRelH relativeFrom="page">
            <wp14:pctWidth>0</wp14:pctWidth>
          </wp14:sizeRelH>
          <wp14:sizeRelV relativeFrom="page">
            <wp14:pctHeight>0</wp14:pctHeight>
          </wp14:sizeRelV>
        </wp:anchor>
      </w:drawing>
    </w:r>
    <w:r w:rsidR="00B53987">
      <w:rPr>
        <w:noProof/>
        <w:lang w:eastAsia="en-AU"/>
      </w:rPr>
      <w:drawing>
        <wp:inline distT="0" distB="0" distL="0" distR="0" wp14:anchorId="5ECBEC99" wp14:editId="5040945B">
          <wp:extent cx="5759450" cy="941705"/>
          <wp:effectExtent l="0" t="0" r="6350" b="0"/>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2">
                    <a:extLst>
                      <a:ext uri="{28A0092B-C50C-407E-A947-70E740481C1C}">
                        <a14:useLocalDpi xmlns:a14="http://schemas.microsoft.com/office/drawing/2010/main" val="0"/>
                      </a:ext>
                    </a:extLst>
                  </a:blip>
                  <a:srcRect t="-11037"/>
                  <a:stretch/>
                </pic:blipFill>
                <pic:spPr bwMode="auto">
                  <a:xfrm>
                    <a:off x="0" y="0"/>
                    <a:ext cx="57594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3"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4"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5"/>
  </w:num>
  <w:num w:numId="3">
    <w:abstractNumId w:val="17"/>
  </w:num>
  <w:num w:numId="4">
    <w:abstractNumId w:val="8"/>
  </w:num>
  <w:num w:numId="5">
    <w:abstractNumId w:val="8"/>
    <w:lvlOverride w:ilvl="0">
      <w:startOverride w:val="1"/>
    </w:lvlOverride>
  </w:num>
  <w:num w:numId="6">
    <w:abstractNumId w:val="9"/>
  </w:num>
  <w:num w:numId="7">
    <w:abstractNumId w:val="13"/>
  </w:num>
  <w:num w:numId="8">
    <w:abstractNumId w:val="16"/>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18"/>
  </w:num>
  <w:num w:numId="17">
    <w:abstractNumId w:val="10"/>
  </w:num>
  <w:num w:numId="18">
    <w:abstractNumId w:val="11"/>
  </w:num>
  <w:num w:numId="19">
    <w:abstractNumId w:val="12"/>
  </w:num>
  <w:num w:numId="20">
    <w:abstractNumId w:val="10"/>
  </w:num>
  <w:num w:numId="21">
    <w:abstractNumId w:val="12"/>
  </w:num>
  <w:num w:numId="22">
    <w:abstractNumId w:val="18"/>
  </w:num>
  <w:num w:numId="23">
    <w:abstractNumId w:val="15"/>
  </w:num>
  <w:num w:numId="24">
    <w:abstractNumId w:val="17"/>
  </w:num>
  <w:num w:numId="25">
    <w:abstractNumId w:val="8"/>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4"/>
  <w:proofState w:spelling="clean" w:grammar="clean"/>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7C21"/>
    <w:rsid w:val="00003743"/>
    <w:rsid w:val="000047B4"/>
    <w:rsid w:val="00005712"/>
    <w:rsid w:val="00007FD8"/>
    <w:rsid w:val="000117F8"/>
    <w:rsid w:val="0001460F"/>
    <w:rsid w:val="00022629"/>
    <w:rsid w:val="00026139"/>
    <w:rsid w:val="00027601"/>
    <w:rsid w:val="00033321"/>
    <w:rsid w:val="000338E5"/>
    <w:rsid w:val="00033ECC"/>
    <w:rsid w:val="0003422F"/>
    <w:rsid w:val="00043DC0"/>
    <w:rsid w:val="00046FF0"/>
    <w:rsid w:val="00050176"/>
    <w:rsid w:val="00050342"/>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E7C21"/>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F3AE3"/>
    <w:rsid w:val="0030464B"/>
    <w:rsid w:val="0030786C"/>
    <w:rsid w:val="003233DE"/>
    <w:rsid w:val="0032466B"/>
    <w:rsid w:val="003330EB"/>
    <w:rsid w:val="003415FD"/>
    <w:rsid w:val="0034293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6BCF"/>
    <w:rsid w:val="004D58BF"/>
    <w:rsid w:val="004E4335"/>
    <w:rsid w:val="004F13EE"/>
    <w:rsid w:val="004F2022"/>
    <w:rsid w:val="004F7C05"/>
    <w:rsid w:val="00501C94"/>
    <w:rsid w:val="00506432"/>
    <w:rsid w:val="00506E8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B2286"/>
    <w:rsid w:val="006B56BB"/>
    <w:rsid w:val="006C77A8"/>
    <w:rsid w:val="006D4098"/>
    <w:rsid w:val="006D7681"/>
    <w:rsid w:val="006D7B2E"/>
    <w:rsid w:val="006E02EA"/>
    <w:rsid w:val="006E0968"/>
    <w:rsid w:val="006E2AF6"/>
    <w:rsid w:val="00701275"/>
    <w:rsid w:val="00707F56"/>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5999"/>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271EE"/>
    <w:rsid w:val="009344AE"/>
    <w:rsid w:val="009344DE"/>
    <w:rsid w:val="00945E7F"/>
    <w:rsid w:val="009557C1"/>
    <w:rsid w:val="00960D6E"/>
    <w:rsid w:val="00974B59"/>
    <w:rsid w:val="0098340B"/>
    <w:rsid w:val="00986830"/>
    <w:rsid w:val="009924C3"/>
    <w:rsid w:val="00993102"/>
    <w:rsid w:val="009B1570"/>
    <w:rsid w:val="009C6F10"/>
    <w:rsid w:val="009D148F"/>
    <w:rsid w:val="009D3D70"/>
    <w:rsid w:val="009D6E31"/>
    <w:rsid w:val="009E6F7E"/>
    <w:rsid w:val="009E7A57"/>
    <w:rsid w:val="009F4803"/>
    <w:rsid w:val="009F4F6A"/>
    <w:rsid w:val="00A13EB5"/>
    <w:rsid w:val="00A16E36"/>
    <w:rsid w:val="00A24961"/>
    <w:rsid w:val="00A24B10"/>
    <w:rsid w:val="00A277EF"/>
    <w:rsid w:val="00A30E9B"/>
    <w:rsid w:val="00A4512D"/>
    <w:rsid w:val="00A50244"/>
    <w:rsid w:val="00A627D7"/>
    <w:rsid w:val="00A656C7"/>
    <w:rsid w:val="00A705AF"/>
    <w:rsid w:val="00A719F6"/>
    <w:rsid w:val="00A72454"/>
    <w:rsid w:val="00A77696"/>
    <w:rsid w:val="00A80557"/>
    <w:rsid w:val="00A81D33"/>
    <w:rsid w:val="00A8341C"/>
    <w:rsid w:val="00A930AE"/>
    <w:rsid w:val="00AA1A95"/>
    <w:rsid w:val="00AA260F"/>
    <w:rsid w:val="00AA262B"/>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53987"/>
    <w:rsid w:val="00B61129"/>
    <w:rsid w:val="00B67E7F"/>
    <w:rsid w:val="00B77CB4"/>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524C8"/>
    <w:rsid w:val="00D65099"/>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4086F"/>
    <w:rsid w:val="00E42BCE"/>
    <w:rsid w:val="00E43B3C"/>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5E2F6A"/>
  <w15:docId w15:val="{E3FD5662-E12B-244D-A520-83843A325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34293D"/>
    <w:pPr>
      <w:spacing w:before="200" w:after="120" w:line="360"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A719F6"/>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uiPriority w:val="10"/>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customStyle="1" w:styleId="Bluebuttonstyle">
    <w:name w:val="Blue button style"/>
    <w:basedOn w:val="DefaultParagraphFont"/>
    <w:uiPriority w:val="1"/>
    <w:qFormat/>
    <w:rsid w:val="0034293D"/>
    <w:rPr>
      <w:b/>
      <w:bCs/>
      <w:color w:val="FFFFFF" w:themeColor="background1"/>
      <w:shd w:val="clear" w:color="auto" w:fill="0070C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5.jpg"/><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20" ma:contentTypeDescription="Create a new document." ma:contentTypeScope="" ma:versionID="8f7d9e9be767a787025ed14c527cabb1">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f43b705ae144227d461193c751071834"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453538d-d5ab-4153-beec-42a8f73a9330}" ma:internalName="TaxCatchAll" ma:showField="CatchAllData" ma:web="66b98d56-25b7-479b-bf58-c8a0702ccf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66b98d56-25b7-479b-bf58-c8a0702ccf2c">
      <Value>89</Value>
      <Value>4</Value>
      <Value>45</Value>
      <Value>42</Value>
    </TaxCatchAll>
    <SharedWithUsers xmlns="66b98d56-25b7-479b-bf58-c8a0702ccf2c">
      <UserInfo>
        <DisplayName>WHITTY, Cam</DisplayName>
        <AccountId>756</AccountId>
        <AccountType/>
      </UserInfo>
    </SharedWithUsers>
    <lcf76f155ced4ddcb4097134ff3c332f xmlns="3e9090f6-0245-48e3-bd19-46cc0b4d31f0">
      <Terms xmlns="http://schemas.microsoft.com/office/infopath/2007/PartnerControls"/>
    </lcf76f155ced4ddcb4097134ff3c332f>
    <Trello xmlns="3e9090f6-0245-48e3-bd19-46cc0b4d31f0">
      <Url xsi:nil="true"/>
      <Description xsi:nil="true"/>
    </Trello>
    <Category xmlns="3e9090f6-0245-48e3-bd19-46cc0b4d31f0" xsi:nil="true"/>
  </documentManagement>
</p:properties>
</file>

<file path=customXml/itemProps1.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0B20E314-4143-4F5D-8EBD-2EDA963035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20C6417-ADBB-487B-9091-DC3471F064BF}">
  <ds:schemaRefs>
    <ds:schemaRef ds:uri="http://purl.org/dc/elements/1.1/"/>
    <ds:schemaRef ds:uri="http://schemas.openxmlformats.org/package/2006/metadata/core-properties"/>
    <ds:schemaRef ds:uri="3e9090f6-0245-48e3-bd19-46cc0b4d31f0"/>
    <ds:schemaRef ds:uri="http://schemas.microsoft.com/office/infopath/2007/PartnerControls"/>
    <ds:schemaRef ds:uri="http://purl.org/dc/terms/"/>
    <ds:schemaRef ds:uri="66b98d56-25b7-479b-bf58-c8a0702ccf2c"/>
    <ds:schemaRef ds:uri="http://schemas.microsoft.com/office/2006/metadata/properties"/>
    <ds:schemaRef ds:uri="http://schemas.microsoft.com/office/2006/documentManagement/typ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352</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Hearing Services Program portal user guide – Process a recovery</vt:lpstr>
    </vt:vector>
  </TitlesOfParts>
  <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Hearing Services Program portal user guide – Process a recovery</dc:title>
  <dc:subject>Ear health and hearing</dc:subject>
  <dc:creator>Australian Government Department of Health and Aged Care</dc:creator>
  <cp:keywords>HSP; HSO</cp:keywords>
  <cp:lastModifiedBy>MCCAY, Meryl</cp:lastModifiedBy>
  <cp:revision>4</cp:revision>
  <dcterms:created xsi:type="dcterms:W3CDTF">2023-06-19T23:03:00Z</dcterms:created>
  <dcterms:modified xsi:type="dcterms:W3CDTF">2023-07-06T07:27:00Z</dcterms:modified>
</cp:coreProperties>
</file>