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8004" w14:textId="77777777" w:rsidR="00292071" w:rsidRPr="00667B8B" w:rsidRDefault="00292071" w:rsidP="00292071">
      <w:pPr>
        <w:pStyle w:val="Title"/>
      </w:pPr>
      <w:r>
        <w:t xml:space="preserve">Portal user guide – </w:t>
      </w:r>
      <w:r w:rsidRPr="00BB54DB">
        <w:t>Confirm a return voucher</w:t>
      </w:r>
    </w:p>
    <w:p w14:paraId="1463ED00" w14:textId="77777777" w:rsidR="00292071" w:rsidRDefault="00292071" w:rsidP="00292071">
      <w:r w:rsidRPr="002F65FD">
        <w:t xml:space="preserve">Eligible clients are issued with a 5-year voucher upon application. After this time, the voucher will </w:t>
      </w:r>
      <w:proofErr w:type="gramStart"/>
      <w:r w:rsidRPr="002F65FD">
        <w:t>expire</w:t>
      </w:r>
      <w:proofErr w:type="gramEnd"/>
      <w:r w:rsidRPr="002F65FD">
        <w:t xml:space="preserve"> and clients can be issued with a return voucher if they are still eligible. </w:t>
      </w:r>
    </w:p>
    <w:p w14:paraId="5887E0C8" w14:textId="77777777" w:rsidR="00292071" w:rsidRPr="002F65FD" w:rsidRDefault="00292071" w:rsidP="00292071">
      <w:pPr>
        <w:pStyle w:val="Heading1"/>
      </w:pPr>
      <w:r>
        <w:t>Access</w:t>
      </w:r>
    </w:p>
    <w:p w14:paraId="6FC732F1" w14:textId="77777777" w:rsidR="00292071" w:rsidRPr="00667B8B" w:rsidRDefault="00292071" w:rsidP="00292071">
      <w:pPr>
        <w:pStyle w:val="Heading2"/>
      </w:pPr>
      <w:r w:rsidRPr="00667B8B">
        <w:t>What access do I need?</w:t>
      </w:r>
    </w:p>
    <w:p w14:paraId="47FA4308" w14:textId="77777777" w:rsidR="00292071" w:rsidRDefault="00292071" w:rsidP="00292071">
      <w:r>
        <w:t>SP</w:t>
      </w:r>
      <w:r w:rsidRPr="00667B8B">
        <w:t xml:space="preserve"> </w:t>
      </w:r>
      <w:r>
        <w:t>Site</w:t>
      </w:r>
    </w:p>
    <w:p w14:paraId="66EA70EE" w14:textId="77777777" w:rsidR="00292071" w:rsidRPr="00667B8B" w:rsidRDefault="00292071" w:rsidP="00292071">
      <w:pPr>
        <w:pStyle w:val="Heading2"/>
      </w:pPr>
      <w:bookmarkStart w:id="0" w:name="What_else_do_I_need?"/>
      <w:bookmarkEnd w:id="0"/>
      <w:r w:rsidRPr="00667B8B">
        <w:t>What else do I need?</w:t>
      </w:r>
    </w:p>
    <w:p w14:paraId="4AFB514C" w14:textId="77777777" w:rsidR="00292071" w:rsidRDefault="00292071" w:rsidP="00292071">
      <w:r>
        <w:t>A client requiring ongoing hearing services who is linked to you in the portal. They must have an expired</w:t>
      </w:r>
      <w:r w:rsidRPr="00667B8B">
        <w:t xml:space="preserve"> </w:t>
      </w:r>
      <w:r>
        <w:t>voucher</w:t>
      </w:r>
      <w:r w:rsidRPr="00667B8B">
        <w:t xml:space="preserve"> </w:t>
      </w:r>
      <w:r>
        <w:t>and</w:t>
      </w:r>
      <w:r w:rsidRPr="00667B8B">
        <w:t xml:space="preserve"> </w:t>
      </w:r>
      <w:r>
        <w:t>be</w:t>
      </w:r>
      <w:r w:rsidRPr="00667B8B">
        <w:t xml:space="preserve"> </w:t>
      </w:r>
      <w:r>
        <w:t>eligible</w:t>
      </w:r>
      <w:r w:rsidRPr="00667B8B">
        <w:t xml:space="preserve"> </w:t>
      </w:r>
      <w:r>
        <w:t>for</w:t>
      </w:r>
      <w:r w:rsidRPr="00667B8B">
        <w:t xml:space="preserve"> </w:t>
      </w:r>
      <w:r>
        <w:t>a</w:t>
      </w:r>
      <w:r w:rsidRPr="00667B8B">
        <w:t xml:space="preserve"> </w:t>
      </w:r>
      <w:r>
        <w:t>new</w:t>
      </w:r>
      <w:r w:rsidRPr="00667B8B">
        <w:t xml:space="preserve"> </w:t>
      </w:r>
      <w:r>
        <w:t>voucher.</w:t>
      </w:r>
    </w:p>
    <w:p w14:paraId="266AAD99" w14:textId="77777777" w:rsidR="00292071" w:rsidRPr="00667B8B" w:rsidRDefault="00292071" w:rsidP="00292071">
      <w:pPr>
        <w:pStyle w:val="Heading1"/>
      </w:pPr>
      <w:bookmarkStart w:id="1" w:name="Open_the_Client_Details_screen"/>
      <w:bookmarkEnd w:id="1"/>
      <w:r w:rsidRPr="00667B8B">
        <w:t xml:space="preserve">Open the </w:t>
      </w:r>
      <w:r>
        <w:t>c</w:t>
      </w:r>
      <w:r w:rsidRPr="00667B8B">
        <w:t xml:space="preserve">lient </w:t>
      </w:r>
      <w:r>
        <w:t>d</w:t>
      </w:r>
      <w:r w:rsidRPr="00667B8B">
        <w:t>etails screen</w:t>
      </w:r>
    </w:p>
    <w:p w14:paraId="65928A04" w14:textId="77777777" w:rsidR="00292071" w:rsidRPr="002F65FD" w:rsidRDefault="00292071" w:rsidP="00292071">
      <w:pPr>
        <w:pStyle w:val="Heading2"/>
      </w:pPr>
      <w:r w:rsidRPr="002F65FD">
        <w:t>Step 1</w:t>
      </w:r>
    </w:p>
    <w:p w14:paraId="41C5A793" w14:textId="77777777" w:rsidR="00292071" w:rsidRDefault="00292071" w:rsidP="00292071">
      <w:r>
        <w:t>Login</w:t>
      </w:r>
      <w:r w:rsidRPr="00667B8B">
        <w:t xml:space="preserve"> </w:t>
      </w:r>
      <w:r>
        <w:t>to</w:t>
      </w:r>
      <w:r w:rsidRPr="00667B8B">
        <w:t xml:space="preserve"> </w:t>
      </w:r>
      <w:r>
        <w:t>the</w:t>
      </w:r>
      <w:r w:rsidRPr="00667B8B">
        <w:t xml:space="preserve"> </w:t>
      </w:r>
      <w:r>
        <w:t>portal, open the Client tab and search for the client using their details.</w:t>
      </w:r>
    </w:p>
    <w:p w14:paraId="56BA905D" w14:textId="77777777" w:rsidR="00292071" w:rsidRPr="00032B5B" w:rsidRDefault="00292071" w:rsidP="00292071">
      <w:pPr>
        <w:rPr>
          <w:color w:val="auto"/>
        </w:rPr>
      </w:pPr>
      <w:r w:rsidRPr="00032B5B">
        <w:rPr>
          <w:noProof/>
          <w:color w:val="auto"/>
        </w:rPr>
        <w:lastRenderedPageBreak/>
        <w:drawing>
          <wp:inline distT="0" distB="0" distL="0" distR="0" wp14:anchorId="107E3F1A" wp14:editId="290C4241">
            <wp:extent cx="3600000" cy="2844391"/>
            <wp:effectExtent l="152400" t="152400" r="362585" b="356235"/>
            <wp:docPr id="2" name="Picture 2" descr="Screenshot of the Find a client or applicant screen in the Client accordion on the HSO portal. Fields: Eligibility Type, Eligibility Number/Voucher Number, Given Name, Family Name, Date of Birth, Site ID. There is a tick box for more search options, and 'Find' and 'Clear'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Find a client or applicant screen in the Client accordion on the HSO portal. Fields: Eligibility Type, Eligibility Number/Voucher Number, Given Name, Family Name, Date of Birth, Site ID. There is a tick box for more search options, and 'Find' and 'Clear' buttons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44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411115" w14:textId="77777777" w:rsidR="00292071" w:rsidRDefault="00292071" w:rsidP="00292071">
      <w:pPr>
        <w:rPr>
          <w:spacing w:val="-2"/>
        </w:rPr>
      </w:pPr>
      <w:r>
        <w:rPr>
          <w:spacing w:val="-3"/>
        </w:rPr>
        <w:t>Open t</w:t>
      </w:r>
      <w:r>
        <w:t>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screen.</w:t>
      </w:r>
      <w:r>
        <w:rPr>
          <w:spacing w:val="-2"/>
        </w:rPr>
        <w:t xml:space="preserve"> </w:t>
      </w:r>
    </w:p>
    <w:p w14:paraId="31392F8B" w14:textId="77777777" w:rsidR="00292071" w:rsidRDefault="00292071" w:rsidP="00292071"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directions in the ‘</w:t>
      </w:r>
      <w:hyperlink r:id="rId12" w:history="1">
        <w:r w:rsidRPr="00BB54DB">
          <w:rPr>
            <w:rStyle w:val="Hyperlink"/>
            <w:spacing w:val="-3"/>
          </w:rPr>
          <w:t xml:space="preserve">search, link and transfer client </w:t>
        </w:r>
        <w:r w:rsidRPr="00BB54DB">
          <w:rPr>
            <w:rStyle w:val="Hyperlink"/>
          </w:rPr>
          <w:t>guide</w:t>
        </w:r>
      </w:hyperlink>
      <w:r>
        <w:t>’ if required.</w:t>
      </w:r>
    </w:p>
    <w:p w14:paraId="79E1A3F6" w14:textId="77777777" w:rsidR="00292071" w:rsidRDefault="00292071" w:rsidP="00292071">
      <w:pPr>
        <w:pStyle w:val="Heading1"/>
      </w:pPr>
      <w:bookmarkStart w:id="2" w:name="Check_current_contact_details"/>
      <w:bookmarkEnd w:id="2"/>
      <w:r>
        <w:t>Check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14:paraId="605C049C" w14:textId="77777777" w:rsidR="00292071" w:rsidRPr="002F65FD" w:rsidRDefault="00292071" w:rsidP="00292071">
      <w:pPr>
        <w:pStyle w:val="Heading2"/>
      </w:pPr>
      <w:r w:rsidRPr="002F65FD">
        <w:t>Step 2</w:t>
      </w:r>
    </w:p>
    <w:p w14:paraId="4529B268" w14:textId="77777777" w:rsidR="00292071" w:rsidRDefault="00292071" w:rsidP="00292071"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 under the Client Details area.</w:t>
      </w:r>
    </w:p>
    <w:p w14:paraId="6BAE2289" w14:textId="77777777" w:rsidR="00292071" w:rsidRDefault="00292071" w:rsidP="00292071">
      <w:pPr>
        <w:rPr>
          <w:color w:val="000000"/>
        </w:rPr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under the </w:t>
      </w:r>
      <w:r w:rsidRPr="00667B8B">
        <w:t>Client Communications</w:t>
      </w:r>
      <w:r>
        <w:rPr>
          <w:b/>
          <w:color w:val="FFFFFF"/>
        </w:rPr>
        <w:t xml:space="preserve"> </w:t>
      </w:r>
      <w:r>
        <w:rPr>
          <w:color w:val="000000"/>
        </w:rPr>
        <w:t>tab.</w:t>
      </w:r>
    </w:p>
    <w:p w14:paraId="126FCB0C" w14:textId="77777777" w:rsidR="00292071" w:rsidRDefault="00292071" w:rsidP="00292071"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directions in the ‘</w:t>
      </w:r>
      <w:hyperlink r:id="rId13" w:history="1">
        <w:r w:rsidRPr="00BB54DB">
          <w:rPr>
            <w:rStyle w:val="Hyperlink"/>
            <w:spacing w:val="-3"/>
          </w:rPr>
          <w:t xml:space="preserve">update client details </w:t>
        </w:r>
        <w:r w:rsidRPr="00BB54DB">
          <w:rPr>
            <w:rStyle w:val="Hyperlink"/>
          </w:rPr>
          <w:t>guide</w:t>
        </w:r>
      </w:hyperlink>
      <w:r>
        <w:t>’ if required</w:t>
      </w:r>
    </w:p>
    <w:p w14:paraId="65CD46C7" w14:textId="77777777" w:rsidR="00292071" w:rsidRDefault="00292071" w:rsidP="00292071">
      <w:pPr>
        <w:pStyle w:val="Heading1"/>
      </w:pPr>
      <w:bookmarkStart w:id="3" w:name="Confirm_client_requires_ongoing_hearing_"/>
      <w:bookmarkEnd w:id="3"/>
      <w:r>
        <w:t>Confirm</w:t>
      </w:r>
      <w:r>
        <w:rPr>
          <w:spacing w:val="-13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ongoing</w:t>
      </w:r>
      <w:r>
        <w:rPr>
          <w:spacing w:val="-13"/>
        </w:rPr>
        <w:t xml:space="preserve"> </w:t>
      </w:r>
      <w:r>
        <w:t>hearing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0F211BB5" w14:textId="77777777" w:rsidR="00292071" w:rsidRPr="002F65FD" w:rsidRDefault="00292071" w:rsidP="00292071">
      <w:pPr>
        <w:pStyle w:val="Heading2"/>
      </w:pPr>
      <w:r w:rsidRPr="002F65FD">
        <w:t>Step 3</w:t>
      </w:r>
    </w:p>
    <w:p w14:paraId="0430B950" w14:textId="77777777" w:rsidR="00292071" w:rsidRPr="005D04B6" w:rsidRDefault="00292071" w:rsidP="00292071">
      <w:r w:rsidRPr="005D04B6">
        <w:t>Make sure you have contacted the client before you issue a new voucher</w:t>
      </w:r>
      <w:r>
        <w:t>.</w:t>
      </w:r>
    </w:p>
    <w:p w14:paraId="5C41DB46" w14:textId="77777777" w:rsidR="00292071" w:rsidRPr="00BB5756" w:rsidRDefault="00292071" w:rsidP="00292071">
      <w:pPr>
        <w:rPr>
          <w:color w:val="000000"/>
        </w:rPr>
      </w:pPr>
      <w:r>
        <w:t xml:space="preserve">On the Service History tab, click the </w:t>
      </w:r>
      <w:r w:rsidRPr="00667B8B">
        <w:rPr>
          <w:rStyle w:val="Bluebuttonstyle"/>
        </w:rPr>
        <w:t>Confirm Return Voucher</w:t>
      </w:r>
      <w:r>
        <w:rPr>
          <w:color w:val="FFFFFF"/>
        </w:rPr>
        <w:t xml:space="preserve"> </w:t>
      </w:r>
      <w:r>
        <w:rPr>
          <w:color w:val="000000"/>
        </w:rPr>
        <w:t xml:space="preserve">button. </w:t>
      </w:r>
    </w:p>
    <w:p w14:paraId="6585E285" w14:textId="77777777" w:rsidR="00292071" w:rsidRDefault="00292071" w:rsidP="00292071">
      <w:r>
        <w:rPr>
          <w:noProof/>
        </w:rPr>
        <w:lastRenderedPageBreak/>
        <w:drawing>
          <wp:inline distT="0" distB="0" distL="0" distR="0" wp14:anchorId="0E786946" wp14:editId="3C6B565B">
            <wp:extent cx="1800000" cy="713609"/>
            <wp:effectExtent l="152400" t="152400" r="353060" b="353695"/>
            <wp:docPr id="1" name="Picture 1" descr="Screenshot of the 'Confirm Return Voucher', 'Edit' and 'Print Details' buttons in the Services History accordion on the HSO por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'Confirm Return Voucher', 'Edit' and 'Print Details' buttons in the Services History accordion on the HSO portal.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13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4FFD34" w14:textId="77777777" w:rsidR="00292071" w:rsidRDefault="00292071" w:rsidP="00292071"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pop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confirm that the client requires ongoing hearing services. You must have contacted the client or their POA </w:t>
      </w:r>
      <w:r w:rsidRPr="00AF0A72">
        <w:t>to confirm that this is the case prior to issuing a return voucher.</w:t>
      </w:r>
    </w:p>
    <w:p w14:paraId="03B19B85" w14:textId="77777777" w:rsidR="00292071" w:rsidRDefault="00292071" w:rsidP="00292071">
      <w:r>
        <w:rPr>
          <w:noProof/>
        </w:rPr>
        <w:drawing>
          <wp:inline distT="0" distB="0" distL="0" distR="0" wp14:anchorId="7CDCB62C" wp14:editId="3A45C360">
            <wp:extent cx="3600000" cy="846626"/>
            <wp:effectExtent l="152400" t="152400" r="362585" b="353695"/>
            <wp:docPr id="5" name="image3.png" descr="Screenshot of the confirmation message confirming that the client requires ongoing reading services. there is a confirm and a cancel button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creenshot of the confirmation message confirming that the client requires ongoing reading services. there is a confirm and a cancel button. &#10;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46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A7F8CF" w14:textId="77777777" w:rsidR="00292071" w:rsidRDefault="00292071" w:rsidP="00292071">
      <w:pPr>
        <w:rPr>
          <w:noProof/>
        </w:rPr>
      </w:pPr>
      <w:r>
        <w:t>If the client’s eligibility is confirmed,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receive a confirmation message</w:t>
      </w:r>
      <w:r>
        <w:rPr>
          <w:noProof/>
        </w:rPr>
        <w:t>.</w:t>
      </w:r>
    </w:p>
    <w:p w14:paraId="7A00FF94" w14:textId="77777777" w:rsidR="00292071" w:rsidRDefault="00292071" w:rsidP="00292071">
      <w:r>
        <w:rPr>
          <w:noProof/>
        </w:rPr>
        <w:drawing>
          <wp:inline distT="0" distB="0" distL="0" distR="0" wp14:anchorId="21650A6D" wp14:editId="3C4DB530">
            <wp:extent cx="3600000" cy="973822"/>
            <wp:effectExtent l="152400" t="152400" r="362585" b="360045"/>
            <wp:docPr id="8" name="Picture 8" descr="Screenshot of the confirmation message indicating the clients eligibility has been successfully chang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confirmation message indicating the clients eligibility has been successfully changed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73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59BD91" w14:textId="77777777" w:rsidR="00292071" w:rsidRPr="002F65FD" w:rsidRDefault="00292071" w:rsidP="00292071">
      <w:pPr>
        <w:pStyle w:val="Heading2"/>
      </w:pPr>
      <w:r w:rsidRPr="002F65FD">
        <w:t>Step 4</w:t>
      </w:r>
    </w:p>
    <w:p w14:paraId="74CA0D42" w14:textId="77777777" w:rsidR="00292071" w:rsidRDefault="00292071" w:rsidP="00292071">
      <w:pPr>
        <w:rPr>
          <w:color w:val="000000"/>
        </w:rPr>
      </w:pPr>
      <w:r>
        <w:t xml:space="preserve">You can view the client’s new voucher details under the </w:t>
      </w:r>
      <w:r w:rsidRPr="00032B5B">
        <w:t>Service History</w:t>
      </w:r>
      <w:r>
        <w:rPr>
          <w:b/>
          <w:color w:val="FFFFFF"/>
        </w:rPr>
        <w:t xml:space="preserve"> </w:t>
      </w:r>
      <w:r>
        <w:rPr>
          <w:color w:val="000000"/>
        </w:rPr>
        <w:t>tab.</w:t>
      </w:r>
    </w:p>
    <w:p w14:paraId="066B95EA" w14:textId="77777777" w:rsidR="00292071" w:rsidRDefault="00292071" w:rsidP="00292071">
      <w:pPr>
        <w:rPr>
          <w:color w:val="000000"/>
        </w:rPr>
      </w:pPr>
      <w:bookmarkStart w:id="4" w:name="Client’s_eligibility_not_confirmed"/>
      <w:bookmarkEnd w:id="4"/>
      <w:r>
        <w:rPr>
          <w:color w:val="000000"/>
        </w:rPr>
        <w:t>You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 w:rsidRPr="00032B5B">
        <w:rPr>
          <w:rStyle w:val="Bluebuttonstyle"/>
        </w:rPr>
        <w:t>Print Details</w:t>
      </w:r>
      <w:r>
        <w:rPr>
          <w:b/>
          <w:color w:val="000000"/>
          <w:spacing w:val="-4"/>
        </w:rPr>
        <w:t xml:space="preserve"> </w:t>
      </w:r>
      <w:r>
        <w:rPr>
          <w:color w:val="000000"/>
        </w:rPr>
        <w:t>button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create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printable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PDF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 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information for the client, if required.</w:t>
      </w:r>
    </w:p>
    <w:p w14:paraId="6862EC13" w14:textId="77777777" w:rsidR="00292071" w:rsidRPr="002F65FD" w:rsidRDefault="00292071" w:rsidP="00292071">
      <w:pPr>
        <w:pStyle w:val="Heading1"/>
      </w:pPr>
      <w:r w:rsidRPr="002F65FD">
        <w:t>Client’s eligibility not confirmed</w:t>
      </w:r>
    </w:p>
    <w:p w14:paraId="36078C57" w14:textId="77777777" w:rsidR="00292071" w:rsidRPr="00032B5B" w:rsidRDefault="00292071" w:rsidP="00292071">
      <w:r w:rsidRPr="002F65FD">
        <w:t xml:space="preserve">There are several reasons that the client’s eligibility may not be </w:t>
      </w:r>
      <w:r w:rsidRPr="008F1D02">
        <w:t>confirmed,</w:t>
      </w:r>
      <w:r w:rsidRPr="002F65FD">
        <w:t xml:space="preserve"> and they are not issued with a return voucher. </w:t>
      </w:r>
    </w:p>
    <w:p w14:paraId="5A9FAD9C" w14:textId="77777777" w:rsidR="00292071" w:rsidRDefault="00292071" w:rsidP="00292071">
      <w:pPr>
        <w:pStyle w:val="ListBullet"/>
        <w:numPr>
          <w:ilvl w:val="0"/>
          <w:numId w:val="17"/>
        </w:numPr>
      </w:pPr>
      <w:r w:rsidRPr="008E37E0">
        <w:rPr>
          <w:b/>
        </w:rPr>
        <w:lastRenderedPageBreak/>
        <w:t>Details could not be validated</w:t>
      </w:r>
      <w:r>
        <w:rPr>
          <w:b/>
        </w:rPr>
        <w:t xml:space="preserve"> </w:t>
      </w:r>
      <w:r>
        <w:t>– the client’s name or date of birth does not match Centrelink/DVA’s records for the eligibility number provided. Please contact the client or</w:t>
      </w:r>
      <w:r>
        <w:rPr>
          <w:spacing w:val="-4"/>
        </w:rPr>
        <w:t xml:space="preserve"> </w:t>
      </w:r>
      <w:r>
        <w:t>Centrelink/DVA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details.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details area before trying again.</w:t>
      </w:r>
    </w:p>
    <w:p w14:paraId="3AD428DE" w14:textId="77777777" w:rsidR="00292071" w:rsidRDefault="00292071" w:rsidP="00292071">
      <w:pPr>
        <w:pStyle w:val="ListBullet"/>
        <w:numPr>
          <w:ilvl w:val="0"/>
          <w:numId w:val="17"/>
        </w:numPr>
      </w:pPr>
      <w:r w:rsidRPr="008E37E0">
        <w:rPr>
          <w:b/>
        </w:rPr>
        <w:t>Client no longer eligible</w:t>
      </w:r>
      <w:r w:rsidRPr="00032B5B">
        <w:rPr>
          <w:bCs/>
        </w:rPr>
        <w:t xml:space="preserve"> </w:t>
      </w:r>
      <w:r>
        <w:t>– a check with Centrelink/DVA has indicated this client is no longer</w:t>
      </w:r>
      <w:r>
        <w:rPr>
          <w:spacing w:val="-4"/>
        </w:rPr>
        <w:t xml:space="preserve"> </w:t>
      </w:r>
      <w:r>
        <w:t>eligible.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incorrect,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 xml:space="preserve">Centrelink/DVA. </w:t>
      </w:r>
    </w:p>
    <w:p w14:paraId="78309567" w14:textId="77777777" w:rsidR="00292071" w:rsidRDefault="00292071" w:rsidP="00292071">
      <w:pPr>
        <w:pStyle w:val="ListBullet"/>
        <w:numPr>
          <w:ilvl w:val="0"/>
          <w:numId w:val="17"/>
        </w:numPr>
      </w:pPr>
      <w:r w:rsidRPr="008E37E0">
        <w:rPr>
          <w:b/>
        </w:rPr>
        <w:t>Confirm return voucher button unavailable</w:t>
      </w:r>
      <w:r>
        <w:rPr>
          <w:b/>
        </w:rPr>
        <w:t xml:space="preserve"> </w:t>
      </w:r>
      <w:r>
        <w:t xml:space="preserve">– confirm that the client’s voucher has expired at least the day before. </w:t>
      </w:r>
    </w:p>
    <w:p w14:paraId="6B066D95" w14:textId="56568DDB" w:rsidR="009040E9" w:rsidRPr="009040E9" w:rsidRDefault="00292071" w:rsidP="00292071">
      <w:r w:rsidRPr="002F65FD">
        <w:t>Note: D</w:t>
      </w:r>
      <w:r>
        <w:t xml:space="preserve">isability Employment </w:t>
      </w:r>
      <w:r w:rsidRPr="002F65FD">
        <w:t>S</w:t>
      </w:r>
      <w:r>
        <w:t>ervices</w:t>
      </w:r>
      <w:r w:rsidRPr="002F65FD">
        <w:t xml:space="preserve"> clients must be referred by their DES planner and will therefore not have a confirm return voucher button available</w:t>
      </w:r>
      <w:r>
        <w:rPr>
          <w:spacing w:val="-2"/>
        </w:rPr>
        <w:t>.</w:t>
      </w:r>
    </w:p>
    <w:sectPr w:rsidR="009040E9" w:rsidRPr="009040E9" w:rsidSect="00B5398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7791AFC7" w:rsidR="00B53987" w:rsidRDefault="00292071" w:rsidP="00292071">
    <w:pPr>
      <w:pStyle w:val="Footer"/>
      <w:jc w:val="left"/>
    </w:pPr>
    <w:r>
      <w:t>Hearing Services Program – Portal user guide – Confirm a return voucher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1D36DF4C" w:rsidR="00B53987" w:rsidRDefault="00292071" w:rsidP="00B53987">
    <w:pPr>
      <w:pStyle w:val="Footer"/>
    </w:pPr>
    <w:r>
      <w:t>Hearing Services Program – Portal user guide – Confirm a return voucher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58B4EF67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2071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635B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92071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292071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hearing-services-program-portal-user-guide-update-client-detai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hearing-services-program-portal-user-guide-search-link-and-transfer-cli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6b98d56-25b7-479b-bf58-c8a0702ccf2c"/>
    <ds:schemaRef ds:uri="http://schemas.microsoft.com/office/2006/metadata/properties"/>
    <ds:schemaRef ds:uri="http://purl.org/dc/elements/1.1/"/>
    <ds:schemaRef ds:uri="3e9090f6-0245-48e3-bd19-46cc0b4d31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Confirm a return voucher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Confirm a return voucher</dc:title>
  <dc:subject>Ear health and hearing</dc:subject>
  <dc:creator>Australian Government Department of Health and Aged Care</dc:creator>
  <cp:keywords>HSP; HSO</cp:keywords>
  <cp:lastModifiedBy>MCCAY, Meryl</cp:lastModifiedBy>
  <cp:revision>5</cp:revision>
  <dcterms:created xsi:type="dcterms:W3CDTF">2023-06-19T23:03:00Z</dcterms:created>
  <dcterms:modified xsi:type="dcterms:W3CDTF">2023-07-06T01:36:00Z</dcterms:modified>
</cp:coreProperties>
</file>