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627" w14:textId="34F0790A" w:rsidR="00751A23" w:rsidRPr="00AE49B3" w:rsidRDefault="00352BE8" w:rsidP="00F95389">
      <w:pPr>
        <w:pStyle w:val="Title"/>
      </w:pPr>
      <w:r w:rsidRPr="00AE49B3">
        <w:t xml:space="preserve">Fraud and Corruption Control Plan </w:t>
      </w:r>
      <w:r w:rsidR="00BD4989" w:rsidRPr="00AE49B3">
        <w:t>202</w:t>
      </w:r>
      <w:r w:rsidR="00B2379F" w:rsidRPr="00AE49B3">
        <w:t>3</w:t>
      </w:r>
      <w:r w:rsidR="00BA1863">
        <w:t>–</w:t>
      </w:r>
      <w:r w:rsidR="00BD4989" w:rsidRPr="00AE49B3">
        <w:t>2</w:t>
      </w:r>
      <w:r w:rsidR="00B2379F" w:rsidRPr="00AE49B3">
        <w:t>5</w:t>
      </w:r>
    </w:p>
    <w:p w14:paraId="7FB30D80" w14:textId="781D6C6E" w:rsidR="00CA79CF" w:rsidRPr="00D07F3F" w:rsidRDefault="0011088F" w:rsidP="00DE15A4">
      <w:pPr>
        <w:pStyle w:val="Subtitle"/>
        <w:tabs>
          <w:tab w:val="left" w:pos="426"/>
          <w:tab w:val="left" w:pos="8364"/>
        </w:tabs>
        <w:spacing w:line="276" w:lineRule="auto"/>
        <w:rPr>
          <w:rFonts w:asciiTheme="minorHAnsi" w:hAnsiTheme="minorHAnsi" w:cstheme="minorHAnsi"/>
          <w:sz w:val="32"/>
          <w:szCs w:val="32"/>
        </w:rPr>
      </w:pPr>
      <w:r>
        <w:rPr>
          <w:rFonts w:asciiTheme="minorHAnsi" w:hAnsiTheme="minorHAnsi" w:cstheme="minorHAnsi"/>
          <w:noProof/>
          <w:sz w:val="32"/>
          <w:szCs w:val="32"/>
          <w:lang w:eastAsia="en-AU"/>
        </w:rPr>
        <w:drawing>
          <wp:anchor distT="0" distB="0" distL="114300" distR="114300" simplePos="0" relativeHeight="251658240" behindDoc="1" locked="0" layoutInCell="1" allowOverlap="1" wp14:anchorId="486947E4" wp14:editId="5DB8E44A">
            <wp:simplePos x="0" y="0"/>
            <wp:positionH relativeFrom="page">
              <wp:posOffset>219075</wp:posOffset>
            </wp:positionH>
            <wp:positionV relativeFrom="page">
              <wp:posOffset>3639185</wp:posOffset>
            </wp:positionV>
            <wp:extent cx="7114634" cy="70389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114634" cy="7038975"/>
                    </a:xfrm>
                    <a:prstGeom prst="rect">
                      <a:avLst/>
                    </a:prstGeom>
                    <a:noFill/>
                  </pic:spPr>
                </pic:pic>
              </a:graphicData>
            </a:graphic>
            <wp14:sizeRelH relativeFrom="margin">
              <wp14:pctWidth>0</wp14:pctWidth>
            </wp14:sizeRelH>
            <wp14:sizeRelV relativeFrom="margin">
              <wp14:pctHeight>0</wp14:pctHeight>
            </wp14:sizeRelV>
          </wp:anchor>
        </w:drawing>
      </w:r>
      <w:r w:rsidRPr="00D07F3F" w:rsidDel="0011088F">
        <w:rPr>
          <w:rFonts w:asciiTheme="minorHAnsi" w:hAnsiTheme="minorHAnsi" w:cstheme="minorHAnsi"/>
          <w:noProof/>
        </w:rPr>
        <w:t xml:space="preserve"> </w:t>
      </w:r>
    </w:p>
    <w:p w14:paraId="6982A947" w14:textId="77777777" w:rsidR="00906CAA" w:rsidRPr="00D07F3F" w:rsidRDefault="00906CAA" w:rsidP="00DE15A4">
      <w:pPr>
        <w:tabs>
          <w:tab w:val="left" w:pos="426"/>
          <w:tab w:val="left" w:pos="8364"/>
        </w:tabs>
        <w:rPr>
          <w:rFonts w:asciiTheme="minorHAnsi" w:hAnsiTheme="minorHAnsi" w:cstheme="minorHAnsi"/>
        </w:rPr>
        <w:sectPr w:rsidR="00906CAA" w:rsidRPr="00D07F3F" w:rsidSect="00485D8A">
          <w:headerReference w:type="default" r:id="rId12"/>
          <w:headerReference w:type="first" r:id="rId13"/>
          <w:type w:val="nextColumn"/>
          <w:pgSz w:w="11906" w:h="16838"/>
          <w:pgMar w:top="1701" w:right="1418" w:bottom="1418" w:left="1418" w:header="709" w:footer="709" w:gutter="0"/>
          <w:cols w:space="708"/>
          <w:titlePg/>
          <w:docGrid w:linePitch="360"/>
        </w:sectPr>
      </w:pPr>
    </w:p>
    <w:p w14:paraId="002EAF5B" w14:textId="6154E5C0" w:rsidR="00B0586A" w:rsidRPr="00D07F3F" w:rsidRDefault="00B0586A" w:rsidP="009F14FD">
      <w:pPr>
        <w:pStyle w:val="Heading1"/>
        <w:rPr>
          <w:sz w:val="32"/>
          <w:szCs w:val="24"/>
        </w:rPr>
      </w:pPr>
      <w:bookmarkStart w:id="0" w:name="SecretarysMessage"/>
      <w:bookmarkStart w:id="1" w:name="_Toc52226447"/>
      <w:bookmarkStart w:id="2" w:name="_Toc111028913"/>
      <w:bookmarkStart w:id="3" w:name="_Toc112925390"/>
      <w:bookmarkStart w:id="4" w:name="_Toc127213940"/>
      <w:r w:rsidRPr="00D07F3F">
        <w:rPr>
          <w:sz w:val="32"/>
          <w:szCs w:val="24"/>
        </w:rPr>
        <w:lastRenderedPageBreak/>
        <w:t xml:space="preserve">Secretary’s </w:t>
      </w:r>
      <w:bookmarkEnd w:id="0"/>
      <w:bookmarkEnd w:id="1"/>
      <w:bookmarkEnd w:id="2"/>
      <w:bookmarkEnd w:id="3"/>
      <w:bookmarkEnd w:id="4"/>
      <w:r w:rsidR="00030A84">
        <w:rPr>
          <w:sz w:val="32"/>
          <w:szCs w:val="24"/>
        </w:rPr>
        <w:t>S</w:t>
      </w:r>
      <w:r w:rsidR="007379E5">
        <w:rPr>
          <w:sz w:val="32"/>
          <w:szCs w:val="24"/>
        </w:rPr>
        <w:t>tatement</w:t>
      </w:r>
    </w:p>
    <w:p w14:paraId="39EB0ADD" w14:textId="66B2E8A3" w:rsidR="007E4139" w:rsidRPr="00D07F3F" w:rsidRDefault="00B0586A" w:rsidP="00D07F3F">
      <w:pPr>
        <w:rPr>
          <w:rFonts w:cs="Arial"/>
          <w:szCs w:val="22"/>
        </w:rPr>
      </w:pPr>
      <w:r w:rsidRPr="00D07F3F">
        <w:rPr>
          <w:rFonts w:cs="Arial"/>
          <w:szCs w:val="22"/>
        </w:rPr>
        <w:t xml:space="preserve">The Department of Health and Aged Care (the </w:t>
      </w:r>
      <w:r w:rsidR="003451C2" w:rsidRPr="00D07F3F">
        <w:rPr>
          <w:rFonts w:cs="Arial"/>
          <w:szCs w:val="22"/>
        </w:rPr>
        <w:t>d</w:t>
      </w:r>
      <w:r w:rsidRPr="00D07F3F">
        <w:rPr>
          <w:rFonts w:cs="Arial"/>
          <w:szCs w:val="22"/>
        </w:rPr>
        <w:t xml:space="preserve">epartment) is serious about preventing, </w:t>
      </w:r>
      <w:r w:rsidR="00E44015" w:rsidRPr="00D07F3F">
        <w:rPr>
          <w:rFonts w:cs="Arial"/>
          <w:szCs w:val="22"/>
        </w:rPr>
        <w:t>detecting,</w:t>
      </w:r>
      <w:r w:rsidRPr="00D07F3F">
        <w:rPr>
          <w:rFonts w:cs="Arial"/>
          <w:szCs w:val="22"/>
        </w:rPr>
        <w:t xml:space="preserve"> and countering fraud</w:t>
      </w:r>
      <w:r w:rsidR="000D0A4C" w:rsidRPr="00D07F3F">
        <w:rPr>
          <w:rFonts w:cs="Arial"/>
          <w:szCs w:val="22"/>
        </w:rPr>
        <w:t xml:space="preserve"> and corruption</w:t>
      </w:r>
      <w:r w:rsidRPr="00D07F3F">
        <w:rPr>
          <w:rFonts w:cs="Arial"/>
          <w:szCs w:val="22"/>
        </w:rPr>
        <w:t xml:space="preserve">. </w:t>
      </w:r>
      <w:r w:rsidR="007C689F" w:rsidRPr="007C689F">
        <w:rPr>
          <w:szCs w:val="22"/>
        </w:rPr>
        <w:t>Public confidence and integrity in our people and the programs we are entrusted to deliver for Australians is vital to our operation.</w:t>
      </w:r>
    </w:p>
    <w:p w14:paraId="7075415F" w14:textId="3350853D" w:rsidR="00A3162B" w:rsidRPr="00D07F3F" w:rsidRDefault="00B0586A" w:rsidP="00D07F3F">
      <w:pPr>
        <w:rPr>
          <w:rFonts w:cs="Arial"/>
          <w:szCs w:val="22"/>
        </w:rPr>
      </w:pPr>
      <w:r w:rsidRPr="00D07F3F">
        <w:rPr>
          <w:rFonts w:cs="Arial"/>
          <w:szCs w:val="22"/>
        </w:rPr>
        <w:t xml:space="preserve">The </w:t>
      </w:r>
      <w:r w:rsidR="003451C2" w:rsidRPr="00D07F3F">
        <w:rPr>
          <w:rFonts w:cs="Arial"/>
          <w:szCs w:val="22"/>
        </w:rPr>
        <w:t>d</w:t>
      </w:r>
      <w:r w:rsidR="00A05ABF" w:rsidRPr="00D07F3F">
        <w:rPr>
          <w:rFonts w:cs="Arial"/>
          <w:szCs w:val="22"/>
        </w:rPr>
        <w:t>epartment</w:t>
      </w:r>
      <w:r w:rsidRPr="00D07F3F">
        <w:rPr>
          <w:rFonts w:cs="Arial"/>
          <w:szCs w:val="22"/>
        </w:rPr>
        <w:t xml:space="preserve"> is responsible for approximately $</w:t>
      </w:r>
      <w:r w:rsidR="00287A49">
        <w:rPr>
          <w:rFonts w:cs="Arial"/>
          <w:szCs w:val="22"/>
        </w:rPr>
        <w:t>105</w:t>
      </w:r>
      <w:r w:rsidR="007E1DD0" w:rsidRPr="00D07F3F">
        <w:rPr>
          <w:rFonts w:cs="Arial"/>
          <w:szCs w:val="22"/>
        </w:rPr>
        <w:t xml:space="preserve"> </w:t>
      </w:r>
      <w:r w:rsidRPr="00D07F3F">
        <w:rPr>
          <w:rFonts w:cs="Arial"/>
          <w:szCs w:val="22"/>
        </w:rPr>
        <w:t>billion of administered spending and $1</w:t>
      </w:r>
      <w:r w:rsidR="00720304" w:rsidRPr="00D07F3F">
        <w:rPr>
          <w:rFonts w:cs="Arial"/>
          <w:szCs w:val="22"/>
        </w:rPr>
        <w:t>.2 billion</w:t>
      </w:r>
      <w:r w:rsidRPr="00D07F3F">
        <w:rPr>
          <w:rFonts w:cs="Arial"/>
          <w:szCs w:val="22"/>
        </w:rPr>
        <w:t xml:space="preserve"> in departmental spending. </w:t>
      </w:r>
    </w:p>
    <w:p w14:paraId="56DC1EE2" w14:textId="67BD47B7" w:rsidR="00196773" w:rsidRPr="00D07F3F" w:rsidRDefault="006A06E7" w:rsidP="00D07F3F">
      <w:pPr>
        <w:rPr>
          <w:rFonts w:cs="Arial"/>
          <w:szCs w:val="22"/>
        </w:rPr>
      </w:pPr>
      <w:r w:rsidRPr="00D07F3F">
        <w:rPr>
          <w:rFonts w:cs="Arial"/>
          <w:szCs w:val="22"/>
        </w:rPr>
        <w:t>The scale of th</w:t>
      </w:r>
      <w:r w:rsidR="00B00AF8" w:rsidRPr="00D07F3F">
        <w:rPr>
          <w:rFonts w:cs="Arial"/>
          <w:szCs w:val="22"/>
        </w:rPr>
        <w:t xml:space="preserve">ese investments </w:t>
      </w:r>
      <w:r w:rsidR="00850072" w:rsidRPr="00D07F3F">
        <w:rPr>
          <w:rFonts w:cs="Arial"/>
          <w:szCs w:val="22"/>
        </w:rPr>
        <w:t>exposes</w:t>
      </w:r>
      <w:r w:rsidR="00B00AF8" w:rsidRPr="00D07F3F">
        <w:rPr>
          <w:rFonts w:cs="Arial"/>
          <w:szCs w:val="22"/>
        </w:rPr>
        <w:t xml:space="preserve"> the </w:t>
      </w:r>
      <w:r w:rsidR="00F72A84" w:rsidRPr="00D07F3F">
        <w:rPr>
          <w:rFonts w:cs="Arial"/>
          <w:szCs w:val="22"/>
        </w:rPr>
        <w:t>department</w:t>
      </w:r>
      <w:r w:rsidR="00B00AF8" w:rsidRPr="00D07F3F">
        <w:rPr>
          <w:rFonts w:cs="Arial"/>
          <w:szCs w:val="22"/>
        </w:rPr>
        <w:t xml:space="preserve"> to significant fraud and corruption risks which can</w:t>
      </w:r>
      <w:r w:rsidR="00165F8A" w:rsidRPr="00D07F3F">
        <w:rPr>
          <w:rFonts w:cs="Arial"/>
          <w:szCs w:val="22"/>
        </w:rPr>
        <w:t xml:space="preserve"> r</w:t>
      </w:r>
      <w:r w:rsidR="00B00AF8" w:rsidRPr="00D07F3F">
        <w:rPr>
          <w:rFonts w:cs="Arial"/>
          <w:szCs w:val="22"/>
        </w:rPr>
        <w:t xml:space="preserve">educe the resources available for delivering </w:t>
      </w:r>
      <w:r w:rsidR="00EC6790" w:rsidRPr="00D07F3F">
        <w:rPr>
          <w:rFonts w:cs="Arial"/>
          <w:szCs w:val="22"/>
        </w:rPr>
        <w:t xml:space="preserve">our </w:t>
      </w:r>
      <w:r w:rsidR="00196773" w:rsidRPr="00D07F3F">
        <w:rPr>
          <w:rFonts w:cs="Arial"/>
          <w:szCs w:val="22"/>
        </w:rPr>
        <w:t>services to the community</w:t>
      </w:r>
      <w:r w:rsidR="00165F8A" w:rsidRPr="00D07F3F">
        <w:rPr>
          <w:rFonts w:cs="Arial"/>
          <w:szCs w:val="22"/>
        </w:rPr>
        <w:t xml:space="preserve"> and u</w:t>
      </w:r>
      <w:r w:rsidR="00552712" w:rsidRPr="00D07F3F">
        <w:rPr>
          <w:rFonts w:cs="Arial"/>
          <w:szCs w:val="22"/>
        </w:rPr>
        <w:t xml:space="preserve">ndermine public confidence in </w:t>
      </w:r>
      <w:r w:rsidR="00850072" w:rsidRPr="00D07F3F">
        <w:rPr>
          <w:rFonts w:cs="Arial"/>
          <w:szCs w:val="22"/>
        </w:rPr>
        <w:t>our programs</w:t>
      </w:r>
      <w:r w:rsidR="000C71E4">
        <w:rPr>
          <w:rFonts w:cs="Arial"/>
          <w:szCs w:val="22"/>
        </w:rPr>
        <w:t xml:space="preserve">. </w:t>
      </w:r>
    </w:p>
    <w:p w14:paraId="3A7F514E" w14:textId="1F2BB12F" w:rsidR="00B61D22" w:rsidRPr="00D07F3F" w:rsidRDefault="00E51AFA" w:rsidP="00D07F3F">
      <w:pPr>
        <w:rPr>
          <w:rStyle w:val="eop"/>
          <w:rFonts w:eastAsiaTheme="majorEastAsia" w:cs="Arial"/>
          <w:color w:val="000000"/>
          <w:szCs w:val="22"/>
          <w:shd w:val="clear" w:color="auto" w:fill="FFFFFF"/>
        </w:rPr>
      </w:pPr>
      <w:r w:rsidRPr="00D07F3F">
        <w:rPr>
          <w:rStyle w:val="normaltextrun"/>
          <w:rFonts w:cs="Arial"/>
          <w:color w:val="000000"/>
          <w:szCs w:val="22"/>
          <w:shd w:val="clear" w:color="auto" w:fill="FFFFFF"/>
        </w:rPr>
        <w:t xml:space="preserve">All departmental </w:t>
      </w:r>
      <w:r w:rsidR="007A7345" w:rsidRPr="00D07F3F">
        <w:rPr>
          <w:rStyle w:val="normaltextrun"/>
          <w:rFonts w:cs="Arial"/>
          <w:color w:val="000000"/>
          <w:szCs w:val="22"/>
          <w:shd w:val="clear" w:color="auto" w:fill="FFFFFF"/>
        </w:rPr>
        <w:t xml:space="preserve">officials (including </w:t>
      </w:r>
      <w:r w:rsidRPr="00D07F3F">
        <w:rPr>
          <w:rStyle w:val="normaltextrun"/>
          <w:rFonts w:cs="Arial"/>
          <w:color w:val="000000"/>
          <w:szCs w:val="22"/>
          <w:shd w:val="clear" w:color="auto" w:fill="FFFFFF"/>
        </w:rPr>
        <w:t>staff</w:t>
      </w:r>
      <w:r w:rsidR="007A7345" w:rsidRPr="00D07F3F">
        <w:rPr>
          <w:rStyle w:val="normaltextrun"/>
          <w:rFonts w:cs="Arial"/>
          <w:color w:val="000000"/>
          <w:szCs w:val="22"/>
          <w:shd w:val="clear" w:color="auto" w:fill="FFFFFF"/>
        </w:rPr>
        <w:t xml:space="preserve">, </w:t>
      </w:r>
      <w:r w:rsidRPr="00D07F3F">
        <w:rPr>
          <w:rStyle w:val="normaltextrun"/>
          <w:rFonts w:cs="Arial"/>
          <w:color w:val="000000"/>
          <w:szCs w:val="22"/>
          <w:shd w:val="clear" w:color="auto" w:fill="FFFFFF"/>
        </w:rPr>
        <w:t>contractors</w:t>
      </w:r>
      <w:r w:rsidR="007A7345" w:rsidRPr="00D07F3F">
        <w:rPr>
          <w:rStyle w:val="normaltextrun"/>
          <w:rFonts w:cs="Arial"/>
          <w:color w:val="000000"/>
          <w:szCs w:val="22"/>
          <w:shd w:val="clear" w:color="auto" w:fill="FFFFFF"/>
        </w:rPr>
        <w:t xml:space="preserve"> and consultants)</w:t>
      </w:r>
      <w:r w:rsidRPr="00D07F3F">
        <w:rPr>
          <w:rStyle w:val="normaltextrun"/>
          <w:rFonts w:cs="Arial"/>
          <w:color w:val="000000"/>
          <w:szCs w:val="22"/>
          <w:shd w:val="clear" w:color="auto" w:fill="FFFFFF"/>
        </w:rPr>
        <w:t xml:space="preserve"> </w:t>
      </w:r>
      <w:r w:rsidR="009C468A">
        <w:rPr>
          <w:rStyle w:val="normaltextrun"/>
          <w:rFonts w:cs="Arial"/>
          <w:color w:val="000000"/>
          <w:szCs w:val="22"/>
          <w:shd w:val="clear" w:color="auto" w:fill="FFFFFF"/>
        </w:rPr>
        <w:t>are required to</w:t>
      </w:r>
      <w:r w:rsidR="009C468A" w:rsidRPr="00D07F3F">
        <w:rPr>
          <w:rStyle w:val="normaltextrun"/>
          <w:rFonts w:cs="Arial"/>
          <w:color w:val="000000"/>
          <w:szCs w:val="22"/>
          <w:shd w:val="clear" w:color="auto" w:fill="FFFFFF"/>
        </w:rPr>
        <w:t xml:space="preserve"> </w:t>
      </w:r>
      <w:r w:rsidRPr="00D07F3F">
        <w:rPr>
          <w:rStyle w:val="normaltextrun"/>
          <w:rFonts w:cs="Arial"/>
          <w:color w:val="000000"/>
          <w:szCs w:val="22"/>
          <w:shd w:val="clear" w:color="auto" w:fill="FFFFFF"/>
        </w:rPr>
        <w:t xml:space="preserve">model the behaviours outlined in the </w:t>
      </w:r>
      <w:hyperlink r:id="rId14" w:history="1">
        <w:r w:rsidRPr="00411B70">
          <w:rPr>
            <w:rStyle w:val="Hyperlink"/>
            <w:rFonts w:cs="Arial"/>
            <w:szCs w:val="22"/>
            <w:shd w:val="clear" w:color="auto" w:fill="FFFFFF"/>
          </w:rPr>
          <w:t>APS Values</w:t>
        </w:r>
      </w:hyperlink>
      <w:r w:rsidRPr="00D07F3F">
        <w:rPr>
          <w:rStyle w:val="normaltextrun"/>
          <w:rFonts w:cs="Arial"/>
          <w:color w:val="000000"/>
          <w:szCs w:val="22"/>
          <w:shd w:val="clear" w:color="auto" w:fill="FFFFFF"/>
        </w:rPr>
        <w:t xml:space="preserve"> and </w:t>
      </w:r>
      <w:hyperlink r:id="rId15" w:history="1">
        <w:r w:rsidRPr="00411B70">
          <w:rPr>
            <w:rStyle w:val="Hyperlink"/>
            <w:rFonts w:cs="Arial"/>
            <w:szCs w:val="22"/>
            <w:shd w:val="clear" w:color="auto" w:fill="FFFFFF"/>
          </w:rPr>
          <w:t>Code of Conduct</w:t>
        </w:r>
      </w:hyperlink>
      <w:r w:rsidRPr="00D07F3F">
        <w:rPr>
          <w:rStyle w:val="normaltextrun"/>
          <w:rFonts w:cs="Arial"/>
          <w:color w:val="000000"/>
          <w:szCs w:val="22"/>
          <w:shd w:val="clear" w:color="auto" w:fill="FFFFFF"/>
        </w:rPr>
        <w:t>. This includes always being accountable and impartial, and not being influenced by personal interests or greed</w:t>
      </w:r>
      <w:r w:rsidR="000C71E4">
        <w:rPr>
          <w:rStyle w:val="normaltextrun"/>
          <w:rFonts w:cs="Arial"/>
          <w:color w:val="000000"/>
          <w:szCs w:val="22"/>
          <w:shd w:val="clear" w:color="auto" w:fill="FFFFFF"/>
        </w:rPr>
        <w:t xml:space="preserve">. </w:t>
      </w:r>
    </w:p>
    <w:p w14:paraId="730F6358" w14:textId="1936DF11" w:rsidR="00E51AFA" w:rsidRPr="00D07F3F" w:rsidRDefault="00B61D22" w:rsidP="00D07F3F">
      <w:pPr>
        <w:rPr>
          <w:rFonts w:cs="Arial"/>
          <w:szCs w:val="22"/>
        </w:rPr>
      </w:pPr>
      <w:r w:rsidRPr="00D07F3F">
        <w:rPr>
          <w:rFonts w:cs="Arial"/>
          <w:szCs w:val="22"/>
        </w:rPr>
        <w:t>With an increased focus on fraud in other Government programs,</w:t>
      </w:r>
      <w:r w:rsidR="007D581B">
        <w:rPr>
          <w:rFonts w:cs="Arial"/>
          <w:szCs w:val="22"/>
        </w:rPr>
        <w:t xml:space="preserve"> </w:t>
      </w:r>
      <w:r w:rsidRPr="00D07F3F">
        <w:rPr>
          <w:rFonts w:cs="Arial"/>
          <w:szCs w:val="22"/>
        </w:rPr>
        <w:t xml:space="preserve">and a </w:t>
      </w:r>
      <w:r w:rsidR="006D1614">
        <w:rPr>
          <w:rFonts w:cs="Arial"/>
          <w:szCs w:val="22"/>
        </w:rPr>
        <w:t>strengthening</w:t>
      </w:r>
      <w:r w:rsidR="006D1614" w:rsidRPr="00D07F3F">
        <w:rPr>
          <w:rFonts w:cs="Arial"/>
          <w:szCs w:val="22"/>
        </w:rPr>
        <w:t xml:space="preserve"> </w:t>
      </w:r>
      <w:r w:rsidRPr="00D07F3F">
        <w:rPr>
          <w:rFonts w:cs="Arial"/>
          <w:szCs w:val="22"/>
        </w:rPr>
        <w:t xml:space="preserve">of controls in those programs, fraudsters (including organised crime groups) will </w:t>
      </w:r>
      <w:r w:rsidR="00287A49">
        <w:rPr>
          <w:rFonts w:cs="Arial"/>
          <w:szCs w:val="22"/>
        </w:rPr>
        <w:t>inevitably sh</w:t>
      </w:r>
      <w:r w:rsidRPr="00D07F3F">
        <w:rPr>
          <w:rFonts w:cs="Arial"/>
          <w:szCs w:val="22"/>
        </w:rPr>
        <w:t>ift their operations to</w:t>
      </w:r>
      <w:r w:rsidR="00287A49">
        <w:rPr>
          <w:rFonts w:cs="Arial"/>
          <w:szCs w:val="22"/>
        </w:rPr>
        <w:t xml:space="preserve"> programs they perceive as </w:t>
      </w:r>
      <w:r w:rsidRPr="00D07F3F">
        <w:rPr>
          <w:rFonts w:cs="Arial"/>
          <w:szCs w:val="22"/>
        </w:rPr>
        <w:t>more vulnerable</w:t>
      </w:r>
      <w:r w:rsidR="00287A49">
        <w:rPr>
          <w:rFonts w:cs="Arial"/>
          <w:szCs w:val="22"/>
        </w:rPr>
        <w:t>, including potentially the department’s</w:t>
      </w:r>
      <w:r w:rsidRPr="00D07F3F">
        <w:rPr>
          <w:rFonts w:cs="Arial"/>
          <w:szCs w:val="22"/>
        </w:rPr>
        <w:t xml:space="preserve"> programs. It is critical that all departmental </w:t>
      </w:r>
      <w:r w:rsidR="0019153D" w:rsidRPr="00D07F3F">
        <w:rPr>
          <w:rFonts w:cs="Arial"/>
          <w:szCs w:val="22"/>
        </w:rPr>
        <w:t>officials</w:t>
      </w:r>
      <w:r w:rsidRPr="00D07F3F">
        <w:rPr>
          <w:rFonts w:cs="Arial"/>
          <w:szCs w:val="22"/>
        </w:rPr>
        <w:t xml:space="preserve"> consider fraud and corruption risks and </w:t>
      </w:r>
      <w:r w:rsidR="00C450B2" w:rsidRPr="00D07F3F">
        <w:rPr>
          <w:rFonts w:cs="Arial"/>
          <w:szCs w:val="22"/>
        </w:rPr>
        <w:t xml:space="preserve">implement </w:t>
      </w:r>
      <w:r w:rsidRPr="00D07F3F">
        <w:rPr>
          <w:rFonts w:cs="Arial"/>
          <w:szCs w:val="22"/>
        </w:rPr>
        <w:t>fraud and corruption control</w:t>
      </w:r>
      <w:r w:rsidR="006D1614">
        <w:rPr>
          <w:rFonts w:cs="Arial"/>
          <w:szCs w:val="22"/>
        </w:rPr>
        <w:t>s</w:t>
      </w:r>
      <w:r w:rsidR="00287A49">
        <w:rPr>
          <w:rFonts w:cs="Arial"/>
          <w:szCs w:val="22"/>
        </w:rPr>
        <w:t xml:space="preserve"> as a key part of their </w:t>
      </w:r>
      <w:proofErr w:type="gramStart"/>
      <w:r w:rsidR="00287A49">
        <w:rPr>
          <w:rFonts w:cs="Arial"/>
          <w:szCs w:val="22"/>
        </w:rPr>
        <w:t>day to day</w:t>
      </w:r>
      <w:proofErr w:type="gramEnd"/>
      <w:r w:rsidR="00287A49">
        <w:rPr>
          <w:rFonts w:cs="Arial"/>
          <w:szCs w:val="22"/>
        </w:rPr>
        <w:t xml:space="preserve"> policy design, program management and program delivery functions</w:t>
      </w:r>
      <w:r w:rsidR="000C71E4">
        <w:rPr>
          <w:rFonts w:cs="Arial"/>
          <w:szCs w:val="22"/>
        </w:rPr>
        <w:t xml:space="preserve">. </w:t>
      </w:r>
    </w:p>
    <w:p w14:paraId="683FFEB8" w14:textId="2B644EFD" w:rsidR="003D5FB6" w:rsidRPr="00D07F3F" w:rsidRDefault="00595E68" w:rsidP="00D07F3F">
      <w:pPr>
        <w:rPr>
          <w:rFonts w:cs="Arial"/>
          <w:szCs w:val="22"/>
        </w:rPr>
      </w:pPr>
      <w:r w:rsidRPr="00D07F3F">
        <w:rPr>
          <w:rFonts w:cs="Arial"/>
          <w:szCs w:val="22"/>
        </w:rPr>
        <w:t>T</w:t>
      </w:r>
      <w:r w:rsidR="00A53DD4" w:rsidRPr="00D07F3F">
        <w:rPr>
          <w:rFonts w:cs="Arial"/>
          <w:szCs w:val="22"/>
        </w:rPr>
        <w:t xml:space="preserve">he </w:t>
      </w:r>
      <w:r w:rsidR="00F72A84" w:rsidRPr="00D07F3F">
        <w:rPr>
          <w:rFonts w:cs="Arial"/>
          <w:szCs w:val="22"/>
        </w:rPr>
        <w:t>department</w:t>
      </w:r>
      <w:r w:rsidR="00B16D37" w:rsidRPr="00D07F3F">
        <w:rPr>
          <w:rFonts w:cs="Arial"/>
          <w:szCs w:val="22"/>
        </w:rPr>
        <w:t>’</w:t>
      </w:r>
      <w:r w:rsidR="00A53DD4" w:rsidRPr="00D07F3F">
        <w:rPr>
          <w:rFonts w:cs="Arial"/>
          <w:szCs w:val="22"/>
        </w:rPr>
        <w:t xml:space="preserve">s Fraud and Corruption Control Plan </w:t>
      </w:r>
      <w:r w:rsidR="00DF01CD" w:rsidRPr="00D07F3F">
        <w:rPr>
          <w:rFonts w:cs="Arial"/>
          <w:szCs w:val="22"/>
        </w:rPr>
        <w:t xml:space="preserve">(the Plan) </w:t>
      </w:r>
      <w:r w:rsidR="00A53DD4" w:rsidRPr="00D07F3F">
        <w:rPr>
          <w:rFonts w:cs="Arial"/>
          <w:szCs w:val="22"/>
        </w:rPr>
        <w:t xml:space="preserve">documents </w:t>
      </w:r>
      <w:r w:rsidR="006D1614">
        <w:rPr>
          <w:rFonts w:cs="Arial"/>
          <w:szCs w:val="22"/>
        </w:rPr>
        <w:t>our</w:t>
      </w:r>
      <w:r w:rsidR="00A53DD4" w:rsidRPr="00D07F3F">
        <w:rPr>
          <w:rFonts w:cs="Arial"/>
          <w:szCs w:val="22"/>
        </w:rPr>
        <w:t xml:space="preserve"> </w:t>
      </w:r>
      <w:r w:rsidR="00E4060E" w:rsidRPr="00D07F3F">
        <w:rPr>
          <w:rFonts w:cs="Arial"/>
          <w:szCs w:val="22"/>
        </w:rPr>
        <w:t xml:space="preserve">fraud and corruption prevention, </w:t>
      </w:r>
      <w:r w:rsidR="00E44015" w:rsidRPr="00D07F3F">
        <w:rPr>
          <w:rFonts w:cs="Arial"/>
          <w:szCs w:val="22"/>
        </w:rPr>
        <w:t>detection,</w:t>
      </w:r>
      <w:r w:rsidR="00E4060E" w:rsidRPr="00D07F3F">
        <w:rPr>
          <w:rFonts w:cs="Arial"/>
          <w:szCs w:val="22"/>
        </w:rPr>
        <w:t xml:space="preserve"> and response system</w:t>
      </w:r>
      <w:r w:rsidR="0024548F" w:rsidRPr="00D07F3F">
        <w:rPr>
          <w:rFonts w:cs="Arial"/>
          <w:szCs w:val="22"/>
        </w:rPr>
        <w:t>. It</w:t>
      </w:r>
      <w:r w:rsidR="00A77C25" w:rsidRPr="00D07F3F">
        <w:rPr>
          <w:rFonts w:cs="Arial"/>
          <w:szCs w:val="22"/>
        </w:rPr>
        <w:t xml:space="preserve"> </w:t>
      </w:r>
      <w:r w:rsidR="009C468A">
        <w:rPr>
          <w:rFonts w:cs="Arial"/>
          <w:szCs w:val="22"/>
        </w:rPr>
        <w:t>shows how</w:t>
      </w:r>
      <w:r w:rsidR="00182D2B" w:rsidRPr="00D07F3F">
        <w:rPr>
          <w:rFonts w:cs="Arial"/>
          <w:szCs w:val="22"/>
        </w:rPr>
        <w:t xml:space="preserve"> all departmental </w:t>
      </w:r>
      <w:r w:rsidR="00DD3702" w:rsidRPr="00D07F3F">
        <w:rPr>
          <w:rFonts w:cs="Arial"/>
          <w:szCs w:val="22"/>
        </w:rPr>
        <w:t>officials</w:t>
      </w:r>
      <w:r w:rsidR="00182D2B" w:rsidRPr="00D07F3F">
        <w:rPr>
          <w:rFonts w:cs="Arial"/>
          <w:szCs w:val="22"/>
        </w:rPr>
        <w:t xml:space="preserve"> and those who undertake business with the </w:t>
      </w:r>
      <w:r w:rsidR="00F72A84" w:rsidRPr="00D07F3F">
        <w:rPr>
          <w:rFonts w:cs="Arial"/>
          <w:szCs w:val="22"/>
        </w:rPr>
        <w:t>department</w:t>
      </w:r>
      <w:r w:rsidR="00182D2B" w:rsidRPr="00D07F3F">
        <w:rPr>
          <w:rFonts w:cs="Arial"/>
          <w:szCs w:val="22"/>
        </w:rPr>
        <w:t xml:space="preserve"> </w:t>
      </w:r>
      <w:r w:rsidR="009C468A">
        <w:rPr>
          <w:rFonts w:cs="Arial"/>
          <w:szCs w:val="22"/>
        </w:rPr>
        <w:t>can</w:t>
      </w:r>
      <w:r w:rsidR="00182D2B" w:rsidRPr="00D07F3F">
        <w:rPr>
          <w:rFonts w:cs="Arial"/>
          <w:szCs w:val="22"/>
        </w:rPr>
        <w:t xml:space="preserve"> recognise current fraud and corruption risks and vulnerabilities</w:t>
      </w:r>
      <w:r w:rsidR="006D1614">
        <w:rPr>
          <w:rFonts w:cs="Arial"/>
          <w:szCs w:val="22"/>
        </w:rPr>
        <w:t>,</w:t>
      </w:r>
      <w:r w:rsidR="00182D2B" w:rsidRPr="00D07F3F">
        <w:rPr>
          <w:rFonts w:cs="Arial"/>
          <w:szCs w:val="22"/>
        </w:rPr>
        <w:t xml:space="preserve"> and how they can integrate control strategies in their everyday business.</w:t>
      </w:r>
      <w:r w:rsidR="003D5FB6" w:rsidRPr="00D07F3F">
        <w:rPr>
          <w:rFonts w:cs="Arial"/>
          <w:szCs w:val="22"/>
        </w:rPr>
        <w:t xml:space="preserve"> </w:t>
      </w:r>
    </w:p>
    <w:p w14:paraId="7C591B94" w14:textId="42370CDD" w:rsidR="00B37606" w:rsidRPr="00D07F3F" w:rsidRDefault="00EE405C" w:rsidP="00C026DB">
      <w:pPr>
        <w:tabs>
          <w:tab w:val="left" w:pos="426"/>
          <w:tab w:val="left" w:pos="8364"/>
        </w:tabs>
        <w:spacing w:before="960"/>
        <w:rPr>
          <w:rFonts w:cs="Arial"/>
          <w:b/>
          <w:bCs/>
          <w:szCs w:val="22"/>
          <w:lang w:val="en"/>
        </w:rPr>
      </w:pPr>
      <w:r>
        <w:rPr>
          <w:rFonts w:cs="Arial"/>
          <w:b/>
          <w:bCs/>
          <w:szCs w:val="22"/>
          <w:lang w:val="en"/>
        </w:rPr>
        <w:t>Professor</w:t>
      </w:r>
      <w:r w:rsidRPr="00D07F3F">
        <w:rPr>
          <w:rFonts w:cs="Arial"/>
          <w:b/>
          <w:bCs/>
          <w:szCs w:val="22"/>
          <w:lang w:val="en"/>
        </w:rPr>
        <w:t xml:space="preserve"> </w:t>
      </w:r>
      <w:r w:rsidR="00B0586A" w:rsidRPr="00D07F3F">
        <w:rPr>
          <w:rFonts w:cs="Arial"/>
          <w:b/>
          <w:bCs/>
          <w:szCs w:val="22"/>
          <w:lang w:val="en"/>
        </w:rPr>
        <w:t>Brendan Murphy</w:t>
      </w:r>
      <w:r>
        <w:rPr>
          <w:rFonts w:cs="Arial"/>
          <w:b/>
          <w:bCs/>
          <w:szCs w:val="22"/>
          <w:lang w:val="en"/>
        </w:rPr>
        <w:t xml:space="preserve"> AM</w:t>
      </w:r>
    </w:p>
    <w:p w14:paraId="59F12900" w14:textId="6EDF8212" w:rsidR="00BD4989" w:rsidRPr="00D07F3F" w:rsidRDefault="00B0586A" w:rsidP="00DE15A4">
      <w:pPr>
        <w:tabs>
          <w:tab w:val="left" w:pos="426"/>
          <w:tab w:val="left" w:pos="8364"/>
        </w:tabs>
        <w:rPr>
          <w:rFonts w:cs="Arial"/>
          <w:bCs/>
          <w:szCs w:val="22"/>
          <w:lang w:val="en"/>
        </w:rPr>
      </w:pPr>
      <w:r w:rsidRPr="00D07F3F">
        <w:rPr>
          <w:rFonts w:cs="Arial"/>
          <w:bCs/>
          <w:szCs w:val="22"/>
          <w:lang w:val="en"/>
        </w:rPr>
        <w:t>Secretary</w:t>
      </w:r>
    </w:p>
    <w:p w14:paraId="3FAA15FC" w14:textId="600F86B4" w:rsidR="00652518" w:rsidRPr="00D07F3F" w:rsidRDefault="00493A86" w:rsidP="00C026DB">
      <w:pPr>
        <w:tabs>
          <w:tab w:val="left" w:pos="426"/>
          <w:tab w:val="left" w:pos="8364"/>
        </w:tabs>
        <w:spacing w:before="480"/>
        <w:rPr>
          <w:rFonts w:cs="Arial"/>
          <w:bCs/>
          <w:szCs w:val="22"/>
        </w:rPr>
      </w:pPr>
      <w:r>
        <w:rPr>
          <w:rFonts w:cs="Arial"/>
          <w:bCs/>
          <w:szCs w:val="22"/>
          <w:lang w:val="en"/>
        </w:rPr>
        <w:t xml:space="preserve">June </w:t>
      </w:r>
      <w:r w:rsidR="00652518" w:rsidRPr="00D07F3F">
        <w:rPr>
          <w:rFonts w:cs="Arial"/>
          <w:bCs/>
          <w:szCs w:val="22"/>
          <w:lang w:val="en"/>
        </w:rPr>
        <w:t>2023</w:t>
      </w:r>
    </w:p>
    <w:p w14:paraId="2A2466E0" w14:textId="3E04BBFE" w:rsidR="00BE3FF9" w:rsidRPr="00D07F3F" w:rsidRDefault="00774FCB" w:rsidP="00DE15A4">
      <w:pPr>
        <w:tabs>
          <w:tab w:val="left" w:pos="426"/>
          <w:tab w:val="left" w:pos="8364"/>
        </w:tabs>
        <w:spacing w:before="0" w:after="0"/>
        <w:rPr>
          <w:rFonts w:asciiTheme="minorHAnsi" w:eastAsia="Cambria" w:hAnsiTheme="minorHAnsi" w:cstheme="minorHAnsi"/>
          <w:b/>
        </w:rPr>
      </w:pPr>
      <w:bookmarkStart w:id="5" w:name="_Toc127213943"/>
      <w:r w:rsidRPr="00D07F3F">
        <w:rPr>
          <w:rFonts w:asciiTheme="minorHAnsi" w:eastAsia="Cambria" w:hAnsiTheme="minorHAnsi" w:cstheme="minorHAnsi"/>
        </w:rPr>
        <w:br w:type="page"/>
      </w:r>
    </w:p>
    <w:bookmarkEnd w:id="5"/>
    <w:p w14:paraId="3B52FA09" w14:textId="2D807E33" w:rsidR="005C3CDE" w:rsidRPr="007D581B" w:rsidRDefault="005C3CDE" w:rsidP="009F14FD">
      <w:pPr>
        <w:pStyle w:val="Heading1"/>
        <w:rPr>
          <w:sz w:val="32"/>
          <w:szCs w:val="32"/>
        </w:rPr>
      </w:pPr>
      <w:r w:rsidRPr="007D581B">
        <w:rPr>
          <w:sz w:val="32"/>
          <w:szCs w:val="32"/>
        </w:rPr>
        <w:lastRenderedPageBreak/>
        <w:t>F</w:t>
      </w:r>
      <w:r w:rsidR="00281FAF" w:rsidRPr="007D581B">
        <w:rPr>
          <w:sz w:val="32"/>
          <w:szCs w:val="32"/>
        </w:rPr>
        <w:t>raud and Corruption Policy Statement</w:t>
      </w:r>
    </w:p>
    <w:p w14:paraId="67951411" w14:textId="0B4B5231" w:rsidR="005C3CDE" w:rsidRPr="00D07F3F" w:rsidRDefault="005C3CDE" w:rsidP="009F14FD">
      <w:pPr>
        <w:rPr>
          <w:rFonts w:cs="Arial"/>
        </w:rPr>
      </w:pPr>
      <w:r w:rsidRPr="00D07F3F">
        <w:rPr>
          <w:rFonts w:cs="Arial"/>
        </w:rPr>
        <w:t xml:space="preserve">The Australian Government expects all Commonwealth officials or persons otherwise engaged through contract by the Commonwealth to collectively prevent, detect and deal with fraud and corruption. All departmental officials are expected to </w:t>
      </w:r>
      <w:proofErr w:type="gramStart"/>
      <w:r w:rsidRPr="00D07F3F">
        <w:rPr>
          <w:rFonts w:cs="Arial"/>
        </w:rPr>
        <w:t>behave with integrity at all times</w:t>
      </w:r>
      <w:proofErr w:type="gramEnd"/>
      <w:r w:rsidRPr="00D07F3F">
        <w:rPr>
          <w:rFonts w:cs="Arial"/>
        </w:rPr>
        <w:t xml:space="preserve">. The </w:t>
      </w:r>
      <w:r w:rsidR="00F72A84" w:rsidRPr="00D07F3F">
        <w:rPr>
          <w:rFonts w:cs="Arial"/>
        </w:rPr>
        <w:t>department</w:t>
      </w:r>
      <w:r w:rsidRPr="00D07F3F">
        <w:rPr>
          <w:rFonts w:cs="Arial"/>
        </w:rPr>
        <w:t xml:space="preserve"> will take action to deal with fraudulent and corrupt behaviour.</w:t>
      </w:r>
    </w:p>
    <w:p w14:paraId="0A94165E" w14:textId="21B1295D" w:rsidR="005C3CDE" w:rsidRPr="007D581B" w:rsidRDefault="007B226B" w:rsidP="009F14FD">
      <w:pPr>
        <w:pStyle w:val="Heading1"/>
        <w:rPr>
          <w:sz w:val="32"/>
          <w:szCs w:val="32"/>
        </w:rPr>
      </w:pPr>
      <w:r w:rsidRPr="007D581B">
        <w:rPr>
          <w:sz w:val="32"/>
          <w:szCs w:val="32"/>
        </w:rPr>
        <w:t xml:space="preserve">Department’s </w:t>
      </w:r>
      <w:r w:rsidR="00C34C07" w:rsidRPr="007D581B">
        <w:rPr>
          <w:sz w:val="32"/>
          <w:szCs w:val="32"/>
        </w:rPr>
        <w:t>Integrity</w:t>
      </w:r>
      <w:r w:rsidR="0081597B" w:rsidRPr="007D581B">
        <w:rPr>
          <w:sz w:val="32"/>
          <w:szCs w:val="32"/>
        </w:rPr>
        <w:t xml:space="preserve"> and Security</w:t>
      </w:r>
      <w:r w:rsidR="00C34C07" w:rsidRPr="007D581B">
        <w:rPr>
          <w:sz w:val="32"/>
          <w:szCs w:val="32"/>
        </w:rPr>
        <w:t xml:space="preserve"> Framework</w:t>
      </w:r>
    </w:p>
    <w:p w14:paraId="39F575E9" w14:textId="248CAAE1" w:rsidR="00FC4EBD" w:rsidRPr="00D07F3F" w:rsidRDefault="00067827">
      <w:pPr>
        <w:rPr>
          <w:rFonts w:cs="Arial"/>
        </w:rPr>
      </w:pPr>
      <w:r w:rsidRPr="00D07F3F">
        <w:rPr>
          <w:rFonts w:cs="Arial"/>
        </w:rPr>
        <w:t xml:space="preserve">This </w:t>
      </w:r>
      <w:r w:rsidR="007B226B" w:rsidRPr="00D07F3F">
        <w:rPr>
          <w:rFonts w:cs="Arial"/>
        </w:rPr>
        <w:t xml:space="preserve">Fraud and Corruption Control Plan </w:t>
      </w:r>
      <w:r w:rsidRPr="00D07F3F">
        <w:rPr>
          <w:rFonts w:cs="Arial"/>
        </w:rPr>
        <w:t xml:space="preserve">is a key component of the </w:t>
      </w:r>
      <w:r w:rsidR="00F72A84" w:rsidRPr="00D07F3F">
        <w:rPr>
          <w:rFonts w:cs="Arial"/>
        </w:rPr>
        <w:t>department</w:t>
      </w:r>
      <w:r w:rsidRPr="00D07F3F">
        <w:rPr>
          <w:rFonts w:cs="Arial"/>
        </w:rPr>
        <w:t>’s</w:t>
      </w:r>
      <w:r w:rsidR="00F4401D" w:rsidRPr="00D07F3F">
        <w:rPr>
          <w:rFonts w:cs="Arial"/>
        </w:rPr>
        <w:t xml:space="preserve"> Professional</w:t>
      </w:r>
      <w:r w:rsidRPr="00D07F3F">
        <w:rPr>
          <w:rFonts w:cs="Arial"/>
        </w:rPr>
        <w:t xml:space="preserve"> </w:t>
      </w:r>
      <w:r w:rsidR="0034457A" w:rsidRPr="00D07F3F">
        <w:rPr>
          <w:rFonts w:cs="Arial"/>
        </w:rPr>
        <w:t>Integrity and Security Framewor</w:t>
      </w:r>
      <w:r w:rsidR="005660B8" w:rsidRPr="00D07F3F">
        <w:rPr>
          <w:rFonts w:cs="Arial"/>
        </w:rPr>
        <w:t xml:space="preserve">k, </w:t>
      </w:r>
      <w:r w:rsidR="0081597B" w:rsidRPr="00D07F3F">
        <w:rPr>
          <w:rFonts w:cs="Arial"/>
        </w:rPr>
        <w:t xml:space="preserve">which guides the </w:t>
      </w:r>
      <w:r w:rsidR="00F72A84" w:rsidRPr="00D07F3F">
        <w:rPr>
          <w:rFonts w:cs="Arial"/>
        </w:rPr>
        <w:t>department</w:t>
      </w:r>
      <w:r w:rsidR="0081597B" w:rsidRPr="00D07F3F">
        <w:rPr>
          <w:rFonts w:cs="Arial"/>
        </w:rPr>
        <w:t xml:space="preserve"> in address</w:t>
      </w:r>
      <w:r w:rsidR="00FB7CA2" w:rsidRPr="00D07F3F">
        <w:rPr>
          <w:rFonts w:cs="Arial"/>
        </w:rPr>
        <w:t>ing</w:t>
      </w:r>
      <w:r w:rsidR="0081597B" w:rsidRPr="00D07F3F">
        <w:rPr>
          <w:rFonts w:cs="Arial"/>
        </w:rPr>
        <w:t xml:space="preserve"> key fraud</w:t>
      </w:r>
      <w:r w:rsidR="00957BF2" w:rsidRPr="00D07F3F">
        <w:rPr>
          <w:rFonts w:cs="Arial"/>
        </w:rPr>
        <w:t>, corruption</w:t>
      </w:r>
      <w:r w:rsidR="0081597B" w:rsidRPr="00D07F3F">
        <w:rPr>
          <w:rFonts w:cs="Arial"/>
        </w:rPr>
        <w:t xml:space="preserve"> and security risks that threaten infrastructure and service delivery. </w:t>
      </w:r>
      <w:r w:rsidR="002510B4" w:rsidRPr="00D07F3F">
        <w:rPr>
          <w:rFonts w:cs="Arial"/>
        </w:rPr>
        <w:t xml:space="preserve">The </w:t>
      </w:r>
      <w:r w:rsidR="00F72A84" w:rsidRPr="00D07F3F">
        <w:rPr>
          <w:rFonts w:cs="Arial"/>
        </w:rPr>
        <w:t>department</w:t>
      </w:r>
      <w:r w:rsidR="00FC4EBD" w:rsidRPr="00D07F3F">
        <w:rPr>
          <w:rFonts w:cs="Arial"/>
        </w:rPr>
        <w:t xml:space="preserve">’s Professional Integrity and Security Framework supports a range of prevention, </w:t>
      </w:r>
      <w:proofErr w:type="gramStart"/>
      <w:r w:rsidR="00FC4EBD" w:rsidRPr="00D07F3F">
        <w:rPr>
          <w:rFonts w:cs="Arial"/>
        </w:rPr>
        <w:t>detection</w:t>
      </w:r>
      <w:proofErr w:type="gramEnd"/>
      <w:r w:rsidR="00FC4EBD" w:rsidRPr="00D07F3F">
        <w:rPr>
          <w:rFonts w:cs="Arial"/>
        </w:rPr>
        <w:t xml:space="preserve"> and response measures to ensure a systemic and integrated approach to integrity across the </w:t>
      </w:r>
      <w:r w:rsidR="00F72A84" w:rsidRPr="00D07F3F">
        <w:rPr>
          <w:rFonts w:cs="Arial"/>
        </w:rPr>
        <w:t>department</w:t>
      </w:r>
      <w:r w:rsidR="00FC4EBD" w:rsidRPr="00D07F3F">
        <w:rPr>
          <w:rFonts w:cs="Arial"/>
        </w:rPr>
        <w:t>.</w:t>
      </w:r>
    </w:p>
    <w:p w14:paraId="639ED207" w14:textId="75D046F5" w:rsidR="003F138C" w:rsidRPr="007D581B" w:rsidRDefault="006230DE" w:rsidP="009F14FD">
      <w:pPr>
        <w:pStyle w:val="Heading1"/>
        <w:rPr>
          <w:sz w:val="32"/>
          <w:szCs w:val="32"/>
        </w:rPr>
      </w:pPr>
      <w:r w:rsidRPr="007D581B">
        <w:rPr>
          <w:sz w:val="32"/>
          <w:szCs w:val="32"/>
        </w:rPr>
        <w:t>Defin</w:t>
      </w:r>
      <w:r w:rsidR="005F52B4" w:rsidRPr="007D581B">
        <w:rPr>
          <w:sz w:val="32"/>
          <w:szCs w:val="32"/>
        </w:rPr>
        <w:t>i</w:t>
      </w:r>
      <w:r w:rsidRPr="007D581B">
        <w:rPr>
          <w:sz w:val="32"/>
          <w:szCs w:val="32"/>
        </w:rPr>
        <w:t>tions</w:t>
      </w:r>
    </w:p>
    <w:p w14:paraId="34A1F568" w14:textId="708506DF" w:rsidR="00362AB8" w:rsidRPr="00D07F3F" w:rsidRDefault="005C63FF" w:rsidP="009F14FD">
      <w:pPr>
        <w:pStyle w:val="Heading2"/>
        <w:rPr>
          <w:sz w:val="28"/>
        </w:rPr>
      </w:pPr>
      <w:r w:rsidRPr="00D07F3F">
        <w:rPr>
          <w:sz w:val="28"/>
        </w:rPr>
        <w:t>Fraud</w:t>
      </w:r>
    </w:p>
    <w:p w14:paraId="4A61F903" w14:textId="1A5EB8B0" w:rsidR="00183788" w:rsidRPr="00D07F3F" w:rsidRDefault="00183788" w:rsidP="009F14FD">
      <w:pPr>
        <w:rPr>
          <w:rFonts w:cs="Arial"/>
          <w:color w:val="276066" w:themeColor="accent2" w:themeShade="BF"/>
        </w:rPr>
      </w:pPr>
      <w:r w:rsidRPr="00D07F3F">
        <w:rPr>
          <w:rFonts w:cs="Arial"/>
          <w:bCs/>
        </w:rPr>
        <w:t>Fraud</w:t>
      </w:r>
      <w:r w:rsidRPr="00D07F3F">
        <w:rPr>
          <w:rFonts w:cs="Arial"/>
        </w:rPr>
        <w:t xml:space="preserve"> </w:t>
      </w:r>
      <w:r w:rsidR="006B20DF" w:rsidRPr="00D07F3F">
        <w:rPr>
          <w:rFonts w:cs="Arial"/>
        </w:rPr>
        <w:t xml:space="preserve">is defined in the Commonwealth Fraud Control Framework </w:t>
      </w:r>
      <w:r w:rsidRPr="00D07F3F">
        <w:rPr>
          <w:rFonts w:cs="Arial"/>
        </w:rPr>
        <w:t xml:space="preserve">as </w:t>
      </w:r>
      <w:r w:rsidR="00EE4622" w:rsidRPr="00D07F3F">
        <w:rPr>
          <w:rStyle w:val="QuoteChar"/>
          <w:rFonts w:cs="Arial"/>
          <w:color w:val="276066" w:themeColor="accent2" w:themeShade="BF"/>
        </w:rPr>
        <w:t>“</w:t>
      </w:r>
      <w:r w:rsidRPr="00D07F3F">
        <w:rPr>
          <w:rStyle w:val="QuoteChar"/>
          <w:rFonts w:cs="Arial"/>
          <w:color w:val="276066" w:themeColor="accent2" w:themeShade="BF"/>
        </w:rPr>
        <w:t>dishonestly obtaining a benefit, or causing a loss, by deception or other means</w:t>
      </w:r>
      <w:r w:rsidR="009D3E6C" w:rsidRPr="00D07F3F">
        <w:rPr>
          <w:rStyle w:val="QuoteChar"/>
          <w:rFonts w:cs="Arial"/>
          <w:color w:val="276066" w:themeColor="accent2" w:themeShade="BF"/>
        </w:rPr>
        <w:t>.</w:t>
      </w:r>
      <w:r w:rsidR="00EE4622" w:rsidRPr="00D07F3F">
        <w:rPr>
          <w:rStyle w:val="QuoteChar"/>
          <w:rFonts w:cs="Arial"/>
          <w:color w:val="276066" w:themeColor="accent2" w:themeShade="BF"/>
        </w:rPr>
        <w:t>”</w:t>
      </w:r>
    </w:p>
    <w:p w14:paraId="47673CA8" w14:textId="576CFAA6" w:rsidR="00E7049F" w:rsidRPr="00D07F3F" w:rsidRDefault="00E7049F" w:rsidP="009F14FD">
      <w:pPr>
        <w:rPr>
          <w:rFonts w:cs="Arial"/>
        </w:rPr>
      </w:pPr>
      <w:r w:rsidRPr="00D07F3F">
        <w:rPr>
          <w:rFonts w:cs="Arial"/>
        </w:rPr>
        <w:t xml:space="preserve">Fraud can be committed by departmental </w:t>
      </w:r>
      <w:r w:rsidR="00A71789" w:rsidRPr="00D07F3F">
        <w:rPr>
          <w:rFonts w:cs="Arial"/>
        </w:rPr>
        <w:t>officials</w:t>
      </w:r>
      <w:r w:rsidR="00287A49">
        <w:rPr>
          <w:rFonts w:cs="Arial"/>
        </w:rPr>
        <w:t xml:space="preserve">, including staff, </w:t>
      </w:r>
      <w:proofErr w:type="gramStart"/>
      <w:r w:rsidR="00287A49">
        <w:rPr>
          <w:rFonts w:cs="Arial"/>
        </w:rPr>
        <w:t>contractors</w:t>
      </w:r>
      <w:proofErr w:type="gramEnd"/>
      <w:r w:rsidR="00287A49">
        <w:rPr>
          <w:rFonts w:cs="Arial"/>
        </w:rPr>
        <w:t xml:space="preserve"> or consultants,</w:t>
      </w:r>
      <w:r w:rsidR="00A71789" w:rsidRPr="00D07F3F">
        <w:rPr>
          <w:rFonts w:cs="Arial"/>
        </w:rPr>
        <w:t xml:space="preserve"> </w:t>
      </w:r>
      <w:r w:rsidRPr="00D07F3F">
        <w:rPr>
          <w:rFonts w:cs="Arial"/>
        </w:rPr>
        <w:t xml:space="preserve">(internal fraud) or by persons </w:t>
      </w:r>
      <w:r w:rsidR="00E4356E" w:rsidRPr="00D07F3F">
        <w:rPr>
          <w:rFonts w:cs="Arial"/>
        </w:rPr>
        <w:t xml:space="preserve">or entities </w:t>
      </w:r>
      <w:r w:rsidRPr="00D07F3F">
        <w:rPr>
          <w:rFonts w:cs="Arial"/>
        </w:rPr>
        <w:t xml:space="preserve">external to the </w:t>
      </w:r>
      <w:r w:rsidR="00F72A84" w:rsidRPr="00D07F3F">
        <w:rPr>
          <w:rFonts w:cs="Arial"/>
        </w:rPr>
        <w:t>department</w:t>
      </w:r>
      <w:r w:rsidRPr="00D07F3F">
        <w:rPr>
          <w:rFonts w:cs="Arial"/>
        </w:rPr>
        <w:t xml:space="preserve"> (external fraud). It may also be committed jointly between a</w:t>
      </w:r>
      <w:r w:rsidR="001648E7" w:rsidRPr="00D07F3F">
        <w:rPr>
          <w:rFonts w:cs="Arial"/>
        </w:rPr>
        <w:t xml:space="preserve"> departmental official</w:t>
      </w:r>
      <w:r w:rsidRPr="00D07F3F">
        <w:rPr>
          <w:rFonts w:cs="Arial"/>
        </w:rPr>
        <w:t xml:space="preserve"> and an outside party. Fraud offences against the Commonwealth may be prosecuted under </w:t>
      </w:r>
      <w:proofErr w:type="gramStart"/>
      <w:r w:rsidRPr="00D07F3F">
        <w:rPr>
          <w:rFonts w:cs="Arial"/>
        </w:rPr>
        <w:t>a number of</w:t>
      </w:r>
      <w:proofErr w:type="gramEnd"/>
      <w:r w:rsidRPr="00D07F3F">
        <w:rPr>
          <w:rFonts w:cs="Arial"/>
        </w:rPr>
        <w:t xml:space="preserve"> Commonwealth laws.</w:t>
      </w:r>
    </w:p>
    <w:p w14:paraId="6911D005" w14:textId="0B50BA57" w:rsidR="00183788" w:rsidRPr="00D07F3F" w:rsidRDefault="006E5D3A" w:rsidP="009F14FD">
      <w:pPr>
        <w:rPr>
          <w:rFonts w:cs="Arial"/>
        </w:rPr>
      </w:pPr>
      <w:r>
        <w:rPr>
          <w:rFonts w:cs="Arial"/>
        </w:rPr>
        <w:t>Some e</w:t>
      </w:r>
      <w:r w:rsidR="00E7049F" w:rsidRPr="00D07F3F">
        <w:rPr>
          <w:rFonts w:cs="Arial"/>
        </w:rPr>
        <w:t>xamples of the type of</w:t>
      </w:r>
      <w:r w:rsidR="00EE3A27" w:rsidRPr="00D07F3F">
        <w:rPr>
          <w:rFonts w:cs="Arial"/>
        </w:rPr>
        <w:t xml:space="preserve"> </w:t>
      </w:r>
      <w:r w:rsidR="00E7049F" w:rsidRPr="00D07F3F">
        <w:rPr>
          <w:rFonts w:cs="Arial"/>
        </w:rPr>
        <w:t xml:space="preserve">conduct by </w:t>
      </w:r>
      <w:r w:rsidR="000B781D" w:rsidRPr="00D07F3F">
        <w:rPr>
          <w:rFonts w:cs="Arial"/>
        </w:rPr>
        <w:t xml:space="preserve">departmental officials </w:t>
      </w:r>
      <w:r w:rsidR="00E7049F" w:rsidRPr="00D07F3F">
        <w:rPr>
          <w:rFonts w:cs="Arial"/>
        </w:rPr>
        <w:t xml:space="preserve">or </w:t>
      </w:r>
      <w:r w:rsidR="00566708" w:rsidRPr="00D07F3F">
        <w:rPr>
          <w:rFonts w:cs="Arial"/>
        </w:rPr>
        <w:t>third-party</w:t>
      </w:r>
      <w:r w:rsidR="00E7049F" w:rsidRPr="00D07F3F">
        <w:rPr>
          <w:rFonts w:cs="Arial"/>
        </w:rPr>
        <w:t xml:space="preserve"> providers that fall within </w:t>
      </w:r>
      <w:r w:rsidR="004C003E" w:rsidRPr="00D07F3F">
        <w:rPr>
          <w:rFonts w:cs="Arial"/>
        </w:rPr>
        <w:t xml:space="preserve">the </w:t>
      </w:r>
      <w:r w:rsidR="00F72A84" w:rsidRPr="00D07F3F">
        <w:rPr>
          <w:rFonts w:cs="Arial"/>
        </w:rPr>
        <w:t>department</w:t>
      </w:r>
      <w:r w:rsidR="004C003E" w:rsidRPr="00D07F3F">
        <w:rPr>
          <w:rFonts w:cs="Arial"/>
        </w:rPr>
        <w:t xml:space="preserve">’s </w:t>
      </w:r>
      <w:r w:rsidR="00E7049F" w:rsidRPr="00D07F3F">
        <w:rPr>
          <w:rFonts w:cs="Arial"/>
        </w:rPr>
        <w:t>definition of fraud include:</w:t>
      </w:r>
    </w:p>
    <w:p w14:paraId="6B665017" w14:textId="74A16B1C" w:rsidR="00183788" w:rsidRPr="00D07F3F" w:rsidRDefault="00F254AF" w:rsidP="00DE15A4">
      <w:pPr>
        <w:pStyle w:val="ListBullet"/>
        <w:numPr>
          <w:ilvl w:val="0"/>
          <w:numId w:val="15"/>
        </w:numPr>
        <w:tabs>
          <w:tab w:val="clear" w:pos="680"/>
          <w:tab w:val="left" w:pos="426"/>
          <w:tab w:val="left" w:pos="709"/>
          <w:tab w:val="left" w:pos="8364"/>
        </w:tabs>
        <w:rPr>
          <w:rFonts w:cs="Arial"/>
        </w:rPr>
      </w:pPr>
      <w:r w:rsidRPr="00D07F3F">
        <w:rPr>
          <w:rFonts w:cs="Arial"/>
        </w:rPr>
        <w:t>t</w:t>
      </w:r>
      <w:r w:rsidR="00183788" w:rsidRPr="00D07F3F">
        <w:rPr>
          <w:rFonts w:cs="Arial"/>
        </w:rPr>
        <w:t>heft</w:t>
      </w:r>
      <w:r w:rsidR="003D397D" w:rsidRPr="00D07F3F">
        <w:rPr>
          <w:rFonts w:cs="Arial"/>
        </w:rPr>
        <w:t xml:space="preserve"> </w:t>
      </w:r>
      <w:r w:rsidRPr="00D07F3F">
        <w:rPr>
          <w:rFonts w:cs="Arial"/>
        </w:rPr>
        <w:t xml:space="preserve">or misuse of Commonwealth information, intellectual </w:t>
      </w:r>
      <w:proofErr w:type="gramStart"/>
      <w:r w:rsidRPr="00D07F3F">
        <w:rPr>
          <w:rFonts w:cs="Arial"/>
        </w:rPr>
        <w:t>property</w:t>
      </w:r>
      <w:proofErr w:type="gramEnd"/>
      <w:r w:rsidRPr="00D07F3F">
        <w:rPr>
          <w:rFonts w:cs="Arial"/>
        </w:rPr>
        <w:t xml:space="preserve"> or confidential information (including funding proposals, procurement information, personal records)</w:t>
      </w:r>
    </w:p>
    <w:p w14:paraId="42393F79" w14:textId="77777777" w:rsidR="00AD11FE" w:rsidRPr="00D07F3F" w:rsidRDefault="00F254AF" w:rsidP="00DE15A4">
      <w:pPr>
        <w:pStyle w:val="ListBullet"/>
        <w:numPr>
          <w:ilvl w:val="0"/>
          <w:numId w:val="15"/>
        </w:numPr>
        <w:tabs>
          <w:tab w:val="clear" w:pos="680"/>
          <w:tab w:val="left" w:pos="426"/>
          <w:tab w:val="left" w:pos="709"/>
          <w:tab w:val="left" w:pos="8364"/>
        </w:tabs>
        <w:rPr>
          <w:rFonts w:cs="Arial"/>
        </w:rPr>
      </w:pPr>
      <w:r w:rsidRPr="00D07F3F">
        <w:rPr>
          <w:rFonts w:cs="Arial"/>
        </w:rPr>
        <w:t xml:space="preserve">misuse of Commonwealth </w:t>
      </w:r>
      <w:r w:rsidR="00AD11FE" w:rsidRPr="00D07F3F">
        <w:rPr>
          <w:rFonts w:cs="Arial"/>
        </w:rPr>
        <w:t>program funding and grants</w:t>
      </w:r>
    </w:p>
    <w:p w14:paraId="71372513" w14:textId="77777777" w:rsidR="00BF673C" w:rsidRPr="00D07F3F" w:rsidRDefault="00AD11FE" w:rsidP="00DE15A4">
      <w:pPr>
        <w:pStyle w:val="ListBullet"/>
        <w:numPr>
          <w:ilvl w:val="0"/>
          <w:numId w:val="15"/>
        </w:numPr>
        <w:tabs>
          <w:tab w:val="clear" w:pos="680"/>
          <w:tab w:val="left" w:pos="426"/>
          <w:tab w:val="left" w:pos="709"/>
          <w:tab w:val="left" w:pos="8364"/>
        </w:tabs>
        <w:rPr>
          <w:rFonts w:cs="Arial"/>
        </w:rPr>
      </w:pPr>
      <w:r w:rsidRPr="00D07F3F">
        <w:rPr>
          <w:rFonts w:cs="Arial"/>
        </w:rPr>
        <w:t xml:space="preserve">misuse of Commonwealth resources, including unlawful use of, or unlawful obtaining of, property, </w:t>
      </w:r>
      <w:r w:rsidR="00BF673C" w:rsidRPr="00D07F3F">
        <w:rPr>
          <w:rFonts w:cs="Arial"/>
        </w:rPr>
        <w:t xml:space="preserve">equipment, </w:t>
      </w:r>
      <w:proofErr w:type="gramStart"/>
      <w:r w:rsidR="00BF673C" w:rsidRPr="00D07F3F">
        <w:rPr>
          <w:rFonts w:cs="Arial"/>
        </w:rPr>
        <w:t>material</w:t>
      </w:r>
      <w:proofErr w:type="gramEnd"/>
      <w:r w:rsidR="00BF673C" w:rsidRPr="00D07F3F">
        <w:rPr>
          <w:rFonts w:cs="Arial"/>
        </w:rPr>
        <w:t xml:space="preserve"> or services</w:t>
      </w:r>
    </w:p>
    <w:p w14:paraId="2D2743DA" w14:textId="54B356BE" w:rsidR="00BF673C" w:rsidRPr="00D07F3F" w:rsidRDefault="00BF673C" w:rsidP="00DE15A4">
      <w:pPr>
        <w:pStyle w:val="ListBullet"/>
        <w:numPr>
          <w:ilvl w:val="0"/>
          <w:numId w:val="15"/>
        </w:numPr>
        <w:tabs>
          <w:tab w:val="clear" w:pos="680"/>
          <w:tab w:val="left" w:pos="426"/>
          <w:tab w:val="left" w:pos="709"/>
          <w:tab w:val="left" w:pos="8364"/>
        </w:tabs>
        <w:rPr>
          <w:rFonts w:cs="Arial"/>
        </w:rPr>
      </w:pPr>
      <w:r w:rsidRPr="00D07F3F">
        <w:rPr>
          <w:rFonts w:cs="Arial"/>
        </w:rPr>
        <w:t xml:space="preserve">abuse of official position </w:t>
      </w:r>
      <w:proofErr w:type="gramStart"/>
      <w:r w:rsidRPr="00D07F3F">
        <w:rPr>
          <w:rFonts w:cs="Arial"/>
        </w:rPr>
        <w:t>in order to</w:t>
      </w:r>
      <w:proofErr w:type="gramEnd"/>
      <w:r w:rsidRPr="00D07F3F">
        <w:rPr>
          <w:rFonts w:cs="Arial"/>
        </w:rPr>
        <w:t xml:space="preserve"> obtain a benefit for oneself or another</w:t>
      </w:r>
    </w:p>
    <w:p w14:paraId="30A012C4" w14:textId="04946889" w:rsidR="00365598" w:rsidRPr="00D07F3F" w:rsidRDefault="00BF673C" w:rsidP="00DE15A4">
      <w:pPr>
        <w:pStyle w:val="ListBullet"/>
        <w:numPr>
          <w:ilvl w:val="0"/>
          <w:numId w:val="15"/>
        </w:numPr>
        <w:tabs>
          <w:tab w:val="clear" w:pos="680"/>
          <w:tab w:val="left" w:pos="426"/>
          <w:tab w:val="left" w:pos="709"/>
          <w:tab w:val="left" w:pos="8364"/>
        </w:tabs>
        <w:rPr>
          <w:rFonts w:cs="Arial"/>
        </w:rPr>
      </w:pPr>
      <w:r w:rsidRPr="00D07F3F">
        <w:rPr>
          <w:rFonts w:cs="Arial"/>
        </w:rPr>
        <w:t>misuse of entitlements (</w:t>
      </w:r>
      <w:proofErr w:type="gramStart"/>
      <w:r w:rsidRPr="00D07F3F">
        <w:rPr>
          <w:rFonts w:cs="Arial"/>
        </w:rPr>
        <w:t>e.g.</w:t>
      </w:r>
      <w:proofErr w:type="gramEnd"/>
      <w:r w:rsidRPr="00D07F3F">
        <w:rPr>
          <w:rFonts w:cs="Arial"/>
        </w:rPr>
        <w:t xml:space="preserve"> expenses, leave, travel allowances or attendance records</w:t>
      </w:r>
      <w:r w:rsidR="00365598" w:rsidRPr="00D07F3F">
        <w:rPr>
          <w:rFonts w:cs="Arial"/>
        </w:rPr>
        <w:t>, including abuse of time off in lieu)</w:t>
      </w:r>
    </w:p>
    <w:p w14:paraId="0F21FCA1" w14:textId="77777777" w:rsidR="0014320F" w:rsidRPr="00D07F3F" w:rsidRDefault="006D145C" w:rsidP="00DE15A4">
      <w:pPr>
        <w:pStyle w:val="ListBullet"/>
        <w:numPr>
          <w:ilvl w:val="0"/>
          <w:numId w:val="15"/>
        </w:numPr>
        <w:tabs>
          <w:tab w:val="clear" w:pos="680"/>
          <w:tab w:val="left" w:pos="426"/>
          <w:tab w:val="left" w:pos="709"/>
          <w:tab w:val="left" w:pos="8364"/>
        </w:tabs>
        <w:rPr>
          <w:rFonts w:cs="Arial"/>
        </w:rPr>
      </w:pPr>
      <w:r w:rsidRPr="00D07F3F">
        <w:rPr>
          <w:rFonts w:cs="Arial"/>
        </w:rPr>
        <w:t>misuse of facilities (</w:t>
      </w:r>
      <w:proofErr w:type="gramStart"/>
      <w:r w:rsidRPr="00D07F3F">
        <w:rPr>
          <w:rFonts w:cs="Arial"/>
        </w:rPr>
        <w:t>e.g.</w:t>
      </w:r>
      <w:proofErr w:type="gramEnd"/>
      <w:r w:rsidRPr="00D07F3F">
        <w:rPr>
          <w:rFonts w:cs="Arial"/>
        </w:rPr>
        <w:t xml:space="preserve"> </w:t>
      </w:r>
      <w:r w:rsidR="00180503" w:rsidRPr="00D07F3F">
        <w:rPr>
          <w:rFonts w:cs="Arial"/>
        </w:rPr>
        <w:t>unauthorised use of information technology, mobile devices and telecommunications systems)</w:t>
      </w:r>
    </w:p>
    <w:p w14:paraId="7A6FE085" w14:textId="41CE157A" w:rsidR="0014320F" w:rsidRPr="00D07F3F" w:rsidRDefault="0014320F" w:rsidP="0014320F">
      <w:pPr>
        <w:pStyle w:val="ListBullet"/>
        <w:numPr>
          <w:ilvl w:val="0"/>
          <w:numId w:val="15"/>
        </w:numPr>
        <w:tabs>
          <w:tab w:val="clear" w:pos="680"/>
          <w:tab w:val="left" w:pos="426"/>
          <w:tab w:val="left" w:pos="709"/>
          <w:tab w:val="left" w:pos="8364"/>
        </w:tabs>
        <w:rPr>
          <w:rFonts w:cs="Arial"/>
        </w:rPr>
      </w:pPr>
      <w:r w:rsidRPr="00D07F3F">
        <w:rPr>
          <w:rFonts w:cs="Arial"/>
        </w:rPr>
        <w:t xml:space="preserve">financial </w:t>
      </w:r>
      <w:r w:rsidR="00287A49">
        <w:rPr>
          <w:rFonts w:cs="Arial"/>
        </w:rPr>
        <w:t xml:space="preserve">or accounting fraud </w:t>
      </w:r>
      <w:r w:rsidRPr="00D07F3F">
        <w:rPr>
          <w:rFonts w:cs="Arial"/>
        </w:rPr>
        <w:t>(</w:t>
      </w:r>
      <w:proofErr w:type="gramStart"/>
      <w:r w:rsidRPr="00D07F3F">
        <w:rPr>
          <w:rFonts w:cs="Arial"/>
        </w:rPr>
        <w:t>e.g.</w:t>
      </w:r>
      <w:proofErr w:type="gramEnd"/>
      <w:r w:rsidRPr="00D07F3F">
        <w:rPr>
          <w:rFonts w:cs="Arial"/>
        </w:rPr>
        <w:t xml:space="preserve"> unauthorised use of credit cards, false invoices, misappropriation)</w:t>
      </w:r>
    </w:p>
    <w:p w14:paraId="6914E730" w14:textId="77777777" w:rsidR="00183788" w:rsidRPr="00D07F3F" w:rsidRDefault="00183788" w:rsidP="00DE15A4">
      <w:pPr>
        <w:pStyle w:val="ListBullet"/>
        <w:numPr>
          <w:ilvl w:val="0"/>
          <w:numId w:val="15"/>
        </w:numPr>
        <w:tabs>
          <w:tab w:val="clear" w:pos="680"/>
          <w:tab w:val="left" w:pos="426"/>
          <w:tab w:val="left" w:pos="709"/>
          <w:tab w:val="left" w:pos="8364"/>
        </w:tabs>
        <w:rPr>
          <w:rFonts w:cs="Arial"/>
        </w:rPr>
      </w:pPr>
      <w:r w:rsidRPr="00D07F3F">
        <w:rPr>
          <w:rFonts w:cs="Arial"/>
        </w:rPr>
        <w:t>causing a loss, or avoiding and/or creating a liability</w:t>
      </w:r>
    </w:p>
    <w:p w14:paraId="61F6087B" w14:textId="54F19F77" w:rsidR="00183788" w:rsidRPr="00D07F3F" w:rsidRDefault="00183788" w:rsidP="00DE15A4">
      <w:pPr>
        <w:pStyle w:val="ListBullet"/>
        <w:numPr>
          <w:ilvl w:val="0"/>
          <w:numId w:val="15"/>
        </w:numPr>
        <w:tabs>
          <w:tab w:val="clear" w:pos="680"/>
          <w:tab w:val="left" w:pos="426"/>
          <w:tab w:val="left" w:pos="709"/>
          <w:tab w:val="left" w:pos="8364"/>
        </w:tabs>
        <w:rPr>
          <w:rFonts w:cs="Arial"/>
        </w:rPr>
      </w:pPr>
      <w:r w:rsidRPr="00D07F3F">
        <w:rPr>
          <w:rFonts w:cs="Arial"/>
        </w:rPr>
        <w:t>providing false or misleading information to the Commonwealth, or failing to provide information whe</w:t>
      </w:r>
      <w:r w:rsidR="00A24751" w:rsidRPr="00D07F3F">
        <w:rPr>
          <w:rFonts w:cs="Arial"/>
        </w:rPr>
        <w:t>re</w:t>
      </w:r>
      <w:r w:rsidRPr="00D07F3F">
        <w:rPr>
          <w:rFonts w:cs="Arial"/>
        </w:rPr>
        <w:t xml:space="preserve"> there is an obligation to do so</w:t>
      </w:r>
    </w:p>
    <w:p w14:paraId="5A57A442" w14:textId="50281370" w:rsidR="00183788" w:rsidRPr="00D07F3F" w:rsidRDefault="00183788" w:rsidP="00DE15A4">
      <w:pPr>
        <w:pStyle w:val="ListBullet"/>
        <w:numPr>
          <w:ilvl w:val="0"/>
          <w:numId w:val="15"/>
        </w:numPr>
        <w:tabs>
          <w:tab w:val="clear" w:pos="680"/>
          <w:tab w:val="left" w:pos="426"/>
          <w:tab w:val="left" w:pos="709"/>
          <w:tab w:val="left" w:pos="8364"/>
        </w:tabs>
        <w:rPr>
          <w:rFonts w:cs="Arial"/>
        </w:rPr>
      </w:pPr>
      <w:r w:rsidRPr="00D07F3F">
        <w:rPr>
          <w:rFonts w:cs="Arial"/>
        </w:rPr>
        <w:t xml:space="preserve">making or using false, </w:t>
      </w:r>
      <w:r w:rsidR="00E44015" w:rsidRPr="00D07F3F">
        <w:rPr>
          <w:rFonts w:cs="Arial"/>
        </w:rPr>
        <w:t>forged,</w:t>
      </w:r>
      <w:r w:rsidRPr="00D07F3F">
        <w:rPr>
          <w:rFonts w:cs="Arial"/>
        </w:rPr>
        <w:t xml:space="preserve"> or falsified documents</w:t>
      </w:r>
    </w:p>
    <w:p w14:paraId="69D27263" w14:textId="2C7E9E48" w:rsidR="00A2598B" w:rsidRPr="00D07F3F" w:rsidRDefault="00A64E84" w:rsidP="00DE15A4">
      <w:pPr>
        <w:pStyle w:val="ListBullet"/>
        <w:numPr>
          <w:ilvl w:val="0"/>
          <w:numId w:val="15"/>
        </w:numPr>
        <w:tabs>
          <w:tab w:val="clear" w:pos="680"/>
          <w:tab w:val="left" w:pos="426"/>
          <w:tab w:val="left" w:pos="709"/>
          <w:tab w:val="left" w:pos="8364"/>
        </w:tabs>
        <w:rPr>
          <w:rFonts w:cs="Arial"/>
        </w:rPr>
      </w:pPr>
      <w:r w:rsidRPr="00D07F3F">
        <w:rPr>
          <w:rFonts w:cs="Arial"/>
        </w:rPr>
        <w:t>release, or use of misleading information for the purposes of deceiving, misleading or to hide wrongdoing.</w:t>
      </w:r>
    </w:p>
    <w:p w14:paraId="295A1A8B" w14:textId="31A93DA4" w:rsidR="00566708" w:rsidRPr="007D581B" w:rsidRDefault="00566708" w:rsidP="009F14FD">
      <w:pPr>
        <w:pStyle w:val="Heading2"/>
        <w:rPr>
          <w:sz w:val="28"/>
          <w:szCs w:val="22"/>
        </w:rPr>
      </w:pPr>
      <w:r w:rsidRPr="007D581B">
        <w:rPr>
          <w:sz w:val="28"/>
          <w:szCs w:val="22"/>
        </w:rPr>
        <w:lastRenderedPageBreak/>
        <w:t>Corruption</w:t>
      </w:r>
    </w:p>
    <w:p w14:paraId="728FD57F" w14:textId="2560F020" w:rsidR="005121F2" w:rsidRPr="00D07F3F" w:rsidRDefault="00AA63D2" w:rsidP="009F14FD">
      <w:pPr>
        <w:rPr>
          <w:rFonts w:cs="Arial"/>
        </w:rPr>
      </w:pPr>
      <w:r w:rsidRPr="00D07F3F">
        <w:rPr>
          <w:rFonts w:cs="Arial"/>
          <w:bCs/>
          <w:color w:val="auto"/>
        </w:rPr>
        <w:t>Corruption</w:t>
      </w:r>
      <w:r w:rsidR="00BB1AA9" w:rsidRPr="00D07F3F">
        <w:rPr>
          <w:rFonts w:cs="Arial"/>
          <w:color w:val="auto"/>
          <w:spacing w:val="1"/>
          <w:w w:val="105"/>
        </w:rPr>
        <w:t xml:space="preserve"> </w:t>
      </w:r>
      <w:r w:rsidR="002D7514" w:rsidRPr="00D07F3F">
        <w:rPr>
          <w:rFonts w:cs="Arial"/>
          <w:color w:val="080808"/>
          <w:spacing w:val="1"/>
          <w:w w:val="105"/>
        </w:rPr>
        <w:t xml:space="preserve">is </w:t>
      </w:r>
      <w:r w:rsidR="00BB1AA9" w:rsidRPr="00D07F3F">
        <w:rPr>
          <w:rFonts w:cs="Arial"/>
          <w:color w:val="080808"/>
          <w:w w:val="105"/>
        </w:rPr>
        <w:t>defined</w:t>
      </w:r>
      <w:r w:rsidR="00BB1AA9" w:rsidRPr="00D07F3F">
        <w:rPr>
          <w:rFonts w:cs="Arial"/>
          <w:color w:val="080808"/>
          <w:spacing w:val="-9"/>
          <w:w w:val="105"/>
        </w:rPr>
        <w:t xml:space="preserve"> </w:t>
      </w:r>
      <w:r w:rsidR="00BB1AA9" w:rsidRPr="00D07F3F">
        <w:rPr>
          <w:rFonts w:cs="Arial"/>
          <w:color w:val="080808"/>
          <w:spacing w:val="-5"/>
          <w:w w:val="105"/>
        </w:rPr>
        <w:t>as</w:t>
      </w:r>
      <w:r w:rsidR="00566708" w:rsidRPr="00D07F3F">
        <w:rPr>
          <w:rFonts w:cs="Arial"/>
        </w:rPr>
        <w:t xml:space="preserve"> </w:t>
      </w:r>
      <w:r w:rsidR="00A64E84" w:rsidRPr="00D07F3F">
        <w:rPr>
          <w:rStyle w:val="QuoteChar"/>
          <w:rFonts w:cs="Arial"/>
          <w:color w:val="276066" w:themeColor="accent2" w:themeShade="BF"/>
        </w:rPr>
        <w:t>“</w:t>
      </w:r>
      <w:r w:rsidR="00566708" w:rsidRPr="00D07F3F">
        <w:rPr>
          <w:rStyle w:val="QuoteChar"/>
          <w:rFonts w:cs="Arial"/>
          <w:color w:val="276066" w:themeColor="accent2" w:themeShade="BF"/>
        </w:rPr>
        <w:t>d</w:t>
      </w:r>
      <w:r w:rsidR="00BB1AA9" w:rsidRPr="00D07F3F">
        <w:rPr>
          <w:rStyle w:val="QuoteChar"/>
          <w:rFonts w:cs="Arial"/>
          <w:color w:val="276066" w:themeColor="accent2" w:themeShade="BF"/>
        </w:rPr>
        <w:t>ishonest activity in which a director, executive, manager, employee, member or contractor of an entity acts contrary to the interests of the entity and abuses their position of trust in order to achieve some personal gain or advantage for themselves or for another person or organisation</w:t>
      </w:r>
      <w:r w:rsidR="00A64E84" w:rsidRPr="00D07F3F">
        <w:rPr>
          <w:rStyle w:val="QuoteChar"/>
          <w:rFonts w:cs="Arial"/>
          <w:color w:val="276066" w:themeColor="accent2" w:themeShade="BF"/>
        </w:rPr>
        <w:t>.”</w:t>
      </w:r>
      <w:r w:rsidR="005121F2" w:rsidRPr="00D07F3F">
        <w:rPr>
          <w:rStyle w:val="FootnoteReference"/>
          <w:rFonts w:cs="Arial"/>
          <w:iCs/>
          <w:color w:val="276066" w:themeColor="accent2" w:themeShade="BF"/>
        </w:rPr>
        <w:footnoteReference w:id="2"/>
      </w:r>
    </w:p>
    <w:p w14:paraId="2AC6BC6B" w14:textId="331CD054" w:rsidR="00BB1AA9" w:rsidRPr="00D07F3F" w:rsidRDefault="00CC246B" w:rsidP="009F14FD">
      <w:pPr>
        <w:rPr>
          <w:rFonts w:cs="Arial"/>
        </w:rPr>
      </w:pPr>
      <w:r w:rsidRPr="00D07F3F">
        <w:rPr>
          <w:rFonts w:cs="Arial"/>
        </w:rPr>
        <w:t>C</w:t>
      </w:r>
      <w:r w:rsidR="00BB1AA9" w:rsidRPr="00D07F3F">
        <w:rPr>
          <w:rFonts w:cs="Arial"/>
        </w:rPr>
        <w:t>orruption is the misuse of entrusted power or authority for personal gain. The following list provides examples of types of behaviour that may amount to corruption:</w:t>
      </w:r>
    </w:p>
    <w:p w14:paraId="25371D8E" w14:textId="77777777"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collusion between a Commonwealth official and a contractor</w:t>
      </w:r>
    </w:p>
    <w:p w14:paraId="4E758B67" w14:textId="77777777"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bribery (domestic or foreign)</w:t>
      </w:r>
    </w:p>
    <w:p w14:paraId="0E71DED0" w14:textId="4AB929B9"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 xml:space="preserve">obtaining, </w:t>
      </w:r>
      <w:r w:rsidR="00B73CD4" w:rsidRPr="00D07F3F">
        <w:rPr>
          <w:rFonts w:cs="Arial"/>
        </w:rPr>
        <w:t>offering,</w:t>
      </w:r>
      <w:r w:rsidRPr="00D07F3F">
        <w:rPr>
          <w:rFonts w:cs="Arial"/>
        </w:rPr>
        <w:t xml:space="preserve"> or soliciting secret commissions, </w:t>
      </w:r>
      <w:r w:rsidR="00B73CD4" w:rsidRPr="00D07F3F">
        <w:rPr>
          <w:rFonts w:cs="Arial"/>
        </w:rPr>
        <w:t>kickbacks,</w:t>
      </w:r>
      <w:r w:rsidRPr="00D07F3F">
        <w:rPr>
          <w:rFonts w:cs="Arial"/>
        </w:rPr>
        <w:t xml:space="preserve"> or gratuities</w:t>
      </w:r>
    </w:p>
    <w:p w14:paraId="417D96B9" w14:textId="77777777"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one or more individuals manipulating a procurement process for personal gain</w:t>
      </w:r>
    </w:p>
    <w:p w14:paraId="0A0C03CA" w14:textId="7370E348"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nepotism</w:t>
      </w:r>
      <w:r w:rsidR="00CC246B" w:rsidRPr="00D07F3F">
        <w:rPr>
          <w:rFonts w:cs="Arial"/>
        </w:rPr>
        <w:t xml:space="preserve">: </w:t>
      </w:r>
      <w:r w:rsidRPr="00D07F3F">
        <w:rPr>
          <w:rFonts w:cs="Arial"/>
        </w:rPr>
        <w:t>preferential treatment of family members</w:t>
      </w:r>
    </w:p>
    <w:p w14:paraId="09FA01ED" w14:textId="4CCC26E9"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cronyism</w:t>
      </w:r>
      <w:r w:rsidR="00CC246B" w:rsidRPr="00D07F3F">
        <w:rPr>
          <w:rFonts w:cs="Arial"/>
        </w:rPr>
        <w:t>:</w:t>
      </w:r>
      <w:r w:rsidRPr="00D07F3F">
        <w:rPr>
          <w:rFonts w:cs="Arial"/>
        </w:rPr>
        <w:t xml:space="preserve"> preferential treatment of friends and associates</w:t>
      </w:r>
    </w:p>
    <w:p w14:paraId="572894A6" w14:textId="77777777" w:rsidR="00BB1AA9" w:rsidRPr="00D07F3F" w:rsidRDefault="00BB1AA9" w:rsidP="00DE15A4">
      <w:pPr>
        <w:pStyle w:val="ListBullet"/>
        <w:numPr>
          <w:ilvl w:val="0"/>
          <w:numId w:val="15"/>
        </w:numPr>
        <w:tabs>
          <w:tab w:val="clear" w:pos="680"/>
          <w:tab w:val="left" w:pos="426"/>
          <w:tab w:val="left" w:pos="8364"/>
        </w:tabs>
        <w:rPr>
          <w:rFonts w:cs="Arial"/>
        </w:rPr>
      </w:pPr>
      <w:r w:rsidRPr="00D07F3F">
        <w:rPr>
          <w:rFonts w:cs="Arial"/>
        </w:rPr>
        <w:t>acting (or failing to act) on a conflict of interest</w:t>
      </w:r>
    </w:p>
    <w:p w14:paraId="4ADB7CF2" w14:textId="0F4C592A" w:rsidR="00BB1AA9" w:rsidRPr="00D07F3F" w:rsidRDefault="00BB1AA9" w:rsidP="00DE15A4">
      <w:pPr>
        <w:pStyle w:val="ListBullet"/>
        <w:numPr>
          <w:ilvl w:val="0"/>
          <w:numId w:val="15"/>
        </w:numPr>
        <w:tabs>
          <w:tab w:val="clear" w:pos="680"/>
          <w:tab w:val="left" w:pos="426"/>
          <w:tab w:val="left" w:pos="709"/>
          <w:tab w:val="left" w:pos="8364"/>
        </w:tabs>
        <w:rPr>
          <w:rFonts w:cs="Arial"/>
        </w:rPr>
      </w:pPr>
      <w:r w:rsidRPr="00D07F3F">
        <w:rPr>
          <w:rFonts w:cs="Arial"/>
        </w:rPr>
        <w:t>unlawful disclosure of official or commercially sensitive information</w:t>
      </w:r>
    </w:p>
    <w:p w14:paraId="6155252E" w14:textId="4EFD85E5" w:rsidR="00BB1AA9" w:rsidRPr="00D07F3F" w:rsidRDefault="00BB1AA9" w:rsidP="00DE15A4">
      <w:pPr>
        <w:pStyle w:val="ListBullet"/>
        <w:numPr>
          <w:ilvl w:val="0"/>
          <w:numId w:val="15"/>
        </w:numPr>
        <w:tabs>
          <w:tab w:val="clear" w:pos="680"/>
          <w:tab w:val="left" w:pos="426"/>
          <w:tab w:val="left" w:pos="709"/>
          <w:tab w:val="left" w:pos="8364"/>
        </w:tabs>
        <w:rPr>
          <w:rFonts w:cs="Arial"/>
        </w:rPr>
      </w:pPr>
      <w:r w:rsidRPr="00D07F3F">
        <w:rPr>
          <w:rFonts w:cs="Arial"/>
        </w:rPr>
        <w:t>insider trading</w:t>
      </w:r>
      <w:r w:rsidR="00CC246B" w:rsidRPr="00D07F3F">
        <w:rPr>
          <w:rFonts w:cs="Arial"/>
        </w:rPr>
        <w:t>:</w:t>
      </w:r>
      <w:r w:rsidRPr="00D07F3F">
        <w:rPr>
          <w:rFonts w:cs="Arial"/>
        </w:rPr>
        <w:t xml:space="preserve"> misusing official information to gain an unfair private, commercial or market advantage for self or others.</w:t>
      </w:r>
    </w:p>
    <w:p w14:paraId="73140F5E" w14:textId="1494E9E8" w:rsidR="000E2922" w:rsidRPr="007D581B" w:rsidRDefault="000E2922" w:rsidP="009F14FD">
      <w:pPr>
        <w:pStyle w:val="Heading2"/>
        <w:rPr>
          <w:sz w:val="28"/>
          <w:szCs w:val="22"/>
        </w:rPr>
      </w:pPr>
      <w:bookmarkStart w:id="6" w:name="_Toc127213946"/>
      <w:r w:rsidRPr="007D581B">
        <w:rPr>
          <w:sz w:val="28"/>
          <w:szCs w:val="22"/>
        </w:rPr>
        <w:t>N</w:t>
      </w:r>
      <w:r w:rsidR="001B74FC" w:rsidRPr="007D581B">
        <w:rPr>
          <w:sz w:val="28"/>
          <w:szCs w:val="22"/>
        </w:rPr>
        <w:t>on-compliance</w:t>
      </w:r>
    </w:p>
    <w:p w14:paraId="097C9B84" w14:textId="57EC1815" w:rsidR="00F3304F" w:rsidRPr="00D07F3F" w:rsidRDefault="000E2922" w:rsidP="00DE15A4">
      <w:pPr>
        <w:tabs>
          <w:tab w:val="left" w:pos="426"/>
          <w:tab w:val="left" w:pos="8364"/>
        </w:tabs>
        <w:rPr>
          <w:rFonts w:cs="Arial"/>
        </w:rPr>
      </w:pPr>
      <w:r w:rsidRPr="00D07F3F">
        <w:rPr>
          <w:rFonts w:cs="Arial"/>
        </w:rPr>
        <w:t>Non-compliance is a broad term for any failure to comply with legal requirements</w:t>
      </w:r>
      <w:r w:rsidR="00D413DD" w:rsidRPr="00D07F3F">
        <w:rPr>
          <w:rFonts w:cs="Arial"/>
        </w:rPr>
        <w:t xml:space="preserve">. These requirements may be in </w:t>
      </w:r>
      <w:r w:rsidRPr="00D07F3F">
        <w:rPr>
          <w:rFonts w:cs="Arial"/>
        </w:rPr>
        <w:t xml:space="preserve">the form of </w:t>
      </w:r>
      <w:r w:rsidR="005548F6" w:rsidRPr="00D07F3F">
        <w:rPr>
          <w:rFonts w:cs="Arial"/>
        </w:rPr>
        <w:t xml:space="preserve">laws, </w:t>
      </w:r>
      <w:r w:rsidRPr="00D07F3F">
        <w:rPr>
          <w:rFonts w:cs="Arial"/>
        </w:rPr>
        <w:t>regulation</w:t>
      </w:r>
      <w:r w:rsidR="005548F6" w:rsidRPr="00D07F3F">
        <w:rPr>
          <w:rFonts w:cs="Arial"/>
        </w:rPr>
        <w:t>s</w:t>
      </w:r>
      <w:r w:rsidRPr="00D07F3F">
        <w:rPr>
          <w:rFonts w:cs="Arial"/>
        </w:rPr>
        <w:t xml:space="preserve">, agreements, administrative rules, and licensing conditions. </w:t>
      </w:r>
      <w:r w:rsidR="00BF3776" w:rsidRPr="00D07F3F">
        <w:rPr>
          <w:rFonts w:cs="Arial"/>
        </w:rPr>
        <w:t xml:space="preserve">An example is </w:t>
      </w:r>
      <w:r w:rsidR="00D94852" w:rsidRPr="00D07F3F">
        <w:rPr>
          <w:rFonts w:cs="Arial"/>
        </w:rPr>
        <w:t xml:space="preserve">the requirement for </w:t>
      </w:r>
      <w:r w:rsidRPr="00D07F3F">
        <w:rPr>
          <w:rFonts w:cs="Arial"/>
        </w:rPr>
        <w:t xml:space="preserve">all </w:t>
      </w:r>
      <w:r w:rsidR="00F0354C" w:rsidRPr="00D07F3F">
        <w:rPr>
          <w:rFonts w:cs="Arial"/>
        </w:rPr>
        <w:t xml:space="preserve">officials of Commonwealth entities to comply with the </w:t>
      </w:r>
      <w:r w:rsidR="00C06D91" w:rsidRPr="00D07F3F">
        <w:rPr>
          <w:rFonts w:cs="Arial"/>
        </w:rPr>
        <w:t>‘</w:t>
      </w:r>
      <w:r w:rsidR="00BD5469" w:rsidRPr="00D07F3F">
        <w:rPr>
          <w:rFonts w:cs="Arial"/>
        </w:rPr>
        <w:t>G</w:t>
      </w:r>
      <w:r w:rsidR="00C06D91" w:rsidRPr="00D07F3F">
        <w:rPr>
          <w:rFonts w:cs="Arial"/>
        </w:rPr>
        <w:t xml:space="preserve">eneral duties of officials’ </w:t>
      </w:r>
      <w:r w:rsidR="006247CA" w:rsidRPr="00D07F3F">
        <w:rPr>
          <w:rFonts w:cs="Arial"/>
        </w:rPr>
        <w:t xml:space="preserve">which are set out at sections 25-29 of </w:t>
      </w:r>
      <w:r w:rsidRPr="00D07F3F">
        <w:rPr>
          <w:rFonts w:cs="Arial"/>
        </w:rPr>
        <w:t xml:space="preserve">the </w:t>
      </w:r>
      <w:r w:rsidR="00303275" w:rsidRPr="00D07F3F">
        <w:rPr>
          <w:rFonts w:cs="Arial"/>
          <w:i/>
          <w:iCs/>
        </w:rPr>
        <w:t>Public Governance, Performance and Accountability Act 2013</w:t>
      </w:r>
      <w:r w:rsidR="00303275" w:rsidRPr="00D07F3F">
        <w:rPr>
          <w:rFonts w:cs="Arial"/>
        </w:rPr>
        <w:t xml:space="preserve"> (</w:t>
      </w:r>
      <w:r w:rsidR="002E69A9" w:rsidRPr="00D07F3F">
        <w:rPr>
          <w:rFonts w:cs="Arial"/>
        </w:rPr>
        <w:t>PGPA Act</w:t>
      </w:r>
      <w:r w:rsidR="00303275" w:rsidRPr="00D07F3F">
        <w:rPr>
          <w:rFonts w:cs="Arial"/>
        </w:rPr>
        <w:t>)</w:t>
      </w:r>
      <w:r w:rsidR="002E69A9" w:rsidRPr="00D07F3F">
        <w:rPr>
          <w:rFonts w:cs="Arial"/>
        </w:rPr>
        <w:t xml:space="preserve">. </w:t>
      </w:r>
    </w:p>
    <w:p w14:paraId="00DB77DF" w14:textId="127DFC43" w:rsidR="00A65A8C" w:rsidRPr="00D07F3F" w:rsidRDefault="00F3304F" w:rsidP="00DE15A4">
      <w:pPr>
        <w:tabs>
          <w:tab w:val="left" w:pos="426"/>
          <w:tab w:val="left" w:pos="8364"/>
        </w:tabs>
        <w:rPr>
          <w:rFonts w:cs="Arial"/>
        </w:rPr>
      </w:pPr>
      <w:r w:rsidRPr="00D07F3F">
        <w:rPr>
          <w:rFonts w:cs="Arial"/>
        </w:rPr>
        <w:t xml:space="preserve">Non-compliance </w:t>
      </w:r>
      <w:r w:rsidR="000E2922" w:rsidRPr="00D07F3F">
        <w:rPr>
          <w:rFonts w:cs="Arial"/>
        </w:rPr>
        <w:t xml:space="preserve">includes </w:t>
      </w:r>
      <w:r w:rsidR="006E5D3A">
        <w:rPr>
          <w:rFonts w:cs="Arial"/>
        </w:rPr>
        <w:t xml:space="preserve">activities </w:t>
      </w:r>
      <w:r w:rsidR="000E2922" w:rsidRPr="00D07F3F">
        <w:rPr>
          <w:rFonts w:cs="Arial"/>
        </w:rPr>
        <w:t>where parties try to comply but make</w:t>
      </w:r>
      <w:r w:rsidR="006E5D3A">
        <w:rPr>
          <w:rFonts w:cs="Arial"/>
        </w:rPr>
        <w:t>s</w:t>
      </w:r>
      <w:r w:rsidR="000E2922" w:rsidRPr="00D07F3F">
        <w:rPr>
          <w:rFonts w:cs="Arial"/>
        </w:rPr>
        <w:t xml:space="preserve"> mistakes (accidental non-compliance), or where parties exploit ambiguities or opportunities that are non-compliant (opportunistic non-compliance).</w:t>
      </w:r>
      <w:r w:rsidR="00A65A8C" w:rsidRPr="00D07F3F">
        <w:rPr>
          <w:rFonts w:cs="Arial"/>
        </w:rPr>
        <w:t xml:space="preserve"> </w:t>
      </w:r>
    </w:p>
    <w:bookmarkEnd w:id="6"/>
    <w:p w14:paraId="691AFD64" w14:textId="6C783191" w:rsidR="00F726C9" w:rsidRPr="007D581B" w:rsidRDefault="00DA5A51" w:rsidP="009F14FD">
      <w:pPr>
        <w:pStyle w:val="Heading1"/>
        <w:rPr>
          <w:sz w:val="32"/>
          <w:szCs w:val="24"/>
        </w:rPr>
      </w:pPr>
      <w:r w:rsidRPr="007D581B">
        <w:rPr>
          <w:sz w:val="32"/>
          <w:szCs w:val="24"/>
        </w:rPr>
        <w:t>G</w:t>
      </w:r>
      <w:r w:rsidR="00A65A8C" w:rsidRPr="007D581B">
        <w:rPr>
          <w:sz w:val="32"/>
          <w:szCs w:val="24"/>
        </w:rPr>
        <w:t>overnance</w:t>
      </w:r>
    </w:p>
    <w:p w14:paraId="73AD2643" w14:textId="2A771073" w:rsidR="006C39B4" w:rsidRPr="00D07F3F" w:rsidRDefault="006C39B4" w:rsidP="009F14FD">
      <w:pPr>
        <w:pStyle w:val="Heading2"/>
        <w:rPr>
          <w:sz w:val="28"/>
        </w:rPr>
      </w:pPr>
      <w:r w:rsidRPr="00D07F3F">
        <w:rPr>
          <w:sz w:val="28"/>
        </w:rPr>
        <w:t>K</w:t>
      </w:r>
      <w:r w:rsidR="00A65A8C" w:rsidRPr="00D07F3F">
        <w:rPr>
          <w:sz w:val="28"/>
        </w:rPr>
        <w:t>ey responsibilities</w:t>
      </w:r>
    </w:p>
    <w:p w14:paraId="50D5F2B1" w14:textId="06EB46B7" w:rsidR="00A65A8C" w:rsidRPr="00D07F3F" w:rsidRDefault="006C39B4" w:rsidP="00DE15A4">
      <w:pPr>
        <w:tabs>
          <w:tab w:val="left" w:pos="426"/>
          <w:tab w:val="left" w:pos="8364"/>
        </w:tabs>
        <w:rPr>
          <w:rFonts w:cs="Arial"/>
        </w:rPr>
      </w:pPr>
      <w:r w:rsidRPr="00D07F3F">
        <w:rPr>
          <w:rFonts w:cs="Arial"/>
        </w:rPr>
        <w:t xml:space="preserve">All </w:t>
      </w:r>
      <w:r w:rsidR="009F2F27" w:rsidRPr="00D07F3F">
        <w:rPr>
          <w:rFonts w:cs="Arial"/>
        </w:rPr>
        <w:t xml:space="preserve">departmental officials </w:t>
      </w:r>
      <w:r w:rsidRPr="00D07F3F">
        <w:rPr>
          <w:rFonts w:cs="Arial"/>
        </w:rPr>
        <w:t xml:space="preserve">should understand what constitutes fraud </w:t>
      </w:r>
      <w:r w:rsidR="00FD0349">
        <w:rPr>
          <w:rFonts w:cs="Arial"/>
        </w:rPr>
        <w:t xml:space="preserve">and corruption, </w:t>
      </w:r>
      <w:r w:rsidRPr="00D07F3F">
        <w:rPr>
          <w:rFonts w:cs="Arial"/>
        </w:rPr>
        <w:t xml:space="preserve">and what to do if they suspect fraudulent </w:t>
      </w:r>
      <w:r w:rsidR="00FD0349">
        <w:rPr>
          <w:rFonts w:cs="Arial"/>
        </w:rPr>
        <w:t xml:space="preserve">or corrupt </w:t>
      </w:r>
      <w:r w:rsidRPr="00D07F3F">
        <w:rPr>
          <w:rFonts w:cs="Arial"/>
        </w:rPr>
        <w:t>activity.</w:t>
      </w:r>
      <w:r w:rsidR="00E0718C">
        <w:rPr>
          <w:rFonts w:cs="Arial"/>
        </w:rPr>
        <w:t xml:space="preserve"> Building this understanding is supported by Essential Learning training modules, which are mandatory for all staff and contractors to complete.</w:t>
      </w:r>
      <w:r w:rsidRPr="00D07F3F">
        <w:rPr>
          <w:rFonts w:cs="Arial"/>
        </w:rPr>
        <w:t xml:space="preserve"> </w:t>
      </w:r>
    </w:p>
    <w:p w14:paraId="149ED42C" w14:textId="4B5A3AC1" w:rsidR="007A5C9C" w:rsidRPr="00D07F3F" w:rsidRDefault="006C39B4" w:rsidP="00D07F3F">
      <w:pPr>
        <w:tabs>
          <w:tab w:val="left" w:pos="426"/>
          <w:tab w:val="left" w:pos="8364"/>
        </w:tabs>
        <w:rPr>
          <w:rFonts w:cs="Arial"/>
        </w:rPr>
      </w:pPr>
      <w:r w:rsidRPr="00D07F3F">
        <w:rPr>
          <w:rFonts w:cs="Arial"/>
        </w:rPr>
        <w:t xml:space="preserve">All </w:t>
      </w:r>
      <w:r w:rsidR="00926344" w:rsidRPr="00D07F3F">
        <w:rPr>
          <w:rFonts w:cs="Arial"/>
        </w:rPr>
        <w:t xml:space="preserve">officials </w:t>
      </w:r>
      <w:r w:rsidR="00F45FDD" w:rsidRPr="00D07F3F">
        <w:rPr>
          <w:rFonts w:cs="Arial"/>
        </w:rPr>
        <w:t xml:space="preserve">must </w:t>
      </w:r>
      <w:r w:rsidRPr="00D07F3F">
        <w:rPr>
          <w:rFonts w:cs="Arial"/>
        </w:rPr>
        <w:t>comply with legislative requirements and internal policies, behave in accordance with integrity requirements, and identify and report fraud and corruption risks.</w:t>
      </w:r>
    </w:p>
    <w:p w14:paraId="26AB42A7" w14:textId="2C3E5E73" w:rsidR="00065B9B" w:rsidRPr="00D07F3F" w:rsidRDefault="00A337E0" w:rsidP="00065B9B">
      <w:pPr>
        <w:tabs>
          <w:tab w:val="left" w:pos="426"/>
          <w:tab w:val="left" w:pos="8364"/>
        </w:tabs>
        <w:rPr>
          <w:rFonts w:cs="Arial"/>
        </w:rPr>
      </w:pPr>
      <w:r w:rsidRPr="00D07F3F">
        <w:rPr>
          <w:rFonts w:cs="Arial"/>
        </w:rPr>
        <w:t>There are p</w:t>
      </w:r>
      <w:r w:rsidR="006C39B4" w:rsidRPr="00D07F3F">
        <w:rPr>
          <w:rFonts w:cs="Arial"/>
        </w:rPr>
        <w:t xml:space="preserve">ositions and committees </w:t>
      </w:r>
      <w:r w:rsidR="004D6544" w:rsidRPr="00D07F3F">
        <w:rPr>
          <w:rFonts w:cs="Arial"/>
        </w:rPr>
        <w:t xml:space="preserve">which </w:t>
      </w:r>
      <w:r w:rsidR="006C39B4" w:rsidRPr="00D07F3F">
        <w:rPr>
          <w:rFonts w:cs="Arial"/>
        </w:rPr>
        <w:t>have additional responsibilities</w:t>
      </w:r>
      <w:r w:rsidR="004D6544" w:rsidRPr="00D07F3F">
        <w:rPr>
          <w:rFonts w:cs="Arial"/>
        </w:rPr>
        <w:t xml:space="preserve"> </w:t>
      </w:r>
      <w:r w:rsidR="00065B9B" w:rsidRPr="00D07F3F">
        <w:rPr>
          <w:rFonts w:cs="Arial"/>
        </w:rPr>
        <w:t>including:</w:t>
      </w:r>
    </w:p>
    <w:p w14:paraId="4A411A01" w14:textId="280865D4" w:rsidR="006C39B4" w:rsidRPr="00D07F3F" w:rsidRDefault="006C39B4" w:rsidP="009F14FD">
      <w:pPr>
        <w:pStyle w:val="ListNumber2"/>
        <w:rPr>
          <w:rFonts w:cs="Arial"/>
        </w:rPr>
      </w:pPr>
      <w:r w:rsidRPr="007D581B">
        <w:rPr>
          <w:rFonts w:cs="Arial"/>
          <w:bCs/>
          <w:color w:val="auto"/>
          <w:lang w:eastAsia="en-AU"/>
        </w:rPr>
        <w:t>The</w:t>
      </w:r>
      <w:r w:rsidRPr="007D581B">
        <w:rPr>
          <w:rFonts w:cs="Arial"/>
          <w:b/>
          <w:color w:val="auto"/>
          <w:lang w:eastAsia="en-AU"/>
        </w:rPr>
        <w:t xml:space="preserve"> </w:t>
      </w:r>
      <w:r w:rsidRPr="00D07F3F">
        <w:rPr>
          <w:rFonts w:cs="Arial"/>
          <w:b/>
          <w:color w:val="2A7187" w:themeColor="accent5" w:themeShade="BF"/>
          <w:lang w:val="en"/>
        </w:rPr>
        <w:t>Secretary</w:t>
      </w:r>
      <w:r w:rsidRPr="00D07F3F">
        <w:rPr>
          <w:rFonts w:cs="Arial"/>
        </w:rPr>
        <w:t xml:space="preserve"> is the accountable authority responsible under the PGPA Act for governing the </w:t>
      </w:r>
      <w:r w:rsidR="00F72A84" w:rsidRPr="00D07F3F">
        <w:rPr>
          <w:rFonts w:cs="Arial"/>
        </w:rPr>
        <w:t>department</w:t>
      </w:r>
      <w:r w:rsidRPr="00D07F3F">
        <w:rPr>
          <w:rFonts w:cs="Arial"/>
        </w:rPr>
        <w:t xml:space="preserve"> in a way that promotes the proper use of public resources. This includes taking all reasonable measures to prevent, detect and respond to fraud and corruption relating to </w:t>
      </w:r>
      <w:r w:rsidR="00C27942" w:rsidRPr="00D07F3F">
        <w:rPr>
          <w:rFonts w:cs="Arial"/>
        </w:rPr>
        <w:t xml:space="preserve">departmental officials, </w:t>
      </w:r>
      <w:r w:rsidRPr="00D07F3F">
        <w:rPr>
          <w:rFonts w:cs="Arial"/>
        </w:rPr>
        <w:t>service</w:t>
      </w:r>
      <w:r w:rsidR="0069488E" w:rsidRPr="00D07F3F">
        <w:rPr>
          <w:rFonts w:cs="Arial"/>
        </w:rPr>
        <w:t xml:space="preserve"> providers</w:t>
      </w:r>
      <w:r w:rsidRPr="00D07F3F">
        <w:rPr>
          <w:rFonts w:cs="Arial"/>
        </w:rPr>
        <w:t xml:space="preserve"> or third parties who interact with the </w:t>
      </w:r>
      <w:r w:rsidR="00F72A84" w:rsidRPr="00D07F3F">
        <w:rPr>
          <w:rFonts w:cs="Arial"/>
        </w:rPr>
        <w:t>department</w:t>
      </w:r>
      <w:r w:rsidRPr="00D07F3F">
        <w:rPr>
          <w:rFonts w:cs="Arial"/>
        </w:rPr>
        <w:t>.</w:t>
      </w:r>
      <w:r w:rsidR="008E6039" w:rsidRPr="00D07F3F">
        <w:rPr>
          <w:rFonts w:cs="Arial"/>
        </w:rPr>
        <w:t xml:space="preserve"> </w:t>
      </w:r>
      <w:r w:rsidR="00AB62ED">
        <w:rPr>
          <w:rFonts w:cs="Arial"/>
        </w:rPr>
        <w:t xml:space="preserve">The Secretary must refer suspected serious or systemic </w:t>
      </w:r>
      <w:r w:rsidR="00AB62ED">
        <w:rPr>
          <w:rFonts w:cs="Arial"/>
        </w:rPr>
        <w:lastRenderedPageBreak/>
        <w:t>corrupt conduct involving current or former departmental officials to the National Anti-Corruption Commission.</w:t>
      </w:r>
    </w:p>
    <w:p w14:paraId="208761C8" w14:textId="597F6562" w:rsidR="006C39B4" w:rsidRPr="00D07F3F" w:rsidRDefault="006C39B4" w:rsidP="009F14FD">
      <w:pPr>
        <w:pStyle w:val="ListNumber2"/>
        <w:rPr>
          <w:rFonts w:cs="Arial"/>
        </w:rPr>
      </w:pPr>
      <w:r w:rsidRPr="007D581B">
        <w:rPr>
          <w:rFonts w:cs="Arial"/>
          <w:bCs/>
          <w:color w:val="auto"/>
          <w:lang w:eastAsia="en-AU"/>
        </w:rPr>
        <w:t>The</w:t>
      </w:r>
      <w:r w:rsidRPr="007D581B">
        <w:rPr>
          <w:rFonts w:cs="Arial"/>
          <w:b/>
          <w:color w:val="auto"/>
          <w:lang w:eastAsia="en-AU"/>
        </w:rPr>
        <w:t xml:space="preserve"> </w:t>
      </w:r>
      <w:r w:rsidRPr="00D07F3F">
        <w:rPr>
          <w:rFonts w:cs="Arial"/>
          <w:b/>
          <w:color w:val="2A7187" w:themeColor="accent5" w:themeShade="BF"/>
          <w:lang w:val="en"/>
        </w:rPr>
        <w:t>Chief Financ</w:t>
      </w:r>
      <w:r w:rsidR="00AC03A7" w:rsidRPr="00D07F3F">
        <w:rPr>
          <w:rFonts w:cs="Arial"/>
          <w:b/>
          <w:color w:val="2A7187" w:themeColor="accent5" w:themeShade="BF"/>
          <w:lang w:val="en"/>
        </w:rPr>
        <w:t xml:space="preserve">ial </w:t>
      </w:r>
      <w:r w:rsidRPr="00D07F3F">
        <w:rPr>
          <w:rFonts w:cs="Arial"/>
          <w:b/>
          <w:color w:val="2A7187" w:themeColor="accent5" w:themeShade="BF"/>
          <w:lang w:val="en"/>
        </w:rPr>
        <w:t>Officer</w:t>
      </w:r>
      <w:r w:rsidRPr="00D07F3F">
        <w:rPr>
          <w:rFonts w:cs="Arial"/>
          <w:color w:val="2A7187" w:themeColor="accent5" w:themeShade="BF"/>
        </w:rPr>
        <w:t xml:space="preserve"> </w:t>
      </w:r>
      <w:r w:rsidRPr="00D07F3F">
        <w:rPr>
          <w:rFonts w:cs="Arial"/>
        </w:rPr>
        <w:t xml:space="preserve">has accountability for setting </w:t>
      </w:r>
      <w:r w:rsidR="00AC03A7" w:rsidRPr="00D07F3F">
        <w:rPr>
          <w:rFonts w:cs="Arial"/>
        </w:rPr>
        <w:t xml:space="preserve">the </w:t>
      </w:r>
      <w:r w:rsidR="00F72A84" w:rsidRPr="00D07F3F">
        <w:rPr>
          <w:rFonts w:cs="Arial"/>
        </w:rPr>
        <w:t>department</w:t>
      </w:r>
      <w:r w:rsidR="00AC03A7" w:rsidRPr="00D07F3F">
        <w:rPr>
          <w:rFonts w:cs="Arial"/>
        </w:rPr>
        <w:t xml:space="preserve">’s </w:t>
      </w:r>
      <w:r w:rsidRPr="00D07F3F">
        <w:rPr>
          <w:rFonts w:cs="Arial"/>
        </w:rPr>
        <w:t xml:space="preserve">financial framework and ensuring that risks associated with the </w:t>
      </w:r>
      <w:r w:rsidR="00F72A84" w:rsidRPr="00D07F3F">
        <w:rPr>
          <w:rFonts w:cs="Arial"/>
        </w:rPr>
        <w:t>department</w:t>
      </w:r>
      <w:r w:rsidRPr="00D07F3F">
        <w:rPr>
          <w:rFonts w:cs="Arial"/>
        </w:rPr>
        <w:t>'s appropriations and expenditure are addressed.</w:t>
      </w:r>
    </w:p>
    <w:p w14:paraId="5C65AEBA" w14:textId="367A6106" w:rsidR="002A69D7" w:rsidRPr="007D581B" w:rsidRDefault="002A69D7" w:rsidP="009F14FD">
      <w:pPr>
        <w:pStyle w:val="ListNumber2"/>
        <w:rPr>
          <w:rFonts w:cs="Arial"/>
          <w:bCs/>
          <w:color w:val="auto"/>
          <w:lang w:eastAsia="en-AU"/>
        </w:rPr>
      </w:pPr>
      <w:r w:rsidRPr="007D581B">
        <w:rPr>
          <w:rFonts w:cs="Arial"/>
          <w:bCs/>
          <w:color w:val="auto"/>
          <w:lang w:eastAsia="en-AU"/>
        </w:rPr>
        <w:t>The</w:t>
      </w:r>
      <w:r w:rsidRPr="007D581B">
        <w:rPr>
          <w:rFonts w:cs="Arial"/>
          <w:b/>
          <w:bCs/>
          <w:color w:val="auto"/>
          <w:lang w:eastAsia="en-AU"/>
        </w:rPr>
        <w:t xml:space="preserve"> </w:t>
      </w:r>
      <w:r w:rsidRPr="007D581B">
        <w:rPr>
          <w:rFonts w:cs="Arial"/>
          <w:b/>
          <w:color w:val="2A7187" w:themeColor="accent5" w:themeShade="BF"/>
          <w:lang w:eastAsia="en-AU"/>
        </w:rPr>
        <w:t>Chief Security Officer</w:t>
      </w:r>
      <w:r w:rsidRPr="007D581B">
        <w:rPr>
          <w:rFonts w:cs="Arial"/>
          <w:bCs/>
          <w:color w:val="2A7187" w:themeColor="accent5" w:themeShade="BF"/>
          <w:lang w:eastAsia="en-AU"/>
        </w:rPr>
        <w:t xml:space="preserve"> </w:t>
      </w:r>
      <w:r w:rsidR="007A5C9C" w:rsidRPr="00D07F3F">
        <w:rPr>
          <w:rFonts w:cs="Arial"/>
          <w:bCs/>
          <w:color w:val="auto"/>
          <w:lang w:eastAsia="en-AU"/>
        </w:rPr>
        <w:t>provides strategic oversight and management of security across the department.</w:t>
      </w:r>
    </w:p>
    <w:p w14:paraId="0BACDEA4" w14:textId="45757BF2" w:rsidR="007A5C9C" w:rsidRPr="00D07F3F" w:rsidRDefault="006C39B4" w:rsidP="007A5C9C">
      <w:pPr>
        <w:pStyle w:val="ListNumber2"/>
        <w:rPr>
          <w:rFonts w:cs="Arial"/>
        </w:rPr>
      </w:pPr>
      <w:r w:rsidRPr="007D581B">
        <w:rPr>
          <w:rFonts w:cs="Arial"/>
          <w:bCs/>
          <w:color w:val="auto"/>
          <w:lang w:eastAsia="en-AU"/>
        </w:rPr>
        <w:t>The</w:t>
      </w:r>
      <w:r w:rsidRPr="007D581B">
        <w:rPr>
          <w:rFonts w:cs="Arial"/>
          <w:b/>
          <w:color w:val="auto"/>
          <w:lang w:eastAsia="en-AU"/>
        </w:rPr>
        <w:t xml:space="preserve"> </w:t>
      </w:r>
      <w:r w:rsidRPr="007D581B">
        <w:rPr>
          <w:rFonts w:cs="Arial"/>
          <w:b/>
          <w:color w:val="2A7187" w:themeColor="accent5" w:themeShade="BF"/>
          <w:lang w:eastAsia="en-AU"/>
        </w:rPr>
        <w:t xml:space="preserve">Chief Information </w:t>
      </w:r>
      <w:r w:rsidR="00F66412" w:rsidRPr="007D581B">
        <w:rPr>
          <w:rFonts w:cs="Arial"/>
          <w:b/>
          <w:color w:val="2A7187" w:themeColor="accent5" w:themeShade="BF"/>
          <w:lang w:eastAsia="en-AU"/>
        </w:rPr>
        <w:t xml:space="preserve">Security </w:t>
      </w:r>
      <w:r w:rsidRPr="007D581B">
        <w:rPr>
          <w:rFonts w:cs="Arial"/>
          <w:b/>
          <w:color w:val="2A7187" w:themeColor="accent5" w:themeShade="BF"/>
          <w:lang w:eastAsia="en-AU"/>
        </w:rPr>
        <w:t>Officer</w:t>
      </w:r>
      <w:r w:rsidRPr="00D07F3F">
        <w:rPr>
          <w:rFonts w:cs="Arial"/>
        </w:rPr>
        <w:t xml:space="preserve"> </w:t>
      </w:r>
      <w:r w:rsidR="007A5C9C" w:rsidRPr="00D07F3F">
        <w:rPr>
          <w:rFonts w:cs="Arial"/>
        </w:rPr>
        <w:t xml:space="preserve">is accountable to the Chief Security Officer for the performance of the </w:t>
      </w:r>
      <w:r w:rsidR="00D07F3F">
        <w:rPr>
          <w:rFonts w:cs="Arial"/>
        </w:rPr>
        <w:t>d</w:t>
      </w:r>
      <w:r w:rsidR="007A5C9C" w:rsidRPr="00D07F3F">
        <w:rPr>
          <w:rFonts w:cs="Arial"/>
        </w:rPr>
        <w:t xml:space="preserve">epartment’s Security Policy Framework and ensures security is considered within fraud </w:t>
      </w:r>
      <w:r w:rsidR="00FD0349">
        <w:rPr>
          <w:rFonts w:cs="Arial"/>
        </w:rPr>
        <w:t xml:space="preserve">and corruption </w:t>
      </w:r>
      <w:r w:rsidR="007A5C9C" w:rsidRPr="00D07F3F">
        <w:rPr>
          <w:rFonts w:cs="Arial"/>
        </w:rPr>
        <w:t>control and awareness.</w:t>
      </w:r>
    </w:p>
    <w:p w14:paraId="41CBE370" w14:textId="0AFB07C3" w:rsidR="00614EBE" w:rsidRPr="007D581B" w:rsidRDefault="008845A5" w:rsidP="009F14FD">
      <w:pPr>
        <w:pStyle w:val="ListNumber2"/>
        <w:rPr>
          <w:rFonts w:cs="Arial"/>
          <w:lang w:eastAsia="en-AU"/>
        </w:rPr>
      </w:pPr>
      <w:r w:rsidRPr="00D07F3F">
        <w:rPr>
          <w:rFonts w:cs="Arial"/>
          <w:lang w:val="en-US"/>
        </w:rPr>
        <w:t xml:space="preserve">The </w:t>
      </w:r>
      <w:r w:rsidR="00614EBE" w:rsidRPr="007D581B">
        <w:rPr>
          <w:rFonts w:cs="Arial"/>
          <w:b/>
          <w:color w:val="2A7187" w:themeColor="accent5" w:themeShade="BF"/>
          <w:lang w:eastAsia="en-AU"/>
        </w:rPr>
        <w:t>Assistant Secretary, Fraud Control and Investigation Branch</w:t>
      </w:r>
      <w:r w:rsidR="00614EBE" w:rsidRPr="007D581B">
        <w:rPr>
          <w:rFonts w:cs="Arial"/>
          <w:color w:val="2A7187" w:themeColor="accent5" w:themeShade="BF"/>
          <w:lang w:eastAsia="en-AU"/>
        </w:rPr>
        <w:t xml:space="preserve"> </w:t>
      </w:r>
      <w:r w:rsidR="00FA4E24" w:rsidRPr="00D07F3F">
        <w:rPr>
          <w:rFonts w:cs="Arial"/>
          <w:bCs/>
          <w:color w:val="auto"/>
        </w:rPr>
        <w:t xml:space="preserve">has </w:t>
      </w:r>
      <w:r w:rsidR="00FA4E24" w:rsidRPr="007D581B">
        <w:rPr>
          <w:rFonts w:cs="Arial"/>
          <w:lang w:eastAsia="en-AU"/>
        </w:rPr>
        <w:t xml:space="preserve">corporate responsibility for overseeing the implementation of fraud </w:t>
      </w:r>
      <w:r w:rsidR="00FD0349">
        <w:rPr>
          <w:rFonts w:cs="Arial"/>
          <w:lang w:eastAsia="en-AU"/>
        </w:rPr>
        <w:t xml:space="preserve">and corruption </w:t>
      </w:r>
      <w:r w:rsidR="00FA4E24" w:rsidRPr="007D581B">
        <w:rPr>
          <w:rFonts w:cs="Arial"/>
          <w:lang w:eastAsia="en-AU"/>
        </w:rPr>
        <w:t xml:space="preserve">prevention and control for the </w:t>
      </w:r>
      <w:r w:rsidR="00F72A84" w:rsidRPr="007D581B">
        <w:rPr>
          <w:rFonts w:cs="Arial"/>
          <w:lang w:eastAsia="en-AU"/>
        </w:rPr>
        <w:t>department</w:t>
      </w:r>
      <w:r w:rsidR="00FA4E24" w:rsidRPr="007D581B">
        <w:rPr>
          <w:rFonts w:cs="Arial"/>
          <w:lang w:eastAsia="en-AU"/>
        </w:rPr>
        <w:t>, in line with Section 10 of the PGPA Rule</w:t>
      </w:r>
      <w:r w:rsidR="004A1D13" w:rsidRPr="007D581B">
        <w:rPr>
          <w:rFonts w:cs="Arial"/>
          <w:lang w:eastAsia="en-AU"/>
        </w:rPr>
        <w:t xml:space="preserve"> (the Fraud Rule)</w:t>
      </w:r>
      <w:r w:rsidR="00FA4E24" w:rsidRPr="007D581B">
        <w:rPr>
          <w:rFonts w:cs="Arial"/>
          <w:lang w:eastAsia="en-AU"/>
        </w:rPr>
        <w:t xml:space="preserve"> and</w:t>
      </w:r>
      <w:r w:rsidR="00E0718C">
        <w:rPr>
          <w:rFonts w:cs="Arial"/>
          <w:lang w:eastAsia="en-AU"/>
        </w:rPr>
        <w:t xml:space="preserve"> for</w:t>
      </w:r>
      <w:r w:rsidR="00CB7FBA" w:rsidRPr="00D07F3F">
        <w:rPr>
          <w:rFonts w:cs="Arial"/>
          <w:bCs/>
          <w:color w:val="auto"/>
        </w:rPr>
        <w:t xml:space="preserve"> implementing the requirements of the Commonwealth Fraud Control Framework</w:t>
      </w:r>
      <w:r w:rsidR="00FA4E24" w:rsidRPr="00D07F3F">
        <w:rPr>
          <w:rFonts w:cs="Arial"/>
          <w:bCs/>
          <w:color w:val="auto"/>
        </w:rPr>
        <w:t>. This includes</w:t>
      </w:r>
      <w:r w:rsidR="00E0718C">
        <w:rPr>
          <w:rFonts w:cs="Arial"/>
          <w:bCs/>
          <w:color w:val="auto"/>
        </w:rPr>
        <w:t xml:space="preserve"> delivering</w:t>
      </w:r>
      <w:r w:rsidR="00CB7FBA" w:rsidRPr="00D07F3F">
        <w:rPr>
          <w:rFonts w:cs="Arial"/>
          <w:bCs/>
          <w:color w:val="auto"/>
        </w:rPr>
        <w:t xml:space="preserve"> a fraud and corruption control program that covers prevention, detection, investigation, recording and reporting strategies.</w:t>
      </w:r>
      <w:r w:rsidR="00CB7FBA" w:rsidRPr="007D581B">
        <w:rPr>
          <w:rFonts w:cs="Arial"/>
          <w:b/>
          <w:color w:val="358189" w:themeColor="accent2"/>
          <w:lang w:eastAsia="en-AU"/>
        </w:rPr>
        <w:t xml:space="preserve"> </w:t>
      </w:r>
    </w:p>
    <w:p w14:paraId="10754014" w14:textId="0130594B" w:rsidR="00A25EEF" w:rsidRPr="00D07F3F" w:rsidRDefault="00A25EEF" w:rsidP="009F14FD">
      <w:pPr>
        <w:pStyle w:val="ListNumber2"/>
        <w:rPr>
          <w:rFonts w:cs="Arial"/>
        </w:rPr>
      </w:pPr>
      <w:r w:rsidRPr="00D07F3F">
        <w:rPr>
          <w:rFonts w:cs="Arial"/>
          <w:lang w:val="en-US"/>
        </w:rPr>
        <w:t xml:space="preserve">The </w:t>
      </w:r>
      <w:r w:rsidRPr="007D581B">
        <w:rPr>
          <w:rFonts w:cs="Arial"/>
          <w:b/>
          <w:color w:val="2A7187" w:themeColor="accent5" w:themeShade="BF"/>
          <w:lang w:eastAsia="en-AU"/>
        </w:rPr>
        <w:t xml:space="preserve">Audit and Risk Committee </w:t>
      </w:r>
      <w:r w:rsidR="00AC5263" w:rsidRPr="007D581B">
        <w:rPr>
          <w:rFonts w:cs="Arial"/>
          <w:b/>
          <w:color w:val="2A7187" w:themeColor="accent5" w:themeShade="BF"/>
          <w:lang w:eastAsia="en-AU"/>
        </w:rPr>
        <w:t>(</w:t>
      </w:r>
      <w:r w:rsidR="00D75F7B" w:rsidRPr="007D581B">
        <w:rPr>
          <w:rFonts w:cs="Arial"/>
          <w:b/>
          <w:color w:val="2A7187" w:themeColor="accent5" w:themeShade="BF"/>
          <w:lang w:eastAsia="en-AU"/>
        </w:rPr>
        <w:t>ARC)</w:t>
      </w:r>
      <w:r w:rsidR="00D75F7B" w:rsidRPr="007D581B">
        <w:rPr>
          <w:rFonts w:cs="Arial"/>
          <w:color w:val="2A7187" w:themeColor="accent5" w:themeShade="BF"/>
          <w:lang w:eastAsia="en-AU"/>
        </w:rPr>
        <w:t xml:space="preserve"> </w:t>
      </w:r>
      <w:r w:rsidRPr="00D07F3F">
        <w:rPr>
          <w:rFonts w:cs="Arial"/>
        </w:rPr>
        <w:t xml:space="preserve">oversees the </w:t>
      </w:r>
      <w:r w:rsidR="00F72A84" w:rsidRPr="00D07F3F">
        <w:rPr>
          <w:rFonts w:cs="Arial"/>
        </w:rPr>
        <w:t>department</w:t>
      </w:r>
      <w:r w:rsidRPr="00D07F3F">
        <w:rPr>
          <w:rFonts w:cs="Arial"/>
        </w:rPr>
        <w:t>'s system of risk management</w:t>
      </w:r>
      <w:r w:rsidR="00884EEB" w:rsidRPr="00D07F3F">
        <w:rPr>
          <w:rFonts w:cs="Arial"/>
        </w:rPr>
        <w:t xml:space="preserve"> and </w:t>
      </w:r>
      <w:r w:rsidRPr="00D07F3F">
        <w:rPr>
          <w:rFonts w:cs="Arial"/>
        </w:rPr>
        <w:t>internal controls, including fraud and corruption risk, and provides independent advice to the Secretary on their appropriateness</w:t>
      </w:r>
      <w:r w:rsidR="00717B4B" w:rsidRPr="00D07F3F">
        <w:rPr>
          <w:rFonts w:cs="Arial"/>
        </w:rPr>
        <w:t xml:space="preserve">, in accordance with section 45 of the </w:t>
      </w:r>
      <w:r w:rsidR="008C2330" w:rsidRPr="00D07F3F">
        <w:rPr>
          <w:rFonts w:cs="Arial"/>
        </w:rPr>
        <w:t>PGPA Act.</w:t>
      </w:r>
    </w:p>
    <w:p w14:paraId="3D62DC2E" w14:textId="717E0E5B" w:rsidR="00933FA2" w:rsidRPr="007D581B" w:rsidRDefault="006C39B4" w:rsidP="009F14FD">
      <w:pPr>
        <w:pStyle w:val="ListNumber2"/>
        <w:rPr>
          <w:rFonts w:cs="Arial"/>
          <w:color w:val="auto"/>
          <w:lang w:eastAsia="en-AU"/>
        </w:rPr>
      </w:pPr>
      <w:r w:rsidRPr="00D07F3F">
        <w:rPr>
          <w:rFonts w:cs="Arial"/>
        </w:rPr>
        <w:t xml:space="preserve">The </w:t>
      </w:r>
      <w:r w:rsidR="009413E1" w:rsidRPr="007D581B">
        <w:rPr>
          <w:rFonts w:cs="Arial"/>
          <w:b/>
          <w:color w:val="2A7187" w:themeColor="accent5" w:themeShade="BF"/>
          <w:lang w:eastAsia="en-AU"/>
        </w:rPr>
        <w:t>Executive Committee</w:t>
      </w:r>
      <w:r w:rsidR="00946A57" w:rsidRPr="007D581B">
        <w:rPr>
          <w:rFonts w:cs="Arial"/>
          <w:b/>
          <w:color w:val="2A7187" w:themeColor="accent5" w:themeShade="BF"/>
          <w:lang w:eastAsia="en-AU"/>
        </w:rPr>
        <w:t xml:space="preserve"> (EC)</w:t>
      </w:r>
      <w:r w:rsidR="009413E1" w:rsidRPr="007D581B">
        <w:rPr>
          <w:rFonts w:cs="Arial"/>
          <w:color w:val="2A7187" w:themeColor="accent5" w:themeShade="BF"/>
          <w:lang w:eastAsia="en-AU"/>
        </w:rPr>
        <w:t xml:space="preserve"> </w:t>
      </w:r>
      <w:r w:rsidR="00816AA4" w:rsidRPr="007D581B">
        <w:rPr>
          <w:rFonts w:cs="Arial"/>
          <w:color w:val="auto"/>
          <w:lang w:eastAsia="en-AU"/>
        </w:rPr>
        <w:t xml:space="preserve">provides strategic direction and leadership to achieve the outcomes set out in the </w:t>
      </w:r>
      <w:r w:rsidR="00F72A84" w:rsidRPr="007D581B">
        <w:rPr>
          <w:rFonts w:cs="Arial"/>
          <w:color w:val="auto"/>
          <w:lang w:eastAsia="en-AU"/>
        </w:rPr>
        <w:t>department</w:t>
      </w:r>
      <w:r w:rsidR="00816AA4" w:rsidRPr="007D581B">
        <w:rPr>
          <w:rFonts w:cs="Arial"/>
          <w:color w:val="auto"/>
          <w:lang w:eastAsia="en-AU"/>
        </w:rPr>
        <w:t>’s Corporate Plan and Portfolio Budget Statements</w:t>
      </w:r>
      <w:r w:rsidR="00303CBB" w:rsidRPr="007D581B">
        <w:rPr>
          <w:rFonts w:cs="Arial"/>
          <w:color w:val="358189" w:themeColor="accent2"/>
          <w:lang w:eastAsia="en-AU"/>
        </w:rPr>
        <w:t xml:space="preserve">. </w:t>
      </w:r>
      <w:r w:rsidR="00303CBB" w:rsidRPr="007D581B">
        <w:rPr>
          <w:rFonts w:cs="Arial"/>
          <w:color w:val="auto"/>
          <w:lang w:eastAsia="en-AU"/>
        </w:rPr>
        <w:t>Th</w:t>
      </w:r>
      <w:r w:rsidR="000A3F68" w:rsidRPr="007D581B">
        <w:rPr>
          <w:rFonts w:cs="Arial"/>
          <w:color w:val="auto"/>
          <w:lang w:eastAsia="en-AU"/>
        </w:rPr>
        <w:t xml:space="preserve">is Committee operates in an advisory capacity to the Secretary and </w:t>
      </w:r>
      <w:r w:rsidR="00933FA2" w:rsidRPr="007D581B">
        <w:rPr>
          <w:rFonts w:cs="Arial"/>
          <w:color w:val="auto"/>
          <w:lang w:eastAsia="en-AU"/>
        </w:rPr>
        <w:t>promotes effective decision making and governance</w:t>
      </w:r>
      <w:r w:rsidR="00264127" w:rsidRPr="007D581B">
        <w:rPr>
          <w:rFonts w:cs="Arial"/>
          <w:color w:val="auto"/>
          <w:lang w:eastAsia="en-AU"/>
        </w:rPr>
        <w:t xml:space="preserve">, </w:t>
      </w:r>
      <w:r w:rsidR="00BD1151" w:rsidRPr="007D581B">
        <w:rPr>
          <w:rFonts w:cs="Arial"/>
          <w:color w:val="auto"/>
          <w:lang w:eastAsia="en-AU"/>
        </w:rPr>
        <w:t>monitoring and addressing of departmental performance and risks</w:t>
      </w:r>
      <w:r w:rsidR="00982127" w:rsidRPr="007D581B">
        <w:rPr>
          <w:rFonts w:cs="Arial"/>
          <w:color w:val="auto"/>
          <w:lang w:eastAsia="en-AU"/>
        </w:rPr>
        <w:t>, shaping of organisational culture and capability development,</w:t>
      </w:r>
      <w:r w:rsidR="00BD1151" w:rsidRPr="007D581B">
        <w:rPr>
          <w:rFonts w:cs="Arial"/>
          <w:color w:val="auto"/>
          <w:lang w:eastAsia="en-AU"/>
        </w:rPr>
        <w:t xml:space="preserve"> and strategic advice on recommendations of the </w:t>
      </w:r>
      <w:r w:rsidR="00F72A84" w:rsidRPr="007D581B">
        <w:rPr>
          <w:rFonts w:cs="Arial"/>
          <w:color w:val="auto"/>
          <w:lang w:eastAsia="en-AU"/>
        </w:rPr>
        <w:t>department</w:t>
      </w:r>
      <w:r w:rsidR="00BD1151" w:rsidRPr="007D581B">
        <w:rPr>
          <w:rFonts w:cs="Arial"/>
          <w:color w:val="auto"/>
          <w:lang w:eastAsia="en-AU"/>
        </w:rPr>
        <w:t>’s senior governance committees.</w:t>
      </w:r>
    </w:p>
    <w:p w14:paraId="6D440F8E" w14:textId="59B5C57A" w:rsidR="00643614" w:rsidRPr="00D07F3F" w:rsidRDefault="00A25EEF" w:rsidP="009F14FD">
      <w:pPr>
        <w:pStyle w:val="ListNumber2"/>
        <w:rPr>
          <w:rFonts w:cs="Arial"/>
        </w:rPr>
      </w:pPr>
      <w:r w:rsidRPr="00D07F3F">
        <w:rPr>
          <w:rFonts w:cs="Arial"/>
        </w:rPr>
        <w:t xml:space="preserve">The </w:t>
      </w:r>
      <w:r w:rsidR="00643614" w:rsidRPr="007D581B">
        <w:rPr>
          <w:rFonts w:cs="Arial"/>
          <w:b/>
          <w:color w:val="2A7187" w:themeColor="accent5" w:themeShade="BF"/>
          <w:lang w:eastAsia="en-AU"/>
        </w:rPr>
        <w:t>Security Workforce Integrity Assurance Committee</w:t>
      </w:r>
      <w:r w:rsidR="00946A57" w:rsidRPr="007D581B">
        <w:rPr>
          <w:rFonts w:cs="Arial"/>
          <w:b/>
          <w:color w:val="2A7187" w:themeColor="accent5" w:themeShade="BF"/>
          <w:lang w:eastAsia="en-AU"/>
        </w:rPr>
        <w:t xml:space="preserve"> (SWIAC)</w:t>
      </w:r>
      <w:r w:rsidR="00643614" w:rsidRPr="007D581B">
        <w:rPr>
          <w:rFonts w:cs="Arial"/>
          <w:color w:val="2A7187" w:themeColor="accent5" w:themeShade="BF"/>
          <w:lang w:eastAsia="en-AU"/>
        </w:rPr>
        <w:t xml:space="preserve"> </w:t>
      </w:r>
      <w:r w:rsidR="00643614" w:rsidRPr="007D581B">
        <w:rPr>
          <w:rFonts w:cs="Arial"/>
          <w:lang w:eastAsia="en-AU"/>
        </w:rPr>
        <w:t>p</w:t>
      </w:r>
      <w:r w:rsidR="00643614" w:rsidRPr="00D07F3F">
        <w:rPr>
          <w:rFonts w:cs="Arial"/>
        </w:rPr>
        <w:t xml:space="preserve">rovides assurance to the </w:t>
      </w:r>
      <w:r w:rsidR="00165F8A" w:rsidRPr="00D07F3F">
        <w:rPr>
          <w:rFonts w:cs="Arial"/>
        </w:rPr>
        <w:t>EC</w:t>
      </w:r>
      <w:r w:rsidR="00643614" w:rsidRPr="00D07F3F">
        <w:rPr>
          <w:rFonts w:cs="Arial"/>
        </w:rPr>
        <w:t xml:space="preserve"> and the Secretary that security and workforce integrity risks are being efficiently and effectively managed. Th</w:t>
      </w:r>
      <w:r w:rsidRPr="00D07F3F">
        <w:rPr>
          <w:rFonts w:cs="Arial"/>
        </w:rPr>
        <w:t xml:space="preserve">is committee also </w:t>
      </w:r>
      <w:r w:rsidR="00643614" w:rsidRPr="00D07F3F">
        <w:rPr>
          <w:rFonts w:cs="Arial"/>
        </w:rPr>
        <w:t xml:space="preserve">provides strategic oversight of security and integrity related business activities by fostering support to achieve positive security and integrity outcomes. </w:t>
      </w:r>
    </w:p>
    <w:p w14:paraId="374CB262" w14:textId="77777777" w:rsidR="00FA5BBC" w:rsidRPr="00F75C92" w:rsidRDefault="00FA5BBC" w:rsidP="00FA5BBC">
      <w:pPr>
        <w:pStyle w:val="ListNumber2"/>
        <w:rPr>
          <w:rFonts w:cs="Arial"/>
          <w:szCs w:val="22"/>
        </w:rPr>
      </w:pPr>
      <w:r w:rsidRPr="00F75C92">
        <w:rPr>
          <w:rFonts w:cs="Arial"/>
          <w:b/>
          <w:color w:val="2A7187" w:themeColor="accent5" w:themeShade="BF"/>
          <w:szCs w:val="22"/>
          <w:lang w:eastAsia="en-AU"/>
        </w:rPr>
        <w:t xml:space="preserve">Public Interest Disclosure </w:t>
      </w:r>
      <w:r>
        <w:rPr>
          <w:rFonts w:cs="Arial"/>
          <w:b/>
          <w:color w:val="2A7187" w:themeColor="accent5" w:themeShade="BF"/>
          <w:szCs w:val="22"/>
          <w:lang w:eastAsia="en-AU"/>
        </w:rPr>
        <w:t xml:space="preserve">(PID) </w:t>
      </w:r>
      <w:r w:rsidRPr="00F75C92">
        <w:rPr>
          <w:rFonts w:cs="Arial"/>
          <w:b/>
          <w:color w:val="2A7187" w:themeColor="accent5" w:themeShade="BF"/>
          <w:szCs w:val="22"/>
          <w:lang w:eastAsia="en-AU"/>
        </w:rPr>
        <w:t>Officers</w:t>
      </w:r>
      <w:r>
        <w:rPr>
          <w:rFonts w:cs="Arial"/>
          <w:szCs w:val="22"/>
        </w:rPr>
        <w:t xml:space="preserve"> </w:t>
      </w:r>
      <w:proofErr w:type="gramStart"/>
      <w:r>
        <w:rPr>
          <w:rFonts w:cs="Arial"/>
          <w:szCs w:val="22"/>
        </w:rPr>
        <w:t>i</w:t>
      </w:r>
      <w:r w:rsidRPr="00C65666">
        <w:rPr>
          <w:rFonts w:cs="Arial"/>
          <w:szCs w:val="22"/>
        </w:rPr>
        <w:t>n the course of</w:t>
      </w:r>
      <w:proofErr w:type="gramEnd"/>
      <w:r w:rsidRPr="00C65666">
        <w:rPr>
          <w:rFonts w:cs="Arial"/>
          <w:szCs w:val="22"/>
        </w:rPr>
        <w:t xml:space="preserve"> performing function</w:t>
      </w:r>
      <w:r>
        <w:rPr>
          <w:rFonts w:cs="Arial"/>
          <w:szCs w:val="22"/>
        </w:rPr>
        <w:t>s</w:t>
      </w:r>
      <w:r w:rsidRPr="00C65666">
        <w:rPr>
          <w:rFonts w:cs="Arial"/>
          <w:szCs w:val="22"/>
        </w:rPr>
        <w:t xml:space="preserve"> under the </w:t>
      </w:r>
      <w:r w:rsidRPr="00F75C92">
        <w:rPr>
          <w:rFonts w:cs="Arial"/>
          <w:i/>
          <w:iCs/>
          <w:szCs w:val="22"/>
        </w:rPr>
        <w:t>Public Interest Disclosure Act 2013</w:t>
      </w:r>
      <w:r w:rsidRPr="00C65666">
        <w:rPr>
          <w:rFonts w:cs="Arial"/>
          <w:szCs w:val="22"/>
        </w:rPr>
        <w:t xml:space="preserve">, must refer suspected serious or systemic corrupt conduct involving current or former departmental officials to the </w:t>
      </w:r>
      <w:r>
        <w:rPr>
          <w:rFonts w:cs="Arial"/>
          <w:szCs w:val="22"/>
        </w:rPr>
        <w:t>NACC</w:t>
      </w:r>
      <w:r w:rsidRPr="00C65666">
        <w:rPr>
          <w:rFonts w:cs="Arial"/>
          <w:szCs w:val="22"/>
        </w:rPr>
        <w:t>.</w:t>
      </w:r>
    </w:p>
    <w:p w14:paraId="7384F123" w14:textId="3E358E15" w:rsidR="009433B1" w:rsidRPr="00D07F3F" w:rsidRDefault="00A80416" w:rsidP="009F14FD">
      <w:pPr>
        <w:pStyle w:val="ListNumber2"/>
        <w:rPr>
          <w:rFonts w:cs="Arial"/>
          <w:szCs w:val="22"/>
        </w:rPr>
      </w:pPr>
      <w:r w:rsidRPr="007D581B">
        <w:rPr>
          <w:rFonts w:cs="Arial"/>
          <w:b/>
          <w:color w:val="2A7187" w:themeColor="accent5" w:themeShade="BF"/>
          <w:szCs w:val="22"/>
          <w:lang w:eastAsia="en-AU"/>
        </w:rPr>
        <w:t>All Senior Executive Officers</w:t>
      </w:r>
      <w:r w:rsidR="006D718E" w:rsidRPr="007D581B">
        <w:rPr>
          <w:rFonts w:cs="Arial"/>
          <w:b/>
          <w:color w:val="2A7187" w:themeColor="accent5" w:themeShade="BF"/>
          <w:szCs w:val="22"/>
          <w:lang w:eastAsia="en-AU"/>
        </w:rPr>
        <w:t xml:space="preserve"> </w:t>
      </w:r>
      <w:r w:rsidR="00623AFA" w:rsidRPr="007D581B">
        <w:rPr>
          <w:rFonts w:cs="Arial"/>
          <w:b/>
          <w:color w:val="2A7187" w:themeColor="accent5" w:themeShade="BF"/>
          <w:szCs w:val="22"/>
          <w:lang w:eastAsia="en-AU"/>
        </w:rPr>
        <w:t xml:space="preserve">and </w:t>
      </w:r>
      <w:r w:rsidR="006E5D3A">
        <w:rPr>
          <w:rFonts w:cs="Arial"/>
          <w:b/>
          <w:color w:val="2A7187" w:themeColor="accent5" w:themeShade="BF"/>
          <w:szCs w:val="22"/>
          <w:lang w:eastAsia="en-AU"/>
        </w:rPr>
        <w:t>m</w:t>
      </w:r>
      <w:r w:rsidR="00623AFA" w:rsidRPr="007D581B">
        <w:rPr>
          <w:rFonts w:cs="Arial"/>
          <w:b/>
          <w:color w:val="2A7187" w:themeColor="accent5" w:themeShade="BF"/>
          <w:szCs w:val="22"/>
          <w:lang w:eastAsia="en-AU"/>
        </w:rPr>
        <w:t xml:space="preserve">anagers </w:t>
      </w:r>
      <w:r w:rsidR="00A11160" w:rsidRPr="00D07F3F">
        <w:rPr>
          <w:rFonts w:cs="Arial"/>
          <w:szCs w:val="22"/>
        </w:rPr>
        <w:t>are r</w:t>
      </w:r>
      <w:r w:rsidRPr="00D07F3F">
        <w:rPr>
          <w:rFonts w:cs="Arial"/>
          <w:szCs w:val="22"/>
        </w:rPr>
        <w:t>esponsible for leading the establishment and maintenance of an ethical culture within their business areas, together with the implementation and operation of governance arrangements. This include</w:t>
      </w:r>
      <w:r w:rsidR="009433B1" w:rsidRPr="00D07F3F">
        <w:rPr>
          <w:rFonts w:cs="Arial"/>
          <w:szCs w:val="22"/>
        </w:rPr>
        <w:t>s:</w:t>
      </w:r>
    </w:p>
    <w:p w14:paraId="5E0F9E89" w14:textId="77777777" w:rsidR="00640857" w:rsidRPr="00D07F3F" w:rsidRDefault="00A80416" w:rsidP="009F14FD">
      <w:pPr>
        <w:pStyle w:val="ListBullet"/>
        <w:numPr>
          <w:ilvl w:val="1"/>
          <w:numId w:val="15"/>
        </w:numPr>
        <w:tabs>
          <w:tab w:val="clear" w:pos="680"/>
          <w:tab w:val="left" w:pos="426"/>
          <w:tab w:val="left" w:pos="8364"/>
        </w:tabs>
        <w:rPr>
          <w:rFonts w:cs="Arial"/>
        </w:rPr>
      </w:pPr>
      <w:r w:rsidRPr="00D07F3F">
        <w:rPr>
          <w:rFonts w:cs="Arial"/>
        </w:rPr>
        <w:t>ensuring that risks of fraud and corruption are considered in the planning and development of programs and the conduct of activities under their control</w:t>
      </w:r>
    </w:p>
    <w:p w14:paraId="3EDA9FC2" w14:textId="1CD0294A" w:rsidR="0001087D" w:rsidRPr="00D07F3F" w:rsidRDefault="00A80416" w:rsidP="009F14FD">
      <w:pPr>
        <w:pStyle w:val="ListBullet"/>
        <w:numPr>
          <w:ilvl w:val="1"/>
          <w:numId w:val="15"/>
        </w:numPr>
        <w:tabs>
          <w:tab w:val="clear" w:pos="680"/>
          <w:tab w:val="left" w:pos="426"/>
          <w:tab w:val="left" w:pos="8364"/>
        </w:tabs>
        <w:rPr>
          <w:rFonts w:cs="Arial"/>
        </w:rPr>
      </w:pPr>
      <w:r w:rsidRPr="00D07F3F">
        <w:rPr>
          <w:rFonts w:cs="Arial"/>
        </w:rPr>
        <w:t xml:space="preserve">ensuring their staff understand and comply with relevant legislation, regulations, </w:t>
      </w:r>
      <w:r w:rsidR="000B6AD9" w:rsidRPr="00D07F3F">
        <w:rPr>
          <w:rFonts w:cs="Arial"/>
        </w:rPr>
        <w:t>procedures,</w:t>
      </w:r>
      <w:r w:rsidRPr="00D07F3F">
        <w:rPr>
          <w:rFonts w:cs="Arial"/>
        </w:rPr>
        <w:t xml:space="preserve"> and policies</w:t>
      </w:r>
      <w:r w:rsidR="009D4E6F" w:rsidRPr="00D07F3F">
        <w:rPr>
          <w:rFonts w:cs="Arial"/>
        </w:rPr>
        <w:t xml:space="preserve">. </w:t>
      </w:r>
      <w:r w:rsidR="00DE15A4" w:rsidRPr="00D07F3F">
        <w:rPr>
          <w:rFonts w:cs="Arial"/>
        </w:rPr>
        <w:t xml:space="preserve">Examples are </w:t>
      </w:r>
      <w:r w:rsidRPr="00D07F3F">
        <w:rPr>
          <w:rFonts w:cs="Arial"/>
        </w:rPr>
        <w:t>completing all mandatory eLearning essentials modules</w:t>
      </w:r>
      <w:r w:rsidR="009D4E6F" w:rsidRPr="00D07F3F">
        <w:rPr>
          <w:rFonts w:cs="Arial"/>
        </w:rPr>
        <w:t xml:space="preserve"> and </w:t>
      </w:r>
      <w:r w:rsidR="00DE15A4" w:rsidRPr="00D07F3F">
        <w:rPr>
          <w:rFonts w:cs="Arial"/>
        </w:rPr>
        <w:t>declarations of conflicts of interest.</w:t>
      </w:r>
    </w:p>
    <w:p w14:paraId="752F2EB1" w14:textId="69184113" w:rsidR="002C7394" w:rsidRPr="005D6FF6" w:rsidRDefault="00A80416" w:rsidP="005D6FF6">
      <w:pPr>
        <w:pStyle w:val="ListBullet"/>
        <w:numPr>
          <w:ilvl w:val="1"/>
          <w:numId w:val="15"/>
        </w:numPr>
        <w:tabs>
          <w:tab w:val="clear" w:pos="680"/>
          <w:tab w:val="left" w:pos="426"/>
          <w:tab w:val="left" w:pos="8364"/>
        </w:tabs>
        <w:rPr>
          <w:rFonts w:cs="Arial"/>
          <w:b/>
          <w:bCs/>
          <w:color w:val="3F4A75"/>
          <w:kern w:val="28"/>
          <w:sz w:val="32"/>
        </w:rPr>
      </w:pPr>
      <w:r w:rsidRPr="00D07F3F">
        <w:rPr>
          <w:rFonts w:cs="Arial"/>
        </w:rPr>
        <w:t>assisting</w:t>
      </w:r>
      <w:r w:rsidRPr="00D07F3F">
        <w:rPr>
          <w:rFonts w:cs="Arial"/>
          <w:szCs w:val="22"/>
        </w:rPr>
        <w:t xml:space="preserve"> relevant officials to conduct fraud control activities including fraud risk assessments.</w:t>
      </w:r>
      <w:r w:rsidR="00B059E8" w:rsidRPr="00D07F3F">
        <w:rPr>
          <w:rFonts w:cs="Arial"/>
          <w:szCs w:val="22"/>
        </w:rPr>
        <w:t xml:space="preserve"> </w:t>
      </w:r>
      <w:r w:rsidR="002C7394" w:rsidRPr="005D6FF6">
        <w:rPr>
          <w:sz w:val="32"/>
        </w:rPr>
        <w:br w:type="page"/>
      </w:r>
    </w:p>
    <w:p w14:paraId="101086F8" w14:textId="2CC3F8DE" w:rsidR="00350F05" w:rsidRPr="007D581B" w:rsidRDefault="00FD7469" w:rsidP="009F14FD">
      <w:pPr>
        <w:pStyle w:val="Heading1"/>
        <w:rPr>
          <w:sz w:val="32"/>
          <w:szCs w:val="24"/>
        </w:rPr>
      </w:pPr>
      <w:r w:rsidRPr="007D581B">
        <w:rPr>
          <w:sz w:val="32"/>
          <w:szCs w:val="24"/>
        </w:rPr>
        <w:lastRenderedPageBreak/>
        <w:t xml:space="preserve">Enterprise </w:t>
      </w:r>
      <w:r w:rsidR="000D237B" w:rsidRPr="007D581B">
        <w:rPr>
          <w:sz w:val="32"/>
          <w:szCs w:val="24"/>
        </w:rPr>
        <w:t>f</w:t>
      </w:r>
      <w:r w:rsidR="00350F05" w:rsidRPr="007D581B">
        <w:rPr>
          <w:sz w:val="32"/>
          <w:szCs w:val="24"/>
        </w:rPr>
        <w:t xml:space="preserve">raud and </w:t>
      </w:r>
      <w:r w:rsidR="000D237B" w:rsidRPr="007D581B">
        <w:rPr>
          <w:sz w:val="32"/>
          <w:szCs w:val="24"/>
        </w:rPr>
        <w:t>c</w:t>
      </w:r>
      <w:r w:rsidR="00350F05" w:rsidRPr="007D581B">
        <w:rPr>
          <w:sz w:val="32"/>
          <w:szCs w:val="24"/>
        </w:rPr>
        <w:t>orruption risk</w:t>
      </w:r>
      <w:r w:rsidR="000D237B" w:rsidRPr="007D581B">
        <w:rPr>
          <w:sz w:val="32"/>
          <w:szCs w:val="24"/>
        </w:rPr>
        <w:t>s</w:t>
      </w:r>
    </w:p>
    <w:p w14:paraId="385FF070" w14:textId="20FE67E1" w:rsidR="00174486" w:rsidRPr="00D07F3F" w:rsidRDefault="00BF1949" w:rsidP="00DE15A4">
      <w:pPr>
        <w:tabs>
          <w:tab w:val="left" w:pos="426"/>
          <w:tab w:val="left" w:pos="8364"/>
        </w:tabs>
        <w:rPr>
          <w:rFonts w:cs="Arial"/>
        </w:rPr>
      </w:pPr>
      <w:r w:rsidRPr="00D07F3F">
        <w:rPr>
          <w:rFonts w:cs="Arial"/>
        </w:rPr>
        <w:t>A</w:t>
      </w:r>
      <w:r w:rsidR="00131546" w:rsidRPr="00D07F3F">
        <w:rPr>
          <w:rFonts w:cs="Arial"/>
        </w:rPr>
        <w:t xml:space="preserve">n </w:t>
      </w:r>
      <w:r w:rsidR="000F3B90" w:rsidRPr="00D07F3F">
        <w:rPr>
          <w:rFonts w:cs="Arial"/>
        </w:rPr>
        <w:t>E</w:t>
      </w:r>
      <w:r w:rsidR="00131546" w:rsidRPr="00D07F3F">
        <w:rPr>
          <w:rFonts w:cs="Arial"/>
        </w:rPr>
        <w:t xml:space="preserve">nterprise </w:t>
      </w:r>
      <w:r w:rsidR="000F3B90" w:rsidRPr="00D07F3F">
        <w:rPr>
          <w:rFonts w:cs="Arial"/>
        </w:rPr>
        <w:t>Fr</w:t>
      </w:r>
      <w:r w:rsidR="00131546" w:rsidRPr="00D07F3F">
        <w:rPr>
          <w:rFonts w:cs="Arial"/>
        </w:rPr>
        <w:t xml:space="preserve">aud and </w:t>
      </w:r>
      <w:r w:rsidR="000F3B90" w:rsidRPr="00D07F3F">
        <w:rPr>
          <w:rFonts w:cs="Arial"/>
        </w:rPr>
        <w:t>C</w:t>
      </w:r>
      <w:r w:rsidR="00131546" w:rsidRPr="00D07F3F">
        <w:rPr>
          <w:rFonts w:cs="Arial"/>
        </w:rPr>
        <w:t xml:space="preserve">orruption </w:t>
      </w:r>
      <w:r w:rsidR="000F3B90" w:rsidRPr="00D07F3F">
        <w:rPr>
          <w:rFonts w:cs="Arial"/>
        </w:rPr>
        <w:t>R</w:t>
      </w:r>
      <w:r w:rsidR="00131546" w:rsidRPr="00D07F3F">
        <w:rPr>
          <w:rFonts w:cs="Arial"/>
        </w:rPr>
        <w:t xml:space="preserve">isk </w:t>
      </w:r>
      <w:r w:rsidR="000F3B90" w:rsidRPr="00D07F3F">
        <w:rPr>
          <w:rFonts w:cs="Arial"/>
        </w:rPr>
        <w:t xml:space="preserve">(EFCR) </w:t>
      </w:r>
      <w:r w:rsidR="00131546" w:rsidRPr="00D07F3F">
        <w:rPr>
          <w:rFonts w:cs="Arial"/>
        </w:rPr>
        <w:t xml:space="preserve">assessment is </w:t>
      </w:r>
      <w:r w:rsidR="008C3AE1" w:rsidRPr="00D07F3F">
        <w:rPr>
          <w:rFonts w:cs="Arial"/>
        </w:rPr>
        <w:t xml:space="preserve">reviewed or </w:t>
      </w:r>
      <w:r w:rsidR="00131546" w:rsidRPr="00D07F3F">
        <w:rPr>
          <w:rFonts w:cs="Arial"/>
        </w:rPr>
        <w:t xml:space="preserve">conducted </w:t>
      </w:r>
      <w:r w:rsidR="008C3AE1" w:rsidRPr="00D07F3F">
        <w:rPr>
          <w:rFonts w:cs="Arial"/>
        </w:rPr>
        <w:t xml:space="preserve">at least </w:t>
      </w:r>
      <w:r w:rsidR="00BD1242" w:rsidRPr="00D07F3F">
        <w:rPr>
          <w:rFonts w:cs="Arial"/>
        </w:rPr>
        <w:t>ever</w:t>
      </w:r>
      <w:r w:rsidR="00131546" w:rsidRPr="00D07F3F">
        <w:rPr>
          <w:rFonts w:cs="Arial"/>
        </w:rPr>
        <w:t xml:space="preserve">y </w:t>
      </w:r>
      <w:r w:rsidR="00174486" w:rsidRPr="00D07F3F">
        <w:rPr>
          <w:rFonts w:cs="Arial"/>
        </w:rPr>
        <w:t>2</w:t>
      </w:r>
      <w:r w:rsidR="00131546" w:rsidRPr="00D07F3F">
        <w:rPr>
          <w:rFonts w:cs="Arial"/>
        </w:rPr>
        <w:t xml:space="preserve"> </w:t>
      </w:r>
      <w:r w:rsidR="00065E70" w:rsidRPr="00D07F3F">
        <w:rPr>
          <w:rFonts w:cs="Arial"/>
        </w:rPr>
        <w:t>years and</w:t>
      </w:r>
      <w:r w:rsidR="002C22E2" w:rsidRPr="00D07F3F">
        <w:rPr>
          <w:rFonts w:cs="Arial"/>
        </w:rPr>
        <w:t xml:space="preserve"> is</w:t>
      </w:r>
      <w:r w:rsidR="0084001F" w:rsidRPr="00D07F3F">
        <w:rPr>
          <w:rFonts w:cs="Arial"/>
        </w:rPr>
        <w:t xml:space="preserve"> conducted in accordance with the Commonwealth </w:t>
      </w:r>
      <w:r w:rsidR="00857F92" w:rsidRPr="00D07F3F">
        <w:rPr>
          <w:rFonts w:cs="Arial"/>
        </w:rPr>
        <w:t>F</w:t>
      </w:r>
      <w:r w:rsidR="0084001F" w:rsidRPr="00D07F3F">
        <w:rPr>
          <w:rFonts w:cs="Arial"/>
        </w:rPr>
        <w:t xml:space="preserve">raud Control Framework and the AS/NZ ISO standards. </w:t>
      </w:r>
      <w:r w:rsidR="00F061A0" w:rsidRPr="00D07F3F">
        <w:rPr>
          <w:rFonts w:cs="Arial"/>
        </w:rPr>
        <w:t xml:space="preserve">The </w:t>
      </w:r>
      <w:r w:rsidR="002D1556" w:rsidRPr="00D07F3F">
        <w:rPr>
          <w:rFonts w:cs="Arial"/>
        </w:rPr>
        <w:t>department’s EFCRs are outlined below:</w:t>
      </w:r>
    </w:p>
    <w:tbl>
      <w:tblPr>
        <w:tblStyle w:val="DepartmentofHealthtable"/>
        <w:tblW w:w="9356" w:type="dxa"/>
        <w:tblLayout w:type="fixed"/>
        <w:tblLook w:val="04A0" w:firstRow="1" w:lastRow="0" w:firstColumn="1" w:lastColumn="0" w:noHBand="0" w:noVBand="1"/>
        <w:tblCaption w:val="Fraud and corruption risk descriptions"/>
        <w:tblDescription w:val="This is a table with five columns and thirteen rows. The header row lists the columns. The first column is the risk number, the second column is the risk name, the third column is the risk score, the fourth column is the risk rating, the fifth column is the risk description. The rows list the twelve Enterprise Fraud and Corruption Risks. "/>
      </w:tblPr>
      <w:tblGrid>
        <w:gridCol w:w="3119"/>
        <w:gridCol w:w="6237"/>
      </w:tblGrid>
      <w:tr w:rsidR="000A4E72" w:rsidRPr="007D581B" w14:paraId="554D65C8" w14:textId="77777777" w:rsidTr="00D07F3F">
        <w:trPr>
          <w:cnfStyle w:val="100000000000" w:firstRow="1" w:lastRow="0" w:firstColumn="0" w:lastColumn="0" w:oddVBand="0" w:evenVBand="0" w:oddHBand="0" w:evenHBand="0" w:firstRowFirstColumn="0" w:firstRowLastColumn="0" w:lastRowFirstColumn="0" w:lastRowLastColumn="0"/>
          <w:trHeight w:val="451"/>
          <w:tblHead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single" w:sz="4" w:space="0" w:color="auto"/>
              <w:right w:val="nil"/>
            </w:tcBorders>
          </w:tcPr>
          <w:p w14:paraId="2608D65F" w14:textId="77777777" w:rsidR="000A4E72" w:rsidRPr="00D07F3F" w:rsidRDefault="000A4E72" w:rsidP="00DE15A4">
            <w:pPr>
              <w:pStyle w:val="TableHeader"/>
              <w:tabs>
                <w:tab w:val="left" w:pos="426"/>
                <w:tab w:val="left" w:pos="8364"/>
              </w:tabs>
              <w:rPr>
                <w:rFonts w:cs="Arial"/>
                <w:sz w:val="20"/>
                <w:szCs w:val="20"/>
              </w:rPr>
            </w:pPr>
            <w:r w:rsidRPr="00D07F3F">
              <w:rPr>
                <w:rFonts w:cs="Arial"/>
                <w:sz w:val="20"/>
                <w:szCs w:val="20"/>
              </w:rPr>
              <w:t>Risk</w:t>
            </w:r>
          </w:p>
        </w:tc>
        <w:tc>
          <w:tcPr>
            <w:tcW w:w="6237" w:type="dxa"/>
            <w:tcBorders>
              <w:top w:val="nil"/>
              <w:left w:val="nil"/>
              <w:bottom w:val="single" w:sz="4" w:space="0" w:color="auto"/>
              <w:right w:val="nil"/>
            </w:tcBorders>
          </w:tcPr>
          <w:p w14:paraId="04E160DB" w14:textId="6BD2E43C" w:rsidR="000A4E72" w:rsidRPr="00D07F3F" w:rsidRDefault="007A5C9C" w:rsidP="00DE15A4">
            <w:pPr>
              <w:pStyle w:val="TableHeader"/>
              <w:tabs>
                <w:tab w:val="left" w:pos="426"/>
                <w:tab w:val="left" w:pos="8364"/>
              </w:tabs>
              <w:cnfStyle w:val="100000000000" w:firstRow="1" w:lastRow="0" w:firstColumn="0" w:lastColumn="0" w:oddVBand="0" w:evenVBand="0" w:oddHBand="0" w:evenHBand="0" w:firstRowFirstColumn="0" w:firstRowLastColumn="0" w:lastRowFirstColumn="0" w:lastRowLastColumn="0"/>
              <w:rPr>
                <w:rFonts w:cs="Arial"/>
                <w:sz w:val="20"/>
                <w:szCs w:val="20"/>
              </w:rPr>
            </w:pPr>
            <w:r w:rsidRPr="00D07F3F">
              <w:rPr>
                <w:rFonts w:cs="Arial"/>
                <w:sz w:val="20"/>
                <w:szCs w:val="20"/>
              </w:rPr>
              <w:t>Examples</w:t>
            </w:r>
          </w:p>
        </w:tc>
      </w:tr>
      <w:tr w:rsidR="000A4E72" w:rsidRPr="007D581B" w14:paraId="7551B766" w14:textId="77777777" w:rsidTr="00D07F3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50A7A8D9"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Grant funding</w:t>
            </w:r>
          </w:p>
        </w:tc>
        <w:tc>
          <w:tcPr>
            <w:tcW w:w="6237" w:type="dxa"/>
            <w:tcBorders>
              <w:top w:val="single" w:sz="4" w:space="0" w:color="auto"/>
              <w:left w:val="nil"/>
              <w:bottom w:val="single" w:sz="4" w:space="0" w:color="auto"/>
              <w:right w:val="nil"/>
            </w:tcBorders>
          </w:tcPr>
          <w:p w14:paraId="2812D3BD" w14:textId="77777777" w:rsidR="000A4E72" w:rsidRPr="00D07F3F" w:rsidRDefault="000A4E72" w:rsidP="00DE15A4">
            <w:pPr>
              <w:pStyle w:val="Tabletextright0"/>
              <w:tabs>
                <w:tab w:val="left" w:pos="426"/>
                <w:tab w:val="left" w:pos="8364"/>
              </w:tabs>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3F">
              <w:rPr>
                <w:rFonts w:cs="Arial"/>
                <w:sz w:val="20"/>
                <w:szCs w:val="20"/>
              </w:rPr>
              <w:t>Grant recipients inappropriately misuse grant funding - resulting in reputation damage, negative impact on consumers and financial loss.</w:t>
            </w:r>
          </w:p>
        </w:tc>
      </w:tr>
      <w:tr w:rsidR="000A4E72" w:rsidRPr="007D581B" w14:paraId="47EF10CB" w14:textId="77777777" w:rsidTr="00D07F3F">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1F93FF74"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Provider claims</w:t>
            </w:r>
          </w:p>
        </w:tc>
        <w:tc>
          <w:tcPr>
            <w:tcW w:w="6237" w:type="dxa"/>
            <w:tcBorders>
              <w:top w:val="single" w:sz="4" w:space="0" w:color="auto"/>
              <w:left w:val="nil"/>
              <w:bottom w:val="single" w:sz="4" w:space="0" w:color="auto"/>
              <w:right w:val="nil"/>
            </w:tcBorders>
          </w:tcPr>
          <w:p w14:paraId="3CE568B7" w14:textId="77777777" w:rsidR="000A4E72" w:rsidRPr="00D07F3F" w:rsidRDefault="000A4E72" w:rsidP="00DE15A4">
            <w:pPr>
              <w:pStyle w:val="Tabletextright0"/>
              <w:tabs>
                <w:tab w:val="left" w:pos="426"/>
                <w:tab w:val="left" w:pos="8364"/>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D07F3F">
              <w:rPr>
                <w:rFonts w:cs="Arial"/>
                <w:sz w:val="20"/>
                <w:szCs w:val="20"/>
              </w:rPr>
              <w:t>Providers make false claims, resulting in a financial benefit to which they are not entitled - resulting in reputation damage and financial loss.</w:t>
            </w:r>
          </w:p>
        </w:tc>
      </w:tr>
      <w:tr w:rsidR="000A4E72" w:rsidRPr="007D581B" w14:paraId="671B0ED4" w14:textId="77777777" w:rsidTr="00D07F3F">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4E5AFBA6"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Information management</w:t>
            </w:r>
          </w:p>
        </w:tc>
        <w:tc>
          <w:tcPr>
            <w:tcW w:w="6237" w:type="dxa"/>
            <w:tcBorders>
              <w:top w:val="single" w:sz="4" w:space="0" w:color="auto"/>
              <w:left w:val="nil"/>
              <w:bottom w:val="single" w:sz="4" w:space="0" w:color="auto"/>
              <w:right w:val="nil"/>
            </w:tcBorders>
          </w:tcPr>
          <w:p w14:paraId="073DC0D3" w14:textId="7E46569E" w:rsidR="000A4E72" w:rsidRPr="00D07F3F" w:rsidRDefault="000A4E72" w:rsidP="00DE15A4">
            <w:pPr>
              <w:pStyle w:val="Tabletextright0"/>
              <w:tabs>
                <w:tab w:val="left" w:pos="426"/>
                <w:tab w:val="left" w:pos="8364"/>
              </w:tabs>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3F">
              <w:rPr>
                <w:rFonts w:cs="Arial"/>
                <w:sz w:val="20"/>
                <w:szCs w:val="20"/>
              </w:rPr>
              <w:t xml:space="preserve">Officials are offered benefits to release, sell and/or misuse data or information which may be sensitive or commercially valuable - impacting integrity of processes, reputation of the </w:t>
            </w:r>
            <w:r w:rsidR="00F72A84" w:rsidRPr="00D07F3F">
              <w:rPr>
                <w:rFonts w:cs="Arial"/>
                <w:sz w:val="20"/>
                <w:szCs w:val="20"/>
              </w:rPr>
              <w:t>department</w:t>
            </w:r>
            <w:r w:rsidRPr="00D07F3F">
              <w:rPr>
                <w:rFonts w:cs="Arial"/>
                <w:sz w:val="20"/>
                <w:szCs w:val="20"/>
              </w:rPr>
              <w:t>, financial loss and privacy.</w:t>
            </w:r>
          </w:p>
        </w:tc>
      </w:tr>
      <w:tr w:rsidR="000A4E72" w:rsidRPr="007D581B" w14:paraId="749679BE" w14:textId="77777777" w:rsidTr="00D07F3F">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7DFCF297"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Procurement processes</w:t>
            </w:r>
          </w:p>
        </w:tc>
        <w:tc>
          <w:tcPr>
            <w:tcW w:w="6237" w:type="dxa"/>
            <w:tcBorders>
              <w:top w:val="single" w:sz="4" w:space="0" w:color="auto"/>
              <w:left w:val="nil"/>
              <w:bottom w:val="single" w:sz="4" w:space="0" w:color="auto"/>
              <w:right w:val="nil"/>
            </w:tcBorders>
          </w:tcPr>
          <w:p w14:paraId="7AB45E66" w14:textId="76DB7B6B" w:rsidR="000A4E72" w:rsidRPr="00D07F3F" w:rsidRDefault="000A4E72" w:rsidP="00DE15A4">
            <w:pPr>
              <w:pStyle w:val="Tabletextright0"/>
              <w:tabs>
                <w:tab w:val="left" w:pos="426"/>
                <w:tab w:val="left" w:pos="8364"/>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D07F3F">
              <w:rPr>
                <w:rFonts w:cs="Arial"/>
                <w:sz w:val="20"/>
                <w:szCs w:val="20"/>
              </w:rPr>
              <w:t>Officials undertake procurement in a manner that benefits themselves or others - impacting value for money procurements.</w:t>
            </w:r>
          </w:p>
        </w:tc>
      </w:tr>
      <w:tr w:rsidR="000A4E72" w:rsidRPr="007D581B" w14:paraId="490B2B94" w14:textId="77777777" w:rsidTr="00D07F3F">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0AD86A56"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Identity crime</w:t>
            </w:r>
          </w:p>
        </w:tc>
        <w:tc>
          <w:tcPr>
            <w:tcW w:w="6237" w:type="dxa"/>
            <w:tcBorders>
              <w:top w:val="single" w:sz="4" w:space="0" w:color="auto"/>
              <w:left w:val="nil"/>
              <w:bottom w:val="single" w:sz="4" w:space="0" w:color="auto"/>
              <w:right w:val="nil"/>
            </w:tcBorders>
          </w:tcPr>
          <w:p w14:paraId="20B13356" w14:textId="24E34779" w:rsidR="000A4E72" w:rsidRPr="00D07F3F" w:rsidRDefault="000A4E72" w:rsidP="00DE15A4">
            <w:pPr>
              <w:pStyle w:val="Tabletextright0"/>
              <w:tabs>
                <w:tab w:val="left" w:pos="426"/>
                <w:tab w:val="left" w:pos="8364"/>
              </w:tabs>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3F">
              <w:rPr>
                <w:rFonts w:cs="Arial"/>
                <w:sz w:val="20"/>
                <w:szCs w:val="20"/>
              </w:rPr>
              <w:t xml:space="preserve">Fictional individuals/companies are created and used to obtain a grant or make a claim on funds from the </w:t>
            </w:r>
            <w:r w:rsidR="00F72A84" w:rsidRPr="00D07F3F">
              <w:rPr>
                <w:rFonts w:cs="Arial"/>
                <w:sz w:val="20"/>
                <w:szCs w:val="20"/>
              </w:rPr>
              <w:t>department</w:t>
            </w:r>
            <w:r w:rsidRPr="00D07F3F">
              <w:rPr>
                <w:rFonts w:cs="Arial"/>
                <w:sz w:val="20"/>
                <w:szCs w:val="20"/>
              </w:rPr>
              <w:t xml:space="preserve"> - resulting in reputation damage and financial loss.</w:t>
            </w:r>
          </w:p>
        </w:tc>
      </w:tr>
      <w:tr w:rsidR="000A4E72" w:rsidRPr="007D581B" w14:paraId="636FF20A" w14:textId="77777777" w:rsidTr="00D07F3F">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59AA401D"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External influence</w:t>
            </w:r>
          </w:p>
        </w:tc>
        <w:tc>
          <w:tcPr>
            <w:tcW w:w="6237" w:type="dxa"/>
            <w:tcBorders>
              <w:top w:val="single" w:sz="4" w:space="0" w:color="auto"/>
              <w:left w:val="nil"/>
              <w:bottom w:val="single" w:sz="4" w:space="0" w:color="auto"/>
              <w:right w:val="nil"/>
            </w:tcBorders>
          </w:tcPr>
          <w:p w14:paraId="58983D2E" w14:textId="22946D0D" w:rsidR="000A4E72" w:rsidRPr="00D07F3F" w:rsidRDefault="00A364A1" w:rsidP="00DE15A4">
            <w:pPr>
              <w:pStyle w:val="Tabletextright0"/>
              <w:tabs>
                <w:tab w:val="left" w:pos="426"/>
                <w:tab w:val="left" w:pos="8364"/>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D07F3F">
              <w:rPr>
                <w:rFonts w:cs="Arial"/>
                <w:sz w:val="20"/>
                <w:szCs w:val="20"/>
              </w:rPr>
              <w:t>Officials</w:t>
            </w:r>
            <w:r w:rsidR="000A4E72" w:rsidRPr="00D07F3F">
              <w:rPr>
                <w:rFonts w:cs="Arial"/>
                <w:sz w:val="20"/>
                <w:szCs w:val="20"/>
              </w:rPr>
              <w:t xml:space="preserve"> are influenced by external parties to act in a way that provides a benefit, impacting on quality and safety of goods and services and reputation of the </w:t>
            </w:r>
            <w:r w:rsidR="00F72A84" w:rsidRPr="00D07F3F">
              <w:rPr>
                <w:rFonts w:cs="Arial"/>
                <w:sz w:val="20"/>
                <w:szCs w:val="20"/>
              </w:rPr>
              <w:t>department</w:t>
            </w:r>
            <w:r w:rsidR="000A4E72" w:rsidRPr="00D07F3F">
              <w:rPr>
                <w:rFonts w:cs="Arial"/>
                <w:sz w:val="20"/>
                <w:szCs w:val="20"/>
              </w:rPr>
              <w:t>.</w:t>
            </w:r>
          </w:p>
        </w:tc>
      </w:tr>
      <w:tr w:rsidR="000A4E72" w:rsidRPr="007D581B" w14:paraId="60C37584" w14:textId="77777777" w:rsidTr="00D07F3F">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58595C46"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Regulatory approvals</w:t>
            </w:r>
          </w:p>
        </w:tc>
        <w:tc>
          <w:tcPr>
            <w:tcW w:w="6237" w:type="dxa"/>
            <w:tcBorders>
              <w:top w:val="single" w:sz="4" w:space="0" w:color="auto"/>
              <w:left w:val="nil"/>
              <w:bottom w:val="single" w:sz="4" w:space="0" w:color="auto"/>
              <w:right w:val="nil"/>
            </w:tcBorders>
            <w:vAlign w:val="center"/>
          </w:tcPr>
          <w:p w14:paraId="64EFDB78" w14:textId="0BDACDB7" w:rsidR="000A4E72" w:rsidRPr="00D07F3F" w:rsidRDefault="000A4E72" w:rsidP="00DE15A4">
            <w:pPr>
              <w:pStyle w:val="Tabletextright0"/>
              <w:tabs>
                <w:tab w:val="left" w:pos="426"/>
                <w:tab w:val="left" w:pos="8364"/>
              </w:tabs>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3F">
              <w:rPr>
                <w:rFonts w:cs="Arial"/>
                <w:sz w:val="20"/>
                <w:szCs w:val="20"/>
              </w:rPr>
              <w:t xml:space="preserve">Fraud associated with regulatory approval processes, including applying for and granting regulatory licences/approvals/clearances, and misleading information to obtain approval - impacting on quality, </w:t>
            </w:r>
            <w:proofErr w:type="gramStart"/>
            <w:r w:rsidRPr="00D07F3F">
              <w:rPr>
                <w:rFonts w:cs="Arial"/>
                <w:sz w:val="20"/>
                <w:szCs w:val="20"/>
              </w:rPr>
              <w:t>safety</w:t>
            </w:r>
            <w:proofErr w:type="gramEnd"/>
            <w:r w:rsidRPr="00D07F3F">
              <w:rPr>
                <w:rFonts w:cs="Arial"/>
                <w:sz w:val="20"/>
                <w:szCs w:val="20"/>
              </w:rPr>
              <w:t xml:space="preserve"> and reputation of the </w:t>
            </w:r>
            <w:r w:rsidR="00F72A84" w:rsidRPr="00D07F3F">
              <w:rPr>
                <w:rFonts w:cs="Arial"/>
                <w:sz w:val="20"/>
                <w:szCs w:val="20"/>
              </w:rPr>
              <w:t>department</w:t>
            </w:r>
            <w:r w:rsidRPr="00D07F3F">
              <w:rPr>
                <w:rFonts w:cs="Arial"/>
                <w:sz w:val="20"/>
                <w:szCs w:val="20"/>
              </w:rPr>
              <w:t>.</w:t>
            </w:r>
          </w:p>
        </w:tc>
      </w:tr>
      <w:tr w:rsidR="000A4E72" w:rsidRPr="007D581B" w14:paraId="5D870A6F" w14:textId="77777777" w:rsidTr="00D07F3F">
        <w:trPr>
          <w:cnfStyle w:val="000000010000" w:firstRow="0" w:lastRow="0" w:firstColumn="0" w:lastColumn="0" w:oddVBand="0" w:evenVBand="0" w:oddHBand="0" w:evenHBand="1"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60EBAA18"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Conflict of interest</w:t>
            </w:r>
          </w:p>
        </w:tc>
        <w:tc>
          <w:tcPr>
            <w:tcW w:w="6237" w:type="dxa"/>
            <w:tcBorders>
              <w:top w:val="single" w:sz="4" w:space="0" w:color="auto"/>
              <w:left w:val="nil"/>
              <w:bottom w:val="single" w:sz="4" w:space="0" w:color="auto"/>
              <w:right w:val="nil"/>
            </w:tcBorders>
          </w:tcPr>
          <w:p w14:paraId="51E1C673" w14:textId="77777777" w:rsidR="000A4E72" w:rsidRPr="00D07F3F" w:rsidRDefault="000A4E72" w:rsidP="00DE15A4">
            <w:pPr>
              <w:pStyle w:val="Tabletextright0"/>
              <w:tabs>
                <w:tab w:val="left" w:pos="426"/>
                <w:tab w:val="left" w:pos="8364"/>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D07F3F">
              <w:rPr>
                <w:rFonts w:cs="Arial"/>
                <w:sz w:val="20"/>
                <w:szCs w:val="20"/>
              </w:rPr>
              <w:t>Conflicts of interest of internal and external individuals sitting on decision-making committees. Conflict of interest in employing contractors and engaging consultants - results in departmental mistrust and loss of value for money opportunities.</w:t>
            </w:r>
          </w:p>
        </w:tc>
      </w:tr>
      <w:tr w:rsidR="000A4E72" w:rsidRPr="007D581B" w14:paraId="69C2FEA2" w14:textId="77777777" w:rsidTr="00D07F3F">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6E6BADFA" w14:textId="77777777"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Credit card and travel fraud</w:t>
            </w:r>
          </w:p>
        </w:tc>
        <w:tc>
          <w:tcPr>
            <w:tcW w:w="6237" w:type="dxa"/>
            <w:tcBorders>
              <w:top w:val="single" w:sz="4" w:space="0" w:color="auto"/>
              <w:left w:val="nil"/>
              <w:bottom w:val="single" w:sz="4" w:space="0" w:color="auto"/>
              <w:right w:val="nil"/>
            </w:tcBorders>
          </w:tcPr>
          <w:p w14:paraId="3BEF6358" w14:textId="3BAD5C35" w:rsidR="000A4E72" w:rsidRPr="00D07F3F" w:rsidRDefault="00B24EB3" w:rsidP="00DE15A4">
            <w:pPr>
              <w:pStyle w:val="Tabletextright0"/>
              <w:tabs>
                <w:tab w:val="left" w:pos="426"/>
                <w:tab w:val="left" w:pos="8364"/>
              </w:tabs>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3F">
              <w:rPr>
                <w:rFonts w:cs="Arial"/>
                <w:sz w:val="20"/>
                <w:szCs w:val="20"/>
              </w:rPr>
              <w:t>Employee misuse of corporate credit cards and cab charges, and fraudulent claims for travel reimbursements - resulting in financial loss.</w:t>
            </w:r>
          </w:p>
        </w:tc>
      </w:tr>
      <w:tr w:rsidR="000A4E72" w:rsidRPr="007D581B" w14:paraId="28ED9B1B" w14:textId="77777777" w:rsidTr="00D07F3F">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7CD82D5E" w14:textId="5732536D"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Employment-related fraud</w:t>
            </w:r>
          </w:p>
        </w:tc>
        <w:tc>
          <w:tcPr>
            <w:tcW w:w="6237" w:type="dxa"/>
            <w:tcBorders>
              <w:top w:val="single" w:sz="4" w:space="0" w:color="auto"/>
              <w:left w:val="nil"/>
              <w:bottom w:val="single" w:sz="4" w:space="0" w:color="auto"/>
              <w:right w:val="nil"/>
            </w:tcBorders>
          </w:tcPr>
          <w:p w14:paraId="0C516072" w14:textId="3EFAD353" w:rsidR="000A4E72" w:rsidRPr="00D07F3F" w:rsidRDefault="00B24EB3" w:rsidP="00DE15A4">
            <w:pPr>
              <w:pStyle w:val="Tabletextright0"/>
              <w:tabs>
                <w:tab w:val="left" w:pos="426"/>
                <w:tab w:val="left" w:pos="8364"/>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D07F3F">
              <w:rPr>
                <w:rFonts w:cs="Arial"/>
                <w:sz w:val="20"/>
                <w:szCs w:val="20"/>
              </w:rPr>
              <w:t xml:space="preserve">Misleading or false </w:t>
            </w:r>
            <w:r w:rsidR="00FB0DF6" w:rsidRPr="00D07F3F">
              <w:rPr>
                <w:rFonts w:cs="Arial"/>
                <w:sz w:val="20"/>
                <w:szCs w:val="20"/>
              </w:rPr>
              <w:t xml:space="preserve">information provided by individuals to obtain a position as </w:t>
            </w:r>
            <w:r w:rsidR="00B24A5A" w:rsidRPr="00D07F3F">
              <w:rPr>
                <w:rFonts w:cs="Arial"/>
                <w:sz w:val="20"/>
                <w:szCs w:val="20"/>
              </w:rPr>
              <w:t xml:space="preserve">an official </w:t>
            </w:r>
            <w:r w:rsidR="00FB0DF6" w:rsidRPr="00D07F3F">
              <w:rPr>
                <w:rFonts w:cs="Arial"/>
                <w:sz w:val="20"/>
                <w:szCs w:val="20"/>
              </w:rPr>
              <w:t xml:space="preserve">within the </w:t>
            </w:r>
            <w:r w:rsidR="00F72A84" w:rsidRPr="00D07F3F">
              <w:rPr>
                <w:rFonts w:cs="Arial"/>
                <w:sz w:val="20"/>
                <w:szCs w:val="20"/>
              </w:rPr>
              <w:t>department</w:t>
            </w:r>
            <w:r w:rsidR="00FB0DF6" w:rsidRPr="00D07F3F">
              <w:rPr>
                <w:rFonts w:cs="Arial"/>
                <w:sz w:val="20"/>
                <w:szCs w:val="20"/>
              </w:rPr>
              <w:t xml:space="preserve">, or to obtain other benefits. Examples of </w:t>
            </w:r>
            <w:r w:rsidR="00B24A5A" w:rsidRPr="00D07F3F">
              <w:rPr>
                <w:rFonts w:cs="Arial"/>
                <w:sz w:val="20"/>
                <w:szCs w:val="20"/>
              </w:rPr>
              <w:t>officials</w:t>
            </w:r>
            <w:r w:rsidR="00FB0DF6" w:rsidRPr="00D07F3F">
              <w:rPr>
                <w:rFonts w:cs="Arial"/>
                <w:sz w:val="20"/>
                <w:szCs w:val="20"/>
              </w:rPr>
              <w:t xml:space="preserve"> providing misleading or false information includes timesheet fraud, falsification of leave forms and fraudulent claims of entitlements. </w:t>
            </w:r>
          </w:p>
        </w:tc>
      </w:tr>
      <w:tr w:rsidR="000A4E72" w:rsidRPr="007D581B" w14:paraId="4ED94485" w14:textId="77777777" w:rsidTr="00D07F3F">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14BAB325" w14:textId="0208F992"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 xml:space="preserve">Misuse of </w:t>
            </w:r>
            <w:r w:rsidR="00F72A84" w:rsidRPr="00D07F3F">
              <w:rPr>
                <w:rFonts w:cs="Arial"/>
                <w:sz w:val="20"/>
                <w:szCs w:val="20"/>
              </w:rPr>
              <w:t>department</w:t>
            </w:r>
            <w:r w:rsidRPr="00D07F3F">
              <w:rPr>
                <w:rFonts w:cs="Arial"/>
                <w:sz w:val="20"/>
                <w:szCs w:val="20"/>
              </w:rPr>
              <w:t xml:space="preserve"> assets</w:t>
            </w:r>
          </w:p>
        </w:tc>
        <w:tc>
          <w:tcPr>
            <w:tcW w:w="6237" w:type="dxa"/>
            <w:tcBorders>
              <w:top w:val="single" w:sz="4" w:space="0" w:color="auto"/>
              <w:left w:val="nil"/>
              <w:bottom w:val="single" w:sz="4" w:space="0" w:color="auto"/>
              <w:right w:val="nil"/>
            </w:tcBorders>
          </w:tcPr>
          <w:p w14:paraId="59773FD9" w14:textId="3D3E9F00" w:rsidR="000A4E72" w:rsidRPr="00D07F3F" w:rsidRDefault="00B24A5A" w:rsidP="00DE15A4">
            <w:pPr>
              <w:pStyle w:val="Tabletextright0"/>
              <w:tabs>
                <w:tab w:val="left" w:pos="426"/>
                <w:tab w:val="left" w:pos="8364"/>
              </w:tabs>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3F">
              <w:rPr>
                <w:rFonts w:cs="Arial"/>
                <w:sz w:val="20"/>
                <w:szCs w:val="20"/>
              </w:rPr>
              <w:t>Officials</w:t>
            </w:r>
            <w:r w:rsidR="000A4E72" w:rsidRPr="00D07F3F">
              <w:rPr>
                <w:rFonts w:cs="Arial"/>
                <w:sz w:val="20"/>
                <w:szCs w:val="20"/>
              </w:rPr>
              <w:t xml:space="preserve"> misappropriate, </w:t>
            </w:r>
            <w:proofErr w:type="gramStart"/>
            <w:r w:rsidR="000A4E72" w:rsidRPr="00D07F3F">
              <w:rPr>
                <w:rFonts w:cs="Arial"/>
                <w:sz w:val="20"/>
                <w:szCs w:val="20"/>
              </w:rPr>
              <w:t>misuse</w:t>
            </w:r>
            <w:proofErr w:type="gramEnd"/>
            <w:r w:rsidR="000A4E72" w:rsidRPr="00D07F3F">
              <w:rPr>
                <w:rFonts w:cs="Arial"/>
                <w:sz w:val="20"/>
                <w:szCs w:val="20"/>
              </w:rPr>
              <w:t xml:space="preserve"> or steal assets for personal gain - resulting in financial loss.</w:t>
            </w:r>
          </w:p>
        </w:tc>
      </w:tr>
      <w:tr w:rsidR="000A4E72" w:rsidRPr="007D581B" w14:paraId="078C264F" w14:textId="77777777" w:rsidTr="00D07F3F">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single" w:sz="4" w:space="0" w:color="auto"/>
              <w:right w:val="nil"/>
            </w:tcBorders>
          </w:tcPr>
          <w:p w14:paraId="2FAB4F26" w14:textId="6CDD3B5D" w:rsidR="000A4E72" w:rsidRPr="00D07F3F" w:rsidRDefault="000A4E72" w:rsidP="00DE15A4">
            <w:pPr>
              <w:pStyle w:val="Tabletextleft"/>
              <w:tabs>
                <w:tab w:val="left" w:pos="426"/>
                <w:tab w:val="left" w:pos="8364"/>
              </w:tabs>
              <w:spacing w:line="276" w:lineRule="auto"/>
              <w:rPr>
                <w:rFonts w:cs="Arial"/>
                <w:sz w:val="20"/>
                <w:szCs w:val="20"/>
              </w:rPr>
            </w:pPr>
            <w:r w:rsidRPr="00D07F3F">
              <w:rPr>
                <w:rFonts w:cs="Arial"/>
                <w:sz w:val="20"/>
                <w:szCs w:val="20"/>
              </w:rPr>
              <w:t>Misuse of IT systems</w:t>
            </w:r>
          </w:p>
        </w:tc>
        <w:tc>
          <w:tcPr>
            <w:tcW w:w="6237" w:type="dxa"/>
            <w:tcBorders>
              <w:top w:val="single" w:sz="4" w:space="0" w:color="auto"/>
              <w:left w:val="nil"/>
              <w:bottom w:val="single" w:sz="4" w:space="0" w:color="auto"/>
              <w:right w:val="nil"/>
            </w:tcBorders>
          </w:tcPr>
          <w:p w14:paraId="5A0832A7" w14:textId="2798A368" w:rsidR="000A4E72" w:rsidRPr="00D07F3F" w:rsidRDefault="00B24A5A" w:rsidP="00DE15A4">
            <w:pPr>
              <w:pStyle w:val="Tabletextright0"/>
              <w:tabs>
                <w:tab w:val="left" w:pos="426"/>
                <w:tab w:val="left" w:pos="8364"/>
              </w:tabs>
              <w:spacing w:line="276" w:lineRule="auto"/>
              <w:jc w:val="left"/>
              <w:cnfStyle w:val="000000010000" w:firstRow="0" w:lastRow="0" w:firstColumn="0" w:lastColumn="0" w:oddVBand="0" w:evenVBand="0" w:oddHBand="0" w:evenHBand="1" w:firstRowFirstColumn="0" w:firstRowLastColumn="0" w:lastRowFirstColumn="0" w:lastRowLastColumn="0"/>
              <w:rPr>
                <w:rFonts w:cs="Arial"/>
                <w:sz w:val="20"/>
                <w:szCs w:val="20"/>
              </w:rPr>
            </w:pPr>
            <w:proofErr w:type="gramStart"/>
            <w:r w:rsidRPr="00D07F3F">
              <w:rPr>
                <w:rFonts w:cs="Arial"/>
                <w:sz w:val="20"/>
                <w:szCs w:val="20"/>
              </w:rPr>
              <w:t>Officials</w:t>
            </w:r>
            <w:proofErr w:type="gramEnd"/>
            <w:r w:rsidR="000A4E72" w:rsidRPr="00D07F3F">
              <w:rPr>
                <w:rFonts w:cs="Arial"/>
                <w:sz w:val="20"/>
                <w:szCs w:val="20"/>
              </w:rPr>
              <w:t xml:space="preserve"> misuse, manipulate or change IT systems intentionally to obtain a benefit leading to information, </w:t>
            </w:r>
            <w:r w:rsidR="003E6204" w:rsidRPr="00D07F3F">
              <w:rPr>
                <w:rFonts w:cs="Arial"/>
                <w:sz w:val="20"/>
                <w:szCs w:val="20"/>
              </w:rPr>
              <w:t>privacy,</w:t>
            </w:r>
            <w:r w:rsidR="000A4E72" w:rsidRPr="00D07F3F">
              <w:rPr>
                <w:rFonts w:cs="Arial"/>
                <w:sz w:val="20"/>
                <w:szCs w:val="20"/>
              </w:rPr>
              <w:t xml:space="preserve"> and security breaches.</w:t>
            </w:r>
          </w:p>
        </w:tc>
      </w:tr>
    </w:tbl>
    <w:p w14:paraId="354DF014" w14:textId="42EB3F09" w:rsidR="00F43EEA" w:rsidRPr="007D581B" w:rsidRDefault="00F43EEA" w:rsidP="009F14FD">
      <w:pPr>
        <w:pStyle w:val="Heading1"/>
        <w:rPr>
          <w:sz w:val="32"/>
          <w:szCs w:val="24"/>
        </w:rPr>
      </w:pPr>
      <w:bookmarkStart w:id="7" w:name="_Fraud_prevention"/>
      <w:bookmarkStart w:id="8" w:name="_Toc127213947"/>
      <w:bookmarkEnd w:id="7"/>
      <w:r w:rsidRPr="007D581B">
        <w:rPr>
          <w:sz w:val="32"/>
          <w:szCs w:val="24"/>
        </w:rPr>
        <w:lastRenderedPageBreak/>
        <w:t>F</w:t>
      </w:r>
      <w:r w:rsidR="00614EBE" w:rsidRPr="007D581B">
        <w:rPr>
          <w:sz w:val="32"/>
          <w:szCs w:val="24"/>
        </w:rPr>
        <w:t>raud and corruption controls</w:t>
      </w:r>
    </w:p>
    <w:p w14:paraId="7DFD0B4D" w14:textId="0EAC6FC2" w:rsidR="007A5C9C" w:rsidRPr="009F7C45" w:rsidRDefault="007A5C9C">
      <w:pPr>
        <w:tabs>
          <w:tab w:val="left" w:pos="426"/>
          <w:tab w:val="left" w:pos="8364"/>
        </w:tabs>
      </w:pPr>
      <w:r w:rsidRPr="00D07F3F">
        <w:rPr>
          <w:rFonts w:cs="Arial"/>
          <w:lang w:val="en"/>
        </w:rPr>
        <w:t xml:space="preserve">The </w:t>
      </w:r>
      <w:r w:rsidR="007B226B" w:rsidRPr="00D07F3F">
        <w:rPr>
          <w:rFonts w:cs="Arial"/>
          <w:lang w:val="en"/>
        </w:rPr>
        <w:t xml:space="preserve">department </w:t>
      </w:r>
      <w:r w:rsidRPr="00D07F3F">
        <w:rPr>
          <w:rFonts w:cs="Arial"/>
          <w:lang w:val="en"/>
        </w:rPr>
        <w:t xml:space="preserve">implements key control strategies to ensure an effective fraud and corruption control framework, including prevention, detection, response, and </w:t>
      </w:r>
      <w:r w:rsidR="007B226B" w:rsidRPr="00D07F3F">
        <w:rPr>
          <w:rFonts w:cs="Arial"/>
          <w:lang w:val="en"/>
        </w:rPr>
        <w:t>r</w:t>
      </w:r>
      <w:r w:rsidRPr="00D07F3F">
        <w:rPr>
          <w:rFonts w:cs="Arial"/>
          <w:lang w:val="en"/>
        </w:rPr>
        <w:t xml:space="preserve">eporting, </w:t>
      </w:r>
      <w:r w:rsidR="003E6204" w:rsidRPr="00D07F3F">
        <w:rPr>
          <w:rFonts w:cs="Arial"/>
          <w:lang w:val="en"/>
        </w:rPr>
        <w:t>assurance,</w:t>
      </w:r>
      <w:r w:rsidRPr="00D07F3F">
        <w:rPr>
          <w:rFonts w:cs="Arial"/>
          <w:lang w:val="en"/>
        </w:rPr>
        <w:t xml:space="preserve"> and </w:t>
      </w:r>
      <w:r w:rsidR="007B226B" w:rsidRPr="00D07F3F">
        <w:rPr>
          <w:rFonts w:cs="Arial"/>
          <w:lang w:val="en"/>
        </w:rPr>
        <w:t>m</w:t>
      </w:r>
      <w:r w:rsidRPr="00D07F3F">
        <w:rPr>
          <w:rFonts w:cs="Arial"/>
          <w:lang w:val="en"/>
        </w:rPr>
        <w:t>onitoring.</w:t>
      </w:r>
    </w:p>
    <w:p w14:paraId="40EED3C0" w14:textId="08C6FCA8" w:rsidR="00F02479" w:rsidRPr="007D581B" w:rsidRDefault="00F02479" w:rsidP="009F14FD">
      <w:pPr>
        <w:pStyle w:val="Heading2"/>
        <w:rPr>
          <w:sz w:val="28"/>
          <w:szCs w:val="22"/>
        </w:rPr>
      </w:pPr>
      <w:r w:rsidRPr="007D581B">
        <w:rPr>
          <w:sz w:val="28"/>
          <w:szCs w:val="22"/>
        </w:rPr>
        <w:t>P</w:t>
      </w:r>
      <w:r w:rsidR="00281FAF" w:rsidRPr="007D581B">
        <w:rPr>
          <w:sz w:val="28"/>
          <w:szCs w:val="22"/>
        </w:rPr>
        <w:t>revention</w:t>
      </w:r>
    </w:p>
    <w:p w14:paraId="13D41687" w14:textId="2D0D41AC" w:rsidR="0036687E" w:rsidRPr="00D07F3F" w:rsidRDefault="00F02479" w:rsidP="00DE15A4">
      <w:pPr>
        <w:tabs>
          <w:tab w:val="left" w:pos="426"/>
          <w:tab w:val="left" w:pos="8364"/>
        </w:tabs>
        <w:rPr>
          <w:rFonts w:eastAsiaTheme="minorHAnsi" w:cs="Arial"/>
          <w:lang w:val="en-GB"/>
        </w:rPr>
      </w:pPr>
      <w:r w:rsidRPr="00D07F3F">
        <w:rPr>
          <w:rFonts w:cs="Arial"/>
          <w:lang w:val="en"/>
        </w:rPr>
        <w:t xml:space="preserve">Fraud and corruption prevention strategies </w:t>
      </w:r>
      <w:r w:rsidR="00E753DF" w:rsidRPr="00D07F3F">
        <w:rPr>
          <w:rFonts w:cs="Arial"/>
          <w:lang w:val="en"/>
        </w:rPr>
        <w:t xml:space="preserve">focus </w:t>
      </w:r>
      <w:r w:rsidRPr="00D07F3F">
        <w:rPr>
          <w:rFonts w:cs="Arial"/>
          <w:lang w:val="en"/>
        </w:rPr>
        <w:t>on establish</w:t>
      </w:r>
      <w:r w:rsidR="00BC5E03" w:rsidRPr="00D07F3F">
        <w:rPr>
          <w:rFonts w:cs="Arial"/>
          <w:lang w:val="en"/>
        </w:rPr>
        <w:t xml:space="preserve">ing </w:t>
      </w:r>
      <w:r w:rsidRPr="00D07F3F">
        <w:rPr>
          <w:rFonts w:cs="Arial"/>
          <w:lang w:val="en"/>
        </w:rPr>
        <w:t>and maint</w:t>
      </w:r>
      <w:r w:rsidR="00BC5E03" w:rsidRPr="00D07F3F">
        <w:rPr>
          <w:rFonts w:cs="Arial"/>
          <w:lang w:val="en"/>
        </w:rPr>
        <w:t>aining s</w:t>
      </w:r>
      <w:r w:rsidRPr="00D07F3F">
        <w:rPr>
          <w:rFonts w:cs="Arial"/>
          <w:lang w:val="en"/>
        </w:rPr>
        <w:t xml:space="preserve">ound governance systems, systems of control and an ethical </w:t>
      </w:r>
      <w:proofErr w:type="spellStart"/>
      <w:r w:rsidRPr="00D07F3F">
        <w:rPr>
          <w:rFonts w:cs="Arial"/>
          <w:lang w:val="en"/>
        </w:rPr>
        <w:t>organisational</w:t>
      </w:r>
      <w:proofErr w:type="spellEnd"/>
      <w:r w:rsidRPr="00D07F3F">
        <w:rPr>
          <w:rFonts w:cs="Arial"/>
          <w:lang w:val="en"/>
        </w:rPr>
        <w:t xml:space="preserve"> culture. </w:t>
      </w:r>
      <w:r w:rsidR="007B226B" w:rsidRPr="00D07F3F">
        <w:rPr>
          <w:rFonts w:cs="Arial"/>
          <w:lang w:val="en"/>
        </w:rPr>
        <w:t xml:space="preserve">Prevention strategies are the most cost-effective way to stop fraud and corruption, they prevent or limit the size of the wrongdoing by reducing the likelihood and consequences of fraud and corruption. </w:t>
      </w:r>
    </w:p>
    <w:p w14:paraId="46E7DF60" w14:textId="08482CAA" w:rsidR="00C66DAB" w:rsidRPr="00D07F3F" w:rsidRDefault="00F02479" w:rsidP="00DE15A4">
      <w:pPr>
        <w:tabs>
          <w:tab w:val="left" w:pos="426"/>
          <w:tab w:val="left" w:pos="8364"/>
        </w:tabs>
        <w:rPr>
          <w:rFonts w:eastAsiaTheme="minorHAnsi" w:cs="Arial"/>
          <w:lang w:val="en-GB"/>
        </w:rPr>
      </w:pPr>
      <w:r w:rsidRPr="00D07F3F">
        <w:rPr>
          <w:rFonts w:cs="Arial"/>
          <w:lang w:val="en"/>
        </w:rPr>
        <w:t xml:space="preserve">Key </w:t>
      </w:r>
      <w:r w:rsidR="006E5D3A">
        <w:rPr>
          <w:rFonts w:cs="Arial"/>
          <w:lang w:val="en"/>
        </w:rPr>
        <w:t>parts</w:t>
      </w:r>
      <w:r w:rsidR="006E5D3A" w:rsidRPr="00D07F3F">
        <w:rPr>
          <w:rFonts w:cs="Arial"/>
          <w:lang w:val="en"/>
        </w:rPr>
        <w:t xml:space="preserve"> </w:t>
      </w:r>
      <w:r w:rsidRPr="00D07F3F">
        <w:rPr>
          <w:rFonts w:cs="Arial"/>
          <w:lang w:val="en"/>
        </w:rPr>
        <w:t xml:space="preserve">of </w:t>
      </w:r>
      <w:r w:rsidR="00E753DF" w:rsidRPr="00D07F3F">
        <w:rPr>
          <w:rFonts w:cs="Arial"/>
          <w:lang w:val="en"/>
        </w:rPr>
        <w:t xml:space="preserve">the </w:t>
      </w:r>
      <w:r w:rsidR="00F72A84" w:rsidRPr="00D07F3F">
        <w:rPr>
          <w:rFonts w:cs="Arial"/>
          <w:lang w:val="en"/>
        </w:rPr>
        <w:t>department</w:t>
      </w:r>
      <w:r w:rsidR="00E753DF" w:rsidRPr="00D07F3F">
        <w:rPr>
          <w:rFonts w:cs="Arial"/>
          <w:lang w:val="en"/>
        </w:rPr>
        <w:t xml:space="preserve">’s </w:t>
      </w:r>
      <w:r w:rsidRPr="00D07F3F">
        <w:rPr>
          <w:rFonts w:cs="Arial"/>
          <w:lang w:val="en"/>
        </w:rPr>
        <w:t xml:space="preserve">fraud and corruption prevention strategy </w:t>
      </w:r>
      <w:r w:rsidR="00E753DF" w:rsidRPr="00D07F3F">
        <w:rPr>
          <w:rFonts w:cs="Arial"/>
          <w:lang w:val="en"/>
        </w:rPr>
        <w:t>include</w:t>
      </w:r>
      <w:r w:rsidRPr="00D07F3F">
        <w:rPr>
          <w:rFonts w:cs="Arial"/>
          <w:lang w:val="en"/>
        </w:rPr>
        <w:t>:</w:t>
      </w:r>
      <w:r w:rsidR="00C66DAB" w:rsidRPr="00D07F3F">
        <w:rPr>
          <w:rFonts w:cs="Arial"/>
          <w:lang w:val="en"/>
        </w:rPr>
        <w:t xml:space="preserve"> </w:t>
      </w:r>
    </w:p>
    <w:p w14:paraId="17F419C9" w14:textId="77777777" w:rsidR="000A7290" w:rsidRDefault="00022660" w:rsidP="00022660">
      <w:pPr>
        <w:rPr>
          <w:rFonts w:cs="Arial"/>
          <w:lang w:eastAsia="en-AU"/>
        </w:rPr>
      </w:pPr>
      <w:r w:rsidRPr="00D07F3F">
        <w:rPr>
          <w:rFonts w:cs="Arial"/>
          <w:b/>
          <w:color w:val="2A7187" w:themeColor="accent5" w:themeShade="BF"/>
          <w:lang w:val="en"/>
        </w:rPr>
        <w:t>Fraud, security, and integrity awareness</w:t>
      </w:r>
      <w:r w:rsidRPr="00D07F3F">
        <w:rPr>
          <w:rFonts w:cs="Arial"/>
          <w:b/>
          <w:color w:val="2A7187" w:themeColor="accent5" w:themeShade="BF"/>
          <w:lang w:eastAsia="en-AU"/>
        </w:rPr>
        <w:t>:</w:t>
      </w:r>
      <w:r w:rsidRPr="00D07F3F">
        <w:rPr>
          <w:rFonts w:cs="Arial"/>
          <w:color w:val="2A7187" w:themeColor="accent5" w:themeShade="BF"/>
          <w:lang w:eastAsia="en-AU"/>
        </w:rPr>
        <w:t xml:space="preserve"> </w:t>
      </w:r>
      <w:r w:rsidR="007D581B" w:rsidRPr="00D07F3F">
        <w:rPr>
          <w:rFonts w:cs="Arial"/>
          <w:lang w:eastAsia="en-AU"/>
        </w:rPr>
        <w:t>a</w:t>
      </w:r>
      <w:r w:rsidRPr="00D07F3F">
        <w:rPr>
          <w:rFonts w:cs="Arial"/>
          <w:lang w:eastAsia="en-AU"/>
        </w:rPr>
        <w:t>ll departmental officials must complete the department’s Essential Learning Program which includes modules on fraud, security, and integrity. This program aims to ensure that all officials</w:t>
      </w:r>
      <w:r w:rsidR="000A7290">
        <w:rPr>
          <w:rFonts w:cs="Arial"/>
          <w:lang w:eastAsia="en-AU"/>
        </w:rPr>
        <w:t>:</w:t>
      </w:r>
    </w:p>
    <w:p w14:paraId="44B60BD2" w14:textId="08304A62" w:rsidR="000A7290" w:rsidRDefault="000A7290" w:rsidP="000A7290">
      <w:pPr>
        <w:pStyle w:val="ListParagraph"/>
        <w:numPr>
          <w:ilvl w:val="0"/>
          <w:numId w:val="44"/>
        </w:numPr>
        <w:rPr>
          <w:rFonts w:cs="Arial"/>
        </w:rPr>
      </w:pPr>
      <w:r w:rsidRPr="000A7290">
        <w:rPr>
          <w:rFonts w:cs="Arial"/>
          <w:lang w:eastAsia="en-AU"/>
        </w:rPr>
        <w:t xml:space="preserve">can understand and identify </w:t>
      </w:r>
      <w:r>
        <w:rPr>
          <w:rFonts w:cs="Arial"/>
          <w:lang w:eastAsia="en-AU"/>
        </w:rPr>
        <w:t xml:space="preserve">threats or risks </w:t>
      </w:r>
      <w:r w:rsidRPr="000A7290">
        <w:rPr>
          <w:rFonts w:cs="Arial"/>
          <w:lang w:eastAsia="en-AU"/>
        </w:rPr>
        <w:t>and implement controls,</w:t>
      </w:r>
      <w:r>
        <w:rPr>
          <w:rFonts w:cs="Arial"/>
          <w:lang w:eastAsia="en-AU"/>
        </w:rPr>
        <w:t xml:space="preserve"> and</w:t>
      </w:r>
      <w:r w:rsidR="00022660" w:rsidRPr="000A7290">
        <w:rPr>
          <w:rFonts w:cs="Arial"/>
          <w:lang w:eastAsia="en-AU"/>
        </w:rPr>
        <w:t xml:space="preserve"> </w:t>
      </w:r>
    </w:p>
    <w:p w14:paraId="53FC61E1" w14:textId="53E6184D" w:rsidR="000A7290" w:rsidRPr="00AE49B3" w:rsidRDefault="00022660" w:rsidP="00AE49B3">
      <w:pPr>
        <w:pStyle w:val="ListParagraph"/>
        <w:numPr>
          <w:ilvl w:val="0"/>
          <w:numId w:val="44"/>
        </w:numPr>
        <w:rPr>
          <w:rFonts w:cs="Arial"/>
          <w:lang w:eastAsia="en-AU"/>
        </w:rPr>
      </w:pPr>
      <w:r w:rsidRPr="000A7290">
        <w:rPr>
          <w:rFonts w:cs="Arial"/>
          <w:lang w:eastAsia="en-AU"/>
        </w:rPr>
        <w:t>are aware of their responsibilities and obligations while working in the department</w:t>
      </w:r>
      <w:r w:rsidR="000A7290">
        <w:rPr>
          <w:rFonts w:cs="Arial"/>
          <w:lang w:eastAsia="en-AU"/>
        </w:rPr>
        <w:t>.</w:t>
      </w:r>
    </w:p>
    <w:p w14:paraId="0F4795F3" w14:textId="30731052" w:rsidR="00022660" w:rsidRPr="000A7290" w:rsidRDefault="00022660" w:rsidP="000A7290">
      <w:pPr>
        <w:rPr>
          <w:rFonts w:cs="Arial"/>
        </w:rPr>
      </w:pPr>
      <w:r w:rsidRPr="000A7290">
        <w:rPr>
          <w:rFonts w:cs="Arial"/>
          <w:lang w:eastAsia="en-AU"/>
        </w:rPr>
        <w:t xml:space="preserve">The program is to be completed within 30 days of commencement and is to be retaken every 12-24 months. </w:t>
      </w:r>
      <w:r w:rsidRPr="000A7290">
        <w:rPr>
          <w:rFonts w:cs="Arial"/>
        </w:rPr>
        <w:t xml:space="preserve">The department monitors completion rates which are also reported to senior governance committees. </w:t>
      </w:r>
      <w:r w:rsidRPr="000A7290">
        <w:rPr>
          <w:rFonts w:cs="Arial"/>
          <w:lang w:val="en"/>
        </w:rPr>
        <w:t xml:space="preserve">This training is supplemented by Intranet sites, toolkits, events, and </w:t>
      </w:r>
      <w:r w:rsidR="000A7290">
        <w:rPr>
          <w:rFonts w:cs="Arial"/>
          <w:lang w:val="en"/>
        </w:rPr>
        <w:t xml:space="preserve">regular </w:t>
      </w:r>
      <w:r w:rsidRPr="000A7290">
        <w:rPr>
          <w:rFonts w:cs="Arial"/>
          <w:lang w:val="en"/>
        </w:rPr>
        <w:t xml:space="preserve">communications to raise awareness of fraud and corruption, security, and integrity related matters. </w:t>
      </w:r>
    </w:p>
    <w:p w14:paraId="1EDAF202" w14:textId="67AD2BBB" w:rsidR="00313303" w:rsidRPr="00493A86" w:rsidRDefault="00AC3815" w:rsidP="00313303">
      <w:pPr>
        <w:rPr>
          <w:rFonts w:cs="Arial"/>
          <w:szCs w:val="22"/>
        </w:rPr>
      </w:pPr>
      <w:r w:rsidRPr="00D07F3F">
        <w:rPr>
          <w:rFonts w:cs="Arial"/>
          <w:b/>
          <w:color w:val="2A7187" w:themeColor="accent5" w:themeShade="BF"/>
          <w:lang w:val="en"/>
        </w:rPr>
        <w:t>Declaring conflicts of interest</w:t>
      </w:r>
      <w:r w:rsidR="00A91124" w:rsidRPr="00D07F3F">
        <w:rPr>
          <w:rFonts w:cs="Arial"/>
          <w:b/>
          <w:color w:val="2A7187" w:themeColor="accent5" w:themeShade="BF"/>
          <w:lang w:val="en"/>
        </w:rPr>
        <w:t>:</w:t>
      </w:r>
      <w:r w:rsidR="003835C4" w:rsidRPr="00D07F3F">
        <w:rPr>
          <w:rFonts w:cs="Arial"/>
          <w:b/>
          <w:bCs/>
          <w:color w:val="2A7187" w:themeColor="accent5" w:themeShade="BF"/>
        </w:rPr>
        <w:t xml:space="preserve"> </w:t>
      </w:r>
      <w:r w:rsidR="007D581B" w:rsidRPr="00D07F3F">
        <w:rPr>
          <w:rFonts w:cs="Arial"/>
          <w:color w:val="auto"/>
        </w:rPr>
        <w:t>a</w:t>
      </w:r>
      <w:r w:rsidR="00313303" w:rsidRPr="00D07F3F">
        <w:rPr>
          <w:rFonts w:cs="Arial"/>
          <w:color w:val="auto"/>
        </w:rPr>
        <w:t xml:space="preserve">ll </w:t>
      </w:r>
      <w:r w:rsidR="00AC06BB" w:rsidRPr="00D07F3F">
        <w:rPr>
          <w:rFonts w:cs="Arial"/>
          <w:color w:val="auto"/>
        </w:rPr>
        <w:t>departmental officials</w:t>
      </w:r>
      <w:r w:rsidR="00313303" w:rsidRPr="00D07F3F">
        <w:rPr>
          <w:rFonts w:cs="Arial"/>
        </w:rPr>
        <w:t xml:space="preserve"> </w:t>
      </w:r>
      <w:r w:rsidR="00845721" w:rsidRPr="00D07F3F">
        <w:rPr>
          <w:rFonts w:cs="Arial"/>
        </w:rPr>
        <w:t xml:space="preserve">must </w:t>
      </w:r>
      <w:r w:rsidR="00313303" w:rsidRPr="00D07F3F">
        <w:rPr>
          <w:rFonts w:cs="Arial"/>
        </w:rPr>
        <w:t xml:space="preserve">perform their duties in a fair and impartial way </w:t>
      </w:r>
      <w:r w:rsidR="00E0718C">
        <w:rPr>
          <w:rFonts w:cs="Arial"/>
        </w:rPr>
        <w:t xml:space="preserve">such </w:t>
      </w:r>
      <w:r w:rsidR="00313303" w:rsidRPr="00D07F3F">
        <w:rPr>
          <w:rFonts w:cs="Arial"/>
        </w:rPr>
        <w:t xml:space="preserve">that personal interests, private affiliations, or the likelihood of personal gain or loss does not influence the performance of those </w:t>
      </w:r>
      <w:r w:rsidR="00313303" w:rsidRPr="00D07F3F">
        <w:rPr>
          <w:rFonts w:eastAsiaTheme="minorHAnsi" w:cs="Arial"/>
          <w:lang w:val="en-GB"/>
        </w:rPr>
        <w:t>duties.</w:t>
      </w:r>
      <w:r w:rsidR="003835C4" w:rsidRPr="00D07F3F">
        <w:rPr>
          <w:rFonts w:eastAsiaTheme="minorHAnsi" w:cs="Arial"/>
          <w:lang w:val="en-GB"/>
        </w:rPr>
        <w:t xml:space="preserve"> </w:t>
      </w:r>
      <w:r w:rsidR="00313303" w:rsidRPr="007D581B">
        <w:rPr>
          <w:rFonts w:cs="Arial"/>
          <w:szCs w:val="22"/>
        </w:rPr>
        <w:t xml:space="preserve">The department’s Conflict of Interest Policy outlines the requirements and protocols relating to conflict of </w:t>
      </w:r>
      <w:r w:rsidR="00313303" w:rsidRPr="00CA1402">
        <w:rPr>
          <w:rFonts w:cs="Arial"/>
          <w:szCs w:val="22"/>
        </w:rPr>
        <w:t xml:space="preserve">interest and aims to ensure that real or apparent conflicts of interest are identified, </w:t>
      </w:r>
      <w:proofErr w:type="gramStart"/>
      <w:r w:rsidR="00313303" w:rsidRPr="00CA1402">
        <w:rPr>
          <w:rFonts w:cs="Arial"/>
          <w:szCs w:val="22"/>
        </w:rPr>
        <w:t>disclosed</w:t>
      </w:r>
      <w:proofErr w:type="gramEnd"/>
      <w:r w:rsidR="00313303" w:rsidRPr="00CA1402">
        <w:rPr>
          <w:rFonts w:cs="Arial"/>
          <w:szCs w:val="22"/>
        </w:rPr>
        <w:t xml:space="preserve"> and managed in a transparent and accountable manner</w:t>
      </w:r>
      <w:r w:rsidR="00313303" w:rsidRPr="00493A86">
        <w:rPr>
          <w:rFonts w:cs="Arial"/>
          <w:szCs w:val="22"/>
        </w:rPr>
        <w:t>.</w:t>
      </w:r>
      <w:r w:rsidR="00CA1402" w:rsidRPr="00493A86">
        <w:rPr>
          <w:rFonts w:cs="Arial"/>
          <w:szCs w:val="22"/>
        </w:rPr>
        <w:t xml:space="preserve"> All contract managers </w:t>
      </w:r>
      <w:r w:rsidR="00ED6F15">
        <w:rPr>
          <w:rFonts w:cs="Arial"/>
          <w:szCs w:val="22"/>
        </w:rPr>
        <w:t>must</w:t>
      </w:r>
      <w:r w:rsidR="00CA1402" w:rsidRPr="00493A86">
        <w:rPr>
          <w:rFonts w:cs="Arial"/>
          <w:szCs w:val="22"/>
        </w:rPr>
        <w:t xml:space="preserve"> ensure that Conflict of Interest declarations are in place</w:t>
      </w:r>
      <w:r w:rsidR="00ED6F15">
        <w:rPr>
          <w:rFonts w:cs="Arial"/>
          <w:szCs w:val="22"/>
        </w:rPr>
        <w:t>, and monitored</w:t>
      </w:r>
      <w:r w:rsidR="00CA1402" w:rsidRPr="00493A86">
        <w:rPr>
          <w:rFonts w:cs="Arial"/>
          <w:szCs w:val="22"/>
        </w:rPr>
        <w:t xml:space="preserve"> for contracted personnel, a</w:t>
      </w:r>
      <w:r w:rsidR="00ED6F15">
        <w:rPr>
          <w:rFonts w:cs="Arial"/>
          <w:szCs w:val="22"/>
        </w:rPr>
        <w:t>nd must</w:t>
      </w:r>
      <w:r w:rsidR="00CA1402" w:rsidRPr="00493A86">
        <w:rPr>
          <w:rFonts w:cs="Arial"/>
          <w:szCs w:val="22"/>
        </w:rPr>
        <w:t xml:space="preserve"> monitor the ethical behaviour of suppliers throughout the term of the contract.</w:t>
      </w:r>
    </w:p>
    <w:p w14:paraId="5F3CDC71" w14:textId="63658256" w:rsidR="00FD0CFD" w:rsidRPr="00D07F3F" w:rsidRDefault="00FD0CFD" w:rsidP="00FD0CFD">
      <w:pPr>
        <w:rPr>
          <w:rFonts w:cs="Arial"/>
        </w:rPr>
      </w:pPr>
      <w:r w:rsidRPr="00D07F3F">
        <w:rPr>
          <w:rFonts w:cs="Arial"/>
          <w:b/>
          <w:color w:val="2A7187" w:themeColor="accent5" w:themeShade="BF"/>
          <w:lang w:val="en"/>
        </w:rPr>
        <w:t xml:space="preserve">Project and </w:t>
      </w:r>
      <w:r w:rsidR="00AC06BB" w:rsidRPr="00D07F3F">
        <w:rPr>
          <w:rFonts w:cs="Arial"/>
          <w:b/>
          <w:color w:val="2A7187" w:themeColor="accent5" w:themeShade="BF"/>
          <w:lang w:val="en"/>
        </w:rPr>
        <w:t>p</w:t>
      </w:r>
      <w:r w:rsidRPr="00D07F3F">
        <w:rPr>
          <w:rFonts w:cs="Arial"/>
          <w:b/>
          <w:color w:val="2A7187" w:themeColor="accent5" w:themeShade="BF"/>
          <w:lang w:val="en"/>
        </w:rPr>
        <w:t>rogram fraud control</w:t>
      </w:r>
      <w:r w:rsidR="00A91124" w:rsidRPr="00D07F3F">
        <w:rPr>
          <w:rFonts w:cs="Arial"/>
          <w:b/>
          <w:color w:val="2A7187" w:themeColor="accent5" w:themeShade="BF"/>
          <w:lang w:val="en"/>
        </w:rPr>
        <w:t>:</w:t>
      </w:r>
      <w:r w:rsidRPr="00D07F3F">
        <w:rPr>
          <w:rFonts w:cs="Arial"/>
          <w:color w:val="2A7187" w:themeColor="accent5" w:themeShade="BF"/>
        </w:rPr>
        <w:t xml:space="preserve"> </w:t>
      </w:r>
      <w:r w:rsidR="007D581B" w:rsidRPr="00D07F3F">
        <w:rPr>
          <w:rFonts w:cs="Arial"/>
        </w:rPr>
        <w:t>d</w:t>
      </w:r>
      <w:r w:rsidRPr="00D07F3F">
        <w:rPr>
          <w:rFonts w:cs="Arial"/>
        </w:rPr>
        <w:t xml:space="preserve">uring the design stage, each program or project should seek to identify fraud and corruption vulnerabilities which could threaten successful outcomes. Program and project staff need to consider ways to prevent these threats through the implementation of effective controls. Programs and projects should identify what reporting and detection activities are required, how compliance with requirements will be monitored throughout the life of the project </w:t>
      </w:r>
      <w:r w:rsidR="00F64FC3" w:rsidRPr="00D07F3F">
        <w:rPr>
          <w:rFonts w:cs="Arial"/>
        </w:rPr>
        <w:t xml:space="preserve">or program </w:t>
      </w:r>
      <w:r w:rsidRPr="00D07F3F">
        <w:rPr>
          <w:rFonts w:cs="Arial"/>
        </w:rPr>
        <w:t xml:space="preserve">and </w:t>
      </w:r>
      <w:r w:rsidR="00CF2E41" w:rsidRPr="00D07F3F">
        <w:rPr>
          <w:rFonts w:cs="Arial"/>
        </w:rPr>
        <w:t>their</w:t>
      </w:r>
      <w:r w:rsidRPr="00D07F3F">
        <w:rPr>
          <w:rFonts w:cs="Arial"/>
        </w:rPr>
        <w:t xml:space="preserve"> deliverables, and what responsive measures are required to ensure that if fraud or corruption does occur, the program has legislation, </w:t>
      </w:r>
      <w:proofErr w:type="gramStart"/>
      <w:r w:rsidRPr="00D07F3F">
        <w:rPr>
          <w:rFonts w:cs="Arial"/>
        </w:rPr>
        <w:t>policy</w:t>
      </w:r>
      <w:proofErr w:type="gramEnd"/>
      <w:r w:rsidRPr="00D07F3F">
        <w:rPr>
          <w:rFonts w:cs="Arial"/>
        </w:rPr>
        <w:t xml:space="preserve"> and processes in place to allow recovery.</w:t>
      </w:r>
    </w:p>
    <w:p w14:paraId="2096BE38" w14:textId="20609185" w:rsidR="00456C64" w:rsidRPr="00D07F3F" w:rsidRDefault="00CE6ED5" w:rsidP="00456C64">
      <w:pPr>
        <w:rPr>
          <w:rFonts w:eastAsiaTheme="minorHAnsi" w:cs="Arial"/>
          <w:lang w:eastAsia="en-AU"/>
        </w:rPr>
      </w:pPr>
      <w:r w:rsidRPr="00D07F3F">
        <w:rPr>
          <w:rFonts w:cs="Arial"/>
          <w:b/>
          <w:color w:val="2A7187" w:themeColor="accent5" w:themeShade="BF"/>
          <w:lang w:val="en"/>
        </w:rPr>
        <w:t>Business and risk planning</w:t>
      </w:r>
      <w:r w:rsidR="00A91124" w:rsidRPr="00D07F3F">
        <w:rPr>
          <w:rFonts w:cs="Arial"/>
          <w:b/>
          <w:color w:val="2A7187" w:themeColor="accent5" w:themeShade="BF"/>
          <w:lang w:val="en"/>
        </w:rPr>
        <w:t>:</w:t>
      </w:r>
      <w:r w:rsidRPr="00D07F3F">
        <w:rPr>
          <w:rFonts w:cs="Arial"/>
          <w:color w:val="2A7187" w:themeColor="accent5" w:themeShade="BF"/>
        </w:rPr>
        <w:t xml:space="preserve"> </w:t>
      </w:r>
      <w:r w:rsidR="007D581B" w:rsidRPr="00D07F3F">
        <w:rPr>
          <w:rFonts w:cs="Arial"/>
        </w:rPr>
        <w:t>f</w:t>
      </w:r>
      <w:r w:rsidRPr="00D07F3F">
        <w:rPr>
          <w:rFonts w:cs="Arial"/>
        </w:rPr>
        <w:t>raud and corruption risks must be considered as part of the development of annual Divisional Business and Risk Plans. If any applicable enterprise fraud and corruption risks are identified, divisions should ensure appropriate controls are implemented as outlined in the department’s EFCR</w:t>
      </w:r>
      <w:r w:rsidR="00ED54A5" w:rsidRPr="00D07F3F">
        <w:rPr>
          <w:rFonts w:cs="Arial"/>
        </w:rPr>
        <w:t xml:space="preserve"> register</w:t>
      </w:r>
      <w:r w:rsidRPr="00D07F3F">
        <w:rPr>
          <w:rFonts w:cs="Arial"/>
        </w:rPr>
        <w:t xml:space="preserve"> and this Plan. </w:t>
      </w:r>
    </w:p>
    <w:p w14:paraId="28EBDB86" w14:textId="77777777" w:rsidR="00CA1402" w:rsidRPr="009F7C45" w:rsidRDefault="00CA1402" w:rsidP="009F7C45">
      <w:r w:rsidRPr="009F7C45">
        <w:br w:type="page"/>
      </w:r>
    </w:p>
    <w:p w14:paraId="7EB6BB17" w14:textId="77777777" w:rsidR="00CA1402" w:rsidRDefault="00F02479" w:rsidP="003601AC">
      <w:pPr>
        <w:tabs>
          <w:tab w:val="left" w:pos="426"/>
          <w:tab w:val="left" w:pos="8364"/>
        </w:tabs>
        <w:rPr>
          <w:rFonts w:cs="Arial"/>
          <w:lang w:val="en"/>
        </w:rPr>
      </w:pPr>
      <w:r w:rsidRPr="00D07F3F">
        <w:rPr>
          <w:rFonts w:cs="Arial"/>
          <w:b/>
          <w:color w:val="2A7187" w:themeColor="accent5" w:themeShade="BF"/>
          <w:lang w:val="en"/>
        </w:rPr>
        <w:lastRenderedPageBreak/>
        <w:t xml:space="preserve">Procurement and </w:t>
      </w:r>
      <w:r w:rsidR="00E0718C">
        <w:rPr>
          <w:rFonts w:cs="Arial"/>
          <w:b/>
          <w:color w:val="2A7187" w:themeColor="accent5" w:themeShade="BF"/>
          <w:lang w:val="en"/>
        </w:rPr>
        <w:t>granting, and associated contract management</w:t>
      </w:r>
      <w:r w:rsidR="009E63D5" w:rsidRPr="00D07F3F">
        <w:rPr>
          <w:rFonts w:cs="Arial"/>
          <w:b/>
          <w:color w:val="2A7187" w:themeColor="accent5" w:themeShade="BF"/>
          <w:lang w:val="en"/>
        </w:rPr>
        <w:t xml:space="preserve"> </w:t>
      </w:r>
      <w:r w:rsidR="003734DA" w:rsidRPr="00D07F3F">
        <w:rPr>
          <w:rFonts w:cs="Arial"/>
          <w:b/>
          <w:color w:val="2A7187" w:themeColor="accent5" w:themeShade="BF"/>
          <w:lang w:val="en"/>
        </w:rPr>
        <w:t>controls</w:t>
      </w:r>
      <w:r w:rsidR="00A91124" w:rsidRPr="00D07F3F">
        <w:rPr>
          <w:rFonts w:cs="Arial"/>
          <w:b/>
          <w:color w:val="2A7187" w:themeColor="accent5" w:themeShade="BF"/>
          <w:lang w:val="en"/>
        </w:rPr>
        <w:t>:</w:t>
      </w:r>
      <w:r w:rsidRPr="00D07F3F">
        <w:rPr>
          <w:rFonts w:cs="Arial"/>
          <w:color w:val="2A7187" w:themeColor="accent5" w:themeShade="BF"/>
          <w:lang w:val="en"/>
        </w:rPr>
        <w:t xml:space="preserve"> </w:t>
      </w:r>
      <w:r w:rsidR="007D581B" w:rsidRPr="00D07F3F">
        <w:rPr>
          <w:rFonts w:cs="Arial"/>
          <w:lang w:val="en"/>
        </w:rPr>
        <w:t>d</w:t>
      </w:r>
      <w:r w:rsidR="0041227B" w:rsidRPr="00D07F3F">
        <w:rPr>
          <w:rFonts w:cs="Arial"/>
          <w:lang w:val="en"/>
        </w:rPr>
        <w:t>epartmental officials</w:t>
      </w:r>
      <w:r w:rsidR="003601AC" w:rsidRPr="00D07F3F">
        <w:rPr>
          <w:rFonts w:cs="Arial"/>
          <w:lang w:val="en"/>
        </w:rPr>
        <w:t xml:space="preserve"> responsible for procurement </w:t>
      </w:r>
      <w:r w:rsidR="00E0718C">
        <w:rPr>
          <w:rFonts w:cs="Arial"/>
          <w:lang w:val="en"/>
        </w:rPr>
        <w:t xml:space="preserve">and granting activities </w:t>
      </w:r>
      <w:r w:rsidR="003601AC" w:rsidRPr="00D07F3F">
        <w:rPr>
          <w:rFonts w:cs="Arial"/>
          <w:lang w:val="en"/>
        </w:rPr>
        <w:t>must be satisfied, after reasonable enquir</w:t>
      </w:r>
      <w:r w:rsidR="007B226B" w:rsidRPr="00D07F3F">
        <w:rPr>
          <w:rFonts w:cs="Arial"/>
          <w:lang w:val="en"/>
        </w:rPr>
        <w:t>i</w:t>
      </w:r>
      <w:r w:rsidR="003601AC" w:rsidRPr="00D07F3F">
        <w:rPr>
          <w:rFonts w:cs="Arial"/>
          <w:lang w:val="en"/>
        </w:rPr>
        <w:t>es, that the procurement</w:t>
      </w:r>
      <w:r w:rsidR="00E0718C">
        <w:rPr>
          <w:rFonts w:cs="Arial"/>
          <w:lang w:val="en"/>
        </w:rPr>
        <w:t xml:space="preserve"> or grant</w:t>
      </w:r>
      <w:r w:rsidR="003601AC" w:rsidRPr="00D07F3F">
        <w:rPr>
          <w:rFonts w:cs="Arial"/>
          <w:lang w:val="en"/>
        </w:rPr>
        <w:t xml:space="preserve"> achieves a value for money outcome. </w:t>
      </w:r>
    </w:p>
    <w:p w14:paraId="221D8CE8" w14:textId="7DB638D8" w:rsidR="00CA1402" w:rsidRDefault="00A31ADC" w:rsidP="003601AC">
      <w:pPr>
        <w:tabs>
          <w:tab w:val="left" w:pos="426"/>
          <w:tab w:val="left" w:pos="8364"/>
        </w:tabs>
        <w:rPr>
          <w:rFonts w:cs="Arial"/>
          <w:lang w:val="en"/>
        </w:rPr>
      </w:pPr>
      <w:r>
        <w:rPr>
          <w:rFonts w:cs="Arial"/>
          <w:lang w:val="en"/>
        </w:rPr>
        <w:t xml:space="preserve">All officials must ensure and adhere to measures </w:t>
      </w:r>
      <w:r w:rsidR="00CA1402">
        <w:rPr>
          <w:rFonts w:cs="Arial"/>
          <w:lang w:val="en"/>
        </w:rPr>
        <w:t xml:space="preserve">as </w:t>
      </w:r>
      <w:r>
        <w:rPr>
          <w:rFonts w:cs="Arial"/>
          <w:lang w:val="en"/>
        </w:rPr>
        <w:t xml:space="preserve">directed by </w:t>
      </w:r>
      <w:r w:rsidR="000E6E28">
        <w:rPr>
          <w:rFonts w:cs="Arial"/>
          <w:lang w:val="en"/>
        </w:rPr>
        <w:t>the Department’s Chief Operating Officer</w:t>
      </w:r>
      <w:r>
        <w:rPr>
          <w:rFonts w:cs="Arial"/>
          <w:lang w:val="en"/>
        </w:rPr>
        <w:t xml:space="preserve"> </w:t>
      </w:r>
      <w:r w:rsidR="000E6E28">
        <w:rPr>
          <w:rFonts w:cs="Arial"/>
          <w:lang w:val="en"/>
        </w:rPr>
        <w:t xml:space="preserve">and the Department of Finance </w:t>
      </w:r>
      <w:r>
        <w:rPr>
          <w:rFonts w:cs="Arial"/>
          <w:lang w:val="en"/>
        </w:rPr>
        <w:t xml:space="preserve">in May 2023 to </w:t>
      </w:r>
      <w:r w:rsidRPr="00A31ADC">
        <w:rPr>
          <w:rFonts w:cs="Arial"/>
          <w:lang w:val="en"/>
        </w:rPr>
        <w:t>strengthen the ethical accountability of entities awarded Government contacts.</w:t>
      </w:r>
      <w:r>
        <w:rPr>
          <w:rFonts w:cs="Arial"/>
          <w:lang w:val="en"/>
        </w:rPr>
        <w:t xml:space="preserve"> These measures include adherence to Probity Principals, consideration of </w:t>
      </w:r>
      <w:r w:rsidRPr="00A31ADC">
        <w:rPr>
          <w:rFonts w:cs="Arial"/>
          <w:lang w:val="en"/>
        </w:rPr>
        <w:t>a potential supplier’s relevant experience and performance history</w:t>
      </w:r>
      <w:r>
        <w:rPr>
          <w:rFonts w:cs="Arial"/>
          <w:lang w:val="en"/>
        </w:rPr>
        <w:t xml:space="preserve">, due diligence activities to ensure information provided by tenderers and suppliers is current and accurate, and additional new clauses such as Notification of Significant Events. </w:t>
      </w:r>
    </w:p>
    <w:p w14:paraId="4E7C7B82" w14:textId="70E1D10B" w:rsidR="000D6C38" w:rsidRPr="00D07F3F" w:rsidRDefault="003601AC" w:rsidP="003601AC">
      <w:pPr>
        <w:tabs>
          <w:tab w:val="left" w:pos="426"/>
          <w:tab w:val="left" w:pos="8364"/>
        </w:tabs>
        <w:rPr>
          <w:rFonts w:cs="Arial"/>
          <w:lang w:val="en"/>
        </w:rPr>
      </w:pPr>
      <w:r w:rsidRPr="00D07F3F">
        <w:rPr>
          <w:rFonts w:cs="Arial"/>
          <w:lang w:val="en"/>
        </w:rPr>
        <w:t xml:space="preserve">Officials are required to undertake procurement and </w:t>
      </w:r>
      <w:r w:rsidR="00E0718C">
        <w:rPr>
          <w:rFonts w:cs="Arial"/>
          <w:lang w:val="en"/>
        </w:rPr>
        <w:t xml:space="preserve">granting, and associated </w:t>
      </w:r>
      <w:r w:rsidRPr="00D07F3F">
        <w:rPr>
          <w:rFonts w:cs="Arial"/>
          <w:lang w:val="en"/>
        </w:rPr>
        <w:t>contract</w:t>
      </w:r>
      <w:r w:rsidR="00E0718C">
        <w:rPr>
          <w:rFonts w:cs="Arial"/>
          <w:lang w:val="en"/>
        </w:rPr>
        <w:t xml:space="preserve"> management </w:t>
      </w:r>
      <w:r w:rsidRPr="00D07F3F">
        <w:rPr>
          <w:rFonts w:cs="Arial"/>
          <w:lang w:val="en"/>
        </w:rPr>
        <w:t xml:space="preserve">activities in an efficient, effective, </w:t>
      </w:r>
      <w:r w:rsidR="007025AF" w:rsidRPr="00D07F3F">
        <w:rPr>
          <w:rFonts w:cs="Arial"/>
          <w:lang w:val="en"/>
        </w:rPr>
        <w:t>economical,</w:t>
      </w:r>
      <w:r w:rsidRPr="00D07F3F">
        <w:rPr>
          <w:rFonts w:cs="Arial"/>
          <w:lang w:val="en"/>
        </w:rPr>
        <w:t xml:space="preserve"> and ethical manner that achieves value for money in a whole-of-process way.</w:t>
      </w:r>
      <w:r w:rsidR="000D6C38" w:rsidRPr="00D07F3F">
        <w:rPr>
          <w:rFonts w:cs="Arial"/>
          <w:lang w:val="en"/>
        </w:rPr>
        <w:t xml:space="preserve"> </w:t>
      </w:r>
      <w:r w:rsidRPr="00D07F3F">
        <w:rPr>
          <w:rFonts w:cs="Arial"/>
          <w:lang w:val="en"/>
        </w:rPr>
        <w:t xml:space="preserve">Health’s Accountable Authority Instruction’s (AAI) and applicable Finance Business Rules (FBR’s) must be followed in all instances of procurement within the </w:t>
      </w:r>
      <w:r w:rsidR="001556FF" w:rsidRPr="00D07F3F">
        <w:rPr>
          <w:rFonts w:cs="Arial"/>
          <w:lang w:val="en"/>
        </w:rPr>
        <w:t>d</w:t>
      </w:r>
      <w:r w:rsidRPr="00D07F3F">
        <w:rPr>
          <w:rFonts w:cs="Arial"/>
          <w:lang w:val="en"/>
        </w:rPr>
        <w:t>epartment.</w:t>
      </w:r>
    </w:p>
    <w:p w14:paraId="2EDA94BC" w14:textId="7F9DD11D" w:rsidR="00806726" w:rsidRPr="00D07F3F" w:rsidRDefault="00877018" w:rsidP="005E2A0F">
      <w:pPr>
        <w:tabs>
          <w:tab w:val="left" w:pos="426"/>
          <w:tab w:val="left" w:pos="8364"/>
        </w:tabs>
        <w:rPr>
          <w:rFonts w:cs="Arial"/>
          <w:lang w:val="en"/>
        </w:rPr>
      </w:pPr>
      <w:r w:rsidRPr="00D07F3F">
        <w:rPr>
          <w:rFonts w:cs="Arial"/>
          <w:lang w:val="en"/>
        </w:rPr>
        <w:t xml:space="preserve">All </w:t>
      </w:r>
      <w:r w:rsidR="0041227B" w:rsidRPr="00D07F3F">
        <w:rPr>
          <w:rFonts w:cs="Arial"/>
          <w:lang w:val="en"/>
        </w:rPr>
        <w:t>officials</w:t>
      </w:r>
      <w:r w:rsidRPr="00D07F3F">
        <w:rPr>
          <w:rFonts w:cs="Arial"/>
          <w:lang w:val="en"/>
        </w:rPr>
        <w:t xml:space="preserve"> administ</w:t>
      </w:r>
      <w:r w:rsidR="002C6636" w:rsidRPr="00D07F3F">
        <w:rPr>
          <w:rFonts w:cs="Arial"/>
          <w:lang w:val="en"/>
        </w:rPr>
        <w:t xml:space="preserve">ering grants must </w:t>
      </w:r>
      <w:r w:rsidR="001E793A" w:rsidRPr="00D07F3F">
        <w:rPr>
          <w:rFonts w:cs="Arial"/>
          <w:lang w:val="en"/>
        </w:rPr>
        <w:t>c</w:t>
      </w:r>
      <w:r w:rsidR="000E5F8A" w:rsidRPr="00D07F3F">
        <w:rPr>
          <w:rFonts w:cs="Arial"/>
          <w:lang w:val="en"/>
        </w:rPr>
        <w:t>ompl</w:t>
      </w:r>
      <w:r w:rsidR="002C6636" w:rsidRPr="00D07F3F">
        <w:rPr>
          <w:rFonts w:cs="Arial"/>
          <w:lang w:val="en"/>
        </w:rPr>
        <w:t>y</w:t>
      </w:r>
      <w:r w:rsidR="000E5F8A" w:rsidRPr="00D07F3F">
        <w:rPr>
          <w:rFonts w:cs="Arial"/>
          <w:lang w:val="en"/>
        </w:rPr>
        <w:t xml:space="preserve"> with the </w:t>
      </w:r>
      <w:r w:rsidR="001556FF" w:rsidRPr="00D07F3F">
        <w:rPr>
          <w:rFonts w:cs="Arial"/>
          <w:lang w:val="en"/>
        </w:rPr>
        <w:t>d</w:t>
      </w:r>
      <w:r w:rsidR="00A465EC" w:rsidRPr="00D07F3F">
        <w:rPr>
          <w:rFonts w:cs="Arial"/>
          <w:lang w:val="en"/>
        </w:rPr>
        <w:t xml:space="preserve">epartment’s </w:t>
      </w:r>
      <w:r w:rsidR="000E5F8A" w:rsidRPr="00D07F3F">
        <w:rPr>
          <w:rFonts w:cs="Arial"/>
          <w:lang w:val="en"/>
        </w:rPr>
        <w:t>Grant Toolkit</w:t>
      </w:r>
      <w:r w:rsidR="002C6636" w:rsidRPr="00D07F3F">
        <w:rPr>
          <w:rFonts w:cs="Arial"/>
          <w:lang w:val="en"/>
        </w:rPr>
        <w:t xml:space="preserve">. The </w:t>
      </w:r>
      <w:r w:rsidR="005E2A0F" w:rsidRPr="00D07F3F">
        <w:rPr>
          <w:rFonts w:cs="Arial"/>
          <w:lang w:val="en"/>
        </w:rPr>
        <w:t xml:space="preserve">Grant Toolkit steps </w:t>
      </w:r>
      <w:r w:rsidR="00A20FCF" w:rsidRPr="00D07F3F">
        <w:rPr>
          <w:rFonts w:cs="Arial"/>
          <w:lang w:val="en"/>
        </w:rPr>
        <w:t>staff</w:t>
      </w:r>
      <w:r w:rsidR="005E2A0F" w:rsidRPr="00D07F3F">
        <w:rPr>
          <w:rFonts w:cs="Arial"/>
          <w:lang w:val="en"/>
        </w:rPr>
        <w:t xml:space="preserve"> through </w:t>
      </w:r>
      <w:r w:rsidR="007025AF" w:rsidRPr="00D07F3F">
        <w:rPr>
          <w:rFonts w:cs="Arial"/>
          <w:lang w:val="en"/>
        </w:rPr>
        <w:t>all</w:t>
      </w:r>
      <w:r w:rsidR="005E2A0F" w:rsidRPr="00D07F3F">
        <w:rPr>
          <w:rFonts w:cs="Arial"/>
          <w:lang w:val="en"/>
        </w:rPr>
        <w:t xml:space="preserve"> the processes and documentation </w:t>
      </w:r>
      <w:r w:rsidR="00A20FCF" w:rsidRPr="00D07F3F">
        <w:rPr>
          <w:rFonts w:cs="Arial"/>
          <w:lang w:val="en"/>
        </w:rPr>
        <w:t>required</w:t>
      </w:r>
      <w:r w:rsidR="005E2A0F" w:rsidRPr="00D07F3F">
        <w:rPr>
          <w:rFonts w:cs="Arial"/>
          <w:lang w:val="en"/>
        </w:rPr>
        <w:t xml:space="preserve"> to approve and draw up </w:t>
      </w:r>
      <w:r w:rsidR="00075972" w:rsidRPr="00D07F3F">
        <w:rPr>
          <w:rFonts w:cs="Arial"/>
          <w:lang w:val="en"/>
        </w:rPr>
        <w:t xml:space="preserve">the </w:t>
      </w:r>
      <w:r w:rsidR="005E2A0F" w:rsidRPr="00D07F3F">
        <w:rPr>
          <w:rFonts w:cs="Arial"/>
          <w:lang w:val="en"/>
        </w:rPr>
        <w:t xml:space="preserve">appropriate paperwork for </w:t>
      </w:r>
      <w:r w:rsidR="00A20FCF" w:rsidRPr="00D07F3F">
        <w:rPr>
          <w:rFonts w:cs="Arial"/>
          <w:lang w:val="en"/>
        </w:rPr>
        <w:t>a</w:t>
      </w:r>
      <w:r w:rsidR="005E2A0F" w:rsidRPr="00D07F3F">
        <w:rPr>
          <w:rFonts w:cs="Arial"/>
          <w:lang w:val="en"/>
        </w:rPr>
        <w:t xml:space="preserve"> grant. </w:t>
      </w:r>
    </w:p>
    <w:p w14:paraId="559810AE" w14:textId="6285750E" w:rsidR="009D788F" w:rsidRPr="00D07F3F" w:rsidRDefault="00F02479" w:rsidP="002D4503">
      <w:pPr>
        <w:tabs>
          <w:tab w:val="left" w:pos="426"/>
          <w:tab w:val="left" w:pos="8364"/>
        </w:tabs>
        <w:rPr>
          <w:rFonts w:cs="Arial"/>
        </w:rPr>
      </w:pPr>
      <w:r w:rsidRPr="00D07F3F">
        <w:rPr>
          <w:rFonts w:cs="Arial"/>
          <w:b/>
          <w:color w:val="2A7187" w:themeColor="accent5" w:themeShade="BF"/>
          <w:lang w:val="en"/>
        </w:rPr>
        <w:t xml:space="preserve">Information </w:t>
      </w:r>
      <w:r w:rsidR="008413BB">
        <w:rPr>
          <w:rFonts w:cs="Arial"/>
          <w:b/>
          <w:color w:val="2A7187" w:themeColor="accent5" w:themeShade="BF"/>
          <w:lang w:val="en"/>
        </w:rPr>
        <w:t>c</w:t>
      </w:r>
      <w:r w:rsidRPr="00D07F3F">
        <w:rPr>
          <w:rFonts w:cs="Arial"/>
          <w:b/>
          <w:color w:val="2A7187" w:themeColor="accent5" w:themeShade="BF"/>
          <w:lang w:val="en"/>
        </w:rPr>
        <w:t>ontrols:</w:t>
      </w:r>
      <w:r w:rsidRPr="00D07F3F">
        <w:rPr>
          <w:rFonts w:cs="Arial"/>
          <w:lang w:val="en"/>
        </w:rPr>
        <w:t xml:space="preserve"> </w:t>
      </w:r>
      <w:r w:rsidR="007D581B" w:rsidRPr="00D07F3F">
        <w:rPr>
          <w:rFonts w:cs="Arial"/>
        </w:rPr>
        <w:t>a</w:t>
      </w:r>
      <w:r w:rsidR="0015612D" w:rsidRPr="00D07F3F">
        <w:rPr>
          <w:rFonts w:cs="Arial"/>
        </w:rPr>
        <w:t xml:space="preserve">ll </w:t>
      </w:r>
      <w:r w:rsidR="00075972" w:rsidRPr="00D07F3F">
        <w:rPr>
          <w:rFonts w:cs="Arial"/>
        </w:rPr>
        <w:t>departmental officials</w:t>
      </w:r>
      <w:r w:rsidR="0015612D" w:rsidRPr="00D07F3F">
        <w:rPr>
          <w:rFonts w:cs="Arial"/>
        </w:rPr>
        <w:t xml:space="preserve"> must take steps to protect </w:t>
      </w:r>
      <w:r w:rsidR="002B63E7" w:rsidRPr="00D07F3F">
        <w:rPr>
          <w:rFonts w:cs="Arial"/>
        </w:rPr>
        <w:t>d</w:t>
      </w:r>
      <w:r w:rsidR="0015612D" w:rsidRPr="00D07F3F">
        <w:rPr>
          <w:rFonts w:cs="Arial"/>
        </w:rPr>
        <w:t xml:space="preserve">epartmental information including classifying information with protective markings, applying access controls, keeping a clear desk and being aware of surroundings. </w:t>
      </w:r>
    </w:p>
    <w:p w14:paraId="22BB8139" w14:textId="561B6C9A" w:rsidR="008D493B" w:rsidRPr="00D07F3F" w:rsidRDefault="009D788F" w:rsidP="002D4503">
      <w:pPr>
        <w:tabs>
          <w:tab w:val="left" w:pos="426"/>
          <w:tab w:val="left" w:pos="8364"/>
        </w:tabs>
        <w:rPr>
          <w:rFonts w:cs="Arial"/>
        </w:rPr>
      </w:pPr>
      <w:r w:rsidRPr="00D07F3F">
        <w:rPr>
          <w:rFonts w:cs="Arial"/>
          <w:b/>
          <w:color w:val="2A7187" w:themeColor="accent5" w:themeShade="BF"/>
          <w:lang w:val="en"/>
        </w:rPr>
        <w:t xml:space="preserve">Information Technology </w:t>
      </w:r>
      <w:r w:rsidR="008413BB">
        <w:rPr>
          <w:rFonts w:cs="Arial"/>
          <w:b/>
          <w:color w:val="2A7187" w:themeColor="accent5" w:themeShade="BF"/>
          <w:lang w:val="en"/>
        </w:rPr>
        <w:t>c</w:t>
      </w:r>
      <w:r w:rsidRPr="00D07F3F">
        <w:rPr>
          <w:rFonts w:cs="Arial"/>
          <w:b/>
          <w:color w:val="2A7187" w:themeColor="accent5" w:themeShade="BF"/>
          <w:lang w:val="en"/>
        </w:rPr>
        <w:t>ontrols:</w:t>
      </w:r>
      <w:r w:rsidRPr="00D07F3F">
        <w:rPr>
          <w:rFonts w:cs="Arial"/>
        </w:rPr>
        <w:t xml:space="preserve"> </w:t>
      </w:r>
      <w:r w:rsidR="007D581B" w:rsidRPr="00D07F3F">
        <w:rPr>
          <w:rFonts w:cs="Arial"/>
        </w:rPr>
        <w:t>t</w:t>
      </w:r>
      <w:r w:rsidR="00005576" w:rsidRPr="00D07F3F">
        <w:rPr>
          <w:rFonts w:cs="Arial"/>
        </w:rPr>
        <w:t xml:space="preserve">he ICT Acceptable Use Policy provides direction and guidance for department personnel on the acceptable use of departmental Information Communication and Technology assets. </w:t>
      </w:r>
      <w:r w:rsidR="002D4503" w:rsidRPr="00D07F3F">
        <w:rPr>
          <w:rFonts w:cs="Arial"/>
        </w:rPr>
        <w:t>The department uses a range of cyber security measures to ensure the safety and integrity of our systems and the information contained within it</w:t>
      </w:r>
      <w:r w:rsidR="000C71E4">
        <w:rPr>
          <w:rFonts w:cs="Arial"/>
        </w:rPr>
        <w:t xml:space="preserve">. </w:t>
      </w:r>
      <w:r w:rsidR="002D4503" w:rsidRPr="00D07F3F">
        <w:rPr>
          <w:rFonts w:cs="Arial"/>
        </w:rPr>
        <w:t>All people administering or configuring new departmental systems must be aware of mandatory cyber security requirements.</w:t>
      </w:r>
    </w:p>
    <w:p w14:paraId="5679F86A" w14:textId="75223F49" w:rsidR="00C66DAB" w:rsidRPr="00D07F3F" w:rsidRDefault="00F02479" w:rsidP="00DE15A4">
      <w:pPr>
        <w:tabs>
          <w:tab w:val="left" w:pos="426"/>
          <w:tab w:val="left" w:pos="8364"/>
        </w:tabs>
        <w:rPr>
          <w:rFonts w:cs="Arial"/>
          <w:lang w:val="en"/>
        </w:rPr>
      </w:pPr>
      <w:r w:rsidRPr="00D07F3F">
        <w:rPr>
          <w:rFonts w:cs="Arial"/>
          <w:b/>
          <w:color w:val="2A7187" w:themeColor="accent5" w:themeShade="BF"/>
          <w:lang w:val="en"/>
        </w:rPr>
        <w:t xml:space="preserve">Financial </w:t>
      </w:r>
      <w:r w:rsidR="008413BB">
        <w:rPr>
          <w:rFonts w:cs="Arial"/>
          <w:b/>
          <w:color w:val="2A7187" w:themeColor="accent5" w:themeShade="BF"/>
          <w:lang w:val="en"/>
        </w:rPr>
        <w:t>c</w:t>
      </w:r>
      <w:r w:rsidRPr="00D07F3F">
        <w:rPr>
          <w:rFonts w:cs="Arial"/>
          <w:b/>
          <w:color w:val="2A7187" w:themeColor="accent5" w:themeShade="BF"/>
          <w:lang w:val="en"/>
        </w:rPr>
        <w:t>ontrols:</w:t>
      </w:r>
      <w:r w:rsidRPr="00D07F3F">
        <w:rPr>
          <w:rFonts w:cs="Arial"/>
          <w:color w:val="2A7187" w:themeColor="accent5" w:themeShade="BF"/>
          <w:lang w:val="en"/>
        </w:rPr>
        <w:t xml:space="preserve"> </w:t>
      </w:r>
      <w:r w:rsidR="007D581B" w:rsidRPr="00D07F3F">
        <w:rPr>
          <w:rFonts w:cs="Arial"/>
          <w:lang w:val="en"/>
        </w:rPr>
        <w:t>t</w:t>
      </w:r>
      <w:r w:rsidR="002F5DE7" w:rsidRPr="00D07F3F">
        <w:rPr>
          <w:rFonts w:cs="Arial"/>
          <w:lang w:val="en"/>
        </w:rPr>
        <w:t xml:space="preserve">he department </w:t>
      </w:r>
      <w:r w:rsidRPr="00D07F3F">
        <w:rPr>
          <w:rFonts w:cs="Arial"/>
          <w:lang w:val="en"/>
        </w:rPr>
        <w:t xml:space="preserve">maintains a set of financial controls to ensure a true and fair view of </w:t>
      </w:r>
      <w:r w:rsidR="00E753DF" w:rsidRPr="00D07F3F">
        <w:rPr>
          <w:rFonts w:cs="Arial"/>
          <w:lang w:val="en"/>
        </w:rPr>
        <w:t xml:space="preserve">the </w:t>
      </w:r>
      <w:r w:rsidR="00F72A84" w:rsidRPr="00D07F3F">
        <w:rPr>
          <w:rFonts w:cs="Arial"/>
          <w:lang w:val="en"/>
        </w:rPr>
        <w:t>department</w:t>
      </w:r>
      <w:r w:rsidR="00E753DF" w:rsidRPr="00D07F3F">
        <w:rPr>
          <w:rFonts w:cs="Arial"/>
          <w:lang w:val="en"/>
        </w:rPr>
        <w:t xml:space="preserve">’s </w:t>
      </w:r>
      <w:r w:rsidRPr="00D07F3F">
        <w:rPr>
          <w:rFonts w:cs="Arial"/>
          <w:lang w:val="en"/>
        </w:rPr>
        <w:t>financial performance, position and proper use and management of public</w:t>
      </w:r>
      <w:r w:rsidR="00B95A4B" w:rsidRPr="00D07F3F">
        <w:rPr>
          <w:rFonts w:cs="Arial"/>
          <w:lang w:val="en"/>
        </w:rPr>
        <w:t xml:space="preserve"> </w:t>
      </w:r>
      <w:r w:rsidRPr="00D07F3F">
        <w:rPr>
          <w:rFonts w:cs="Arial"/>
          <w:lang w:val="en"/>
        </w:rPr>
        <w:t>resources</w:t>
      </w:r>
      <w:r w:rsidR="004E4EC6" w:rsidRPr="00D07F3F">
        <w:rPr>
          <w:rFonts w:cs="Arial"/>
          <w:lang w:val="en"/>
        </w:rPr>
        <w:t xml:space="preserve"> that is </w:t>
      </w:r>
      <w:r w:rsidRPr="00D07F3F">
        <w:rPr>
          <w:rFonts w:cs="Arial"/>
          <w:lang w:val="en"/>
        </w:rPr>
        <w:t>consistent with the P</w:t>
      </w:r>
      <w:r w:rsidR="002307A2" w:rsidRPr="00D07F3F">
        <w:rPr>
          <w:rFonts w:cs="Arial"/>
          <w:lang w:val="en"/>
        </w:rPr>
        <w:t>GPA Act</w:t>
      </w:r>
      <w:r w:rsidRPr="00D07F3F">
        <w:rPr>
          <w:rFonts w:cs="Arial"/>
          <w:lang w:val="en"/>
        </w:rPr>
        <w:t xml:space="preserve">. </w:t>
      </w:r>
      <w:r w:rsidR="00F14482" w:rsidRPr="00D07F3F">
        <w:rPr>
          <w:rFonts w:cs="Arial"/>
          <w:lang w:val="en"/>
        </w:rPr>
        <w:t xml:space="preserve">A range of assurance initiatives are also in place to help ensure the integrity of financial data and management across the </w:t>
      </w:r>
      <w:r w:rsidR="00F72A84" w:rsidRPr="00D07F3F">
        <w:rPr>
          <w:rFonts w:cs="Arial"/>
          <w:lang w:val="en"/>
        </w:rPr>
        <w:t>department</w:t>
      </w:r>
      <w:r w:rsidR="00F14482" w:rsidRPr="00D07F3F">
        <w:rPr>
          <w:rFonts w:cs="Arial"/>
          <w:lang w:val="en"/>
        </w:rPr>
        <w:t>.</w:t>
      </w:r>
      <w:r w:rsidR="00C66DAB" w:rsidRPr="00D07F3F">
        <w:rPr>
          <w:rFonts w:cs="Arial"/>
          <w:lang w:val="en"/>
        </w:rPr>
        <w:t xml:space="preserve"> </w:t>
      </w:r>
    </w:p>
    <w:p w14:paraId="02D4C25F" w14:textId="3DE2D093" w:rsidR="00862289" w:rsidRDefault="00F02479" w:rsidP="00B372EA">
      <w:pPr>
        <w:pStyle w:val="ListBullet"/>
        <w:ind w:left="0" w:firstLine="0"/>
        <w:rPr>
          <w:rFonts w:cs="Arial"/>
          <w:color w:val="auto"/>
          <w:lang w:val="en"/>
        </w:rPr>
      </w:pPr>
      <w:r w:rsidRPr="00D07F3F">
        <w:rPr>
          <w:rFonts w:cs="Arial"/>
          <w:b/>
          <w:color w:val="2A7187" w:themeColor="accent5" w:themeShade="BF"/>
          <w:lang w:val="en"/>
        </w:rPr>
        <w:t xml:space="preserve">Personnel </w:t>
      </w:r>
      <w:r w:rsidR="008413BB">
        <w:rPr>
          <w:rFonts w:cs="Arial"/>
          <w:b/>
          <w:color w:val="2A7187" w:themeColor="accent5" w:themeShade="BF"/>
          <w:lang w:val="en"/>
        </w:rPr>
        <w:t>c</w:t>
      </w:r>
      <w:r w:rsidRPr="00D07F3F">
        <w:rPr>
          <w:rFonts w:cs="Arial"/>
          <w:b/>
          <w:color w:val="2A7187" w:themeColor="accent5" w:themeShade="BF"/>
          <w:lang w:val="en"/>
        </w:rPr>
        <w:t>ontrols:</w:t>
      </w:r>
      <w:r w:rsidRPr="00D07F3F">
        <w:rPr>
          <w:rFonts w:cs="Arial"/>
          <w:color w:val="2A7187" w:themeColor="accent5" w:themeShade="BF"/>
          <w:lang w:val="en"/>
        </w:rPr>
        <w:t xml:space="preserve"> </w:t>
      </w:r>
      <w:r w:rsidR="007D581B" w:rsidRPr="00D07F3F">
        <w:rPr>
          <w:rFonts w:cs="Arial"/>
          <w:color w:val="auto"/>
          <w:lang w:val="en"/>
        </w:rPr>
        <w:t>t</w:t>
      </w:r>
      <w:r w:rsidR="00261428" w:rsidRPr="00D07F3F">
        <w:rPr>
          <w:rFonts w:cs="Arial"/>
          <w:color w:val="auto"/>
          <w:lang w:val="en"/>
        </w:rPr>
        <w:t xml:space="preserve">he </w:t>
      </w:r>
      <w:r w:rsidR="0025098A" w:rsidRPr="00D07F3F">
        <w:rPr>
          <w:rFonts w:cs="Arial"/>
          <w:color w:val="auto"/>
          <w:lang w:val="en"/>
        </w:rPr>
        <w:t>Personnel Security Policy</w:t>
      </w:r>
      <w:r w:rsidR="0025098A" w:rsidRPr="00D07F3F">
        <w:rPr>
          <w:rFonts w:cs="Arial"/>
          <w:b/>
          <w:bCs/>
          <w:color w:val="auto"/>
          <w:lang w:val="en"/>
        </w:rPr>
        <w:t xml:space="preserve"> </w:t>
      </w:r>
      <w:r w:rsidR="0025098A" w:rsidRPr="00D07F3F">
        <w:rPr>
          <w:rFonts w:cs="Arial"/>
          <w:color w:val="auto"/>
          <w:lang w:val="en"/>
        </w:rPr>
        <w:t xml:space="preserve">outlines the department’s personnel security requirements at all employment or engagement stages, including before commencement, during employment or engagement and </w:t>
      </w:r>
      <w:r w:rsidR="00261428" w:rsidRPr="00D07F3F">
        <w:rPr>
          <w:rFonts w:cs="Arial"/>
          <w:color w:val="auto"/>
          <w:lang w:val="en"/>
        </w:rPr>
        <w:t>post-employment</w:t>
      </w:r>
      <w:r w:rsidR="0025098A" w:rsidRPr="00D07F3F">
        <w:rPr>
          <w:rFonts w:cs="Arial"/>
          <w:color w:val="auto"/>
          <w:lang w:val="en"/>
        </w:rPr>
        <w:t xml:space="preserve">. This policy applies to all employment or engagement activities that are conducted by or on behalf of the </w:t>
      </w:r>
      <w:r w:rsidR="00D07F3F">
        <w:rPr>
          <w:rFonts w:cs="Arial"/>
          <w:color w:val="auto"/>
          <w:lang w:val="en"/>
        </w:rPr>
        <w:t>d</w:t>
      </w:r>
      <w:r w:rsidR="0025098A" w:rsidRPr="00D07F3F">
        <w:rPr>
          <w:rFonts w:cs="Arial"/>
          <w:color w:val="auto"/>
          <w:lang w:val="en"/>
        </w:rPr>
        <w:t>epartment.</w:t>
      </w:r>
    </w:p>
    <w:p w14:paraId="1D845D8D" w14:textId="51561B0F" w:rsidR="00EF27DF" w:rsidRPr="007D581B" w:rsidRDefault="006E6574" w:rsidP="009F14FD">
      <w:pPr>
        <w:pStyle w:val="Heading2"/>
        <w:rPr>
          <w:sz w:val="28"/>
          <w:szCs w:val="22"/>
        </w:rPr>
      </w:pPr>
      <w:bookmarkStart w:id="9" w:name="_Fraud_Detection"/>
      <w:bookmarkStart w:id="10" w:name="_Toc127213948"/>
      <w:bookmarkEnd w:id="8"/>
      <w:bookmarkEnd w:id="9"/>
      <w:r w:rsidRPr="007D581B">
        <w:rPr>
          <w:sz w:val="28"/>
          <w:szCs w:val="22"/>
        </w:rPr>
        <w:t>D</w:t>
      </w:r>
      <w:r w:rsidR="00EF27DF" w:rsidRPr="007D581B">
        <w:rPr>
          <w:sz w:val="28"/>
          <w:szCs w:val="22"/>
        </w:rPr>
        <w:t>etection</w:t>
      </w:r>
      <w:bookmarkEnd w:id="10"/>
    </w:p>
    <w:p w14:paraId="0EBFEDA8" w14:textId="250A68B5" w:rsidR="007A5C9C" w:rsidRPr="00D07F3F" w:rsidRDefault="007A5C9C" w:rsidP="00DE15A4">
      <w:pPr>
        <w:tabs>
          <w:tab w:val="left" w:pos="426"/>
          <w:tab w:val="left" w:pos="8364"/>
        </w:tabs>
        <w:rPr>
          <w:rFonts w:eastAsiaTheme="minorHAnsi" w:cs="Arial"/>
          <w:lang w:val="en-GB"/>
        </w:rPr>
      </w:pPr>
      <w:r w:rsidRPr="00D07F3F">
        <w:rPr>
          <w:rFonts w:eastAsiaTheme="minorHAnsi" w:cs="Arial"/>
          <w:lang w:val="en-GB"/>
        </w:rPr>
        <w:t xml:space="preserve">Effective systems are necessary to detect fraud and corruption as soon as possible to minimise impact on the </w:t>
      </w:r>
      <w:r w:rsidR="00022660" w:rsidRPr="00D07F3F">
        <w:rPr>
          <w:rFonts w:eastAsiaTheme="minorHAnsi" w:cs="Arial"/>
          <w:lang w:val="en-GB"/>
        </w:rPr>
        <w:t>d</w:t>
      </w:r>
      <w:r w:rsidRPr="00D07F3F">
        <w:rPr>
          <w:rFonts w:eastAsiaTheme="minorHAnsi" w:cs="Arial"/>
          <w:lang w:val="en-GB"/>
        </w:rPr>
        <w:t>epartment.</w:t>
      </w:r>
      <w:r w:rsidR="00022660" w:rsidRPr="00D07F3F">
        <w:rPr>
          <w:rFonts w:eastAsiaTheme="minorHAnsi" w:cs="Arial"/>
          <w:lang w:val="en-GB"/>
        </w:rPr>
        <w:t xml:space="preserve"> Measures to detect internal and external fraud, as well as corruption within the department include:</w:t>
      </w:r>
    </w:p>
    <w:p w14:paraId="17AEE7F9" w14:textId="77777777" w:rsidR="00CA1402" w:rsidRPr="009F7C45" w:rsidRDefault="00CA1402" w:rsidP="009F7C45">
      <w:r w:rsidRPr="009F7C45">
        <w:br w:type="page"/>
      </w:r>
    </w:p>
    <w:p w14:paraId="1392E475" w14:textId="62B36823" w:rsidR="0038136D" w:rsidRPr="00D07F3F" w:rsidRDefault="00D93FBC" w:rsidP="00DE15A4">
      <w:pPr>
        <w:tabs>
          <w:tab w:val="left" w:pos="426"/>
          <w:tab w:val="left" w:pos="8364"/>
        </w:tabs>
        <w:rPr>
          <w:rFonts w:eastAsiaTheme="minorHAnsi" w:cs="Arial"/>
          <w:lang w:val="en-GB"/>
        </w:rPr>
      </w:pPr>
      <w:r w:rsidRPr="00D07F3F">
        <w:rPr>
          <w:rFonts w:cs="Arial"/>
          <w:b/>
          <w:bCs/>
          <w:color w:val="2A7187" w:themeColor="accent5" w:themeShade="BF"/>
        </w:rPr>
        <w:lastRenderedPageBreak/>
        <w:t xml:space="preserve">Fraud </w:t>
      </w:r>
      <w:r w:rsidR="00FA5BBC">
        <w:rPr>
          <w:rFonts w:cs="Arial"/>
          <w:b/>
          <w:bCs/>
          <w:color w:val="2A7187" w:themeColor="accent5" w:themeShade="BF"/>
        </w:rPr>
        <w:t xml:space="preserve">and corruption </w:t>
      </w:r>
      <w:r w:rsidRPr="00D07F3F">
        <w:rPr>
          <w:rFonts w:cs="Arial"/>
          <w:b/>
          <w:bCs/>
          <w:color w:val="2A7187" w:themeColor="accent5" w:themeShade="BF"/>
        </w:rPr>
        <w:t>r</w:t>
      </w:r>
      <w:r w:rsidR="0038136D" w:rsidRPr="00D07F3F">
        <w:rPr>
          <w:rFonts w:cs="Arial"/>
          <w:b/>
          <w:bCs/>
          <w:color w:val="2A7187" w:themeColor="accent5" w:themeShade="BF"/>
        </w:rPr>
        <w:t xml:space="preserve">eporting </w:t>
      </w:r>
      <w:r w:rsidR="00C365A4" w:rsidRPr="00D07F3F">
        <w:rPr>
          <w:rFonts w:cs="Arial"/>
          <w:b/>
          <w:bCs/>
          <w:color w:val="2A7187" w:themeColor="accent5" w:themeShade="BF"/>
        </w:rPr>
        <w:t xml:space="preserve">channels: </w:t>
      </w:r>
      <w:r w:rsidR="008C782D" w:rsidRPr="00D07F3F">
        <w:rPr>
          <w:rFonts w:eastAsiaTheme="minorHAnsi" w:cs="Arial"/>
          <w:lang w:val="en-GB"/>
        </w:rPr>
        <w:t xml:space="preserve">the </w:t>
      </w:r>
      <w:r w:rsidR="00F72A84" w:rsidRPr="00D07F3F">
        <w:rPr>
          <w:rFonts w:eastAsiaTheme="minorHAnsi" w:cs="Arial"/>
          <w:lang w:val="en-GB"/>
        </w:rPr>
        <w:t>department</w:t>
      </w:r>
      <w:r w:rsidR="008C782D" w:rsidRPr="00D07F3F">
        <w:rPr>
          <w:rFonts w:eastAsiaTheme="minorHAnsi" w:cs="Arial"/>
          <w:lang w:val="en-GB"/>
        </w:rPr>
        <w:t xml:space="preserve"> has in place </w:t>
      </w:r>
      <w:r w:rsidR="00E71265" w:rsidRPr="00D07F3F">
        <w:rPr>
          <w:rFonts w:eastAsiaTheme="minorHAnsi" w:cs="Arial"/>
          <w:lang w:val="en-GB"/>
        </w:rPr>
        <w:t xml:space="preserve">a range of </w:t>
      </w:r>
      <w:r w:rsidR="008C782D" w:rsidRPr="00D07F3F">
        <w:rPr>
          <w:rFonts w:eastAsiaTheme="minorHAnsi" w:cs="Arial"/>
          <w:lang w:val="en-GB"/>
        </w:rPr>
        <w:t xml:space="preserve">reporting </w:t>
      </w:r>
      <w:r w:rsidR="00570A7A" w:rsidRPr="00D07F3F">
        <w:rPr>
          <w:rFonts w:eastAsiaTheme="minorHAnsi" w:cs="Arial"/>
          <w:lang w:val="en-GB"/>
        </w:rPr>
        <w:t>channels that allow c</w:t>
      </w:r>
      <w:r w:rsidR="0038136D" w:rsidRPr="00D07F3F">
        <w:rPr>
          <w:rFonts w:eastAsiaTheme="minorHAnsi" w:cs="Arial"/>
          <w:lang w:val="en-GB"/>
        </w:rPr>
        <w:t xml:space="preserve">ustomers, </w:t>
      </w:r>
      <w:r w:rsidR="000A7290">
        <w:rPr>
          <w:rFonts w:eastAsiaTheme="minorHAnsi" w:cs="Arial"/>
          <w:lang w:val="en-GB"/>
        </w:rPr>
        <w:t>our people</w:t>
      </w:r>
      <w:r w:rsidR="0038136D" w:rsidRPr="00D07F3F">
        <w:rPr>
          <w:rFonts w:eastAsiaTheme="minorHAnsi" w:cs="Arial"/>
          <w:lang w:val="en-GB"/>
        </w:rPr>
        <w:t>, the public, and other entities</w:t>
      </w:r>
      <w:r w:rsidR="00570A7A" w:rsidRPr="00D07F3F">
        <w:rPr>
          <w:rFonts w:eastAsiaTheme="minorHAnsi" w:cs="Arial"/>
          <w:lang w:val="en-GB"/>
        </w:rPr>
        <w:t xml:space="preserve"> to report suspected fraud and corruption</w:t>
      </w:r>
      <w:r w:rsidR="0038136D" w:rsidRPr="00D07F3F">
        <w:rPr>
          <w:rFonts w:eastAsiaTheme="minorHAnsi" w:cs="Arial"/>
          <w:lang w:val="en-GB"/>
        </w:rPr>
        <w:t xml:space="preserve">. Allegations are received in various forms, including feedback, audit </w:t>
      </w:r>
      <w:r w:rsidR="00DF63C9" w:rsidRPr="00D07F3F">
        <w:rPr>
          <w:rFonts w:eastAsiaTheme="minorHAnsi" w:cs="Arial"/>
          <w:lang w:val="en-GB"/>
        </w:rPr>
        <w:t xml:space="preserve">and assurance </w:t>
      </w:r>
      <w:r w:rsidR="0038136D" w:rsidRPr="00D07F3F">
        <w:rPr>
          <w:rFonts w:eastAsiaTheme="minorHAnsi" w:cs="Arial"/>
          <w:lang w:val="en-GB"/>
        </w:rPr>
        <w:t>findings, tip-offs, and monitoring activities. They are then assessed to determine if a formal investigation and/or compliance action is required</w:t>
      </w:r>
      <w:r w:rsidR="00427132" w:rsidRPr="00D07F3F">
        <w:rPr>
          <w:rFonts w:eastAsiaTheme="minorHAnsi" w:cs="Arial"/>
          <w:lang w:val="en-GB"/>
        </w:rPr>
        <w:t xml:space="preserve"> </w:t>
      </w:r>
      <w:r w:rsidR="0056679C" w:rsidRPr="00D07F3F">
        <w:rPr>
          <w:rFonts w:eastAsiaTheme="minorHAnsi" w:cs="Arial"/>
          <w:lang w:val="en-GB"/>
        </w:rPr>
        <w:t>or</w:t>
      </w:r>
      <w:r w:rsidR="00427132" w:rsidRPr="00D07F3F">
        <w:rPr>
          <w:rFonts w:eastAsiaTheme="minorHAnsi" w:cs="Arial"/>
          <w:lang w:val="en-GB"/>
        </w:rPr>
        <w:t xml:space="preserve"> if fraud </w:t>
      </w:r>
      <w:r w:rsidR="00FA5BBC">
        <w:rPr>
          <w:rFonts w:eastAsiaTheme="minorHAnsi" w:cs="Arial"/>
          <w:lang w:val="en-GB"/>
        </w:rPr>
        <w:t xml:space="preserve">or corruption </w:t>
      </w:r>
      <w:r w:rsidR="00427132" w:rsidRPr="00D07F3F">
        <w:rPr>
          <w:rFonts w:eastAsiaTheme="minorHAnsi" w:cs="Arial"/>
          <w:lang w:val="en-GB"/>
        </w:rPr>
        <w:t xml:space="preserve">prevention strategies need to be </w:t>
      </w:r>
      <w:r w:rsidR="00525F4F" w:rsidRPr="00D07F3F">
        <w:rPr>
          <w:rFonts w:eastAsiaTheme="minorHAnsi" w:cs="Arial"/>
          <w:lang w:val="en-GB"/>
        </w:rPr>
        <w:t>applied.</w:t>
      </w:r>
      <w:r w:rsidR="00FA5BBC" w:rsidRPr="00FA5BBC">
        <w:t xml:space="preserve"> </w:t>
      </w:r>
      <w:r w:rsidR="00FA5BBC" w:rsidRPr="00FA5BBC">
        <w:rPr>
          <w:rFonts w:eastAsiaTheme="minorHAnsi" w:cs="Arial"/>
          <w:lang w:val="en-GB"/>
        </w:rPr>
        <w:t>Any person (including members of the public and public officials) can voluntarily refer a corruption issue, or provide information about a corruption issue, to the NACC.</w:t>
      </w:r>
    </w:p>
    <w:p w14:paraId="31F96D2F" w14:textId="69B1F526" w:rsidR="00027BBA" w:rsidRPr="00D07F3F" w:rsidRDefault="00027BBA" w:rsidP="00DE15A4">
      <w:pPr>
        <w:tabs>
          <w:tab w:val="left" w:pos="426"/>
          <w:tab w:val="left" w:pos="8364"/>
        </w:tabs>
        <w:rPr>
          <w:rFonts w:eastAsiaTheme="minorHAnsi" w:cs="Arial"/>
          <w:lang w:val="en-GB"/>
        </w:rPr>
      </w:pPr>
      <w:r w:rsidRPr="00D07F3F">
        <w:rPr>
          <w:rFonts w:eastAsiaTheme="minorHAnsi" w:cs="Arial"/>
          <w:b/>
          <w:bCs/>
          <w:color w:val="2A7187" w:themeColor="accent5" w:themeShade="BF"/>
          <w:lang w:val="en-GB"/>
        </w:rPr>
        <w:t>Public Interest Disclosure (PID) Scheme:</w:t>
      </w:r>
      <w:r w:rsidRPr="00D07F3F">
        <w:rPr>
          <w:rFonts w:eastAsiaTheme="minorHAnsi" w:cs="Arial"/>
          <w:color w:val="2A7187" w:themeColor="accent5" w:themeShade="BF"/>
          <w:lang w:val="en-GB"/>
        </w:rPr>
        <w:t xml:space="preserve"> </w:t>
      </w:r>
      <w:r w:rsidR="00A13D36" w:rsidRPr="00D07F3F">
        <w:rPr>
          <w:rFonts w:eastAsiaTheme="minorHAnsi" w:cs="Arial"/>
          <w:lang w:val="en-GB"/>
        </w:rPr>
        <w:t>t</w:t>
      </w:r>
      <w:r w:rsidRPr="00D07F3F">
        <w:rPr>
          <w:rFonts w:eastAsiaTheme="minorHAnsi" w:cs="Arial"/>
          <w:lang w:val="en-GB"/>
        </w:rPr>
        <w:t xml:space="preserve">his scheme provides a legislative framework for the protected disclosure and investigation of serious wrongdoing within the </w:t>
      </w:r>
      <w:r w:rsidR="00B815C2" w:rsidRPr="00D07F3F">
        <w:rPr>
          <w:rFonts w:eastAsiaTheme="minorHAnsi" w:cs="Arial"/>
          <w:lang w:val="en-GB"/>
        </w:rPr>
        <w:t>Commonwealth public sector</w:t>
      </w:r>
      <w:r w:rsidRPr="00D07F3F">
        <w:rPr>
          <w:rFonts w:eastAsiaTheme="minorHAnsi" w:cs="Arial"/>
          <w:lang w:val="en-GB"/>
        </w:rPr>
        <w:t xml:space="preserve">. </w:t>
      </w:r>
      <w:r w:rsidR="00BD4338" w:rsidRPr="00D07F3F">
        <w:rPr>
          <w:rFonts w:cs="Arial"/>
        </w:rPr>
        <w:t>The</w:t>
      </w:r>
      <w:r w:rsidR="009C3998" w:rsidRPr="00D07F3F">
        <w:rPr>
          <w:rFonts w:cs="Arial"/>
        </w:rPr>
        <w:t xml:space="preserve"> department has </w:t>
      </w:r>
      <w:r w:rsidR="00E16B63" w:rsidRPr="00D07F3F">
        <w:rPr>
          <w:rFonts w:cs="Arial"/>
        </w:rPr>
        <w:t xml:space="preserve">PID procedures and a PID framework </w:t>
      </w:r>
      <w:r w:rsidR="009C3998" w:rsidRPr="00D07F3F">
        <w:rPr>
          <w:rFonts w:cs="Arial"/>
        </w:rPr>
        <w:t xml:space="preserve">which </w:t>
      </w:r>
      <w:r w:rsidR="00BD4338" w:rsidRPr="00D07F3F">
        <w:rPr>
          <w:rFonts w:cs="Arial"/>
        </w:rPr>
        <w:t>appl</w:t>
      </w:r>
      <w:r w:rsidR="009C3998" w:rsidRPr="00D07F3F">
        <w:rPr>
          <w:rFonts w:cs="Arial"/>
        </w:rPr>
        <w:t>ies</w:t>
      </w:r>
      <w:r w:rsidR="00BD4338" w:rsidRPr="00D07F3F">
        <w:rPr>
          <w:rFonts w:cs="Arial"/>
        </w:rPr>
        <w:t xml:space="preserve"> to the disclosure, receipt, assessment, investigation, and response to PIDs made to the </w:t>
      </w:r>
      <w:r w:rsidR="00F72A84" w:rsidRPr="00D07F3F">
        <w:rPr>
          <w:rFonts w:cs="Arial"/>
        </w:rPr>
        <w:t>department</w:t>
      </w:r>
      <w:r w:rsidR="00BD4338" w:rsidRPr="00D07F3F">
        <w:rPr>
          <w:rFonts w:cs="Arial"/>
        </w:rPr>
        <w:t xml:space="preserve">. </w:t>
      </w:r>
      <w:r w:rsidRPr="00D07F3F">
        <w:rPr>
          <w:rFonts w:eastAsiaTheme="minorHAnsi" w:cs="Arial"/>
          <w:lang w:val="en-GB"/>
        </w:rPr>
        <w:t xml:space="preserve">All </w:t>
      </w:r>
      <w:r w:rsidR="00C06A12" w:rsidRPr="00D07F3F">
        <w:rPr>
          <w:rFonts w:eastAsiaTheme="minorHAnsi" w:cs="Arial"/>
          <w:lang w:val="en-GB"/>
        </w:rPr>
        <w:t xml:space="preserve">officials </w:t>
      </w:r>
      <w:r w:rsidRPr="00D07F3F">
        <w:rPr>
          <w:rFonts w:eastAsiaTheme="minorHAnsi" w:cs="Arial"/>
          <w:lang w:val="en-GB"/>
        </w:rPr>
        <w:t xml:space="preserve">are encouraged to report suspected wrongdoing </w:t>
      </w:r>
      <w:r w:rsidR="00B815C2" w:rsidRPr="00D07F3F">
        <w:rPr>
          <w:rFonts w:eastAsiaTheme="minorHAnsi" w:cs="Arial"/>
          <w:lang w:val="en-GB"/>
        </w:rPr>
        <w:t xml:space="preserve">meeting the definition of a PID via </w:t>
      </w:r>
      <w:r w:rsidR="00112508" w:rsidRPr="00D07F3F">
        <w:rPr>
          <w:rFonts w:eastAsiaTheme="minorHAnsi" w:cs="Arial"/>
          <w:lang w:val="en-GB"/>
        </w:rPr>
        <w:t xml:space="preserve">established </w:t>
      </w:r>
      <w:r w:rsidR="00B815C2" w:rsidRPr="00D07F3F">
        <w:rPr>
          <w:rFonts w:eastAsiaTheme="minorHAnsi" w:cs="Arial"/>
          <w:lang w:val="en-GB"/>
        </w:rPr>
        <w:t xml:space="preserve">reporting </w:t>
      </w:r>
      <w:r w:rsidRPr="00D07F3F">
        <w:rPr>
          <w:rFonts w:eastAsiaTheme="minorHAnsi" w:cs="Arial"/>
          <w:lang w:val="en-GB"/>
        </w:rPr>
        <w:t>mechanisms.</w:t>
      </w:r>
    </w:p>
    <w:p w14:paraId="169A9956" w14:textId="67C74E99" w:rsidR="00027BBA" w:rsidRPr="00982249" w:rsidRDefault="00027BBA" w:rsidP="00BC52F6">
      <w:pPr>
        <w:tabs>
          <w:tab w:val="left" w:pos="426"/>
          <w:tab w:val="left" w:pos="8364"/>
        </w:tabs>
        <w:rPr>
          <w:rFonts w:eastAsiaTheme="minorHAnsi" w:cs="Arial"/>
          <w:color w:val="auto"/>
          <w:lang w:val="en-GB"/>
        </w:rPr>
      </w:pPr>
      <w:r w:rsidRPr="00D07F3F">
        <w:rPr>
          <w:rFonts w:eastAsiaTheme="minorHAnsi" w:cs="Arial"/>
          <w:b/>
          <w:bCs/>
          <w:color w:val="2A7187" w:themeColor="accent5" w:themeShade="BF"/>
          <w:lang w:val="en-GB"/>
        </w:rPr>
        <w:t xml:space="preserve">Financial </w:t>
      </w:r>
      <w:r w:rsidR="00910267" w:rsidRPr="00D07F3F">
        <w:rPr>
          <w:rFonts w:eastAsiaTheme="minorHAnsi" w:cs="Arial"/>
          <w:b/>
          <w:bCs/>
          <w:color w:val="2A7187" w:themeColor="accent5" w:themeShade="BF"/>
          <w:lang w:val="en-GB"/>
        </w:rPr>
        <w:t>m</w:t>
      </w:r>
      <w:r w:rsidRPr="00D07F3F">
        <w:rPr>
          <w:rFonts w:eastAsiaTheme="minorHAnsi" w:cs="Arial"/>
          <w:b/>
          <w:bCs/>
          <w:color w:val="2A7187" w:themeColor="accent5" w:themeShade="BF"/>
          <w:lang w:val="en-GB"/>
        </w:rPr>
        <w:t xml:space="preserve">anagement </w:t>
      </w:r>
      <w:r w:rsidR="00910267" w:rsidRPr="00D07F3F">
        <w:rPr>
          <w:rFonts w:eastAsiaTheme="minorHAnsi" w:cs="Arial"/>
          <w:b/>
          <w:bCs/>
          <w:color w:val="2A7187" w:themeColor="accent5" w:themeShade="BF"/>
          <w:lang w:val="en-GB"/>
        </w:rPr>
        <w:t>c</w:t>
      </w:r>
      <w:r w:rsidRPr="00D07F3F">
        <w:rPr>
          <w:rFonts w:eastAsiaTheme="minorHAnsi" w:cs="Arial"/>
          <w:b/>
          <w:bCs/>
          <w:color w:val="2A7187" w:themeColor="accent5" w:themeShade="BF"/>
          <w:lang w:val="en-GB"/>
        </w:rPr>
        <w:t>ompliance:</w:t>
      </w:r>
      <w:r w:rsidRPr="00D07F3F">
        <w:rPr>
          <w:rFonts w:eastAsiaTheme="minorHAnsi" w:cs="Arial"/>
          <w:color w:val="FF0000"/>
          <w:lang w:val="en-GB"/>
        </w:rPr>
        <w:t xml:space="preserve"> </w:t>
      </w:r>
      <w:r w:rsidR="00B815C2" w:rsidRPr="00D07F3F">
        <w:rPr>
          <w:rFonts w:eastAsiaTheme="minorHAnsi" w:cs="Arial"/>
          <w:color w:val="auto"/>
          <w:lang w:val="en-GB"/>
        </w:rPr>
        <w:t xml:space="preserve">the </w:t>
      </w:r>
      <w:r w:rsidR="00F72A84" w:rsidRPr="00D07F3F">
        <w:rPr>
          <w:rFonts w:eastAsiaTheme="minorHAnsi" w:cs="Arial"/>
          <w:color w:val="auto"/>
          <w:lang w:val="en-GB"/>
        </w:rPr>
        <w:t>department</w:t>
      </w:r>
      <w:r w:rsidR="00B815C2" w:rsidRPr="00D07F3F">
        <w:rPr>
          <w:rFonts w:eastAsiaTheme="minorHAnsi" w:cs="Arial"/>
          <w:color w:val="auto"/>
          <w:lang w:val="en-GB"/>
        </w:rPr>
        <w:t xml:space="preserve"> </w:t>
      </w:r>
      <w:r w:rsidRPr="00D07F3F">
        <w:rPr>
          <w:rFonts w:eastAsiaTheme="minorHAnsi" w:cs="Arial"/>
          <w:color w:val="auto"/>
          <w:lang w:val="en-GB"/>
        </w:rPr>
        <w:t xml:space="preserve">conducts a range of activities to monitor financial compliance across the </w:t>
      </w:r>
      <w:r w:rsidR="00F72A84" w:rsidRPr="00D07F3F">
        <w:rPr>
          <w:rFonts w:eastAsiaTheme="minorHAnsi" w:cs="Arial"/>
          <w:color w:val="auto"/>
          <w:lang w:val="en-GB"/>
        </w:rPr>
        <w:t>department</w:t>
      </w:r>
      <w:r w:rsidRPr="00D07F3F">
        <w:rPr>
          <w:rFonts w:eastAsiaTheme="minorHAnsi" w:cs="Arial"/>
          <w:color w:val="auto"/>
          <w:lang w:val="en-GB"/>
        </w:rPr>
        <w:t>. Fraudulent transactions are assessed and, where appropriate, referred for investigation.</w:t>
      </w:r>
      <w:r w:rsidR="00BC52F6" w:rsidRPr="00D07F3F">
        <w:rPr>
          <w:rFonts w:eastAsiaTheme="minorHAnsi" w:cs="Arial"/>
          <w:color w:val="auto"/>
          <w:lang w:val="en-GB"/>
        </w:rPr>
        <w:t xml:space="preserve"> The Financial Management and Compliance System</w:t>
      </w:r>
      <w:r w:rsidR="002F6E8B" w:rsidRPr="00D07F3F">
        <w:rPr>
          <w:rFonts w:eastAsiaTheme="minorHAnsi" w:cs="Arial"/>
          <w:color w:val="auto"/>
          <w:lang w:val="en-GB"/>
        </w:rPr>
        <w:t xml:space="preserve"> (FMCS)</w:t>
      </w:r>
      <w:r w:rsidR="00BC52F6" w:rsidRPr="00D07F3F">
        <w:rPr>
          <w:rFonts w:eastAsiaTheme="minorHAnsi" w:cs="Arial"/>
          <w:color w:val="auto"/>
          <w:lang w:val="en-GB"/>
        </w:rPr>
        <w:t xml:space="preserve"> is a suite of governance and compliance modules supporting all government agencies operating under the PGPA Act. FMCS provides real time self-service and </w:t>
      </w:r>
      <w:proofErr w:type="spellStart"/>
      <w:r w:rsidR="00BC52F6" w:rsidRPr="00D07F3F">
        <w:rPr>
          <w:rFonts w:eastAsiaTheme="minorHAnsi" w:cs="Arial"/>
          <w:color w:val="auto"/>
          <w:lang w:val="en-GB"/>
        </w:rPr>
        <w:t>wor</w:t>
      </w:r>
      <w:proofErr w:type="spellEnd"/>
      <w:r w:rsidR="00BC52F6" w:rsidRPr="00D07F3F">
        <w:rPr>
          <w:rFonts w:eastAsiaTheme="minorHAnsi" w:cs="Arial"/>
          <w:color w:val="auto"/>
          <w:lang w:val="en-GB"/>
        </w:rPr>
        <w:t>​</w:t>
      </w:r>
      <w:proofErr w:type="spellStart"/>
      <w:r w:rsidR="00BC52F6" w:rsidRPr="00D07F3F">
        <w:rPr>
          <w:rFonts w:eastAsiaTheme="minorHAnsi" w:cs="Arial"/>
          <w:color w:val="auto"/>
          <w:lang w:val="en-GB"/>
        </w:rPr>
        <w:t>kflow</w:t>
      </w:r>
      <w:proofErr w:type="spellEnd"/>
      <w:r w:rsidR="00BC52F6" w:rsidRPr="00D07F3F">
        <w:rPr>
          <w:rFonts w:eastAsiaTheme="minorHAnsi" w:cs="Arial"/>
          <w:color w:val="auto"/>
          <w:lang w:val="en-GB"/>
        </w:rPr>
        <w:t xml:space="preserve"> approval functionality for </w:t>
      </w:r>
      <w:r w:rsidR="0078169B" w:rsidRPr="00D07F3F">
        <w:rPr>
          <w:rFonts w:eastAsiaTheme="minorHAnsi" w:cs="Arial"/>
          <w:color w:val="auto"/>
          <w:lang w:val="en-GB"/>
        </w:rPr>
        <w:t>registering</w:t>
      </w:r>
      <w:r w:rsidR="00BC52F6" w:rsidRPr="00D07F3F">
        <w:rPr>
          <w:rFonts w:eastAsiaTheme="minorHAnsi" w:cs="Arial"/>
          <w:color w:val="auto"/>
          <w:lang w:val="en-GB"/>
        </w:rPr>
        <w:t xml:space="preserve"> non-compliance</w:t>
      </w:r>
      <w:r w:rsidR="006C7946" w:rsidRPr="00D07F3F">
        <w:rPr>
          <w:rFonts w:eastAsiaTheme="minorHAnsi" w:cs="Arial"/>
          <w:color w:val="auto"/>
          <w:lang w:val="en-GB"/>
        </w:rPr>
        <w:t xml:space="preserve">, </w:t>
      </w:r>
      <w:r w:rsidR="00BC52F6" w:rsidRPr="00D07F3F">
        <w:rPr>
          <w:rFonts w:eastAsiaTheme="minorHAnsi" w:cs="Arial"/>
          <w:color w:val="auto"/>
          <w:lang w:val="en-GB"/>
        </w:rPr>
        <w:t>hospitality applications</w:t>
      </w:r>
      <w:r w:rsidR="00FF21E5" w:rsidRPr="00D07F3F">
        <w:rPr>
          <w:rFonts w:eastAsiaTheme="minorHAnsi" w:cs="Arial"/>
          <w:color w:val="auto"/>
          <w:lang w:val="en-GB"/>
        </w:rPr>
        <w:t xml:space="preserve">, </w:t>
      </w:r>
      <w:r w:rsidR="00FF21E5" w:rsidRPr="00982249">
        <w:rPr>
          <w:rFonts w:eastAsiaTheme="minorHAnsi" w:cs="Arial"/>
          <w:color w:val="auto"/>
          <w:lang w:val="en-GB"/>
        </w:rPr>
        <w:t>fringe benefits tax</w:t>
      </w:r>
      <w:r w:rsidR="006B4BD9" w:rsidRPr="00982249">
        <w:rPr>
          <w:rFonts w:eastAsiaTheme="minorHAnsi" w:cs="Arial"/>
          <w:color w:val="auto"/>
          <w:lang w:val="en-GB"/>
        </w:rPr>
        <w:t>,</w:t>
      </w:r>
      <w:r w:rsidR="006C7946" w:rsidRPr="00982249">
        <w:rPr>
          <w:rFonts w:eastAsiaTheme="minorHAnsi" w:cs="Arial"/>
          <w:color w:val="auto"/>
          <w:lang w:val="en-GB"/>
        </w:rPr>
        <w:t xml:space="preserve"> and </w:t>
      </w:r>
      <w:r w:rsidR="00BC52F6" w:rsidRPr="00982249">
        <w:rPr>
          <w:rFonts w:eastAsiaTheme="minorHAnsi" w:cs="Arial"/>
          <w:color w:val="auto"/>
          <w:lang w:val="en-GB"/>
        </w:rPr>
        <w:t>gifts</w:t>
      </w:r>
      <w:r w:rsidR="006B4BD9" w:rsidRPr="00982249">
        <w:rPr>
          <w:rFonts w:eastAsiaTheme="minorHAnsi" w:cs="Arial"/>
          <w:color w:val="auto"/>
          <w:lang w:val="en-GB"/>
        </w:rPr>
        <w:t xml:space="preserve"> and </w:t>
      </w:r>
      <w:r w:rsidR="00BC52F6" w:rsidRPr="00982249">
        <w:rPr>
          <w:rFonts w:eastAsiaTheme="minorHAnsi" w:cs="Arial"/>
          <w:color w:val="auto"/>
          <w:lang w:val="en-GB"/>
        </w:rPr>
        <w:t>benefits from external parties.</w:t>
      </w:r>
    </w:p>
    <w:p w14:paraId="5BFA9A0A" w14:textId="7DF1DC35" w:rsidR="00E0718C" w:rsidRPr="00982249" w:rsidRDefault="00E0718C" w:rsidP="00E0718C">
      <w:pPr>
        <w:tabs>
          <w:tab w:val="left" w:pos="426"/>
          <w:tab w:val="left" w:pos="8364"/>
        </w:tabs>
        <w:rPr>
          <w:rFonts w:eastAsiaTheme="minorHAnsi" w:cs="Arial"/>
          <w:color w:val="auto"/>
          <w:lang w:val="en-GB"/>
        </w:rPr>
      </w:pPr>
      <w:r w:rsidRPr="00982249">
        <w:rPr>
          <w:rFonts w:eastAsiaTheme="minorHAnsi" w:cs="Arial"/>
          <w:b/>
          <w:bCs/>
          <w:color w:val="2A7187" w:themeColor="accent5" w:themeShade="BF"/>
          <w:lang w:val="en-GB"/>
        </w:rPr>
        <w:t>Grant management compliance:</w:t>
      </w:r>
      <w:r w:rsidRPr="00982249">
        <w:rPr>
          <w:rFonts w:eastAsiaTheme="minorHAnsi" w:cs="Arial"/>
          <w:color w:val="FF0000"/>
          <w:lang w:val="en-GB"/>
        </w:rPr>
        <w:t xml:space="preserve"> </w:t>
      </w:r>
      <w:r w:rsidRPr="00982249">
        <w:rPr>
          <w:rFonts w:eastAsiaTheme="minorHAnsi" w:cs="Arial"/>
          <w:color w:val="auto"/>
          <w:lang w:val="en-GB"/>
        </w:rPr>
        <w:t>the department works closely with the Community Grants Hub, the Business Grants Hub and the National Health and Medical Research Council</w:t>
      </w:r>
      <w:r w:rsidR="00982249">
        <w:rPr>
          <w:rFonts w:eastAsiaTheme="minorHAnsi" w:cs="Arial"/>
          <w:color w:val="auto"/>
          <w:lang w:val="en-GB"/>
        </w:rPr>
        <w:t xml:space="preserve"> (NHMRC)</w:t>
      </w:r>
      <w:r w:rsidRPr="00982249">
        <w:rPr>
          <w:rFonts w:eastAsiaTheme="minorHAnsi" w:cs="Arial"/>
          <w:color w:val="auto"/>
          <w:lang w:val="en-GB"/>
        </w:rPr>
        <w:t xml:space="preserve"> to administer grants across all Outcomes and most Programs. In undertaking grant establishment and management activities on behalf of the department, the hubs and the NHMRC refer serious non-compliance and any indications of fraud or corruption to the department for consideration.</w:t>
      </w:r>
    </w:p>
    <w:p w14:paraId="06BA5185" w14:textId="7638DB05" w:rsidR="002852C8" w:rsidRPr="00D07F3F" w:rsidRDefault="00027BBA" w:rsidP="002852C8">
      <w:pPr>
        <w:tabs>
          <w:tab w:val="left" w:pos="426"/>
          <w:tab w:val="left" w:pos="8364"/>
        </w:tabs>
        <w:rPr>
          <w:rFonts w:eastAsiaTheme="minorHAnsi" w:cs="Arial"/>
          <w:color w:val="auto"/>
          <w:lang w:val="en-GB"/>
        </w:rPr>
      </w:pPr>
      <w:r w:rsidRPr="00982249">
        <w:rPr>
          <w:rFonts w:cs="Arial"/>
          <w:b/>
          <w:color w:val="2A7187" w:themeColor="accent5" w:themeShade="BF"/>
          <w:lang w:eastAsia="en-AU"/>
        </w:rPr>
        <w:t>Internal</w:t>
      </w:r>
      <w:r w:rsidR="002852C8" w:rsidRPr="00982249">
        <w:rPr>
          <w:rFonts w:cs="Arial"/>
          <w:b/>
          <w:color w:val="2A7187" w:themeColor="accent5" w:themeShade="BF"/>
          <w:lang w:eastAsia="en-AU"/>
        </w:rPr>
        <w:t xml:space="preserve"> </w:t>
      </w:r>
      <w:r w:rsidR="006B4BD9" w:rsidRPr="00982249">
        <w:rPr>
          <w:rFonts w:cs="Arial"/>
          <w:b/>
          <w:color w:val="2A7187" w:themeColor="accent5" w:themeShade="BF"/>
          <w:lang w:eastAsia="en-AU"/>
        </w:rPr>
        <w:t>a</w:t>
      </w:r>
      <w:r w:rsidRPr="00982249">
        <w:rPr>
          <w:rFonts w:cs="Arial"/>
          <w:b/>
          <w:color w:val="2A7187" w:themeColor="accent5" w:themeShade="BF"/>
          <w:lang w:eastAsia="en-AU"/>
        </w:rPr>
        <w:t>udit:</w:t>
      </w:r>
      <w:r w:rsidRPr="00982249">
        <w:rPr>
          <w:rFonts w:eastAsiaTheme="minorHAnsi" w:cs="Arial"/>
          <w:color w:val="2A7187" w:themeColor="accent5" w:themeShade="BF"/>
          <w:lang w:val="en-GB"/>
        </w:rPr>
        <w:t xml:space="preserve"> </w:t>
      </w:r>
      <w:r w:rsidR="007D581B" w:rsidRPr="00982249">
        <w:rPr>
          <w:rFonts w:eastAsiaTheme="minorHAnsi" w:cs="Arial"/>
          <w:color w:val="auto"/>
          <w:lang w:val="en-GB"/>
        </w:rPr>
        <w:t>a</w:t>
      </w:r>
      <w:r w:rsidR="002852C8" w:rsidRPr="00982249">
        <w:rPr>
          <w:rFonts w:eastAsiaTheme="minorHAnsi" w:cs="Arial"/>
          <w:color w:val="auto"/>
          <w:lang w:val="en-GB"/>
        </w:rPr>
        <w:t xml:space="preserve">n independent internal audit function has been established to conduct reviews into the </w:t>
      </w:r>
      <w:r w:rsidR="00F3412F" w:rsidRPr="00982249">
        <w:rPr>
          <w:rFonts w:eastAsiaTheme="minorHAnsi" w:cs="Arial"/>
          <w:color w:val="auto"/>
          <w:lang w:val="en-GB"/>
        </w:rPr>
        <w:t>d</w:t>
      </w:r>
      <w:r w:rsidR="002852C8" w:rsidRPr="00982249">
        <w:rPr>
          <w:rFonts w:eastAsiaTheme="minorHAnsi" w:cs="Arial"/>
          <w:color w:val="auto"/>
          <w:lang w:val="en-GB"/>
        </w:rPr>
        <w:t>epartment’s</w:t>
      </w:r>
      <w:r w:rsidR="002852C8" w:rsidRPr="00D07F3F">
        <w:rPr>
          <w:rFonts w:eastAsiaTheme="minorHAnsi" w:cs="Arial"/>
          <w:color w:val="auto"/>
          <w:lang w:val="en-GB"/>
        </w:rPr>
        <w:t xml:space="preserve"> activities, </w:t>
      </w:r>
      <w:proofErr w:type="gramStart"/>
      <w:r w:rsidR="002852C8" w:rsidRPr="00D07F3F">
        <w:rPr>
          <w:rFonts w:eastAsiaTheme="minorHAnsi" w:cs="Arial"/>
          <w:color w:val="auto"/>
          <w:lang w:val="en-GB"/>
        </w:rPr>
        <w:t>systems</w:t>
      </w:r>
      <w:proofErr w:type="gramEnd"/>
      <w:r w:rsidR="002852C8" w:rsidRPr="00D07F3F">
        <w:rPr>
          <w:rFonts w:eastAsiaTheme="minorHAnsi" w:cs="Arial"/>
          <w:color w:val="auto"/>
          <w:lang w:val="en-GB"/>
        </w:rPr>
        <w:t xml:space="preserve"> and practices. </w:t>
      </w:r>
      <w:r w:rsidR="0008124F" w:rsidRPr="00D07F3F">
        <w:rPr>
          <w:rFonts w:eastAsiaTheme="minorHAnsi" w:cs="Arial"/>
          <w:color w:val="auto"/>
          <w:lang w:val="en-GB"/>
        </w:rPr>
        <w:t xml:space="preserve">This provides the department with audit services and a range of assurance activities that give line areas </w:t>
      </w:r>
      <w:r w:rsidR="006B4BD9" w:rsidRPr="00D07F3F">
        <w:rPr>
          <w:rFonts w:eastAsiaTheme="minorHAnsi" w:cs="Arial"/>
          <w:color w:val="auto"/>
          <w:lang w:val="en-GB"/>
        </w:rPr>
        <w:t xml:space="preserve">and the department </w:t>
      </w:r>
      <w:r w:rsidR="0008124F" w:rsidRPr="00D07F3F">
        <w:rPr>
          <w:rFonts w:eastAsiaTheme="minorHAnsi" w:cs="Arial"/>
          <w:color w:val="auto"/>
          <w:lang w:val="en-GB"/>
        </w:rPr>
        <w:t xml:space="preserve">the confidence that programs or functions are operating effectively. </w:t>
      </w:r>
    </w:p>
    <w:p w14:paraId="6C0D4C4F" w14:textId="540A9DAA" w:rsidR="004939F5" w:rsidRPr="00D07F3F" w:rsidRDefault="008D2B3A" w:rsidP="00DE15A4">
      <w:pPr>
        <w:tabs>
          <w:tab w:val="left" w:pos="426"/>
          <w:tab w:val="left" w:pos="8364"/>
        </w:tabs>
        <w:rPr>
          <w:rFonts w:eastAsiaTheme="minorHAnsi" w:cs="Arial"/>
          <w:color w:val="auto"/>
          <w:lang w:val="en-GB"/>
        </w:rPr>
      </w:pPr>
      <w:r w:rsidRPr="00D07F3F">
        <w:rPr>
          <w:rFonts w:eastAsiaTheme="minorHAnsi" w:cs="Arial"/>
          <w:b/>
          <w:bCs/>
          <w:color w:val="2A7187" w:themeColor="accent5" w:themeShade="BF"/>
          <w:lang w:val="en-GB"/>
        </w:rPr>
        <w:t xml:space="preserve">Data </w:t>
      </w:r>
      <w:r w:rsidR="006B4BD9" w:rsidRPr="00D07F3F">
        <w:rPr>
          <w:rFonts w:eastAsiaTheme="minorHAnsi" w:cs="Arial"/>
          <w:b/>
          <w:bCs/>
          <w:color w:val="2A7187" w:themeColor="accent5" w:themeShade="BF"/>
          <w:lang w:val="en-GB"/>
        </w:rPr>
        <w:t>a</w:t>
      </w:r>
      <w:r w:rsidRPr="00D07F3F">
        <w:rPr>
          <w:rFonts w:eastAsiaTheme="minorHAnsi" w:cs="Arial"/>
          <w:b/>
          <w:bCs/>
          <w:color w:val="2A7187" w:themeColor="accent5" w:themeShade="BF"/>
          <w:lang w:val="en-GB"/>
        </w:rPr>
        <w:t>nalytics</w:t>
      </w:r>
      <w:r w:rsidR="004F331A" w:rsidRPr="00D07F3F">
        <w:rPr>
          <w:rFonts w:eastAsiaTheme="minorHAnsi" w:cs="Arial"/>
          <w:b/>
          <w:bCs/>
          <w:color w:val="2A7187" w:themeColor="accent5" w:themeShade="BF"/>
          <w:lang w:val="en-GB"/>
        </w:rPr>
        <w:t>:</w:t>
      </w:r>
      <w:r w:rsidR="004F331A" w:rsidRPr="00D07F3F">
        <w:rPr>
          <w:rFonts w:eastAsiaTheme="minorHAnsi" w:cs="Arial"/>
          <w:color w:val="2A7187" w:themeColor="accent5" w:themeShade="BF"/>
          <w:lang w:val="en-GB"/>
        </w:rPr>
        <w:t xml:space="preserve"> </w:t>
      </w:r>
      <w:r w:rsidR="007D581B" w:rsidRPr="00D07F3F">
        <w:rPr>
          <w:rFonts w:eastAsiaTheme="minorHAnsi" w:cs="Arial"/>
          <w:color w:val="auto"/>
          <w:lang w:val="en-GB"/>
        </w:rPr>
        <w:t>t</w:t>
      </w:r>
      <w:r w:rsidR="004F331A" w:rsidRPr="00D07F3F">
        <w:rPr>
          <w:rFonts w:eastAsiaTheme="minorHAnsi" w:cs="Arial"/>
          <w:color w:val="auto"/>
          <w:lang w:val="en-GB"/>
        </w:rPr>
        <w:t xml:space="preserve">he department </w:t>
      </w:r>
      <w:r w:rsidR="00022660" w:rsidRPr="00D07F3F">
        <w:rPr>
          <w:rFonts w:eastAsiaTheme="minorHAnsi" w:cs="Arial"/>
          <w:color w:val="auto"/>
          <w:lang w:val="en-GB"/>
        </w:rPr>
        <w:t>uses</w:t>
      </w:r>
      <w:r w:rsidR="004F331A" w:rsidRPr="00D07F3F">
        <w:rPr>
          <w:rFonts w:eastAsiaTheme="minorHAnsi" w:cs="Arial"/>
          <w:color w:val="auto"/>
          <w:lang w:val="en-GB"/>
        </w:rPr>
        <w:t xml:space="preserve"> data analytics </w:t>
      </w:r>
      <w:r w:rsidR="007B226B" w:rsidRPr="00D07F3F">
        <w:rPr>
          <w:rFonts w:eastAsiaTheme="minorHAnsi" w:cs="Arial"/>
          <w:color w:val="auto"/>
          <w:lang w:val="en-GB"/>
        </w:rPr>
        <w:t>to</w:t>
      </w:r>
      <w:r w:rsidR="004F331A" w:rsidRPr="00D07F3F">
        <w:rPr>
          <w:rFonts w:eastAsiaTheme="minorHAnsi" w:cs="Arial"/>
          <w:color w:val="auto"/>
          <w:lang w:val="en-GB"/>
        </w:rPr>
        <w:t xml:space="preserve"> identify fraud</w:t>
      </w:r>
      <w:r w:rsidR="007B226B" w:rsidRPr="00D07F3F">
        <w:rPr>
          <w:rFonts w:eastAsiaTheme="minorHAnsi" w:cs="Arial"/>
          <w:color w:val="auto"/>
          <w:lang w:val="en-GB"/>
        </w:rPr>
        <w:t xml:space="preserve"> </w:t>
      </w:r>
      <w:r w:rsidR="004F331A" w:rsidRPr="00D07F3F">
        <w:rPr>
          <w:rFonts w:eastAsiaTheme="minorHAnsi" w:cs="Arial"/>
          <w:color w:val="auto"/>
          <w:lang w:val="en-GB"/>
        </w:rPr>
        <w:t xml:space="preserve">and incorrect claiming, including data matching to identify anomalous claiming patterns, </w:t>
      </w:r>
      <w:r w:rsidR="00081FB6" w:rsidRPr="00D07F3F">
        <w:rPr>
          <w:rFonts w:eastAsiaTheme="minorHAnsi" w:cs="Arial"/>
          <w:color w:val="auto"/>
          <w:lang w:val="en-GB"/>
        </w:rPr>
        <w:t>trends,</w:t>
      </w:r>
      <w:r w:rsidR="004F331A" w:rsidRPr="00D07F3F">
        <w:rPr>
          <w:rFonts w:eastAsiaTheme="minorHAnsi" w:cs="Arial"/>
          <w:color w:val="auto"/>
          <w:lang w:val="en-GB"/>
        </w:rPr>
        <w:t xml:space="preserve"> and behaviours</w:t>
      </w:r>
      <w:r w:rsidR="00022660" w:rsidRPr="00D07F3F">
        <w:rPr>
          <w:rFonts w:eastAsiaTheme="minorHAnsi" w:cs="Arial"/>
          <w:color w:val="auto"/>
          <w:lang w:val="en-GB"/>
        </w:rPr>
        <w:t xml:space="preserve"> by </w:t>
      </w:r>
      <w:r w:rsidR="00E0718C">
        <w:rPr>
          <w:rFonts w:eastAsiaTheme="minorHAnsi" w:cs="Arial"/>
          <w:color w:val="auto"/>
          <w:lang w:val="en-GB"/>
        </w:rPr>
        <w:t xml:space="preserve">health benefits </w:t>
      </w:r>
      <w:r w:rsidR="007B226B" w:rsidRPr="00D07F3F">
        <w:rPr>
          <w:rFonts w:eastAsiaTheme="minorHAnsi" w:cs="Arial"/>
          <w:color w:val="auto"/>
          <w:lang w:val="en-GB"/>
        </w:rPr>
        <w:t>providers</w:t>
      </w:r>
      <w:r w:rsidR="004F331A" w:rsidRPr="00D07F3F">
        <w:rPr>
          <w:rFonts w:eastAsiaTheme="minorHAnsi" w:cs="Arial"/>
          <w:color w:val="auto"/>
          <w:lang w:val="en-GB"/>
        </w:rPr>
        <w:t>.</w:t>
      </w:r>
    </w:p>
    <w:p w14:paraId="2FCA26B0" w14:textId="7FEBD53C" w:rsidR="00BE7AF2" w:rsidRPr="00D07F3F" w:rsidRDefault="00734F12" w:rsidP="00BE7AF2">
      <w:pPr>
        <w:tabs>
          <w:tab w:val="left" w:pos="426"/>
          <w:tab w:val="left" w:pos="8364"/>
        </w:tabs>
        <w:rPr>
          <w:rFonts w:cs="Arial"/>
        </w:rPr>
      </w:pPr>
      <w:r w:rsidRPr="00D07F3F">
        <w:rPr>
          <w:rFonts w:cs="Arial"/>
          <w:b/>
          <w:bCs/>
          <w:color w:val="2A7187" w:themeColor="accent5" w:themeShade="BF"/>
        </w:rPr>
        <w:t xml:space="preserve">Data </w:t>
      </w:r>
      <w:r w:rsidR="008413BB">
        <w:rPr>
          <w:rFonts w:cs="Arial"/>
          <w:b/>
          <w:bCs/>
          <w:color w:val="2A7187" w:themeColor="accent5" w:themeShade="BF"/>
        </w:rPr>
        <w:t>s</w:t>
      </w:r>
      <w:r w:rsidRPr="00D07F3F">
        <w:rPr>
          <w:rFonts w:cs="Arial"/>
          <w:b/>
          <w:bCs/>
          <w:color w:val="2A7187" w:themeColor="accent5" w:themeShade="BF"/>
        </w:rPr>
        <w:t>haring:</w:t>
      </w:r>
      <w:r w:rsidRPr="00D07F3F">
        <w:rPr>
          <w:rFonts w:cs="Arial"/>
          <w:color w:val="276066" w:themeColor="accent2" w:themeShade="BF"/>
        </w:rPr>
        <w:t xml:space="preserve"> </w:t>
      </w:r>
      <w:r w:rsidR="007D581B" w:rsidRPr="00D07F3F">
        <w:rPr>
          <w:rFonts w:cs="Arial"/>
        </w:rPr>
        <w:t>i</w:t>
      </w:r>
      <w:r w:rsidR="00BE7AF2" w:rsidRPr="00D07F3F">
        <w:rPr>
          <w:rFonts w:cs="Arial"/>
        </w:rPr>
        <w:t xml:space="preserve">nternal and external data sharing </w:t>
      </w:r>
      <w:r w:rsidR="001E5D26" w:rsidRPr="00D07F3F">
        <w:rPr>
          <w:rFonts w:cs="Arial"/>
        </w:rPr>
        <w:t>is</w:t>
      </w:r>
      <w:r w:rsidR="00BE7AF2" w:rsidRPr="00D07F3F">
        <w:rPr>
          <w:rFonts w:cs="Arial"/>
        </w:rPr>
        <w:t xml:space="preserve"> a powerful tool to prevent and detect fraud and corruption. Data and information sharing arrangements help verify the identity and eligibility of claimants, prevent claimants illegitimately accessing multiple supports and services, and disrupt fraud and corruption networks. </w:t>
      </w:r>
    </w:p>
    <w:p w14:paraId="46E57EFA" w14:textId="744DB0A6" w:rsidR="00142940" w:rsidRPr="007D581B" w:rsidRDefault="00142940" w:rsidP="009F14FD">
      <w:pPr>
        <w:pStyle w:val="Heading2"/>
        <w:rPr>
          <w:sz w:val="28"/>
          <w:szCs w:val="22"/>
        </w:rPr>
      </w:pPr>
      <w:r w:rsidRPr="007D581B">
        <w:rPr>
          <w:sz w:val="28"/>
          <w:szCs w:val="22"/>
        </w:rPr>
        <w:t>Response</w:t>
      </w:r>
    </w:p>
    <w:p w14:paraId="32263421" w14:textId="08D48A06" w:rsidR="00DE62BE" w:rsidRPr="00D07F3F" w:rsidRDefault="00DE62BE" w:rsidP="009F14FD">
      <w:pPr>
        <w:rPr>
          <w:rFonts w:cs="Arial"/>
        </w:rPr>
      </w:pPr>
      <w:r w:rsidRPr="00D07F3F">
        <w:rPr>
          <w:rFonts w:cs="Arial"/>
        </w:rPr>
        <w:t xml:space="preserve">Response controls </w:t>
      </w:r>
      <w:r w:rsidR="00022660" w:rsidRPr="00D07F3F">
        <w:rPr>
          <w:rFonts w:cs="Arial"/>
        </w:rPr>
        <w:t>are a key element in the overall fraud control framework</w:t>
      </w:r>
      <w:r w:rsidR="007A5C9C" w:rsidRPr="00D07F3F">
        <w:rPr>
          <w:rFonts w:cs="Arial"/>
        </w:rPr>
        <w:t>. The primary objective is to ensure perpetrators are identified and appropriate remedies are applied to achieve a deterrent effect.</w:t>
      </w:r>
      <w:r w:rsidR="00022660" w:rsidRPr="00D07F3F">
        <w:rPr>
          <w:rFonts w:cs="Arial"/>
        </w:rPr>
        <w:t xml:space="preserve"> Response strategies include:</w:t>
      </w:r>
    </w:p>
    <w:p w14:paraId="7F18A58A" w14:textId="77777777" w:rsidR="00CA1402" w:rsidRPr="009F7C45" w:rsidRDefault="00CA1402" w:rsidP="009F7C45">
      <w:pPr>
        <w:rPr>
          <w:rFonts w:eastAsia="Calibri Light"/>
        </w:rPr>
      </w:pPr>
      <w:r w:rsidRPr="009F7C45">
        <w:rPr>
          <w:rFonts w:eastAsia="Calibri Light"/>
        </w:rPr>
        <w:br w:type="page"/>
      </w:r>
    </w:p>
    <w:p w14:paraId="2EF5B69A" w14:textId="2C060C75" w:rsidR="00891EEA" w:rsidRPr="00D07F3F" w:rsidRDefault="00523521" w:rsidP="009F14FD">
      <w:pPr>
        <w:rPr>
          <w:rFonts w:cs="Arial"/>
        </w:rPr>
      </w:pPr>
      <w:r w:rsidRPr="00D07F3F">
        <w:rPr>
          <w:rFonts w:eastAsia="Calibri Light" w:cs="Arial"/>
          <w:b/>
          <w:color w:val="2A7187" w:themeColor="accent5" w:themeShade="BF"/>
        </w:rPr>
        <w:lastRenderedPageBreak/>
        <w:t xml:space="preserve">Fraud </w:t>
      </w:r>
      <w:r w:rsidR="008413BB">
        <w:rPr>
          <w:rFonts w:eastAsia="Calibri Light" w:cs="Arial"/>
          <w:b/>
          <w:color w:val="2A7187" w:themeColor="accent5" w:themeShade="BF"/>
        </w:rPr>
        <w:t>and corruption i</w:t>
      </w:r>
      <w:r w:rsidR="007A5C9C" w:rsidRPr="00D07F3F">
        <w:rPr>
          <w:rFonts w:eastAsia="Calibri Light" w:cs="Arial"/>
          <w:b/>
          <w:color w:val="2A7187" w:themeColor="accent5" w:themeShade="BF"/>
        </w:rPr>
        <w:t>nvestigation</w:t>
      </w:r>
      <w:r w:rsidR="00DE62BE" w:rsidRPr="00D07F3F">
        <w:rPr>
          <w:rFonts w:eastAsia="Calibri Light" w:cs="Arial"/>
          <w:b/>
          <w:color w:val="2A7187" w:themeColor="accent5" w:themeShade="BF"/>
        </w:rPr>
        <w:t>:</w:t>
      </w:r>
      <w:r w:rsidR="00DE62BE" w:rsidRPr="00D07F3F">
        <w:rPr>
          <w:rFonts w:cs="Arial"/>
        </w:rPr>
        <w:t xml:space="preserve"> </w:t>
      </w:r>
      <w:r w:rsidR="007D581B" w:rsidRPr="00D07F3F">
        <w:rPr>
          <w:rFonts w:cs="Arial"/>
        </w:rPr>
        <w:t>a</w:t>
      </w:r>
      <w:r w:rsidR="00EE6C93" w:rsidRPr="00D07F3F">
        <w:rPr>
          <w:rFonts w:cs="Arial"/>
        </w:rPr>
        <w:t>ll fraud</w:t>
      </w:r>
      <w:r w:rsidR="008413BB">
        <w:rPr>
          <w:rFonts w:cs="Arial"/>
        </w:rPr>
        <w:t xml:space="preserve"> and corruption</w:t>
      </w:r>
      <w:r w:rsidR="00EE6C93" w:rsidRPr="00D07F3F">
        <w:rPr>
          <w:rFonts w:cs="Arial"/>
        </w:rPr>
        <w:t xml:space="preserve"> investigations conducted by the department are undertaken in accordance with the Australian Government Investigation Standards</w:t>
      </w:r>
      <w:r w:rsidR="00022660" w:rsidRPr="00D07F3F">
        <w:rPr>
          <w:rFonts w:cs="Arial"/>
        </w:rPr>
        <w:t xml:space="preserve"> (AGIS)</w:t>
      </w:r>
      <w:r w:rsidR="00EE6C93" w:rsidRPr="00D07F3F">
        <w:rPr>
          <w:rFonts w:cs="Arial"/>
        </w:rPr>
        <w:t xml:space="preserve">. </w:t>
      </w:r>
      <w:r w:rsidR="00281266" w:rsidRPr="00D07F3F">
        <w:rPr>
          <w:rFonts w:cs="Arial"/>
        </w:rPr>
        <w:t>This includes serious or complex criminal investigations, which may be referred to the A</w:t>
      </w:r>
      <w:r w:rsidR="00EE6C93" w:rsidRPr="00D07F3F">
        <w:rPr>
          <w:rFonts w:cs="Arial"/>
        </w:rPr>
        <w:t>ustralian Federal Police</w:t>
      </w:r>
      <w:r w:rsidR="00FA5BBC">
        <w:rPr>
          <w:rFonts w:cs="Arial"/>
        </w:rPr>
        <w:t>, or corruption issues including PIDs, which may be referred to the NACC</w:t>
      </w:r>
      <w:r w:rsidR="000C71E4">
        <w:rPr>
          <w:rFonts w:cs="Arial"/>
        </w:rPr>
        <w:t xml:space="preserve">. </w:t>
      </w:r>
      <w:r w:rsidR="00281266" w:rsidRPr="00D07F3F">
        <w:rPr>
          <w:rFonts w:cs="Arial"/>
        </w:rPr>
        <w:t xml:space="preserve">Matters outside the departments’ responsibility are referred to the relevant entity. </w:t>
      </w:r>
      <w:r w:rsidR="005B15D9" w:rsidRPr="00D07F3F">
        <w:rPr>
          <w:rFonts w:cs="Arial"/>
        </w:rPr>
        <w:t>A</w:t>
      </w:r>
      <w:r w:rsidR="00B64EA3" w:rsidRPr="00D07F3F">
        <w:rPr>
          <w:rFonts w:cs="Arial"/>
        </w:rPr>
        <w:t>ll d</w:t>
      </w:r>
      <w:r w:rsidR="00287ED7" w:rsidRPr="00D07F3F">
        <w:rPr>
          <w:rFonts w:cs="Arial"/>
        </w:rPr>
        <w:t>isclosure</w:t>
      </w:r>
      <w:r w:rsidR="00B64EA3" w:rsidRPr="00D07F3F">
        <w:rPr>
          <w:rFonts w:cs="Arial"/>
        </w:rPr>
        <w:t xml:space="preserve">s </w:t>
      </w:r>
      <w:r w:rsidR="00891EEA" w:rsidRPr="00D07F3F">
        <w:rPr>
          <w:rFonts w:cs="Arial"/>
        </w:rPr>
        <w:t>involving another agency’s activities or programs</w:t>
      </w:r>
      <w:r w:rsidR="00287ED7" w:rsidRPr="00D07F3F">
        <w:rPr>
          <w:rFonts w:cs="Arial"/>
        </w:rPr>
        <w:t xml:space="preserve"> </w:t>
      </w:r>
      <w:r w:rsidR="00754435" w:rsidRPr="00D07F3F">
        <w:rPr>
          <w:rFonts w:cs="Arial"/>
        </w:rPr>
        <w:t xml:space="preserve">will </w:t>
      </w:r>
      <w:r w:rsidR="00B64EA3" w:rsidRPr="00D07F3F">
        <w:rPr>
          <w:rFonts w:cs="Arial"/>
        </w:rPr>
        <w:t xml:space="preserve">accord </w:t>
      </w:r>
      <w:r w:rsidR="00891EEA" w:rsidRPr="00D07F3F">
        <w:rPr>
          <w:rFonts w:cs="Arial"/>
        </w:rPr>
        <w:t xml:space="preserve">with the </w:t>
      </w:r>
      <w:r w:rsidR="00891EEA" w:rsidRPr="00D07F3F">
        <w:rPr>
          <w:rFonts w:cs="Arial"/>
          <w:i/>
        </w:rPr>
        <w:t>Privacy Act 1988</w:t>
      </w:r>
      <w:r w:rsidR="00891EEA" w:rsidRPr="00D07F3F">
        <w:rPr>
          <w:rFonts w:cs="Arial"/>
        </w:rPr>
        <w:t xml:space="preserve"> and </w:t>
      </w:r>
      <w:r w:rsidR="00754435" w:rsidRPr="00D07F3F">
        <w:rPr>
          <w:rFonts w:cs="Arial"/>
        </w:rPr>
        <w:t xml:space="preserve">the </w:t>
      </w:r>
      <w:r w:rsidR="00891EEA" w:rsidRPr="00D07F3F">
        <w:rPr>
          <w:rFonts w:cs="Arial"/>
        </w:rPr>
        <w:t>Australian Privacy Principles.</w:t>
      </w:r>
    </w:p>
    <w:p w14:paraId="30104087" w14:textId="21E50060" w:rsidR="002E6CED" w:rsidRPr="00D07F3F" w:rsidRDefault="007A5C9C" w:rsidP="009F14FD">
      <w:pPr>
        <w:rPr>
          <w:rFonts w:cs="Arial"/>
        </w:rPr>
      </w:pPr>
      <w:r w:rsidRPr="00D07F3F">
        <w:rPr>
          <w:rFonts w:eastAsia="Calibri Light" w:cs="Arial"/>
          <w:b/>
          <w:color w:val="2A7187" w:themeColor="accent5" w:themeShade="BF"/>
        </w:rPr>
        <w:t xml:space="preserve">Prosecution: </w:t>
      </w:r>
      <w:r w:rsidRPr="00D07F3F">
        <w:rPr>
          <w:rFonts w:cs="Arial"/>
        </w:rPr>
        <w:t>where</w:t>
      </w:r>
      <w:r w:rsidR="005F49EB" w:rsidRPr="00D07F3F">
        <w:rPr>
          <w:rFonts w:cs="Arial"/>
        </w:rPr>
        <w:t xml:space="preserve"> sufficient evidence of criminal conduct</w:t>
      </w:r>
      <w:r w:rsidR="00956A5A" w:rsidRPr="00D07F3F">
        <w:rPr>
          <w:rFonts w:cs="Arial"/>
        </w:rPr>
        <w:t xml:space="preserve"> is identified, </w:t>
      </w:r>
      <w:r w:rsidR="005F49EB" w:rsidRPr="00D07F3F">
        <w:rPr>
          <w:rFonts w:cs="Arial"/>
        </w:rPr>
        <w:t>investigat</w:t>
      </w:r>
      <w:r w:rsidR="00287ED7" w:rsidRPr="00D07F3F">
        <w:rPr>
          <w:rFonts w:cs="Arial"/>
        </w:rPr>
        <w:t xml:space="preserve">ors will </w:t>
      </w:r>
      <w:r w:rsidR="005F49EB" w:rsidRPr="00D07F3F">
        <w:rPr>
          <w:rFonts w:cs="Arial"/>
        </w:rPr>
        <w:t xml:space="preserve">compile </w:t>
      </w:r>
      <w:r w:rsidR="00CC3CC6" w:rsidRPr="00D07F3F">
        <w:rPr>
          <w:rFonts w:cs="Arial"/>
        </w:rPr>
        <w:t xml:space="preserve">and refer </w:t>
      </w:r>
      <w:r w:rsidR="00B64EA3" w:rsidRPr="00D07F3F">
        <w:rPr>
          <w:rFonts w:cs="Arial"/>
        </w:rPr>
        <w:t>b</w:t>
      </w:r>
      <w:r w:rsidR="005F49EB" w:rsidRPr="00D07F3F">
        <w:rPr>
          <w:rFonts w:cs="Arial"/>
        </w:rPr>
        <w:t xml:space="preserve">riefs of </w:t>
      </w:r>
      <w:r w:rsidR="00B64EA3" w:rsidRPr="00D07F3F">
        <w:rPr>
          <w:rFonts w:cs="Arial"/>
        </w:rPr>
        <w:t>e</w:t>
      </w:r>
      <w:r w:rsidR="005F49EB" w:rsidRPr="00D07F3F">
        <w:rPr>
          <w:rFonts w:cs="Arial"/>
        </w:rPr>
        <w:t xml:space="preserve">vidence to the </w:t>
      </w:r>
      <w:r w:rsidR="00B64EA3" w:rsidRPr="00D07F3F">
        <w:rPr>
          <w:rFonts w:cs="Arial"/>
        </w:rPr>
        <w:t>Commonwealth Direct</w:t>
      </w:r>
      <w:r w:rsidR="00DF581A" w:rsidRPr="00D07F3F">
        <w:rPr>
          <w:rFonts w:cs="Arial"/>
        </w:rPr>
        <w:t>o</w:t>
      </w:r>
      <w:r w:rsidR="00B64EA3" w:rsidRPr="00D07F3F">
        <w:rPr>
          <w:rFonts w:cs="Arial"/>
        </w:rPr>
        <w:t xml:space="preserve">r of Public </w:t>
      </w:r>
      <w:r w:rsidR="00DF581A" w:rsidRPr="00D07F3F">
        <w:rPr>
          <w:rFonts w:cs="Arial"/>
        </w:rPr>
        <w:t>Prosecutions (</w:t>
      </w:r>
      <w:r w:rsidR="005F49EB" w:rsidRPr="00D07F3F">
        <w:rPr>
          <w:rFonts w:cs="Arial"/>
        </w:rPr>
        <w:t>CDPP</w:t>
      </w:r>
      <w:r w:rsidR="00DF581A" w:rsidRPr="00D07F3F">
        <w:rPr>
          <w:rFonts w:cs="Arial"/>
        </w:rPr>
        <w:t>)</w:t>
      </w:r>
      <w:r w:rsidR="00CC3CC6" w:rsidRPr="00D07F3F">
        <w:rPr>
          <w:rFonts w:cs="Arial"/>
        </w:rPr>
        <w:t xml:space="preserve"> to con</w:t>
      </w:r>
      <w:r w:rsidR="00956A5A" w:rsidRPr="00D07F3F">
        <w:rPr>
          <w:rFonts w:cs="Arial"/>
        </w:rPr>
        <w:t>s</w:t>
      </w:r>
      <w:r w:rsidR="00CC3CC6" w:rsidRPr="00D07F3F">
        <w:rPr>
          <w:rFonts w:cs="Arial"/>
        </w:rPr>
        <w:t xml:space="preserve">ider </w:t>
      </w:r>
      <w:r w:rsidR="00956A5A" w:rsidRPr="00D07F3F">
        <w:rPr>
          <w:rFonts w:cs="Arial"/>
        </w:rPr>
        <w:t>prosecution action</w:t>
      </w:r>
      <w:r w:rsidR="005F49EB" w:rsidRPr="00D07F3F">
        <w:rPr>
          <w:rFonts w:cs="Arial"/>
        </w:rPr>
        <w:t>.</w:t>
      </w:r>
    </w:p>
    <w:p w14:paraId="2D07B346" w14:textId="28A5F97D" w:rsidR="00BC64AC" w:rsidRPr="00D07F3F" w:rsidRDefault="00F4277A" w:rsidP="009F14FD">
      <w:pPr>
        <w:rPr>
          <w:rFonts w:cs="Arial"/>
        </w:rPr>
      </w:pPr>
      <w:r w:rsidRPr="00D07F3F">
        <w:rPr>
          <w:rFonts w:cs="Arial"/>
          <w:b/>
          <w:bCs/>
          <w:color w:val="2A7187" w:themeColor="accent5" w:themeShade="BF"/>
          <w:lang w:eastAsia="en-AU"/>
        </w:rPr>
        <w:t>Recovery</w:t>
      </w:r>
      <w:r w:rsidR="0008603B" w:rsidRPr="00D07F3F">
        <w:rPr>
          <w:rFonts w:cs="Arial"/>
          <w:b/>
          <w:bCs/>
          <w:color w:val="2A7187" w:themeColor="accent5" w:themeShade="BF"/>
          <w:lang w:eastAsia="en-AU"/>
        </w:rPr>
        <w:t xml:space="preserve">: </w:t>
      </w:r>
      <w:r w:rsidR="00A13D36" w:rsidRPr="00D07F3F">
        <w:rPr>
          <w:rFonts w:cs="Arial"/>
        </w:rPr>
        <w:t>t</w:t>
      </w:r>
      <w:r w:rsidR="00C11C6E" w:rsidRPr="00D07F3F">
        <w:rPr>
          <w:rFonts w:cs="Arial"/>
        </w:rPr>
        <w:t xml:space="preserve">he </w:t>
      </w:r>
      <w:r w:rsidR="00F72A84" w:rsidRPr="00D07F3F">
        <w:rPr>
          <w:rFonts w:cs="Arial"/>
        </w:rPr>
        <w:t>department</w:t>
      </w:r>
      <w:r w:rsidR="00C11C6E" w:rsidRPr="00D07F3F">
        <w:rPr>
          <w:rFonts w:cs="Arial"/>
        </w:rPr>
        <w:t xml:space="preserve"> takes all </w:t>
      </w:r>
      <w:r w:rsidR="00BC64AC" w:rsidRPr="00D07F3F">
        <w:rPr>
          <w:rFonts w:cs="Arial"/>
        </w:rPr>
        <w:t>reasonable measures for recovery of fraud losses</w:t>
      </w:r>
      <w:r w:rsidR="0008603B" w:rsidRPr="00D07F3F">
        <w:rPr>
          <w:rFonts w:cs="Arial"/>
        </w:rPr>
        <w:t xml:space="preserve">. This includes </w:t>
      </w:r>
      <w:r w:rsidR="00BC64AC" w:rsidRPr="00D07F3F">
        <w:rPr>
          <w:rFonts w:cs="Arial"/>
        </w:rPr>
        <w:t>formal proceeds of crime action, civil recovery</w:t>
      </w:r>
      <w:r w:rsidR="0008603B" w:rsidRPr="00D07F3F">
        <w:rPr>
          <w:rFonts w:cs="Arial"/>
        </w:rPr>
        <w:t xml:space="preserve"> </w:t>
      </w:r>
      <w:r w:rsidR="00BC64AC" w:rsidRPr="00D07F3F">
        <w:rPr>
          <w:rFonts w:cs="Arial"/>
        </w:rPr>
        <w:t xml:space="preserve">processes and administrative </w:t>
      </w:r>
      <w:r w:rsidR="007A5C9C" w:rsidRPr="00D07F3F">
        <w:rPr>
          <w:rFonts w:cs="Arial"/>
        </w:rPr>
        <w:t>recovery</w:t>
      </w:r>
      <w:r w:rsidR="00BC64AC" w:rsidRPr="00D07F3F">
        <w:rPr>
          <w:rFonts w:cs="Arial"/>
        </w:rPr>
        <w:t>.</w:t>
      </w:r>
    </w:p>
    <w:p w14:paraId="5BB9A119" w14:textId="5927E94F" w:rsidR="005F49EB" w:rsidRDefault="005F49EB" w:rsidP="009F14FD">
      <w:pPr>
        <w:rPr>
          <w:rFonts w:cs="Arial"/>
        </w:rPr>
      </w:pPr>
      <w:r w:rsidRPr="00D07F3F">
        <w:rPr>
          <w:rFonts w:cs="Arial"/>
          <w:b/>
          <w:color w:val="2A7187" w:themeColor="accent5" w:themeShade="BF"/>
        </w:rPr>
        <w:t xml:space="preserve">Post-incident </w:t>
      </w:r>
      <w:r w:rsidR="009B7F05" w:rsidRPr="00D07F3F">
        <w:rPr>
          <w:rFonts w:cs="Arial"/>
          <w:b/>
          <w:color w:val="2A7187" w:themeColor="accent5" w:themeShade="BF"/>
        </w:rPr>
        <w:t>reviews</w:t>
      </w:r>
      <w:r w:rsidR="0008603B" w:rsidRPr="00D07F3F">
        <w:rPr>
          <w:rFonts w:cs="Arial"/>
          <w:b/>
          <w:color w:val="2A7187" w:themeColor="accent5" w:themeShade="BF"/>
        </w:rPr>
        <w:t xml:space="preserve">: </w:t>
      </w:r>
      <w:r w:rsidR="00A13D36" w:rsidRPr="00D07F3F">
        <w:rPr>
          <w:rFonts w:cs="Arial"/>
        </w:rPr>
        <w:t>r</w:t>
      </w:r>
      <w:r w:rsidR="009B7F05" w:rsidRPr="00D07F3F">
        <w:rPr>
          <w:rFonts w:cs="Arial"/>
        </w:rPr>
        <w:t xml:space="preserve">eviews of </w:t>
      </w:r>
      <w:r w:rsidRPr="00D07F3F">
        <w:rPr>
          <w:rFonts w:cs="Arial"/>
        </w:rPr>
        <w:t>investigations</w:t>
      </w:r>
      <w:r w:rsidR="00387CBA" w:rsidRPr="00D07F3F">
        <w:rPr>
          <w:rFonts w:cs="Arial"/>
        </w:rPr>
        <w:t>,</w:t>
      </w:r>
      <w:r w:rsidRPr="00D07F3F">
        <w:rPr>
          <w:rFonts w:cs="Arial"/>
        </w:rPr>
        <w:t xml:space="preserve"> </w:t>
      </w:r>
      <w:r w:rsidR="00CA1126" w:rsidRPr="00D07F3F">
        <w:rPr>
          <w:rFonts w:cs="Arial"/>
        </w:rPr>
        <w:t>or incidents related to fraud or corruption</w:t>
      </w:r>
      <w:r w:rsidR="00387CBA" w:rsidRPr="00D07F3F">
        <w:rPr>
          <w:rFonts w:cs="Arial"/>
        </w:rPr>
        <w:t>,</w:t>
      </w:r>
      <w:r w:rsidR="004856AB" w:rsidRPr="00D07F3F">
        <w:rPr>
          <w:rFonts w:cs="Arial"/>
        </w:rPr>
        <w:t xml:space="preserve"> are </w:t>
      </w:r>
      <w:r w:rsidRPr="00D07F3F">
        <w:rPr>
          <w:rFonts w:cs="Arial"/>
        </w:rPr>
        <w:t xml:space="preserve">undertaken with the relevant departmental </w:t>
      </w:r>
      <w:r w:rsidR="007A5C9C" w:rsidRPr="00D07F3F">
        <w:rPr>
          <w:rFonts w:cs="Arial"/>
        </w:rPr>
        <w:t>programs. Reviews</w:t>
      </w:r>
      <w:r w:rsidR="009B7F05" w:rsidRPr="00D07F3F">
        <w:rPr>
          <w:rFonts w:cs="Arial"/>
        </w:rPr>
        <w:t xml:space="preserve"> include </w:t>
      </w:r>
      <w:r w:rsidR="008C4D64" w:rsidRPr="00D07F3F">
        <w:rPr>
          <w:rFonts w:cs="Arial"/>
        </w:rPr>
        <w:t xml:space="preserve">any </w:t>
      </w:r>
      <w:r w:rsidR="00BF69E6" w:rsidRPr="00D07F3F">
        <w:rPr>
          <w:rFonts w:cs="Arial"/>
        </w:rPr>
        <w:t xml:space="preserve">identified </w:t>
      </w:r>
      <w:r w:rsidRPr="00D07F3F">
        <w:rPr>
          <w:rFonts w:cs="Arial"/>
        </w:rPr>
        <w:t>control weaknesses</w:t>
      </w:r>
      <w:r w:rsidR="008C4D64" w:rsidRPr="00D07F3F">
        <w:rPr>
          <w:rFonts w:cs="Arial"/>
        </w:rPr>
        <w:t xml:space="preserve"> or </w:t>
      </w:r>
      <w:r w:rsidRPr="00D07F3F">
        <w:rPr>
          <w:rFonts w:cs="Arial"/>
        </w:rPr>
        <w:t xml:space="preserve">program design </w:t>
      </w:r>
      <w:r w:rsidR="00FC43D7" w:rsidRPr="00D07F3F">
        <w:rPr>
          <w:rFonts w:cs="Arial"/>
        </w:rPr>
        <w:t xml:space="preserve">deficiencies that require </w:t>
      </w:r>
      <w:r w:rsidR="00EC3D68" w:rsidRPr="00D07F3F">
        <w:rPr>
          <w:rFonts w:cs="Arial"/>
        </w:rPr>
        <w:t>treatment</w:t>
      </w:r>
      <w:r w:rsidR="00FC43D7" w:rsidRPr="00D07F3F">
        <w:rPr>
          <w:rFonts w:cs="Arial"/>
        </w:rPr>
        <w:t xml:space="preserve">, </w:t>
      </w:r>
      <w:r w:rsidR="008A545F" w:rsidRPr="00D07F3F">
        <w:rPr>
          <w:rFonts w:cs="Arial"/>
        </w:rPr>
        <w:t xml:space="preserve">and </w:t>
      </w:r>
      <w:r w:rsidRPr="00D07F3F">
        <w:rPr>
          <w:rFonts w:cs="Arial"/>
        </w:rPr>
        <w:t>recommend</w:t>
      </w:r>
      <w:r w:rsidR="00EC3D68" w:rsidRPr="00D07F3F">
        <w:rPr>
          <w:rFonts w:cs="Arial"/>
        </w:rPr>
        <w:t>ation</w:t>
      </w:r>
      <w:r w:rsidR="000C3B37" w:rsidRPr="00D07F3F">
        <w:rPr>
          <w:rFonts w:cs="Arial"/>
        </w:rPr>
        <w:t>s</w:t>
      </w:r>
      <w:r w:rsidR="00EC3D68" w:rsidRPr="00D07F3F">
        <w:rPr>
          <w:rFonts w:cs="Arial"/>
        </w:rPr>
        <w:t xml:space="preserve"> for</w:t>
      </w:r>
      <w:r w:rsidRPr="00D07F3F">
        <w:rPr>
          <w:rFonts w:cs="Arial"/>
        </w:rPr>
        <w:t xml:space="preserve"> remedial </w:t>
      </w:r>
      <w:r w:rsidR="00F8690F" w:rsidRPr="00D07F3F">
        <w:rPr>
          <w:rFonts w:cs="Arial"/>
        </w:rPr>
        <w:t xml:space="preserve">and/or </w:t>
      </w:r>
      <w:r w:rsidRPr="00D07F3F">
        <w:rPr>
          <w:rFonts w:cs="Arial"/>
        </w:rPr>
        <w:t xml:space="preserve">alternative administrative actions </w:t>
      </w:r>
      <w:r w:rsidR="008A545F" w:rsidRPr="00D07F3F">
        <w:rPr>
          <w:rFonts w:cs="Arial"/>
        </w:rPr>
        <w:t xml:space="preserve">if </w:t>
      </w:r>
      <w:r w:rsidRPr="00D07F3F">
        <w:rPr>
          <w:rFonts w:cs="Arial"/>
        </w:rPr>
        <w:t xml:space="preserve">fraud or corruption </w:t>
      </w:r>
      <w:r w:rsidR="00F8690F" w:rsidRPr="00D07F3F">
        <w:rPr>
          <w:rFonts w:cs="Arial"/>
        </w:rPr>
        <w:t xml:space="preserve">cannot be proven or </w:t>
      </w:r>
      <w:r w:rsidRPr="00D07F3F">
        <w:rPr>
          <w:rFonts w:cs="Arial"/>
        </w:rPr>
        <w:t xml:space="preserve">is </w:t>
      </w:r>
      <w:r w:rsidR="008A545F" w:rsidRPr="00D07F3F">
        <w:rPr>
          <w:rFonts w:cs="Arial"/>
        </w:rPr>
        <w:t xml:space="preserve">deemed </w:t>
      </w:r>
      <w:r w:rsidRPr="00D07F3F">
        <w:rPr>
          <w:rFonts w:cs="Arial"/>
        </w:rPr>
        <w:t>not in the public interest to prosecute.</w:t>
      </w:r>
    </w:p>
    <w:p w14:paraId="2F28E785" w14:textId="7AD14111" w:rsidR="00E0718C" w:rsidRDefault="00E0718C" w:rsidP="00E0718C">
      <w:pPr>
        <w:tabs>
          <w:tab w:val="left" w:pos="426"/>
          <w:tab w:val="left" w:pos="8364"/>
        </w:tabs>
        <w:rPr>
          <w:rFonts w:cs="Arial"/>
        </w:rPr>
      </w:pPr>
      <w:r w:rsidRPr="00982249">
        <w:rPr>
          <w:rFonts w:cs="Arial"/>
          <w:b/>
          <w:color w:val="2A7187" w:themeColor="accent5" w:themeShade="BF"/>
          <w:lang w:val="en"/>
        </w:rPr>
        <w:t>Non-compliance:</w:t>
      </w:r>
      <w:r w:rsidRPr="00982249">
        <w:rPr>
          <w:rFonts w:cs="Arial"/>
          <w:color w:val="auto"/>
          <w:lang w:val="en"/>
        </w:rPr>
        <w:t xml:space="preserve"> when </w:t>
      </w:r>
      <w:r w:rsidRPr="00982249">
        <w:rPr>
          <w:rFonts w:cs="Arial"/>
        </w:rPr>
        <w:t>opportunistic non-compliance is identified it is referred to the relevant business area for action. These referrals will include key findings and recommendations concerning any relevant risk controls or treatments.</w:t>
      </w:r>
    </w:p>
    <w:p w14:paraId="6B2E6D4A" w14:textId="691F83A9" w:rsidR="00E0718C" w:rsidRPr="00D07F3F" w:rsidRDefault="00E0718C" w:rsidP="00E0718C">
      <w:pPr>
        <w:tabs>
          <w:tab w:val="left" w:pos="426"/>
          <w:tab w:val="left" w:pos="8364"/>
        </w:tabs>
        <w:rPr>
          <w:rFonts w:cs="Arial"/>
        </w:rPr>
      </w:pPr>
      <w:r w:rsidRPr="00982249">
        <w:rPr>
          <w:rFonts w:cs="Arial"/>
          <w:b/>
          <w:color w:val="2A7187" w:themeColor="accent5" w:themeShade="BF"/>
        </w:rPr>
        <w:t>National Anti-Corruption Commission (NACC):</w:t>
      </w:r>
      <w:r w:rsidRPr="00982249">
        <w:rPr>
          <w:rFonts w:cs="Arial"/>
        </w:rPr>
        <w:t xml:space="preserve"> The NACC will begin operations </w:t>
      </w:r>
      <w:r w:rsidR="00FA5BBC">
        <w:rPr>
          <w:rFonts w:cs="Arial"/>
        </w:rPr>
        <w:t xml:space="preserve">on 01 July </w:t>
      </w:r>
      <w:r w:rsidRPr="00982249">
        <w:rPr>
          <w:rFonts w:cs="Arial"/>
        </w:rPr>
        <w:t xml:space="preserve">2023. The NACC </w:t>
      </w:r>
      <w:r w:rsidR="00982249">
        <w:rPr>
          <w:rFonts w:cs="Arial"/>
        </w:rPr>
        <w:t>is</w:t>
      </w:r>
      <w:r w:rsidRPr="00982249">
        <w:rPr>
          <w:rFonts w:cs="Arial"/>
        </w:rPr>
        <w:t xml:space="preserve"> an independent agency that will prevent, detect, </w:t>
      </w:r>
      <w:proofErr w:type="gramStart"/>
      <w:r w:rsidRPr="00982249">
        <w:rPr>
          <w:rFonts w:cs="Arial"/>
        </w:rPr>
        <w:t>investigate</w:t>
      </w:r>
      <w:proofErr w:type="gramEnd"/>
      <w:r w:rsidRPr="00982249">
        <w:rPr>
          <w:rFonts w:cs="Arial"/>
        </w:rPr>
        <w:t xml:space="preserve"> and report on serious or systemic corruption in the Commonwealth public sector. It will also educate the public service, and the public, about corruption risks and prevention. The department</w:t>
      </w:r>
      <w:r w:rsidR="00982249">
        <w:rPr>
          <w:rFonts w:cs="Arial"/>
        </w:rPr>
        <w:t>’s</w:t>
      </w:r>
      <w:r w:rsidRPr="00982249">
        <w:rPr>
          <w:rFonts w:cs="Arial"/>
        </w:rPr>
        <w:t xml:space="preserve"> fraud and corruption control activities</w:t>
      </w:r>
      <w:r w:rsidR="00982249">
        <w:rPr>
          <w:rFonts w:cs="Arial"/>
        </w:rPr>
        <w:t>, policies and procedures will be updated to reflect the</w:t>
      </w:r>
      <w:r w:rsidRPr="00982249">
        <w:rPr>
          <w:rFonts w:cs="Arial"/>
        </w:rPr>
        <w:t xml:space="preserve"> </w:t>
      </w:r>
      <w:r w:rsidR="00982249">
        <w:rPr>
          <w:rFonts w:cs="Arial"/>
        </w:rPr>
        <w:t>NACC’s legislative obligations</w:t>
      </w:r>
      <w:r w:rsidRPr="00982249">
        <w:rPr>
          <w:rFonts w:cs="Arial"/>
        </w:rPr>
        <w:t xml:space="preserve"> and associated integrity </w:t>
      </w:r>
      <w:r w:rsidR="00982249">
        <w:rPr>
          <w:rFonts w:cs="Arial"/>
        </w:rPr>
        <w:t>activities</w:t>
      </w:r>
      <w:r w:rsidRPr="00982249">
        <w:rPr>
          <w:rFonts w:cs="Arial"/>
        </w:rPr>
        <w:t>.</w:t>
      </w:r>
    </w:p>
    <w:p w14:paraId="7D3BE939" w14:textId="543D1DCC" w:rsidR="007665D3" w:rsidRPr="007D581B" w:rsidRDefault="007A5C9C" w:rsidP="009F14FD">
      <w:pPr>
        <w:pStyle w:val="Heading2"/>
        <w:rPr>
          <w:sz w:val="28"/>
          <w:szCs w:val="22"/>
        </w:rPr>
      </w:pPr>
      <w:bookmarkStart w:id="11" w:name="_Toc127213950"/>
      <w:r w:rsidRPr="007D581B">
        <w:rPr>
          <w:sz w:val="28"/>
          <w:szCs w:val="22"/>
        </w:rPr>
        <w:t>Reporting</w:t>
      </w:r>
      <w:r w:rsidR="00D07F3F">
        <w:rPr>
          <w:sz w:val="28"/>
          <w:szCs w:val="22"/>
        </w:rPr>
        <w:t xml:space="preserve">, </w:t>
      </w:r>
      <w:proofErr w:type="gramStart"/>
      <w:r w:rsidR="00D07F3F">
        <w:rPr>
          <w:sz w:val="28"/>
          <w:szCs w:val="22"/>
        </w:rPr>
        <w:t>assurance</w:t>
      </w:r>
      <w:proofErr w:type="gramEnd"/>
      <w:r w:rsidRPr="007D581B">
        <w:rPr>
          <w:sz w:val="28"/>
          <w:szCs w:val="22"/>
        </w:rPr>
        <w:t xml:space="preserve"> and</w:t>
      </w:r>
      <w:r w:rsidR="009F0B9E" w:rsidRPr="007D581B">
        <w:rPr>
          <w:sz w:val="28"/>
          <w:szCs w:val="22"/>
        </w:rPr>
        <w:t xml:space="preserve"> </w:t>
      </w:r>
      <w:r w:rsidR="00B479CA" w:rsidRPr="007D581B">
        <w:rPr>
          <w:sz w:val="28"/>
          <w:szCs w:val="22"/>
        </w:rPr>
        <w:t>monitoring</w:t>
      </w:r>
      <w:bookmarkEnd w:id="11"/>
    </w:p>
    <w:p w14:paraId="2AB74EB9" w14:textId="790ACB46" w:rsidR="001A126D" w:rsidRPr="00D07F3F" w:rsidRDefault="001A126D" w:rsidP="009F14FD">
      <w:pPr>
        <w:rPr>
          <w:rFonts w:cs="Arial"/>
        </w:rPr>
      </w:pPr>
      <w:r w:rsidRPr="007D581B">
        <w:rPr>
          <w:rStyle w:val="normaltextrun"/>
          <w:rFonts w:cs="Arial"/>
          <w:color w:val="000000"/>
          <w:szCs w:val="22"/>
          <w:shd w:val="clear" w:color="auto" w:fill="FFFFFF"/>
        </w:rPr>
        <w:t xml:space="preserve">Regular reporting and monitoring </w:t>
      </w:r>
      <w:proofErr w:type="gramStart"/>
      <w:r w:rsidRPr="007D581B">
        <w:rPr>
          <w:rStyle w:val="normaltextrun"/>
          <w:rFonts w:cs="Arial"/>
          <w:color w:val="000000"/>
          <w:szCs w:val="22"/>
          <w:shd w:val="clear" w:color="auto" w:fill="FFFFFF"/>
        </w:rPr>
        <w:t>provides</w:t>
      </w:r>
      <w:proofErr w:type="gramEnd"/>
      <w:r w:rsidRPr="007D581B">
        <w:rPr>
          <w:rStyle w:val="normaltextrun"/>
          <w:rFonts w:cs="Arial"/>
          <w:color w:val="000000"/>
          <w:szCs w:val="22"/>
          <w:shd w:val="clear" w:color="auto" w:fill="FFFFFF"/>
        </w:rPr>
        <w:t xml:space="preserve"> assurance over the effectiveness of the department’s control arrangements in preventing, detecting and responding to fraud and corruption.</w:t>
      </w:r>
      <w:r w:rsidR="001970FD" w:rsidRPr="007D581B">
        <w:rPr>
          <w:rStyle w:val="normaltextrun"/>
          <w:rFonts w:cs="Arial"/>
          <w:color w:val="000000"/>
          <w:szCs w:val="22"/>
          <w:shd w:val="clear" w:color="auto" w:fill="FFFFFF"/>
        </w:rPr>
        <w:t xml:space="preserve"> </w:t>
      </w:r>
      <w:r w:rsidR="0093430D" w:rsidRPr="007D581B">
        <w:rPr>
          <w:rStyle w:val="normaltextrun"/>
          <w:rFonts w:cs="Arial"/>
          <w:color w:val="000000"/>
          <w:szCs w:val="22"/>
          <w:shd w:val="clear" w:color="auto" w:fill="FFFFFF"/>
        </w:rPr>
        <w:t>The department collects information on all allegations of fraud or corruption against the department, current and completed investigations, whether the fraud was proven or not, and whether the matter was dealt with by a criminal, civil or administrative remedy</w:t>
      </w:r>
      <w:r w:rsidR="000C71E4">
        <w:rPr>
          <w:rStyle w:val="normaltextrun"/>
          <w:rFonts w:cs="Arial"/>
          <w:color w:val="000000"/>
          <w:szCs w:val="22"/>
          <w:shd w:val="clear" w:color="auto" w:fill="FFFFFF"/>
        </w:rPr>
        <w:t xml:space="preserve">. </w:t>
      </w:r>
      <w:r w:rsidR="00316D9E" w:rsidRPr="00D07F3F">
        <w:rPr>
          <w:rFonts w:cs="Arial"/>
        </w:rPr>
        <w:t xml:space="preserve"> </w:t>
      </w:r>
    </w:p>
    <w:p w14:paraId="11F44A83" w14:textId="58A7716D" w:rsidR="009F0B9E" w:rsidRPr="00D07F3F" w:rsidRDefault="008F695E" w:rsidP="009F14FD">
      <w:pPr>
        <w:rPr>
          <w:rFonts w:cs="Arial"/>
          <w:b/>
          <w:bCs/>
        </w:rPr>
      </w:pPr>
      <w:r w:rsidRPr="00D07F3F">
        <w:rPr>
          <w:rFonts w:cs="Arial"/>
        </w:rPr>
        <w:t xml:space="preserve">The department’s </w:t>
      </w:r>
      <w:r w:rsidR="00294E93" w:rsidRPr="00D07F3F">
        <w:rPr>
          <w:rFonts w:cs="Arial"/>
        </w:rPr>
        <w:t>r</w:t>
      </w:r>
      <w:r w:rsidRPr="00D07F3F">
        <w:rPr>
          <w:rFonts w:cs="Arial"/>
        </w:rPr>
        <w:t>eporting, assurance, and monitoring controls include:</w:t>
      </w:r>
    </w:p>
    <w:p w14:paraId="1F154141" w14:textId="0AFB70F8" w:rsidR="004510E3" w:rsidRPr="00D07F3F" w:rsidRDefault="00AB39FD" w:rsidP="00356CEF">
      <w:pPr>
        <w:rPr>
          <w:rFonts w:eastAsia="GothamNarrow-Light" w:cs="Arial"/>
          <w:iCs/>
          <w:color w:val="auto"/>
          <w:lang w:val="en-US" w:bidi="en-US"/>
        </w:rPr>
      </w:pPr>
      <w:r w:rsidRPr="00D07F3F">
        <w:rPr>
          <w:rFonts w:eastAsia="GothamNarrow-Light" w:cs="Arial"/>
          <w:b/>
          <w:bCs/>
          <w:iCs/>
          <w:color w:val="2A7187" w:themeColor="accent5" w:themeShade="BF"/>
          <w:lang w:val="en-US" w:bidi="en-US"/>
        </w:rPr>
        <w:t xml:space="preserve">Fraud </w:t>
      </w:r>
      <w:r w:rsidR="001C2E4C" w:rsidRPr="00D07F3F">
        <w:rPr>
          <w:rFonts w:eastAsia="GothamNarrow-Light" w:cs="Arial"/>
          <w:b/>
          <w:bCs/>
          <w:iCs/>
          <w:color w:val="2A7187" w:themeColor="accent5" w:themeShade="BF"/>
          <w:lang w:val="en-US" w:bidi="en-US"/>
        </w:rPr>
        <w:t>c</w:t>
      </w:r>
      <w:r w:rsidRPr="00D07F3F">
        <w:rPr>
          <w:rFonts w:eastAsia="GothamNarrow-Light" w:cs="Arial"/>
          <w:b/>
          <w:bCs/>
          <w:iCs/>
          <w:color w:val="2A7187" w:themeColor="accent5" w:themeShade="BF"/>
          <w:lang w:val="en-US" w:bidi="en-US"/>
        </w:rPr>
        <w:t>ertification</w:t>
      </w:r>
      <w:r w:rsidR="0065343C" w:rsidRPr="00D07F3F">
        <w:rPr>
          <w:rFonts w:eastAsia="GothamNarrow-Light" w:cs="Arial"/>
          <w:b/>
          <w:bCs/>
          <w:iCs/>
          <w:color w:val="2A7187" w:themeColor="accent5" w:themeShade="BF"/>
          <w:lang w:val="en-US" w:bidi="en-US"/>
        </w:rPr>
        <w:t xml:space="preserve"> and </w:t>
      </w:r>
      <w:r w:rsidR="00B23EDB" w:rsidRPr="00D07F3F">
        <w:rPr>
          <w:rFonts w:eastAsia="GothamNarrow-Light" w:cs="Arial"/>
          <w:b/>
          <w:bCs/>
          <w:iCs/>
          <w:color w:val="2A7187" w:themeColor="accent5" w:themeShade="BF"/>
          <w:lang w:val="en-US" w:bidi="en-US"/>
        </w:rPr>
        <w:t>a</w:t>
      </w:r>
      <w:r w:rsidR="0065343C" w:rsidRPr="00D07F3F">
        <w:rPr>
          <w:rFonts w:eastAsia="GothamNarrow-Light" w:cs="Arial"/>
          <w:b/>
          <w:bCs/>
          <w:iCs/>
          <w:color w:val="2A7187" w:themeColor="accent5" w:themeShade="BF"/>
          <w:lang w:val="en-US" w:bidi="en-US"/>
        </w:rPr>
        <w:t xml:space="preserve">nnual </w:t>
      </w:r>
      <w:r w:rsidR="00B23EDB" w:rsidRPr="00D07F3F">
        <w:rPr>
          <w:rFonts w:eastAsia="GothamNarrow-Light" w:cs="Arial"/>
          <w:b/>
          <w:bCs/>
          <w:iCs/>
          <w:color w:val="2A7187" w:themeColor="accent5" w:themeShade="BF"/>
          <w:lang w:val="en-US" w:bidi="en-US"/>
        </w:rPr>
        <w:t>r</w:t>
      </w:r>
      <w:r w:rsidR="0065343C" w:rsidRPr="00D07F3F">
        <w:rPr>
          <w:rFonts w:eastAsia="GothamNarrow-Light" w:cs="Arial"/>
          <w:b/>
          <w:bCs/>
          <w:iCs/>
          <w:color w:val="2A7187" w:themeColor="accent5" w:themeShade="BF"/>
          <w:lang w:val="en-US" w:bidi="en-US"/>
        </w:rPr>
        <w:t>eport</w:t>
      </w:r>
      <w:r w:rsidRPr="00D07F3F">
        <w:rPr>
          <w:rFonts w:eastAsia="GothamNarrow-Light" w:cs="Arial"/>
          <w:b/>
          <w:bCs/>
          <w:iCs/>
          <w:color w:val="2A7187" w:themeColor="accent5" w:themeShade="BF"/>
          <w:lang w:val="en-US" w:bidi="en-US"/>
        </w:rPr>
        <w:t xml:space="preserve">: </w:t>
      </w:r>
      <w:r w:rsidR="007D581B" w:rsidRPr="00D07F3F">
        <w:rPr>
          <w:rFonts w:eastAsia="GothamNarrow-Light" w:cs="Arial"/>
          <w:iCs/>
          <w:color w:val="auto"/>
          <w:lang w:val="en-US" w:bidi="en-US"/>
        </w:rPr>
        <w:t>t</w:t>
      </w:r>
      <w:r w:rsidR="00D07A4B" w:rsidRPr="00D07F3F">
        <w:rPr>
          <w:rFonts w:eastAsia="GothamNarrow-Light" w:cs="Arial"/>
          <w:iCs/>
          <w:color w:val="auto"/>
          <w:lang w:val="en-US" w:bidi="en-US"/>
        </w:rPr>
        <w:t xml:space="preserve">he department informs </w:t>
      </w:r>
      <w:r w:rsidR="00356CEF" w:rsidRPr="00D07F3F">
        <w:rPr>
          <w:rFonts w:eastAsia="GothamNarrow-Light" w:cs="Arial"/>
          <w:iCs/>
          <w:color w:val="auto"/>
          <w:lang w:val="en-US" w:bidi="en-US"/>
        </w:rPr>
        <w:t>the ARC of the activities</w:t>
      </w:r>
      <w:r w:rsidR="00AB4F61" w:rsidRPr="00D07F3F">
        <w:rPr>
          <w:rFonts w:eastAsia="GothamNarrow-Light" w:cs="Arial"/>
          <w:iCs/>
          <w:color w:val="auto"/>
          <w:lang w:val="en-US" w:bidi="en-US"/>
        </w:rPr>
        <w:t xml:space="preserve"> throughout the financial year</w:t>
      </w:r>
      <w:r w:rsidR="00356CEF" w:rsidRPr="00D07F3F">
        <w:rPr>
          <w:rFonts w:eastAsia="GothamNarrow-Light" w:cs="Arial"/>
          <w:iCs/>
          <w:color w:val="auto"/>
          <w:lang w:val="en-US" w:bidi="en-US"/>
        </w:rPr>
        <w:t xml:space="preserve"> that have or are to be undertaken to respond to fraud planning, prevention, </w:t>
      </w:r>
      <w:r w:rsidR="00081FB6" w:rsidRPr="00D07F3F">
        <w:rPr>
          <w:rFonts w:eastAsia="GothamNarrow-Light" w:cs="Arial"/>
          <w:iCs/>
          <w:color w:val="auto"/>
          <w:lang w:val="en-US" w:bidi="en-US"/>
        </w:rPr>
        <w:t>detection,</w:t>
      </w:r>
      <w:r w:rsidR="00356CEF" w:rsidRPr="00D07F3F">
        <w:rPr>
          <w:rFonts w:eastAsia="GothamNarrow-Light" w:cs="Arial"/>
          <w:iCs/>
          <w:color w:val="auto"/>
          <w:lang w:val="en-US" w:bidi="en-US"/>
        </w:rPr>
        <w:t xml:space="preserve"> and response within the </w:t>
      </w:r>
      <w:r w:rsidR="002D7FD2" w:rsidRPr="00D07F3F">
        <w:rPr>
          <w:rFonts w:eastAsia="GothamNarrow-Light" w:cs="Arial"/>
          <w:iCs/>
          <w:color w:val="auto"/>
          <w:lang w:val="en-US" w:bidi="en-US"/>
        </w:rPr>
        <w:t>d</w:t>
      </w:r>
      <w:r w:rsidR="00356CEF" w:rsidRPr="00D07F3F">
        <w:rPr>
          <w:rFonts w:eastAsia="GothamNarrow-Light" w:cs="Arial"/>
          <w:iCs/>
          <w:color w:val="auto"/>
          <w:lang w:val="en-US" w:bidi="en-US"/>
        </w:rPr>
        <w:t>epartment in accordance with the Fraud Rule.</w:t>
      </w:r>
      <w:r w:rsidR="002D7FD2" w:rsidRPr="00D07F3F">
        <w:rPr>
          <w:rFonts w:eastAsia="GothamNarrow-Light" w:cs="Arial"/>
          <w:iCs/>
          <w:color w:val="auto"/>
          <w:lang w:val="en-US" w:bidi="en-US"/>
        </w:rPr>
        <w:t xml:space="preserve"> </w:t>
      </w:r>
    </w:p>
    <w:p w14:paraId="4E109DB7" w14:textId="227FBFE1" w:rsidR="00AB39FD" w:rsidRPr="00D07F3F" w:rsidRDefault="004D3125" w:rsidP="00356CEF">
      <w:pPr>
        <w:rPr>
          <w:rFonts w:eastAsia="GothamNarrow-Light" w:cs="Arial"/>
          <w:iCs/>
          <w:color w:val="auto"/>
          <w:lang w:val="en-US" w:bidi="en-US"/>
        </w:rPr>
      </w:pPr>
      <w:r w:rsidRPr="00D07F3F">
        <w:rPr>
          <w:rFonts w:eastAsia="GothamNarrow-Light" w:cs="Arial"/>
          <w:iCs/>
          <w:color w:val="auto"/>
          <w:lang w:val="en-US" w:bidi="en-US"/>
        </w:rPr>
        <w:t xml:space="preserve">This assists </w:t>
      </w:r>
      <w:r w:rsidR="00356CEF" w:rsidRPr="00D07F3F">
        <w:rPr>
          <w:rFonts w:eastAsia="GothamNarrow-Light" w:cs="Arial"/>
          <w:iCs/>
          <w:color w:val="auto"/>
          <w:lang w:val="en-US" w:bidi="en-US"/>
        </w:rPr>
        <w:t xml:space="preserve">the ARC to provide advice to the Secretary to support the </w:t>
      </w:r>
      <w:r w:rsidR="00E66E80" w:rsidRPr="00D07F3F">
        <w:rPr>
          <w:rFonts w:eastAsia="GothamNarrow-Light" w:cs="Arial"/>
          <w:iCs/>
          <w:color w:val="auto"/>
          <w:lang w:val="en-US" w:bidi="en-US"/>
        </w:rPr>
        <w:t>c</w:t>
      </w:r>
      <w:r w:rsidR="00356CEF" w:rsidRPr="00D07F3F">
        <w:rPr>
          <w:rFonts w:eastAsia="GothamNarrow-Light" w:cs="Arial"/>
          <w:iCs/>
          <w:color w:val="auto"/>
          <w:lang w:val="en-US" w:bidi="en-US"/>
        </w:rPr>
        <w:t xml:space="preserve">ertification of </w:t>
      </w:r>
      <w:r w:rsidR="00E66E80" w:rsidRPr="00D07F3F">
        <w:rPr>
          <w:rFonts w:eastAsia="GothamNarrow-Light" w:cs="Arial"/>
          <w:iCs/>
          <w:color w:val="auto"/>
          <w:lang w:val="en-US" w:bidi="en-US"/>
        </w:rPr>
        <w:t>f</w:t>
      </w:r>
      <w:r w:rsidR="00356CEF" w:rsidRPr="00D07F3F">
        <w:rPr>
          <w:rFonts w:eastAsia="GothamNarrow-Light" w:cs="Arial"/>
          <w:iCs/>
          <w:color w:val="auto"/>
          <w:lang w:val="en-US" w:bidi="en-US"/>
        </w:rPr>
        <w:t xml:space="preserve">raud control arrangements for the </w:t>
      </w:r>
      <w:r w:rsidR="00AC6DE2" w:rsidRPr="00D07F3F">
        <w:rPr>
          <w:rFonts w:eastAsia="GothamNarrow-Light" w:cs="Arial"/>
          <w:iCs/>
          <w:color w:val="auto"/>
          <w:lang w:val="en-US" w:bidi="en-US"/>
        </w:rPr>
        <w:t>a</w:t>
      </w:r>
      <w:r w:rsidR="00356CEF" w:rsidRPr="00D07F3F">
        <w:rPr>
          <w:rFonts w:eastAsia="GothamNarrow-Light" w:cs="Arial"/>
          <w:iCs/>
          <w:color w:val="auto"/>
          <w:lang w:val="en-US" w:bidi="en-US"/>
        </w:rPr>
        <w:t xml:space="preserve">nnual </w:t>
      </w:r>
      <w:r w:rsidR="00AC6DE2" w:rsidRPr="00D07F3F">
        <w:rPr>
          <w:rFonts w:eastAsia="GothamNarrow-Light" w:cs="Arial"/>
          <w:iCs/>
          <w:color w:val="auto"/>
          <w:lang w:val="en-US" w:bidi="en-US"/>
        </w:rPr>
        <w:t>r</w:t>
      </w:r>
      <w:r w:rsidR="00356CEF" w:rsidRPr="00D07F3F">
        <w:rPr>
          <w:rFonts w:eastAsia="GothamNarrow-Light" w:cs="Arial"/>
          <w:iCs/>
          <w:color w:val="auto"/>
          <w:lang w:val="en-US" w:bidi="en-US"/>
        </w:rPr>
        <w:t>eport</w:t>
      </w:r>
      <w:r w:rsidRPr="00D07F3F">
        <w:rPr>
          <w:rFonts w:eastAsia="GothamNarrow-Light" w:cs="Arial"/>
          <w:iCs/>
          <w:color w:val="auto"/>
          <w:lang w:val="en-US" w:bidi="en-US"/>
        </w:rPr>
        <w:t>.</w:t>
      </w:r>
      <w:r w:rsidR="00356CEF" w:rsidRPr="00D07F3F">
        <w:rPr>
          <w:rFonts w:eastAsia="GothamNarrow-Light" w:cs="Arial"/>
          <w:iCs/>
          <w:color w:val="auto"/>
          <w:lang w:val="en-US" w:bidi="en-US"/>
        </w:rPr>
        <w:t xml:space="preserve"> This is a requirement of section 17AG of the P</w:t>
      </w:r>
      <w:r w:rsidR="00AC6DE2" w:rsidRPr="00D07F3F">
        <w:rPr>
          <w:rFonts w:eastAsia="GothamNarrow-Light" w:cs="Arial"/>
          <w:iCs/>
          <w:color w:val="auto"/>
          <w:lang w:val="en-US" w:bidi="en-US"/>
        </w:rPr>
        <w:t>GPA</w:t>
      </w:r>
      <w:r w:rsidR="00356CEF" w:rsidRPr="00D07F3F">
        <w:rPr>
          <w:rFonts w:eastAsia="GothamNarrow-Light" w:cs="Arial"/>
          <w:iCs/>
          <w:color w:val="auto"/>
          <w:lang w:val="en-US" w:bidi="en-US"/>
        </w:rPr>
        <w:t xml:space="preserve"> Rule 2014, which requires accountable authorities to certify in their Annual Report that these requirements have been met.</w:t>
      </w:r>
    </w:p>
    <w:p w14:paraId="0B660E3D" w14:textId="77777777" w:rsidR="00CA1402" w:rsidRPr="009F7C45" w:rsidRDefault="00CA1402" w:rsidP="009F7C45">
      <w:pPr>
        <w:rPr>
          <w:rFonts w:eastAsia="GothamNarrow-Light"/>
        </w:rPr>
      </w:pPr>
      <w:r w:rsidRPr="009F7C45">
        <w:rPr>
          <w:rFonts w:eastAsia="GothamNarrow-Light"/>
        </w:rPr>
        <w:br w:type="page"/>
      </w:r>
    </w:p>
    <w:p w14:paraId="7B8F32CB" w14:textId="6F939272" w:rsidR="00335AF9" w:rsidRPr="00D07F3F" w:rsidRDefault="005C031B" w:rsidP="002339E5">
      <w:pPr>
        <w:rPr>
          <w:rFonts w:eastAsia="GothamNarrow-Light" w:cs="Arial"/>
          <w:iCs/>
          <w:color w:val="auto"/>
          <w:lang w:val="en-US" w:bidi="en-US"/>
        </w:rPr>
      </w:pPr>
      <w:r w:rsidRPr="00D07F3F">
        <w:rPr>
          <w:rFonts w:eastAsia="GothamNarrow-Light" w:cs="Arial"/>
          <w:b/>
          <w:bCs/>
          <w:iCs/>
          <w:color w:val="2A7187" w:themeColor="accent5" w:themeShade="BF"/>
          <w:lang w:val="en-US" w:bidi="en-US"/>
        </w:rPr>
        <w:lastRenderedPageBreak/>
        <w:t>Quarterly r</w:t>
      </w:r>
      <w:r w:rsidR="009F0B9E" w:rsidRPr="00D07F3F">
        <w:rPr>
          <w:rFonts w:eastAsia="GothamNarrow-Light" w:cs="Arial"/>
          <w:b/>
          <w:bCs/>
          <w:iCs/>
          <w:color w:val="2A7187" w:themeColor="accent5" w:themeShade="BF"/>
          <w:lang w:val="en-US" w:bidi="en-US"/>
        </w:rPr>
        <w:t xml:space="preserve">eporting to </w:t>
      </w:r>
      <w:r w:rsidR="002736EC" w:rsidRPr="00D07F3F">
        <w:rPr>
          <w:rFonts w:eastAsia="GothamNarrow-Light" w:cs="Arial"/>
          <w:b/>
          <w:bCs/>
          <w:iCs/>
          <w:color w:val="2A7187" w:themeColor="accent5" w:themeShade="BF"/>
          <w:lang w:val="en-US" w:bidi="en-US"/>
        </w:rPr>
        <w:t>senior governance committees:</w:t>
      </w:r>
      <w:r w:rsidR="002736EC" w:rsidRPr="00D07F3F">
        <w:rPr>
          <w:rFonts w:eastAsia="GothamNarrow-Light" w:cs="Arial"/>
          <w:iCs/>
          <w:color w:val="auto"/>
          <w:lang w:val="en-US" w:bidi="en-US"/>
        </w:rPr>
        <w:t xml:space="preserve"> </w:t>
      </w:r>
      <w:r w:rsidR="007D581B" w:rsidRPr="00D07F3F">
        <w:rPr>
          <w:rFonts w:eastAsia="GothamNarrow-Light" w:cs="Arial"/>
          <w:iCs/>
          <w:color w:val="auto"/>
          <w:lang w:val="en-US" w:bidi="en-US"/>
        </w:rPr>
        <w:t>r</w:t>
      </w:r>
      <w:r w:rsidR="00417460" w:rsidRPr="00D07F3F">
        <w:rPr>
          <w:rFonts w:eastAsia="GothamNarrow-Light" w:cs="Arial"/>
          <w:iCs/>
          <w:color w:val="auto"/>
          <w:lang w:val="en-US" w:bidi="en-US"/>
        </w:rPr>
        <w:t xml:space="preserve">eporting on </w:t>
      </w:r>
      <w:r w:rsidR="00726FA2" w:rsidRPr="00D07F3F">
        <w:rPr>
          <w:rFonts w:eastAsia="GothamNarrow-Light" w:cs="Arial"/>
          <w:iCs/>
          <w:color w:val="auto"/>
          <w:lang w:val="en-US" w:bidi="en-US"/>
        </w:rPr>
        <w:t>key fraud control initiatives</w:t>
      </w:r>
      <w:r w:rsidR="00417460" w:rsidRPr="00D07F3F">
        <w:rPr>
          <w:rFonts w:eastAsia="GothamNarrow-Light" w:cs="Arial"/>
          <w:iCs/>
          <w:color w:val="auto"/>
          <w:lang w:val="en-US" w:bidi="en-US"/>
        </w:rPr>
        <w:t>,</w:t>
      </w:r>
      <w:r w:rsidR="00726FA2" w:rsidRPr="00D07F3F">
        <w:rPr>
          <w:rFonts w:eastAsia="GothamNarrow-Light" w:cs="Arial"/>
          <w:iCs/>
          <w:color w:val="auto"/>
          <w:lang w:val="en-US" w:bidi="en-US"/>
        </w:rPr>
        <w:t xml:space="preserve"> progress of investigations</w:t>
      </w:r>
      <w:r w:rsidR="008820F5" w:rsidRPr="00D07F3F">
        <w:rPr>
          <w:rFonts w:eastAsia="GothamNarrow-Light" w:cs="Arial"/>
          <w:iCs/>
          <w:color w:val="auto"/>
          <w:lang w:val="en-US" w:bidi="en-US"/>
        </w:rPr>
        <w:t xml:space="preserve">, investigations outcomes, and </w:t>
      </w:r>
      <w:r w:rsidR="009F0B9E" w:rsidRPr="00D07F3F">
        <w:rPr>
          <w:rFonts w:eastAsia="GothamNarrow-Light" w:cs="Arial"/>
          <w:iCs/>
          <w:color w:val="auto"/>
          <w:lang w:val="en-US" w:bidi="en-US"/>
        </w:rPr>
        <w:t xml:space="preserve">current and emerging strategic </w:t>
      </w:r>
      <w:r w:rsidR="008820F5" w:rsidRPr="00D07F3F">
        <w:rPr>
          <w:rFonts w:eastAsia="GothamNarrow-Light" w:cs="Arial"/>
          <w:iCs/>
          <w:color w:val="auto"/>
          <w:lang w:val="en-US" w:bidi="en-US"/>
        </w:rPr>
        <w:t xml:space="preserve">fraud and corruption control </w:t>
      </w:r>
      <w:r w:rsidR="009F0B9E" w:rsidRPr="00D07F3F">
        <w:rPr>
          <w:rFonts w:eastAsia="GothamNarrow-Light" w:cs="Arial"/>
          <w:iCs/>
          <w:color w:val="auto"/>
          <w:lang w:val="en-US" w:bidi="en-US"/>
        </w:rPr>
        <w:t>risks</w:t>
      </w:r>
      <w:r w:rsidR="00417460" w:rsidRPr="00D07F3F">
        <w:rPr>
          <w:rFonts w:eastAsia="GothamNarrow-Light" w:cs="Arial"/>
          <w:iCs/>
          <w:color w:val="auto"/>
          <w:lang w:val="en-US" w:bidi="en-US"/>
        </w:rPr>
        <w:t xml:space="preserve"> are reported quarterly to the </w:t>
      </w:r>
      <w:r w:rsidR="003C4599" w:rsidRPr="00D07F3F">
        <w:rPr>
          <w:rFonts w:eastAsia="GothamNarrow-Light" w:cs="Arial"/>
          <w:iCs/>
          <w:color w:val="auto"/>
          <w:lang w:val="en-US" w:bidi="en-US"/>
        </w:rPr>
        <w:t>EC and ARC</w:t>
      </w:r>
      <w:r w:rsidR="000C71E4">
        <w:rPr>
          <w:rFonts w:eastAsia="GothamNarrow-Light" w:cs="Arial"/>
          <w:iCs/>
          <w:color w:val="auto"/>
          <w:lang w:val="en-US" w:bidi="en-US"/>
        </w:rPr>
        <w:t xml:space="preserve">. </w:t>
      </w:r>
      <w:r w:rsidR="003C4599" w:rsidRPr="00D07F3F">
        <w:rPr>
          <w:rFonts w:eastAsia="GothamNarrow-Light" w:cs="Arial"/>
          <w:iCs/>
          <w:color w:val="auto"/>
          <w:lang w:val="en-US" w:bidi="en-US"/>
        </w:rPr>
        <w:t xml:space="preserve">Reporting </w:t>
      </w:r>
      <w:r w:rsidR="00773DED" w:rsidRPr="00D07F3F">
        <w:rPr>
          <w:rFonts w:eastAsia="GothamNarrow-Light" w:cs="Arial"/>
          <w:iCs/>
          <w:color w:val="auto"/>
          <w:lang w:val="en-US" w:bidi="en-US"/>
        </w:rPr>
        <w:t xml:space="preserve">on </w:t>
      </w:r>
      <w:r w:rsidR="00A13D36" w:rsidRPr="00D07F3F">
        <w:rPr>
          <w:rFonts w:eastAsia="GothamNarrow-Light" w:cs="Arial"/>
          <w:iCs/>
          <w:color w:val="auto"/>
          <w:lang w:val="en-US" w:bidi="en-US"/>
        </w:rPr>
        <w:t>security</w:t>
      </w:r>
      <w:r w:rsidR="00335AF9" w:rsidRPr="00D07F3F">
        <w:rPr>
          <w:rFonts w:eastAsia="GothamNarrow-Light" w:cs="Arial"/>
          <w:iCs/>
          <w:color w:val="auto"/>
          <w:lang w:val="en-US" w:bidi="en-US"/>
        </w:rPr>
        <w:t xml:space="preserve"> and workforce integrity risks</w:t>
      </w:r>
      <w:r w:rsidR="00EC0732" w:rsidRPr="00D07F3F">
        <w:rPr>
          <w:rFonts w:eastAsia="GothamNarrow-Light" w:cs="Arial"/>
          <w:iCs/>
          <w:color w:val="auto"/>
          <w:lang w:val="en-US" w:bidi="en-US"/>
        </w:rPr>
        <w:t xml:space="preserve">, </w:t>
      </w:r>
      <w:r w:rsidR="00335AF9" w:rsidRPr="00D07F3F">
        <w:rPr>
          <w:rFonts w:eastAsia="GothamNarrow-Light" w:cs="Arial"/>
          <w:iCs/>
          <w:color w:val="auto"/>
          <w:lang w:val="en-US" w:bidi="en-US"/>
        </w:rPr>
        <w:t xml:space="preserve">including </w:t>
      </w:r>
      <w:r w:rsidR="00EC0732" w:rsidRPr="00D07F3F">
        <w:rPr>
          <w:rFonts w:eastAsia="GothamNarrow-Light" w:cs="Arial"/>
          <w:iCs/>
          <w:color w:val="auto"/>
          <w:lang w:val="en-US" w:bidi="en-US"/>
        </w:rPr>
        <w:t xml:space="preserve">those for </w:t>
      </w:r>
      <w:r w:rsidR="00335AF9" w:rsidRPr="00D07F3F">
        <w:rPr>
          <w:rFonts w:eastAsia="GothamNarrow-Light" w:cs="Arial"/>
          <w:iCs/>
          <w:color w:val="auto"/>
          <w:lang w:val="en-US" w:bidi="en-US"/>
        </w:rPr>
        <w:t>fraud control, professional conduct, and anti-corruption</w:t>
      </w:r>
      <w:r w:rsidR="00773DED" w:rsidRPr="00D07F3F">
        <w:rPr>
          <w:rFonts w:eastAsia="GothamNarrow-Light" w:cs="Arial"/>
          <w:iCs/>
          <w:color w:val="auto"/>
          <w:lang w:val="en-US" w:bidi="en-US"/>
        </w:rPr>
        <w:t xml:space="preserve"> are reported quarterly to the SWIAC.</w:t>
      </w:r>
    </w:p>
    <w:p w14:paraId="77B5793D" w14:textId="34318B53" w:rsidR="00925C67" w:rsidRPr="00D07F3F" w:rsidRDefault="009F0B9E" w:rsidP="002339E5">
      <w:pPr>
        <w:rPr>
          <w:rFonts w:eastAsia="GothamNarrow-Light" w:cs="Arial"/>
          <w:iCs/>
          <w:color w:val="auto"/>
          <w:lang w:val="en-US" w:bidi="en-US"/>
        </w:rPr>
      </w:pPr>
      <w:r w:rsidRPr="00D07F3F">
        <w:rPr>
          <w:rFonts w:eastAsia="GothamNarrow-Light" w:cs="Arial"/>
          <w:b/>
          <w:bCs/>
          <w:iCs/>
          <w:color w:val="2A7187" w:themeColor="accent5" w:themeShade="BF"/>
          <w:lang w:val="en-US" w:bidi="en-US"/>
        </w:rPr>
        <w:t>Annual reporting to the Australian Institute of Criminology (AIC)</w:t>
      </w:r>
      <w:r w:rsidR="00CE22C1" w:rsidRPr="00D07F3F">
        <w:rPr>
          <w:rFonts w:eastAsia="GothamNarrow-Light" w:cs="Arial"/>
          <w:b/>
          <w:bCs/>
          <w:iCs/>
          <w:color w:val="2A7187" w:themeColor="accent5" w:themeShade="BF"/>
          <w:lang w:val="en-US" w:bidi="en-US"/>
        </w:rPr>
        <w:t xml:space="preserve">: </w:t>
      </w:r>
      <w:r w:rsidR="007D581B" w:rsidRPr="00D07F3F">
        <w:rPr>
          <w:rFonts w:eastAsia="GothamNarrow-Light" w:cs="Arial"/>
          <w:iCs/>
          <w:color w:val="auto"/>
          <w:lang w:val="en-US" w:bidi="en-US"/>
        </w:rPr>
        <w:t>t</w:t>
      </w:r>
      <w:r w:rsidR="00D82CF3" w:rsidRPr="00D07F3F">
        <w:rPr>
          <w:rFonts w:eastAsia="GothamNarrow-Light" w:cs="Arial"/>
          <w:iCs/>
          <w:color w:val="auto"/>
          <w:lang w:val="en-US" w:bidi="en-US"/>
        </w:rPr>
        <w:t>he Commonwealth Fraud Control Policy requires the collection of data on fraud within the department and to report this information annually to the AIC.</w:t>
      </w:r>
      <w:r w:rsidR="005B0339" w:rsidRPr="00D07F3F">
        <w:rPr>
          <w:rFonts w:eastAsia="GothamNarrow-Light" w:cs="Arial"/>
          <w:b/>
          <w:bCs/>
          <w:iCs/>
          <w:color w:val="auto"/>
          <w:lang w:val="en-US" w:bidi="en-US"/>
        </w:rPr>
        <w:t xml:space="preserve"> </w:t>
      </w:r>
    </w:p>
    <w:p w14:paraId="4C6514E9" w14:textId="6BBABC40" w:rsidR="009F0B9E" w:rsidRPr="00D07F3F" w:rsidRDefault="009F0B9E" w:rsidP="002339E5">
      <w:pPr>
        <w:rPr>
          <w:rFonts w:eastAsia="GothamNarrow-Light" w:cs="Arial"/>
          <w:iCs/>
          <w:color w:val="auto"/>
          <w:lang w:val="en-US" w:bidi="en-US"/>
        </w:rPr>
      </w:pPr>
      <w:r w:rsidRPr="00D07F3F">
        <w:rPr>
          <w:rFonts w:eastAsia="GothamNarrow-Light" w:cs="Arial"/>
          <w:b/>
          <w:bCs/>
          <w:iCs/>
          <w:color w:val="2A7187" w:themeColor="accent5" w:themeShade="BF"/>
          <w:lang w:val="en-US" w:bidi="en-US"/>
        </w:rPr>
        <w:t>Annual reporting to the Commonwealth Ombudsman</w:t>
      </w:r>
      <w:r w:rsidR="00D82CF3" w:rsidRPr="00D07F3F">
        <w:rPr>
          <w:rFonts w:eastAsia="GothamNarrow-Light" w:cs="Arial"/>
          <w:b/>
          <w:bCs/>
          <w:iCs/>
          <w:color w:val="2A7187" w:themeColor="accent5" w:themeShade="BF"/>
          <w:lang w:val="en-US" w:bidi="en-US"/>
        </w:rPr>
        <w:t xml:space="preserve">: </w:t>
      </w:r>
      <w:r w:rsidRPr="00D07F3F">
        <w:rPr>
          <w:rFonts w:eastAsia="GothamNarrow-Light" w:cs="Arial"/>
          <w:iCs/>
          <w:color w:val="auto"/>
          <w:lang w:val="en-US" w:bidi="en-US"/>
        </w:rPr>
        <w:t xml:space="preserve"> </w:t>
      </w:r>
      <w:r w:rsidR="007D581B" w:rsidRPr="00D07F3F">
        <w:rPr>
          <w:rFonts w:eastAsia="GothamNarrow-Light" w:cs="Arial"/>
          <w:iCs/>
          <w:color w:val="auto"/>
          <w:lang w:val="en-US" w:bidi="en-US"/>
        </w:rPr>
        <w:t>t</w:t>
      </w:r>
      <w:r w:rsidR="00A047D4" w:rsidRPr="00D07F3F">
        <w:rPr>
          <w:rFonts w:eastAsia="GothamNarrow-Light" w:cs="Arial"/>
          <w:iCs/>
          <w:color w:val="auto"/>
          <w:lang w:val="en-US" w:bidi="en-US"/>
        </w:rPr>
        <w:t>he department is required to submi</w:t>
      </w:r>
      <w:r w:rsidR="006617BC" w:rsidRPr="00D07F3F">
        <w:rPr>
          <w:rFonts w:eastAsia="GothamNarrow-Light" w:cs="Arial"/>
          <w:iCs/>
          <w:color w:val="auto"/>
          <w:lang w:val="en-US" w:bidi="en-US"/>
        </w:rPr>
        <w:t xml:space="preserve">t an annual workbook and survey </w:t>
      </w:r>
      <w:r w:rsidR="004E5237" w:rsidRPr="00D07F3F">
        <w:rPr>
          <w:rFonts w:eastAsia="GothamNarrow-Light" w:cs="Arial"/>
          <w:iCs/>
          <w:color w:val="auto"/>
          <w:lang w:val="en-US" w:bidi="en-US"/>
        </w:rPr>
        <w:t xml:space="preserve">to the Commonwealth Ombudsman on </w:t>
      </w:r>
      <w:r w:rsidR="00271A25" w:rsidRPr="00D07F3F">
        <w:rPr>
          <w:rFonts w:eastAsia="GothamNarrow-Light" w:cs="Arial"/>
          <w:iCs/>
          <w:color w:val="auto"/>
          <w:lang w:val="en-US" w:bidi="en-US"/>
        </w:rPr>
        <w:t>P</w:t>
      </w:r>
      <w:r w:rsidRPr="00D07F3F">
        <w:rPr>
          <w:rFonts w:eastAsia="GothamNarrow-Light" w:cs="Arial"/>
          <w:iCs/>
          <w:color w:val="auto"/>
          <w:lang w:val="en-US" w:bidi="en-US"/>
        </w:rPr>
        <w:t xml:space="preserve">ublic </w:t>
      </w:r>
      <w:r w:rsidR="00271A25" w:rsidRPr="00D07F3F">
        <w:rPr>
          <w:rFonts w:eastAsia="GothamNarrow-Light" w:cs="Arial"/>
          <w:iCs/>
          <w:color w:val="auto"/>
          <w:lang w:val="en-US" w:bidi="en-US"/>
        </w:rPr>
        <w:t>I</w:t>
      </w:r>
      <w:r w:rsidRPr="00D07F3F">
        <w:rPr>
          <w:rFonts w:eastAsia="GothamNarrow-Light" w:cs="Arial"/>
          <w:iCs/>
          <w:color w:val="auto"/>
          <w:lang w:val="en-US" w:bidi="en-US"/>
        </w:rPr>
        <w:t xml:space="preserve">nterest </w:t>
      </w:r>
      <w:r w:rsidR="00271A25" w:rsidRPr="00D07F3F">
        <w:rPr>
          <w:rFonts w:eastAsia="GothamNarrow-Light" w:cs="Arial"/>
          <w:iCs/>
          <w:color w:val="auto"/>
          <w:lang w:val="en-US" w:bidi="en-US"/>
        </w:rPr>
        <w:t>D</w:t>
      </w:r>
      <w:r w:rsidRPr="00D07F3F">
        <w:rPr>
          <w:rFonts w:eastAsia="GothamNarrow-Light" w:cs="Arial"/>
          <w:iCs/>
          <w:color w:val="auto"/>
          <w:lang w:val="en-US" w:bidi="en-US"/>
        </w:rPr>
        <w:t>isclosures.</w:t>
      </w:r>
    </w:p>
    <w:p w14:paraId="1CEDB5D3" w14:textId="75D4DFED" w:rsidR="00B44BE0" w:rsidRPr="00D07F3F" w:rsidRDefault="003C703C" w:rsidP="004E5237">
      <w:pPr>
        <w:rPr>
          <w:rFonts w:eastAsia="GothamNarrow-Light" w:cs="Arial"/>
          <w:color w:val="auto"/>
          <w:lang w:val="en-US" w:bidi="en-US"/>
        </w:rPr>
      </w:pPr>
      <w:r w:rsidRPr="00D07F3F">
        <w:rPr>
          <w:rFonts w:eastAsia="GothamNarrow-Light" w:cs="Arial"/>
          <w:b/>
          <w:bCs/>
          <w:color w:val="2A7187" w:themeColor="accent5" w:themeShade="BF"/>
          <w:lang w:val="en-US" w:bidi="en-US"/>
        </w:rPr>
        <w:t xml:space="preserve">Assurance </w:t>
      </w:r>
      <w:r w:rsidR="00C84C7D" w:rsidRPr="00D07F3F">
        <w:rPr>
          <w:rFonts w:eastAsia="GothamNarrow-Light" w:cs="Arial"/>
          <w:b/>
          <w:bCs/>
          <w:color w:val="2A7187" w:themeColor="accent5" w:themeShade="BF"/>
          <w:lang w:val="en-US" w:bidi="en-US"/>
        </w:rPr>
        <w:t>f</w:t>
      </w:r>
      <w:r w:rsidRPr="00D07F3F">
        <w:rPr>
          <w:rFonts w:eastAsia="GothamNarrow-Light" w:cs="Arial"/>
          <w:b/>
          <w:bCs/>
          <w:color w:val="2A7187" w:themeColor="accent5" w:themeShade="BF"/>
          <w:lang w:val="en-US" w:bidi="en-US"/>
        </w:rPr>
        <w:t>ramework</w:t>
      </w:r>
      <w:r w:rsidR="005E30EF" w:rsidRPr="00D07F3F">
        <w:rPr>
          <w:rFonts w:eastAsia="GothamNarrow-Light" w:cs="Arial"/>
          <w:b/>
          <w:bCs/>
          <w:color w:val="358189" w:themeColor="accent2"/>
          <w:lang w:val="en-US" w:bidi="en-US"/>
        </w:rPr>
        <w:t>:</w:t>
      </w:r>
      <w:r w:rsidRPr="00D07F3F">
        <w:rPr>
          <w:rFonts w:eastAsia="GothamNarrow-Light" w:cs="Arial"/>
          <w:b/>
          <w:bCs/>
          <w:color w:val="358189" w:themeColor="accent2"/>
          <w:lang w:val="en-US" w:bidi="en-US"/>
        </w:rPr>
        <w:t xml:space="preserve"> </w:t>
      </w:r>
      <w:r w:rsidR="007D581B" w:rsidRPr="00D07F3F">
        <w:rPr>
          <w:rFonts w:eastAsia="GothamNarrow-Light" w:cs="Arial"/>
          <w:color w:val="auto"/>
          <w:lang w:val="en-US" w:bidi="en-US"/>
        </w:rPr>
        <w:t>t</w:t>
      </w:r>
      <w:r w:rsidR="005B06D7" w:rsidRPr="00D07F3F">
        <w:rPr>
          <w:rFonts w:eastAsia="GothamNarrow-Light" w:cs="Arial"/>
          <w:color w:val="auto"/>
          <w:lang w:val="en-US" w:bidi="en-US"/>
        </w:rPr>
        <w:t>o provide confidence to Government that the department</w:t>
      </w:r>
      <w:r w:rsidR="00792EC5" w:rsidRPr="00D07F3F">
        <w:rPr>
          <w:rFonts w:eastAsia="GothamNarrow-Light" w:cs="Arial"/>
          <w:color w:val="auto"/>
          <w:lang w:val="en-US" w:bidi="en-US"/>
        </w:rPr>
        <w:t>’s outcomes are being achieved, all</w:t>
      </w:r>
      <w:r w:rsidR="005B06D7" w:rsidRPr="00D07F3F">
        <w:rPr>
          <w:rFonts w:eastAsia="GothamNarrow-Light" w:cs="Arial"/>
          <w:color w:val="auto"/>
          <w:lang w:val="en-US" w:bidi="en-US"/>
        </w:rPr>
        <w:t xml:space="preserve"> b</w:t>
      </w:r>
      <w:r w:rsidR="00A75AD3" w:rsidRPr="00D07F3F">
        <w:rPr>
          <w:rFonts w:eastAsia="GothamNarrow-Light" w:cs="Arial"/>
          <w:color w:val="auto"/>
          <w:lang w:val="en-US" w:bidi="en-US"/>
        </w:rPr>
        <w:t>usiness areas must identify areas of assurance need, conduct assurance</w:t>
      </w:r>
      <w:r w:rsidR="00FF196B" w:rsidRPr="00D07F3F">
        <w:rPr>
          <w:rFonts w:eastAsia="GothamNarrow-Light" w:cs="Arial"/>
          <w:color w:val="auto"/>
          <w:lang w:val="en-US" w:bidi="en-US"/>
        </w:rPr>
        <w:t xml:space="preserve"> activities</w:t>
      </w:r>
      <w:r w:rsidR="00A75AD3" w:rsidRPr="00D07F3F">
        <w:rPr>
          <w:rFonts w:eastAsia="GothamNarrow-Light" w:cs="Arial"/>
          <w:color w:val="auto"/>
          <w:lang w:val="en-US" w:bidi="en-US"/>
        </w:rPr>
        <w:t xml:space="preserve">, implement any recommendations identified, and communicate this with the </w:t>
      </w:r>
      <w:r w:rsidR="00FF196B" w:rsidRPr="00D07F3F">
        <w:rPr>
          <w:rFonts w:eastAsia="GothamNarrow-Light" w:cs="Arial"/>
          <w:color w:val="auto"/>
          <w:lang w:val="en-US" w:bidi="en-US"/>
        </w:rPr>
        <w:t>d</w:t>
      </w:r>
      <w:r w:rsidR="00A75AD3" w:rsidRPr="00D07F3F">
        <w:rPr>
          <w:rFonts w:eastAsia="GothamNarrow-Light" w:cs="Arial"/>
          <w:color w:val="auto"/>
          <w:lang w:val="en-US" w:bidi="en-US"/>
        </w:rPr>
        <w:t xml:space="preserve">epartment’s Executive. </w:t>
      </w:r>
      <w:r w:rsidR="005609DE" w:rsidRPr="00D07F3F">
        <w:rPr>
          <w:rFonts w:eastAsia="GothamNarrow-Light" w:cs="Arial"/>
          <w:color w:val="auto"/>
          <w:lang w:val="en-US" w:bidi="en-US"/>
        </w:rPr>
        <w:t xml:space="preserve">The Assurance Framework provides guidance on how to do this. </w:t>
      </w:r>
    </w:p>
    <w:p w14:paraId="5C2B56D7" w14:textId="64C7CDB4" w:rsidR="003C703C" w:rsidRPr="00D07F3F" w:rsidRDefault="00C344BF" w:rsidP="00C344BF">
      <w:pPr>
        <w:rPr>
          <w:rFonts w:eastAsia="GothamNarrow-Light" w:cs="Arial"/>
          <w:color w:val="auto"/>
          <w:lang w:val="en-US" w:bidi="en-US"/>
        </w:rPr>
      </w:pPr>
      <w:r w:rsidRPr="00D07F3F">
        <w:rPr>
          <w:rFonts w:eastAsia="GothamNarrow-Light" w:cs="Arial"/>
          <w:b/>
          <w:bCs/>
          <w:color w:val="2A7187" w:themeColor="accent5" w:themeShade="BF"/>
          <w:lang w:val="en-US" w:bidi="en-US"/>
        </w:rPr>
        <w:t xml:space="preserve">Live </w:t>
      </w:r>
      <w:r w:rsidR="008413BB">
        <w:rPr>
          <w:rFonts w:eastAsia="GothamNarrow-Light" w:cs="Arial"/>
          <w:b/>
          <w:bCs/>
          <w:color w:val="2A7187" w:themeColor="accent5" w:themeShade="BF"/>
          <w:lang w:val="en-US" w:bidi="en-US"/>
        </w:rPr>
        <w:t>a</w:t>
      </w:r>
      <w:r w:rsidRPr="00D07F3F">
        <w:rPr>
          <w:rFonts w:eastAsia="GothamNarrow-Light" w:cs="Arial"/>
          <w:b/>
          <w:bCs/>
          <w:color w:val="2A7187" w:themeColor="accent5" w:themeShade="BF"/>
          <w:lang w:val="en-US" w:bidi="en-US"/>
        </w:rPr>
        <w:t>ssurance:</w:t>
      </w:r>
      <w:r w:rsidRPr="00D07F3F">
        <w:rPr>
          <w:rFonts w:eastAsia="GothamNarrow-Light" w:cs="Arial"/>
          <w:color w:val="auto"/>
          <w:lang w:val="en-US" w:bidi="en-US"/>
        </w:rPr>
        <w:t xml:space="preserve">  mapping activities are used to identify higher risk priority areas and provide ‘real-time’ risk and controls advisory services to directly support program areas and the department. Key risks are mapped, including fraud and corruption risks and the highest priority measures are identified to undertake a 'risk snapshot’. Areas requiring immediate ‘real time’ and ongoing risk, fraud, </w:t>
      </w:r>
      <w:r w:rsidR="00465CA6" w:rsidRPr="00D07F3F">
        <w:rPr>
          <w:rFonts w:eastAsia="GothamNarrow-Light" w:cs="Arial"/>
          <w:color w:val="auto"/>
          <w:lang w:val="en-US" w:bidi="en-US"/>
        </w:rPr>
        <w:t>corruption,</w:t>
      </w:r>
      <w:r w:rsidRPr="00D07F3F">
        <w:rPr>
          <w:rFonts w:eastAsia="GothamNarrow-Light" w:cs="Arial"/>
          <w:color w:val="auto"/>
          <w:lang w:val="en-US" w:bidi="en-US"/>
        </w:rPr>
        <w:t xml:space="preserve"> and assurance advice are identified for targeted deep dives. Key risks, key control gaps and opportunities are highlighted to strengthen mitigation strategies and/or assist the department to capture the decision-making and approval processes where controls may have been removed.</w:t>
      </w:r>
      <w:r w:rsidR="00642FFA" w:rsidRPr="00D07F3F">
        <w:rPr>
          <w:rFonts w:eastAsia="GothamNarrow-Light" w:cs="Arial"/>
          <w:color w:val="auto"/>
          <w:lang w:val="en-US" w:bidi="en-US"/>
        </w:rPr>
        <w:t xml:space="preserve"> </w:t>
      </w:r>
    </w:p>
    <w:p w14:paraId="2D258CE0" w14:textId="14665D89" w:rsidR="007D581B" w:rsidRPr="009F7C45" w:rsidRDefault="00CA26B3" w:rsidP="00E0718C">
      <w:r w:rsidRPr="00D07F3F">
        <w:rPr>
          <w:rFonts w:eastAsia="GothamNarrow-Light" w:cs="Arial"/>
          <w:b/>
          <w:bCs/>
          <w:color w:val="2A7187" w:themeColor="accent5" w:themeShade="BF"/>
          <w:lang w:val="en-US" w:bidi="en-US"/>
        </w:rPr>
        <w:t xml:space="preserve">Other </w:t>
      </w:r>
      <w:r w:rsidR="00243D58" w:rsidRPr="00D07F3F">
        <w:rPr>
          <w:rFonts w:eastAsia="GothamNarrow-Light" w:cs="Arial"/>
          <w:b/>
          <w:bCs/>
          <w:color w:val="2A7187" w:themeColor="accent5" w:themeShade="BF"/>
          <w:lang w:val="en-US" w:bidi="en-US"/>
        </w:rPr>
        <w:t>r</w:t>
      </w:r>
      <w:r w:rsidR="00885B89" w:rsidRPr="00D07F3F">
        <w:rPr>
          <w:rFonts w:eastAsia="GothamNarrow-Light" w:cs="Arial"/>
          <w:b/>
          <w:bCs/>
          <w:color w:val="2A7187" w:themeColor="accent5" w:themeShade="BF"/>
          <w:lang w:val="en-US" w:bidi="en-US"/>
        </w:rPr>
        <w:t>eviews</w:t>
      </w:r>
      <w:r w:rsidR="00A13D36" w:rsidRPr="00D07F3F">
        <w:rPr>
          <w:rFonts w:eastAsia="GothamNarrow-Light" w:cs="Arial"/>
          <w:b/>
          <w:bCs/>
          <w:color w:val="2A7187" w:themeColor="accent5" w:themeShade="BF"/>
          <w:lang w:val="en-US" w:bidi="en-US"/>
        </w:rPr>
        <w:t>:</w:t>
      </w:r>
      <w:r w:rsidR="00885B89" w:rsidRPr="00D07F3F">
        <w:rPr>
          <w:rFonts w:eastAsia="GothamNarrow-Light" w:cs="Arial"/>
          <w:color w:val="2A7187" w:themeColor="accent5" w:themeShade="BF"/>
          <w:lang w:val="en-US" w:bidi="en-US"/>
        </w:rPr>
        <w:t xml:space="preserve"> </w:t>
      </w:r>
      <w:r w:rsidR="00F46815" w:rsidRPr="00D07F3F">
        <w:rPr>
          <w:rFonts w:eastAsia="GothamNarrow-Light" w:cs="Arial"/>
          <w:lang w:val="en-US" w:bidi="en-US"/>
        </w:rPr>
        <w:t>q</w:t>
      </w:r>
      <w:r w:rsidR="00E719B8" w:rsidRPr="00D07F3F">
        <w:rPr>
          <w:rFonts w:eastAsia="GothamNarrow-Light" w:cs="Arial"/>
          <w:lang w:val="en-US" w:bidi="en-US"/>
        </w:rPr>
        <w:t>uality</w:t>
      </w:r>
      <w:r w:rsidR="00E719B8" w:rsidRPr="00D07F3F">
        <w:rPr>
          <w:rFonts w:eastAsia="GothamNarrow-Light" w:cs="Arial"/>
          <w:spacing w:val="-5"/>
          <w:lang w:val="en-US" w:bidi="en-US"/>
        </w:rPr>
        <w:t xml:space="preserve"> </w:t>
      </w:r>
      <w:r w:rsidR="00F46815" w:rsidRPr="00D07F3F">
        <w:rPr>
          <w:rFonts w:eastAsia="GothamNarrow-Light" w:cs="Arial"/>
          <w:lang w:val="en-US" w:bidi="en-US"/>
        </w:rPr>
        <w:t>a</w:t>
      </w:r>
      <w:r w:rsidR="00E719B8" w:rsidRPr="00D07F3F">
        <w:rPr>
          <w:rFonts w:eastAsia="GothamNarrow-Light" w:cs="Arial"/>
          <w:lang w:val="en-US" w:bidi="en-US"/>
        </w:rPr>
        <w:t>ssurance</w:t>
      </w:r>
      <w:r w:rsidR="00E719B8" w:rsidRPr="00D07F3F">
        <w:rPr>
          <w:rFonts w:eastAsia="GothamNarrow-Light" w:cs="Arial"/>
          <w:spacing w:val="-5"/>
          <w:lang w:val="en-US" w:bidi="en-US"/>
        </w:rPr>
        <w:t xml:space="preserve"> </w:t>
      </w:r>
      <w:r w:rsidR="00F46815" w:rsidRPr="00D07F3F">
        <w:rPr>
          <w:rFonts w:eastAsia="GothamNarrow-Light" w:cs="Arial"/>
          <w:lang w:val="en-US" w:bidi="en-US"/>
        </w:rPr>
        <w:t>r</w:t>
      </w:r>
      <w:r w:rsidR="00E719B8" w:rsidRPr="00D07F3F">
        <w:rPr>
          <w:rFonts w:eastAsia="GothamNarrow-Light" w:cs="Arial"/>
          <w:lang w:val="en-US" w:bidi="en-US"/>
        </w:rPr>
        <w:t>eviews</w:t>
      </w:r>
      <w:r w:rsidR="00E719B8" w:rsidRPr="00D07F3F">
        <w:rPr>
          <w:rFonts w:eastAsia="GothamNarrow-Light" w:cs="Arial"/>
          <w:spacing w:val="-6"/>
          <w:lang w:val="en-US" w:bidi="en-US"/>
        </w:rPr>
        <w:t xml:space="preserve"> </w:t>
      </w:r>
      <w:r w:rsidR="00E719B8" w:rsidRPr="00D07F3F">
        <w:rPr>
          <w:rFonts w:eastAsia="GothamNarrow-Light" w:cs="Arial"/>
          <w:lang w:val="en-US" w:bidi="en-US"/>
        </w:rPr>
        <w:t xml:space="preserve">of </w:t>
      </w:r>
      <w:r w:rsidR="00CE2114" w:rsidRPr="00D07F3F">
        <w:rPr>
          <w:rFonts w:eastAsia="GothamNarrow-Light" w:cs="Arial"/>
          <w:lang w:val="en-US" w:bidi="en-US"/>
        </w:rPr>
        <w:t xml:space="preserve">departmental </w:t>
      </w:r>
      <w:r w:rsidR="00E719B8" w:rsidRPr="00D07F3F">
        <w:rPr>
          <w:rFonts w:eastAsia="GothamNarrow-Light" w:cs="Arial"/>
          <w:lang w:val="en-US" w:bidi="en-US"/>
        </w:rPr>
        <w:t>investigations in accordance with the AGIS</w:t>
      </w:r>
      <w:r w:rsidR="00FF3A1C" w:rsidRPr="00D07F3F">
        <w:rPr>
          <w:rFonts w:eastAsia="GothamNarrow-Light" w:cs="Arial"/>
          <w:lang w:val="en-US" w:bidi="en-US"/>
        </w:rPr>
        <w:t xml:space="preserve"> or the </w:t>
      </w:r>
      <w:r w:rsidR="00F72A84" w:rsidRPr="00D07F3F">
        <w:rPr>
          <w:rFonts w:eastAsia="GothamNarrow-Light" w:cs="Arial"/>
          <w:lang w:val="en-US" w:bidi="en-US"/>
        </w:rPr>
        <w:t>department</w:t>
      </w:r>
      <w:r w:rsidR="00234850" w:rsidRPr="00D07F3F">
        <w:rPr>
          <w:rFonts w:eastAsia="GothamNarrow-Light" w:cs="Arial"/>
          <w:lang w:val="en-US" w:bidi="en-US"/>
        </w:rPr>
        <w:t>’s c</w:t>
      </w:r>
      <w:r w:rsidR="00DC0A90" w:rsidRPr="00D07F3F">
        <w:rPr>
          <w:rFonts w:eastAsia="GothamNarrow-Light" w:cs="Arial"/>
          <w:lang w:val="en-US" w:bidi="en-US"/>
        </w:rPr>
        <w:t xml:space="preserve">ompliance </w:t>
      </w:r>
      <w:r w:rsidR="00E719B8" w:rsidRPr="00D07F3F">
        <w:rPr>
          <w:rFonts w:eastAsia="GothamNarrow-Light" w:cs="Arial"/>
          <w:lang w:val="en-US" w:bidi="en-US"/>
        </w:rPr>
        <w:t>with the Fraud Rule may be the subject of audit by the Australian National Audit Office.</w:t>
      </w:r>
      <w:bookmarkStart w:id="12" w:name="_Annex_2:_Fraud"/>
      <w:bookmarkStart w:id="13" w:name="_Toc111028926"/>
      <w:bookmarkStart w:id="14" w:name="_Toc112925403"/>
      <w:bookmarkEnd w:id="12"/>
    </w:p>
    <w:p w14:paraId="6B6FEF2A" w14:textId="77777777" w:rsidR="00CA1402" w:rsidRPr="009F7C45" w:rsidRDefault="00CA1402" w:rsidP="009F7C45">
      <w:r w:rsidRPr="009F7C45">
        <w:br w:type="page"/>
      </w:r>
    </w:p>
    <w:p w14:paraId="398F6C14" w14:textId="653CE026" w:rsidR="00C03C18" w:rsidRPr="007D581B" w:rsidRDefault="00C03C18" w:rsidP="009F14FD">
      <w:pPr>
        <w:pStyle w:val="Heading1"/>
        <w:rPr>
          <w:sz w:val="36"/>
          <w:szCs w:val="28"/>
        </w:rPr>
      </w:pPr>
      <w:r w:rsidRPr="007D581B">
        <w:rPr>
          <w:sz w:val="36"/>
          <w:szCs w:val="28"/>
        </w:rPr>
        <w:lastRenderedPageBreak/>
        <w:t>Further information</w:t>
      </w:r>
    </w:p>
    <w:p w14:paraId="2A0FAB0C" w14:textId="06EE7D15" w:rsidR="007A5C9C" w:rsidRPr="00D07F3F" w:rsidRDefault="007A5C9C" w:rsidP="009F14FD">
      <w:pPr>
        <w:rPr>
          <w:rFonts w:cs="Arial"/>
        </w:rPr>
      </w:pPr>
      <w:r w:rsidRPr="00D07F3F">
        <w:rPr>
          <w:rFonts w:cs="Arial"/>
        </w:rPr>
        <w:t xml:space="preserve">Queries about the Department of Health and Aged Care Fraud and Corruption Control Plan can be forwarded to </w:t>
      </w:r>
      <w:hyperlink r:id="rId16" w:history="1">
        <w:r w:rsidRPr="0068343B">
          <w:rPr>
            <w:rStyle w:val="Hyperlink"/>
            <w:rFonts w:cs="Arial"/>
          </w:rPr>
          <w:t>fraudprevention@health.gov.au</w:t>
        </w:r>
      </w:hyperlink>
      <w:r w:rsidRPr="00D07F3F">
        <w:rPr>
          <w:rFonts w:cs="Arial"/>
        </w:rPr>
        <w:t>.</w:t>
      </w:r>
    </w:p>
    <w:p w14:paraId="63951567" w14:textId="36D79237" w:rsidR="00696320" w:rsidRPr="007D581B" w:rsidRDefault="000140D0" w:rsidP="009F14FD">
      <w:pPr>
        <w:pStyle w:val="Heading2"/>
        <w:rPr>
          <w:rFonts w:eastAsia="GothamNarrow-Light"/>
          <w:sz w:val="32"/>
          <w:szCs w:val="24"/>
          <w:lang w:val="en-US" w:bidi="en-US"/>
        </w:rPr>
      </w:pPr>
      <w:r w:rsidRPr="007D581B">
        <w:rPr>
          <w:rFonts w:eastAsia="GothamNarrow-Light"/>
          <w:sz w:val="32"/>
          <w:szCs w:val="24"/>
          <w:lang w:val="en-US" w:bidi="en-US"/>
        </w:rPr>
        <w:t xml:space="preserve">Key legislation and </w:t>
      </w:r>
      <w:r w:rsidRPr="007D581B">
        <w:rPr>
          <w:rFonts w:eastAsia="GothamNarrow-Light"/>
          <w:sz w:val="32"/>
          <w:szCs w:val="24"/>
        </w:rPr>
        <w:t>instruments</w:t>
      </w:r>
    </w:p>
    <w:p w14:paraId="6B9ECA0E" w14:textId="74604F80" w:rsidR="007A5C9C" w:rsidRPr="00D07F3F" w:rsidRDefault="007D6DFE" w:rsidP="007A5C9C">
      <w:pPr>
        <w:rPr>
          <w:rStyle w:val="Hyperlink"/>
          <w:rFonts w:cs="Arial"/>
        </w:rPr>
      </w:pPr>
      <w:hyperlink r:id="rId17">
        <w:r w:rsidR="007A5C9C" w:rsidRPr="00D07F3F">
          <w:rPr>
            <w:rStyle w:val="Hyperlink"/>
            <w:rFonts w:cs="Arial"/>
          </w:rPr>
          <w:t>APS Values and Code of Conduct</w:t>
        </w:r>
      </w:hyperlink>
    </w:p>
    <w:p w14:paraId="2DD6E7C6" w14:textId="0AF6238B" w:rsidR="007A5C9C" w:rsidRPr="00D07F3F" w:rsidRDefault="007D6DFE" w:rsidP="007A5C9C">
      <w:pPr>
        <w:rPr>
          <w:rStyle w:val="Hyperlink"/>
          <w:rFonts w:cs="Arial"/>
        </w:rPr>
      </w:pPr>
      <w:hyperlink r:id="rId18">
        <w:r w:rsidR="007A5C9C" w:rsidRPr="00D07F3F">
          <w:rPr>
            <w:rStyle w:val="Hyperlink"/>
            <w:rFonts w:cs="Arial"/>
          </w:rPr>
          <w:t>Australian Government Investigations Standards</w:t>
        </w:r>
      </w:hyperlink>
    </w:p>
    <w:p w14:paraId="7033F58C" w14:textId="6E108146" w:rsidR="00E22012" w:rsidRPr="00D07F3F" w:rsidRDefault="007D6DFE" w:rsidP="009F14FD">
      <w:pPr>
        <w:rPr>
          <w:rStyle w:val="Hyperlink"/>
          <w:rFonts w:cs="Arial"/>
        </w:rPr>
      </w:pPr>
      <w:hyperlink r:id="rId19">
        <w:r w:rsidR="00E22012" w:rsidRPr="00D07F3F">
          <w:rPr>
            <w:rStyle w:val="Hyperlink"/>
            <w:rFonts w:cs="Arial"/>
          </w:rPr>
          <w:t>Commonwealth Fraud Control Framework 2017</w:t>
        </w:r>
      </w:hyperlink>
    </w:p>
    <w:p w14:paraId="0A3C3CAA" w14:textId="414D478F" w:rsidR="007A5C9C" w:rsidRPr="00D07F3F" w:rsidRDefault="007D6DFE" w:rsidP="009F14FD">
      <w:pPr>
        <w:rPr>
          <w:rStyle w:val="Hyperlink"/>
          <w:rFonts w:cs="Arial"/>
          <w:color w:val="000000" w:themeColor="text1"/>
          <w:u w:val="none"/>
        </w:rPr>
      </w:pPr>
      <w:hyperlink r:id="rId20" w:history="1">
        <w:r w:rsidR="007A5C9C" w:rsidRPr="00D07F3F">
          <w:rPr>
            <w:rStyle w:val="Hyperlink"/>
            <w:rFonts w:cs="Arial"/>
          </w:rPr>
          <w:t>Criminal Code Act 1995</w:t>
        </w:r>
      </w:hyperlink>
    </w:p>
    <w:p w14:paraId="1BBDFBAF" w14:textId="77777777" w:rsidR="00E22012" w:rsidRPr="00D07F3F" w:rsidRDefault="007D6DFE" w:rsidP="009F14FD">
      <w:pPr>
        <w:rPr>
          <w:rStyle w:val="Hyperlink"/>
          <w:rFonts w:cs="Arial"/>
        </w:rPr>
      </w:pPr>
      <w:hyperlink r:id="rId21">
        <w:r w:rsidR="00E22012" w:rsidRPr="00D07F3F">
          <w:rPr>
            <w:rStyle w:val="Hyperlink"/>
            <w:rFonts w:cs="Arial"/>
          </w:rPr>
          <w:t>Public Governance, Performance and Accountability Act 2013</w:t>
        </w:r>
      </w:hyperlink>
    </w:p>
    <w:p w14:paraId="0321DA92" w14:textId="63E826DC" w:rsidR="00E22012" w:rsidRPr="00D07F3F" w:rsidRDefault="007D6DFE" w:rsidP="009F14FD">
      <w:pPr>
        <w:rPr>
          <w:rStyle w:val="Hyperlink"/>
          <w:rFonts w:cs="Arial"/>
        </w:rPr>
      </w:pPr>
      <w:hyperlink r:id="rId22">
        <w:r w:rsidR="00E22012" w:rsidRPr="00D07F3F">
          <w:rPr>
            <w:rStyle w:val="Hyperlink"/>
            <w:rFonts w:cs="Arial"/>
          </w:rPr>
          <w:t>Public Interest Disclosure Act 2013</w:t>
        </w:r>
      </w:hyperlink>
    </w:p>
    <w:p w14:paraId="5C27B9D6" w14:textId="727CD62D" w:rsidR="007A5C9C" w:rsidRPr="00D07F3F" w:rsidRDefault="007D6DFE" w:rsidP="009F14FD">
      <w:pPr>
        <w:rPr>
          <w:rStyle w:val="Hyperlink"/>
          <w:rFonts w:cs="Arial"/>
        </w:rPr>
      </w:pPr>
      <w:hyperlink r:id="rId23">
        <w:r w:rsidR="007A5C9C" w:rsidRPr="00D07F3F">
          <w:rPr>
            <w:rStyle w:val="Hyperlink"/>
            <w:rFonts w:cs="Arial"/>
          </w:rPr>
          <w:t>Public Service Act 1999</w:t>
        </w:r>
      </w:hyperlink>
    </w:p>
    <w:p w14:paraId="6D45EE80" w14:textId="77777777" w:rsidR="007A5C9C" w:rsidRPr="00D07F3F" w:rsidRDefault="000140D0" w:rsidP="007A5C9C">
      <w:pPr>
        <w:rPr>
          <w:rFonts w:eastAsia="GothamNarrow-Light" w:cs="Arial"/>
          <w:b/>
          <w:bCs/>
          <w:color w:val="358189"/>
          <w:sz w:val="32"/>
          <w:lang w:val="en-US" w:bidi="en-US"/>
        </w:rPr>
      </w:pPr>
      <w:r w:rsidRPr="00D07F3F">
        <w:rPr>
          <w:rFonts w:eastAsia="GothamNarrow-Light" w:cs="Arial"/>
          <w:b/>
          <w:bCs/>
          <w:color w:val="358189"/>
          <w:sz w:val="32"/>
          <w:lang w:val="en-US" w:bidi="en-US"/>
        </w:rPr>
        <w:t>Departmen</w:t>
      </w:r>
      <w:r w:rsidR="00C342DA" w:rsidRPr="00D07F3F">
        <w:rPr>
          <w:rFonts w:eastAsia="GothamNarrow-Light" w:cs="Arial"/>
          <w:b/>
          <w:bCs/>
          <w:color w:val="358189"/>
          <w:sz w:val="32"/>
          <w:lang w:val="en-US" w:bidi="en-US"/>
        </w:rPr>
        <w:t>t</w:t>
      </w:r>
      <w:r w:rsidRPr="00D07F3F">
        <w:rPr>
          <w:rFonts w:eastAsia="GothamNarrow-Light" w:cs="Arial"/>
          <w:b/>
          <w:bCs/>
          <w:color w:val="358189"/>
          <w:sz w:val="32"/>
          <w:lang w:val="en-US" w:bidi="en-US"/>
        </w:rPr>
        <w:t xml:space="preserve">al </w:t>
      </w:r>
      <w:r w:rsidRPr="00D07F3F">
        <w:rPr>
          <w:rFonts w:eastAsia="GothamNarrow-Light" w:cs="Arial"/>
          <w:b/>
          <w:bCs/>
          <w:color w:val="358189"/>
          <w:sz w:val="32"/>
        </w:rPr>
        <w:t>policies</w:t>
      </w:r>
      <w:r w:rsidRPr="00D07F3F">
        <w:rPr>
          <w:rFonts w:eastAsia="GothamNarrow-Light" w:cs="Arial"/>
          <w:b/>
          <w:bCs/>
          <w:color w:val="358189"/>
          <w:sz w:val="32"/>
          <w:lang w:val="en-US" w:bidi="en-US"/>
        </w:rPr>
        <w:t xml:space="preserve"> </w:t>
      </w:r>
      <w:r w:rsidR="008D5B75" w:rsidRPr="00D07F3F">
        <w:rPr>
          <w:rFonts w:eastAsia="GothamNarrow-Light" w:cs="Arial"/>
          <w:b/>
          <w:bCs/>
          <w:color w:val="358189"/>
          <w:sz w:val="32"/>
          <w:lang w:val="en-US" w:bidi="en-US"/>
        </w:rPr>
        <w:t>and link</w:t>
      </w:r>
      <w:bookmarkEnd w:id="13"/>
      <w:bookmarkEnd w:id="14"/>
      <w:r w:rsidR="007A5C9C" w:rsidRPr="00D07F3F">
        <w:rPr>
          <w:rFonts w:eastAsia="GothamNarrow-Light" w:cs="Arial"/>
          <w:b/>
          <w:bCs/>
          <w:color w:val="358189"/>
          <w:sz w:val="32"/>
          <w:lang w:val="en-US" w:bidi="en-US"/>
        </w:rPr>
        <w:t>s</w:t>
      </w:r>
    </w:p>
    <w:p w14:paraId="3DDE4D77" w14:textId="47ED14DB" w:rsidR="007A5C9C" w:rsidRPr="00D07F3F" w:rsidRDefault="007D6DFE" w:rsidP="00D07F3F">
      <w:pPr>
        <w:rPr>
          <w:rFonts w:eastAsia="GothamNarrow-Light" w:cs="Arial"/>
          <w:sz w:val="32"/>
          <w:lang w:val="en-US" w:bidi="en-US"/>
        </w:rPr>
      </w:pPr>
      <w:hyperlink r:id="rId24" w:history="1">
        <w:r w:rsidR="007A5C9C" w:rsidRPr="00D07F3F">
          <w:rPr>
            <w:rStyle w:val="Hyperlink"/>
            <w:rFonts w:cs="Arial"/>
          </w:rPr>
          <w:t>Accountability Authority Instructions</w:t>
        </w:r>
      </w:hyperlink>
    </w:p>
    <w:p w14:paraId="6CA83676" w14:textId="7CAA825D" w:rsidR="007A5C9C" w:rsidRPr="00D07F3F" w:rsidRDefault="007D6DFE" w:rsidP="00D07F3F">
      <w:pPr>
        <w:rPr>
          <w:rFonts w:cs="Arial"/>
        </w:rPr>
      </w:pPr>
      <w:hyperlink r:id="rId25" w:history="1">
        <w:r w:rsidR="007A5C9C" w:rsidRPr="00D07F3F">
          <w:rPr>
            <w:rStyle w:val="Hyperlink"/>
            <w:rFonts w:cs="Arial"/>
          </w:rPr>
          <w:t>Assurance Framework</w:t>
        </w:r>
      </w:hyperlink>
      <w:r w:rsidR="007A5C9C" w:rsidRPr="00D07F3F">
        <w:rPr>
          <w:rStyle w:val="Hyperlink"/>
          <w:rFonts w:cs="Arial"/>
        </w:rPr>
        <w:t xml:space="preserve"> </w:t>
      </w:r>
    </w:p>
    <w:p w14:paraId="16551EE8" w14:textId="70FB8858" w:rsidR="007A5C9C" w:rsidRPr="00D07F3F" w:rsidRDefault="007D6DFE" w:rsidP="00D07F3F">
      <w:pPr>
        <w:rPr>
          <w:rFonts w:cs="Arial"/>
          <w:color w:val="0000FF" w:themeColor="hyperlink"/>
          <w:u w:val="single"/>
        </w:rPr>
      </w:pPr>
      <w:hyperlink r:id="rId26" w:history="1">
        <w:r w:rsidR="007A5C9C" w:rsidRPr="00D07F3F">
          <w:rPr>
            <w:rStyle w:val="Hyperlink"/>
            <w:rFonts w:cs="Arial"/>
          </w:rPr>
          <w:t>Conflict of Interest Policy</w:t>
        </w:r>
      </w:hyperlink>
    </w:p>
    <w:p w14:paraId="6C978D2D" w14:textId="3EEEFA0D" w:rsidR="007A5C9C" w:rsidRPr="00D07F3F" w:rsidRDefault="007D6DFE" w:rsidP="00D07F3F">
      <w:pPr>
        <w:rPr>
          <w:rFonts w:cs="Arial"/>
          <w:color w:val="0000FF" w:themeColor="hyperlink"/>
          <w:u w:val="single"/>
        </w:rPr>
      </w:pPr>
      <w:hyperlink r:id="rId27" w:history="1">
        <w:r w:rsidR="007A5C9C" w:rsidRPr="00D07F3F">
          <w:rPr>
            <w:rStyle w:val="Hyperlink"/>
            <w:rFonts w:cs="Arial"/>
          </w:rPr>
          <w:t>Fraud Control Toolkit</w:t>
        </w:r>
      </w:hyperlink>
    </w:p>
    <w:p w14:paraId="0D0FF202" w14:textId="77777777" w:rsidR="007A5C9C" w:rsidRPr="00D07F3F" w:rsidRDefault="007D6DFE" w:rsidP="007A5C9C">
      <w:pPr>
        <w:rPr>
          <w:rFonts w:cs="Arial"/>
        </w:rPr>
      </w:pPr>
      <w:hyperlink r:id="rId28" w:history="1">
        <w:r w:rsidR="007A5C9C" w:rsidRPr="00D07F3F">
          <w:rPr>
            <w:rFonts w:cs="Arial"/>
            <w:color w:val="0000FF"/>
            <w:u w:val="single"/>
          </w:rPr>
          <w:t>Gifts and benefits</w:t>
        </w:r>
      </w:hyperlink>
    </w:p>
    <w:p w14:paraId="07CF835B" w14:textId="77777777" w:rsidR="007A5C9C" w:rsidRPr="00D07F3F" w:rsidRDefault="007D6DFE" w:rsidP="007A5C9C">
      <w:pPr>
        <w:rPr>
          <w:rFonts w:cs="Arial"/>
          <w:color w:val="auto"/>
          <w:lang w:val="en"/>
        </w:rPr>
      </w:pPr>
      <w:hyperlink r:id="rId29" w:history="1">
        <w:r w:rsidR="007A5C9C" w:rsidRPr="00D07F3F">
          <w:rPr>
            <w:rStyle w:val="Hyperlink"/>
            <w:rFonts w:cs="Arial"/>
          </w:rPr>
          <w:t>Grants Toolkit</w:t>
        </w:r>
      </w:hyperlink>
      <w:r w:rsidR="007A5C9C" w:rsidRPr="00D07F3F">
        <w:rPr>
          <w:rFonts w:cs="Arial"/>
          <w:color w:val="auto"/>
          <w:lang w:val="en"/>
        </w:rPr>
        <w:t xml:space="preserve"> </w:t>
      </w:r>
    </w:p>
    <w:p w14:paraId="56DF00BD" w14:textId="77777777" w:rsidR="007A5C9C" w:rsidRPr="00D07F3F" w:rsidRDefault="007D6DFE" w:rsidP="007A5C9C">
      <w:pPr>
        <w:rPr>
          <w:rFonts w:cs="Arial"/>
        </w:rPr>
      </w:pPr>
      <w:hyperlink r:id="rId30" w:history="1">
        <w:r w:rsidR="007A5C9C" w:rsidRPr="00D07F3F">
          <w:rPr>
            <w:rStyle w:val="Hyperlink"/>
            <w:rFonts w:cs="Arial"/>
          </w:rPr>
          <w:t>Health Integrity and Security Framework</w:t>
        </w:r>
      </w:hyperlink>
    </w:p>
    <w:p w14:paraId="2E6B6518" w14:textId="658FE5DB" w:rsidR="007A5C9C" w:rsidRDefault="007D6DFE" w:rsidP="007A5C9C">
      <w:pPr>
        <w:rPr>
          <w:rStyle w:val="Hyperlink"/>
          <w:rFonts w:cs="Arial"/>
        </w:rPr>
      </w:pPr>
      <w:hyperlink r:id="rId31" w:history="1">
        <w:r w:rsidR="007A5C9C" w:rsidRPr="00D07F3F">
          <w:rPr>
            <w:rStyle w:val="Hyperlink"/>
            <w:rFonts w:cs="Arial"/>
          </w:rPr>
          <w:t>ICT Acceptable Use Policy</w:t>
        </w:r>
      </w:hyperlink>
    </w:p>
    <w:p w14:paraId="5C71E29E" w14:textId="03E7E7E6" w:rsidR="00A31ADC" w:rsidRPr="00D07F3F" w:rsidRDefault="007D6DFE" w:rsidP="007A5C9C">
      <w:pPr>
        <w:rPr>
          <w:rStyle w:val="Hyperlink"/>
          <w:rFonts w:cs="Arial"/>
        </w:rPr>
      </w:pPr>
      <w:hyperlink r:id="rId32" w:history="1">
        <w:r w:rsidR="00A31ADC" w:rsidRPr="00A31ADC">
          <w:rPr>
            <w:rStyle w:val="Hyperlink"/>
            <w:rFonts w:cs="Arial"/>
          </w:rPr>
          <w:t>Notification of Significant Events – in Procurement (Department of Finance)</w:t>
        </w:r>
      </w:hyperlink>
    </w:p>
    <w:p w14:paraId="51CA2B92" w14:textId="77777777" w:rsidR="007A5C9C" w:rsidRPr="00D07F3F" w:rsidRDefault="007D6DFE" w:rsidP="007A5C9C">
      <w:pPr>
        <w:rPr>
          <w:rFonts w:cs="Arial"/>
          <w:color w:val="auto"/>
          <w:lang w:val="en"/>
        </w:rPr>
      </w:pPr>
      <w:hyperlink r:id="rId33" w:history="1">
        <w:r w:rsidR="007A5C9C" w:rsidRPr="00D07F3F">
          <w:rPr>
            <w:rStyle w:val="Hyperlink"/>
            <w:rFonts w:cs="Arial"/>
            <w:lang w:val="en"/>
          </w:rPr>
          <w:t>Personnel Security Policy</w:t>
        </w:r>
      </w:hyperlink>
    </w:p>
    <w:p w14:paraId="6F157FBF" w14:textId="25DF7208" w:rsidR="007A5C9C" w:rsidRDefault="00AE49B3" w:rsidP="007A5C9C">
      <w:pPr>
        <w:rPr>
          <w:rStyle w:val="Hyperlink"/>
          <w:rFonts w:cs="Arial"/>
        </w:rPr>
      </w:pPr>
      <w:r w:rsidRPr="00AE49B3">
        <w:rPr>
          <w:rStyle w:val="Hyperlink"/>
          <w:rFonts w:cs="Arial"/>
        </w:rPr>
        <w:t>Public Interest Disclosure Framework</w:t>
      </w:r>
    </w:p>
    <w:p w14:paraId="08265E2C" w14:textId="2BC2A710" w:rsidR="00A31ADC" w:rsidRPr="00D07F3F" w:rsidRDefault="007D6DFE" w:rsidP="007A5C9C">
      <w:pPr>
        <w:rPr>
          <w:rStyle w:val="Hyperlink"/>
          <w:rFonts w:cs="Arial"/>
        </w:rPr>
      </w:pPr>
      <w:hyperlink r:id="rId34" w:history="1">
        <w:r w:rsidR="00A31ADC" w:rsidRPr="00A31ADC">
          <w:rPr>
            <w:rStyle w:val="Hyperlink"/>
            <w:rFonts w:cs="Arial"/>
          </w:rPr>
          <w:t>Probity Principles – in Procurement</w:t>
        </w:r>
      </w:hyperlink>
    </w:p>
    <w:p w14:paraId="47141350" w14:textId="77777777" w:rsidR="007A5C9C" w:rsidRPr="00D07F3F" w:rsidRDefault="007D6DFE" w:rsidP="007A5C9C">
      <w:pPr>
        <w:rPr>
          <w:rStyle w:val="Hyperlink"/>
          <w:rFonts w:cs="Arial"/>
        </w:rPr>
      </w:pPr>
      <w:hyperlink r:id="rId35" w:history="1">
        <w:r w:rsidR="007A5C9C" w:rsidRPr="00D07F3F">
          <w:rPr>
            <w:rStyle w:val="Hyperlink"/>
            <w:rFonts w:cs="Arial"/>
          </w:rPr>
          <w:t>Procurement Advice</w:t>
        </w:r>
      </w:hyperlink>
    </w:p>
    <w:p w14:paraId="6602F108" w14:textId="69C2ADEF" w:rsidR="007A5C9C" w:rsidRPr="00D07F3F" w:rsidRDefault="007A5C9C" w:rsidP="00DE15A4">
      <w:pPr>
        <w:tabs>
          <w:tab w:val="left" w:pos="426"/>
          <w:tab w:val="left" w:pos="8364"/>
        </w:tabs>
        <w:rPr>
          <w:rFonts w:asciiTheme="minorHAnsi" w:hAnsiTheme="minorHAnsi" w:cstheme="minorHAnsi"/>
        </w:rPr>
        <w:sectPr w:rsidR="007A5C9C" w:rsidRPr="00D07F3F" w:rsidSect="00CF4A1C">
          <w:headerReference w:type="even" r:id="rId36"/>
          <w:headerReference w:type="default" r:id="rId37"/>
          <w:footerReference w:type="even" r:id="rId38"/>
          <w:footerReference w:type="default" r:id="rId39"/>
          <w:headerReference w:type="first" r:id="rId40"/>
          <w:footerReference w:type="first" r:id="rId41"/>
          <w:type w:val="nextColumn"/>
          <w:pgSz w:w="11906" w:h="16838"/>
          <w:pgMar w:top="1276" w:right="1418" w:bottom="851" w:left="1418" w:header="709" w:footer="283" w:gutter="0"/>
          <w:cols w:space="708"/>
          <w:docGrid w:linePitch="360"/>
        </w:sectPr>
      </w:pPr>
    </w:p>
    <w:p w14:paraId="0FAF9448" w14:textId="49199AC2" w:rsidR="00205A93" w:rsidRPr="00D07F3F" w:rsidRDefault="00352BE8" w:rsidP="00DE15A4">
      <w:pPr>
        <w:pStyle w:val="URL"/>
        <w:tabs>
          <w:tab w:val="left" w:pos="426"/>
          <w:tab w:val="left" w:pos="8364"/>
        </w:tabs>
        <w:rPr>
          <w:rFonts w:asciiTheme="minorHAnsi" w:hAnsiTheme="minorHAnsi" w:cstheme="minorHAnsi"/>
        </w:rPr>
      </w:pPr>
      <w:r w:rsidRPr="00D07F3F">
        <w:rPr>
          <w:rFonts w:asciiTheme="minorHAnsi" w:hAnsiTheme="minorHAnsi" w:cstheme="minorHAnsi"/>
        </w:rPr>
        <w:lastRenderedPageBreak/>
        <w:t>h</w:t>
      </w:r>
      <w:r w:rsidR="00205A93" w:rsidRPr="00D07F3F">
        <w:rPr>
          <w:rFonts w:asciiTheme="minorHAnsi" w:hAnsiTheme="minorHAnsi" w:cstheme="minorHAnsi"/>
        </w:rPr>
        <w:t>ealth.gov.au</w:t>
      </w:r>
    </w:p>
    <w:p w14:paraId="17FF98FE" w14:textId="48ED9921" w:rsidR="00205A93" w:rsidRPr="00D07F3F" w:rsidRDefault="00205A93" w:rsidP="00DE15A4">
      <w:pPr>
        <w:tabs>
          <w:tab w:val="left" w:pos="426"/>
          <w:tab w:val="left" w:pos="8364"/>
        </w:tabs>
        <w:jc w:val="center"/>
        <w:rPr>
          <w:rFonts w:asciiTheme="minorHAnsi" w:hAnsiTheme="minorHAnsi" w:cstheme="minorHAnsi"/>
        </w:rPr>
      </w:pPr>
      <w:r w:rsidRPr="00D07F3F">
        <w:rPr>
          <w:rFonts w:asciiTheme="minorHAnsi" w:hAnsiTheme="minorHAnsi" w:cstheme="minorHAnsi"/>
        </w:rPr>
        <w:t xml:space="preserve">All information in this publication is correct as </w:t>
      </w:r>
      <w:r w:rsidR="00BE0A49" w:rsidRPr="00D07F3F">
        <w:rPr>
          <w:rFonts w:asciiTheme="minorHAnsi" w:hAnsiTheme="minorHAnsi" w:cstheme="minorHAnsi"/>
        </w:rPr>
        <w:t>of</w:t>
      </w:r>
      <w:r w:rsidRPr="00D07F3F">
        <w:rPr>
          <w:rFonts w:asciiTheme="minorHAnsi" w:hAnsiTheme="minorHAnsi" w:cstheme="minorHAnsi"/>
        </w:rPr>
        <w:t xml:space="preserve"> </w:t>
      </w:r>
      <w:r w:rsidR="002C7394">
        <w:rPr>
          <w:rFonts w:asciiTheme="minorHAnsi" w:hAnsiTheme="minorHAnsi" w:cstheme="minorHAnsi"/>
          <w:color w:val="auto"/>
        </w:rPr>
        <w:t>19 April</w:t>
      </w:r>
      <w:r w:rsidR="002B5228" w:rsidRPr="00D07F3F">
        <w:rPr>
          <w:rFonts w:asciiTheme="minorHAnsi" w:hAnsiTheme="minorHAnsi" w:cstheme="minorHAnsi"/>
          <w:color w:val="auto"/>
        </w:rPr>
        <w:t xml:space="preserve"> </w:t>
      </w:r>
      <w:r w:rsidR="00E22EBF" w:rsidRPr="00D07F3F">
        <w:rPr>
          <w:rFonts w:asciiTheme="minorHAnsi" w:hAnsiTheme="minorHAnsi" w:cstheme="minorHAnsi"/>
        </w:rPr>
        <w:t>2023</w:t>
      </w:r>
    </w:p>
    <w:sectPr w:rsidR="00205A93" w:rsidRPr="00D07F3F" w:rsidSect="00485D8A">
      <w:headerReference w:type="default" r:id="rId42"/>
      <w:footerReference w:type="default" r:id="rId43"/>
      <w:type w:val="nextColumn"/>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2CB5" w14:textId="77777777" w:rsidR="00AE3429" w:rsidRDefault="00AE3429" w:rsidP="006B56BB">
      <w:r>
        <w:separator/>
      </w:r>
    </w:p>
    <w:p w14:paraId="4BBE0361" w14:textId="77777777" w:rsidR="00AE3429" w:rsidRDefault="00AE3429"/>
  </w:endnote>
  <w:endnote w:type="continuationSeparator" w:id="0">
    <w:p w14:paraId="035294F9" w14:textId="77777777" w:rsidR="00AE3429" w:rsidRDefault="00AE3429" w:rsidP="006B56BB">
      <w:r>
        <w:continuationSeparator/>
      </w:r>
    </w:p>
    <w:p w14:paraId="1229D6C6" w14:textId="77777777" w:rsidR="00AE3429" w:rsidRDefault="00AE3429"/>
  </w:endnote>
  <w:endnote w:type="continuationNotice" w:id="1">
    <w:p w14:paraId="1204F7E2" w14:textId="77777777" w:rsidR="00AE3429" w:rsidRDefault="00AE3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thamNarrow-Light">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BA" w14:textId="29830E26" w:rsidR="00236073" w:rsidRDefault="00236073" w:rsidP="00841111">
    <w:pPr>
      <w:pStyle w:val="Footer"/>
    </w:pPr>
    <w:r>
      <w:fldChar w:fldCharType="begin"/>
    </w:r>
    <w:r>
      <w:instrText xml:space="preserve"> PAGE   \* MERGEFORMAT </w:instrText>
    </w:r>
    <w:r>
      <w:fldChar w:fldCharType="separate"/>
    </w:r>
    <w:r w:rsidR="00E560A5">
      <w:rPr>
        <w:noProof/>
      </w:rPr>
      <w:t>4</w:t>
    </w:r>
    <w:r>
      <w:rPr>
        <w:noProof/>
      </w:rPr>
      <w:fldChar w:fldCharType="end"/>
    </w:r>
    <w:r w:rsidRPr="000D56E4">
      <w:tab/>
      <w:t>Insert document title</w:t>
    </w:r>
  </w:p>
  <w:p w14:paraId="76CEF975" w14:textId="77777777" w:rsidR="00744FA5" w:rsidRDefault="00744FA5"/>
  <w:p w14:paraId="46DB2A27" w14:textId="77777777" w:rsidR="00744FA5" w:rsidRDefault="00744FA5"/>
  <w:p w14:paraId="1C803AD1" w14:textId="77777777" w:rsidR="00744FA5" w:rsidRDefault="00744FA5"/>
  <w:p w14:paraId="0B816C5C" w14:textId="77777777" w:rsidR="00744FA5" w:rsidRDefault="00744F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90B0399" w14:textId="4EF681D5" w:rsidR="00744FA5" w:rsidRDefault="00873049" w:rsidP="00CC0FC5">
        <w:pPr>
          <w:pStyle w:val="Footer"/>
          <w:tabs>
            <w:tab w:val="clear" w:pos="0"/>
          </w:tabs>
        </w:pPr>
        <w:r>
          <w:t xml:space="preserve">Department of Health and Aged Care </w:t>
        </w:r>
        <w:r w:rsidR="00030EFF">
          <w:t>Fraud and Corruption Control Plan 202</w:t>
        </w:r>
        <w:r w:rsidR="00AF2352">
          <w:t>3</w:t>
        </w:r>
        <w:r w:rsidR="00030EFF">
          <w:t>-2</w:t>
        </w:r>
        <w:r w:rsidR="00AF2352">
          <w:t>5</w:t>
        </w:r>
        <w:r w:rsidR="00236073">
          <w:tab/>
        </w:r>
        <w:r w:rsidR="00236073">
          <w:fldChar w:fldCharType="begin"/>
        </w:r>
        <w:r w:rsidR="00236073">
          <w:instrText xml:space="preserve"> PAGE   \* MERGEFORMAT </w:instrText>
        </w:r>
        <w:r w:rsidR="00236073">
          <w:fldChar w:fldCharType="separate"/>
        </w:r>
        <w:r w:rsidR="00E560A5">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A8DE" w14:textId="041565D7" w:rsidR="00236073" w:rsidRDefault="00236073"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9157" w14:textId="77777777" w:rsidR="00AE3429" w:rsidRPr="00A46B48" w:rsidRDefault="00AE3429" w:rsidP="00A46B48">
      <w:pPr>
        <w:pStyle w:val="Footer"/>
        <w:jc w:val="left"/>
      </w:pPr>
      <w:r>
        <w:separator/>
      </w:r>
    </w:p>
  </w:footnote>
  <w:footnote w:type="continuationSeparator" w:id="0">
    <w:p w14:paraId="1CD6702C" w14:textId="77777777" w:rsidR="00AE3429" w:rsidRDefault="00AE3429" w:rsidP="006B56BB">
      <w:r>
        <w:continuationSeparator/>
      </w:r>
    </w:p>
    <w:p w14:paraId="699A0114" w14:textId="77777777" w:rsidR="00AE3429" w:rsidRDefault="00AE3429"/>
  </w:footnote>
  <w:footnote w:type="continuationNotice" w:id="1">
    <w:p w14:paraId="280C2053" w14:textId="77777777" w:rsidR="00AE3429" w:rsidRDefault="00AE3429"/>
  </w:footnote>
  <w:footnote w:id="2">
    <w:p w14:paraId="3EC66771" w14:textId="2FF1765F" w:rsidR="005121F2" w:rsidRPr="009F14FD" w:rsidRDefault="005121F2">
      <w:pPr>
        <w:pStyle w:val="FootnoteText"/>
        <w:rPr>
          <w:sz w:val="16"/>
          <w:szCs w:val="16"/>
        </w:rPr>
      </w:pPr>
      <w:r w:rsidRPr="009F14FD">
        <w:rPr>
          <w:rStyle w:val="FootnoteReference"/>
          <w:sz w:val="16"/>
          <w:szCs w:val="16"/>
        </w:rPr>
        <w:footnoteRef/>
      </w:r>
      <w:r w:rsidRPr="009F14FD">
        <w:rPr>
          <w:sz w:val="16"/>
          <w:szCs w:val="16"/>
        </w:rPr>
        <w:t xml:space="preserve"> Australian Standard (AS) 8001-2021: Fraud and Corruption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8241" behindDoc="1" locked="0" layoutInCell="1" allowOverlap="1" wp14:anchorId="52C11533" wp14:editId="4CA95BAB">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5FCD582F" w:rsidR="00CA79CF" w:rsidRDefault="006F7037" w:rsidP="00205A93">
    <w:pPr>
      <w:pStyle w:val="Header"/>
      <w:tabs>
        <w:tab w:val="clear" w:pos="4513"/>
        <w:tab w:val="clear" w:pos="9026"/>
        <w:tab w:val="center" w:pos="4535"/>
      </w:tabs>
    </w:pPr>
    <w:r>
      <w:rPr>
        <w:rFonts w:asciiTheme="minorHAnsi" w:hAnsiTheme="minorHAnsi" w:cstheme="minorHAnsi"/>
        <w:noProof/>
        <w:sz w:val="32"/>
        <w:szCs w:val="32"/>
        <w:lang w:eastAsia="en-AU"/>
      </w:rPr>
      <mc:AlternateContent>
        <mc:Choice Requires="wps">
          <w:drawing>
            <wp:anchor distT="0" distB="0" distL="114300" distR="114300" simplePos="0" relativeHeight="251658240" behindDoc="0" locked="0" layoutInCell="1" allowOverlap="1" wp14:anchorId="04C2FD47" wp14:editId="7725B469">
              <wp:simplePos x="0" y="0"/>
              <wp:positionH relativeFrom="column">
                <wp:posOffset>-681355</wp:posOffset>
              </wp:positionH>
              <wp:positionV relativeFrom="paragraph">
                <wp:posOffset>3188334</wp:posOffset>
              </wp:positionV>
              <wp:extent cx="7115175" cy="7038975"/>
              <wp:effectExtent l="0" t="0" r="9525" b="9525"/>
              <wp:wrapNone/>
              <wp:docPr id="38" name="Rectangle 38"/>
              <wp:cNvGraphicFramePr/>
              <a:graphic xmlns:a="http://schemas.openxmlformats.org/drawingml/2006/main">
                <a:graphicData uri="http://schemas.microsoft.com/office/word/2010/wordprocessingShape">
                  <wps:wsp>
                    <wps:cNvSpPr/>
                    <wps:spPr>
                      <a:xfrm>
                        <a:off x="0" y="0"/>
                        <a:ext cx="7115175" cy="70389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0F767" id="Rectangle 38" o:spid="_x0000_s1026" style="position:absolute;margin-left:-53.65pt;margin-top:251.05pt;width:560.25pt;height:554.25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" fillcolor="#3f4a75 [3204]" stroked="f" strokeweight="2pt"/>
          </w:pict>
        </mc:Fallback>
      </mc:AlternateContent>
    </w:r>
    <w:r>
      <w:rPr>
        <w:noProof/>
        <w:lang w:eastAsia="en-AU"/>
      </w:rPr>
      <w:t xml:space="preserve"> </w:t>
    </w:r>
    <w:r w:rsidR="00CA79CF">
      <w:rPr>
        <w:noProof/>
        <w:lang w:eastAsia="en-AU"/>
      </w:rPr>
      <w:drawing>
        <wp:anchor distT="0" distB="0" distL="114300" distR="114300" simplePos="0" relativeHeight="251658243" behindDoc="1" locked="0" layoutInCell="1" allowOverlap="1" wp14:anchorId="59F0DF2E" wp14:editId="696F6C73">
          <wp:simplePos x="0" y="0"/>
          <wp:positionH relativeFrom="page">
            <wp:posOffset>-1270</wp:posOffset>
          </wp:positionH>
          <wp:positionV relativeFrom="page">
            <wp:posOffset>0</wp:posOffset>
          </wp:positionV>
          <wp:extent cx="7560000" cy="36396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65967"/>
                  <a:stretch/>
                </pic:blipFill>
                <pic:spPr bwMode="auto">
                  <a:xfrm>
                    <a:off x="0" y="0"/>
                    <a:ext cx="7560000" cy="363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0C3">
      <w:rPr>
        <w:noProof/>
        <w:lang w:eastAsia="en-AU"/>
      </w:rPr>
      <w:softHyphen/>
    </w:r>
    <w:r w:rsidR="004740C3">
      <w:rPr>
        <w:noProof/>
        <w:lang w:eastAsia="en-AU"/>
      </w:rPr>
      <w:softHyphen/>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0FF" w14:textId="77777777" w:rsidR="000D56E4" w:rsidRDefault="000D56E4">
    <w:pPr>
      <w:pStyle w:val="Header"/>
    </w:pPr>
  </w:p>
  <w:p w14:paraId="1908519D" w14:textId="77777777" w:rsidR="00744FA5" w:rsidRDefault="00744FA5"/>
  <w:p w14:paraId="5ADFD33E" w14:textId="77777777" w:rsidR="00744FA5" w:rsidRDefault="00744FA5"/>
  <w:p w14:paraId="787F98FB" w14:textId="77777777" w:rsidR="00744FA5" w:rsidRDefault="00744FA5"/>
  <w:p w14:paraId="43F593C1" w14:textId="77777777" w:rsidR="00744FA5" w:rsidRDefault="00744FA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821" w14:textId="460FAB82" w:rsidR="00744FA5" w:rsidRPr="00E753DF" w:rsidRDefault="00744FA5" w:rsidP="00E753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A6F"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6DD6D6E3"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10BC2585" wp14:editId="759C5EB4">
          <wp:simplePos x="0" y="0"/>
          <wp:positionH relativeFrom="page">
            <wp:posOffset>0</wp:posOffset>
          </wp:positionH>
          <wp:positionV relativeFrom="page">
            <wp:posOffset>3458210</wp:posOffset>
          </wp:positionV>
          <wp:extent cx="7559040" cy="7232650"/>
          <wp:effectExtent l="0" t="0" r="3810" b="635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0AAFC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10696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42DFC"/>
    <w:multiLevelType w:val="hybridMultilevel"/>
    <w:tmpl w:val="A6E4FCE8"/>
    <w:lvl w:ilvl="0" w:tplc="F8883694">
      <w:numFmt w:val="bullet"/>
      <w:lvlText w:val="•"/>
      <w:lvlJc w:val="left"/>
      <w:pPr>
        <w:ind w:left="620" w:hanging="234"/>
      </w:pPr>
      <w:rPr>
        <w:rFonts w:ascii="Arial" w:eastAsia="Arial" w:hAnsi="Arial" w:cs="Arial" w:hint="default"/>
        <w:b w:val="0"/>
        <w:bCs w:val="0"/>
        <w:i w:val="0"/>
        <w:iCs w:val="0"/>
        <w:color w:val="E86D1F"/>
        <w:w w:val="103"/>
        <w:sz w:val="21"/>
        <w:szCs w:val="21"/>
        <w:lang w:val="en-US" w:eastAsia="en-US" w:bidi="ar-SA"/>
      </w:rPr>
    </w:lvl>
    <w:lvl w:ilvl="1" w:tplc="52F6081C">
      <w:numFmt w:val="bullet"/>
      <w:lvlText w:val="-"/>
      <w:lvlJc w:val="left"/>
      <w:pPr>
        <w:ind w:left="860" w:hanging="245"/>
      </w:pPr>
      <w:rPr>
        <w:rFonts w:ascii="Arial" w:eastAsia="Arial" w:hAnsi="Arial" w:cs="Arial" w:hint="default"/>
        <w:b w:val="0"/>
        <w:bCs w:val="0"/>
        <w:i w:val="0"/>
        <w:iCs w:val="0"/>
        <w:color w:val="485764"/>
        <w:w w:val="102"/>
        <w:sz w:val="21"/>
        <w:szCs w:val="21"/>
        <w:lang w:val="en-US" w:eastAsia="en-US" w:bidi="ar-SA"/>
      </w:rPr>
    </w:lvl>
    <w:lvl w:ilvl="2" w:tplc="8F58BF9A">
      <w:numFmt w:val="bullet"/>
      <w:lvlText w:val="•"/>
      <w:lvlJc w:val="left"/>
      <w:pPr>
        <w:ind w:left="860" w:hanging="245"/>
      </w:pPr>
      <w:rPr>
        <w:rFonts w:hint="default"/>
        <w:lang w:val="en-US" w:eastAsia="en-US" w:bidi="ar-SA"/>
      </w:rPr>
    </w:lvl>
    <w:lvl w:ilvl="3" w:tplc="0124026E">
      <w:numFmt w:val="bullet"/>
      <w:lvlText w:val="•"/>
      <w:lvlJc w:val="left"/>
      <w:pPr>
        <w:ind w:left="1520" w:hanging="245"/>
      </w:pPr>
      <w:rPr>
        <w:rFonts w:hint="default"/>
        <w:lang w:val="en-US" w:eastAsia="en-US" w:bidi="ar-SA"/>
      </w:rPr>
    </w:lvl>
    <w:lvl w:ilvl="4" w:tplc="80ACB786">
      <w:numFmt w:val="bullet"/>
      <w:lvlText w:val="•"/>
      <w:lvlJc w:val="left"/>
      <w:pPr>
        <w:ind w:left="2180" w:hanging="245"/>
      </w:pPr>
      <w:rPr>
        <w:rFonts w:hint="default"/>
        <w:lang w:val="en-US" w:eastAsia="en-US" w:bidi="ar-SA"/>
      </w:rPr>
    </w:lvl>
    <w:lvl w:ilvl="5" w:tplc="31AA99A0">
      <w:numFmt w:val="bullet"/>
      <w:lvlText w:val="•"/>
      <w:lvlJc w:val="left"/>
      <w:pPr>
        <w:ind w:left="2841" w:hanging="245"/>
      </w:pPr>
      <w:rPr>
        <w:rFonts w:hint="default"/>
        <w:lang w:val="en-US" w:eastAsia="en-US" w:bidi="ar-SA"/>
      </w:rPr>
    </w:lvl>
    <w:lvl w:ilvl="6" w:tplc="3DC6475A">
      <w:numFmt w:val="bullet"/>
      <w:lvlText w:val="•"/>
      <w:lvlJc w:val="left"/>
      <w:pPr>
        <w:ind w:left="3501" w:hanging="245"/>
      </w:pPr>
      <w:rPr>
        <w:rFonts w:hint="default"/>
        <w:lang w:val="en-US" w:eastAsia="en-US" w:bidi="ar-SA"/>
      </w:rPr>
    </w:lvl>
    <w:lvl w:ilvl="7" w:tplc="B91ACCBC">
      <w:numFmt w:val="bullet"/>
      <w:lvlText w:val="•"/>
      <w:lvlJc w:val="left"/>
      <w:pPr>
        <w:ind w:left="4161" w:hanging="245"/>
      </w:pPr>
      <w:rPr>
        <w:rFonts w:hint="default"/>
        <w:lang w:val="en-US" w:eastAsia="en-US" w:bidi="ar-SA"/>
      </w:rPr>
    </w:lvl>
    <w:lvl w:ilvl="8" w:tplc="D7AA4BFC">
      <w:numFmt w:val="bullet"/>
      <w:lvlText w:val="•"/>
      <w:lvlJc w:val="left"/>
      <w:pPr>
        <w:ind w:left="4822" w:hanging="245"/>
      </w:pPr>
      <w:rPr>
        <w:rFonts w:hint="default"/>
        <w:lang w:val="en-US" w:eastAsia="en-US" w:bidi="ar-SA"/>
      </w:rPr>
    </w:lvl>
  </w:abstractNum>
  <w:abstractNum w:abstractNumId="4" w15:restartNumberingAfterBreak="0">
    <w:nsid w:val="07B96CD1"/>
    <w:multiLevelType w:val="hybridMultilevel"/>
    <w:tmpl w:val="946A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E32CA"/>
    <w:multiLevelType w:val="hybridMultilevel"/>
    <w:tmpl w:val="338C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B71AE"/>
    <w:multiLevelType w:val="hybridMultilevel"/>
    <w:tmpl w:val="025A8468"/>
    <w:lvl w:ilvl="0" w:tplc="CF0CB2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D0144"/>
    <w:multiLevelType w:val="hybridMultilevel"/>
    <w:tmpl w:val="2886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D0EEB"/>
    <w:multiLevelType w:val="hybridMultilevel"/>
    <w:tmpl w:val="F5C05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01FAB"/>
    <w:multiLevelType w:val="hybridMultilevel"/>
    <w:tmpl w:val="4B7C3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E1C75"/>
    <w:multiLevelType w:val="hybridMultilevel"/>
    <w:tmpl w:val="E996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A2A79"/>
    <w:multiLevelType w:val="hybridMultilevel"/>
    <w:tmpl w:val="3194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41F7B"/>
    <w:multiLevelType w:val="hybridMultilevel"/>
    <w:tmpl w:val="E834C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F3081"/>
    <w:multiLevelType w:val="hybridMultilevel"/>
    <w:tmpl w:val="266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A3CE1"/>
    <w:multiLevelType w:val="hybridMultilevel"/>
    <w:tmpl w:val="9874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34906"/>
    <w:multiLevelType w:val="hybridMultilevel"/>
    <w:tmpl w:val="5E042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42699"/>
    <w:multiLevelType w:val="hybridMultilevel"/>
    <w:tmpl w:val="01D6D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82D50BD"/>
    <w:multiLevelType w:val="hybridMultilevel"/>
    <w:tmpl w:val="6C768D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1D1704"/>
    <w:multiLevelType w:val="hybridMultilevel"/>
    <w:tmpl w:val="6886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011900"/>
    <w:multiLevelType w:val="hybridMultilevel"/>
    <w:tmpl w:val="811A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D0174"/>
    <w:multiLevelType w:val="hybridMultilevel"/>
    <w:tmpl w:val="E99A6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903E81"/>
    <w:multiLevelType w:val="hybridMultilevel"/>
    <w:tmpl w:val="1196F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C61E2E"/>
    <w:multiLevelType w:val="hybridMultilevel"/>
    <w:tmpl w:val="DF26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642645"/>
    <w:multiLevelType w:val="hybridMultilevel"/>
    <w:tmpl w:val="9ABA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DB05D1"/>
    <w:multiLevelType w:val="hybridMultilevel"/>
    <w:tmpl w:val="9DE85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5F123B"/>
    <w:multiLevelType w:val="hybridMultilevel"/>
    <w:tmpl w:val="1E0C2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AF6A62"/>
    <w:multiLevelType w:val="hybridMultilevel"/>
    <w:tmpl w:val="0AA2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B20E7"/>
    <w:multiLevelType w:val="hybridMultilevel"/>
    <w:tmpl w:val="D36A1C5C"/>
    <w:lvl w:ilvl="0" w:tplc="CF0CB2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651372"/>
    <w:multiLevelType w:val="hybridMultilevel"/>
    <w:tmpl w:val="4B1C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492115"/>
    <w:multiLevelType w:val="hybridMultilevel"/>
    <w:tmpl w:val="D2EA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AF6667"/>
    <w:multiLevelType w:val="hybridMultilevel"/>
    <w:tmpl w:val="8BA82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831D7"/>
    <w:multiLevelType w:val="hybridMultilevel"/>
    <w:tmpl w:val="1BCCEA44"/>
    <w:lvl w:ilvl="0" w:tplc="CF0CB2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823277"/>
    <w:multiLevelType w:val="hybridMultilevel"/>
    <w:tmpl w:val="9B6C2B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41505C"/>
    <w:multiLevelType w:val="hybridMultilevel"/>
    <w:tmpl w:val="39AE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4B47EA"/>
    <w:multiLevelType w:val="hybridMultilevel"/>
    <w:tmpl w:val="5962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995AEA"/>
    <w:multiLevelType w:val="hybridMultilevel"/>
    <w:tmpl w:val="00F2B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1712FF"/>
    <w:multiLevelType w:val="hybridMultilevel"/>
    <w:tmpl w:val="0960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8C6134"/>
    <w:multiLevelType w:val="hybridMultilevel"/>
    <w:tmpl w:val="9E9AF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C2242E"/>
    <w:multiLevelType w:val="hybridMultilevel"/>
    <w:tmpl w:val="68E8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DB23C0"/>
    <w:multiLevelType w:val="multilevel"/>
    <w:tmpl w:val="DBD289C2"/>
    <w:lvl w:ilvl="0">
      <w:start w:val="1"/>
      <w:numFmt w:val="bullet"/>
      <w:pStyle w:val="CERbullets"/>
      <w:lvlText w:val=""/>
      <w:lvlJc w:val="left"/>
      <w:pPr>
        <w:ind w:left="360" w:hanging="360"/>
      </w:pPr>
      <w:rPr>
        <w:rFonts w:ascii="Symbol" w:hAnsi="Symbol" w:hint="default"/>
        <w:color w:val="005874"/>
        <w:sz w:val="22"/>
        <w:szCs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7"/>
  </w:num>
  <w:num w:numId="2">
    <w:abstractNumId w:val="43"/>
  </w:num>
  <w:num w:numId="3">
    <w:abstractNumId w:val="25"/>
  </w:num>
  <w:num w:numId="4">
    <w:abstractNumId w:val="37"/>
  </w:num>
  <w:num w:numId="5">
    <w:abstractNumId w:val="2"/>
  </w:num>
  <w:num w:numId="6">
    <w:abstractNumId w:val="42"/>
  </w:num>
  <w:num w:numId="7">
    <w:abstractNumId w:val="20"/>
  </w:num>
  <w:num w:numId="8">
    <w:abstractNumId w:val="26"/>
  </w:num>
  <w:num w:numId="9">
    <w:abstractNumId w:val="15"/>
  </w:num>
  <w:num w:numId="10">
    <w:abstractNumId w:val="5"/>
  </w:num>
  <w:num w:numId="11">
    <w:abstractNumId w:val="11"/>
  </w:num>
  <w:num w:numId="12">
    <w:abstractNumId w:val="40"/>
  </w:num>
  <w:num w:numId="13">
    <w:abstractNumId w:val="27"/>
  </w:num>
  <w:num w:numId="14">
    <w:abstractNumId w:val="10"/>
  </w:num>
  <w:num w:numId="15">
    <w:abstractNumId w:val="9"/>
  </w:num>
  <w:num w:numId="16">
    <w:abstractNumId w:val="30"/>
  </w:num>
  <w:num w:numId="17">
    <w:abstractNumId w:val="39"/>
  </w:num>
  <w:num w:numId="18">
    <w:abstractNumId w:val="24"/>
  </w:num>
  <w:num w:numId="19">
    <w:abstractNumId w:val="23"/>
  </w:num>
  <w:num w:numId="20">
    <w:abstractNumId w:val="32"/>
  </w:num>
  <w:num w:numId="21">
    <w:abstractNumId w:val="38"/>
  </w:num>
  <w:num w:numId="22">
    <w:abstractNumId w:val="1"/>
  </w:num>
  <w:num w:numId="23">
    <w:abstractNumId w:val="8"/>
  </w:num>
  <w:num w:numId="24">
    <w:abstractNumId w:val="4"/>
  </w:num>
  <w:num w:numId="25">
    <w:abstractNumId w:val="19"/>
  </w:num>
  <w:num w:numId="26">
    <w:abstractNumId w:val="16"/>
  </w:num>
  <w:num w:numId="27">
    <w:abstractNumId w:val="21"/>
  </w:num>
  <w:num w:numId="28">
    <w:abstractNumId w:val="3"/>
  </w:num>
  <w:num w:numId="29">
    <w:abstractNumId w:val="18"/>
  </w:num>
  <w:num w:numId="30">
    <w:abstractNumId w:val="34"/>
  </w:num>
  <w:num w:numId="31">
    <w:abstractNumId w:val="12"/>
  </w:num>
  <w:num w:numId="32">
    <w:abstractNumId w:val="31"/>
  </w:num>
  <w:num w:numId="33">
    <w:abstractNumId w:val="35"/>
  </w:num>
  <w:num w:numId="34">
    <w:abstractNumId w:val="14"/>
  </w:num>
  <w:num w:numId="35">
    <w:abstractNumId w:val="0"/>
  </w:num>
  <w:num w:numId="36">
    <w:abstractNumId w:val="41"/>
  </w:num>
  <w:num w:numId="37">
    <w:abstractNumId w:val="28"/>
  </w:num>
  <w:num w:numId="38">
    <w:abstractNumId w:val="13"/>
  </w:num>
  <w:num w:numId="39">
    <w:abstractNumId w:val="36"/>
  </w:num>
  <w:num w:numId="40">
    <w:abstractNumId w:val="33"/>
  </w:num>
  <w:num w:numId="41">
    <w:abstractNumId w:val="29"/>
  </w:num>
  <w:num w:numId="42">
    <w:abstractNumId w:val="6"/>
  </w:num>
  <w:num w:numId="43">
    <w:abstractNumId w:val="22"/>
  </w:num>
  <w:num w:numId="4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96B"/>
    <w:rsid w:val="00000C87"/>
    <w:rsid w:val="00000D17"/>
    <w:rsid w:val="00002C10"/>
    <w:rsid w:val="00003743"/>
    <w:rsid w:val="00003979"/>
    <w:rsid w:val="000047B4"/>
    <w:rsid w:val="00005576"/>
    <w:rsid w:val="00005712"/>
    <w:rsid w:val="000068FF"/>
    <w:rsid w:val="00006AFF"/>
    <w:rsid w:val="00006E43"/>
    <w:rsid w:val="00007439"/>
    <w:rsid w:val="000074BE"/>
    <w:rsid w:val="00007FD8"/>
    <w:rsid w:val="0001087D"/>
    <w:rsid w:val="000117F8"/>
    <w:rsid w:val="0001189F"/>
    <w:rsid w:val="00011DB4"/>
    <w:rsid w:val="0001353B"/>
    <w:rsid w:val="00013B76"/>
    <w:rsid w:val="000140D0"/>
    <w:rsid w:val="000147DE"/>
    <w:rsid w:val="000149AC"/>
    <w:rsid w:val="00015020"/>
    <w:rsid w:val="00015226"/>
    <w:rsid w:val="000153DA"/>
    <w:rsid w:val="00015853"/>
    <w:rsid w:val="00015D61"/>
    <w:rsid w:val="000168D2"/>
    <w:rsid w:val="00016DBE"/>
    <w:rsid w:val="00016DF8"/>
    <w:rsid w:val="00017133"/>
    <w:rsid w:val="00017358"/>
    <w:rsid w:val="000176BD"/>
    <w:rsid w:val="00017C43"/>
    <w:rsid w:val="00020C58"/>
    <w:rsid w:val="00020D69"/>
    <w:rsid w:val="00020DB7"/>
    <w:rsid w:val="00021A64"/>
    <w:rsid w:val="00022198"/>
    <w:rsid w:val="0002225A"/>
    <w:rsid w:val="000224EA"/>
    <w:rsid w:val="00022660"/>
    <w:rsid w:val="00022841"/>
    <w:rsid w:val="0002383F"/>
    <w:rsid w:val="000240B8"/>
    <w:rsid w:val="00024ADC"/>
    <w:rsid w:val="00025624"/>
    <w:rsid w:val="000259B2"/>
    <w:rsid w:val="00026139"/>
    <w:rsid w:val="000263CD"/>
    <w:rsid w:val="000264AB"/>
    <w:rsid w:val="00026D33"/>
    <w:rsid w:val="00027071"/>
    <w:rsid w:val="00027601"/>
    <w:rsid w:val="00027BBA"/>
    <w:rsid w:val="00027F23"/>
    <w:rsid w:val="00027FFD"/>
    <w:rsid w:val="00030116"/>
    <w:rsid w:val="000307B6"/>
    <w:rsid w:val="00030A84"/>
    <w:rsid w:val="00030EFF"/>
    <w:rsid w:val="0003240E"/>
    <w:rsid w:val="0003258F"/>
    <w:rsid w:val="00032EF6"/>
    <w:rsid w:val="00033175"/>
    <w:rsid w:val="00033321"/>
    <w:rsid w:val="000338E5"/>
    <w:rsid w:val="00033CAF"/>
    <w:rsid w:val="00033D91"/>
    <w:rsid w:val="00033ECC"/>
    <w:rsid w:val="00033F82"/>
    <w:rsid w:val="0003422F"/>
    <w:rsid w:val="00034419"/>
    <w:rsid w:val="0003454D"/>
    <w:rsid w:val="00034C1B"/>
    <w:rsid w:val="00034F1A"/>
    <w:rsid w:val="000352D0"/>
    <w:rsid w:val="00035632"/>
    <w:rsid w:val="00035E3F"/>
    <w:rsid w:val="00036DF6"/>
    <w:rsid w:val="000401A1"/>
    <w:rsid w:val="00040569"/>
    <w:rsid w:val="00040897"/>
    <w:rsid w:val="00040B2C"/>
    <w:rsid w:val="00040E39"/>
    <w:rsid w:val="0004157C"/>
    <w:rsid w:val="00041829"/>
    <w:rsid w:val="00041AFD"/>
    <w:rsid w:val="00041CA0"/>
    <w:rsid w:val="00042081"/>
    <w:rsid w:val="00042218"/>
    <w:rsid w:val="000438EB"/>
    <w:rsid w:val="00044FF3"/>
    <w:rsid w:val="00045ABD"/>
    <w:rsid w:val="00045FBB"/>
    <w:rsid w:val="00046FF0"/>
    <w:rsid w:val="00050176"/>
    <w:rsid w:val="0005020B"/>
    <w:rsid w:val="00051DF2"/>
    <w:rsid w:val="00051E7B"/>
    <w:rsid w:val="00053216"/>
    <w:rsid w:val="00053286"/>
    <w:rsid w:val="00054144"/>
    <w:rsid w:val="00054A46"/>
    <w:rsid w:val="00054EBB"/>
    <w:rsid w:val="0005508A"/>
    <w:rsid w:val="000551F4"/>
    <w:rsid w:val="0005544D"/>
    <w:rsid w:val="00055458"/>
    <w:rsid w:val="000559A7"/>
    <w:rsid w:val="00055B44"/>
    <w:rsid w:val="000573D8"/>
    <w:rsid w:val="0006067D"/>
    <w:rsid w:val="000609E5"/>
    <w:rsid w:val="00060E71"/>
    <w:rsid w:val="00061676"/>
    <w:rsid w:val="0006239D"/>
    <w:rsid w:val="00062902"/>
    <w:rsid w:val="00062B65"/>
    <w:rsid w:val="00063380"/>
    <w:rsid w:val="000641F3"/>
    <w:rsid w:val="00065502"/>
    <w:rsid w:val="00065691"/>
    <w:rsid w:val="00065B9B"/>
    <w:rsid w:val="00065E70"/>
    <w:rsid w:val="00067456"/>
    <w:rsid w:val="0006762C"/>
    <w:rsid w:val="0006781B"/>
    <w:rsid w:val="00067827"/>
    <w:rsid w:val="00070024"/>
    <w:rsid w:val="00070343"/>
    <w:rsid w:val="00070B31"/>
    <w:rsid w:val="00070E18"/>
    <w:rsid w:val="00070FB8"/>
    <w:rsid w:val="000712D6"/>
    <w:rsid w:val="00071506"/>
    <w:rsid w:val="0007154F"/>
    <w:rsid w:val="00071FEB"/>
    <w:rsid w:val="000724D3"/>
    <w:rsid w:val="000725A1"/>
    <w:rsid w:val="0007261A"/>
    <w:rsid w:val="00072EC7"/>
    <w:rsid w:val="0007428E"/>
    <w:rsid w:val="00075972"/>
    <w:rsid w:val="00076603"/>
    <w:rsid w:val="000767E3"/>
    <w:rsid w:val="00077200"/>
    <w:rsid w:val="000772EB"/>
    <w:rsid w:val="000800DB"/>
    <w:rsid w:val="00080623"/>
    <w:rsid w:val="000809C2"/>
    <w:rsid w:val="00080C2E"/>
    <w:rsid w:val="0008120D"/>
    <w:rsid w:val="0008124F"/>
    <w:rsid w:val="00081AB1"/>
    <w:rsid w:val="00081B6A"/>
    <w:rsid w:val="00081FB6"/>
    <w:rsid w:val="00084886"/>
    <w:rsid w:val="0008603B"/>
    <w:rsid w:val="0008626E"/>
    <w:rsid w:val="00086903"/>
    <w:rsid w:val="00086A94"/>
    <w:rsid w:val="00087304"/>
    <w:rsid w:val="00087C3E"/>
    <w:rsid w:val="00090316"/>
    <w:rsid w:val="00090DF1"/>
    <w:rsid w:val="000919E5"/>
    <w:rsid w:val="00091CF1"/>
    <w:rsid w:val="00091E4A"/>
    <w:rsid w:val="0009202D"/>
    <w:rsid w:val="000927C8"/>
    <w:rsid w:val="000928D3"/>
    <w:rsid w:val="00093588"/>
    <w:rsid w:val="00093981"/>
    <w:rsid w:val="00093CD9"/>
    <w:rsid w:val="0009485F"/>
    <w:rsid w:val="00095075"/>
    <w:rsid w:val="000954DC"/>
    <w:rsid w:val="00095A1D"/>
    <w:rsid w:val="00095B11"/>
    <w:rsid w:val="00095C22"/>
    <w:rsid w:val="0009750C"/>
    <w:rsid w:val="000A0667"/>
    <w:rsid w:val="000A09B8"/>
    <w:rsid w:val="000A1A83"/>
    <w:rsid w:val="000A29D7"/>
    <w:rsid w:val="000A2E2A"/>
    <w:rsid w:val="000A34BF"/>
    <w:rsid w:val="000A364B"/>
    <w:rsid w:val="000A3957"/>
    <w:rsid w:val="000A3EEA"/>
    <w:rsid w:val="000A3F55"/>
    <w:rsid w:val="000A3F68"/>
    <w:rsid w:val="000A4E43"/>
    <w:rsid w:val="000A4E72"/>
    <w:rsid w:val="000A5132"/>
    <w:rsid w:val="000A5B6D"/>
    <w:rsid w:val="000A6C9F"/>
    <w:rsid w:val="000A6D1C"/>
    <w:rsid w:val="000A71FE"/>
    <w:rsid w:val="000A7290"/>
    <w:rsid w:val="000A7CF1"/>
    <w:rsid w:val="000B067A"/>
    <w:rsid w:val="000B0C13"/>
    <w:rsid w:val="000B0E89"/>
    <w:rsid w:val="000B11C4"/>
    <w:rsid w:val="000B1540"/>
    <w:rsid w:val="000B1CCC"/>
    <w:rsid w:val="000B2089"/>
    <w:rsid w:val="000B2954"/>
    <w:rsid w:val="000B2A37"/>
    <w:rsid w:val="000B2CB5"/>
    <w:rsid w:val="000B30DE"/>
    <w:rsid w:val="000B323C"/>
    <w:rsid w:val="000B33FD"/>
    <w:rsid w:val="000B36DB"/>
    <w:rsid w:val="000B3A8B"/>
    <w:rsid w:val="000B4177"/>
    <w:rsid w:val="000B4ABA"/>
    <w:rsid w:val="000B4E39"/>
    <w:rsid w:val="000B4EE0"/>
    <w:rsid w:val="000B6234"/>
    <w:rsid w:val="000B6AD9"/>
    <w:rsid w:val="000B704E"/>
    <w:rsid w:val="000B7391"/>
    <w:rsid w:val="000B781D"/>
    <w:rsid w:val="000C176B"/>
    <w:rsid w:val="000C1910"/>
    <w:rsid w:val="000C2334"/>
    <w:rsid w:val="000C3B37"/>
    <w:rsid w:val="000C3CCA"/>
    <w:rsid w:val="000C3CFA"/>
    <w:rsid w:val="000C4B16"/>
    <w:rsid w:val="000C502F"/>
    <w:rsid w:val="000C50C3"/>
    <w:rsid w:val="000C5235"/>
    <w:rsid w:val="000C541F"/>
    <w:rsid w:val="000C595F"/>
    <w:rsid w:val="000C5AC1"/>
    <w:rsid w:val="000C6D6A"/>
    <w:rsid w:val="000C71E4"/>
    <w:rsid w:val="000D0231"/>
    <w:rsid w:val="000D02D7"/>
    <w:rsid w:val="000D05F4"/>
    <w:rsid w:val="000D0A4C"/>
    <w:rsid w:val="000D0D0E"/>
    <w:rsid w:val="000D0E8B"/>
    <w:rsid w:val="000D1175"/>
    <w:rsid w:val="000D15BF"/>
    <w:rsid w:val="000D21F6"/>
    <w:rsid w:val="000D22FD"/>
    <w:rsid w:val="000D2326"/>
    <w:rsid w:val="000D237B"/>
    <w:rsid w:val="000D2530"/>
    <w:rsid w:val="000D3806"/>
    <w:rsid w:val="000D42C3"/>
    <w:rsid w:val="000D4500"/>
    <w:rsid w:val="000D4A11"/>
    <w:rsid w:val="000D56E4"/>
    <w:rsid w:val="000D5970"/>
    <w:rsid w:val="000D6C38"/>
    <w:rsid w:val="000D78ED"/>
    <w:rsid w:val="000D79BA"/>
    <w:rsid w:val="000D7A50"/>
    <w:rsid w:val="000D7AEA"/>
    <w:rsid w:val="000D7B4C"/>
    <w:rsid w:val="000E01A9"/>
    <w:rsid w:val="000E0479"/>
    <w:rsid w:val="000E050E"/>
    <w:rsid w:val="000E0EFC"/>
    <w:rsid w:val="000E1206"/>
    <w:rsid w:val="000E1338"/>
    <w:rsid w:val="000E1BE0"/>
    <w:rsid w:val="000E1F47"/>
    <w:rsid w:val="000E2922"/>
    <w:rsid w:val="000E2B8E"/>
    <w:rsid w:val="000E2C66"/>
    <w:rsid w:val="000E36DE"/>
    <w:rsid w:val="000E39CA"/>
    <w:rsid w:val="000E3AEA"/>
    <w:rsid w:val="000E449E"/>
    <w:rsid w:val="000E5F8A"/>
    <w:rsid w:val="000E6E28"/>
    <w:rsid w:val="000E6E7D"/>
    <w:rsid w:val="000E7975"/>
    <w:rsid w:val="000E7B8B"/>
    <w:rsid w:val="000E7CC8"/>
    <w:rsid w:val="000E7F2F"/>
    <w:rsid w:val="000F012D"/>
    <w:rsid w:val="000F0A02"/>
    <w:rsid w:val="000F123C"/>
    <w:rsid w:val="000F1850"/>
    <w:rsid w:val="000F1DC0"/>
    <w:rsid w:val="000F2321"/>
    <w:rsid w:val="000F2327"/>
    <w:rsid w:val="000F23D2"/>
    <w:rsid w:val="000F27FA"/>
    <w:rsid w:val="000F282E"/>
    <w:rsid w:val="000F2FED"/>
    <w:rsid w:val="000F349C"/>
    <w:rsid w:val="000F3837"/>
    <w:rsid w:val="000F3B90"/>
    <w:rsid w:val="000F5C25"/>
    <w:rsid w:val="000F6285"/>
    <w:rsid w:val="000F65BF"/>
    <w:rsid w:val="000F6F55"/>
    <w:rsid w:val="000F7764"/>
    <w:rsid w:val="00100039"/>
    <w:rsid w:val="00100A75"/>
    <w:rsid w:val="00100F6D"/>
    <w:rsid w:val="00101856"/>
    <w:rsid w:val="00101AC3"/>
    <w:rsid w:val="00102B5C"/>
    <w:rsid w:val="00102CCF"/>
    <w:rsid w:val="001031B0"/>
    <w:rsid w:val="0010341A"/>
    <w:rsid w:val="0010346B"/>
    <w:rsid w:val="00103C1D"/>
    <w:rsid w:val="00104F24"/>
    <w:rsid w:val="00105CAE"/>
    <w:rsid w:val="0010616D"/>
    <w:rsid w:val="0010688B"/>
    <w:rsid w:val="00106EEA"/>
    <w:rsid w:val="00107764"/>
    <w:rsid w:val="001079FB"/>
    <w:rsid w:val="0011007B"/>
    <w:rsid w:val="00110478"/>
    <w:rsid w:val="0011088F"/>
    <w:rsid w:val="00111587"/>
    <w:rsid w:val="0011198E"/>
    <w:rsid w:val="001119A7"/>
    <w:rsid w:val="00112508"/>
    <w:rsid w:val="00113D25"/>
    <w:rsid w:val="00114647"/>
    <w:rsid w:val="00114798"/>
    <w:rsid w:val="0011711B"/>
    <w:rsid w:val="00117F8A"/>
    <w:rsid w:val="00120200"/>
    <w:rsid w:val="00120419"/>
    <w:rsid w:val="00120B88"/>
    <w:rsid w:val="00121B9B"/>
    <w:rsid w:val="00122ADC"/>
    <w:rsid w:val="00122B27"/>
    <w:rsid w:val="00122D04"/>
    <w:rsid w:val="00122DC8"/>
    <w:rsid w:val="00124253"/>
    <w:rsid w:val="001261CE"/>
    <w:rsid w:val="001269DE"/>
    <w:rsid w:val="00126B43"/>
    <w:rsid w:val="0012777C"/>
    <w:rsid w:val="00127869"/>
    <w:rsid w:val="00130F59"/>
    <w:rsid w:val="00131546"/>
    <w:rsid w:val="00131E69"/>
    <w:rsid w:val="001338E0"/>
    <w:rsid w:val="00133EC0"/>
    <w:rsid w:val="00134339"/>
    <w:rsid w:val="001346E5"/>
    <w:rsid w:val="0013506F"/>
    <w:rsid w:val="00135B82"/>
    <w:rsid w:val="001360C8"/>
    <w:rsid w:val="00137887"/>
    <w:rsid w:val="00137CFD"/>
    <w:rsid w:val="00140FF1"/>
    <w:rsid w:val="00141B5C"/>
    <w:rsid w:val="00141CE5"/>
    <w:rsid w:val="00142940"/>
    <w:rsid w:val="001429DD"/>
    <w:rsid w:val="00142DF1"/>
    <w:rsid w:val="0014320F"/>
    <w:rsid w:val="001439BA"/>
    <w:rsid w:val="00143FE0"/>
    <w:rsid w:val="001447A4"/>
    <w:rsid w:val="00144908"/>
    <w:rsid w:val="00144EC4"/>
    <w:rsid w:val="00145383"/>
    <w:rsid w:val="00145CAD"/>
    <w:rsid w:val="00147ACD"/>
    <w:rsid w:val="00151311"/>
    <w:rsid w:val="001521AF"/>
    <w:rsid w:val="001523AB"/>
    <w:rsid w:val="00152626"/>
    <w:rsid w:val="00152F7A"/>
    <w:rsid w:val="001532FA"/>
    <w:rsid w:val="00154308"/>
    <w:rsid w:val="001556FF"/>
    <w:rsid w:val="00155F11"/>
    <w:rsid w:val="0015612D"/>
    <w:rsid w:val="0015713E"/>
    <w:rsid w:val="001571C7"/>
    <w:rsid w:val="00160176"/>
    <w:rsid w:val="00161094"/>
    <w:rsid w:val="001613AC"/>
    <w:rsid w:val="00161B2A"/>
    <w:rsid w:val="00162068"/>
    <w:rsid w:val="00162398"/>
    <w:rsid w:val="00162560"/>
    <w:rsid w:val="00163800"/>
    <w:rsid w:val="001647A4"/>
    <w:rsid w:val="001648E7"/>
    <w:rsid w:val="00164B56"/>
    <w:rsid w:val="001659A1"/>
    <w:rsid w:val="00165F8A"/>
    <w:rsid w:val="00166404"/>
    <w:rsid w:val="00166E25"/>
    <w:rsid w:val="00166ED1"/>
    <w:rsid w:val="00166F3E"/>
    <w:rsid w:val="001703B0"/>
    <w:rsid w:val="00170735"/>
    <w:rsid w:val="00171024"/>
    <w:rsid w:val="001720FC"/>
    <w:rsid w:val="00172A55"/>
    <w:rsid w:val="001732FB"/>
    <w:rsid w:val="00173816"/>
    <w:rsid w:val="00174486"/>
    <w:rsid w:val="001758CD"/>
    <w:rsid w:val="0017598A"/>
    <w:rsid w:val="00175B23"/>
    <w:rsid w:val="0017624D"/>
    <w:rsid w:val="0017665C"/>
    <w:rsid w:val="00177AD2"/>
    <w:rsid w:val="00180503"/>
    <w:rsid w:val="00181157"/>
    <w:rsid w:val="001811A3"/>
    <w:rsid w:val="001815A8"/>
    <w:rsid w:val="00182D2B"/>
    <w:rsid w:val="00183452"/>
    <w:rsid w:val="001834B8"/>
    <w:rsid w:val="00183788"/>
    <w:rsid w:val="001840FA"/>
    <w:rsid w:val="00184C20"/>
    <w:rsid w:val="00184FEB"/>
    <w:rsid w:val="0018631A"/>
    <w:rsid w:val="00186368"/>
    <w:rsid w:val="00186732"/>
    <w:rsid w:val="001869F5"/>
    <w:rsid w:val="00190079"/>
    <w:rsid w:val="001910A6"/>
    <w:rsid w:val="0019153D"/>
    <w:rsid w:val="00191C2B"/>
    <w:rsid w:val="0019294E"/>
    <w:rsid w:val="00193043"/>
    <w:rsid w:val="0019622E"/>
    <w:rsid w:val="001963B3"/>
    <w:rsid w:val="001966A7"/>
    <w:rsid w:val="00196773"/>
    <w:rsid w:val="001970FD"/>
    <w:rsid w:val="001976F5"/>
    <w:rsid w:val="001A039A"/>
    <w:rsid w:val="001A126D"/>
    <w:rsid w:val="001A18C5"/>
    <w:rsid w:val="001A1DBD"/>
    <w:rsid w:val="001A319C"/>
    <w:rsid w:val="001A3D04"/>
    <w:rsid w:val="001A4336"/>
    <w:rsid w:val="001A4627"/>
    <w:rsid w:val="001A4979"/>
    <w:rsid w:val="001A568D"/>
    <w:rsid w:val="001A6617"/>
    <w:rsid w:val="001A6E54"/>
    <w:rsid w:val="001A7546"/>
    <w:rsid w:val="001B0132"/>
    <w:rsid w:val="001B0574"/>
    <w:rsid w:val="001B0C21"/>
    <w:rsid w:val="001B14B0"/>
    <w:rsid w:val="001B1590"/>
    <w:rsid w:val="001B15D3"/>
    <w:rsid w:val="001B163E"/>
    <w:rsid w:val="001B322C"/>
    <w:rsid w:val="001B3443"/>
    <w:rsid w:val="001B362F"/>
    <w:rsid w:val="001B48CD"/>
    <w:rsid w:val="001B4D6B"/>
    <w:rsid w:val="001B4D9C"/>
    <w:rsid w:val="001B5769"/>
    <w:rsid w:val="001B6023"/>
    <w:rsid w:val="001B61A7"/>
    <w:rsid w:val="001B74FC"/>
    <w:rsid w:val="001B7B77"/>
    <w:rsid w:val="001C0326"/>
    <w:rsid w:val="001C0718"/>
    <w:rsid w:val="001C192F"/>
    <w:rsid w:val="001C2064"/>
    <w:rsid w:val="001C237C"/>
    <w:rsid w:val="001C29AA"/>
    <w:rsid w:val="001C2E4C"/>
    <w:rsid w:val="001C2ED2"/>
    <w:rsid w:val="001C3C42"/>
    <w:rsid w:val="001C407A"/>
    <w:rsid w:val="001C4DD9"/>
    <w:rsid w:val="001C4F24"/>
    <w:rsid w:val="001C5A52"/>
    <w:rsid w:val="001D03D2"/>
    <w:rsid w:val="001D05BD"/>
    <w:rsid w:val="001D0CE3"/>
    <w:rsid w:val="001D0F0E"/>
    <w:rsid w:val="001D2385"/>
    <w:rsid w:val="001D317C"/>
    <w:rsid w:val="001D3634"/>
    <w:rsid w:val="001D3FCA"/>
    <w:rsid w:val="001D6634"/>
    <w:rsid w:val="001D6FD6"/>
    <w:rsid w:val="001D7869"/>
    <w:rsid w:val="001E276E"/>
    <w:rsid w:val="001E31ED"/>
    <w:rsid w:val="001E3232"/>
    <w:rsid w:val="001E38A5"/>
    <w:rsid w:val="001E3C7A"/>
    <w:rsid w:val="001E41A1"/>
    <w:rsid w:val="001E479C"/>
    <w:rsid w:val="001E4E1F"/>
    <w:rsid w:val="001E4E6D"/>
    <w:rsid w:val="001E5D26"/>
    <w:rsid w:val="001E6C35"/>
    <w:rsid w:val="001E77C2"/>
    <w:rsid w:val="001E793A"/>
    <w:rsid w:val="001E7F76"/>
    <w:rsid w:val="001F10B4"/>
    <w:rsid w:val="001F1765"/>
    <w:rsid w:val="001F20AC"/>
    <w:rsid w:val="001F2266"/>
    <w:rsid w:val="001F25D7"/>
    <w:rsid w:val="001F2F78"/>
    <w:rsid w:val="001F3B1B"/>
    <w:rsid w:val="001F42C5"/>
    <w:rsid w:val="001F4A3B"/>
    <w:rsid w:val="001F4D90"/>
    <w:rsid w:val="001F5249"/>
    <w:rsid w:val="001F55DA"/>
    <w:rsid w:val="001F6EAF"/>
    <w:rsid w:val="001F71FE"/>
    <w:rsid w:val="001F7DDE"/>
    <w:rsid w:val="002003BF"/>
    <w:rsid w:val="002026CD"/>
    <w:rsid w:val="002027F1"/>
    <w:rsid w:val="002033FC"/>
    <w:rsid w:val="00203BD1"/>
    <w:rsid w:val="00203FE5"/>
    <w:rsid w:val="002044BB"/>
    <w:rsid w:val="00204535"/>
    <w:rsid w:val="00204A2C"/>
    <w:rsid w:val="00204F06"/>
    <w:rsid w:val="00205A93"/>
    <w:rsid w:val="00206679"/>
    <w:rsid w:val="00210792"/>
    <w:rsid w:val="00210B09"/>
    <w:rsid w:val="00210C9E"/>
    <w:rsid w:val="00210D96"/>
    <w:rsid w:val="00210ECD"/>
    <w:rsid w:val="002116F8"/>
    <w:rsid w:val="00211840"/>
    <w:rsid w:val="0021264E"/>
    <w:rsid w:val="002141CD"/>
    <w:rsid w:val="00215D2F"/>
    <w:rsid w:val="00216037"/>
    <w:rsid w:val="002164D5"/>
    <w:rsid w:val="00216E27"/>
    <w:rsid w:val="00217026"/>
    <w:rsid w:val="00217AC0"/>
    <w:rsid w:val="00220049"/>
    <w:rsid w:val="0022028B"/>
    <w:rsid w:val="00220E36"/>
    <w:rsid w:val="00220E5F"/>
    <w:rsid w:val="002212B5"/>
    <w:rsid w:val="002226C1"/>
    <w:rsid w:val="00222913"/>
    <w:rsid w:val="00223864"/>
    <w:rsid w:val="00223BEE"/>
    <w:rsid w:val="00223D5B"/>
    <w:rsid w:val="00223E91"/>
    <w:rsid w:val="0022462A"/>
    <w:rsid w:val="00224B85"/>
    <w:rsid w:val="00224C51"/>
    <w:rsid w:val="002265F6"/>
    <w:rsid w:val="00226668"/>
    <w:rsid w:val="00227B5A"/>
    <w:rsid w:val="00227CF4"/>
    <w:rsid w:val="002304AC"/>
    <w:rsid w:val="002307A2"/>
    <w:rsid w:val="00230C4F"/>
    <w:rsid w:val="0023135E"/>
    <w:rsid w:val="0023157D"/>
    <w:rsid w:val="00231A58"/>
    <w:rsid w:val="002327F0"/>
    <w:rsid w:val="00232BCC"/>
    <w:rsid w:val="00233809"/>
    <w:rsid w:val="0023381A"/>
    <w:rsid w:val="002339E5"/>
    <w:rsid w:val="00233C26"/>
    <w:rsid w:val="00234850"/>
    <w:rsid w:val="00234A75"/>
    <w:rsid w:val="00235A03"/>
    <w:rsid w:val="00235CF3"/>
    <w:rsid w:val="00236073"/>
    <w:rsid w:val="002360C3"/>
    <w:rsid w:val="00237F69"/>
    <w:rsid w:val="00240046"/>
    <w:rsid w:val="002403F4"/>
    <w:rsid w:val="0024048C"/>
    <w:rsid w:val="00240809"/>
    <w:rsid w:val="00240CA2"/>
    <w:rsid w:val="00243D58"/>
    <w:rsid w:val="00243F13"/>
    <w:rsid w:val="00244300"/>
    <w:rsid w:val="002448A2"/>
    <w:rsid w:val="00244947"/>
    <w:rsid w:val="00245079"/>
    <w:rsid w:val="0024548F"/>
    <w:rsid w:val="00245569"/>
    <w:rsid w:val="00245C2A"/>
    <w:rsid w:val="00246680"/>
    <w:rsid w:val="00246826"/>
    <w:rsid w:val="00246856"/>
    <w:rsid w:val="002468DA"/>
    <w:rsid w:val="00246CFF"/>
    <w:rsid w:val="00246D27"/>
    <w:rsid w:val="00247955"/>
    <w:rsid w:val="0024797F"/>
    <w:rsid w:val="00247CC7"/>
    <w:rsid w:val="0025098A"/>
    <w:rsid w:val="00250ADE"/>
    <w:rsid w:val="002510B4"/>
    <w:rsid w:val="002510C3"/>
    <w:rsid w:val="0025119E"/>
    <w:rsid w:val="002511DF"/>
    <w:rsid w:val="00251269"/>
    <w:rsid w:val="00252C66"/>
    <w:rsid w:val="002535C0"/>
    <w:rsid w:val="00254877"/>
    <w:rsid w:val="002551FE"/>
    <w:rsid w:val="002552F5"/>
    <w:rsid w:val="00255605"/>
    <w:rsid w:val="002559BB"/>
    <w:rsid w:val="002564B4"/>
    <w:rsid w:val="0025718C"/>
    <w:rsid w:val="002573DC"/>
    <w:rsid w:val="002576EB"/>
    <w:rsid w:val="00257731"/>
    <w:rsid w:val="00257822"/>
    <w:rsid w:val="002579FE"/>
    <w:rsid w:val="00260AA6"/>
    <w:rsid w:val="00261428"/>
    <w:rsid w:val="00262651"/>
    <w:rsid w:val="00262FFA"/>
    <w:rsid w:val="0026311C"/>
    <w:rsid w:val="002634D7"/>
    <w:rsid w:val="0026368C"/>
    <w:rsid w:val="00264127"/>
    <w:rsid w:val="00264174"/>
    <w:rsid w:val="0026490F"/>
    <w:rsid w:val="00264957"/>
    <w:rsid w:val="002649AC"/>
    <w:rsid w:val="00264FB5"/>
    <w:rsid w:val="00265011"/>
    <w:rsid w:val="00265D1C"/>
    <w:rsid w:val="002661A4"/>
    <w:rsid w:val="0026668C"/>
    <w:rsid w:val="00266AC1"/>
    <w:rsid w:val="00267600"/>
    <w:rsid w:val="002706AC"/>
    <w:rsid w:val="00270F76"/>
    <w:rsid w:val="0027178C"/>
    <w:rsid w:val="002719FA"/>
    <w:rsid w:val="00271A25"/>
    <w:rsid w:val="00272668"/>
    <w:rsid w:val="0027330B"/>
    <w:rsid w:val="002736EC"/>
    <w:rsid w:val="00273DEE"/>
    <w:rsid w:val="00275760"/>
    <w:rsid w:val="00275CEF"/>
    <w:rsid w:val="00276F69"/>
    <w:rsid w:val="0027779C"/>
    <w:rsid w:val="002803AD"/>
    <w:rsid w:val="00281162"/>
    <w:rsid w:val="00281266"/>
    <w:rsid w:val="00281CC4"/>
    <w:rsid w:val="00281FAF"/>
    <w:rsid w:val="00282017"/>
    <w:rsid w:val="00282052"/>
    <w:rsid w:val="00282333"/>
    <w:rsid w:val="00282768"/>
    <w:rsid w:val="00284487"/>
    <w:rsid w:val="00285175"/>
    <w:rsid w:val="0028519E"/>
    <w:rsid w:val="002852C8"/>
    <w:rsid w:val="00285300"/>
    <w:rsid w:val="002856A5"/>
    <w:rsid w:val="00285BE6"/>
    <w:rsid w:val="00286F69"/>
    <w:rsid w:val="002872ED"/>
    <w:rsid w:val="00287837"/>
    <w:rsid w:val="00287A49"/>
    <w:rsid w:val="00287ED7"/>
    <w:rsid w:val="00290007"/>
    <w:rsid w:val="002905C2"/>
    <w:rsid w:val="00290C4F"/>
    <w:rsid w:val="0029160B"/>
    <w:rsid w:val="00291772"/>
    <w:rsid w:val="00291B43"/>
    <w:rsid w:val="00291C84"/>
    <w:rsid w:val="00292218"/>
    <w:rsid w:val="00292BBA"/>
    <w:rsid w:val="00292BE8"/>
    <w:rsid w:val="00292C02"/>
    <w:rsid w:val="002930FD"/>
    <w:rsid w:val="00293E14"/>
    <w:rsid w:val="00294210"/>
    <w:rsid w:val="00294E93"/>
    <w:rsid w:val="00295AF2"/>
    <w:rsid w:val="00295C91"/>
    <w:rsid w:val="00295D90"/>
    <w:rsid w:val="00296EA2"/>
    <w:rsid w:val="00296F0D"/>
    <w:rsid w:val="00297151"/>
    <w:rsid w:val="00297CC2"/>
    <w:rsid w:val="002A0EF7"/>
    <w:rsid w:val="002A196D"/>
    <w:rsid w:val="002A1E35"/>
    <w:rsid w:val="002A298D"/>
    <w:rsid w:val="002A333A"/>
    <w:rsid w:val="002A41D7"/>
    <w:rsid w:val="002A5F96"/>
    <w:rsid w:val="002A69D7"/>
    <w:rsid w:val="002A7353"/>
    <w:rsid w:val="002B0132"/>
    <w:rsid w:val="002B15E7"/>
    <w:rsid w:val="002B20E6"/>
    <w:rsid w:val="002B2ADE"/>
    <w:rsid w:val="002B2EA3"/>
    <w:rsid w:val="002B30F4"/>
    <w:rsid w:val="002B32E6"/>
    <w:rsid w:val="002B3DD2"/>
    <w:rsid w:val="002B42A3"/>
    <w:rsid w:val="002B4355"/>
    <w:rsid w:val="002B4470"/>
    <w:rsid w:val="002B482F"/>
    <w:rsid w:val="002B5228"/>
    <w:rsid w:val="002B63E7"/>
    <w:rsid w:val="002B7644"/>
    <w:rsid w:val="002C0CDD"/>
    <w:rsid w:val="002C0DD8"/>
    <w:rsid w:val="002C1249"/>
    <w:rsid w:val="002C15FE"/>
    <w:rsid w:val="002C22E2"/>
    <w:rsid w:val="002C23AD"/>
    <w:rsid w:val="002C2970"/>
    <w:rsid w:val="002C3EF2"/>
    <w:rsid w:val="002C451C"/>
    <w:rsid w:val="002C4989"/>
    <w:rsid w:val="002C4B57"/>
    <w:rsid w:val="002C5757"/>
    <w:rsid w:val="002C6636"/>
    <w:rsid w:val="002C698E"/>
    <w:rsid w:val="002C7241"/>
    <w:rsid w:val="002C7267"/>
    <w:rsid w:val="002C7394"/>
    <w:rsid w:val="002C776E"/>
    <w:rsid w:val="002C7E57"/>
    <w:rsid w:val="002D00D0"/>
    <w:rsid w:val="002D0784"/>
    <w:rsid w:val="002D0C28"/>
    <w:rsid w:val="002D0D1C"/>
    <w:rsid w:val="002D1556"/>
    <w:rsid w:val="002D15DB"/>
    <w:rsid w:val="002D2694"/>
    <w:rsid w:val="002D2884"/>
    <w:rsid w:val="002D29FE"/>
    <w:rsid w:val="002D3871"/>
    <w:rsid w:val="002D42D0"/>
    <w:rsid w:val="002D4503"/>
    <w:rsid w:val="002D57DF"/>
    <w:rsid w:val="002D6CE5"/>
    <w:rsid w:val="002D6E75"/>
    <w:rsid w:val="002D7514"/>
    <w:rsid w:val="002D7FD2"/>
    <w:rsid w:val="002E04AE"/>
    <w:rsid w:val="002E075F"/>
    <w:rsid w:val="002E09D1"/>
    <w:rsid w:val="002E0E5B"/>
    <w:rsid w:val="002E12EB"/>
    <w:rsid w:val="002E153F"/>
    <w:rsid w:val="002E1959"/>
    <w:rsid w:val="002E1A1D"/>
    <w:rsid w:val="002E4081"/>
    <w:rsid w:val="002E4476"/>
    <w:rsid w:val="002E59BE"/>
    <w:rsid w:val="002E5B78"/>
    <w:rsid w:val="002E60CB"/>
    <w:rsid w:val="002E61E1"/>
    <w:rsid w:val="002E63CF"/>
    <w:rsid w:val="002E645F"/>
    <w:rsid w:val="002E69A9"/>
    <w:rsid w:val="002E6CED"/>
    <w:rsid w:val="002E7AC9"/>
    <w:rsid w:val="002F0490"/>
    <w:rsid w:val="002F075E"/>
    <w:rsid w:val="002F12E2"/>
    <w:rsid w:val="002F3AE3"/>
    <w:rsid w:val="002F3BC4"/>
    <w:rsid w:val="002F3C1C"/>
    <w:rsid w:val="002F3D03"/>
    <w:rsid w:val="002F4AC5"/>
    <w:rsid w:val="002F4B63"/>
    <w:rsid w:val="002F5040"/>
    <w:rsid w:val="002F59B8"/>
    <w:rsid w:val="002F5DE7"/>
    <w:rsid w:val="002F6E58"/>
    <w:rsid w:val="002F6E8B"/>
    <w:rsid w:val="002F73AB"/>
    <w:rsid w:val="002F79EF"/>
    <w:rsid w:val="002F7F1E"/>
    <w:rsid w:val="0030053E"/>
    <w:rsid w:val="00300C5B"/>
    <w:rsid w:val="0030103C"/>
    <w:rsid w:val="00301460"/>
    <w:rsid w:val="00301F66"/>
    <w:rsid w:val="003028BB"/>
    <w:rsid w:val="00302BCB"/>
    <w:rsid w:val="00302F1C"/>
    <w:rsid w:val="00302F51"/>
    <w:rsid w:val="00303275"/>
    <w:rsid w:val="003034E1"/>
    <w:rsid w:val="00303AC7"/>
    <w:rsid w:val="00303CBB"/>
    <w:rsid w:val="00303EC9"/>
    <w:rsid w:val="0030464B"/>
    <w:rsid w:val="00304923"/>
    <w:rsid w:val="00305219"/>
    <w:rsid w:val="003059CF"/>
    <w:rsid w:val="00305A56"/>
    <w:rsid w:val="003064C4"/>
    <w:rsid w:val="0030766A"/>
    <w:rsid w:val="0030786C"/>
    <w:rsid w:val="00307BD8"/>
    <w:rsid w:val="00307E2F"/>
    <w:rsid w:val="00310C5F"/>
    <w:rsid w:val="003114A8"/>
    <w:rsid w:val="0031175F"/>
    <w:rsid w:val="00313303"/>
    <w:rsid w:val="003139A6"/>
    <w:rsid w:val="003139C0"/>
    <w:rsid w:val="00314F0D"/>
    <w:rsid w:val="00315470"/>
    <w:rsid w:val="003157C7"/>
    <w:rsid w:val="00315A80"/>
    <w:rsid w:val="00315F06"/>
    <w:rsid w:val="00316753"/>
    <w:rsid w:val="00316D9E"/>
    <w:rsid w:val="00316E81"/>
    <w:rsid w:val="00317127"/>
    <w:rsid w:val="0031737D"/>
    <w:rsid w:val="0031770E"/>
    <w:rsid w:val="00317768"/>
    <w:rsid w:val="00321B9E"/>
    <w:rsid w:val="00323157"/>
    <w:rsid w:val="003233DE"/>
    <w:rsid w:val="003243FD"/>
    <w:rsid w:val="0032466B"/>
    <w:rsid w:val="00324EFF"/>
    <w:rsid w:val="0032559D"/>
    <w:rsid w:val="00327350"/>
    <w:rsid w:val="00327B44"/>
    <w:rsid w:val="0033096C"/>
    <w:rsid w:val="00330A24"/>
    <w:rsid w:val="003313FD"/>
    <w:rsid w:val="00331A49"/>
    <w:rsid w:val="00332D9B"/>
    <w:rsid w:val="003330EB"/>
    <w:rsid w:val="00333970"/>
    <w:rsid w:val="003342EA"/>
    <w:rsid w:val="00334471"/>
    <w:rsid w:val="00334835"/>
    <w:rsid w:val="0033522E"/>
    <w:rsid w:val="003352BC"/>
    <w:rsid w:val="00335366"/>
    <w:rsid w:val="00335889"/>
    <w:rsid w:val="00335AF9"/>
    <w:rsid w:val="00335FBC"/>
    <w:rsid w:val="00336605"/>
    <w:rsid w:val="00336C90"/>
    <w:rsid w:val="003373A6"/>
    <w:rsid w:val="00337DAF"/>
    <w:rsid w:val="003413C0"/>
    <w:rsid w:val="003415FD"/>
    <w:rsid w:val="0034160C"/>
    <w:rsid w:val="00341D74"/>
    <w:rsid w:val="00341D9D"/>
    <w:rsid w:val="0034219C"/>
    <w:rsid w:val="003429F0"/>
    <w:rsid w:val="00343B0C"/>
    <w:rsid w:val="00343EE0"/>
    <w:rsid w:val="003444D6"/>
    <w:rsid w:val="0034457A"/>
    <w:rsid w:val="003451C2"/>
    <w:rsid w:val="0034547F"/>
    <w:rsid w:val="00347765"/>
    <w:rsid w:val="003503BA"/>
    <w:rsid w:val="0035080D"/>
    <w:rsid w:val="0035097A"/>
    <w:rsid w:val="00350CDE"/>
    <w:rsid w:val="00350F05"/>
    <w:rsid w:val="003517D1"/>
    <w:rsid w:val="00352BE8"/>
    <w:rsid w:val="00353377"/>
    <w:rsid w:val="00353C36"/>
    <w:rsid w:val="003540A4"/>
    <w:rsid w:val="0035426C"/>
    <w:rsid w:val="00354DDC"/>
    <w:rsid w:val="00355EE9"/>
    <w:rsid w:val="00356CEF"/>
    <w:rsid w:val="003601AC"/>
    <w:rsid w:val="0036063B"/>
    <w:rsid w:val="00360965"/>
    <w:rsid w:val="00360E4E"/>
    <w:rsid w:val="00360FEA"/>
    <w:rsid w:val="00362543"/>
    <w:rsid w:val="00362AB8"/>
    <w:rsid w:val="00362DFA"/>
    <w:rsid w:val="003638C6"/>
    <w:rsid w:val="00364617"/>
    <w:rsid w:val="00365598"/>
    <w:rsid w:val="0036687E"/>
    <w:rsid w:val="00366B59"/>
    <w:rsid w:val="00366FC2"/>
    <w:rsid w:val="003675B5"/>
    <w:rsid w:val="00367740"/>
    <w:rsid w:val="0037094D"/>
    <w:rsid w:val="00370AAA"/>
    <w:rsid w:val="0037156D"/>
    <w:rsid w:val="003734DA"/>
    <w:rsid w:val="00373720"/>
    <w:rsid w:val="003737B3"/>
    <w:rsid w:val="00373FB1"/>
    <w:rsid w:val="00374F35"/>
    <w:rsid w:val="00375B34"/>
    <w:rsid w:val="00375F77"/>
    <w:rsid w:val="003763E8"/>
    <w:rsid w:val="00376418"/>
    <w:rsid w:val="00376506"/>
    <w:rsid w:val="0037675E"/>
    <w:rsid w:val="0037697A"/>
    <w:rsid w:val="00376CEB"/>
    <w:rsid w:val="00377017"/>
    <w:rsid w:val="00377A78"/>
    <w:rsid w:val="00377ACC"/>
    <w:rsid w:val="00377F77"/>
    <w:rsid w:val="00377FAE"/>
    <w:rsid w:val="00380D89"/>
    <w:rsid w:val="00380DBC"/>
    <w:rsid w:val="0038136D"/>
    <w:rsid w:val="00381AB4"/>
    <w:rsid w:val="00381BBE"/>
    <w:rsid w:val="00382903"/>
    <w:rsid w:val="00382AEB"/>
    <w:rsid w:val="00382D21"/>
    <w:rsid w:val="0038333D"/>
    <w:rsid w:val="003835C4"/>
    <w:rsid w:val="00384375"/>
    <w:rsid w:val="0038450D"/>
    <w:rsid w:val="003846FF"/>
    <w:rsid w:val="003852C8"/>
    <w:rsid w:val="003855DB"/>
    <w:rsid w:val="00385AD4"/>
    <w:rsid w:val="00385BCC"/>
    <w:rsid w:val="00386E6B"/>
    <w:rsid w:val="00387924"/>
    <w:rsid w:val="00387BDF"/>
    <w:rsid w:val="00387CBA"/>
    <w:rsid w:val="0039017E"/>
    <w:rsid w:val="0039018A"/>
    <w:rsid w:val="0039150B"/>
    <w:rsid w:val="00392225"/>
    <w:rsid w:val="0039255D"/>
    <w:rsid w:val="003927AE"/>
    <w:rsid w:val="00392B24"/>
    <w:rsid w:val="00392C38"/>
    <w:rsid w:val="0039384D"/>
    <w:rsid w:val="00394767"/>
    <w:rsid w:val="00395C23"/>
    <w:rsid w:val="00395EBF"/>
    <w:rsid w:val="00395F57"/>
    <w:rsid w:val="00396681"/>
    <w:rsid w:val="0039796E"/>
    <w:rsid w:val="00397BE9"/>
    <w:rsid w:val="003A0329"/>
    <w:rsid w:val="003A0527"/>
    <w:rsid w:val="003A1757"/>
    <w:rsid w:val="003A186B"/>
    <w:rsid w:val="003A2019"/>
    <w:rsid w:val="003A21BB"/>
    <w:rsid w:val="003A23DC"/>
    <w:rsid w:val="003A2BF3"/>
    <w:rsid w:val="003A2E4F"/>
    <w:rsid w:val="003A2ED3"/>
    <w:rsid w:val="003A4438"/>
    <w:rsid w:val="003A5013"/>
    <w:rsid w:val="003A5078"/>
    <w:rsid w:val="003A5827"/>
    <w:rsid w:val="003A622C"/>
    <w:rsid w:val="003A62DD"/>
    <w:rsid w:val="003A775A"/>
    <w:rsid w:val="003A7F70"/>
    <w:rsid w:val="003B0B03"/>
    <w:rsid w:val="003B0C04"/>
    <w:rsid w:val="003B0DAB"/>
    <w:rsid w:val="003B0F42"/>
    <w:rsid w:val="003B18D4"/>
    <w:rsid w:val="003B213A"/>
    <w:rsid w:val="003B43AD"/>
    <w:rsid w:val="003B601B"/>
    <w:rsid w:val="003B61DD"/>
    <w:rsid w:val="003B68CA"/>
    <w:rsid w:val="003C02AA"/>
    <w:rsid w:val="003C0DF6"/>
    <w:rsid w:val="003C0E0F"/>
    <w:rsid w:val="003C0FEC"/>
    <w:rsid w:val="003C15B8"/>
    <w:rsid w:val="003C2AC8"/>
    <w:rsid w:val="003C2E13"/>
    <w:rsid w:val="003C334A"/>
    <w:rsid w:val="003C3BBD"/>
    <w:rsid w:val="003C3BEA"/>
    <w:rsid w:val="003C3C59"/>
    <w:rsid w:val="003C416F"/>
    <w:rsid w:val="003C4599"/>
    <w:rsid w:val="003C6A43"/>
    <w:rsid w:val="003C6BC1"/>
    <w:rsid w:val="003C6E9D"/>
    <w:rsid w:val="003C703C"/>
    <w:rsid w:val="003C767A"/>
    <w:rsid w:val="003C7B65"/>
    <w:rsid w:val="003D0C8C"/>
    <w:rsid w:val="003D0EB1"/>
    <w:rsid w:val="003D102D"/>
    <w:rsid w:val="003D137B"/>
    <w:rsid w:val="003D13DD"/>
    <w:rsid w:val="003D16B9"/>
    <w:rsid w:val="003D17F9"/>
    <w:rsid w:val="003D190A"/>
    <w:rsid w:val="003D1F7B"/>
    <w:rsid w:val="003D2D88"/>
    <w:rsid w:val="003D2DB8"/>
    <w:rsid w:val="003D397D"/>
    <w:rsid w:val="003D3D54"/>
    <w:rsid w:val="003D41EA"/>
    <w:rsid w:val="003D4850"/>
    <w:rsid w:val="003D4F6A"/>
    <w:rsid w:val="003D535A"/>
    <w:rsid w:val="003D59F0"/>
    <w:rsid w:val="003D5FB6"/>
    <w:rsid w:val="003E04F4"/>
    <w:rsid w:val="003E077C"/>
    <w:rsid w:val="003E10B8"/>
    <w:rsid w:val="003E1D90"/>
    <w:rsid w:val="003E34F3"/>
    <w:rsid w:val="003E37BD"/>
    <w:rsid w:val="003E4196"/>
    <w:rsid w:val="003E4302"/>
    <w:rsid w:val="003E5265"/>
    <w:rsid w:val="003E6204"/>
    <w:rsid w:val="003E6DB0"/>
    <w:rsid w:val="003F0639"/>
    <w:rsid w:val="003F0955"/>
    <w:rsid w:val="003F138C"/>
    <w:rsid w:val="003F15DA"/>
    <w:rsid w:val="003F21CE"/>
    <w:rsid w:val="003F2291"/>
    <w:rsid w:val="003F25AF"/>
    <w:rsid w:val="003F2FE1"/>
    <w:rsid w:val="003F36A2"/>
    <w:rsid w:val="003F4C92"/>
    <w:rsid w:val="003F5E71"/>
    <w:rsid w:val="003F5EBF"/>
    <w:rsid w:val="003F6378"/>
    <w:rsid w:val="003F68B5"/>
    <w:rsid w:val="003F6FE1"/>
    <w:rsid w:val="003F74CC"/>
    <w:rsid w:val="003F7688"/>
    <w:rsid w:val="00400F00"/>
    <w:rsid w:val="0040288F"/>
    <w:rsid w:val="00402E90"/>
    <w:rsid w:val="00403117"/>
    <w:rsid w:val="00403EFA"/>
    <w:rsid w:val="00404F8B"/>
    <w:rsid w:val="00404F9B"/>
    <w:rsid w:val="00405256"/>
    <w:rsid w:val="004057BF"/>
    <w:rsid w:val="0040594C"/>
    <w:rsid w:val="00405B3A"/>
    <w:rsid w:val="00410031"/>
    <w:rsid w:val="00410AE3"/>
    <w:rsid w:val="004115A2"/>
    <w:rsid w:val="00411724"/>
    <w:rsid w:val="0041192D"/>
    <w:rsid w:val="00411B70"/>
    <w:rsid w:val="0041227B"/>
    <w:rsid w:val="00412D12"/>
    <w:rsid w:val="00412DF6"/>
    <w:rsid w:val="004130B7"/>
    <w:rsid w:val="00413E6D"/>
    <w:rsid w:val="004140E6"/>
    <w:rsid w:val="00414382"/>
    <w:rsid w:val="004149D0"/>
    <w:rsid w:val="00414C50"/>
    <w:rsid w:val="00415690"/>
    <w:rsid w:val="00415C81"/>
    <w:rsid w:val="00415CCE"/>
    <w:rsid w:val="00415F2A"/>
    <w:rsid w:val="00416731"/>
    <w:rsid w:val="004169CE"/>
    <w:rsid w:val="004173AD"/>
    <w:rsid w:val="00417460"/>
    <w:rsid w:val="0041787E"/>
    <w:rsid w:val="0042040A"/>
    <w:rsid w:val="004207DB"/>
    <w:rsid w:val="00421E84"/>
    <w:rsid w:val="00423C3D"/>
    <w:rsid w:val="00423DB9"/>
    <w:rsid w:val="00424004"/>
    <w:rsid w:val="0042522C"/>
    <w:rsid w:val="00426B04"/>
    <w:rsid w:val="00426F32"/>
    <w:rsid w:val="00427132"/>
    <w:rsid w:val="00427344"/>
    <w:rsid w:val="00427C31"/>
    <w:rsid w:val="00427D4A"/>
    <w:rsid w:val="00430273"/>
    <w:rsid w:val="004305BB"/>
    <w:rsid w:val="0043069C"/>
    <w:rsid w:val="00432378"/>
    <w:rsid w:val="00433182"/>
    <w:rsid w:val="004331B9"/>
    <w:rsid w:val="00433494"/>
    <w:rsid w:val="00433C42"/>
    <w:rsid w:val="004351A0"/>
    <w:rsid w:val="004352B8"/>
    <w:rsid w:val="00440D65"/>
    <w:rsid w:val="00441391"/>
    <w:rsid w:val="00441A83"/>
    <w:rsid w:val="00441DC4"/>
    <w:rsid w:val="004421E0"/>
    <w:rsid w:val="00442286"/>
    <w:rsid w:val="0044240C"/>
    <w:rsid w:val="004425BE"/>
    <w:rsid w:val="00442644"/>
    <w:rsid w:val="00442AD7"/>
    <w:rsid w:val="004435E6"/>
    <w:rsid w:val="004436D7"/>
    <w:rsid w:val="00443788"/>
    <w:rsid w:val="004439A7"/>
    <w:rsid w:val="00443D09"/>
    <w:rsid w:val="00444696"/>
    <w:rsid w:val="00446C9C"/>
    <w:rsid w:val="00446E53"/>
    <w:rsid w:val="004473D7"/>
    <w:rsid w:val="00447E31"/>
    <w:rsid w:val="00450AE6"/>
    <w:rsid w:val="004510E3"/>
    <w:rsid w:val="00451482"/>
    <w:rsid w:val="00452B4A"/>
    <w:rsid w:val="00452BB8"/>
    <w:rsid w:val="00453114"/>
    <w:rsid w:val="0045364E"/>
    <w:rsid w:val="0045366F"/>
    <w:rsid w:val="00453923"/>
    <w:rsid w:val="00453A89"/>
    <w:rsid w:val="00454882"/>
    <w:rsid w:val="00454B9B"/>
    <w:rsid w:val="0045586B"/>
    <w:rsid w:val="004559A3"/>
    <w:rsid w:val="00456241"/>
    <w:rsid w:val="004569EA"/>
    <w:rsid w:val="00456A86"/>
    <w:rsid w:val="00456C64"/>
    <w:rsid w:val="00457115"/>
    <w:rsid w:val="00457785"/>
    <w:rsid w:val="00457858"/>
    <w:rsid w:val="00460A4F"/>
    <w:rsid w:val="00460B0B"/>
    <w:rsid w:val="00460CE4"/>
    <w:rsid w:val="00461023"/>
    <w:rsid w:val="004610AA"/>
    <w:rsid w:val="00461301"/>
    <w:rsid w:val="00461A15"/>
    <w:rsid w:val="00461AB9"/>
    <w:rsid w:val="0046207B"/>
    <w:rsid w:val="00462AD1"/>
    <w:rsid w:val="00462FAC"/>
    <w:rsid w:val="0046339E"/>
    <w:rsid w:val="004637FF"/>
    <w:rsid w:val="004645B2"/>
    <w:rsid w:val="00464631"/>
    <w:rsid w:val="00464B79"/>
    <w:rsid w:val="00464D17"/>
    <w:rsid w:val="0046506D"/>
    <w:rsid w:val="004653BC"/>
    <w:rsid w:val="00465CA6"/>
    <w:rsid w:val="00466212"/>
    <w:rsid w:val="00466764"/>
    <w:rsid w:val="00466BEE"/>
    <w:rsid w:val="0046742C"/>
    <w:rsid w:val="004674A8"/>
    <w:rsid w:val="00467921"/>
    <w:rsid w:val="00467BBF"/>
    <w:rsid w:val="00470842"/>
    <w:rsid w:val="0047092D"/>
    <w:rsid w:val="00470CF1"/>
    <w:rsid w:val="004717DB"/>
    <w:rsid w:val="004719AB"/>
    <w:rsid w:val="004724ED"/>
    <w:rsid w:val="004729FE"/>
    <w:rsid w:val="00472BC5"/>
    <w:rsid w:val="00472BF0"/>
    <w:rsid w:val="00472C7C"/>
    <w:rsid w:val="00472C91"/>
    <w:rsid w:val="00473592"/>
    <w:rsid w:val="004737D7"/>
    <w:rsid w:val="004740C3"/>
    <w:rsid w:val="00474F3C"/>
    <w:rsid w:val="0047521E"/>
    <w:rsid w:val="0047553D"/>
    <w:rsid w:val="00476147"/>
    <w:rsid w:val="00476856"/>
    <w:rsid w:val="00477FCF"/>
    <w:rsid w:val="00480B5A"/>
    <w:rsid w:val="00481161"/>
    <w:rsid w:val="0048188E"/>
    <w:rsid w:val="00481908"/>
    <w:rsid w:val="00481D86"/>
    <w:rsid w:val="00482876"/>
    <w:rsid w:val="00482DA0"/>
    <w:rsid w:val="0048313C"/>
    <w:rsid w:val="00483879"/>
    <w:rsid w:val="00483D03"/>
    <w:rsid w:val="00483D21"/>
    <w:rsid w:val="00483DCC"/>
    <w:rsid w:val="00483EDF"/>
    <w:rsid w:val="00483EFE"/>
    <w:rsid w:val="0048409D"/>
    <w:rsid w:val="004844B4"/>
    <w:rsid w:val="00485277"/>
    <w:rsid w:val="00485401"/>
    <w:rsid w:val="004856AB"/>
    <w:rsid w:val="00485D8A"/>
    <w:rsid w:val="00485F91"/>
    <w:rsid w:val="004860AF"/>
    <w:rsid w:val="00486376"/>
    <w:rsid w:val="0048656B"/>
    <w:rsid w:val="004867E2"/>
    <w:rsid w:val="004870CC"/>
    <w:rsid w:val="004912FD"/>
    <w:rsid w:val="0049132B"/>
    <w:rsid w:val="00491E79"/>
    <w:rsid w:val="0049200B"/>
    <w:rsid w:val="0049212C"/>
    <w:rsid w:val="00492468"/>
    <w:rsid w:val="004929A9"/>
    <w:rsid w:val="00492D13"/>
    <w:rsid w:val="0049319B"/>
    <w:rsid w:val="004939F5"/>
    <w:rsid w:val="00493A86"/>
    <w:rsid w:val="00493ABC"/>
    <w:rsid w:val="00493EA5"/>
    <w:rsid w:val="004945CF"/>
    <w:rsid w:val="00495AAD"/>
    <w:rsid w:val="00495B07"/>
    <w:rsid w:val="00495D13"/>
    <w:rsid w:val="004961FA"/>
    <w:rsid w:val="00496DA0"/>
    <w:rsid w:val="00497056"/>
    <w:rsid w:val="00497DDB"/>
    <w:rsid w:val="004A1D13"/>
    <w:rsid w:val="004A22E3"/>
    <w:rsid w:val="004A514D"/>
    <w:rsid w:val="004A5E69"/>
    <w:rsid w:val="004A61BC"/>
    <w:rsid w:val="004A62CC"/>
    <w:rsid w:val="004A69D5"/>
    <w:rsid w:val="004A6DDF"/>
    <w:rsid w:val="004A76E4"/>
    <w:rsid w:val="004A7937"/>
    <w:rsid w:val="004A7AF1"/>
    <w:rsid w:val="004B0149"/>
    <w:rsid w:val="004B04DC"/>
    <w:rsid w:val="004B35F0"/>
    <w:rsid w:val="004B37CF"/>
    <w:rsid w:val="004B4087"/>
    <w:rsid w:val="004B488A"/>
    <w:rsid w:val="004B4D4C"/>
    <w:rsid w:val="004B5289"/>
    <w:rsid w:val="004B543C"/>
    <w:rsid w:val="004B62D0"/>
    <w:rsid w:val="004B64CF"/>
    <w:rsid w:val="004B6842"/>
    <w:rsid w:val="004B6A2D"/>
    <w:rsid w:val="004B6D7B"/>
    <w:rsid w:val="004B6F6C"/>
    <w:rsid w:val="004C003E"/>
    <w:rsid w:val="004C0663"/>
    <w:rsid w:val="004C0CD8"/>
    <w:rsid w:val="004C153F"/>
    <w:rsid w:val="004C287C"/>
    <w:rsid w:val="004C2D43"/>
    <w:rsid w:val="004C2FEC"/>
    <w:rsid w:val="004C32F1"/>
    <w:rsid w:val="004C344D"/>
    <w:rsid w:val="004C391D"/>
    <w:rsid w:val="004C3B29"/>
    <w:rsid w:val="004C4655"/>
    <w:rsid w:val="004C5218"/>
    <w:rsid w:val="004C6341"/>
    <w:rsid w:val="004C6BCF"/>
    <w:rsid w:val="004D082B"/>
    <w:rsid w:val="004D175F"/>
    <w:rsid w:val="004D25A8"/>
    <w:rsid w:val="004D2DB0"/>
    <w:rsid w:val="004D3125"/>
    <w:rsid w:val="004D3EF7"/>
    <w:rsid w:val="004D3FAD"/>
    <w:rsid w:val="004D41FF"/>
    <w:rsid w:val="004D4858"/>
    <w:rsid w:val="004D58BF"/>
    <w:rsid w:val="004D59F6"/>
    <w:rsid w:val="004D5CF0"/>
    <w:rsid w:val="004D5D5F"/>
    <w:rsid w:val="004D6544"/>
    <w:rsid w:val="004D660B"/>
    <w:rsid w:val="004D6902"/>
    <w:rsid w:val="004D6EAB"/>
    <w:rsid w:val="004E0B4F"/>
    <w:rsid w:val="004E194D"/>
    <w:rsid w:val="004E1F48"/>
    <w:rsid w:val="004E2EA4"/>
    <w:rsid w:val="004E3111"/>
    <w:rsid w:val="004E34A9"/>
    <w:rsid w:val="004E3D73"/>
    <w:rsid w:val="004E42FF"/>
    <w:rsid w:val="004E4335"/>
    <w:rsid w:val="004E4C90"/>
    <w:rsid w:val="004E4EC6"/>
    <w:rsid w:val="004E5237"/>
    <w:rsid w:val="004E56E1"/>
    <w:rsid w:val="004E5ACF"/>
    <w:rsid w:val="004E5F74"/>
    <w:rsid w:val="004E63F0"/>
    <w:rsid w:val="004E7A1A"/>
    <w:rsid w:val="004F00BD"/>
    <w:rsid w:val="004F0719"/>
    <w:rsid w:val="004F1006"/>
    <w:rsid w:val="004F1340"/>
    <w:rsid w:val="004F13EE"/>
    <w:rsid w:val="004F1700"/>
    <w:rsid w:val="004F17D4"/>
    <w:rsid w:val="004F1B11"/>
    <w:rsid w:val="004F2022"/>
    <w:rsid w:val="004F2668"/>
    <w:rsid w:val="004F331A"/>
    <w:rsid w:val="004F3323"/>
    <w:rsid w:val="004F332C"/>
    <w:rsid w:val="004F3622"/>
    <w:rsid w:val="004F3898"/>
    <w:rsid w:val="004F53E8"/>
    <w:rsid w:val="004F56DA"/>
    <w:rsid w:val="004F57E2"/>
    <w:rsid w:val="004F6927"/>
    <w:rsid w:val="004F6AE9"/>
    <w:rsid w:val="004F7026"/>
    <w:rsid w:val="004F7736"/>
    <w:rsid w:val="004F7C05"/>
    <w:rsid w:val="005014FE"/>
    <w:rsid w:val="00501C86"/>
    <w:rsid w:val="00501C94"/>
    <w:rsid w:val="00502898"/>
    <w:rsid w:val="005033AD"/>
    <w:rsid w:val="00503ACB"/>
    <w:rsid w:val="00504F53"/>
    <w:rsid w:val="005055DD"/>
    <w:rsid w:val="00506089"/>
    <w:rsid w:val="00506432"/>
    <w:rsid w:val="00506F86"/>
    <w:rsid w:val="00506FFA"/>
    <w:rsid w:val="005076DC"/>
    <w:rsid w:val="00510B42"/>
    <w:rsid w:val="00510FB9"/>
    <w:rsid w:val="00511F63"/>
    <w:rsid w:val="005121F2"/>
    <w:rsid w:val="0051222B"/>
    <w:rsid w:val="0051242B"/>
    <w:rsid w:val="00513F7E"/>
    <w:rsid w:val="005154D8"/>
    <w:rsid w:val="0051654C"/>
    <w:rsid w:val="00516945"/>
    <w:rsid w:val="00516978"/>
    <w:rsid w:val="0052051D"/>
    <w:rsid w:val="00520909"/>
    <w:rsid w:val="0052090C"/>
    <w:rsid w:val="00520A59"/>
    <w:rsid w:val="005216B4"/>
    <w:rsid w:val="0052197A"/>
    <w:rsid w:val="00521A79"/>
    <w:rsid w:val="005220EC"/>
    <w:rsid w:val="005226A7"/>
    <w:rsid w:val="00522A26"/>
    <w:rsid w:val="00523124"/>
    <w:rsid w:val="00523521"/>
    <w:rsid w:val="00523AB0"/>
    <w:rsid w:val="005241B8"/>
    <w:rsid w:val="005247D9"/>
    <w:rsid w:val="00525090"/>
    <w:rsid w:val="0052537A"/>
    <w:rsid w:val="005258CE"/>
    <w:rsid w:val="005259D2"/>
    <w:rsid w:val="00525B44"/>
    <w:rsid w:val="00525E84"/>
    <w:rsid w:val="00525F4F"/>
    <w:rsid w:val="00526A26"/>
    <w:rsid w:val="005278FD"/>
    <w:rsid w:val="00531704"/>
    <w:rsid w:val="00531E69"/>
    <w:rsid w:val="00532085"/>
    <w:rsid w:val="00532140"/>
    <w:rsid w:val="00532268"/>
    <w:rsid w:val="00534DEB"/>
    <w:rsid w:val="005351B9"/>
    <w:rsid w:val="00535897"/>
    <w:rsid w:val="005368AE"/>
    <w:rsid w:val="00540DCF"/>
    <w:rsid w:val="00541229"/>
    <w:rsid w:val="00542802"/>
    <w:rsid w:val="00542935"/>
    <w:rsid w:val="005429B6"/>
    <w:rsid w:val="00542BB7"/>
    <w:rsid w:val="005434F3"/>
    <w:rsid w:val="005437A1"/>
    <w:rsid w:val="00543D24"/>
    <w:rsid w:val="00544DE8"/>
    <w:rsid w:val="005452AB"/>
    <w:rsid w:val="00545BE2"/>
    <w:rsid w:val="00545EE6"/>
    <w:rsid w:val="00546101"/>
    <w:rsid w:val="00546532"/>
    <w:rsid w:val="00546691"/>
    <w:rsid w:val="005469A6"/>
    <w:rsid w:val="00546FC9"/>
    <w:rsid w:val="00547C86"/>
    <w:rsid w:val="005504E2"/>
    <w:rsid w:val="005526FE"/>
    <w:rsid w:val="00552712"/>
    <w:rsid w:val="00552772"/>
    <w:rsid w:val="00553749"/>
    <w:rsid w:val="005541CC"/>
    <w:rsid w:val="005548F6"/>
    <w:rsid w:val="00554FB7"/>
    <w:rsid w:val="005550E7"/>
    <w:rsid w:val="005553FD"/>
    <w:rsid w:val="0055572B"/>
    <w:rsid w:val="005560C9"/>
    <w:rsid w:val="005564FB"/>
    <w:rsid w:val="00556D1A"/>
    <w:rsid w:val="005572C7"/>
    <w:rsid w:val="00557B7F"/>
    <w:rsid w:val="00557D5A"/>
    <w:rsid w:val="005609DE"/>
    <w:rsid w:val="005609EA"/>
    <w:rsid w:val="00560D6E"/>
    <w:rsid w:val="005616BB"/>
    <w:rsid w:val="00561F79"/>
    <w:rsid w:val="00562A59"/>
    <w:rsid w:val="00562E03"/>
    <w:rsid w:val="0056335C"/>
    <w:rsid w:val="00564180"/>
    <w:rsid w:val="0056486D"/>
    <w:rsid w:val="00564A51"/>
    <w:rsid w:val="005650ED"/>
    <w:rsid w:val="00565771"/>
    <w:rsid w:val="00565C38"/>
    <w:rsid w:val="00565C41"/>
    <w:rsid w:val="005660B8"/>
    <w:rsid w:val="00566708"/>
    <w:rsid w:val="0056679C"/>
    <w:rsid w:val="00566CC3"/>
    <w:rsid w:val="0056703F"/>
    <w:rsid w:val="00567B3E"/>
    <w:rsid w:val="00567CB3"/>
    <w:rsid w:val="00570027"/>
    <w:rsid w:val="00570721"/>
    <w:rsid w:val="00570A7A"/>
    <w:rsid w:val="00572946"/>
    <w:rsid w:val="00574515"/>
    <w:rsid w:val="00574E78"/>
    <w:rsid w:val="00575754"/>
    <w:rsid w:val="0057616C"/>
    <w:rsid w:val="00576C47"/>
    <w:rsid w:val="00577791"/>
    <w:rsid w:val="005779B3"/>
    <w:rsid w:val="005801B4"/>
    <w:rsid w:val="00580C37"/>
    <w:rsid w:val="00581C64"/>
    <w:rsid w:val="00581E50"/>
    <w:rsid w:val="005826AC"/>
    <w:rsid w:val="00582FFC"/>
    <w:rsid w:val="005851BC"/>
    <w:rsid w:val="00585235"/>
    <w:rsid w:val="00585A90"/>
    <w:rsid w:val="00586504"/>
    <w:rsid w:val="00586AE1"/>
    <w:rsid w:val="00586C0E"/>
    <w:rsid w:val="00586D36"/>
    <w:rsid w:val="00586DE3"/>
    <w:rsid w:val="00590856"/>
    <w:rsid w:val="005912F7"/>
    <w:rsid w:val="00591C08"/>
    <w:rsid w:val="00591E20"/>
    <w:rsid w:val="00591FBD"/>
    <w:rsid w:val="00592912"/>
    <w:rsid w:val="00594F03"/>
    <w:rsid w:val="005951E1"/>
    <w:rsid w:val="00595408"/>
    <w:rsid w:val="00595E68"/>
    <w:rsid w:val="00595E84"/>
    <w:rsid w:val="00596981"/>
    <w:rsid w:val="00597565"/>
    <w:rsid w:val="00597FBF"/>
    <w:rsid w:val="005A04B8"/>
    <w:rsid w:val="005A0907"/>
    <w:rsid w:val="005A0C59"/>
    <w:rsid w:val="005A110F"/>
    <w:rsid w:val="005A308B"/>
    <w:rsid w:val="005A3601"/>
    <w:rsid w:val="005A401E"/>
    <w:rsid w:val="005A44EE"/>
    <w:rsid w:val="005A483D"/>
    <w:rsid w:val="005A48EB"/>
    <w:rsid w:val="005A4E13"/>
    <w:rsid w:val="005A50C9"/>
    <w:rsid w:val="005A6218"/>
    <w:rsid w:val="005A6CFB"/>
    <w:rsid w:val="005A6E86"/>
    <w:rsid w:val="005A700E"/>
    <w:rsid w:val="005A7874"/>
    <w:rsid w:val="005A7E15"/>
    <w:rsid w:val="005A7F70"/>
    <w:rsid w:val="005B0339"/>
    <w:rsid w:val="005B06D7"/>
    <w:rsid w:val="005B15D9"/>
    <w:rsid w:val="005B33EE"/>
    <w:rsid w:val="005B3AC4"/>
    <w:rsid w:val="005B3FF1"/>
    <w:rsid w:val="005B4857"/>
    <w:rsid w:val="005B48EE"/>
    <w:rsid w:val="005B48F2"/>
    <w:rsid w:val="005B4E7A"/>
    <w:rsid w:val="005B5625"/>
    <w:rsid w:val="005B7366"/>
    <w:rsid w:val="005B7DB6"/>
    <w:rsid w:val="005B7E8E"/>
    <w:rsid w:val="005C031B"/>
    <w:rsid w:val="005C0567"/>
    <w:rsid w:val="005C0600"/>
    <w:rsid w:val="005C0A46"/>
    <w:rsid w:val="005C0A97"/>
    <w:rsid w:val="005C15FD"/>
    <w:rsid w:val="005C277A"/>
    <w:rsid w:val="005C2F91"/>
    <w:rsid w:val="005C3CDE"/>
    <w:rsid w:val="005C3D28"/>
    <w:rsid w:val="005C4EEB"/>
    <w:rsid w:val="005C5AEB"/>
    <w:rsid w:val="005C63FF"/>
    <w:rsid w:val="005C79C3"/>
    <w:rsid w:val="005C7FC5"/>
    <w:rsid w:val="005D0E9E"/>
    <w:rsid w:val="005D1465"/>
    <w:rsid w:val="005D212B"/>
    <w:rsid w:val="005D2463"/>
    <w:rsid w:val="005D4432"/>
    <w:rsid w:val="005D4DEF"/>
    <w:rsid w:val="005D4FFF"/>
    <w:rsid w:val="005D6FF6"/>
    <w:rsid w:val="005D72FB"/>
    <w:rsid w:val="005D7C35"/>
    <w:rsid w:val="005D7CF3"/>
    <w:rsid w:val="005E0A3F"/>
    <w:rsid w:val="005E0B56"/>
    <w:rsid w:val="005E0B63"/>
    <w:rsid w:val="005E13F7"/>
    <w:rsid w:val="005E1B83"/>
    <w:rsid w:val="005E2A0F"/>
    <w:rsid w:val="005E2C4D"/>
    <w:rsid w:val="005E2DE4"/>
    <w:rsid w:val="005E30EF"/>
    <w:rsid w:val="005E395A"/>
    <w:rsid w:val="005E455C"/>
    <w:rsid w:val="005E52A7"/>
    <w:rsid w:val="005E560C"/>
    <w:rsid w:val="005E63D4"/>
    <w:rsid w:val="005E6883"/>
    <w:rsid w:val="005E6F37"/>
    <w:rsid w:val="005E772F"/>
    <w:rsid w:val="005F0331"/>
    <w:rsid w:val="005F035D"/>
    <w:rsid w:val="005F16C6"/>
    <w:rsid w:val="005F1DB6"/>
    <w:rsid w:val="005F49EB"/>
    <w:rsid w:val="005F4ECA"/>
    <w:rsid w:val="005F52B4"/>
    <w:rsid w:val="005F57C0"/>
    <w:rsid w:val="005F6214"/>
    <w:rsid w:val="005F66D7"/>
    <w:rsid w:val="005F734B"/>
    <w:rsid w:val="00600618"/>
    <w:rsid w:val="006006A6"/>
    <w:rsid w:val="00600742"/>
    <w:rsid w:val="006008D0"/>
    <w:rsid w:val="00600918"/>
    <w:rsid w:val="006016F8"/>
    <w:rsid w:val="00601778"/>
    <w:rsid w:val="006019B8"/>
    <w:rsid w:val="006026B8"/>
    <w:rsid w:val="00602F87"/>
    <w:rsid w:val="00603278"/>
    <w:rsid w:val="006038C6"/>
    <w:rsid w:val="006040D7"/>
    <w:rsid w:val="006041BE"/>
    <w:rsid w:val="0060425C"/>
    <w:rsid w:val="006043C7"/>
    <w:rsid w:val="0060508D"/>
    <w:rsid w:val="00605974"/>
    <w:rsid w:val="00605A23"/>
    <w:rsid w:val="00605A98"/>
    <w:rsid w:val="00605C41"/>
    <w:rsid w:val="00605F27"/>
    <w:rsid w:val="006067AE"/>
    <w:rsid w:val="0060710B"/>
    <w:rsid w:val="00607D84"/>
    <w:rsid w:val="00611C04"/>
    <w:rsid w:val="0061221E"/>
    <w:rsid w:val="00612305"/>
    <w:rsid w:val="006123A9"/>
    <w:rsid w:val="00612534"/>
    <w:rsid w:val="00612895"/>
    <w:rsid w:val="00612E1B"/>
    <w:rsid w:val="00614992"/>
    <w:rsid w:val="00614EBE"/>
    <w:rsid w:val="00615263"/>
    <w:rsid w:val="00615524"/>
    <w:rsid w:val="006157AA"/>
    <w:rsid w:val="00615944"/>
    <w:rsid w:val="00616715"/>
    <w:rsid w:val="00617727"/>
    <w:rsid w:val="006179E4"/>
    <w:rsid w:val="00620240"/>
    <w:rsid w:val="0062101F"/>
    <w:rsid w:val="00621C5B"/>
    <w:rsid w:val="00622896"/>
    <w:rsid w:val="006230DE"/>
    <w:rsid w:val="006238B3"/>
    <w:rsid w:val="00623AFA"/>
    <w:rsid w:val="00623E15"/>
    <w:rsid w:val="0062463F"/>
    <w:rsid w:val="006247CA"/>
    <w:rsid w:val="00624B52"/>
    <w:rsid w:val="006278E1"/>
    <w:rsid w:val="00630019"/>
    <w:rsid w:val="0063026B"/>
    <w:rsid w:val="0063083B"/>
    <w:rsid w:val="00631DD7"/>
    <w:rsid w:val="00631DF4"/>
    <w:rsid w:val="00632235"/>
    <w:rsid w:val="00632D81"/>
    <w:rsid w:val="006330FE"/>
    <w:rsid w:val="00633C9B"/>
    <w:rsid w:val="00634150"/>
    <w:rsid w:val="00634175"/>
    <w:rsid w:val="00634699"/>
    <w:rsid w:val="00634963"/>
    <w:rsid w:val="0063496E"/>
    <w:rsid w:val="00634D52"/>
    <w:rsid w:val="00634E84"/>
    <w:rsid w:val="00635027"/>
    <w:rsid w:val="00635ACF"/>
    <w:rsid w:val="0063665D"/>
    <w:rsid w:val="0063704C"/>
    <w:rsid w:val="00637977"/>
    <w:rsid w:val="00640857"/>
    <w:rsid w:val="006408AC"/>
    <w:rsid w:val="006410D0"/>
    <w:rsid w:val="00641306"/>
    <w:rsid w:val="00641B2B"/>
    <w:rsid w:val="00641DC0"/>
    <w:rsid w:val="0064282F"/>
    <w:rsid w:val="006429C5"/>
    <w:rsid w:val="00642FFA"/>
    <w:rsid w:val="006433E6"/>
    <w:rsid w:val="00643502"/>
    <w:rsid w:val="00643614"/>
    <w:rsid w:val="00643F09"/>
    <w:rsid w:val="006453DE"/>
    <w:rsid w:val="00646D45"/>
    <w:rsid w:val="00650F17"/>
    <w:rsid w:val="006511B6"/>
    <w:rsid w:val="00651714"/>
    <w:rsid w:val="00652518"/>
    <w:rsid w:val="00652742"/>
    <w:rsid w:val="006528B7"/>
    <w:rsid w:val="0065343C"/>
    <w:rsid w:val="00653725"/>
    <w:rsid w:val="006543DE"/>
    <w:rsid w:val="006547F6"/>
    <w:rsid w:val="0065521B"/>
    <w:rsid w:val="00655868"/>
    <w:rsid w:val="006558E7"/>
    <w:rsid w:val="00655AF8"/>
    <w:rsid w:val="00655E9C"/>
    <w:rsid w:val="00655F07"/>
    <w:rsid w:val="0065703A"/>
    <w:rsid w:val="00657565"/>
    <w:rsid w:val="00657777"/>
    <w:rsid w:val="00657A72"/>
    <w:rsid w:val="00657FF8"/>
    <w:rsid w:val="00661765"/>
    <w:rsid w:val="006617BC"/>
    <w:rsid w:val="00662988"/>
    <w:rsid w:val="00662ABA"/>
    <w:rsid w:val="0066485E"/>
    <w:rsid w:val="00664D4C"/>
    <w:rsid w:val="006651F4"/>
    <w:rsid w:val="00665426"/>
    <w:rsid w:val="006656FA"/>
    <w:rsid w:val="0066593A"/>
    <w:rsid w:val="00665C61"/>
    <w:rsid w:val="00665E1F"/>
    <w:rsid w:val="006672BE"/>
    <w:rsid w:val="00667846"/>
    <w:rsid w:val="00670419"/>
    <w:rsid w:val="00670D99"/>
    <w:rsid w:val="00670E2B"/>
    <w:rsid w:val="00670EB4"/>
    <w:rsid w:val="00671330"/>
    <w:rsid w:val="006721F1"/>
    <w:rsid w:val="0067285B"/>
    <w:rsid w:val="00672B52"/>
    <w:rsid w:val="006734BB"/>
    <w:rsid w:val="00673A4E"/>
    <w:rsid w:val="00674601"/>
    <w:rsid w:val="00675C76"/>
    <w:rsid w:val="00675E49"/>
    <w:rsid w:val="0067604A"/>
    <w:rsid w:val="00677212"/>
    <w:rsid w:val="00677A8B"/>
    <w:rsid w:val="00677E5A"/>
    <w:rsid w:val="006804DD"/>
    <w:rsid w:val="00680AC4"/>
    <w:rsid w:val="006810A1"/>
    <w:rsid w:val="00681A34"/>
    <w:rsid w:val="006821EB"/>
    <w:rsid w:val="006829DE"/>
    <w:rsid w:val="00682A27"/>
    <w:rsid w:val="006830D6"/>
    <w:rsid w:val="006832AE"/>
    <w:rsid w:val="0068343B"/>
    <w:rsid w:val="0068388F"/>
    <w:rsid w:val="0068423E"/>
    <w:rsid w:val="006848BF"/>
    <w:rsid w:val="00684AA1"/>
    <w:rsid w:val="006852F0"/>
    <w:rsid w:val="00685377"/>
    <w:rsid w:val="00685D76"/>
    <w:rsid w:val="0068664D"/>
    <w:rsid w:val="00686905"/>
    <w:rsid w:val="00686ABA"/>
    <w:rsid w:val="0068703E"/>
    <w:rsid w:val="006879EF"/>
    <w:rsid w:val="00690184"/>
    <w:rsid w:val="006902C0"/>
    <w:rsid w:val="00690785"/>
    <w:rsid w:val="00690BAE"/>
    <w:rsid w:val="006915E4"/>
    <w:rsid w:val="00691C20"/>
    <w:rsid w:val="006922FE"/>
    <w:rsid w:val="006927A2"/>
    <w:rsid w:val="0069372C"/>
    <w:rsid w:val="0069488E"/>
    <w:rsid w:val="00694998"/>
    <w:rsid w:val="00696320"/>
    <w:rsid w:val="006966E0"/>
    <w:rsid w:val="00696D13"/>
    <w:rsid w:val="006973D7"/>
    <w:rsid w:val="006A0597"/>
    <w:rsid w:val="006A06E7"/>
    <w:rsid w:val="006A0A43"/>
    <w:rsid w:val="006A35BF"/>
    <w:rsid w:val="006A3B8C"/>
    <w:rsid w:val="006A48E5"/>
    <w:rsid w:val="006A4B38"/>
    <w:rsid w:val="006A4DBA"/>
    <w:rsid w:val="006A5B8D"/>
    <w:rsid w:val="006A5E48"/>
    <w:rsid w:val="006A746E"/>
    <w:rsid w:val="006A7603"/>
    <w:rsid w:val="006B08F2"/>
    <w:rsid w:val="006B0BB7"/>
    <w:rsid w:val="006B0C15"/>
    <w:rsid w:val="006B0FD5"/>
    <w:rsid w:val="006B1458"/>
    <w:rsid w:val="006B1706"/>
    <w:rsid w:val="006B20DF"/>
    <w:rsid w:val="006B2165"/>
    <w:rsid w:val="006B2286"/>
    <w:rsid w:val="006B25CD"/>
    <w:rsid w:val="006B2EC2"/>
    <w:rsid w:val="006B3243"/>
    <w:rsid w:val="006B3905"/>
    <w:rsid w:val="006B469A"/>
    <w:rsid w:val="006B4BD9"/>
    <w:rsid w:val="006B4E47"/>
    <w:rsid w:val="006B4F6C"/>
    <w:rsid w:val="006B56BB"/>
    <w:rsid w:val="006B5ADC"/>
    <w:rsid w:val="006B5B88"/>
    <w:rsid w:val="006B6508"/>
    <w:rsid w:val="006B7C28"/>
    <w:rsid w:val="006C0D84"/>
    <w:rsid w:val="006C0E6E"/>
    <w:rsid w:val="006C1A96"/>
    <w:rsid w:val="006C24E8"/>
    <w:rsid w:val="006C32A2"/>
    <w:rsid w:val="006C38C4"/>
    <w:rsid w:val="006C39B4"/>
    <w:rsid w:val="006C3B4C"/>
    <w:rsid w:val="006C3CAF"/>
    <w:rsid w:val="006C43B4"/>
    <w:rsid w:val="006C4EF6"/>
    <w:rsid w:val="006C592B"/>
    <w:rsid w:val="006C5AC9"/>
    <w:rsid w:val="006C5E18"/>
    <w:rsid w:val="006C6C11"/>
    <w:rsid w:val="006C6E5B"/>
    <w:rsid w:val="006C77A8"/>
    <w:rsid w:val="006C7946"/>
    <w:rsid w:val="006C7A85"/>
    <w:rsid w:val="006D00B4"/>
    <w:rsid w:val="006D145C"/>
    <w:rsid w:val="006D1614"/>
    <w:rsid w:val="006D1AC1"/>
    <w:rsid w:val="006D2E54"/>
    <w:rsid w:val="006D3C98"/>
    <w:rsid w:val="006D3E4F"/>
    <w:rsid w:val="006D4098"/>
    <w:rsid w:val="006D4364"/>
    <w:rsid w:val="006D4BE4"/>
    <w:rsid w:val="006D4CB2"/>
    <w:rsid w:val="006D4EDB"/>
    <w:rsid w:val="006D53D3"/>
    <w:rsid w:val="006D5569"/>
    <w:rsid w:val="006D5CB0"/>
    <w:rsid w:val="006D6ADE"/>
    <w:rsid w:val="006D718E"/>
    <w:rsid w:val="006D7465"/>
    <w:rsid w:val="006D7681"/>
    <w:rsid w:val="006D7B2E"/>
    <w:rsid w:val="006E02EA"/>
    <w:rsid w:val="006E0720"/>
    <w:rsid w:val="006E0968"/>
    <w:rsid w:val="006E0B47"/>
    <w:rsid w:val="006E0CE7"/>
    <w:rsid w:val="006E1476"/>
    <w:rsid w:val="006E1B87"/>
    <w:rsid w:val="006E1DC1"/>
    <w:rsid w:val="006E1EFA"/>
    <w:rsid w:val="006E211A"/>
    <w:rsid w:val="006E25CA"/>
    <w:rsid w:val="006E2AF6"/>
    <w:rsid w:val="006E3A71"/>
    <w:rsid w:val="006E3DD7"/>
    <w:rsid w:val="006E4324"/>
    <w:rsid w:val="006E4677"/>
    <w:rsid w:val="006E4B0C"/>
    <w:rsid w:val="006E4CA9"/>
    <w:rsid w:val="006E4EB1"/>
    <w:rsid w:val="006E5833"/>
    <w:rsid w:val="006E5D3A"/>
    <w:rsid w:val="006E5FD7"/>
    <w:rsid w:val="006E628D"/>
    <w:rsid w:val="006E6574"/>
    <w:rsid w:val="006E6BF6"/>
    <w:rsid w:val="006E6EA7"/>
    <w:rsid w:val="006E7360"/>
    <w:rsid w:val="006E7A32"/>
    <w:rsid w:val="006E7F4F"/>
    <w:rsid w:val="006F0189"/>
    <w:rsid w:val="006F07E0"/>
    <w:rsid w:val="006F1750"/>
    <w:rsid w:val="006F1F00"/>
    <w:rsid w:val="006F2F59"/>
    <w:rsid w:val="006F33F2"/>
    <w:rsid w:val="006F4239"/>
    <w:rsid w:val="006F4925"/>
    <w:rsid w:val="006F4BA0"/>
    <w:rsid w:val="006F50DF"/>
    <w:rsid w:val="006F5CAF"/>
    <w:rsid w:val="006F6338"/>
    <w:rsid w:val="006F6596"/>
    <w:rsid w:val="006F7037"/>
    <w:rsid w:val="006F777F"/>
    <w:rsid w:val="006F77CC"/>
    <w:rsid w:val="00700488"/>
    <w:rsid w:val="007010F3"/>
    <w:rsid w:val="00701174"/>
    <w:rsid w:val="00701275"/>
    <w:rsid w:val="00702094"/>
    <w:rsid w:val="00702464"/>
    <w:rsid w:val="007025AF"/>
    <w:rsid w:val="007046A7"/>
    <w:rsid w:val="00704CEA"/>
    <w:rsid w:val="00704E27"/>
    <w:rsid w:val="007056FD"/>
    <w:rsid w:val="00705FA6"/>
    <w:rsid w:val="007060F5"/>
    <w:rsid w:val="007061E9"/>
    <w:rsid w:val="0070692A"/>
    <w:rsid w:val="00707F56"/>
    <w:rsid w:val="007102F1"/>
    <w:rsid w:val="00710734"/>
    <w:rsid w:val="0071121A"/>
    <w:rsid w:val="00711DE8"/>
    <w:rsid w:val="00712316"/>
    <w:rsid w:val="00712EEB"/>
    <w:rsid w:val="00712FFF"/>
    <w:rsid w:val="00713558"/>
    <w:rsid w:val="007137C9"/>
    <w:rsid w:val="007138C8"/>
    <w:rsid w:val="0071434B"/>
    <w:rsid w:val="0071516B"/>
    <w:rsid w:val="00715764"/>
    <w:rsid w:val="00716464"/>
    <w:rsid w:val="007165F9"/>
    <w:rsid w:val="00716C5D"/>
    <w:rsid w:val="00717B4B"/>
    <w:rsid w:val="007201E7"/>
    <w:rsid w:val="00720304"/>
    <w:rsid w:val="00720472"/>
    <w:rsid w:val="00720D08"/>
    <w:rsid w:val="00721654"/>
    <w:rsid w:val="007219C9"/>
    <w:rsid w:val="00721D95"/>
    <w:rsid w:val="007223AE"/>
    <w:rsid w:val="00724CA8"/>
    <w:rsid w:val="007263B9"/>
    <w:rsid w:val="00726FA2"/>
    <w:rsid w:val="00727713"/>
    <w:rsid w:val="007302AB"/>
    <w:rsid w:val="007302D3"/>
    <w:rsid w:val="007308B3"/>
    <w:rsid w:val="00730E3D"/>
    <w:rsid w:val="007313AA"/>
    <w:rsid w:val="00732615"/>
    <w:rsid w:val="00732872"/>
    <w:rsid w:val="00732F1C"/>
    <w:rsid w:val="007334C6"/>
    <w:rsid w:val="007334F8"/>
    <w:rsid w:val="0073383F"/>
    <w:rsid w:val="007338C0"/>
    <w:rsid w:val="007339CD"/>
    <w:rsid w:val="0073410C"/>
    <w:rsid w:val="0073428E"/>
    <w:rsid w:val="00734F12"/>
    <w:rsid w:val="007359D8"/>
    <w:rsid w:val="00735D33"/>
    <w:rsid w:val="007362D4"/>
    <w:rsid w:val="007367CB"/>
    <w:rsid w:val="00736E95"/>
    <w:rsid w:val="0073707D"/>
    <w:rsid w:val="007379E5"/>
    <w:rsid w:val="00737A28"/>
    <w:rsid w:val="00737CAE"/>
    <w:rsid w:val="0074010D"/>
    <w:rsid w:val="00741439"/>
    <w:rsid w:val="00741E6A"/>
    <w:rsid w:val="00742591"/>
    <w:rsid w:val="00744649"/>
    <w:rsid w:val="00744FA5"/>
    <w:rsid w:val="00745BE9"/>
    <w:rsid w:val="00746464"/>
    <w:rsid w:val="0074773E"/>
    <w:rsid w:val="00747DDB"/>
    <w:rsid w:val="00750045"/>
    <w:rsid w:val="0075124B"/>
    <w:rsid w:val="00751921"/>
    <w:rsid w:val="00751A23"/>
    <w:rsid w:val="007525D3"/>
    <w:rsid w:val="00752CBC"/>
    <w:rsid w:val="00752EF0"/>
    <w:rsid w:val="007533B1"/>
    <w:rsid w:val="007534DF"/>
    <w:rsid w:val="00753D3D"/>
    <w:rsid w:val="00754435"/>
    <w:rsid w:val="007545F3"/>
    <w:rsid w:val="007563AD"/>
    <w:rsid w:val="007564B4"/>
    <w:rsid w:val="00756FFA"/>
    <w:rsid w:val="0075788B"/>
    <w:rsid w:val="00757F24"/>
    <w:rsid w:val="0076091E"/>
    <w:rsid w:val="00761326"/>
    <w:rsid w:val="007617FE"/>
    <w:rsid w:val="0076187B"/>
    <w:rsid w:val="00761C50"/>
    <w:rsid w:val="00761E68"/>
    <w:rsid w:val="00761FB4"/>
    <w:rsid w:val="00763764"/>
    <w:rsid w:val="007638B0"/>
    <w:rsid w:val="00764028"/>
    <w:rsid w:val="007640D4"/>
    <w:rsid w:val="00764DE7"/>
    <w:rsid w:val="0076536A"/>
    <w:rsid w:val="00765EC0"/>
    <w:rsid w:val="00766168"/>
    <w:rsid w:val="0076647B"/>
    <w:rsid w:val="007665D3"/>
    <w:rsid w:val="0076672A"/>
    <w:rsid w:val="007707D4"/>
    <w:rsid w:val="007708C6"/>
    <w:rsid w:val="00770D04"/>
    <w:rsid w:val="007712C1"/>
    <w:rsid w:val="00772E89"/>
    <w:rsid w:val="00773DD9"/>
    <w:rsid w:val="00773DED"/>
    <w:rsid w:val="007743F1"/>
    <w:rsid w:val="0077475C"/>
    <w:rsid w:val="00774FCB"/>
    <w:rsid w:val="00775AA9"/>
    <w:rsid w:val="00775BF4"/>
    <w:rsid w:val="00775CE4"/>
    <w:rsid w:val="00775DA5"/>
    <w:rsid w:val="00775E45"/>
    <w:rsid w:val="00776132"/>
    <w:rsid w:val="00776523"/>
    <w:rsid w:val="00776B9F"/>
    <w:rsid w:val="00776DB7"/>
    <w:rsid w:val="00776E74"/>
    <w:rsid w:val="0077734F"/>
    <w:rsid w:val="0078034F"/>
    <w:rsid w:val="007810C2"/>
    <w:rsid w:val="0078169B"/>
    <w:rsid w:val="00781FBF"/>
    <w:rsid w:val="00782105"/>
    <w:rsid w:val="00782BFC"/>
    <w:rsid w:val="007832EC"/>
    <w:rsid w:val="00784BD9"/>
    <w:rsid w:val="00784E21"/>
    <w:rsid w:val="00785006"/>
    <w:rsid w:val="00785169"/>
    <w:rsid w:val="007858D4"/>
    <w:rsid w:val="00785F60"/>
    <w:rsid w:val="00786AC8"/>
    <w:rsid w:val="00786B2C"/>
    <w:rsid w:val="00786D66"/>
    <w:rsid w:val="007902FC"/>
    <w:rsid w:val="00790D06"/>
    <w:rsid w:val="00790D67"/>
    <w:rsid w:val="00792219"/>
    <w:rsid w:val="007928DC"/>
    <w:rsid w:val="00792BB1"/>
    <w:rsid w:val="00792EC5"/>
    <w:rsid w:val="00793B48"/>
    <w:rsid w:val="00793B54"/>
    <w:rsid w:val="0079461B"/>
    <w:rsid w:val="007954AB"/>
    <w:rsid w:val="00797513"/>
    <w:rsid w:val="007A05CB"/>
    <w:rsid w:val="007A0BD0"/>
    <w:rsid w:val="007A128D"/>
    <w:rsid w:val="007A14C5"/>
    <w:rsid w:val="007A156C"/>
    <w:rsid w:val="007A2180"/>
    <w:rsid w:val="007A3926"/>
    <w:rsid w:val="007A3C0A"/>
    <w:rsid w:val="007A3C4D"/>
    <w:rsid w:val="007A3E38"/>
    <w:rsid w:val="007A3FCA"/>
    <w:rsid w:val="007A4A10"/>
    <w:rsid w:val="007A4FA2"/>
    <w:rsid w:val="007A525A"/>
    <w:rsid w:val="007A53AF"/>
    <w:rsid w:val="007A53E2"/>
    <w:rsid w:val="007A5C9C"/>
    <w:rsid w:val="007A69AF"/>
    <w:rsid w:val="007A6CBE"/>
    <w:rsid w:val="007A7345"/>
    <w:rsid w:val="007A7B91"/>
    <w:rsid w:val="007B03C6"/>
    <w:rsid w:val="007B0B79"/>
    <w:rsid w:val="007B1760"/>
    <w:rsid w:val="007B226B"/>
    <w:rsid w:val="007B2931"/>
    <w:rsid w:val="007B3787"/>
    <w:rsid w:val="007B381B"/>
    <w:rsid w:val="007B4746"/>
    <w:rsid w:val="007B6A59"/>
    <w:rsid w:val="007B6CAA"/>
    <w:rsid w:val="007B74C8"/>
    <w:rsid w:val="007B75CE"/>
    <w:rsid w:val="007C05E2"/>
    <w:rsid w:val="007C0E20"/>
    <w:rsid w:val="007C2901"/>
    <w:rsid w:val="007C2ED4"/>
    <w:rsid w:val="007C34DE"/>
    <w:rsid w:val="007C3D7B"/>
    <w:rsid w:val="007C468D"/>
    <w:rsid w:val="007C485E"/>
    <w:rsid w:val="007C5AE4"/>
    <w:rsid w:val="007C5FB1"/>
    <w:rsid w:val="007C63C8"/>
    <w:rsid w:val="007C689F"/>
    <w:rsid w:val="007C6D9C"/>
    <w:rsid w:val="007C7003"/>
    <w:rsid w:val="007C79E2"/>
    <w:rsid w:val="007C79F0"/>
    <w:rsid w:val="007C7AC0"/>
    <w:rsid w:val="007C7DDB"/>
    <w:rsid w:val="007D03B5"/>
    <w:rsid w:val="007D14B4"/>
    <w:rsid w:val="007D151A"/>
    <w:rsid w:val="007D2CC7"/>
    <w:rsid w:val="007D2D1C"/>
    <w:rsid w:val="007D3922"/>
    <w:rsid w:val="007D404F"/>
    <w:rsid w:val="007D581B"/>
    <w:rsid w:val="007D5C23"/>
    <w:rsid w:val="007D6623"/>
    <w:rsid w:val="007D673D"/>
    <w:rsid w:val="007D6DFE"/>
    <w:rsid w:val="007D70FC"/>
    <w:rsid w:val="007D7198"/>
    <w:rsid w:val="007E046F"/>
    <w:rsid w:val="007E088B"/>
    <w:rsid w:val="007E19DF"/>
    <w:rsid w:val="007E1DD0"/>
    <w:rsid w:val="007E236A"/>
    <w:rsid w:val="007E252F"/>
    <w:rsid w:val="007E27A3"/>
    <w:rsid w:val="007E281E"/>
    <w:rsid w:val="007E2BA6"/>
    <w:rsid w:val="007E3586"/>
    <w:rsid w:val="007E4139"/>
    <w:rsid w:val="007E4643"/>
    <w:rsid w:val="007E4725"/>
    <w:rsid w:val="007E54D4"/>
    <w:rsid w:val="007E5BE9"/>
    <w:rsid w:val="007E5D27"/>
    <w:rsid w:val="007E5FA5"/>
    <w:rsid w:val="007E6823"/>
    <w:rsid w:val="007F0EB7"/>
    <w:rsid w:val="007F2220"/>
    <w:rsid w:val="007F2788"/>
    <w:rsid w:val="007F430D"/>
    <w:rsid w:val="007F45E7"/>
    <w:rsid w:val="007F4B3E"/>
    <w:rsid w:val="007F4CCF"/>
    <w:rsid w:val="007F588A"/>
    <w:rsid w:val="007F6BA5"/>
    <w:rsid w:val="007F74E9"/>
    <w:rsid w:val="007F76CD"/>
    <w:rsid w:val="007F7874"/>
    <w:rsid w:val="0080036E"/>
    <w:rsid w:val="008013A8"/>
    <w:rsid w:val="008015B5"/>
    <w:rsid w:val="0080161C"/>
    <w:rsid w:val="008018CE"/>
    <w:rsid w:val="00801D38"/>
    <w:rsid w:val="00802BF2"/>
    <w:rsid w:val="00802EC9"/>
    <w:rsid w:val="00803075"/>
    <w:rsid w:val="008038AC"/>
    <w:rsid w:val="00804344"/>
    <w:rsid w:val="00804355"/>
    <w:rsid w:val="008053E7"/>
    <w:rsid w:val="00805E2B"/>
    <w:rsid w:val="00805E61"/>
    <w:rsid w:val="00806543"/>
    <w:rsid w:val="00806726"/>
    <w:rsid w:val="008067A0"/>
    <w:rsid w:val="00807A13"/>
    <w:rsid w:val="008105DA"/>
    <w:rsid w:val="00810E62"/>
    <w:rsid w:val="00811517"/>
    <w:rsid w:val="00811700"/>
    <w:rsid w:val="00811C97"/>
    <w:rsid w:val="00811E09"/>
    <w:rsid w:val="0081264E"/>
    <w:rsid w:val="008127AF"/>
    <w:rsid w:val="00812B46"/>
    <w:rsid w:val="00813090"/>
    <w:rsid w:val="00813A0C"/>
    <w:rsid w:val="00815700"/>
    <w:rsid w:val="0081597B"/>
    <w:rsid w:val="00816AA4"/>
    <w:rsid w:val="00816FA3"/>
    <w:rsid w:val="00817546"/>
    <w:rsid w:val="00817B70"/>
    <w:rsid w:val="008205D6"/>
    <w:rsid w:val="0082074E"/>
    <w:rsid w:val="00822591"/>
    <w:rsid w:val="008228DE"/>
    <w:rsid w:val="008234C1"/>
    <w:rsid w:val="00823E36"/>
    <w:rsid w:val="00824041"/>
    <w:rsid w:val="0082524C"/>
    <w:rsid w:val="0082529D"/>
    <w:rsid w:val="008255F5"/>
    <w:rsid w:val="0082572A"/>
    <w:rsid w:val="008264EB"/>
    <w:rsid w:val="00826B8F"/>
    <w:rsid w:val="00827EEE"/>
    <w:rsid w:val="008309AE"/>
    <w:rsid w:val="00830B8D"/>
    <w:rsid w:val="00830BFE"/>
    <w:rsid w:val="008316A7"/>
    <w:rsid w:val="00831E8A"/>
    <w:rsid w:val="008323A7"/>
    <w:rsid w:val="00832B7D"/>
    <w:rsid w:val="008350BB"/>
    <w:rsid w:val="008352DA"/>
    <w:rsid w:val="00835C76"/>
    <w:rsid w:val="00836BFA"/>
    <w:rsid w:val="00837180"/>
    <w:rsid w:val="0083743B"/>
    <w:rsid w:val="008374BE"/>
    <w:rsid w:val="00837D7B"/>
    <w:rsid w:val="00837FD5"/>
    <w:rsid w:val="0084001F"/>
    <w:rsid w:val="00841111"/>
    <w:rsid w:val="008413BB"/>
    <w:rsid w:val="00841403"/>
    <w:rsid w:val="008415B4"/>
    <w:rsid w:val="00841D5C"/>
    <w:rsid w:val="00842009"/>
    <w:rsid w:val="00843049"/>
    <w:rsid w:val="00844B68"/>
    <w:rsid w:val="00845721"/>
    <w:rsid w:val="00845ADB"/>
    <w:rsid w:val="00845B05"/>
    <w:rsid w:val="00845BA9"/>
    <w:rsid w:val="00845EE5"/>
    <w:rsid w:val="00846633"/>
    <w:rsid w:val="00846E93"/>
    <w:rsid w:val="00847110"/>
    <w:rsid w:val="00847514"/>
    <w:rsid w:val="00847EE7"/>
    <w:rsid w:val="00850072"/>
    <w:rsid w:val="008505C5"/>
    <w:rsid w:val="008507D8"/>
    <w:rsid w:val="00850AF2"/>
    <w:rsid w:val="00850D76"/>
    <w:rsid w:val="008517A6"/>
    <w:rsid w:val="00851A72"/>
    <w:rsid w:val="0085209B"/>
    <w:rsid w:val="008523D1"/>
    <w:rsid w:val="008534A6"/>
    <w:rsid w:val="00854349"/>
    <w:rsid w:val="008552AF"/>
    <w:rsid w:val="00855A7D"/>
    <w:rsid w:val="00855D76"/>
    <w:rsid w:val="00855F14"/>
    <w:rsid w:val="00856659"/>
    <w:rsid w:val="008568D2"/>
    <w:rsid w:val="00856B5D"/>
    <w:rsid w:val="00856B66"/>
    <w:rsid w:val="00856C10"/>
    <w:rsid w:val="00856EA0"/>
    <w:rsid w:val="00857879"/>
    <w:rsid w:val="00857D0C"/>
    <w:rsid w:val="00857F92"/>
    <w:rsid w:val="008601CE"/>
    <w:rsid w:val="008601F9"/>
    <w:rsid w:val="00860CC1"/>
    <w:rsid w:val="00860DAE"/>
    <w:rsid w:val="00861A5F"/>
    <w:rsid w:val="00862289"/>
    <w:rsid w:val="00862940"/>
    <w:rsid w:val="00864253"/>
    <w:rsid w:val="008644AD"/>
    <w:rsid w:val="0086544B"/>
    <w:rsid w:val="00865735"/>
    <w:rsid w:val="00865DDB"/>
    <w:rsid w:val="00866872"/>
    <w:rsid w:val="00867538"/>
    <w:rsid w:val="0086765D"/>
    <w:rsid w:val="00867965"/>
    <w:rsid w:val="00867FC3"/>
    <w:rsid w:val="008714C0"/>
    <w:rsid w:val="008718D2"/>
    <w:rsid w:val="00871FEB"/>
    <w:rsid w:val="00872230"/>
    <w:rsid w:val="008722A2"/>
    <w:rsid w:val="00872711"/>
    <w:rsid w:val="00873049"/>
    <w:rsid w:val="00873167"/>
    <w:rsid w:val="00873930"/>
    <w:rsid w:val="00873CE3"/>
    <w:rsid w:val="00873D90"/>
    <w:rsid w:val="00873FC8"/>
    <w:rsid w:val="0087417B"/>
    <w:rsid w:val="0087437A"/>
    <w:rsid w:val="008766F0"/>
    <w:rsid w:val="0087681D"/>
    <w:rsid w:val="00877018"/>
    <w:rsid w:val="008810C8"/>
    <w:rsid w:val="00881BD3"/>
    <w:rsid w:val="00882066"/>
    <w:rsid w:val="008820F5"/>
    <w:rsid w:val="00882472"/>
    <w:rsid w:val="0088273A"/>
    <w:rsid w:val="00882B9C"/>
    <w:rsid w:val="0088379E"/>
    <w:rsid w:val="00883B7B"/>
    <w:rsid w:val="008845A5"/>
    <w:rsid w:val="00884C63"/>
    <w:rsid w:val="00884CE2"/>
    <w:rsid w:val="00884EEB"/>
    <w:rsid w:val="00885347"/>
    <w:rsid w:val="00885575"/>
    <w:rsid w:val="00885908"/>
    <w:rsid w:val="00885B89"/>
    <w:rsid w:val="008864B7"/>
    <w:rsid w:val="00886B49"/>
    <w:rsid w:val="00886C03"/>
    <w:rsid w:val="00891EEA"/>
    <w:rsid w:val="00893743"/>
    <w:rsid w:val="00893BA4"/>
    <w:rsid w:val="00894B36"/>
    <w:rsid w:val="00895C88"/>
    <w:rsid w:val="0089677E"/>
    <w:rsid w:val="00896AED"/>
    <w:rsid w:val="00896BD2"/>
    <w:rsid w:val="00896E8C"/>
    <w:rsid w:val="008971AC"/>
    <w:rsid w:val="00897EDF"/>
    <w:rsid w:val="008A08EB"/>
    <w:rsid w:val="008A1231"/>
    <w:rsid w:val="008A1241"/>
    <w:rsid w:val="008A138D"/>
    <w:rsid w:val="008A1F86"/>
    <w:rsid w:val="008A2C53"/>
    <w:rsid w:val="008A36EA"/>
    <w:rsid w:val="008A545F"/>
    <w:rsid w:val="008A6543"/>
    <w:rsid w:val="008A6B24"/>
    <w:rsid w:val="008A6B6F"/>
    <w:rsid w:val="008A73AD"/>
    <w:rsid w:val="008A7438"/>
    <w:rsid w:val="008A7F9A"/>
    <w:rsid w:val="008B099B"/>
    <w:rsid w:val="008B0A3A"/>
    <w:rsid w:val="008B1334"/>
    <w:rsid w:val="008B283D"/>
    <w:rsid w:val="008B2B20"/>
    <w:rsid w:val="008B2D61"/>
    <w:rsid w:val="008B2EC3"/>
    <w:rsid w:val="008B39CC"/>
    <w:rsid w:val="008B420F"/>
    <w:rsid w:val="008B5BB4"/>
    <w:rsid w:val="008B5C75"/>
    <w:rsid w:val="008B6F23"/>
    <w:rsid w:val="008B6F44"/>
    <w:rsid w:val="008B75F0"/>
    <w:rsid w:val="008B7F7F"/>
    <w:rsid w:val="008B7FB0"/>
    <w:rsid w:val="008C0278"/>
    <w:rsid w:val="008C050B"/>
    <w:rsid w:val="008C0C52"/>
    <w:rsid w:val="008C111E"/>
    <w:rsid w:val="008C146D"/>
    <w:rsid w:val="008C1A99"/>
    <w:rsid w:val="008C201E"/>
    <w:rsid w:val="008C216F"/>
    <w:rsid w:val="008C2330"/>
    <w:rsid w:val="008C24E9"/>
    <w:rsid w:val="008C2620"/>
    <w:rsid w:val="008C2F96"/>
    <w:rsid w:val="008C3AE1"/>
    <w:rsid w:val="008C3D91"/>
    <w:rsid w:val="008C4D64"/>
    <w:rsid w:val="008C5CE9"/>
    <w:rsid w:val="008C6052"/>
    <w:rsid w:val="008C6761"/>
    <w:rsid w:val="008C7007"/>
    <w:rsid w:val="008C782D"/>
    <w:rsid w:val="008C7EFC"/>
    <w:rsid w:val="008C7FFB"/>
    <w:rsid w:val="008D03E0"/>
    <w:rsid w:val="008D0533"/>
    <w:rsid w:val="008D1684"/>
    <w:rsid w:val="008D2B3A"/>
    <w:rsid w:val="008D4084"/>
    <w:rsid w:val="008D42CB"/>
    <w:rsid w:val="008D43A4"/>
    <w:rsid w:val="008D48C9"/>
    <w:rsid w:val="008D493B"/>
    <w:rsid w:val="008D5B75"/>
    <w:rsid w:val="008D5B79"/>
    <w:rsid w:val="008D629C"/>
    <w:rsid w:val="008D6381"/>
    <w:rsid w:val="008D68AC"/>
    <w:rsid w:val="008D6A86"/>
    <w:rsid w:val="008D72BE"/>
    <w:rsid w:val="008D7C16"/>
    <w:rsid w:val="008E0C77"/>
    <w:rsid w:val="008E134B"/>
    <w:rsid w:val="008E2264"/>
    <w:rsid w:val="008E2563"/>
    <w:rsid w:val="008E3C08"/>
    <w:rsid w:val="008E44F1"/>
    <w:rsid w:val="008E492A"/>
    <w:rsid w:val="008E4EF8"/>
    <w:rsid w:val="008E4FB2"/>
    <w:rsid w:val="008E5DDE"/>
    <w:rsid w:val="008E5DE4"/>
    <w:rsid w:val="008E6039"/>
    <w:rsid w:val="008E625F"/>
    <w:rsid w:val="008E6B66"/>
    <w:rsid w:val="008E7492"/>
    <w:rsid w:val="008E78E2"/>
    <w:rsid w:val="008F0B29"/>
    <w:rsid w:val="008F1D01"/>
    <w:rsid w:val="008F225D"/>
    <w:rsid w:val="008F264D"/>
    <w:rsid w:val="008F27E4"/>
    <w:rsid w:val="008F2901"/>
    <w:rsid w:val="008F2DD5"/>
    <w:rsid w:val="008F37EE"/>
    <w:rsid w:val="008F3D8F"/>
    <w:rsid w:val="008F5E3F"/>
    <w:rsid w:val="008F6369"/>
    <w:rsid w:val="008F673C"/>
    <w:rsid w:val="008F695E"/>
    <w:rsid w:val="008F6B43"/>
    <w:rsid w:val="008F7697"/>
    <w:rsid w:val="008F7AB5"/>
    <w:rsid w:val="009007B9"/>
    <w:rsid w:val="00900B48"/>
    <w:rsid w:val="00901440"/>
    <w:rsid w:val="00902C5B"/>
    <w:rsid w:val="00904053"/>
    <w:rsid w:val="00904B82"/>
    <w:rsid w:val="00905419"/>
    <w:rsid w:val="00905C9E"/>
    <w:rsid w:val="00905F6A"/>
    <w:rsid w:val="009068A6"/>
    <w:rsid w:val="00906CAA"/>
    <w:rsid w:val="00906CEF"/>
    <w:rsid w:val="00906D9E"/>
    <w:rsid w:val="00906DA2"/>
    <w:rsid w:val="00906FD8"/>
    <w:rsid w:val="009074E1"/>
    <w:rsid w:val="00907FDB"/>
    <w:rsid w:val="00910058"/>
    <w:rsid w:val="00910267"/>
    <w:rsid w:val="0091079D"/>
    <w:rsid w:val="00910D84"/>
    <w:rsid w:val="00911078"/>
    <w:rsid w:val="009112F7"/>
    <w:rsid w:val="00911F52"/>
    <w:rsid w:val="009122AF"/>
    <w:rsid w:val="0091267B"/>
    <w:rsid w:val="00912798"/>
    <w:rsid w:val="009127BC"/>
    <w:rsid w:val="009129F2"/>
    <w:rsid w:val="00912D54"/>
    <w:rsid w:val="0091373E"/>
    <w:rsid w:val="0091389F"/>
    <w:rsid w:val="00913EE0"/>
    <w:rsid w:val="009154F5"/>
    <w:rsid w:val="009158E1"/>
    <w:rsid w:val="00915AEB"/>
    <w:rsid w:val="009201EB"/>
    <w:rsid w:val="0092073A"/>
    <w:rsid w:val="009208F7"/>
    <w:rsid w:val="00921691"/>
    <w:rsid w:val="00921DD7"/>
    <w:rsid w:val="00922517"/>
    <w:rsid w:val="0092259C"/>
    <w:rsid w:val="00922722"/>
    <w:rsid w:val="00924424"/>
    <w:rsid w:val="00924AC3"/>
    <w:rsid w:val="00924AC9"/>
    <w:rsid w:val="00925007"/>
    <w:rsid w:val="00925149"/>
    <w:rsid w:val="009257E3"/>
    <w:rsid w:val="00925A21"/>
    <w:rsid w:val="00925AFE"/>
    <w:rsid w:val="00925C67"/>
    <w:rsid w:val="009261E6"/>
    <w:rsid w:val="00926344"/>
    <w:rsid w:val="009268E1"/>
    <w:rsid w:val="00927923"/>
    <w:rsid w:val="0093092A"/>
    <w:rsid w:val="00930AEA"/>
    <w:rsid w:val="00932309"/>
    <w:rsid w:val="0093235A"/>
    <w:rsid w:val="009323F5"/>
    <w:rsid w:val="0093271C"/>
    <w:rsid w:val="00932D68"/>
    <w:rsid w:val="00932ECB"/>
    <w:rsid w:val="00933164"/>
    <w:rsid w:val="00933B6A"/>
    <w:rsid w:val="00933CCF"/>
    <w:rsid w:val="00933FA2"/>
    <w:rsid w:val="0093430D"/>
    <w:rsid w:val="00934ADD"/>
    <w:rsid w:val="00935189"/>
    <w:rsid w:val="00935653"/>
    <w:rsid w:val="009359EA"/>
    <w:rsid w:val="00935DFA"/>
    <w:rsid w:val="009376FB"/>
    <w:rsid w:val="009401B9"/>
    <w:rsid w:val="009402FE"/>
    <w:rsid w:val="009413E1"/>
    <w:rsid w:val="009427CB"/>
    <w:rsid w:val="009432F2"/>
    <w:rsid w:val="009433B1"/>
    <w:rsid w:val="00945E7F"/>
    <w:rsid w:val="009462E6"/>
    <w:rsid w:val="00946A57"/>
    <w:rsid w:val="00947582"/>
    <w:rsid w:val="00947A33"/>
    <w:rsid w:val="00950B7B"/>
    <w:rsid w:val="009519C0"/>
    <w:rsid w:val="0095256E"/>
    <w:rsid w:val="009528BE"/>
    <w:rsid w:val="009539F4"/>
    <w:rsid w:val="00953E43"/>
    <w:rsid w:val="00954F22"/>
    <w:rsid w:val="009557C1"/>
    <w:rsid w:val="00956566"/>
    <w:rsid w:val="00956A31"/>
    <w:rsid w:val="00956A5A"/>
    <w:rsid w:val="009572C2"/>
    <w:rsid w:val="00957BF2"/>
    <w:rsid w:val="00960311"/>
    <w:rsid w:val="009609A6"/>
    <w:rsid w:val="00960BE2"/>
    <w:rsid w:val="00960D6E"/>
    <w:rsid w:val="00961442"/>
    <w:rsid w:val="009619E1"/>
    <w:rsid w:val="0096202D"/>
    <w:rsid w:val="0096227E"/>
    <w:rsid w:val="00962654"/>
    <w:rsid w:val="0096309B"/>
    <w:rsid w:val="00963B90"/>
    <w:rsid w:val="00963DAC"/>
    <w:rsid w:val="00964E49"/>
    <w:rsid w:val="0096523C"/>
    <w:rsid w:val="00965659"/>
    <w:rsid w:val="00965F88"/>
    <w:rsid w:val="00966866"/>
    <w:rsid w:val="00967D9D"/>
    <w:rsid w:val="009702FD"/>
    <w:rsid w:val="009713A9"/>
    <w:rsid w:val="00972227"/>
    <w:rsid w:val="00972BC1"/>
    <w:rsid w:val="009730AC"/>
    <w:rsid w:val="0097417D"/>
    <w:rsid w:val="00974B59"/>
    <w:rsid w:val="00975EBE"/>
    <w:rsid w:val="0097639B"/>
    <w:rsid w:val="009766EF"/>
    <w:rsid w:val="0098058C"/>
    <w:rsid w:val="00981A65"/>
    <w:rsid w:val="00982127"/>
    <w:rsid w:val="00982249"/>
    <w:rsid w:val="009825B4"/>
    <w:rsid w:val="009833E6"/>
    <w:rsid w:val="0098340B"/>
    <w:rsid w:val="00983D27"/>
    <w:rsid w:val="00985502"/>
    <w:rsid w:val="00986255"/>
    <w:rsid w:val="0098635E"/>
    <w:rsid w:val="009866E7"/>
    <w:rsid w:val="00986830"/>
    <w:rsid w:val="009874F1"/>
    <w:rsid w:val="0099009A"/>
    <w:rsid w:val="00990875"/>
    <w:rsid w:val="0099140F"/>
    <w:rsid w:val="00991660"/>
    <w:rsid w:val="00991698"/>
    <w:rsid w:val="009917CB"/>
    <w:rsid w:val="00991E4F"/>
    <w:rsid w:val="009924C3"/>
    <w:rsid w:val="00992AD6"/>
    <w:rsid w:val="00992D1B"/>
    <w:rsid w:val="00992D3A"/>
    <w:rsid w:val="00993102"/>
    <w:rsid w:val="00994202"/>
    <w:rsid w:val="009945E7"/>
    <w:rsid w:val="00995104"/>
    <w:rsid w:val="0099517D"/>
    <w:rsid w:val="00995D72"/>
    <w:rsid w:val="00996C6A"/>
    <w:rsid w:val="00996D8F"/>
    <w:rsid w:val="00996F28"/>
    <w:rsid w:val="009977DA"/>
    <w:rsid w:val="009A0B67"/>
    <w:rsid w:val="009A11B5"/>
    <w:rsid w:val="009A16B7"/>
    <w:rsid w:val="009A2092"/>
    <w:rsid w:val="009A4685"/>
    <w:rsid w:val="009A5DB9"/>
    <w:rsid w:val="009A756F"/>
    <w:rsid w:val="009A7A4E"/>
    <w:rsid w:val="009B002B"/>
    <w:rsid w:val="009B01B9"/>
    <w:rsid w:val="009B0783"/>
    <w:rsid w:val="009B0FCA"/>
    <w:rsid w:val="009B10F0"/>
    <w:rsid w:val="009B1B39"/>
    <w:rsid w:val="009B203D"/>
    <w:rsid w:val="009B23B2"/>
    <w:rsid w:val="009B2F0D"/>
    <w:rsid w:val="009B4208"/>
    <w:rsid w:val="009B4231"/>
    <w:rsid w:val="009B439E"/>
    <w:rsid w:val="009B47E7"/>
    <w:rsid w:val="009B48FE"/>
    <w:rsid w:val="009B517A"/>
    <w:rsid w:val="009B635A"/>
    <w:rsid w:val="009B6EF6"/>
    <w:rsid w:val="009B7536"/>
    <w:rsid w:val="009B7F05"/>
    <w:rsid w:val="009C1046"/>
    <w:rsid w:val="009C1317"/>
    <w:rsid w:val="009C1C47"/>
    <w:rsid w:val="009C1DC4"/>
    <w:rsid w:val="009C27ED"/>
    <w:rsid w:val="009C2C07"/>
    <w:rsid w:val="009C3998"/>
    <w:rsid w:val="009C3E60"/>
    <w:rsid w:val="009C4215"/>
    <w:rsid w:val="009C468A"/>
    <w:rsid w:val="009C4779"/>
    <w:rsid w:val="009C4A39"/>
    <w:rsid w:val="009C4AE5"/>
    <w:rsid w:val="009C4B83"/>
    <w:rsid w:val="009C4BA2"/>
    <w:rsid w:val="009C5125"/>
    <w:rsid w:val="009C5454"/>
    <w:rsid w:val="009C5FD5"/>
    <w:rsid w:val="009C6F10"/>
    <w:rsid w:val="009C7867"/>
    <w:rsid w:val="009C7B26"/>
    <w:rsid w:val="009C7F1F"/>
    <w:rsid w:val="009D00D8"/>
    <w:rsid w:val="009D0FA4"/>
    <w:rsid w:val="009D1116"/>
    <w:rsid w:val="009D148F"/>
    <w:rsid w:val="009D16B6"/>
    <w:rsid w:val="009D1781"/>
    <w:rsid w:val="009D3D70"/>
    <w:rsid w:val="009D3E6C"/>
    <w:rsid w:val="009D4E6F"/>
    <w:rsid w:val="009D57D4"/>
    <w:rsid w:val="009D5BDB"/>
    <w:rsid w:val="009D5FEE"/>
    <w:rsid w:val="009D60FC"/>
    <w:rsid w:val="009D7097"/>
    <w:rsid w:val="009D788F"/>
    <w:rsid w:val="009D7A90"/>
    <w:rsid w:val="009E084D"/>
    <w:rsid w:val="009E093B"/>
    <w:rsid w:val="009E0AD4"/>
    <w:rsid w:val="009E0F4B"/>
    <w:rsid w:val="009E1399"/>
    <w:rsid w:val="009E2032"/>
    <w:rsid w:val="009E3421"/>
    <w:rsid w:val="009E3441"/>
    <w:rsid w:val="009E36F2"/>
    <w:rsid w:val="009E385A"/>
    <w:rsid w:val="009E3AFE"/>
    <w:rsid w:val="009E3E28"/>
    <w:rsid w:val="009E3F7A"/>
    <w:rsid w:val="009E4A4D"/>
    <w:rsid w:val="009E63D5"/>
    <w:rsid w:val="009E66DE"/>
    <w:rsid w:val="009E69C9"/>
    <w:rsid w:val="009E6F7E"/>
    <w:rsid w:val="009E7A57"/>
    <w:rsid w:val="009E7B40"/>
    <w:rsid w:val="009E7EE3"/>
    <w:rsid w:val="009E7F55"/>
    <w:rsid w:val="009F0B9E"/>
    <w:rsid w:val="009F0FEF"/>
    <w:rsid w:val="009F106E"/>
    <w:rsid w:val="009F14FD"/>
    <w:rsid w:val="009F2776"/>
    <w:rsid w:val="009F2F27"/>
    <w:rsid w:val="009F4017"/>
    <w:rsid w:val="009F45DC"/>
    <w:rsid w:val="009F4F6A"/>
    <w:rsid w:val="009F580D"/>
    <w:rsid w:val="009F580F"/>
    <w:rsid w:val="009F5E9D"/>
    <w:rsid w:val="009F6589"/>
    <w:rsid w:val="009F6725"/>
    <w:rsid w:val="009F7C45"/>
    <w:rsid w:val="009F7D97"/>
    <w:rsid w:val="00A00877"/>
    <w:rsid w:val="00A020DE"/>
    <w:rsid w:val="00A02ACB"/>
    <w:rsid w:val="00A02CAB"/>
    <w:rsid w:val="00A04084"/>
    <w:rsid w:val="00A047D4"/>
    <w:rsid w:val="00A04D77"/>
    <w:rsid w:val="00A0528A"/>
    <w:rsid w:val="00A0531D"/>
    <w:rsid w:val="00A05ABF"/>
    <w:rsid w:val="00A061CF"/>
    <w:rsid w:val="00A06284"/>
    <w:rsid w:val="00A10C4C"/>
    <w:rsid w:val="00A11160"/>
    <w:rsid w:val="00A12E58"/>
    <w:rsid w:val="00A13D36"/>
    <w:rsid w:val="00A1596A"/>
    <w:rsid w:val="00A16E36"/>
    <w:rsid w:val="00A1723C"/>
    <w:rsid w:val="00A1764C"/>
    <w:rsid w:val="00A2051F"/>
    <w:rsid w:val="00A20FCF"/>
    <w:rsid w:val="00A216DE"/>
    <w:rsid w:val="00A21E8C"/>
    <w:rsid w:val="00A22409"/>
    <w:rsid w:val="00A2256C"/>
    <w:rsid w:val="00A23364"/>
    <w:rsid w:val="00A23921"/>
    <w:rsid w:val="00A24209"/>
    <w:rsid w:val="00A24489"/>
    <w:rsid w:val="00A24751"/>
    <w:rsid w:val="00A24961"/>
    <w:rsid w:val="00A24B10"/>
    <w:rsid w:val="00A255D1"/>
    <w:rsid w:val="00A2598B"/>
    <w:rsid w:val="00A25B6E"/>
    <w:rsid w:val="00A25EEF"/>
    <w:rsid w:val="00A26583"/>
    <w:rsid w:val="00A270DF"/>
    <w:rsid w:val="00A2795D"/>
    <w:rsid w:val="00A30410"/>
    <w:rsid w:val="00A309A0"/>
    <w:rsid w:val="00A309C2"/>
    <w:rsid w:val="00A30D2F"/>
    <w:rsid w:val="00A30DD6"/>
    <w:rsid w:val="00A30E9B"/>
    <w:rsid w:val="00A31221"/>
    <w:rsid w:val="00A31333"/>
    <w:rsid w:val="00A3162B"/>
    <w:rsid w:val="00A31A19"/>
    <w:rsid w:val="00A31ADC"/>
    <w:rsid w:val="00A32D02"/>
    <w:rsid w:val="00A330E3"/>
    <w:rsid w:val="00A33555"/>
    <w:rsid w:val="00A33791"/>
    <w:rsid w:val="00A337E0"/>
    <w:rsid w:val="00A339A7"/>
    <w:rsid w:val="00A3481A"/>
    <w:rsid w:val="00A349C3"/>
    <w:rsid w:val="00A34E7F"/>
    <w:rsid w:val="00A364A1"/>
    <w:rsid w:val="00A379D1"/>
    <w:rsid w:val="00A379D3"/>
    <w:rsid w:val="00A4023C"/>
    <w:rsid w:val="00A408D7"/>
    <w:rsid w:val="00A40C8D"/>
    <w:rsid w:val="00A4174B"/>
    <w:rsid w:val="00A41B6C"/>
    <w:rsid w:val="00A41C16"/>
    <w:rsid w:val="00A42FCD"/>
    <w:rsid w:val="00A436CF"/>
    <w:rsid w:val="00A44964"/>
    <w:rsid w:val="00A4512D"/>
    <w:rsid w:val="00A453C3"/>
    <w:rsid w:val="00A45F1C"/>
    <w:rsid w:val="00A465EC"/>
    <w:rsid w:val="00A46B48"/>
    <w:rsid w:val="00A472A1"/>
    <w:rsid w:val="00A50244"/>
    <w:rsid w:val="00A50362"/>
    <w:rsid w:val="00A51406"/>
    <w:rsid w:val="00A520F6"/>
    <w:rsid w:val="00A528B7"/>
    <w:rsid w:val="00A52AD2"/>
    <w:rsid w:val="00A53DD4"/>
    <w:rsid w:val="00A53F38"/>
    <w:rsid w:val="00A545E2"/>
    <w:rsid w:val="00A549A1"/>
    <w:rsid w:val="00A5510F"/>
    <w:rsid w:val="00A55287"/>
    <w:rsid w:val="00A56A15"/>
    <w:rsid w:val="00A56E31"/>
    <w:rsid w:val="00A56F17"/>
    <w:rsid w:val="00A6038E"/>
    <w:rsid w:val="00A60991"/>
    <w:rsid w:val="00A62121"/>
    <w:rsid w:val="00A627D7"/>
    <w:rsid w:val="00A63282"/>
    <w:rsid w:val="00A6372A"/>
    <w:rsid w:val="00A63C43"/>
    <w:rsid w:val="00A64C9C"/>
    <w:rsid w:val="00A64E84"/>
    <w:rsid w:val="00A656C7"/>
    <w:rsid w:val="00A659ED"/>
    <w:rsid w:val="00A65A8C"/>
    <w:rsid w:val="00A65ACC"/>
    <w:rsid w:val="00A65B48"/>
    <w:rsid w:val="00A66820"/>
    <w:rsid w:val="00A669EA"/>
    <w:rsid w:val="00A66B94"/>
    <w:rsid w:val="00A679AD"/>
    <w:rsid w:val="00A705AF"/>
    <w:rsid w:val="00A709D1"/>
    <w:rsid w:val="00A70C4C"/>
    <w:rsid w:val="00A71107"/>
    <w:rsid w:val="00A71167"/>
    <w:rsid w:val="00A71789"/>
    <w:rsid w:val="00A717D7"/>
    <w:rsid w:val="00A71886"/>
    <w:rsid w:val="00A71FFD"/>
    <w:rsid w:val="00A72454"/>
    <w:rsid w:val="00A72518"/>
    <w:rsid w:val="00A738B9"/>
    <w:rsid w:val="00A73FB0"/>
    <w:rsid w:val="00A74AE1"/>
    <w:rsid w:val="00A750E4"/>
    <w:rsid w:val="00A75AD3"/>
    <w:rsid w:val="00A76466"/>
    <w:rsid w:val="00A7705C"/>
    <w:rsid w:val="00A77696"/>
    <w:rsid w:val="00A77C25"/>
    <w:rsid w:val="00A80416"/>
    <w:rsid w:val="00A80557"/>
    <w:rsid w:val="00A81D33"/>
    <w:rsid w:val="00A828EE"/>
    <w:rsid w:val="00A84115"/>
    <w:rsid w:val="00A84FCB"/>
    <w:rsid w:val="00A8503B"/>
    <w:rsid w:val="00A853BC"/>
    <w:rsid w:val="00A853F9"/>
    <w:rsid w:val="00A8562A"/>
    <w:rsid w:val="00A86840"/>
    <w:rsid w:val="00A86BF5"/>
    <w:rsid w:val="00A8726B"/>
    <w:rsid w:val="00A90C56"/>
    <w:rsid w:val="00A90CF3"/>
    <w:rsid w:val="00A90FCF"/>
    <w:rsid w:val="00A91124"/>
    <w:rsid w:val="00A9177F"/>
    <w:rsid w:val="00A92077"/>
    <w:rsid w:val="00A930AE"/>
    <w:rsid w:val="00A93338"/>
    <w:rsid w:val="00A93CD9"/>
    <w:rsid w:val="00A947F6"/>
    <w:rsid w:val="00A94A97"/>
    <w:rsid w:val="00A953D4"/>
    <w:rsid w:val="00A95BF2"/>
    <w:rsid w:val="00A95DFF"/>
    <w:rsid w:val="00A963B2"/>
    <w:rsid w:val="00A9673C"/>
    <w:rsid w:val="00A96A38"/>
    <w:rsid w:val="00A97959"/>
    <w:rsid w:val="00AA109F"/>
    <w:rsid w:val="00AA1A95"/>
    <w:rsid w:val="00AA260F"/>
    <w:rsid w:val="00AA277C"/>
    <w:rsid w:val="00AA3708"/>
    <w:rsid w:val="00AA4A91"/>
    <w:rsid w:val="00AA53A8"/>
    <w:rsid w:val="00AA63D2"/>
    <w:rsid w:val="00AA6AF6"/>
    <w:rsid w:val="00AB0384"/>
    <w:rsid w:val="00AB0E39"/>
    <w:rsid w:val="00AB162F"/>
    <w:rsid w:val="00AB1EE7"/>
    <w:rsid w:val="00AB24B6"/>
    <w:rsid w:val="00AB26CF"/>
    <w:rsid w:val="00AB3063"/>
    <w:rsid w:val="00AB3191"/>
    <w:rsid w:val="00AB3367"/>
    <w:rsid w:val="00AB340D"/>
    <w:rsid w:val="00AB39FD"/>
    <w:rsid w:val="00AB3FEC"/>
    <w:rsid w:val="00AB47C8"/>
    <w:rsid w:val="00AB4B37"/>
    <w:rsid w:val="00AB4B41"/>
    <w:rsid w:val="00AB4F61"/>
    <w:rsid w:val="00AB50B6"/>
    <w:rsid w:val="00AB53E8"/>
    <w:rsid w:val="00AB5403"/>
    <w:rsid w:val="00AB5762"/>
    <w:rsid w:val="00AB5D1A"/>
    <w:rsid w:val="00AB62ED"/>
    <w:rsid w:val="00AB6A2E"/>
    <w:rsid w:val="00AB6B68"/>
    <w:rsid w:val="00AB6E89"/>
    <w:rsid w:val="00AC03A7"/>
    <w:rsid w:val="00AC06BB"/>
    <w:rsid w:val="00AC0AA1"/>
    <w:rsid w:val="00AC0C70"/>
    <w:rsid w:val="00AC0E23"/>
    <w:rsid w:val="00AC1823"/>
    <w:rsid w:val="00AC1980"/>
    <w:rsid w:val="00AC2679"/>
    <w:rsid w:val="00AC2AAA"/>
    <w:rsid w:val="00AC2B67"/>
    <w:rsid w:val="00AC2EF2"/>
    <w:rsid w:val="00AC3132"/>
    <w:rsid w:val="00AC3815"/>
    <w:rsid w:val="00AC4654"/>
    <w:rsid w:val="00AC4BE4"/>
    <w:rsid w:val="00AC5263"/>
    <w:rsid w:val="00AC5646"/>
    <w:rsid w:val="00AC6BF9"/>
    <w:rsid w:val="00AC6DE2"/>
    <w:rsid w:val="00AC71E1"/>
    <w:rsid w:val="00AC75E5"/>
    <w:rsid w:val="00AD05E6"/>
    <w:rsid w:val="00AD0D3F"/>
    <w:rsid w:val="00AD11B6"/>
    <w:rsid w:val="00AD11FE"/>
    <w:rsid w:val="00AD1480"/>
    <w:rsid w:val="00AD1763"/>
    <w:rsid w:val="00AD17C7"/>
    <w:rsid w:val="00AD4807"/>
    <w:rsid w:val="00AD5503"/>
    <w:rsid w:val="00AD601D"/>
    <w:rsid w:val="00AD6DE0"/>
    <w:rsid w:val="00AD7FDB"/>
    <w:rsid w:val="00AE05A1"/>
    <w:rsid w:val="00AE0ADA"/>
    <w:rsid w:val="00AE0B2D"/>
    <w:rsid w:val="00AE0FDE"/>
    <w:rsid w:val="00AE1143"/>
    <w:rsid w:val="00AE13D3"/>
    <w:rsid w:val="00AE1D7D"/>
    <w:rsid w:val="00AE2473"/>
    <w:rsid w:val="00AE2603"/>
    <w:rsid w:val="00AE2A8B"/>
    <w:rsid w:val="00AE2BDD"/>
    <w:rsid w:val="00AE2E4F"/>
    <w:rsid w:val="00AE3429"/>
    <w:rsid w:val="00AE3BA2"/>
    <w:rsid w:val="00AE3F64"/>
    <w:rsid w:val="00AE485A"/>
    <w:rsid w:val="00AE49B3"/>
    <w:rsid w:val="00AE49C2"/>
    <w:rsid w:val="00AE5A2F"/>
    <w:rsid w:val="00AE5E82"/>
    <w:rsid w:val="00AE60A5"/>
    <w:rsid w:val="00AE7B58"/>
    <w:rsid w:val="00AE7F6F"/>
    <w:rsid w:val="00AF0185"/>
    <w:rsid w:val="00AF0CB8"/>
    <w:rsid w:val="00AF1E1C"/>
    <w:rsid w:val="00AF2352"/>
    <w:rsid w:val="00AF2429"/>
    <w:rsid w:val="00AF2E59"/>
    <w:rsid w:val="00AF439F"/>
    <w:rsid w:val="00AF5129"/>
    <w:rsid w:val="00AF55DB"/>
    <w:rsid w:val="00AF57A2"/>
    <w:rsid w:val="00AF684E"/>
    <w:rsid w:val="00AF7325"/>
    <w:rsid w:val="00AF7386"/>
    <w:rsid w:val="00AF7934"/>
    <w:rsid w:val="00AF7946"/>
    <w:rsid w:val="00B0059C"/>
    <w:rsid w:val="00B00AF8"/>
    <w:rsid w:val="00B00B71"/>
    <w:rsid w:val="00B00B81"/>
    <w:rsid w:val="00B0114B"/>
    <w:rsid w:val="00B0196B"/>
    <w:rsid w:val="00B02FD0"/>
    <w:rsid w:val="00B038F8"/>
    <w:rsid w:val="00B03C2F"/>
    <w:rsid w:val="00B04168"/>
    <w:rsid w:val="00B04580"/>
    <w:rsid w:val="00B04619"/>
    <w:rsid w:val="00B04B09"/>
    <w:rsid w:val="00B0586A"/>
    <w:rsid w:val="00B059E8"/>
    <w:rsid w:val="00B1077F"/>
    <w:rsid w:val="00B10D40"/>
    <w:rsid w:val="00B11182"/>
    <w:rsid w:val="00B11BCE"/>
    <w:rsid w:val="00B125CF"/>
    <w:rsid w:val="00B12F00"/>
    <w:rsid w:val="00B1399B"/>
    <w:rsid w:val="00B14E64"/>
    <w:rsid w:val="00B1559A"/>
    <w:rsid w:val="00B1560D"/>
    <w:rsid w:val="00B1582F"/>
    <w:rsid w:val="00B15CB4"/>
    <w:rsid w:val="00B16A51"/>
    <w:rsid w:val="00B16D37"/>
    <w:rsid w:val="00B17354"/>
    <w:rsid w:val="00B17799"/>
    <w:rsid w:val="00B178FE"/>
    <w:rsid w:val="00B1793A"/>
    <w:rsid w:val="00B20C54"/>
    <w:rsid w:val="00B20DAE"/>
    <w:rsid w:val="00B20EFD"/>
    <w:rsid w:val="00B21B18"/>
    <w:rsid w:val="00B22516"/>
    <w:rsid w:val="00B2379F"/>
    <w:rsid w:val="00B23EDB"/>
    <w:rsid w:val="00B2445A"/>
    <w:rsid w:val="00B24850"/>
    <w:rsid w:val="00B24A5A"/>
    <w:rsid w:val="00B24D59"/>
    <w:rsid w:val="00B24EB3"/>
    <w:rsid w:val="00B24FEF"/>
    <w:rsid w:val="00B25440"/>
    <w:rsid w:val="00B25B70"/>
    <w:rsid w:val="00B2601A"/>
    <w:rsid w:val="00B260B9"/>
    <w:rsid w:val="00B26186"/>
    <w:rsid w:val="00B264A9"/>
    <w:rsid w:val="00B266AA"/>
    <w:rsid w:val="00B26BBC"/>
    <w:rsid w:val="00B27B45"/>
    <w:rsid w:val="00B30253"/>
    <w:rsid w:val="00B31368"/>
    <w:rsid w:val="00B31514"/>
    <w:rsid w:val="00B32222"/>
    <w:rsid w:val="00B325A8"/>
    <w:rsid w:val="00B32999"/>
    <w:rsid w:val="00B32ADA"/>
    <w:rsid w:val="00B337D8"/>
    <w:rsid w:val="00B34052"/>
    <w:rsid w:val="00B343EE"/>
    <w:rsid w:val="00B34497"/>
    <w:rsid w:val="00B34AEC"/>
    <w:rsid w:val="00B34B4D"/>
    <w:rsid w:val="00B34EBC"/>
    <w:rsid w:val="00B35F75"/>
    <w:rsid w:val="00B3618D"/>
    <w:rsid w:val="00B36233"/>
    <w:rsid w:val="00B372EA"/>
    <w:rsid w:val="00B373F5"/>
    <w:rsid w:val="00B37570"/>
    <w:rsid w:val="00B37606"/>
    <w:rsid w:val="00B37988"/>
    <w:rsid w:val="00B40352"/>
    <w:rsid w:val="00B40992"/>
    <w:rsid w:val="00B4154C"/>
    <w:rsid w:val="00B42851"/>
    <w:rsid w:val="00B43CF2"/>
    <w:rsid w:val="00B43FA2"/>
    <w:rsid w:val="00B4467C"/>
    <w:rsid w:val="00B447BE"/>
    <w:rsid w:val="00B4491D"/>
    <w:rsid w:val="00B44AFA"/>
    <w:rsid w:val="00B44BE0"/>
    <w:rsid w:val="00B45712"/>
    <w:rsid w:val="00B45AC7"/>
    <w:rsid w:val="00B4678F"/>
    <w:rsid w:val="00B46871"/>
    <w:rsid w:val="00B479CA"/>
    <w:rsid w:val="00B50386"/>
    <w:rsid w:val="00B514FE"/>
    <w:rsid w:val="00B517B1"/>
    <w:rsid w:val="00B51C65"/>
    <w:rsid w:val="00B5372F"/>
    <w:rsid w:val="00B53DB4"/>
    <w:rsid w:val="00B5412E"/>
    <w:rsid w:val="00B550D4"/>
    <w:rsid w:val="00B551DE"/>
    <w:rsid w:val="00B56391"/>
    <w:rsid w:val="00B5696F"/>
    <w:rsid w:val="00B575A2"/>
    <w:rsid w:val="00B57EC2"/>
    <w:rsid w:val="00B6019C"/>
    <w:rsid w:val="00B60BF3"/>
    <w:rsid w:val="00B60D83"/>
    <w:rsid w:val="00B61129"/>
    <w:rsid w:val="00B61D22"/>
    <w:rsid w:val="00B64B02"/>
    <w:rsid w:val="00B64B03"/>
    <w:rsid w:val="00B64B21"/>
    <w:rsid w:val="00B64EA3"/>
    <w:rsid w:val="00B64F56"/>
    <w:rsid w:val="00B656B4"/>
    <w:rsid w:val="00B6690C"/>
    <w:rsid w:val="00B66C39"/>
    <w:rsid w:val="00B66E55"/>
    <w:rsid w:val="00B67181"/>
    <w:rsid w:val="00B67354"/>
    <w:rsid w:val="00B67370"/>
    <w:rsid w:val="00B6768A"/>
    <w:rsid w:val="00B67E7F"/>
    <w:rsid w:val="00B70085"/>
    <w:rsid w:val="00B70542"/>
    <w:rsid w:val="00B71124"/>
    <w:rsid w:val="00B71BB1"/>
    <w:rsid w:val="00B728F2"/>
    <w:rsid w:val="00B72DD4"/>
    <w:rsid w:val="00B736FB"/>
    <w:rsid w:val="00B73C3A"/>
    <w:rsid w:val="00B73CD4"/>
    <w:rsid w:val="00B73DF2"/>
    <w:rsid w:val="00B743B8"/>
    <w:rsid w:val="00B7494D"/>
    <w:rsid w:val="00B74A40"/>
    <w:rsid w:val="00B75116"/>
    <w:rsid w:val="00B75A04"/>
    <w:rsid w:val="00B7730A"/>
    <w:rsid w:val="00B77527"/>
    <w:rsid w:val="00B815C2"/>
    <w:rsid w:val="00B82655"/>
    <w:rsid w:val="00B835FB"/>
    <w:rsid w:val="00B839B2"/>
    <w:rsid w:val="00B83BA0"/>
    <w:rsid w:val="00B83D76"/>
    <w:rsid w:val="00B848D3"/>
    <w:rsid w:val="00B84BF5"/>
    <w:rsid w:val="00B84FAD"/>
    <w:rsid w:val="00B853CC"/>
    <w:rsid w:val="00B85610"/>
    <w:rsid w:val="00B85EF4"/>
    <w:rsid w:val="00B86A8B"/>
    <w:rsid w:val="00B90834"/>
    <w:rsid w:val="00B90C21"/>
    <w:rsid w:val="00B90DC4"/>
    <w:rsid w:val="00B91761"/>
    <w:rsid w:val="00B9215B"/>
    <w:rsid w:val="00B92166"/>
    <w:rsid w:val="00B9224D"/>
    <w:rsid w:val="00B925B3"/>
    <w:rsid w:val="00B92CF5"/>
    <w:rsid w:val="00B938CD"/>
    <w:rsid w:val="00B94252"/>
    <w:rsid w:val="00B94828"/>
    <w:rsid w:val="00B953DB"/>
    <w:rsid w:val="00B95A4B"/>
    <w:rsid w:val="00B95B7B"/>
    <w:rsid w:val="00B960F0"/>
    <w:rsid w:val="00B9632A"/>
    <w:rsid w:val="00B9715A"/>
    <w:rsid w:val="00B97F3B"/>
    <w:rsid w:val="00BA0914"/>
    <w:rsid w:val="00BA0D7B"/>
    <w:rsid w:val="00BA14BE"/>
    <w:rsid w:val="00BA1765"/>
    <w:rsid w:val="00BA1863"/>
    <w:rsid w:val="00BA2732"/>
    <w:rsid w:val="00BA293D"/>
    <w:rsid w:val="00BA3246"/>
    <w:rsid w:val="00BA325B"/>
    <w:rsid w:val="00BA4924"/>
    <w:rsid w:val="00BA49BC"/>
    <w:rsid w:val="00BA56B7"/>
    <w:rsid w:val="00BA6174"/>
    <w:rsid w:val="00BA6E35"/>
    <w:rsid w:val="00BA7A1E"/>
    <w:rsid w:val="00BA7A68"/>
    <w:rsid w:val="00BA7CA9"/>
    <w:rsid w:val="00BB0678"/>
    <w:rsid w:val="00BB0A8B"/>
    <w:rsid w:val="00BB1AA9"/>
    <w:rsid w:val="00BB1B87"/>
    <w:rsid w:val="00BB1F67"/>
    <w:rsid w:val="00BB2A39"/>
    <w:rsid w:val="00BB2F6C"/>
    <w:rsid w:val="00BB36CE"/>
    <w:rsid w:val="00BB3875"/>
    <w:rsid w:val="00BB3B6B"/>
    <w:rsid w:val="00BB4F4E"/>
    <w:rsid w:val="00BB564B"/>
    <w:rsid w:val="00BB5860"/>
    <w:rsid w:val="00BB5D3D"/>
    <w:rsid w:val="00BB5F7C"/>
    <w:rsid w:val="00BB6AAD"/>
    <w:rsid w:val="00BB70C0"/>
    <w:rsid w:val="00BB7B30"/>
    <w:rsid w:val="00BC0BC4"/>
    <w:rsid w:val="00BC18EA"/>
    <w:rsid w:val="00BC1929"/>
    <w:rsid w:val="00BC1AC8"/>
    <w:rsid w:val="00BC1F43"/>
    <w:rsid w:val="00BC2420"/>
    <w:rsid w:val="00BC3580"/>
    <w:rsid w:val="00BC3C30"/>
    <w:rsid w:val="00BC3ED6"/>
    <w:rsid w:val="00BC40CB"/>
    <w:rsid w:val="00BC47D3"/>
    <w:rsid w:val="00BC4A19"/>
    <w:rsid w:val="00BC4D5B"/>
    <w:rsid w:val="00BC4E6D"/>
    <w:rsid w:val="00BC52F6"/>
    <w:rsid w:val="00BC53A6"/>
    <w:rsid w:val="00BC5482"/>
    <w:rsid w:val="00BC5D7B"/>
    <w:rsid w:val="00BC5E03"/>
    <w:rsid w:val="00BC64AC"/>
    <w:rsid w:val="00BC6F16"/>
    <w:rsid w:val="00BC7C72"/>
    <w:rsid w:val="00BC7DD8"/>
    <w:rsid w:val="00BD00E7"/>
    <w:rsid w:val="00BD02B7"/>
    <w:rsid w:val="00BD0617"/>
    <w:rsid w:val="00BD06A4"/>
    <w:rsid w:val="00BD1151"/>
    <w:rsid w:val="00BD1242"/>
    <w:rsid w:val="00BD13B2"/>
    <w:rsid w:val="00BD17F3"/>
    <w:rsid w:val="00BD2E9B"/>
    <w:rsid w:val="00BD3129"/>
    <w:rsid w:val="00BD3F2F"/>
    <w:rsid w:val="00BD4338"/>
    <w:rsid w:val="00BD4989"/>
    <w:rsid w:val="00BD4AC1"/>
    <w:rsid w:val="00BD5123"/>
    <w:rsid w:val="00BD5469"/>
    <w:rsid w:val="00BD590A"/>
    <w:rsid w:val="00BD6473"/>
    <w:rsid w:val="00BD6A46"/>
    <w:rsid w:val="00BD6E39"/>
    <w:rsid w:val="00BD7014"/>
    <w:rsid w:val="00BD74B6"/>
    <w:rsid w:val="00BD75B8"/>
    <w:rsid w:val="00BD79FF"/>
    <w:rsid w:val="00BE06C2"/>
    <w:rsid w:val="00BE0A49"/>
    <w:rsid w:val="00BE168C"/>
    <w:rsid w:val="00BE16EA"/>
    <w:rsid w:val="00BE170B"/>
    <w:rsid w:val="00BE1C69"/>
    <w:rsid w:val="00BE2179"/>
    <w:rsid w:val="00BE21EA"/>
    <w:rsid w:val="00BE261A"/>
    <w:rsid w:val="00BE2783"/>
    <w:rsid w:val="00BE2B0F"/>
    <w:rsid w:val="00BE3D84"/>
    <w:rsid w:val="00BE3FF9"/>
    <w:rsid w:val="00BE4151"/>
    <w:rsid w:val="00BE4D63"/>
    <w:rsid w:val="00BE5537"/>
    <w:rsid w:val="00BE5B89"/>
    <w:rsid w:val="00BE6FDA"/>
    <w:rsid w:val="00BE7139"/>
    <w:rsid w:val="00BE71B4"/>
    <w:rsid w:val="00BE7386"/>
    <w:rsid w:val="00BE7604"/>
    <w:rsid w:val="00BE7AF2"/>
    <w:rsid w:val="00BF08A2"/>
    <w:rsid w:val="00BF0993"/>
    <w:rsid w:val="00BF124E"/>
    <w:rsid w:val="00BF1949"/>
    <w:rsid w:val="00BF3260"/>
    <w:rsid w:val="00BF35C9"/>
    <w:rsid w:val="00BF3776"/>
    <w:rsid w:val="00BF3F47"/>
    <w:rsid w:val="00BF43CF"/>
    <w:rsid w:val="00BF49CA"/>
    <w:rsid w:val="00BF4ACB"/>
    <w:rsid w:val="00BF4C78"/>
    <w:rsid w:val="00BF4ED8"/>
    <w:rsid w:val="00BF5302"/>
    <w:rsid w:val="00BF53E9"/>
    <w:rsid w:val="00BF58FF"/>
    <w:rsid w:val="00BF5D11"/>
    <w:rsid w:val="00BF61AD"/>
    <w:rsid w:val="00BF673C"/>
    <w:rsid w:val="00BF69E6"/>
    <w:rsid w:val="00BF6D5D"/>
    <w:rsid w:val="00BF7356"/>
    <w:rsid w:val="00BF7C64"/>
    <w:rsid w:val="00C00930"/>
    <w:rsid w:val="00C01D17"/>
    <w:rsid w:val="00C026DB"/>
    <w:rsid w:val="00C03111"/>
    <w:rsid w:val="00C03C18"/>
    <w:rsid w:val="00C04BA4"/>
    <w:rsid w:val="00C0583A"/>
    <w:rsid w:val="00C05995"/>
    <w:rsid w:val="00C05A59"/>
    <w:rsid w:val="00C05C9D"/>
    <w:rsid w:val="00C05FCC"/>
    <w:rsid w:val="00C060AD"/>
    <w:rsid w:val="00C0670D"/>
    <w:rsid w:val="00C06A12"/>
    <w:rsid w:val="00C06A3A"/>
    <w:rsid w:val="00C06D91"/>
    <w:rsid w:val="00C06EA8"/>
    <w:rsid w:val="00C07E06"/>
    <w:rsid w:val="00C07E33"/>
    <w:rsid w:val="00C1010B"/>
    <w:rsid w:val="00C10952"/>
    <w:rsid w:val="00C113BF"/>
    <w:rsid w:val="00C11BE8"/>
    <w:rsid w:val="00C11C6E"/>
    <w:rsid w:val="00C11FEC"/>
    <w:rsid w:val="00C12583"/>
    <w:rsid w:val="00C14ED8"/>
    <w:rsid w:val="00C15611"/>
    <w:rsid w:val="00C15732"/>
    <w:rsid w:val="00C166E9"/>
    <w:rsid w:val="00C16F99"/>
    <w:rsid w:val="00C17BE2"/>
    <w:rsid w:val="00C202B6"/>
    <w:rsid w:val="00C208F9"/>
    <w:rsid w:val="00C20A60"/>
    <w:rsid w:val="00C2142A"/>
    <w:rsid w:val="00C2176E"/>
    <w:rsid w:val="00C21936"/>
    <w:rsid w:val="00C22246"/>
    <w:rsid w:val="00C22275"/>
    <w:rsid w:val="00C22CF4"/>
    <w:rsid w:val="00C23430"/>
    <w:rsid w:val="00C237D0"/>
    <w:rsid w:val="00C2523D"/>
    <w:rsid w:val="00C25723"/>
    <w:rsid w:val="00C26486"/>
    <w:rsid w:val="00C26D9D"/>
    <w:rsid w:val="00C270F7"/>
    <w:rsid w:val="00C27572"/>
    <w:rsid w:val="00C27942"/>
    <w:rsid w:val="00C27D67"/>
    <w:rsid w:val="00C302B7"/>
    <w:rsid w:val="00C31588"/>
    <w:rsid w:val="00C32601"/>
    <w:rsid w:val="00C342DA"/>
    <w:rsid w:val="00C34364"/>
    <w:rsid w:val="00C344BF"/>
    <w:rsid w:val="00C349B7"/>
    <w:rsid w:val="00C34C07"/>
    <w:rsid w:val="00C3569B"/>
    <w:rsid w:val="00C35828"/>
    <w:rsid w:val="00C35C0F"/>
    <w:rsid w:val="00C3635E"/>
    <w:rsid w:val="00C365A4"/>
    <w:rsid w:val="00C36A0C"/>
    <w:rsid w:val="00C36DE7"/>
    <w:rsid w:val="00C3720F"/>
    <w:rsid w:val="00C3744C"/>
    <w:rsid w:val="00C404A4"/>
    <w:rsid w:val="00C418B0"/>
    <w:rsid w:val="00C41DF5"/>
    <w:rsid w:val="00C42B18"/>
    <w:rsid w:val="00C44EA6"/>
    <w:rsid w:val="00C44F98"/>
    <w:rsid w:val="00C450B2"/>
    <w:rsid w:val="00C4631F"/>
    <w:rsid w:val="00C4695D"/>
    <w:rsid w:val="00C50E16"/>
    <w:rsid w:val="00C514AF"/>
    <w:rsid w:val="00C51EE5"/>
    <w:rsid w:val="00C52669"/>
    <w:rsid w:val="00C52ABD"/>
    <w:rsid w:val="00C52BFB"/>
    <w:rsid w:val="00C532D2"/>
    <w:rsid w:val="00C54FFE"/>
    <w:rsid w:val="00C55258"/>
    <w:rsid w:val="00C5534C"/>
    <w:rsid w:val="00C57437"/>
    <w:rsid w:val="00C62A02"/>
    <w:rsid w:val="00C633F8"/>
    <w:rsid w:val="00C63845"/>
    <w:rsid w:val="00C669DD"/>
    <w:rsid w:val="00C66DAB"/>
    <w:rsid w:val="00C6745C"/>
    <w:rsid w:val="00C70083"/>
    <w:rsid w:val="00C70ACE"/>
    <w:rsid w:val="00C70CAD"/>
    <w:rsid w:val="00C7102B"/>
    <w:rsid w:val="00C71083"/>
    <w:rsid w:val="00C72BE8"/>
    <w:rsid w:val="00C7413E"/>
    <w:rsid w:val="00C74D10"/>
    <w:rsid w:val="00C7508F"/>
    <w:rsid w:val="00C8167B"/>
    <w:rsid w:val="00C818FE"/>
    <w:rsid w:val="00C819C1"/>
    <w:rsid w:val="00C82403"/>
    <w:rsid w:val="00C82420"/>
    <w:rsid w:val="00C8281C"/>
    <w:rsid w:val="00C82EEB"/>
    <w:rsid w:val="00C8366D"/>
    <w:rsid w:val="00C83F5D"/>
    <w:rsid w:val="00C84B42"/>
    <w:rsid w:val="00C84C7D"/>
    <w:rsid w:val="00C84F85"/>
    <w:rsid w:val="00C85A26"/>
    <w:rsid w:val="00C85E6F"/>
    <w:rsid w:val="00C87A77"/>
    <w:rsid w:val="00C87C99"/>
    <w:rsid w:val="00C90A38"/>
    <w:rsid w:val="00C92179"/>
    <w:rsid w:val="00C929A3"/>
    <w:rsid w:val="00C9301C"/>
    <w:rsid w:val="00C932A5"/>
    <w:rsid w:val="00C945AD"/>
    <w:rsid w:val="00C954C3"/>
    <w:rsid w:val="00C95AB8"/>
    <w:rsid w:val="00C96367"/>
    <w:rsid w:val="00C969A3"/>
    <w:rsid w:val="00C96EEE"/>
    <w:rsid w:val="00C970C1"/>
    <w:rsid w:val="00C971DC"/>
    <w:rsid w:val="00C97AF0"/>
    <w:rsid w:val="00CA1126"/>
    <w:rsid w:val="00CA1402"/>
    <w:rsid w:val="00CA16B7"/>
    <w:rsid w:val="00CA26B3"/>
    <w:rsid w:val="00CA35E7"/>
    <w:rsid w:val="00CA3A67"/>
    <w:rsid w:val="00CA4BE3"/>
    <w:rsid w:val="00CA4CE0"/>
    <w:rsid w:val="00CA4CFA"/>
    <w:rsid w:val="00CA52DA"/>
    <w:rsid w:val="00CA62AE"/>
    <w:rsid w:val="00CA673B"/>
    <w:rsid w:val="00CA78ED"/>
    <w:rsid w:val="00CA79CF"/>
    <w:rsid w:val="00CA7F66"/>
    <w:rsid w:val="00CB0CD1"/>
    <w:rsid w:val="00CB0E78"/>
    <w:rsid w:val="00CB1455"/>
    <w:rsid w:val="00CB1AD0"/>
    <w:rsid w:val="00CB1E1C"/>
    <w:rsid w:val="00CB1F57"/>
    <w:rsid w:val="00CB36A9"/>
    <w:rsid w:val="00CB4427"/>
    <w:rsid w:val="00CB49FB"/>
    <w:rsid w:val="00CB4A59"/>
    <w:rsid w:val="00CB4F8E"/>
    <w:rsid w:val="00CB5287"/>
    <w:rsid w:val="00CB5B1A"/>
    <w:rsid w:val="00CB5B46"/>
    <w:rsid w:val="00CB5D56"/>
    <w:rsid w:val="00CB6163"/>
    <w:rsid w:val="00CB6BF0"/>
    <w:rsid w:val="00CB6BF6"/>
    <w:rsid w:val="00CB6D1A"/>
    <w:rsid w:val="00CB7406"/>
    <w:rsid w:val="00CB7877"/>
    <w:rsid w:val="00CB7FBA"/>
    <w:rsid w:val="00CC040A"/>
    <w:rsid w:val="00CC0C06"/>
    <w:rsid w:val="00CC0EE8"/>
    <w:rsid w:val="00CC0FC5"/>
    <w:rsid w:val="00CC171A"/>
    <w:rsid w:val="00CC17D9"/>
    <w:rsid w:val="00CC19A7"/>
    <w:rsid w:val="00CC1A7E"/>
    <w:rsid w:val="00CC220B"/>
    <w:rsid w:val="00CC246B"/>
    <w:rsid w:val="00CC2488"/>
    <w:rsid w:val="00CC3CC6"/>
    <w:rsid w:val="00CC40EF"/>
    <w:rsid w:val="00CC4C15"/>
    <w:rsid w:val="00CC4C32"/>
    <w:rsid w:val="00CC4DA3"/>
    <w:rsid w:val="00CC522C"/>
    <w:rsid w:val="00CC560A"/>
    <w:rsid w:val="00CC5C43"/>
    <w:rsid w:val="00CC684B"/>
    <w:rsid w:val="00CC697B"/>
    <w:rsid w:val="00CC7377"/>
    <w:rsid w:val="00CC787C"/>
    <w:rsid w:val="00CC7B33"/>
    <w:rsid w:val="00CD00DD"/>
    <w:rsid w:val="00CD02AE"/>
    <w:rsid w:val="00CD060C"/>
    <w:rsid w:val="00CD07F8"/>
    <w:rsid w:val="00CD11B4"/>
    <w:rsid w:val="00CD2A4F"/>
    <w:rsid w:val="00CD2AE9"/>
    <w:rsid w:val="00CD317B"/>
    <w:rsid w:val="00CD32ED"/>
    <w:rsid w:val="00CD3301"/>
    <w:rsid w:val="00CD36E4"/>
    <w:rsid w:val="00CD48BD"/>
    <w:rsid w:val="00CD4B9A"/>
    <w:rsid w:val="00CD4E37"/>
    <w:rsid w:val="00CD5222"/>
    <w:rsid w:val="00CD5408"/>
    <w:rsid w:val="00CD5C37"/>
    <w:rsid w:val="00CD6809"/>
    <w:rsid w:val="00CD6987"/>
    <w:rsid w:val="00CE00AF"/>
    <w:rsid w:val="00CE03CA"/>
    <w:rsid w:val="00CE1139"/>
    <w:rsid w:val="00CE141F"/>
    <w:rsid w:val="00CE18D6"/>
    <w:rsid w:val="00CE1CF4"/>
    <w:rsid w:val="00CE2114"/>
    <w:rsid w:val="00CE22C1"/>
    <w:rsid w:val="00CE22F1"/>
    <w:rsid w:val="00CE3041"/>
    <w:rsid w:val="00CE41F4"/>
    <w:rsid w:val="00CE4207"/>
    <w:rsid w:val="00CE48A1"/>
    <w:rsid w:val="00CE50F2"/>
    <w:rsid w:val="00CE5321"/>
    <w:rsid w:val="00CE54A3"/>
    <w:rsid w:val="00CE5C58"/>
    <w:rsid w:val="00CE5D0B"/>
    <w:rsid w:val="00CE6502"/>
    <w:rsid w:val="00CE6DA8"/>
    <w:rsid w:val="00CE6ED5"/>
    <w:rsid w:val="00CE7736"/>
    <w:rsid w:val="00CE7CCD"/>
    <w:rsid w:val="00CF015C"/>
    <w:rsid w:val="00CF14A6"/>
    <w:rsid w:val="00CF18DD"/>
    <w:rsid w:val="00CF1EC3"/>
    <w:rsid w:val="00CF20D4"/>
    <w:rsid w:val="00CF2E41"/>
    <w:rsid w:val="00CF388B"/>
    <w:rsid w:val="00CF3EB5"/>
    <w:rsid w:val="00CF4A1C"/>
    <w:rsid w:val="00CF4A1F"/>
    <w:rsid w:val="00CF4C45"/>
    <w:rsid w:val="00CF5A8B"/>
    <w:rsid w:val="00CF618E"/>
    <w:rsid w:val="00CF6487"/>
    <w:rsid w:val="00CF68DC"/>
    <w:rsid w:val="00CF6D78"/>
    <w:rsid w:val="00CF6E0C"/>
    <w:rsid w:val="00CF72C9"/>
    <w:rsid w:val="00CF7D3C"/>
    <w:rsid w:val="00D002F2"/>
    <w:rsid w:val="00D00624"/>
    <w:rsid w:val="00D00AA8"/>
    <w:rsid w:val="00D012B3"/>
    <w:rsid w:val="00D013EA"/>
    <w:rsid w:val="00D014DF"/>
    <w:rsid w:val="00D033EC"/>
    <w:rsid w:val="00D03C39"/>
    <w:rsid w:val="00D0402A"/>
    <w:rsid w:val="00D04494"/>
    <w:rsid w:val="00D04B5D"/>
    <w:rsid w:val="00D04C55"/>
    <w:rsid w:val="00D04E72"/>
    <w:rsid w:val="00D04FF3"/>
    <w:rsid w:val="00D05BB5"/>
    <w:rsid w:val="00D05C28"/>
    <w:rsid w:val="00D0611E"/>
    <w:rsid w:val="00D063A8"/>
    <w:rsid w:val="00D06BD3"/>
    <w:rsid w:val="00D07718"/>
    <w:rsid w:val="00D07A4B"/>
    <w:rsid w:val="00D07F3F"/>
    <w:rsid w:val="00D10305"/>
    <w:rsid w:val="00D104B8"/>
    <w:rsid w:val="00D10897"/>
    <w:rsid w:val="00D10C27"/>
    <w:rsid w:val="00D10EAD"/>
    <w:rsid w:val="00D10F27"/>
    <w:rsid w:val="00D11378"/>
    <w:rsid w:val="00D1163E"/>
    <w:rsid w:val="00D12E96"/>
    <w:rsid w:val="00D12F76"/>
    <w:rsid w:val="00D133CC"/>
    <w:rsid w:val="00D140B5"/>
    <w:rsid w:val="00D145AF"/>
    <w:rsid w:val="00D147EB"/>
    <w:rsid w:val="00D14E23"/>
    <w:rsid w:val="00D14F40"/>
    <w:rsid w:val="00D14FE1"/>
    <w:rsid w:val="00D152CD"/>
    <w:rsid w:val="00D15C19"/>
    <w:rsid w:val="00D16830"/>
    <w:rsid w:val="00D17106"/>
    <w:rsid w:val="00D17910"/>
    <w:rsid w:val="00D17A1C"/>
    <w:rsid w:val="00D17F9F"/>
    <w:rsid w:val="00D17FC2"/>
    <w:rsid w:val="00D21046"/>
    <w:rsid w:val="00D22388"/>
    <w:rsid w:val="00D23483"/>
    <w:rsid w:val="00D23530"/>
    <w:rsid w:val="00D235E5"/>
    <w:rsid w:val="00D238AC"/>
    <w:rsid w:val="00D23BBE"/>
    <w:rsid w:val="00D246FA"/>
    <w:rsid w:val="00D252E6"/>
    <w:rsid w:val="00D26279"/>
    <w:rsid w:val="00D26454"/>
    <w:rsid w:val="00D26831"/>
    <w:rsid w:val="00D3037C"/>
    <w:rsid w:val="00D30934"/>
    <w:rsid w:val="00D3097E"/>
    <w:rsid w:val="00D315B3"/>
    <w:rsid w:val="00D32554"/>
    <w:rsid w:val="00D32EFC"/>
    <w:rsid w:val="00D33105"/>
    <w:rsid w:val="00D34667"/>
    <w:rsid w:val="00D3543E"/>
    <w:rsid w:val="00D357D8"/>
    <w:rsid w:val="00D365CA"/>
    <w:rsid w:val="00D37B53"/>
    <w:rsid w:val="00D401E1"/>
    <w:rsid w:val="00D408B4"/>
    <w:rsid w:val="00D40E2D"/>
    <w:rsid w:val="00D40FD6"/>
    <w:rsid w:val="00D40FFA"/>
    <w:rsid w:val="00D413DD"/>
    <w:rsid w:val="00D419EF"/>
    <w:rsid w:val="00D41EBE"/>
    <w:rsid w:val="00D42121"/>
    <w:rsid w:val="00D43506"/>
    <w:rsid w:val="00D4433D"/>
    <w:rsid w:val="00D44822"/>
    <w:rsid w:val="00D44905"/>
    <w:rsid w:val="00D44930"/>
    <w:rsid w:val="00D44DF1"/>
    <w:rsid w:val="00D44F88"/>
    <w:rsid w:val="00D45D94"/>
    <w:rsid w:val="00D46975"/>
    <w:rsid w:val="00D46BBD"/>
    <w:rsid w:val="00D47B30"/>
    <w:rsid w:val="00D47DD1"/>
    <w:rsid w:val="00D502E2"/>
    <w:rsid w:val="00D51026"/>
    <w:rsid w:val="00D5195C"/>
    <w:rsid w:val="00D52273"/>
    <w:rsid w:val="00D524C8"/>
    <w:rsid w:val="00D52B54"/>
    <w:rsid w:val="00D52E73"/>
    <w:rsid w:val="00D53484"/>
    <w:rsid w:val="00D53F1C"/>
    <w:rsid w:val="00D541D6"/>
    <w:rsid w:val="00D545CD"/>
    <w:rsid w:val="00D55C5F"/>
    <w:rsid w:val="00D57087"/>
    <w:rsid w:val="00D576C5"/>
    <w:rsid w:val="00D6039E"/>
    <w:rsid w:val="00D603DB"/>
    <w:rsid w:val="00D608CC"/>
    <w:rsid w:val="00D60E25"/>
    <w:rsid w:val="00D60F49"/>
    <w:rsid w:val="00D62073"/>
    <w:rsid w:val="00D62522"/>
    <w:rsid w:val="00D628F3"/>
    <w:rsid w:val="00D63681"/>
    <w:rsid w:val="00D64173"/>
    <w:rsid w:val="00D648D6"/>
    <w:rsid w:val="00D66234"/>
    <w:rsid w:val="00D66C7C"/>
    <w:rsid w:val="00D66DD8"/>
    <w:rsid w:val="00D67DCF"/>
    <w:rsid w:val="00D67FC7"/>
    <w:rsid w:val="00D702DA"/>
    <w:rsid w:val="00D70843"/>
    <w:rsid w:val="00D70A90"/>
    <w:rsid w:val="00D70E24"/>
    <w:rsid w:val="00D716B3"/>
    <w:rsid w:val="00D718E4"/>
    <w:rsid w:val="00D72B61"/>
    <w:rsid w:val="00D733A9"/>
    <w:rsid w:val="00D73F6F"/>
    <w:rsid w:val="00D74D6C"/>
    <w:rsid w:val="00D754C4"/>
    <w:rsid w:val="00D75B52"/>
    <w:rsid w:val="00D75F7B"/>
    <w:rsid w:val="00D760D9"/>
    <w:rsid w:val="00D76BD5"/>
    <w:rsid w:val="00D76D0E"/>
    <w:rsid w:val="00D77145"/>
    <w:rsid w:val="00D814A5"/>
    <w:rsid w:val="00D8256E"/>
    <w:rsid w:val="00D82CF3"/>
    <w:rsid w:val="00D831CA"/>
    <w:rsid w:val="00D835C7"/>
    <w:rsid w:val="00D836F6"/>
    <w:rsid w:val="00D8568F"/>
    <w:rsid w:val="00D85B23"/>
    <w:rsid w:val="00D905B9"/>
    <w:rsid w:val="00D9060F"/>
    <w:rsid w:val="00D91B47"/>
    <w:rsid w:val="00D91D6F"/>
    <w:rsid w:val="00D924C3"/>
    <w:rsid w:val="00D93245"/>
    <w:rsid w:val="00D93AA6"/>
    <w:rsid w:val="00D93BDE"/>
    <w:rsid w:val="00D93CAF"/>
    <w:rsid w:val="00D93FBC"/>
    <w:rsid w:val="00D94829"/>
    <w:rsid w:val="00D94852"/>
    <w:rsid w:val="00D95C88"/>
    <w:rsid w:val="00D97D33"/>
    <w:rsid w:val="00DA0A65"/>
    <w:rsid w:val="00DA0C41"/>
    <w:rsid w:val="00DA12D2"/>
    <w:rsid w:val="00DA16A5"/>
    <w:rsid w:val="00DA184B"/>
    <w:rsid w:val="00DA2400"/>
    <w:rsid w:val="00DA288A"/>
    <w:rsid w:val="00DA322B"/>
    <w:rsid w:val="00DA328D"/>
    <w:rsid w:val="00DA3647"/>
    <w:rsid w:val="00DA3D1D"/>
    <w:rsid w:val="00DA46F3"/>
    <w:rsid w:val="00DA4F33"/>
    <w:rsid w:val="00DA4FFB"/>
    <w:rsid w:val="00DA56DE"/>
    <w:rsid w:val="00DA58C3"/>
    <w:rsid w:val="00DA5A51"/>
    <w:rsid w:val="00DA6019"/>
    <w:rsid w:val="00DB0138"/>
    <w:rsid w:val="00DB0A81"/>
    <w:rsid w:val="00DB1351"/>
    <w:rsid w:val="00DB15F3"/>
    <w:rsid w:val="00DB1EB9"/>
    <w:rsid w:val="00DB26EA"/>
    <w:rsid w:val="00DB2AA2"/>
    <w:rsid w:val="00DB4003"/>
    <w:rsid w:val="00DB4261"/>
    <w:rsid w:val="00DB487C"/>
    <w:rsid w:val="00DB6286"/>
    <w:rsid w:val="00DB645F"/>
    <w:rsid w:val="00DB709F"/>
    <w:rsid w:val="00DB746E"/>
    <w:rsid w:val="00DB767E"/>
    <w:rsid w:val="00DB76E9"/>
    <w:rsid w:val="00DB785A"/>
    <w:rsid w:val="00DC0A67"/>
    <w:rsid w:val="00DC0A90"/>
    <w:rsid w:val="00DC1D5E"/>
    <w:rsid w:val="00DC2313"/>
    <w:rsid w:val="00DC27FE"/>
    <w:rsid w:val="00DC2FC0"/>
    <w:rsid w:val="00DC4504"/>
    <w:rsid w:val="00DC45E4"/>
    <w:rsid w:val="00DC511E"/>
    <w:rsid w:val="00DC513B"/>
    <w:rsid w:val="00DC5220"/>
    <w:rsid w:val="00DC6962"/>
    <w:rsid w:val="00DC6D90"/>
    <w:rsid w:val="00DC7356"/>
    <w:rsid w:val="00DC73D8"/>
    <w:rsid w:val="00DC7910"/>
    <w:rsid w:val="00DC7A17"/>
    <w:rsid w:val="00DC7A68"/>
    <w:rsid w:val="00DC7E2E"/>
    <w:rsid w:val="00DC7F7C"/>
    <w:rsid w:val="00DD0344"/>
    <w:rsid w:val="00DD0EA4"/>
    <w:rsid w:val="00DD1119"/>
    <w:rsid w:val="00DD2061"/>
    <w:rsid w:val="00DD2323"/>
    <w:rsid w:val="00DD28F3"/>
    <w:rsid w:val="00DD2CE4"/>
    <w:rsid w:val="00DD2D78"/>
    <w:rsid w:val="00DD3434"/>
    <w:rsid w:val="00DD3702"/>
    <w:rsid w:val="00DD4B03"/>
    <w:rsid w:val="00DD5295"/>
    <w:rsid w:val="00DD5B39"/>
    <w:rsid w:val="00DD61F1"/>
    <w:rsid w:val="00DD68AD"/>
    <w:rsid w:val="00DD6958"/>
    <w:rsid w:val="00DD6A05"/>
    <w:rsid w:val="00DD6D33"/>
    <w:rsid w:val="00DD712D"/>
    <w:rsid w:val="00DD7193"/>
    <w:rsid w:val="00DD7364"/>
    <w:rsid w:val="00DD7BDC"/>
    <w:rsid w:val="00DD7DAB"/>
    <w:rsid w:val="00DE03B4"/>
    <w:rsid w:val="00DE0B67"/>
    <w:rsid w:val="00DE0CF7"/>
    <w:rsid w:val="00DE15A4"/>
    <w:rsid w:val="00DE16D8"/>
    <w:rsid w:val="00DE194D"/>
    <w:rsid w:val="00DE2708"/>
    <w:rsid w:val="00DE3355"/>
    <w:rsid w:val="00DE4217"/>
    <w:rsid w:val="00DE62BE"/>
    <w:rsid w:val="00DE70AB"/>
    <w:rsid w:val="00DE766B"/>
    <w:rsid w:val="00DE7C1C"/>
    <w:rsid w:val="00DF01CD"/>
    <w:rsid w:val="00DF031F"/>
    <w:rsid w:val="00DF035A"/>
    <w:rsid w:val="00DF07C3"/>
    <w:rsid w:val="00DF0BEA"/>
    <w:rsid w:val="00DF118A"/>
    <w:rsid w:val="00DF263B"/>
    <w:rsid w:val="00DF3416"/>
    <w:rsid w:val="00DF3D18"/>
    <w:rsid w:val="00DF486F"/>
    <w:rsid w:val="00DF4CAE"/>
    <w:rsid w:val="00DF581A"/>
    <w:rsid w:val="00DF5973"/>
    <w:rsid w:val="00DF5A53"/>
    <w:rsid w:val="00DF5B5B"/>
    <w:rsid w:val="00DF63C9"/>
    <w:rsid w:val="00DF70A5"/>
    <w:rsid w:val="00DF7619"/>
    <w:rsid w:val="00E003CD"/>
    <w:rsid w:val="00E00A1A"/>
    <w:rsid w:val="00E017B9"/>
    <w:rsid w:val="00E02261"/>
    <w:rsid w:val="00E02A4F"/>
    <w:rsid w:val="00E02EB0"/>
    <w:rsid w:val="00E03282"/>
    <w:rsid w:val="00E03E75"/>
    <w:rsid w:val="00E03FD2"/>
    <w:rsid w:val="00E042D8"/>
    <w:rsid w:val="00E043E1"/>
    <w:rsid w:val="00E060D0"/>
    <w:rsid w:val="00E065BD"/>
    <w:rsid w:val="00E0718C"/>
    <w:rsid w:val="00E0722D"/>
    <w:rsid w:val="00E07EE7"/>
    <w:rsid w:val="00E1103B"/>
    <w:rsid w:val="00E11D44"/>
    <w:rsid w:val="00E12943"/>
    <w:rsid w:val="00E14383"/>
    <w:rsid w:val="00E14814"/>
    <w:rsid w:val="00E14860"/>
    <w:rsid w:val="00E14C30"/>
    <w:rsid w:val="00E14F7A"/>
    <w:rsid w:val="00E15A62"/>
    <w:rsid w:val="00E15BDD"/>
    <w:rsid w:val="00E160BA"/>
    <w:rsid w:val="00E16149"/>
    <w:rsid w:val="00E167E9"/>
    <w:rsid w:val="00E16B63"/>
    <w:rsid w:val="00E171C7"/>
    <w:rsid w:val="00E179D5"/>
    <w:rsid w:val="00E17B44"/>
    <w:rsid w:val="00E17EE1"/>
    <w:rsid w:val="00E20753"/>
    <w:rsid w:val="00E20BAB"/>
    <w:rsid w:val="00E21C36"/>
    <w:rsid w:val="00E22012"/>
    <w:rsid w:val="00E2298F"/>
    <w:rsid w:val="00E22EBF"/>
    <w:rsid w:val="00E23837"/>
    <w:rsid w:val="00E23F84"/>
    <w:rsid w:val="00E24827"/>
    <w:rsid w:val="00E24B7C"/>
    <w:rsid w:val="00E24C00"/>
    <w:rsid w:val="00E253AD"/>
    <w:rsid w:val="00E257F4"/>
    <w:rsid w:val="00E26E55"/>
    <w:rsid w:val="00E27027"/>
    <w:rsid w:val="00E279A6"/>
    <w:rsid w:val="00E27B45"/>
    <w:rsid w:val="00E27FEA"/>
    <w:rsid w:val="00E30900"/>
    <w:rsid w:val="00E30E52"/>
    <w:rsid w:val="00E3177E"/>
    <w:rsid w:val="00E3180E"/>
    <w:rsid w:val="00E31B42"/>
    <w:rsid w:val="00E32FD6"/>
    <w:rsid w:val="00E3342E"/>
    <w:rsid w:val="00E33504"/>
    <w:rsid w:val="00E3351E"/>
    <w:rsid w:val="00E33E41"/>
    <w:rsid w:val="00E347B8"/>
    <w:rsid w:val="00E35BC6"/>
    <w:rsid w:val="00E36821"/>
    <w:rsid w:val="00E36898"/>
    <w:rsid w:val="00E37B90"/>
    <w:rsid w:val="00E40334"/>
    <w:rsid w:val="00E4060B"/>
    <w:rsid w:val="00E4060E"/>
    <w:rsid w:val="00E4086F"/>
    <w:rsid w:val="00E41482"/>
    <w:rsid w:val="00E42298"/>
    <w:rsid w:val="00E424B6"/>
    <w:rsid w:val="00E42AD4"/>
    <w:rsid w:val="00E42F27"/>
    <w:rsid w:val="00E4356E"/>
    <w:rsid w:val="00E43933"/>
    <w:rsid w:val="00E43B3C"/>
    <w:rsid w:val="00E44015"/>
    <w:rsid w:val="00E451E0"/>
    <w:rsid w:val="00E4770D"/>
    <w:rsid w:val="00E47EB8"/>
    <w:rsid w:val="00E50188"/>
    <w:rsid w:val="00E5047C"/>
    <w:rsid w:val="00E511B3"/>
    <w:rsid w:val="00E515CB"/>
    <w:rsid w:val="00E51901"/>
    <w:rsid w:val="00E51AFA"/>
    <w:rsid w:val="00E52260"/>
    <w:rsid w:val="00E52DB0"/>
    <w:rsid w:val="00E53049"/>
    <w:rsid w:val="00E539A7"/>
    <w:rsid w:val="00E53E31"/>
    <w:rsid w:val="00E54718"/>
    <w:rsid w:val="00E54CA8"/>
    <w:rsid w:val="00E55159"/>
    <w:rsid w:val="00E560A5"/>
    <w:rsid w:val="00E575B3"/>
    <w:rsid w:val="00E578D7"/>
    <w:rsid w:val="00E578FA"/>
    <w:rsid w:val="00E57CBB"/>
    <w:rsid w:val="00E60448"/>
    <w:rsid w:val="00E60695"/>
    <w:rsid w:val="00E6118D"/>
    <w:rsid w:val="00E61C37"/>
    <w:rsid w:val="00E61E67"/>
    <w:rsid w:val="00E628BA"/>
    <w:rsid w:val="00E62BB9"/>
    <w:rsid w:val="00E6378B"/>
    <w:rsid w:val="00E639B6"/>
    <w:rsid w:val="00E6434B"/>
    <w:rsid w:val="00E6463D"/>
    <w:rsid w:val="00E64E1D"/>
    <w:rsid w:val="00E65281"/>
    <w:rsid w:val="00E66E80"/>
    <w:rsid w:val="00E7049F"/>
    <w:rsid w:val="00E70CF2"/>
    <w:rsid w:val="00E70FA6"/>
    <w:rsid w:val="00E71265"/>
    <w:rsid w:val="00E716FB"/>
    <w:rsid w:val="00E719B8"/>
    <w:rsid w:val="00E726F4"/>
    <w:rsid w:val="00E72B70"/>
    <w:rsid w:val="00E72E9B"/>
    <w:rsid w:val="00E72EA5"/>
    <w:rsid w:val="00E72EAD"/>
    <w:rsid w:val="00E7360F"/>
    <w:rsid w:val="00E73A02"/>
    <w:rsid w:val="00E73B02"/>
    <w:rsid w:val="00E74F46"/>
    <w:rsid w:val="00E74FA8"/>
    <w:rsid w:val="00E75265"/>
    <w:rsid w:val="00E753DF"/>
    <w:rsid w:val="00E75AA8"/>
    <w:rsid w:val="00E777A4"/>
    <w:rsid w:val="00E7787F"/>
    <w:rsid w:val="00E77B31"/>
    <w:rsid w:val="00E77D91"/>
    <w:rsid w:val="00E800CB"/>
    <w:rsid w:val="00E80972"/>
    <w:rsid w:val="00E80BD3"/>
    <w:rsid w:val="00E81114"/>
    <w:rsid w:val="00E82638"/>
    <w:rsid w:val="00E82F31"/>
    <w:rsid w:val="00E835BB"/>
    <w:rsid w:val="00E842CE"/>
    <w:rsid w:val="00E8440A"/>
    <w:rsid w:val="00E849DA"/>
    <w:rsid w:val="00E84B4E"/>
    <w:rsid w:val="00E84E50"/>
    <w:rsid w:val="00E86996"/>
    <w:rsid w:val="00E86A50"/>
    <w:rsid w:val="00E87773"/>
    <w:rsid w:val="00E9028D"/>
    <w:rsid w:val="00E908A6"/>
    <w:rsid w:val="00E90B5A"/>
    <w:rsid w:val="00E90C89"/>
    <w:rsid w:val="00E90D32"/>
    <w:rsid w:val="00E90F79"/>
    <w:rsid w:val="00E90FD9"/>
    <w:rsid w:val="00E911F2"/>
    <w:rsid w:val="00E914A4"/>
    <w:rsid w:val="00E920DD"/>
    <w:rsid w:val="00E929D8"/>
    <w:rsid w:val="00E92B6E"/>
    <w:rsid w:val="00E93AC5"/>
    <w:rsid w:val="00E9462E"/>
    <w:rsid w:val="00E9491D"/>
    <w:rsid w:val="00E94A4E"/>
    <w:rsid w:val="00E94F84"/>
    <w:rsid w:val="00E950FD"/>
    <w:rsid w:val="00E9525F"/>
    <w:rsid w:val="00E96580"/>
    <w:rsid w:val="00E965DD"/>
    <w:rsid w:val="00E979C3"/>
    <w:rsid w:val="00EA1154"/>
    <w:rsid w:val="00EA1760"/>
    <w:rsid w:val="00EA1BC5"/>
    <w:rsid w:val="00EA1E58"/>
    <w:rsid w:val="00EA3766"/>
    <w:rsid w:val="00EA402C"/>
    <w:rsid w:val="00EA42B4"/>
    <w:rsid w:val="00EA470E"/>
    <w:rsid w:val="00EA47A7"/>
    <w:rsid w:val="00EA528D"/>
    <w:rsid w:val="00EA52FD"/>
    <w:rsid w:val="00EA57EB"/>
    <w:rsid w:val="00EA5B85"/>
    <w:rsid w:val="00EA654E"/>
    <w:rsid w:val="00EA6F40"/>
    <w:rsid w:val="00EA7D83"/>
    <w:rsid w:val="00EA7E7C"/>
    <w:rsid w:val="00EB0598"/>
    <w:rsid w:val="00EB07E2"/>
    <w:rsid w:val="00EB0DBF"/>
    <w:rsid w:val="00EB1ADA"/>
    <w:rsid w:val="00EB2856"/>
    <w:rsid w:val="00EB2A0B"/>
    <w:rsid w:val="00EB3226"/>
    <w:rsid w:val="00EB3382"/>
    <w:rsid w:val="00EB384D"/>
    <w:rsid w:val="00EB3A40"/>
    <w:rsid w:val="00EB40C7"/>
    <w:rsid w:val="00EB481B"/>
    <w:rsid w:val="00EB5F20"/>
    <w:rsid w:val="00EB6251"/>
    <w:rsid w:val="00EB6439"/>
    <w:rsid w:val="00EB7639"/>
    <w:rsid w:val="00EB7B53"/>
    <w:rsid w:val="00EC0732"/>
    <w:rsid w:val="00EC095D"/>
    <w:rsid w:val="00EC0BB3"/>
    <w:rsid w:val="00EC112C"/>
    <w:rsid w:val="00EC213A"/>
    <w:rsid w:val="00EC2BDE"/>
    <w:rsid w:val="00EC3C49"/>
    <w:rsid w:val="00EC3D68"/>
    <w:rsid w:val="00EC426F"/>
    <w:rsid w:val="00EC4DEE"/>
    <w:rsid w:val="00EC5605"/>
    <w:rsid w:val="00EC586F"/>
    <w:rsid w:val="00EC5BF2"/>
    <w:rsid w:val="00EC5FC5"/>
    <w:rsid w:val="00EC64AD"/>
    <w:rsid w:val="00EC6603"/>
    <w:rsid w:val="00EC6790"/>
    <w:rsid w:val="00EC7744"/>
    <w:rsid w:val="00ED04F9"/>
    <w:rsid w:val="00ED0DAD"/>
    <w:rsid w:val="00ED0F46"/>
    <w:rsid w:val="00ED1678"/>
    <w:rsid w:val="00ED1AEC"/>
    <w:rsid w:val="00ED1DB3"/>
    <w:rsid w:val="00ED2373"/>
    <w:rsid w:val="00ED24D7"/>
    <w:rsid w:val="00ED2872"/>
    <w:rsid w:val="00ED2945"/>
    <w:rsid w:val="00ED303F"/>
    <w:rsid w:val="00ED32F0"/>
    <w:rsid w:val="00ED3913"/>
    <w:rsid w:val="00ED478E"/>
    <w:rsid w:val="00ED54A5"/>
    <w:rsid w:val="00ED6F15"/>
    <w:rsid w:val="00EE0607"/>
    <w:rsid w:val="00EE1B8C"/>
    <w:rsid w:val="00EE1BAE"/>
    <w:rsid w:val="00EE1FD9"/>
    <w:rsid w:val="00EE208C"/>
    <w:rsid w:val="00EE2877"/>
    <w:rsid w:val="00EE3059"/>
    <w:rsid w:val="00EE32D4"/>
    <w:rsid w:val="00EE3A27"/>
    <w:rsid w:val="00EE3AD2"/>
    <w:rsid w:val="00EE3E8A"/>
    <w:rsid w:val="00EE405C"/>
    <w:rsid w:val="00EE4277"/>
    <w:rsid w:val="00EE4622"/>
    <w:rsid w:val="00EE4D1E"/>
    <w:rsid w:val="00EE541A"/>
    <w:rsid w:val="00EE55CA"/>
    <w:rsid w:val="00EE5B4B"/>
    <w:rsid w:val="00EE5E29"/>
    <w:rsid w:val="00EE610C"/>
    <w:rsid w:val="00EE6733"/>
    <w:rsid w:val="00EE69F0"/>
    <w:rsid w:val="00EE6C93"/>
    <w:rsid w:val="00EE74EF"/>
    <w:rsid w:val="00EE769A"/>
    <w:rsid w:val="00EE775D"/>
    <w:rsid w:val="00EE7BE8"/>
    <w:rsid w:val="00EF0475"/>
    <w:rsid w:val="00EF0566"/>
    <w:rsid w:val="00EF0656"/>
    <w:rsid w:val="00EF0B8D"/>
    <w:rsid w:val="00EF0CA8"/>
    <w:rsid w:val="00EF0E93"/>
    <w:rsid w:val="00EF13E4"/>
    <w:rsid w:val="00EF171F"/>
    <w:rsid w:val="00EF1744"/>
    <w:rsid w:val="00EF2074"/>
    <w:rsid w:val="00EF27DF"/>
    <w:rsid w:val="00EF3BC3"/>
    <w:rsid w:val="00EF51A2"/>
    <w:rsid w:val="00EF6619"/>
    <w:rsid w:val="00EF66AE"/>
    <w:rsid w:val="00EF6B01"/>
    <w:rsid w:val="00EF6DC5"/>
    <w:rsid w:val="00EF6ECA"/>
    <w:rsid w:val="00EF73F0"/>
    <w:rsid w:val="00EF7B4D"/>
    <w:rsid w:val="00F0022F"/>
    <w:rsid w:val="00F0090D"/>
    <w:rsid w:val="00F00BEC"/>
    <w:rsid w:val="00F00C8C"/>
    <w:rsid w:val="00F00FB0"/>
    <w:rsid w:val="00F01D48"/>
    <w:rsid w:val="00F02479"/>
    <w:rsid w:val="00F024E1"/>
    <w:rsid w:val="00F0354C"/>
    <w:rsid w:val="00F03FD4"/>
    <w:rsid w:val="00F04248"/>
    <w:rsid w:val="00F04CB5"/>
    <w:rsid w:val="00F056C0"/>
    <w:rsid w:val="00F061A0"/>
    <w:rsid w:val="00F06750"/>
    <w:rsid w:val="00F06C10"/>
    <w:rsid w:val="00F06C3D"/>
    <w:rsid w:val="00F07016"/>
    <w:rsid w:val="00F077B3"/>
    <w:rsid w:val="00F07822"/>
    <w:rsid w:val="00F0782C"/>
    <w:rsid w:val="00F07852"/>
    <w:rsid w:val="00F07DAE"/>
    <w:rsid w:val="00F10035"/>
    <w:rsid w:val="00F1096F"/>
    <w:rsid w:val="00F11686"/>
    <w:rsid w:val="00F119C4"/>
    <w:rsid w:val="00F12589"/>
    <w:rsid w:val="00F12595"/>
    <w:rsid w:val="00F134D9"/>
    <w:rsid w:val="00F1403D"/>
    <w:rsid w:val="00F14482"/>
    <w:rsid w:val="00F1463F"/>
    <w:rsid w:val="00F1566B"/>
    <w:rsid w:val="00F16F1B"/>
    <w:rsid w:val="00F1723D"/>
    <w:rsid w:val="00F17E84"/>
    <w:rsid w:val="00F2129A"/>
    <w:rsid w:val="00F21302"/>
    <w:rsid w:val="00F227F2"/>
    <w:rsid w:val="00F23382"/>
    <w:rsid w:val="00F240C2"/>
    <w:rsid w:val="00F24CC4"/>
    <w:rsid w:val="00F254AF"/>
    <w:rsid w:val="00F2582D"/>
    <w:rsid w:val="00F25CCA"/>
    <w:rsid w:val="00F26A05"/>
    <w:rsid w:val="00F271D9"/>
    <w:rsid w:val="00F278E0"/>
    <w:rsid w:val="00F30E58"/>
    <w:rsid w:val="00F30ED5"/>
    <w:rsid w:val="00F3108E"/>
    <w:rsid w:val="00F312CA"/>
    <w:rsid w:val="00F3189A"/>
    <w:rsid w:val="00F3205A"/>
    <w:rsid w:val="00F321DE"/>
    <w:rsid w:val="00F3223E"/>
    <w:rsid w:val="00F3239C"/>
    <w:rsid w:val="00F32B37"/>
    <w:rsid w:val="00F3304F"/>
    <w:rsid w:val="00F33777"/>
    <w:rsid w:val="00F3412F"/>
    <w:rsid w:val="00F34964"/>
    <w:rsid w:val="00F34EE2"/>
    <w:rsid w:val="00F365B4"/>
    <w:rsid w:val="00F367BD"/>
    <w:rsid w:val="00F36EE1"/>
    <w:rsid w:val="00F3700C"/>
    <w:rsid w:val="00F378E3"/>
    <w:rsid w:val="00F37A38"/>
    <w:rsid w:val="00F37C22"/>
    <w:rsid w:val="00F37CB5"/>
    <w:rsid w:val="00F37FF8"/>
    <w:rsid w:val="00F40648"/>
    <w:rsid w:val="00F4066F"/>
    <w:rsid w:val="00F40855"/>
    <w:rsid w:val="00F410B1"/>
    <w:rsid w:val="00F41D13"/>
    <w:rsid w:val="00F42130"/>
    <w:rsid w:val="00F422B7"/>
    <w:rsid w:val="00F4277A"/>
    <w:rsid w:val="00F42E98"/>
    <w:rsid w:val="00F43EEA"/>
    <w:rsid w:val="00F4401D"/>
    <w:rsid w:val="00F45FDD"/>
    <w:rsid w:val="00F46811"/>
    <w:rsid w:val="00F46815"/>
    <w:rsid w:val="00F477B1"/>
    <w:rsid w:val="00F47DA2"/>
    <w:rsid w:val="00F5032A"/>
    <w:rsid w:val="00F50B65"/>
    <w:rsid w:val="00F519FC"/>
    <w:rsid w:val="00F52154"/>
    <w:rsid w:val="00F522C6"/>
    <w:rsid w:val="00F528AC"/>
    <w:rsid w:val="00F528CF"/>
    <w:rsid w:val="00F52B48"/>
    <w:rsid w:val="00F536FF"/>
    <w:rsid w:val="00F53AEC"/>
    <w:rsid w:val="00F54424"/>
    <w:rsid w:val="00F55895"/>
    <w:rsid w:val="00F558C7"/>
    <w:rsid w:val="00F5597D"/>
    <w:rsid w:val="00F56007"/>
    <w:rsid w:val="00F5696E"/>
    <w:rsid w:val="00F56B5A"/>
    <w:rsid w:val="00F5774E"/>
    <w:rsid w:val="00F60B3C"/>
    <w:rsid w:val="00F619C5"/>
    <w:rsid w:val="00F6239D"/>
    <w:rsid w:val="00F623BE"/>
    <w:rsid w:val="00F6269A"/>
    <w:rsid w:val="00F62BF6"/>
    <w:rsid w:val="00F641EB"/>
    <w:rsid w:val="00F642DD"/>
    <w:rsid w:val="00F64B8E"/>
    <w:rsid w:val="00F64FC3"/>
    <w:rsid w:val="00F65EF1"/>
    <w:rsid w:val="00F66412"/>
    <w:rsid w:val="00F6694B"/>
    <w:rsid w:val="00F66AB6"/>
    <w:rsid w:val="00F67021"/>
    <w:rsid w:val="00F708CA"/>
    <w:rsid w:val="00F7105E"/>
    <w:rsid w:val="00F715D2"/>
    <w:rsid w:val="00F71F99"/>
    <w:rsid w:val="00F720C3"/>
    <w:rsid w:val="00F726C9"/>
    <w:rsid w:val="00F726E4"/>
    <w:rsid w:val="00F7274F"/>
    <w:rsid w:val="00F72A84"/>
    <w:rsid w:val="00F72AD9"/>
    <w:rsid w:val="00F73B40"/>
    <w:rsid w:val="00F747EC"/>
    <w:rsid w:val="00F7535E"/>
    <w:rsid w:val="00F75DF8"/>
    <w:rsid w:val="00F76FA8"/>
    <w:rsid w:val="00F775CA"/>
    <w:rsid w:val="00F803B5"/>
    <w:rsid w:val="00F81057"/>
    <w:rsid w:val="00F81288"/>
    <w:rsid w:val="00F81583"/>
    <w:rsid w:val="00F8196E"/>
    <w:rsid w:val="00F81B53"/>
    <w:rsid w:val="00F81E81"/>
    <w:rsid w:val="00F82CC6"/>
    <w:rsid w:val="00F82FFD"/>
    <w:rsid w:val="00F83279"/>
    <w:rsid w:val="00F83BEE"/>
    <w:rsid w:val="00F83CD9"/>
    <w:rsid w:val="00F83FBF"/>
    <w:rsid w:val="00F8408D"/>
    <w:rsid w:val="00F841EF"/>
    <w:rsid w:val="00F8433D"/>
    <w:rsid w:val="00F84419"/>
    <w:rsid w:val="00F84E85"/>
    <w:rsid w:val="00F85CC6"/>
    <w:rsid w:val="00F86065"/>
    <w:rsid w:val="00F8690F"/>
    <w:rsid w:val="00F87CDC"/>
    <w:rsid w:val="00F9026D"/>
    <w:rsid w:val="00F9061C"/>
    <w:rsid w:val="00F90D5A"/>
    <w:rsid w:val="00F911AD"/>
    <w:rsid w:val="00F91B3A"/>
    <w:rsid w:val="00F929E7"/>
    <w:rsid w:val="00F93D30"/>
    <w:rsid w:val="00F93F08"/>
    <w:rsid w:val="00F94711"/>
    <w:rsid w:val="00F94806"/>
    <w:rsid w:val="00F9499D"/>
    <w:rsid w:val="00F94CED"/>
    <w:rsid w:val="00F95389"/>
    <w:rsid w:val="00F95F66"/>
    <w:rsid w:val="00F967EB"/>
    <w:rsid w:val="00F97970"/>
    <w:rsid w:val="00F979A1"/>
    <w:rsid w:val="00F97B1A"/>
    <w:rsid w:val="00FA0B5E"/>
    <w:rsid w:val="00FA2382"/>
    <w:rsid w:val="00FA2841"/>
    <w:rsid w:val="00FA2854"/>
    <w:rsid w:val="00FA2CEE"/>
    <w:rsid w:val="00FA318C"/>
    <w:rsid w:val="00FA430A"/>
    <w:rsid w:val="00FA43B8"/>
    <w:rsid w:val="00FA4820"/>
    <w:rsid w:val="00FA4E24"/>
    <w:rsid w:val="00FA501B"/>
    <w:rsid w:val="00FA54FB"/>
    <w:rsid w:val="00FA5BBC"/>
    <w:rsid w:val="00FA5D2B"/>
    <w:rsid w:val="00FA60D6"/>
    <w:rsid w:val="00FA699C"/>
    <w:rsid w:val="00FB0D95"/>
    <w:rsid w:val="00FB0DF6"/>
    <w:rsid w:val="00FB17F6"/>
    <w:rsid w:val="00FB2348"/>
    <w:rsid w:val="00FB2582"/>
    <w:rsid w:val="00FB2A08"/>
    <w:rsid w:val="00FB2E71"/>
    <w:rsid w:val="00FB4373"/>
    <w:rsid w:val="00FB4C5B"/>
    <w:rsid w:val="00FB545C"/>
    <w:rsid w:val="00FB5834"/>
    <w:rsid w:val="00FB5BCD"/>
    <w:rsid w:val="00FB5D2F"/>
    <w:rsid w:val="00FB63BF"/>
    <w:rsid w:val="00FB6C32"/>
    <w:rsid w:val="00FB6E71"/>
    <w:rsid w:val="00FB6F92"/>
    <w:rsid w:val="00FB6FFD"/>
    <w:rsid w:val="00FB7CA2"/>
    <w:rsid w:val="00FC026E"/>
    <w:rsid w:val="00FC0D12"/>
    <w:rsid w:val="00FC14C6"/>
    <w:rsid w:val="00FC1F8B"/>
    <w:rsid w:val="00FC2597"/>
    <w:rsid w:val="00FC264E"/>
    <w:rsid w:val="00FC39B0"/>
    <w:rsid w:val="00FC3D7A"/>
    <w:rsid w:val="00FC4368"/>
    <w:rsid w:val="00FC43D7"/>
    <w:rsid w:val="00FC46D0"/>
    <w:rsid w:val="00FC4EBD"/>
    <w:rsid w:val="00FC5124"/>
    <w:rsid w:val="00FC6446"/>
    <w:rsid w:val="00FC66F1"/>
    <w:rsid w:val="00FC6EBB"/>
    <w:rsid w:val="00FC74CC"/>
    <w:rsid w:val="00FC765F"/>
    <w:rsid w:val="00FC781F"/>
    <w:rsid w:val="00FC7A00"/>
    <w:rsid w:val="00FC7DE2"/>
    <w:rsid w:val="00FD0349"/>
    <w:rsid w:val="00FD0365"/>
    <w:rsid w:val="00FD0638"/>
    <w:rsid w:val="00FD076B"/>
    <w:rsid w:val="00FD0A4A"/>
    <w:rsid w:val="00FD0B01"/>
    <w:rsid w:val="00FD0CFD"/>
    <w:rsid w:val="00FD123C"/>
    <w:rsid w:val="00FD2FD6"/>
    <w:rsid w:val="00FD4731"/>
    <w:rsid w:val="00FD6221"/>
    <w:rsid w:val="00FD6401"/>
    <w:rsid w:val="00FD69EF"/>
    <w:rsid w:val="00FD7469"/>
    <w:rsid w:val="00FD7535"/>
    <w:rsid w:val="00FD75E6"/>
    <w:rsid w:val="00FD7816"/>
    <w:rsid w:val="00FE0EBC"/>
    <w:rsid w:val="00FE1AC3"/>
    <w:rsid w:val="00FE28AB"/>
    <w:rsid w:val="00FE28BE"/>
    <w:rsid w:val="00FE29F6"/>
    <w:rsid w:val="00FE323F"/>
    <w:rsid w:val="00FE40FF"/>
    <w:rsid w:val="00FE56CD"/>
    <w:rsid w:val="00FE6210"/>
    <w:rsid w:val="00FE6AD4"/>
    <w:rsid w:val="00FF02F9"/>
    <w:rsid w:val="00FF0AB0"/>
    <w:rsid w:val="00FF0AF9"/>
    <w:rsid w:val="00FF0D9F"/>
    <w:rsid w:val="00FF196B"/>
    <w:rsid w:val="00FF1CAD"/>
    <w:rsid w:val="00FF1DD4"/>
    <w:rsid w:val="00FF2132"/>
    <w:rsid w:val="00FF21E5"/>
    <w:rsid w:val="00FF2248"/>
    <w:rsid w:val="00FF28AC"/>
    <w:rsid w:val="00FF2C90"/>
    <w:rsid w:val="00FF31C5"/>
    <w:rsid w:val="00FF3A1C"/>
    <w:rsid w:val="00FF431E"/>
    <w:rsid w:val="00FF44FF"/>
    <w:rsid w:val="00FF521A"/>
    <w:rsid w:val="00FF5376"/>
    <w:rsid w:val="00FF5504"/>
    <w:rsid w:val="00FF69B6"/>
    <w:rsid w:val="00FF6A18"/>
    <w:rsid w:val="00FF6D52"/>
    <w:rsid w:val="00FF7690"/>
    <w:rsid w:val="00FF784E"/>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A45CBC8-2DE0-410B-A55E-8D04C34E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9C"/>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E842CE"/>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E842CE"/>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E842CE"/>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E842CE"/>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E842CE"/>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E842CE"/>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E842CE"/>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E842CE"/>
    <w:rPr>
      <w:i/>
      <w:iCs/>
    </w:rPr>
  </w:style>
  <w:style w:type="character" w:styleId="Strong">
    <w:name w:val="Strong"/>
    <w:basedOn w:val="DefaultParagraphFont"/>
    <w:rsid w:val="00E842CE"/>
    <w:rPr>
      <w:b/>
      <w:bCs/>
    </w:rPr>
  </w:style>
  <w:style w:type="paragraph" w:styleId="Subtitle">
    <w:name w:val="Subtitle"/>
    <w:next w:val="Normal"/>
    <w:link w:val="SubtitleChar"/>
    <w:qFormat/>
    <w:rsid w:val="00E842CE"/>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E842CE"/>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link w:val="NoSpacingChar"/>
    <w:uiPriority w:val="1"/>
    <w:qFormat/>
    <w:rsid w:val="00E842CE"/>
    <w:rPr>
      <w:sz w:val="24"/>
      <w:szCs w:val="24"/>
      <w:lang w:eastAsia="en-US"/>
    </w:rPr>
  </w:style>
  <w:style w:type="character" w:styleId="SubtleEmphasis">
    <w:name w:val="Subtle Emphasis"/>
    <w:basedOn w:val="DefaultParagraphFont"/>
    <w:uiPriority w:val="19"/>
    <w:rsid w:val="00E842CE"/>
    <w:rPr>
      <w:i/>
      <w:iCs/>
      <w:color w:val="808080" w:themeColor="text1" w:themeTint="7F"/>
    </w:rPr>
  </w:style>
  <w:style w:type="character" w:styleId="IntenseEmphasis">
    <w:name w:val="Intense Emphasis"/>
    <w:basedOn w:val="DefaultParagraphFont"/>
    <w:uiPriority w:val="21"/>
    <w:rsid w:val="00E842CE"/>
    <w:rPr>
      <w:b/>
      <w:bCs/>
      <w:i/>
      <w:iCs/>
      <w:color w:val="3F4A75" w:themeColor="accent1"/>
    </w:rPr>
  </w:style>
  <w:style w:type="paragraph" w:styleId="Quote">
    <w:name w:val="Quote"/>
    <w:next w:val="Normal"/>
    <w:link w:val="QuoteChar"/>
    <w:uiPriority w:val="29"/>
    <w:qFormat/>
    <w:rsid w:val="00E842C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842CE"/>
    <w:rPr>
      <w:rFonts w:ascii="Arial" w:hAnsi="Arial"/>
      <w:i/>
      <w:iCs/>
      <w:color w:val="000000" w:themeColor="text1"/>
      <w:sz w:val="22"/>
      <w:szCs w:val="24"/>
      <w:lang w:eastAsia="en-US"/>
    </w:rPr>
  </w:style>
  <w:style w:type="paragraph" w:styleId="IntenseQuote">
    <w:name w:val="Intense Quote"/>
    <w:next w:val="Normal"/>
    <w:link w:val="IntenseQuoteChar"/>
    <w:uiPriority w:val="30"/>
    <w:rsid w:val="00E842CE"/>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E842CE"/>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E842CE"/>
    <w:rPr>
      <w:smallCaps/>
      <w:color w:val="358189" w:themeColor="accent2"/>
      <w:u w:val="single"/>
    </w:rPr>
  </w:style>
  <w:style w:type="character" w:styleId="IntenseReference">
    <w:name w:val="Intense Reference"/>
    <w:basedOn w:val="DefaultParagraphFont"/>
    <w:uiPriority w:val="32"/>
    <w:rsid w:val="00E842CE"/>
    <w:rPr>
      <w:b/>
      <w:bCs/>
      <w:i/>
      <w:smallCaps/>
      <w:color w:val="358189" w:themeColor="accent2"/>
      <w:spacing w:val="5"/>
      <w:u w:val="none"/>
    </w:rPr>
  </w:style>
  <w:style w:type="paragraph" w:styleId="ListBullet2">
    <w:name w:val="List Bullet 2"/>
    <w:basedOn w:val="ListNumber2"/>
    <w:rsid w:val="00E842CE"/>
    <w:pPr>
      <w:numPr>
        <w:numId w:val="0"/>
      </w:numPr>
      <w:ind w:left="1004" w:hanging="360"/>
    </w:pPr>
  </w:style>
  <w:style w:type="paragraph" w:styleId="ListNumber2">
    <w:name w:val="List Number 2"/>
    <w:basedOn w:val="ListBullet"/>
    <w:qFormat/>
    <w:rsid w:val="00E842CE"/>
    <w:pPr>
      <w:numPr>
        <w:numId w:val="1"/>
      </w:numPr>
    </w:pPr>
  </w:style>
  <w:style w:type="paragraph" w:styleId="ListBullet">
    <w:name w:val="List Bullet"/>
    <w:basedOn w:val="Normal"/>
    <w:qFormat/>
    <w:rsid w:val="00E842CE"/>
    <w:pPr>
      <w:tabs>
        <w:tab w:val="left" w:pos="340"/>
        <w:tab w:val="left" w:pos="680"/>
      </w:tabs>
      <w:spacing w:before="60" w:after="60"/>
      <w:ind w:left="360" w:hanging="360"/>
    </w:pPr>
  </w:style>
  <w:style w:type="paragraph" w:styleId="ListParagraph">
    <w:name w:val="List Paragraph"/>
    <w:aliases w:val="List Paragraph (numbered (a)),Normal 2,Main numbered paragraph,Bullet Points_First Level,NFP GP Bulleted List,List Paragraph1,Recommendation,Figure_name,Numbered Indented Text,Bullet- First level,List NUmber,Listenabsatz1,lp1,Body text"/>
    <w:basedOn w:val="Normal"/>
    <w:link w:val="ListParagraphChar"/>
    <w:uiPriority w:val="1"/>
    <w:qFormat/>
    <w:rsid w:val="00E842CE"/>
    <w:pPr>
      <w:ind w:left="720"/>
      <w:contextualSpacing/>
    </w:pPr>
  </w:style>
  <w:style w:type="paragraph" w:styleId="ListNumber3">
    <w:name w:val="List Number 3"/>
    <w:aliases w:val="List Third Level"/>
    <w:basedOn w:val="ListNumber2"/>
    <w:rsid w:val="00E842CE"/>
    <w:pPr>
      <w:numPr>
        <w:numId w:val="3"/>
      </w:numPr>
      <w:tabs>
        <w:tab w:val="num" w:pos="1440"/>
      </w:tabs>
    </w:pPr>
    <w:rPr>
      <w:rFonts w:eastAsia="Cambria"/>
      <w:color w:val="auto"/>
      <w:szCs w:val="22"/>
      <w:lang w:val="en-US"/>
    </w:rPr>
  </w:style>
  <w:style w:type="paragraph" w:customStyle="1" w:styleId="ImageTitle">
    <w:name w:val="Image Title"/>
    <w:locked/>
    <w:rsid w:val="00E842CE"/>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E842CE"/>
    <w:rPr>
      <w:rFonts w:ascii="Tahoma" w:hAnsi="Tahoma" w:cs="Tahoma"/>
      <w:sz w:val="16"/>
      <w:szCs w:val="16"/>
    </w:rPr>
  </w:style>
  <w:style w:type="character" w:customStyle="1" w:styleId="BalloonTextChar">
    <w:name w:val="Balloon Text Char"/>
    <w:basedOn w:val="DefaultParagraphFont"/>
    <w:link w:val="BalloonText"/>
    <w:rsid w:val="00E842CE"/>
    <w:rPr>
      <w:rFonts w:ascii="Tahoma" w:hAnsi="Tahoma" w:cs="Tahoma"/>
      <w:color w:val="000000" w:themeColor="text1"/>
      <w:sz w:val="16"/>
      <w:szCs w:val="16"/>
      <w:lang w:eastAsia="en-US"/>
    </w:rPr>
  </w:style>
  <w:style w:type="table" w:styleId="TableGrid">
    <w:name w:val="Table Grid"/>
    <w:basedOn w:val="TableNormal"/>
    <w:uiPriority w:val="39"/>
    <w:locked/>
    <w:rsid w:val="00E8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E842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40992"/>
    <w:pPr>
      <w:spacing w:before="60" w:after="60"/>
    </w:pPr>
    <w:rPr>
      <w:rFonts w:ascii="Arial" w:hAnsi="Arial"/>
      <w:color w:val="000000" w:themeColor="text1"/>
      <w:sz w:val="21"/>
      <w:szCs w:val="24"/>
      <w:lang w:eastAsia="en-US"/>
    </w:rPr>
  </w:style>
  <w:style w:type="table" w:styleId="TableColumns2">
    <w:name w:val="Table Columns 2"/>
    <w:basedOn w:val="TableNormal"/>
    <w:locked/>
    <w:rsid w:val="00E842CE"/>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E842CE"/>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E842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E842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E842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E842CE"/>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E842C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E842CE"/>
    <w:rPr>
      <w:rFonts w:ascii="Arial" w:hAnsi="Arial"/>
      <w:sz w:val="22"/>
      <w:szCs w:val="24"/>
      <w:lang w:eastAsia="en-US"/>
    </w:rPr>
  </w:style>
  <w:style w:type="paragraph" w:styleId="Footer">
    <w:name w:val="footer"/>
    <w:link w:val="FooterChar"/>
    <w:uiPriority w:val="99"/>
    <w:qFormat/>
    <w:rsid w:val="00E842C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E842CE"/>
    <w:rPr>
      <w:rFonts w:ascii="Arial" w:hAnsi="Arial"/>
      <w:szCs w:val="24"/>
      <w:lang w:eastAsia="en-US"/>
    </w:rPr>
  </w:style>
  <w:style w:type="paragraph" w:customStyle="1" w:styleId="TableHeaderWhite">
    <w:name w:val="Table Header White"/>
    <w:basedOn w:val="Normal"/>
    <w:next w:val="Tabletextleft"/>
    <w:qFormat/>
    <w:rsid w:val="00E842CE"/>
    <w:pPr>
      <w:spacing w:before="80" w:after="80"/>
    </w:pPr>
    <w:rPr>
      <w:rFonts w:eastAsia="Cambria"/>
      <w:b/>
      <w:color w:val="FFFFFF" w:themeColor="background1"/>
      <w:szCs w:val="22"/>
      <w:lang w:val="en-US"/>
    </w:rPr>
  </w:style>
  <w:style w:type="table" w:styleId="TableGrid7">
    <w:name w:val="Table Grid 7"/>
    <w:basedOn w:val="TableNormal"/>
    <w:locked/>
    <w:rsid w:val="00E842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E842CE"/>
    <w:pPr>
      <w:spacing w:before="60"/>
    </w:pPr>
    <w:rPr>
      <w:rFonts w:cs="Arial"/>
      <w:b/>
      <w:sz w:val="20"/>
    </w:rPr>
  </w:style>
  <w:style w:type="paragraph" w:customStyle="1" w:styleId="FigureTitle">
    <w:name w:val="Figure Title"/>
    <w:next w:val="Normal"/>
    <w:qFormat/>
    <w:rsid w:val="00E842C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E842CE"/>
    <w:pPr>
      <w:spacing w:before="100" w:beforeAutospacing="1" w:after="100" w:afterAutospacing="1"/>
    </w:pPr>
    <w:rPr>
      <w:rFonts w:ascii="Times New Roman" w:hAnsi="Times New Roman"/>
      <w:sz w:val="24"/>
      <w:lang w:eastAsia="en-AU"/>
    </w:rPr>
  </w:style>
  <w:style w:type="paragraph" w:customStyle="1" w:styleId="Headertext">
    <w:name w:val="Header text"/>
    <w:rsid w:val="00E842CE"/>
    <w:pPr>
      <w:jc w:val="right"/>
    </w:pPr>
    <w:rPr>
      <w:rFonts w:ascii="Arial" w:hAnsi="Arial"/>
      <w:szCs w:val="24"/>
      <w:lang w:eastAsia="en-US"/>
    </w:rPr>
  </w:style>
  <w:style w:type="character" w:styleId="Hyperlink">
    <w:name w:val="Hyperlink"/>
    <w:basedOn w:val="DefaultParagraphFont"/>
    <w:uiPriority w:val="99"/>
    <w:qFormat/>
    <w:rsid w:val="00E842CE"/>
    <w:rPr>
      <w:color w:val="0000FF" w:themeColor="hyperlink"/>
      <w:u w:val="single"/>
    </w:rPr>
  </w:style>
  <w:style w:type="table" w:customStyle="1" w:styleId="PHNGreyTable">
    <w:name w:val="PHN Grey Table"/>
    <w:basedOn w:val="TableNormal"/>
    <w:uiPriority w:val="99"/>
    <w:rsid w:val="00E842CE"/>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E842CE"/>
    <w:pPr>
      <w:numPr>
        <w:numId w:val="4"/>
      </w:numPr>
    </w:pPr>
    <w:rPr>
      <w:szCs w:val="20"/>
    </w:rPr>
  </w:style>
  <w:style w:type="paragraph" w:customStyle="1" w:styleId="Tablelistnumber">
    <w:name w:val="Table list number"/>
    <w:basedOn w:val="Tabletextleft"/>
    <w:qFormat/>
    <w:rsid w:val="00E842CE"/>
    <w:pPr>
      <w:numPr>
        <w:numId w:val="5"/>
      </w:numPr>
    </w:pPr>
    <w:rPr>
      <w:bCs/>
      <w14:numSpacing w14:val="proportional"/>
    </w:rPr>
  </w:style>
  <w:style w:type="paragraph" w:customStyle="1" w:styleId="TableHeader">
    <w:name w:val="Table Header"/>
    <w:basedOn w:val="Normal"/>
    <w:next w:val="Tabletextleft"/>
    <w:qFormat/>
    <w:rsid w:val="00E842CE"/>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E842CE"/>
    <w:rPr>
      <w:szCs w:val="32"/>
    </w:rPr>
  </w:style>
  <w:style w:type="paragraph" w:styleId="FootnoteText">
    <w:name w:val="footnote text"/>
    <w:link w:val="FootnoteTextChar"/>
    <w:uiPriority w:val="99"/>
    <w:rsid w:val="00E842CE"/>
    <w:rPr>
      <w:rFonts w:ascii="Arial" w:hAnsi="Arial"/>
      <w:lang w:eastAsia="en-US"/>
    </w:rPr>
  </w:style>
  <w:style w:type="character" w:customStyle="1" w:styleId="FootnoteTextChar">
    <w:name w:val="Footnote Text Char"/>
    <w:basedOn w:val="DefaultParagraphFont"/>
    <w:link w:val="FootnoteText"/>
    <w:uiPriority w:val="99"/>
    <w:rsid w:val="00E842CE"/>
    <w:rPr>
      <w:rFonts w:ascii="Arial" w:hAnsi="Arial"/>
      <w:lang w:eastAsia="en-US"/>
    </w:rPr>
  </w:style>
  <w:style w:type="paragraph" w:styleId="Caption">
    <w:name w:val="caption"/>
    <w:basedOn w:val="Normal"/>
    <w:next w:val="Normal"/>
    <w:unhideWhenUsed/>
    <w:rsid w:val="00E842CE"/>
    <w:pPr>
      <w:spacing w:after="200"/>
    </w:pPr>
    <w:rPr>
      <w:b/>
      <w:bCs/>
      <w:color w:val="3F4A75" w:themeColor="accent1"/>
      <w:sz w:val="18"/>
      <w:szCs w:val="18"/>
    </w:rPr>
  </w:style>
  <w:style w:type="paragraph" w:customStyle="1" w:styleId="VisionBox">
    <w:name w:val="VisionBox"/>
    <w:basedOn w:val="Normal"/>
    <w:qFormat/>
    <w:rsid w:val="00E842CE"/>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E842C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E842C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E842CE"/>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E842CE"/>
    <w:rPr>
      <w:rFonts w:ascii="Arial" w:hAnsi="Arial"/>
      <w:b/>
      <w:color w:val="000000" w:themeColor="text1"/>
      <w:sz w:val="22"/>
      <w:szCs w:val="24"/>
      <w:lang w:val="en-US" w:eastAsia="en-US"/>
    </w:rPr>
  </w:style>
  <w:style w:type="paragraph" w:customStyle="1" w:styleId="IntroPara">
    <w:name w:val="Intro Para"/>
    <w:basedOn w:val="Normal"/>
    <w:next w:val="Normal"/>
    <w:qFormat/>
    <w:rsid w:val="00E842CE"/>
    <w:pPr>
      <w:spacing w:before="480" w:line="400" w:lineRule="exact"/>
    </w:pPr>
    <w:rPr>
      <w:color w:val="358189"/>
      <w:sz w:val="28"/>
    </w:rPr>
  </w:style>
  <w:style w:type="paragraph" w:customStyle="1" w:styleId="TableTextright">
    <w:name w:val="Table Text right"/>
    <w:basedOn w:val="Tabletextleft"/>
    <w:rsid w:val="00E842CE"/>
    <w:pPr>
      <w:jc w:val="right"/>
    </w:pPr>
  </w:style>
  <w:style w:type="paragraph" w:customStyle="1" w:styleId="Tabletextright0">
    <w:name w:val="Table text right"/>
    <w:basedOn w:val="Tabletextleft"/>
    <w:rsid w:val="00E842CE"/>
    <w:pPr>
      <w:jc w:val="right"/>
    </w:pPr>
  </w:style>
  <w:style w:type="paragraph" w:customStyle="1" w:styleId="Tabletextcentre">
    <w:name w:val="Table text centre"/>
    <w:basedOn w:val="Tabletextleft"/>
    <w:rsid w:val="00E842CE"/>
    <w:pPr>
      <w:jc w:val="center"/>
    </w:pPr>
  </w:style>
  <w:style w:type="paragraph" w:customStyle="1" w:styleId="Boxheading">
    <w:name w:val="Box heading"/>
    <w:basedOn w:val="Boxtype"/>
    <w:qFormat/>
    <w:rsid w:val="00E842CE"/>
    <w:pPr>
      <w:spacing w:before="240"/>
    </w:pPr>
    <w:rPr>
      <w:rFonts w:cs="Times New Roman"/>
      <w:b/>
      <w:bCs/>
      <w:caps/>
      <w:color w:val="358189"/>
      <w:szCs w:val="20"/>
    </w:rPr>
  </w:style>
  <w:style w:type="paragraph" w:customStyle="1" w:styleId="Boxtype">
    <w:name w:val="Box type"/>
    <w:next w:val="Normal"/>
    <w:qFormat/>
    <w:rsid w:val="00CA4CFA"/>
    <w:pPr>
      <w:pBdr>
        <w:top w:val="single" w:sz="6" w:space="20" w:color="358189"/>
        <w:left w:val="single" w:sz="6" w:space="10" w:color="358189"/>
        <w:bottom w:val="single" w:sz="6" w:space="10" w:color="358189"/>
        <w:right w:val="single" w:sz="6" w:space="10" w:color="358189"/>
      </w:pBdr>
      <w:spacing w:after="240"/>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E842CE"/>
  </w:style>
  <w:style w:type="paragraph" w:customStyle="1" w:styleId="URL">
    <w:name w:val="URL"/>
    <w:basedOn w:val="Normal"/>
    <w:rsid w:val="00E842CE"/>
    <w:pPr>
      <w:spacing w:before="3120"/>
      <w:jc w:val="center"/>
    </w:pPr>
    <w:rPr>
      <w:b/>
      <w:bCs/>
      <w:sz w:val="24"/>
      <w:szCs w:val="20"/>
    </w:rPr>
  </w:style>
  <w:style w:type="paragraph" w:styleId="BodyText">
    <w:name w:val="Body Text"/>
    <w:basedOn w:val="Normal"/>
    <w:link w:val="BodyTextChar"/>
    <w:unhideWhenUsed/>
    <w:rsid w:val="00E842CE"/>
  </w:style>
  <w:style w:type="character" w:customStyle="1" w:styleId="BodyTextChar">
    <w:name w:val="Body Text Char"/>
    <w:basedOn w:val="DefaultParagraphFont"/>
    <w:link w:val="BodyText"/>
    <w:rsid w:val="00E842CE"/>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E842CE"/>
    <w:rPr>
      <w:rFonts w:ascii="Arial" w:eastAsiaTheme="majorEastAsia" w:hAnsi="Arial" w:cstheme="majorBidi"/>
      <w:b/>
      <w:i/>
      <w:iCs/>
      <w:color w:val="1F243A" w:themeColor="accent1" w:themeShade="7F"/>
      <w:sz w:val="22"/>
      <w:szCs w:val="24"/>
      <w:lang w:eastAsia="en-US"/>
    </w:rPr>
  </w:style>
  <w:style w:type="paragraph" w:styleId="TOCHeading">
    <w:name w:val="TOC Heading"/>
    <w:basedOn w:val="Heading1"/>
    <w:next w:val="Normal"/>
    <w:uiPriority w:val="39"/>
    <w:unhideWhenUsed/>
    <w:qFormat/>
    <w:rsid w:val="00B0586A"/>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B0586A"/>
    <w:pPr>
      <w:spacing w:after="100"/>
    </w:pPr>
  </w:style>
  <w:style w:type="paragraph" w:styleId="TOC2">
    <w:name w:val="toc 2"/>
    <w:basedOn w:val="Normal"/>
    <w:next w:val="Normal"/>
    <w:autoRedefine/>
    <w:uiPriority w:val="39"/>
    <w:unhideWhenUsed/>
    <w:rsid w:val="00B0586A"/>
    <w:pPr>
      <w:spacing w:after="100"/>
      <w:ind w:left="220"/>
    </w:pPr>
  </w:style>
  <w:style w:type="paragraph" w:styleId="TOC3">
    <w:name w:val="toc 3"/>
    <w:basedOn w:val="Normal"/>
    <w:next w:val="Normal"/>
    <w:autoRedefine/>
    <w:uiPriority w:val="39"/>
    <w:unhideWhenUsed/>
    <w:rsid w:val="00B0586A"/>
    <w:pPr>
      <w:spacing w:after="100"/>
      <w:ind w:left="440"/>
    </w:pPr>
  </w:style>
  <w:style w:type="character" w:styleId="FootnoteReference">
    <w:name w:val="footnote reference"/>
    <w:basedOn w:val="DefaultParagraphFont"/>
    <w:uiPriority w:val="99"/>
    <w:unhideWhenUsed/>
    <w:rsid w:val="00B0586A"/>
    <w:rPr>
      <w:vertAlign w:val="superscript"/>
    </w:rPr>
  </w:style>
  <w:style w:type="character" w:customStyle="1" w:styleId="ListParagraphChar">
    <w:name w:val="List Paragraph Char"/>
    <w:aliases w:val="List Paragraph (numbered (a)) Char,Normal 2 Char,Main numbered paragraph Char,Bullet Points_First Level Char,NFP GP Bulleted List Char,List Paragraph1 Char,Recommendation Char,Figure_name Char,Numbered Indented Text Char,lp1 Char"/>
    <w:basedOn w:val="DefaultParagraphFont"/>
    <w:link w:val="ListParagraph"/>
    <w:uiPriority w:val="34"/>
    <w:locked/>
    <w:rsid w:val="00183788"/>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183788"/>
    <w:rPr>
      <w:color w:val="605E5C"/>
      <w:shd w:val="clear" w:color="auto" w:fill="E1DFDD"/>
    </w:rPr>
  </w:style>
  <w:style w:type="table" w:customStyle="1" w:styleId="TableGrid3">
    <w:name w:val="Table Grid3"/>
    <w:basedOn w:val="TableNormal"/>
    <w:next w:val="TableGrid"/>
    <w:uiPriority w:val="39"/>
    <w:rsid w:val="00B329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ator">
    <w:name w:val="Footnote Separator"/>
    <w:basedOn w:val="Footer"/>
    <w:qFormat/>
    <w:rsid w:val="00C2523D"/>
    <w:pPr>
      <w:tabs>
        <w:tab w:val="clear" w:pos="0"/>
        <w:tab w:val="clear" w:pos="9026"/>
        <w:tab w:val="right" w:pos="9356"/>
        <w:tab w:val="center" w:pos="10036"/>
      </w:tabs>
      <w:suppressAutoHyphens/>
      <w:spacing w:before="180" w:line="200" w:lineRule="atLeast"/>
      <w:jc w:val="left"/>
    </w:pPr>
    <w:rPr>
      <w:rFonts w:asciiTheme="minorHAnsi" w:eastAsiaTheme="minorHAnsi" w:hAnsiTheme="minorHAnsi" w:cstheme="minorBidi"/>
      <w:color w:val="3F4A75" w:themeColor="text2"/>
      <w:sz w:val="16"/>
      <w:szCs w:val="22"/>
      <w:lang w:val="en-GB"/>
    </w:rPr>
  </w:style>
  <w:style w:type="paragraph" w:customStyle="1" w:styleId="Paragraphtext">
    <w:name w:val="Paragraph text"/>
    <w:basedOn w:val="Normal"/>
    <w:qFormat/>
    <w:rsid w:val="00686ABA"/>
    <w:pPr>
      <w:spacing w:after="60" w:line="240" w:lineRule="auto"/>
    </w:pPr>
    <w:rPr>
      <w:sz w:val="21"/>
    </w:rPr>
  </w:style>
  <w:style w:type="character" w:customStyle="1" w:styleId="health-rtestyle-normal2">
    <w:name w:val="health-rtestyle-normal2"/>
    <w:basedOn w:val="DefaultParagraphFont"/>
    <w:rsid w:val="00EB6439"/>
    <w:rPr>
      <w:rFonts w:ascii="Segoe UI" w:hAnsi="Segoe UI" w:cs="Segoe UI" w:hint="default"/>
      <w:color w:val="58595B"/>
      <w:sz w:val="21"/>
      <w:szCs w:val="21"/>
    </w:rPr>
  </w:style>
  <w:style w:type="paragraph" w:customStyle="1" w:styleId="Default">
    <w:name w:val="Default"/>
    <w:rsid w:val="00E719B8"/>
    <w:pPr>
      <w:autoSpaceDE w:val="0"/>
      <w:autoSpaceDN w:val="0"/>
      <w:adjustRightInd w:val="0"/>
    </w:pPr>
    <w:rPr>
      <w:rFonts w:ascii="Calibri" w:eastAsiaTheme="minorHAnsi" w:hAnsi="Calibri" w:cs="Calibri"/>
      <w:color w:val="000000"/>
      <w:sz w:val="24"/>
      <w:szCs w:val="24"/>
      <w:lang w:eastAsia="en-US"/>
    </w:rPr>
  </w:style>
  <w:style w:type="character" w:customStyle="1" w:styleId="NoSpacingChar">
    <w:name w:val="No Spacing Char"/>
    <w:basedOn w:val="DefaultParagraphFont"/>
    <w:link w:val="NoSpacing"/>
    <w:uiPriority w:val="1"/>
    <w:rsid w:val="00D3097E"/>
    <w:rPr>
      <w:sz w:val="24"/>
      <w:szCs w:val="24"/>
      <w:lang w:eastAsia="en-US"/>
    </w:rPr>
  </w:style>
  <w:style w:type="table" w:styleId="GridTable1Light-Accent1">
    <w:name w:val="Grid Table 1 Light Accent 1"/>
    <w:basedOn w:val="TableNormal"/>
    <w:uiPriority w:val="46"/>
    <w:rsid w:val="00030EFF"/>
    <w:rPr>
      <w:rFonts w:asciiTheme="minorHAnsi" w:eastAsiaTheme="minorHAnsi" w:hAnsiTheme="minorHAnsi" w:cstheme="minorBidi"/>
      <w:sz w:val="22"/>
      <w:szCs w:val="22"/>
      <w:lang w:eastAsia="en-US"/>
    </w:rPr>
    <w:tblPr>
      <w:tblStyleRowBandSize w:val="1"/>
      <w:tblStyleColBandSize w:val="1"/>
      <w:tblBorders>
        <w:top w:val="single" w:sz="4" w:space="0" w:color="A9B1D0" w:themeColor="accent1" w:themeTint="66"/>
        <w:left w:val="single" w:sz="4" w:space="0" w:color="A9B1D0" w:themeColor="accent1" w:themeTint="66"/>
        <w:bottom w:val="single" w:sz="4" w:space="0" w:color="A9B1D0" w:themeColor="accent1" w:themeTint="66"/>
        <w:right w:val="single" w:sz="4" w:space="0" w:color="A9B1D0" w:themeColor="accent1" w:themeTint="66"/>
        <w:insideH w:val="single" w:sz="4" w:space="0" w:color="A9B1D0" w:themeColor="accent1" w:themeTint="66"/>
        <w:insideV w:val="single" w:sz="4" w:space="0" w:color="A9B1D0" w:themeColor="accent1" w:themeTint="66"/>
      </w:tblBorders>
    </w:tblPr>
    <w:tblStylePr w:type="firstRow">
      <w:rPr>
        <w:b/>
        <w:bCs/>
      </w:rPr>
      <w:tblPr/>
      <w:tcPr>
        <w:tcBorders>
          <w:bottom w:val="single" w:sz="12" w:space="0" w:color="7E8AB9" w:themeColor="accent1" w:themeTint="99"/>
        </w:tcBorders>
      </w:tcPr>
    </w:tblStylePr>
    <w:tblStylePr w:type="lastRow">
      <w:rPr>
        <w:b/>
        <w:bCs/>
      </w:rPr>
      <w:tblPr/>
      <w:tcPr>
        <w:tcBorders>
          <w:top w:val="double" w:sz="2" w:space="0" w:color="7E8AB9"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9E0AD4"/>
    <w:rPr>
      <w:sz w:val="16"/>
      <w:szCs w:val="16"/>
    </w:rPr>
  </w:style>
  <w:style w:type="paragraph" w:styleId="CommentText">
    <w:name w:val="annotation text"/>
    <w:basedOn w:val="Normal"/>
    <w:link w:val="CommentTextChar"/>
    <w:unhideWhenUsed/>
    <w:rsid w:val="009E0AD4"/>
    <w:pPr>
      <w:spacing w:line="240" w:lineRule="auto"/>
    </w:pPr>
    <w:rPr>
      <w:sz w:val="20"/>
      <w:szCs w:val="20"/>
    </w:rPr>
  </w:style>
  <w:style w:type="character" w:customStyle="1" w:styleId="CommentTextChar">
    <w:name w:val="Comment Text Char"/>
    <w:basedOn w:val="DefaultParagraphFont"/>
    <w:link w:val="CommentText"/>
    <w:rsid w:val="009E0AD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9E0AD4"/>
    <w:rPr>
      <w:b/>
      <w:bCs/>
    </w:rPr>
  </w:style>
  <w:style w:type="character" w:customStyle="1" w:styleId="CommentSubjectChar">
    <w:name w:val="Comment Subject Char"/>
    <w:basedOn w:val="CommentTextChar"/>
    <w:link w:val="CommentSubject"/>
    <w:semiHidden/>
    <w:rsid w:val="009E0AD4"/>
    <w:rPr>
      <w:rFonts w:ascii="Arial" w:hAnsi="Arial"/>
      <w:b/>
      <w:bCs/>
      <w:color w:val="000000" w:themeColor="text1"/>
      <w:lang w:eastAsia="en-US"/>
    </w:rPr>
  </w:style>
  <w:style w:type="character" w:styleId="FollowedHyperlink">
    <w:name w:val="FollowedHyperlink"/>
    <w:basedOn w:val="DefaultParagraphFont"/>
    <w:semiHidden/>
    <w:unhideWhenUsed/>
    <w:rsid w:val="00873049"/>
    <w:rPr>
      <w:color w:val="800080" w:themeColor="followedHyperlink"/>
      <w:u w:val="single"/>
    </w:rPr>
  </w:style>
  <w:style w:type="paragraph" w:customStyle="1" w:styleId="CERbullets">
    <w:name w:val="CER bullets"/>
    <w:basedOn w:val="Normal"/>
    <w:link w:val="CERbulletsChar"/>
    <w:uiPriority w:val="7"/>
    <w:qFormat/>
    <w:rsid w:val="00C90A38"/>
    <w:pPr>
      <w:numPr>
        <w:numId w:val="6"/>
      </w:numPr>
      <w:spacing w:line="240" w:lineRule="auto"/>
    </w:pPr>
    <w:rPr>
      <w:rFonts w:ascii="Calibri" w:eastAsia="Cambria" w:hAnsi="Calibri" w:cs="Calibri"/>
      <w:color w:val="auto"/>
    </w:rPr>
  </w:style>
  <w:style w:type="character" w:customStyle="1" w:styleId="CERbulletsChar">
    <w:name w:val="CER bullets Char"/>
    <w:basedOn w:val="DefaultParagraphFont"/>
    <w:link w:val="CERbullets"/>
    <w:uiPriority w:val="7"/>
    <w:rsid w:val="00C90A38"/>
    <w:rPr>
      <w:rFonts w:ascii="Calibri" w:eastAsia="Cambria" w:hAnsi="Calibri" w:cs="Calibri"/>
      <w:sz w:val="22"/>
      <w:szCs w:val="24"/>
      <w:lang w:eastAsia="en-US"/>
    </w:rPr>
  </w:style>
  <w:style w:type="character" w:customStyle="1" w:styleId="Hyperlink1">
    <w:name w:val="Hyperlink1"/>
    <w:basedOn w:val="DefaultParagraphFont"/>
    <w:uiPriority w:val="99"/>
    <w:rsid w:val="001A568D"/>
    <w:rPr>
      <w:color w:val="0000FF"/>
      <w:u w:val="single"/>
    </w:rPr>
  </w:style>
  <w:style w:type="paragraph" w:styleId="EndnoteText">
    <w:name w:val="endnote text"/>
    <w:basedOn w:val="Normal"/>
    <w:link w:val="EndnoteTextChar"/>
    <w:uiPriority w:val="99"/>
    <w:semiHidden/>
    <w:unhideWhenUsed/>
    <w:rsid w:val="001A568D"/>
    <w:pPr>
      <w:suppressAutoHyphens/>
      <w:autoSpaceDE w:val="0"/>
      <w:autoSpaceDN w:val="0"/>
      <w:adjustRightInd w:val="0"/>
      <w:spacing w:before="0" w:after="0" w:line="240" w:lineRule="auto"/>
      <w:textAlignment w:val="center"/>
    </w:pPr>
    <w:rPr>
      <w:rFonts w:asciiTheme="minorHAnsi" w:hAnsiTheme="minorHAnsi" w:cs="Verdana"/>
      <w:color w:val="000000"/>
      <w:sz w:val="20"/>
      <w:szCs w:val="20"/>
      <w:lang w:val="en-GB" w:eastAsia="en-AU"/>
    </w:rPr>
  </w:style>
  <w:style w:type="character" w:customStyle="1" w:styleId="EndnoteTextChar">
    <w:name w:val="Endnote Text Char"/>
    <w:basedOn w:val="DefaultParagraphFont"/>
    <w:link w:val="EndnoteText"/>
    <w:uiPriority w:val="99"/>
    <w:semiHidden/>
    <w:rsid w:val="001A568D"/>
    <w:rPr>
      <w:rFonts w:asciiTheme="minorHAnsi" w:hAnsiTheme="minorHAnsi" w:cs="Verdana"/>
      <w:color w:val="000000"/>
      <w:lang w:val="en-GB"/>
    </w:rPr>
  </w:style>
  <w:style w:type="character" w:styleId="EndnoteReference">
    <w:name w:val="endnote reference"/>
    <w:basedOn w:val="DefaultParagraphFont"/>
    <w:uiPriority w:val="99"/>
    <w:semiHidden/>
    <w:unhideWhenUsed/>
    <w:rsid w:val="001A568D"/>
    <w:rPr>
      <w:vertAlign w:val="superscript"/>
    </w:rPr>
  </w:style>
  <w:style w:type="paragraph" w:customStyle="1" w:styleId="StyleBoxtypeforFCCP">
    <w:name w:val="Style Box type for FCCP"/>
    <w:basedOn w:val="Boxtype"/>
    <w:rsid w:val="00102B5C"/>
    <w:pPr>
      <w:pBdr>
        <w:top w:val="single" w:sz="6" w:space="11" w:color="358189"/>
      </w:pBdr>
      <w:shd w:val="clear" w:color="auto" w:fill="B3DEF2"/>
    </w:pPr>
    <w:rPr>
      <w:rFonts w:cs="Times New Roman"/>
      <w:szCs w:val="20"/>
    </w:rPr>
  </w:style>
  <w:style w:type="paragraph" w:customStyle="1" w:styleId="StyleBoxtypeTopSinglesolidlineCustomColorRGB531291">
    <w:name w:val="Style Box type + Top: (Single solid line Custom Color(RGB(531291..."/>
    <w:basedOn w:val="Boxtype"/>
    <w:qFormat/>
    <w:rsid w:val="002E12EB"/>
    <w:pPr>
      <w:pBdr>
        <w:top w:val="single" w:sz="6" w:space="11" w:color="358189"/>
      </w:pBdr>
      <w:shd w:val="clear" w:color="auto" w:fill="B3DEF2"/>
    </w:pPr>
    <w:rPr>
      <w:rFonts w:cs="Times New Roman"/>
      <w:szCs w:val="20"/>
    </w:rPr>
  </w:style>
  <w:style w:type="paragraph" w:styleId="Revision">
    <w:name w:val="Revision"/>
    <w:hidden/>
    <w:uiPriority w:val="99"/>
    <w:semiHidden/>
    <w:rsid w:val="00B25B70"/>
    <w:rPr>
      <w:rFonts w:ascii="Arial" w:hAnsi="Arial"/>
      <w:color w:val="000000" w:themeColor="text1"/>
      <w:sz w:val="22"/>
      <w:szCs w:val="24"/>
      <w:lang w:eastAsia="en-US"/>
    </w:rPr>
  </w:style>
  <w:style w:type="character" w:customStyle="1" w:styleId="normaltextrun">
    <w:name w:val="normaltextrun"/>
    <w:basedOn w:val="DefaultParagraphFont"/>
    <w:rsid w:val="009F4017"/>
  </w:style>
  <w:style w:type="character" w:customStyle="1" w:styleId="eop">
    <w:name w:val="eop"/>
    <w:basedOn w:val="DefaultParagraphFont"/>
    <w:rsid w:val="00E5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496">
      <w:bodyDiv w:val="1"/>
      <w:marLeft w:val="0"/>
      <w:marRight w:val="0"/>
      <w:marTop w:val="0"/>
      <w:marBottom w:val="0"/>
      <w:divBdr>
        <w:top w:val="none" w:sz="0" w:space="0" w:color="auto"/>
        <w:left w:val="none" w:sz="0" w:space="0" w:color="auto"/>
        <w:bottom w:val="none" w:sz="0" w:space="0" w:color="auto"/>
        <w:right w:val="none" w:sz="0" w:space="0" w:color="auto"/>
      </w:divBdr>
      <w:divsChild>
        <w:div w:id="279453414">
          <w:marLeft w:val="547"/>
          <w:marRight w:val="0"/>
          <w:marTop w:val="0"/>
          <w:marBottom w:val="0"/>
          <w:divBdr>
            <w:top w:val="none" w:sz="0" w:space="0" w:color="auto"/>
            <w:left w:val="none" w:sz="0" w:space="0" w:color="auto"/>
            <w:bottom w:val="none" w:sz="0" w:space="0" w:color="auto"/>
            <w:right w:val="none" w:sz="0" w:space="0" w:color="auto"/>
          </w:divBdr>
        </w:div>
      </w:divsChild>
    </w:div>
    <w:div w:id="37553240">
      <w:bodyDiv w:val="1"/>
      <w:marLeft w:val="0"/>
      <w:marRight w:val="0"/>
      <w:marTop w:val="0"/>
      <w:marBottom w:val="0"/>
      <w:divBdr>
        <w:top w:val="none" w:sz="0" w:space="0" w:color="auto"/>
        <w:left w:val="none" w:sz="0" w:space="0" w:color="auto"/>
        <w:bottom w:val="none" w:sz="0" w:space="0" w:color="auto"/>
        <w:right w:val="none" w:sz="0" w:space="0" w:color="auto"/>
      </w:divBdr>
    </w:div>
    <w:div w:id="139352385">
      <w:bodyDiv w:val="1"/>
      <w:marLeft w:val="0"/>
      <w:marRight w:val="0"/>
      <w:marTop w:val="0"/>
      <w:marBottom w:val="0"/>
      <w:divBdr>
        <w:top w:val="none" w:sz="0" w:space="0" w:color="auto"/>
        <w:left w:val="none" w:sz="0" w:space="0" w:color="auto"/>
        <w:bottom w:val="none" w:sz="0" w:space="0" w:color="auto"/>
        <w:right w:val="none" w:sz="0" w:space="0" w:color="auto"/>
      </w:divBdr>
      <w:divsChild>
        <w:div w:id="709066684">
          <w:marLeft w:val="547"/>
          <w:marRight w:val="0"/>
          <w:marTop w:val="0"/>
          <w:marBottom w:val="0"/>
          <w:divBdr>
            <w:top w:val="none" w:sz="0" w:space="0" w:color="auto"/>
            <w:left w:val="none" w:sz="0" w:space="0" w:color="auto"/>
            <w:bottom w:val="none" w:sz="0" w:space="0" w:color="auto"/>
            <w:right w:val="none" w:sz="0" w:space="0" w:color="auto"/>
          </w:divBdr>
        </w:div>
      </w:divsChild>
    </w:div>
    <w:div w:id="2896744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860264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8447956">
      <w:bodyDiv w:val="1"/>
      <w:marLeft w:val="0"/>
      <w:marRight w:val="0"/>
      <w:marTop w:val="0"/>
      <w:marBottom w:val="0"/>
      <w:divBdr>
        <w:top w:val="none" w:sz="0" w:space="0" w:color="auto"/>
        <w:left w:val="none" w:sz="0" w:space="0" w:color="auto"/>
        <w:bottom w:val="none" w:sz="0" w:space="0" w:color="auto"/>
        <w:right w:val="none" w:sz="0" w:space="0" w:color="auto"/>
      </w:divBdr>
    </w:div>
    <w:div w:id="510409852">
      <w:bodyDiv w:val="1"/>
      <w:marLeft w:val="0"/>
      <w:marRight w:val="0"/>
      <w:marTop w:val="0"/>
      <w:marBottom w:val="0"/>
      <w:divBdr>
        <w:top w:val="none" w:sz="0" w:space="0" w:color="auto"/>
        <w:left w:val="none" w:sz="0" w:space="0" w:color="auto"/>
        <w:bottom w:val="none" w:sz="0" w:space="0" w:color="auto"/>
        <w:right w:val="none" w:sz="0" w:space="0" w:color="auto"/>
      </w:divBdr>
    </w:div>
    <w:div w:id="572591142">
      <w:bodyDiv w:val="1"/>
      <w:marLeft w:val="0"/>
      <w:marRight w:val="0"/>
      <w:marTop w:val="0"/>
      <w:marBottom w:val="0"/>
      <w:divBdr>
        <w:top w:val="none" w:sz="0" w:space="0" w:color="auto"/>
        <w:left w:val="none" w:sz="0" w:space="0" w:color="auto"/>
        <w:bottom w:val="none" w:sz="0" w:space="0" w:color="auto"/>
        <w:right w:val="none" w:sz="0" w:space="0" w:color="auto"/>
      </w:divBdr>
      <w:divsChild>
        <w:div w:id="1918856451">
          <w:marLeft w:val="547"/>
          <w:marRight w:val="0"/>
          <w:marTop w:val="0"/>
          <w:marBottom w:val="0"/>
          <w:divBdr>
            <w:top w:val="none" w:sz="0" w:space="0" w:color="auto"/>
            <w:left w:val="none" w:sz="0" w:space="0" w:color="auto"/>
            <w:bottom w:val="none" w:sz="0" w:space="0" w:color="auto"/>
            <w:right w:val="none" w:sz="0" w:space="0" w:color="auto"/>
          </w:divBdr>
        </w:div>
      </w:divsChild>
    </w:div>
    <w:div w:id="57385281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8289895">
      <w:bodyDiv w:val="1"/>
      <w:marLeft w:val="0"/>
      <w:marRight w:val="0"/>
      <w:marTop w:val="0"/>
      <w:marBottom w:val="0"/>
      <w:divBdr>
        <w:top w:val="none" w:sz="0" w:space="0" w:color="auto"/>
        <w:left w:val="none" w:sz="0" w:space="0" w:color="auto"/>
        <w:bottom w:val="none" w:sz="0" w:space="0" w:color="auto"/>
        <w:right w:val="none" w:sz="0" w:space="0" w:color="auto"/>
      </w:divBdr>
      <w:divsChild>
        <w:div w:id="1186017941">
          <w:marLeft w:val="547"/>
          <w:marRight w:val="0"/>
          <w:marTop w:val="0"/>
          <w:marBottom w:val="0"/>
          <w:divBdr>
            <w:top w:val="none" w:sz="0" w:space="0" w:color="auto"/>
            <w:left w:val="none" w:sz="0" w:space="0" w:color="auto"/>
            <w:bottom w:val="none" w:sz="0" w:space="0" w:color="auto"/>
            <w:right w:val="none" w:sz="0" w:space="0" w:color="auto"/>
          </w:divBdr>
        </w:div>
      </w:divsChild>
    </w:div>
    <w:div w:id="650059857">
      <w:bodyDiv w:val="1"/>
      <w:marLeft w:val="0"/>
      <w:marRight w:val="0"/>
      <w:marTop w:val="0"/>
      <w:marBottom w:val="0"/>
      <w:divBdr>
        <w:top w:val="none" w:sz="0" w:space="0" w:color="auto"/>
        <w:left w:val="none" w:sz="0" w:space="0" w:color="auto"/>
        <w:bottom w:val="none" w:sz="0" w:space="0" w:color="auto"/>
        <w:right w:val="none" w:sz="0" w:space="0" w:color="auto"/>
      </w:divBdr>
      <w:divsChild>
        <w:div w:id="598413401">
          <w:marLeft w:val="547"/>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6627477">
      <w:bodyDiv w:val="1"/>
      <w:marLeft w:val="0"/>
      <w:marRight w:val="0"/>
      <w:marTop w:val="0"/>
      <w:marBottom w:val="0"/>
      <w:divBdr>
        <w:top w:val="none" w:sz="0" w:space="0" w:color="auto"/>
        <w:left w:val="none" w:sz="0" w:space="0" w:color="auto"/>
        <w:bottom w:val="none" w:sz="0" w:space="0" w:color="auto"/>
        <w:right w:val="none" w:sz="0" w:space="0" w:color="auto"/>
      </w:divBdr>
    </w:div>
    <w:div w:id="807892045">
      <w:bodyDiv w:val="1"/>
      <w:marLeft w:val="0"/>
      <w:marRight w:val="0"/>
      <w:marTop w:val="0"/>
      <w:marBottom w:val="0"/>
      <w:divBdr>
        <w:top w:val="none" w:sz="0" w:space="0" w:color="auto"/>
        <w:left w:val="none" w:sz="0" w:space="0" w:color="auto"/>
        <w:bottom w:val="none" w:sz="0" w:space="0" w:color="auto"/>
        <w:right w:val="none" w:sz="0" w:space="0" w:color="auto"/>
      </w:divBdr>
      <w:divsChild>
        <w:div w:id="1185896529">
          <w:marLeft w:val="547"/>
          <w:marRight w:val="0"/>
          <w:marTop w:val="0"/>
          <w:marBottom w:val="0"/>
          <w:divBdr>
            <w:top w:val="none" w:sz="0" w:space="0" w:color="auto"/>
            <w:left w:val="none" w:sz="0" w:space="0" w:color="auto"/>
            <w:bottom w:val="none" w:sz="0" w:space="0" w:color="auto"/>
            <w:right w:val="none" w:sz="0" w:space="0" w:color="auto"/>
          </w:divBdr>
        </w:div>
      </w:divsChild>
    </w:div>
    <w:div w:id="861016217">
      <w:bodyDiv w:val="1"/>
      <w:marLeft w:val="0"/>
      <w:marRight w:val="0"/>
      <w:marTop w:val="0"/>
      <w:marBottom w:val="0"/>
      <w:divBdr>
        <w:top w:val="none" w:sz="0" w:space="0" w:color="auto"/>
        <w:left w:val="none" w:sz="0" w:space="0" w:color="auto"/>
        <w:bottom w:val="none" w:sz="0" w:space="0" w:color="auto"/>
        <w:right w:val="none" w:sz="0" w:space="0" w:color="auto"/>
      </w:divBdr>
    </w:div>
    <w:div w:id="871068631">
      <w:bodyDiv w:val="1"/>
      <w:marLeft w:val="0"/>
      <w:marRight w:val="0"/>
      <w:marTop w:val="0"/>
      <w:marBottom w:val="0"/>
      <w:divBdr>
        <w:top w:val="none" w:sz="0" w:space="0" w:color="auto"/>
        <w:left w:val="none" w:sz="0" w:space="0" w:color="auto"/>
        <w:bottom w:val="none" w:sz="0" w:space="0" w:color="auto"/>
        <w:right w:val="none" w:sz="0" w:space="0" w:color="auto"/>
      </w:divBdr>
    </w:div>
    <w:div w:id="960569217">
      <w:bodyDiv w:val="1"/>
      <w:marLeft w:val="0"/>
      <w:marRight w:val="0"/>
      <w:marTop w:val="0"/>
      <w:marBottom w:val="0"/>
      <w:divBdr>
        <w:top w:val="none" w:sz="0" w:space="0" w:color="auto"/>
        <w:left w:val="none" w:sz="0" w:space="0" w:color="auto"/>
        <w:bottom w:val="none" w:sz="0" w:space="0" w:color="auto"/>
        <w:right w:val="none" w:sz="0" w:space="0" w:color="auto"/>
      </w:divBdr>
      <w:divsChild>
        <w:div w:id="926155377">
          <w:marLeft w:val="547"/>
          <w:marRight w:val="0"/>
          <w:marTop w:val="0"/>
          <w:marBottom w:val="0"/>
          <w:divBdr>
            <w:top w:val="none" w:sz="0" w:space="0" w:color="auto"/>
            <w:left w:val="none" w:sz="0" w:space="0" w:color="auto"/>
            <w:bottom w:val="none" w:sz="0" w:space="0" w:color="auto"/>
            <w:right w:val="none" w:sz="0" w:space="0" w:color="auto"/>
          </w:divBdr>
        </w:div>
      </w:divsChild>
    </w:div>
    <w:div w:id="1105157070">
      <w:bodyDiv w:val="1"/>
      <w:marLeft w:val="0"/>
      <w:marRight w:val="0"/>
      <w:marTop w:val="0"/>
      <w:marBottom w:val="0"/>
      <w:divBdr>
        <w:top w:val="none" w:sz="0" w:space="0" w:color="auto"/>
        <w:left w:val="none" w:sz="0" w:space="0" w:color="auto"/>
        <w:bottom w:val="none" w:sz="0" w:space="0" w:color="auto"/>
        <w:right w:val="none" w:sz="0" w:space="0" w:color="auto"/>
      </w:divBdr>
      <w:divsChild>
        <w:div w:id="1832217419">
          <w:marLeft w:val="547"/>
          <w:marRight w:val="0"/>
          <w:marTop w:val="0"/>
          <w:marBottom w:val="0"/>
          <w:divBdr>
            <w:top w:val="none" w:sz="0" w:space="0" w:color="auto"/>
            <w:left w:val="none" w:sz="0" w:space="0" w:color="auto"/>
            <w:bottom w:val="none" w:sz="0" w:space="0" w:color="auto"/>
            <w:right w:val="none" w:sz="0" w:space="0" w:color="auto"/>
          </w:divBdr>
        </w:div>
      </w:divsChild>
    </w:div>
    <w:div w:id="1106968668">
      <w:bodyDiv w:val="1"/>
      <w:marLeft w:val="0"/>
      <w:marRight w:val="0"/>
      <w:marTop w:val="0"/>
      <w:marBottom w:val="0"/>
      <w:divBdr>
        <w:top w:val="none" w:sz="0" w:space="0" w:color="auto"/>
        <w:left w:val="none" w:sz="0" w:space="0" w:color="auto"/>
        <w:bottom w:val="none" w:sz="0" w:space="0" w:color="auto"/>
        <w:right w:val="none" w:sz="0" w:space="0" w:color="auto"/>
      </w:divBdr>
    </w:div>
    <w:div w:id="117102700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7469708">
      <w:bodyDiv w:val="1"/>
      <w:marLeft w:val="0"/>
      <w:marRight w:val="0"/>
      <w:marTop w:val="0"/>
      <w:marBottom w:val="0"/>
      <w:divBdr>
        <w:top w:val="none" w:sz="0" w:space="0" w:color="auto"/>
        <w:left w:val="none" w:sz="0" w:space="0" w:color="auto"/>
        <w:bottom w:val="none" w:sz="0" w:space="0" w:color="auto"/>
        <w:right w:val="none" w:sz="0" w:space="0" w:color="auto"/>
      </w:divBdr>
    </w:div>
    <w:div w:id="1242835141">
      <w:bodyDiv w:val="1"/>
      <w:marLeft w:val="0"/>
      <w:marRight w:val="0"/>
      <w:marTop w:val="0"/>
      <w:marBottom w:val="0"/>
      <w:divBdr>
        <w:top w:val="none" w:sz="0" w:space="0" w:color="auto"/>
        <w:left w:val="none" w:sz="0" w:space="0" w:color="auto"/>
        <w:bottom w:val="none" w:sz="0" w:space="0" w:color="auto"/>
        <w:right w:val="none" w:sz="0" w:space="0" w:color="auto"/>
      </w:divBdr>
      <w:divsChild>
        <w:div w:id="352730675">
          <w:marLeft w:val="547"/>
          <w:marRight w:val="0"/>
          <w:marTop w:val="0"/>
          <w:marBottom w:val="0"/>
          <w:divBdr>
            <w:top w:val="none" w:sz="0" w:space="0" w:color="auto"/>
            <w:left w:val="none" w:sz="0" w:space="0" w:color="auto"/>
            <w:bottom w:val="none" w:sz="0" w:space="0" w:color="auto"/>
            <w:right w:val="none" w:sz="0" w:space="0" w:color="auto"/>
          </w:divBdr>
        </w:div>
      </w:divsChild>
    </w:div>
    <w:div w:id="1345519924">
      <w:bodyDiv w:val="1"/>
      <w:marLeft w:val="0"/>
      <w:marRight w:val="0"/>
      <w:marTop w:val="0"/>
      <w:marBottom w:val="0"/>
      <w:divBdr>
        <w:top w:val="none" w:sz="0" w:space="0" w:color="auto"/>
        <w:left w:val="none" w:sz="0" w:space="0" w:color="auto"/>
        <w:bottom w:val="none" w:sz="0" w:space="0" w:color="auto"/>
        <w:right w:val="none" w:sz="0" w:space="0" w:color="auto"/>
      </w:divBdr>
    </w:div>
    <w:div w:id="1402676690">
      <w:bodyDiv w:val="1"/>
      <w:marLeft w:val="0"/>
      <w:marRight w:val="0"/>
      <w:marTop w:val="0"/>
      <w:marBottom w:val="0"/>
      <w:divBdr>
        <w:top w:val="none" w:sz="0" w:space="0" w:color="auto"/>
        <w:left w:val="none" w:sz="0" w:space="0" w:color="auto"/>
        <w:bottom w:val="none" w:sz="0" w:space="0" w:color="auto"/>
        <w:right w:val="none" w:sz="0" w:space="0" w:color="auto"/>
      </w:divBdr>
    </w:div>
    <w:div w:id="1403092901">
      <w:bodyDiv w:val="1"/>
      <w:marLeft w:val="0"/>
      <w:marRight w:val="0"/>
      <w:marTop w:val="0"/>
      <w:marBottom w:val="0"/>
      <w:divBdr>
        <w:top w:val="none" w:sz="0" w:space="0" w:color="auto"/>
        <w:left w:val="none" w:sz="0" w:space="0" w:color="auto"/>
        <w:bottom w:val="none" w:sz="0" w:space="0" w:color="auto"/>
        <w:right w:val="none" w:sz="0" w:space="0" w:color="auto"/>
      </w:divBdr>
    </w:div>
    <w:div w:id="1433552351">
      <w:bodyDiv w:val="1"/>
      <w:marLeft w:val="0"/>
      <w:marRight w:val="0"/>
      <w:marTop w:val="0"/>
      <w:marBottom w:val="0"/>
      <w:divBdr>
        <w:top w:val="none" w:sz="0" w:space="0" w:color="auto"/>
        <w:left w:val="none" w:sz="0" w:space="0" w:color="auto"/>
        <w:bottom w:val="none" w:sz="0" w:space="0" w:color="auto"/>
        <w:right w:val="none" w:sz="0" w:space="0" w:color="auto"/>
      </w:divBdr>
      <w:divsChild>
        <w:div w:id="426776056">
          <w:marLeft w:val="547"/>
          <w:marRight w:val="0"/>
          <w:marTop w:val="0"/>
          <w:marBottom w:val="0"/>
          <w:divBdr>
            <w:top w:val="none" w:sz="0" w:space="0" w:color="auto"/>
            <w:left w:val="none" w:sz="0" w:space="0" w:color="auto"/>
            <w:bottom w:val="none" w:sz="0" w:space="0" w:color="auto"/>
            <w:right w:val="none" w:sz="0" w:space="0" w:color="auto"/>
          </w:divBdr>
        </w:div>
      </w:divsChild>
    </w:div>
    <w:div w:id="1453598983">
      <w:bodyDiv w:val="1"/>
      <w:marLeft w:val="0"/>
      <w:marRight w:val="0"/>
      <w:marTop w:val="0"/>
      <w:marBottom w:val="0"/>
      <w:divBdr>
        <w:top w:val="none" w:sz="0" w:space="0" w:color="auto"/>
        <w:left w:val="none" w:sz="0" w:space="0" w:color="auto"/>
        <w:bottom w:val="none" w:sz="0" w:space="0" w:color="auto"/>
        <w:right w:val="none" w:sz="0" w:space="0" w:color="auto"/>
      </w:divBdr>
      <w:divsChild>
        <w:div w:id="1243370891">
          <w:marLeft w:val="547"/>
          <w:marRight w:val="0"/>
          <w:marTop w:val="0"/>
          <w:marBottom w:val="0"/>
          <w:divBdr>
            <w:top w:val="none" w:sz="0" w:space="0" w:color="auto"/>
            <w:left w:val="none" w:sz="0" w:space="0" w:color="auto"/>
            <w:bottom w:val="none" w:sz="0" w:space="0" w:color="auto"/>
            <w:right w:val="none" w:sz="0" w:space="0" w:color="auto"/>
          </w:divBdr>
        </w:div>
      </w:divsChild>
    </w:div>
    <w:div w:id="1485197670">
      <w:bodyDiv w:val="1"/>
      <w:marLeft w:val="0"/>
      <w:marRight w:val="0"/>
      <w:marTop w:val="0"/>
      <w:marBottom w:val="0"/>
      <w:divBdr>
        <w:top w:val="none" w:sz="0" w:space="0" w:color="auto"/>
        <w:left w:val="none" w:sz="0" w:space="0" w:color="auto"/>
        <w:bottom w:val="none" w:sz="0" w:space="0" w:color="auto"/>
        <w:right w:val="none" w:sz="0" w:space="0" w:color="auto"/>
      </w:divBdr>
    </w:div>
    <w:div w:id="1552184407">
      <w:bodyDiv w:val="1"/>
      <w:marLeft w:val="0"/>
      <w:marRight w:val="0"/>
      <w:marTop w:val="0"/>
      <w:marBottom w:val="0"/>
      <w:divBdr>
        <w:top w:val="none" w:sz="0" w:space="0" w:color="auto"/>
        <w:left w:val="none" w:sz="0" w:space="0" w:color="auto"/>
        <w:bottom w:val="none" w:sz="0" w:space="0" w:color="auto"/>
        <w:right w:val="none" w:sz="0" w:space="0" w:color="auto"/>
      </w:divBdr>
    </w:div>
    <w:div w:id="1552615367">
      <w:bodyDiv w:val="1"/>
      <w:marLeft w:val="0"/>
      <w:marRight w:val="0"/>
      <w:marTop w:val="0"/>
      <w:marBottom w:val="0"/>
      <w:divBdr>
        <w:top w:val="none" w:sz="0" w:space="0" w:color="auto"/>
        <w:left w:val="none" w:sz="0" w:space="0" w:color="auto"/>
        <w:bottom w:val="none" w:sz="0" w:space="0" w:color="auto"/>
        <w:right w:val="none" w:sz="0" w:space="0" w:color="auto"/>
      </w:divBdr>
    </w:div>
    <w:div w:id="1570267250">
      <w:bodyDiv w:val="1"/>
      <w:marLeft w:val="0"/>
      <w:marRight w:val="0"/>
      <w:marTop w:val="0"/>
      <w:marBottom w:val="0"/>
      <w:divBdr>
        <w:top w:val="none" w:sz="0" w:space="0" w:color="auto"/>
        <w:left w:val="none" w:sz="0" w:space="0" w:color="auto"/>
        <w:bottom w:val="none" w:sz="0" w:space="0" w:color="auto"/>
        <w:right w:val="none" w:sz="0" w:space="0" w:color="auto"/>
      </w:divBdr>
      <w:divsChild>
        <w:div w:id="432358621">
          <w:marLeft w:val="547"/>
          <w:marRight w:val="0"/>
          <w:marTop w:val="0"/>
          <w:marBottom w:val="0"/>
          <w:divBdr>
            <w:top w:val="none" w:sz="0" w:space="0" w:color="auto"/>
            <w:left w:val="none" w:sz="0" w:space="0" w:color="auto"/>
            <w:bottom w:val="none" w:sz="0" w:space="0" w:color="auto"/>
            <w:right w:val="none" w:sz="0" w:space="0" w:color="auto"/>
          </w:divBdr>
        </w:div>
      </w:divsChild>
    </w:div>
    <w:div w:id="1661276337">
      <w:bodyDiv w:val="1"/>
      <w:marLeft w:val="0"/>
      <w:marRight w:val="0"/>
      <w:marTop w:val="0"/>
      <w:marBottom w:val="0"/>
      <w:divBdr>
        <w:top w:val="none" w:sz="0" w:space="0" w:color="auto"/>
        <w:left w:val="none" w:sz="0" w:space="0" w:color="auto"/>
        <w:bottom w:val="none" w:sz="0" w:space="0" w:color="auto"/>
        <w:right w:val="none" w:sz="0" w:space="0" w:color="auto"/>
      </w:divBdr>
      <w:divsChild>
        <w:div w:id="677385513">
          <w:marLeft w:val="0"/>
          <w:marRight w:val="0"/>
          <w:marTop w:val="120"/>
          <w:marBottom w:val="60"/>
          <w:divBdr>
            <w:top w:val="none" w:sz="0" w:space="0" w:color="auto"/>
            <w:left w:val="none" w:sz="0" w:space="0" w:color="auto"/>
            <w:bottom w:val="none" w:sz="0" w:space="0" w:color="auto"/>
            <w:right w:val="none" w:sz="0" w:space="0" w:color="auto"/>
          </w:divBdr>
        </w:div>
      </w:divsChild>
    </w:div>
    <w:div w:id="1699888185">
      <w:bodyDiv w:val="1"/>
      <w:marLeft w:val="0"/>
      <w:marRight w:val="0"/>
      <w:marTop w:val="0"/>
      <w:marBottom w:val="0"/>
      <w:divBdr>
        <w:top w:val="none" w:sz="0" w:space="0" w:color="auto"/>
        <w:left w:val="none" w:sz="0" w:space="0" w:color="auto"/>
        <w:bottom w:val="none" w:sz="0" w:space="0" w:color="auto"/>
        <w:right w:val="none" w:sz="0" w:space="0" w:color="auto"/>
      </w:divBdr>
    </w:div>
    <w:div w:id="1712655772">
      <w:bodyDiv w:val="1"/>
      <w:marLeft w:val="0"/>
      <w:marRight w:val="0"/>
      <w:marTop w:val="0"/>
      <w:marBottom w:val="0"/>
      <w:divBdr>
        <w:top w:val="none" w:sz="0" w:space="0" w:color="auto"/>
        <w:left w:val="none" w:sz="0" w:space="0" w:color="auto"/>
        <w:bottom w:val="none" w:sz="0" w:space="0" w:color="auto"/>
        <w:right w:val="none" w:sz="0" w:space="0" w:color="auto"/>
      </w:divBdr>
    </w:div>
    <w:div w:id="1773472031">
      <w:bodyDiv w:val="1"/>
      <w:marLeft w:val="0"/>
      <w:marRight w:val="0"/>
      <w:marTop w:val="0"/>
      <w:marBottom w:val="0"/>
      <w:divBdr>
        <w:top w:val="none" w:sz="0" w:space="0" w:color="auto"/>
        <w:left w:val="none" w:sz="0" w:space="0" w:color="auto"/>
        <w:bottom w:val="none" w:sz="0" w:space="0" w:color="auto"/>
        <w:right w:val="none" w:sz="0" w:space="0" w:color="auto"/>
      </w:divBdr>
    </w:div>
    <w:div w:id="1793356569">
      <w:bodyDiv w:val="1"/>
      <w:marLeft w:val="0"/>
      <w:marRight w:val="0"/>
      <w:marTop w:val="0"/>
      <w:marBottom w:val="0"/>
      <w:divBdr>
        <w:top w:val="none" w:sz="0" w:space="0" w:color="auto"/>
        <w:left w:val="none" w:sz="0" w:space="0" w:color="auto"/>
        <w:bottom w:val="none" w:sz="0" w:space="0" w:color="auto"/>
        <w:right w:val="none" w:sz="0" w:space="0" w:color="auto"/>
      </w:divBdr>
    </w:div>
    <w:div w:id="1793471960">
      <w:bodyDiv w:val="1"/>
      <w:marLeft w:val="0"/>
      <w:marRight w:val="0"/>
      <w:marTop w:val="0"/>
      <w:marBottom w:val="0"/>
      <w:divBdr>
        <w:top w:val="none" w:sz="0" w:space="0" w:color="auto"/>
        <w:left w:val="none" w:sz="0" w:space="0" w:color="auto"/>
        <w:bottom w:val="none" w:sz="0" w:space="0" w:color="auto"/>
        <w:right w:val="none" w:sz="0" w:space="0" w:color="auto"/>
      </w:divBdr>
    </w:div>
    <w:div w:id="1802965905">
      <w:bodyDiv w:val="1"/>
      <w:marLeft w:val="0"/>
      <w:marRight w:val="0"/>
      <w:marTop w:val="0"/>
      <w:marBottom w:val="0"/>
      <w:divBdr>
        <w:top w:val="none" w:sz="0" w:space="0" w:color="auto"/>
        <w:left w:val="none" w:sz="0" w:space="0" w:color="auto"/>
        <w:bottom w:val="none" w:sz="0" w:space="0" w:color="auto"/>
        <w:right w:val="none" w:sz="0" w:space="0" w:color="auto"/>
      </w:divBdr>
    </w:div>
    <w:div w:id="1809854588">
      <w:bodyDiv w:val="1"/>
      <w:marLeft w:val="0"/>
      <w:marRight w:val="0"/>
      <w:marTop w:val="0"/>
      <w:marBottom w:val="0"/>
      <w:divBdr>
        <w:top w:val="none" w:sz="0" w:space="0" w:color="auto"/>
        <w:left w:val="none" w:sz="0" w:space="0" w:color="auto"/>
        <w:bottom w:val="none" w:sz="0" w:space="0" w:color="auto"/>
        <w:right w:val="none" w:sz="0" w:space="0" w:color="auto"/>
      </w:divBdr>
      <w:divsChild>
        <w:div w:id="360018261">
          <w:marLeft w:val="547"/>
          <w:marRight w:val="0"/>
          <w:marTop w:val="0"/>
          <w:marBottom w:val="40"/>
          <w:divBdr>
            <w:top w:val="none" w:sz="0" w:space="0" w:color="auto"/>
            <w:left w:val="none" w:sz="0" w:space="0" w:color="auto"/>
            <w:bottom w:val="none" w:sz="0" w:space="0" w:color="auto"/>
            <w:right w:val="none" w:sz="0" w:space="0" w:color="auto"/>
          </w:divBdr>
        </w:div>
      </w:divsChild>
    </w:div>
    <w:div w:id="1965842573">
      <w:bodyDiv w:val="1"/>
      <w:marLeft w:val="0"/>
      <w:marRight w:val="0"/>
      <w:marTop w:val="0"/>
      <w:marBottom w:val="0"/>
      <w:divBdr>
        <w:top w:val="none" w:sz="0" w:space="0" w:color="auto"/>
        <w:left w:val="none" w:sz="0" w:space="0" w:color="auto"/>
        <w:bottom w:val="none" w:sz="0" w:space="0" w:color="auto"/>
        <w:right w:val="none" w:sz="0" w:space="0" w:color="auto"/>
      </w:divBdr>
      <w:divsChild>
        <w:div w:id="424620086">
          <w:marLeft w:val="0"/>
          <w:marRight w:val="0"/>
          <w:marTop w:val="0"/>
          <w:marBottom w:val="336"/>
          <w:divBdr>
            <w:top w:val="none" w:sz="0" w:space="0" w:color="auto"/>
            <w:left w:val="none" w:sz="0" w:space="0" w:color="auto"/>
            <w:bottom w:val="none" w:sz="0" w:space="0" w:color="auto"/>
            <w:right w:val="none" w:sz="0" w:space="0" w:color="auto"/>
          </w:divBdr>
        </w:div>
      </w:divsChild>
    </w:div>
    <w:div w:id="1976061044">
      <w:bodyDiv w:val="1"/>
      <w:marLeft w:val="0"/>
      <w:marRight w:val="0"/>
      <w:marTop w:val="0"/>
      <w:marBottom w:val="0"/>
      <w:divBdr>
        <w:top w:val="none" w:sz="0" w:space="0" w:color="auto"/>
        <w:left w:val="none" w:sz="0" w:space="0" w:color="auto"/>
        <w:bottom w:val="none" w:sz="0" w:space="0" w:color="auto"/>
        <w:right w:val="none" w:sz="0" w:space="0" w:color="auto"/>
      </w:divBdr>
    </w:div>
    <w:div w:id="2014407513">
      <w:bodyDiv w:val="1"/>
      <w:marLeft w:val="0"/>
      <w:marRight w:val="0"/>
      <w:marTop w:val="0"/>
      <w:marBottom w:val="0"/>
      <w:divBdr>
        <w:top w:val="none" w:sz="0" w:space="0" w:color="auto"/>
        <w:left w:val="none" w:sz="0" w:space="0" w:color="auto"/>
        <w:bottom w:val="none" w:sz="0" w:space="0" w:color="auto"/>
        <w:right w:val="none" w:sz="0" w:space="0" w:color="auto"/>
      </w:divBdr>
    </w:div>
    <w:div w:id="2020498118">
      <w:bodyDiv w:val="1"/>
      <w:marLeft w:val="0"/>
      <w:marRight w:val="0"/>
      <w:marTop w:val="0"/>
      <w:marBottom w:val="0"/>
      <w:divBdr>
        <w:top w:val="none" w:sz="0" w:space="0" w:color="auto"/>
        <w:left w:val="none" w:sz="0" w:space="0" w:color="auto"/>
        <w:bottom w:val="none" w:sz="0" w:space="0" w:color="auto"/>
        <w:right w:val="none" w:sz="0" w:space="0" w:color="auto"/>
      </w:divBdr>
    </w:div>
    <w:div w:id="2022466556">
      <w:bodyDiv w:val="1"/>
      <w:marLeft w:val="0"/>
      <w:marRight w:val="0"/>
      <w:marTop w:val="0"/>
      <w:marBottom w:val="0"/>
      <w:divBdr>
        <w:top w:val="none" w:sz="0" w:space="0" w:color="auto"/>
        <w:left w:val="none" w:sz="0" w:space="0" w:color="auto"/>
        <w:bottom w:val="none" w:sz="0" w:space="0" w:color="auto"/>
        <w:right w:val="none" w:sz="0" w:space="0" w:color="auto"/>
      </w:divBdr>
      <w:divsChild>
        <w:div w:id="1112868797">
          <w:marLeft w:val="547"/>
          <w:marRight w:val="0"/>
          <w:marTop w:val="0"/>
          <w:marBottom w:val="0"/>
          <w:divBdr>
            <w:top w:val="none" w:sz="0" w:space="0" w:color="auto"/>
            <w:left w:val="none" w:sz="0" w:space="0" w:color="auto"/>
            <w:bottom w:val="none" w:sz="0" w:space="0" w:color="auto"/>
            <w:right w:val="none" w:sz="0" w:space="0" w:color="auto"/>
          </w:divBdr>
        </w:div>
      </w:divsChild>
    </w:div>
    <w:div w:id="2034334289">
      <w:bodyDiv w:val="1"/>
      <w:marLeft w:val="0"/>
      <w:marRight w:val="0"/>
      <w:marTop w:val="0"/>
      <w:marBottom w:val="0"/>
      <w:divBdr>
        <w:top w:val="none" w:sz="0" w:space="0" w:color="auto"/>
        <w:left w:val="none" w:sz="0" w:space="0" w:color="auto"/>
        <w:bottom w:val="none" w:sz="0" w:space="0" w:color="auto"/>
        <w:right w:val="none" w:sz="0" w:space="0" w:color="auto"/>
      </w:divBdr>
      <w:divsChild>
        <w:div w:id="1626038268">
          <w:marLeft w:val="547"/>
          <w:marRight w:val="0"/>
          <w:marTop w:val="0"/>
          <w:marBottom w:val="0"/>
          <w:divBdr>
            <w:top w:val="none" w:sz="0" w:space="0" w:color="auto"/>
            <w:left w:val="none" w:sz="0" w:space="0" w:color="auto"/>
            <w:bottom w:val="none" w:sz="0" w:space="0" w:color="auto"/>
            <w:right w:val="none" w:sz="0" w:space="0" w:color="auto"/>
          </w:divBdr>
        </w:div>
      </w:divsChild>
    </w:div>
    <w:div w:id="21378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g.gov.au/integrity/publications/australian-government-investigations-standards-2011" TargetMode="External"/><Relationship Id="rId26" Type="http://schemas.openxmlformats.org/officeDocument/2006/relationships/hyperlink" Target="https://healthgov.sharepoint.com/sites/employee-conditions/SitePages/Conflict-of-interest.aspx"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Details/C2017C00269" TargetMode="External"/><Relationship Id="rId34" Type="http://schemas.openxmlformats.org/officeDocument/2006/relationships/hyperlink" Target="https://healthgov.sharepoint.com/:w:/r/sites/support-procurement/_layouts/15/Doc.aspx?sourcedoc=%7B2e0d6c42-ff2d-4094-9c03-443342dd25e3%7D&amp;action=default&amp;mobileredirect=true&amp;CID=E5DC4326-F194-4617-B98E-4A7DCCCDB33A&amp;wdLOR=cB86EC329-9E9B-403C-A6B0-0D8B05946814"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psc.gov.au/publication/aps-values-and-code-conduct-practice" TargetMode="External"/><Relationship Id="rId25" Type="http://schemas.openxmlformats.org/officeDocument/2006/relationships/hyperlink" Target="https://healthgov.sharepoint.com/sites/projects-management/Shared%20Documents/Department%20of%20Health%20Assurance%20Framework.pdf" TargetMode="External"/><Relationship Id="rId33" Type="http://schemas.openxmlformats.org/officeDocument/2006/relationships/hyperlink" Target="https://healthgov.sharepoint.com/sites/support-property-security/Shared%20Documents/Personnel%20Security%20Policy.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raudprevention@health.gov.au" TargetMode="External"/><Relationship Id="rId20" Type="http://schemas.openxmlformats.org/officeDocument/2006/relationships/hyperlink" Target="https://www.legislation.gov.au/Series/C2004A04868" TargetMode="External"/><Relationship Id="rId29" Type="http://schemas.openxmlformats.org/officeDocument/2006/relationships/hyperlink" Target="https://healthgov.sharepoint.com/sites/support-procurement/SitePages/Grants.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gov.sharepoint.com/sites/about-delegations/SitePages/AAI-FBR.aspx" TargetMode="External"/><Relationship Id="rId32" Type="http://schemas.openxmlformats.org/officeDocument/2006/relationships/hyperlink" Target="https://www.finance.gov.au/government/procurement/clausebank/notification-significant-events"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sc.gov.au/working-aps/integrity/integrity-resources/code-of-conduct" TargetMode="External"/><Relationship Id="rId23" Type="http://schemas.openxmlformats.org/officeDocument/2006/relationships/hyperlink" Target="https://www.legislation.gov.au/Details/C2019C00057" TargetMode="External"/><Relationship Id="rId28" Type="http://schemas.openxmlformats.org/officeDocument/2006/relationships/hyperlink" Target="https://healthgov.sharepoint.com/sites/employee-conditions/SitePages/Gifts-and-benefits.asp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g.gov.au/integrity/publications/commonwealth-fraud-control-framework" TargetMode="External"/><Relationship Id="rId31" Type="http://schemas.openxmlformats.org/officeDocument/2006/relationships/hyperlink" Target="https://healthgov.sharepoint.com/:w:/r/sites/support-property-security/_layouts/15/Doc.aspx?sourcedoc=%7B73f299a9-8774-428b-942e-63003c47cfec%7D&amp;action=default&amp;mobileredirect=tru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information-aps-employment/aps-values" TargetMode="External"/><Relationship Id="rId22" Type="http://schemas.openxmlformats.org/officeDocument/2006/relationships/hyperlink" Target="https://www.legislation.gov.au/Details/C2013A00133" TargetMode="External"/><Relationship Id="rId27" Type="http://schemas.openxmlformats.org/officeDocument/2006/relationships/hyperlink" Target="https://healthgov.sharepoint.com/sites/FraudControlandPIDManagementSection/SitePages/CollabHome.aspx?web=1" TargetMode="External"/><Relationship Id="rId30" Type="http://schemas.openxmlformats.org/officeDocument/2006/relationships/hyperlink" Target="https://healthgov.sharepoint.com/sites/support-property-security/Shared%20Documents/Professional%20Integrity%20and%20Security%20Framework.pdf" TargetMode="External"/><Relationship Id="rId35" Type="http://schemas.openxmlformats.org/officeDocument/2006/relationships/hyperlink" Target="https://healthgov.sharepoint.com/sites/support-procurement/SitePages/procurement-process.aspx" TargetMode="External"/><Relationship Id="rId43"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EDFD9EF5608645AD7AD43CB849DE57" ma:contentTypeVersion="6" ma:contentTypeDescription="Create a new document." ma:contentTypeScope="" ma:versionID="ac94bd0b3094d40ab21d767146d63655">
  <xsd:schema xmlns:xsd="http://www.w3.org/2001/XMLSchema" xmlns:xs="http://www.w3.org/2001/XMLSchema" xmlns:p="http://schemas.microsoft.com/office/2006/metadata/properties" xmlns:ns2="250240b1-995f-4166-8c4e-f4633eaac68d" xmlns:ns3="2410a292-e042-440d-aef8-ab5a9bd10e41" targetNamespace="http://schemas.microsoft.com/office/2006/metadata/properties" ma:root="true" ma:fieldsID="b3cd06afd809040fcd8a4b72b6ae56cf" ns2:_="" ns3:_="">
    <xsd:import namespace="250240b1-995f-4166-8c4e-f4633eaac68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240b1-995f-4166-8c4e-f4633eaac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250240b1-995f-4166-8c4e-f4633eaac68d"/>
    <ds:schemaRef ds:uri="http://schemas.microsoft.com/office/2006/documentManagement/types"/>
    <ds:schemaRef ds:uri="http://purl.org/dc/terms/"/>
    <ds:schemaRef ds:uri="2410a292-e042-440d-aef8-ab5a9bd10e4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4.xml><?xml version="1.0" encoding="utf-8"?>
<ds:datastoreItem xmlns:ds="http://schemas.openxmlformats.org/officeDocument/2006/customXml" ds:itemID="{D0D8D51A-EE23-4F12-85EC-FC6270D0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240b1-995f-4166-8c4e-f4633eaac68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4110</Words>
  <Characters>25349</Characters>
  <Application>Microsoft Office Word</Application>
  <DocSecurity>0</DocSecurity>
  <Lines>442</Lines>
  <Paragraphs>166</Paragraphs>
  <ScaleCrop>false</ScaleCrop>
  <HeadingPairs>
    <vt:vector size="2" baseType="variant">
      <vt:variant>
        <vt:lpstr>Title</vt:lpstr>
      </vt:variant>
      <vt:variant>
        <vt:i4>1</vt:i4>
      </vt:variant>
    </vt:vector>
  </HeadingPairs>
  <TitlesOfParts>
    <vt:vector size="1" baseType="lpstr">
      <vt:lpstr>Fraud and Corruption Control Plan 2023–25</vt:lpstr>
    </vt:vector>
  </TitlesOfParts>
  <Company/>
  <LinksUpToDate>false</LinksUpToDate>
  <CharactersWithSpaces>29359</CharactersWithSpaces>
  <SharedDoc>false</SharedDoc>
  <HLinks>
    <vt:vector size="204" baseType="variant">
      <vt:variant>
        <vt:i4>131075</vt:i4>
      </vt:variant>
      <vt:variant>
        <vt:i4>81</vt:i4>
      </vt:variant>
      <vt:variant>
        <vt:i4>0</vt:i4>
      </vt:variant>
      <vt:variant>
        <vt:i4>5</vt:i4>
      </vt:variant>
      <vt:variant>
        <vt:lpwstr>https://www.afp.gov.au/sites/default/files/PDF/Australian-Government-Investigations-Standard-2022.pdf</vt:lpwstr>
      </vt:variant>
      <vt:variant>
        <vt:lpwstr/>
      </vt:variant>
      <vt:variant>
        <vt:i4>458771</vt:i4>
      </vt:variant>
      <vt:variant>
        <vt:i4>78</vt:i4>
      </vt:variant>
      <vt:variant>
        <vt:i4>0</vt:i4>
      </vt:variant>
      <vt:variant>
        <vt:i4>5</vt:i4>
      </vt:variant>
      <vt:variant>
        <vt:lpwstr>https://www.ag.gov.au/integrity/publications/commonwealth-fraud-control-framework</vt:lpwstr>
      </vt:variant>
      <vt:variant>
        <vt:lpwstr/>
      </vt:variant>
      <vt:variant>
        <vt:i4>7471151</vt:i4>
      </vt:variant>
      <vt:variant>
        <vt:i4>75</vt:i4>
      </vt:variant>
      <vt:variant>
        <vt:i4>0</vt:i4>
      </vt:variant>
      <vt:variant>
        <vt:i4>5</vt:i4>
      </vt:variant>
      <vt:variant>
        <vt:lpwstr>https://www.legislation.gov.au/Details/F2017C00494</vt:lpwstr>
      </vt:variant>
      <vt:variant>
        <vt:lpwstr/>
      </vt:variant>
      <vt:variant>
        <vt:i4>6619180</vt:i4>
      </vt:variant>
      <vt:variant>
        <vt:i4>72</vt:i4>
      </vt:variant>
      <vt:variant>
        <vt:i4>0</vt:i4>
      </vt:variant>
      <vt:variant>
        <vt:i4>5</vt:i4>
      </vt:variant>
      <vt:variant>
        <vt:lpwstr>http://www.afp.gov.au/</vt:lpwstr>
      </vt:variant>
      <vt:variant>
        <vt:lpwstr/>
      </vt:variant>
      <vt:variant>
        <vt:i4>786433</vt:i4>
      </vt:variant>
      <vt:variant>
        <vt:i4>69</vt:i4>
      </vt:variant>
      <vt:variant>
        <vt:i4>0</vt:i4>
      </vt:variant>
      <vt:variant>
        <vt:i4>5</vt:i4>
      </vt:variant>
      <vt:variant>
        <vt:lpwstr>https://www.apsc.gov.au/working-aps/integrity/integrity-resources/code-of-conduct</vt:lpwstr>
      </vt:variant>
      <vt:variant>
        <vt:lpwstr/>
      </vt:variant>
      <vt:variant>
        <vt:i4>1704023</vt:i4>
      </vt:variant>
      <vt:variant>
        <vt:i4>66</vt:i4>
      </vt:variant>
      <vt:variant>
        <vt:i4>0</vt:i4>
      </vt:variant>
      <vt:variant>
        <vt:i4>5</vt:i4>
      </vt:variant>
      <vt:variant>
        <vt:lpwstr>https://www.health.gov.au/resources/collections/reportable-gifts-received</vt:lpwstr>
      </vt:variant>
      <vt:variant>
        <vt:lpwstr/>
      </vt:variant>
      <vt:variant>
        <vt:i4>8257596</vt:i4>
      </vt:variant>
      <vt:variant>
        <vt:i4>63</vt:i4>
      </vt:variant>
      <vt:variant>
        <vt:i4>0</vt:i4>
      </vt:variant>
      <vt:variant>
        <vt:i4>5</vt:i4>
      </vt:variant>
      <vt:variant>
        <vt:lpwstr>https://healthgov.sharepoint.com/sites/employee-conditions/SitePages/Conflict-of-interest.aspx</vt:lpwstr>
      </vt:variant>
      <vt:variant>
        <vt:lpwstr/>
      </vt:variant>
      <vt:variant>
        <vt:i4>721015</vt:i4>
      </vt:variant>
      <vt:variant>
        <vt:i4>60</vt:i4>
      </vt:variant>
      <vt:variant>
        <vt:i4>0</vt:i4>
      </vt:variant>
      <vt:variant>
        <vt:i4>5</vt:i4>
      </vt:variant>
      <vt:variant>
        <vt:lpwstr>mailto:Fraudprevention@health.gov.au</vt:lpwstr>
      </vt:variant>
      <vt:variant>
        <vt:lpwstr/>
      </vt:variant>
      <vt:variant>
        <vt:i4>131075</vt:i4>
      </vt:variant>
      <vt:variant>
        <vt:i4>57</vt:i4>
      </vt:variant>
      <vt:variant>
        <vt:i4>0</vt:i4>
      </vt:variant>
      <vt:variant>
        <vt:i4>5</vt:i4>
      </vt:variant>
      <vt:variant>
        <vt:lpwstr>https://www.afp.gov.au/sites/default/files/PDF/Australian-Government-Investigations-Standard-2022.pdf</vt:lpwstr>
      </vt:variant>
      <vt:variant>
        <vt:lpwstr/>
      </vt:variant>
      <vt:variant>
        <vt:i4>458771</vt:i4>
      </vt:variant>
      <vt:variant>
        <vt:i4>54</vt:i4>
      </vt:variant>
      <vt:variant>
        <vt:i4>0</vt:i4>
      </vt:variant>
      <vt:variant>
        <vt:i4>5</vt:i4>
      </vt:variant>
      <vt:variant>
        <vt:lpwstr>https://www.ag.gov.au/integrity/publications/commonwealth-fraud-control-framework</vt:lpwstr>
      </vt:variant>
      <vt:variant>
        <vt:lpwstr/>
      </vt:variant>
      <vt:variant>
        <vt:i4>3539041</vt:i4>
      </vt:variant>
      <vt:variant>
        <vt:i4>51</vt:i4>
      </vt:variant>
      <vt:variant>
        <vt:i4>0</vt:i4>
      </vt:variant>
      <vt:variant>
        <vt:i4>5</vt:i4>
      </vt:variant>
      <vt:variant>
        <vt:lpwstr>http://intranet2.central.health/_layouts/15/WopiFrame.aspx?sourcedoc=/Documents/Public%20Interest%20Disclosure%20Procedures-accesible%20for%20publishing.DOCX&amp;action=default&amp;DefaultItemOpen=1http://intranet2.central.health/_layouts/15/WopiFrame.aspx?sourcedoc=/Documents/Public%20Interest%20Disclosure%20Procedures-accesible%20for%20publishing.DOCX&amp;action=default&amp;DefaultItemOpen=1</vt:lpwstr>
      </vt:variant>
      <vt:variant>
        <vt:lpwstr/>
      </vt:variant>
      <vt:variant>
        <vt:i4>8192039</vt:i4>
      </vt:variant>
      <vt:variant>
        <vt:i4>48</vt:i4>
      </vt:variant>
      <vt:variant>
        <vt:i4>0</vt:i4>
      </vt:variant>
      <vt:variant>
        <vt:i4>5</vt:i4>
      </vt:variant>
      <vt:variant>
        <vt:lpwstr>https://www.legislation.gov.au/Details/C2021C00428</vt:lpwstr>
      </vt:variant>
      <vt:variant>
        <vt:lpwstr/>
      </vt:variant>
      <vt:variant>
        <vt:i4>5963819</vt:i4>
      </vt:variant>
      <vt:variant>
        <vt:i4>45</vt:i4>
      </vt:variant>
      <vt:variant>
        <vt:i4>0</vt:i4>
      </vt:variant>
      <vt:variant>
        <vt:i4>5</vt:i4>
      </vt:variant>
      <vt:variant>
        <vt:lpwstr>https://healthgov.sharepoint.com/:w:/r/sites/about-delegations/_layouts/15/Doc.aspx?sourcedoc=%7B82284f26-1b90-4ed2-ba1e-1aa10d34825c%7D&amp;action=default&amp;mobileredirect=true</vt:lpwstr>
      </vt:variant>
      <vt:variant>
        <vt:lpwstr/>
      </vt:variant>
      <vt:variant>
        <vt:i4>458868</vt:i4>
      </vt:variant>
      <vt:variant>
        <vt:i4>42</vt:i4>
      </vt:variant>
      <vt:variant>
        <vt:i4>0</vt:i4>
      </vt:variant>
      <vt:variant>
        <vt:i4>5</vt:i4>
      </vt:variant>
      <vt:variant>
        <vt:lpwstr>https://healthgov.sharepoint.com/:w:/r/sites/about-delegations/_layouts/15/Doc.aspx?sourcedoc=%7Bc57e869b-7f2e-4178-a41e-729ecffafba2%7D&amp;action=default&amp;mobileredirect=true</vt:lpwstr>
      </vt:variant>
      <vt:variant>
        <vt:lpwstr/>
      </vt:variant>
      <vt:variant>
        <vt:i4>131100</vt:i4>
      </vt:variant>
      <vt:variant>
        <vt:i4>39</vt:i4>
      </vt:variant>
      <vt:variant>
        <vt:i4>0</vt:i4>
      </vt:variant>
      <vt:variant>
        <vt:i4>5</vt:i4>
      </vt:variant>
      <vt:variant>
        <vt:lpwstr>https://www.legislation.gov.au/Series/C2004A00538</vt:lpwstr>
      </vt:variant>
      <vt:variant>
        <vt:lpwstr/>
      </vt:variant>
      <vt:variant>
        <vt:i4>786433</vt:i4>
      </vt:variant>
      <vt:variant>
        <vt:i4>36</vt:i4>
      </vt:variant>
      <vt:variant>
        <vt:i4>0</vt:i4>
      </vt:variant>
      <vt:variant>
        <vt:i4>5</vt:i4>
      </vt:variant>
      <vt:variant>
        <vt:lpwstr>https://www.apsc.gov.au/working-aps/integrity/integrity-resources/code-of-conduct</vt:lpwstr>
      </vt:variant>
      <vt:variant>
        <vt:lpwstr/>
      </vt:variant>
      <vt:variant>
        <vt:i4>3670134</vt:i4>
      </vt:variant>
      <vt:variant>
        <vt:i4>33</vt:i4>
      </vt:variant>
      <vt:variant>
        <vt:i4>0</vt:i4>
      </vt:variant>
      <vt:variant>
        <vt:i4>5</vt:i4>
      </vt:variant>
      <vt:variant>
        <vt:lpwstr>https://www.apsc.gov.au/working-aps/integrity/employment-principles</vt:lpwstr>
      </vt:variant>
      <vt:variant>
        <vt:lpwstr/>
      </vt:variant>
      <vt:variant>
        <vt:i4>2031687</vt:i4>
      </vt:variant>
      <vt:variant>
        <vt:i4>30</vt:i4>
      </vt:variant>
      <vt:variant>
        <vt:i4>0</vt:i4>
      </vt:variant>
      <vt:variant>
        <vt:i4>5</vt:i4>
      </vt:variant>
      <vt:variant>
        <vt:lpwstr>https://www.apsc.gov.au/working-aps/information-aps-employment/aps-values</vt:lpwstr>
      </vt:variant>
      <vt:variant>
        <vt:lpwstr/>
      </vt:variant>
      <vt:variant>
        <vt:i4>8126496</vt:i4>
      </vt:variant>
      <vt:variant>
        <vt:i4>27</vt:i4>
      </vt:variant>
      <vt:variant>
        <vt:i4>0</vt:i4>
      </vt:variant>
      <vt:variant>
        <vt:i4>5</vt:i4>
      </vt:variant>
      <vt:variant>
        <vt:lpwstr>https://www.legislation.gov.au/Details/C2017C00269</vt:lpwstr>
      </vt:variant>
      <vt:variant>
        <vt:lpwstr/>
      </vt:variant>
      <vt:variant>
        <vt:i4>8257571</vt:i4>
      </vt:variant>
      <vt:variant>
        <vt:i4>24</vt:i4>
      </vt:variant>
      <vt:variant>
        <vt:i4>0</vt:i4>
      </vt:variant>
      <vt:variant>
        <vt:i4>5</vt:i4>
      </vt:variant>
      <vt:variant>
        <vt:lpwstr>https://www.legislation.gov.au/Details/C2019C00057</vt:lpwstr>
      </vt:variant>
      <vt:variant>
        <vt:lpwstr/>
      </vt:variant>
      <vt:variant>
        <vt:i4>458771</vt:i4>
      </vt:variant>
      <vt:variant>
        <vt:i4>21</vt:i4>
      </vt:variant>
      <vt:variant>
        <vt:i4>0</vt:i4>
      </vt:variant>
      <vt:variant>
        <vt:i4>5</vt:i4>
      </vt:variant>
      <vt:variant>
        <vt:lpwstr>https://www.ag.gov.au/integrity/publications/commonwealth-fraud-control-framework</vt:lpwstr>
      </vt:variant>
      <vt:variant>
        <vt:lpwstr/>
      </vt:variant>
      <vt:variant>
        <vt:i4>458771</vt:i4>
      </vt:variant>
      <vt:variant>
        <vt:i4>18</vt:i4>
      </vt:variant>
      <vt:variant>
        <vt:i4>0</vt:i4>
      </vt:variant>
      <vt:variant>
        <vt:i4>5</vt:i4>
      </vt:variant>
      <vt:variant>
        <vt:lpwstr>https://www.ag.gov.au/integrity/publications/commonwealth-fraud-control-framework</vt:lpwstr>
      </vt:variant>
      <vt:variant>
        <vt:lpwstr/>
      </vt:variant>
      <vt:variant>
        <vt:i4>196625</vt:i4>
      </vt:variant>
      <vt:variant>
        <vt:i4>15</vt:i4>
      </vt:variant>
      <vt:variant>
        <vt:i4>0</vt:i4>
      </vt:variant>
      <vt:variant>
        <vt:i4>5</vt:i4>
      </vt:variant>
      <vt:variant>
        <vt:lpwstr>https://www.legislation.gov.au/Series/C2004A04868</vt:lpwstr>
      </vt:variant>
      <vt:variant>
        <vt:lpwstr/>
      </vt:variant>
      <vt:variant>
        <vt:i4>4390930</vt:i4>
      </vt:variant>
      <vt:variant>
        <vt:i4>12</vt:i4>
      </vt:variant>
      <vt:variant>
        <vt:i4>0</vt:i4>
      </vt:variant>
      <vt:variant>
        <vt:i4>5</vt:i4>
      </vt:variant>
      <vt:variant>
        <vt:lpwstr>http://www.apsc.gov.au/publications-and-media/current-publications/aps-values-and-code-of-conduct-in-practice</vt:lpwstr>
      </vt:variant>
      <vt:variant>
        <vt:lpwstr/>
      </vt:variant>
      <vt:variant>
        <vt:i4>3014728</vt:i4>
      </vt:variant>
      <vt:variant>
        <vt:i4>9</vt:i4>
      </vt:variant>
      <vt:variant>
        <vt:i4>0</vt:i4>
      </vt:variant>
      <vt:variant>
        <vt:i4>5</vt:i4>
      </vt:variant>
      <vt:variant>
        <vt:lpwstr>mailto:FraudSection@health.gov.au</vt:lpwstr>
      </vt:variant>
      <vt:variant>
        <vt:lpwstr/>
      </vt:variant>
      <vt:variant>
        <vt:i4>2490396</vt:i4>
      </vt:variant>
      <vt:variant>
        <vt:i4>6</vt:i4>
      </vt:variant>
      <vt:variant>
        <vt:i4>0</vt:i4>
      </vt:variant>
      <vt:variant>
        <vt:i4>5</vt:i4>
      </vt:variant>
      <vt:variant>
        <vt:lpwstr>mailto:%20AgedCareFraud@Health.gov.au</vt:lpwstr>
      </vt:variant>
      <vt:variant>
        <vt:lpwstr/>
      </vt:variant>
      <vt:variant>
        <vt:i4>7536667</vt:i4>
      </vt:variant>
      <vt:variant>
        <vt:i4>3</vt:i4>
      </vt:variant>
      <vt:variant>
        <vt:i4>0</vt:i4>
      </vt:variant>
      <vt:variant>
        <vt:i4>5</vt:i4>
      </vt:variant>
      <vt:variant>
        <vt:lpwstr>mailto:AgedCareFraud@Health.gov.au</vt:lpwstr>
      </vt:variant>
      <vt:variant>
        <vt:lpwstr/>
      </vt:variant>
      <vt:variant>
        <vt:i4>4456510</vt:i4>
      </vt:variant>
      <vt:variant>
        <vt:i4>0</vt:i4>
      </vt:variant>
      <vt:variant>
        <vt:i4>0</vt:i4>
      </vt:variant>
      <vt:variant>
        <vt:i4>5</vt:i4>
      </vt:variant>
      <vt:variant>
        <vt:lpwstr>mailto:Provider.Benefit.Integrity@health.gov.au</vt:lpwstr>
      </vt:variant>
      <vt:variant>
        <vt:lpwstr/>
      </vt:variant>
      <vt:variant>
        <vt:i4>4915252</vt:i4>
      </vt:variant>
      <vt:variant>
        <vt:i4>15</vt:i4>
      </vt:variant>
      <vt:variant>
        <vt:i4>0</vt:i4>
      </vt:variant>
      <vt:variant>
        <vt:i4>5</vt:i4>
      </vt:variant>
      <vt:variant>
        <vt:lpwstr>http://classic.austlii.edu.au/au/legis/cth/consol_act/leica2006419/s6.html</vt:lpwstr>
      </vt:variant>
      <vt:variant>
        <vt:lpwstr/>
      </vt:variant>
      <vt:variant>
        <vt:i4>3539061</vt:i4>
      </vt:variant>
      <vt:variant>
        <vt:i4>12</vt:i4>
      </vt:variant>
      <vt:variant>
        <vt:i4>0</vt:i4>
      </vt:variant>
      <vt:variant>
        <vt:i4>5</vt:i4>
      </vt:variant>
      <vt:variant>
        <vt:lpwstr>https://www.counterfraud.gov.au/case-studies/doctor-prescribed-jail-time-false-medicare-claims</vt:lpwstr>
      </vt:variant>
      <vt:variant>
        <vt:lpwstr/>
      </vt:variant>
      <vt:variant>
        <vt:i4>19</vt:i4>
      </vt:variant>
      <vt:variant>
        <vt:i4>9</vt:i4>
      </vt:variant>
      <vt:variant>
        <vt:i4>0</vt:i4>
      </vt:variant>
      <vt:variant>
        <vt:i4>5</vt:i4>
      </vt:variant>
      <vt:variant>
        <vt:lpwstr>https://www.counterfraud.gov.au/case-studies/department-defence-crackdown-misuse-travel-cards</vt:lpwstr>
      </vt:variant>
      <vt:variant>
        <vt:lpwstr/>
      </vt:variant>
      <vt:variant>
        <vt:i4>6422574</vt:i4>
      </vt:variant>
      <vt:variant>
        <vt:i4>6</vt:i4>
      </vt:variant>
      <vt:variant>
        <vt:i4>0</vt:i4>
      </vt:variant>
      <vt:variant>
        <vt:i4>5</vt:i4>
      </vt:variant>
      <vt:variant>
        <vt:lpwstr>https://www.ag.gov.au/sites/default/files/2020-03/CommonwealthFraudControlFramework2017.PDF</vt:lpwstr>
      </vt:variant>
      <vt:variant>
        <vt:lpwstr/>
      </vt:variant>
      <vt:variant>
        <vt:i4>3538978</vt:i4>
      </vt:variant>
      <vt:variant>
        <vt:i4>3</vt:i4>
      </vt:variant>
      <vt:variant>
        <vt:i4>0</vt:i4>
      </vt:variant>
      <vt:variant>
        <vt:i4>5</vt:i4>
      </vt:variant>
      <vt:variant>
        <vt:lpwstr>https://www.health.gov.au/resources/publications/budget-2021-22-portfolio-budget-statements</vt:lpwstr>
      </vt:variant>
      <vt:variant>
        <vt:lpwstr/>
      </vt:variant>
      <vt:variant>
        <vt:i4>3473443</vt:i4>
      </vt:variant>
      <vt:variant>
        <vt:i4>0</vt:i4>
      </vt:variant>
      <vt:variant>
        <vt:i4>0</vt:i4>
      </vt:variant>
      <vt:variant>
        <vt:i4>5</vt:i4>
      </vt:variant>
      <vt:variant>
        <vt:lpwstr>https://www.health.gov.au/resources/publications/budget-2022-23-portfolio-budget-statements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and Corruption Control Plan 2023–25</dc:title>
  <dc:subject>About the department</dc:subject>
  <dc:creator>Australian Government Department of Health and Aged Care</dc:creator>
  <cp:keywords/>
  <cp:lastModifiedBy>MCCAY, Meryl</cp:lastModifiedBy>
  <cp:revision>12</cp:revision>
  <cp:lastPrinted>2022-06-26T11:15:00Z</cp:lastPrinted>
  <dcterms:created xsi:type="dcterms:W3CDTF">2023-07-03T00:35:00Z</dcterms:created>
  <dcterms:modified xsi:type="dcterms:W3CDTF">2023-07-12T05:05:00Z</dcterms:modified>
</cp:coreProperties>
</file>