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7670A9" w14:textId="205A4244" w:rsidR="0068613A" w:rsidRPr="001364C7" w:rsidRDefault="002D5F76" w:rsidP="001364C7">
      <w:pPr>
        <w:pStyle w:val="Heading2"/>
        <w:spacing w:before="5400" w:after="480"/>
      </w:pPr>
      <w:r w:rsidRPr="001364C7">
        <w:rPr>
          <w:caps w:val="0"/>
        </w:rPr>
        <w:t>REPORT OF THE INDEPENDENT CAPABILITY REVIEW OF THE AGED CARE QUALITY AND SAFETY COMMISSION</w:t>
      </w:r>
    </w:p>
    <w:p w14:paraId="6A93D690" w14:textId="15247989" w:rsidR="002D0743" w:rsidRPr="001364C7" w:rsidRDefault="001364C7" w:rsidP="001364C7">
      <w:pPr>
        <w:spacing w:after="0"/>
        <w:jc w:val="center"/>
        <w:rPr>
          <w:rFonts w:ascii="Calibri" w:hAnsi="Calibri" w:cs="Calibri"/>
          <w:b/>
          <w:bCs/>
          <w:sz w:val="38"/>
          <w:szCs w:val="38"/>
        </w:rPr>
      </w:pPr>
      <w:r w:rsidRPr="001364C7">
        <w:rPr>
          <w:rFonts w:ascii="Calibri" w:hAnsi="Calibri" w:cs="Calibri"/>
          <w:b/>
          <w:bCs/>
          <w:sz w:val="38"/>
          <w:szCs w:val="38"/>
        </w:rPr>
        <w:t>DAVID TUNE AO PSM</w:t>
      </w:r>
    </w:p>
    <w:p w14:paraId="449B4F38" w14:textId="1CA20BBA" w:rsidR="002D0743" w:rsidRPr="001364C7" w:rsidRDefault="001364C7" w:rsidP="001364C7">
      <w:pPr>
        <w:spacing w:after="0"/>
        <w:jc w:val="center"/>
        <w:rPr>
          <w:rFonts w:ascii="Calibri" w:hAnsi="Calibri" w:cs="Calibri"/>
          <w:b/>
          <w:bCs/>
          <w:sz w:val="38"/>
          <w:szCs w:val="38"/>
        </w:rPr>
      </w:pPr>
      <w:r w:rsidRPr="001364C7">
        <w:rPr>
          <w:rFonts w:ascii="Calibri" w:hAnsi="Calibri" w:cs="Calibri"/>
          <w:b/>
          <w:bCs/>
          <w:sz w:val="38"/>
          <w:szCs w:val="38"/>
        </w:rPr>
        <w:t>31 MARCH 2023</w:t>
      </w:r>
    </w:p>
    <w:p w14:paraId="285DD004" w14:textId="3201F0C9" w:rsidR="00B933A0" w:rsidRDefault="00B933A0" w:rsidP="00A405F6">
      <w:pPr>
        <w:spacing w:line="240" w:lineRule="auto"/>
      </w:pPr>
      <w:r>
        <w:br w:type="page"/>
      </w:r>
    </w:p>
    <w:p w14:paraId="48E8D675" w14:textId="5DDDF0FD" w:rsidR="008149E4" w:rsidRPr="000E132D" w:rsidRDefault="008149E4" w:rsidP="000E132D">
      <w:pPr>
        <w:spacing w:after="0" w:line="480" w:lineRule="auto"/>
        <w:rPr>
          <w:rFonts w:ascii="Arial" w:eastAsia="Times New Roman" w:hAnsi="Arial" w:cs="Times New Roman"/>
          <w:b/>
          <w:bCs/>
          <w:sz w:val="28"/>
          <w:szCs w:val="28"/>
          <w:lang w:eastAsia="en-GB"/>
        </w:rPr>
      </w:pPr>
      <w:r w:rsidRPr="008149E4">
        <w:rPr>
          <w:rFonts w:ascii="Arial" w:eastAsia="Times New Roman" w:hAnsi="Arial" w:cs="Times New Roman"/>
          <w:b/>
          <w:bCs/>
          <w:sz w:val="28"/>
          <w:szCs w:val="28"/>
          <w:lang w:eastAsia="en-GB"/>
        </w:rPr>
        <w:lastRenderedPageBreak/>
        <w:t>Letter of Transmittal</w:t>
      </w:r>
    </w:p>
    <w:p w14:paraId="742E6297" w14:textId="676C82F5" w:rsidR="00E42052" w:rsidRPr="00A34F81" w:rsidRDefault="00E42052" w:rsidP="00E42052">
      <w:pPr>
        <w:spacing w:after="0" w:line="240" w:lineRule="auto"/>
        <w:rPr>
          <w:rFonts w:ascii="Arial" w:eastAsia="Times New Roman" w:hAnsi="Arial" w:cs="Times New Roman"/>
          <w:sz w:val="24"/>
          <w:szCs w:val="24"/>
          <w:lang w:eastAsia="en-GB"/>
        </w:rPr>
      </w:pPr>
      <w:r w:rsidRPr="00A34F81">
        <w:rPr>
          <w:rFonts w:ascii="Arial" w:eastAsia="Times New Roman" w:hAnsi="Arial" w:cs="Times New Roman"/>
          <w:sz w:val="24"/>
          <w:szCs w:val="24"/>
          <w:lang w:eastAsia="en-GB"/>
        </w:rPr>
        <w:t>The Hon Anika Wells MP</w:t>
      </w:r>
    </w:p>
    <w:p w14:paraId="32893849" w14:textId="77777777" w:rsidR="00E42052" w:rsidRPr="00A34F81" w:rsidRDefault="00E42052" w:rsidP="00E42052">
      <w:pPr>
        <w:spacing w:after="0" w:line="240" w:lineRule="auto"/>
        <w:rPr>
          <w:rFonts w:ascii="Arial" w:eastAsia="Times New Roman" w:hAnsi="Arial" w:cs="Times New Roman"/>
          <w:sz w:val="24"/>
          <w:szCs w:val="24"/>
          <w:lang w:eastAsia="en-GB"/>
        </w:rPr>
      </w:pPr>
      <w:r w:rsidRPr="00A34F81">
        <w:rPr>
          <w:rFonts w:ascii="Arial" w:eastAsia="Times New Roman" w:hAnsi="Arial" w:cs="Times New Roman"/>
          <w:sz w:val="24"/>
          <w:szCs w:val="24"/>
          <w:lang w:eastAsia="en-GB"/>
        </w:rPr>
        <w:t>Minister for Aged Care</w:t>
      </w:r>
    </w:p>
    <w:p w14:paraId="4CE1572C" w14:textId="3A944F5A" w:rsidR="00E42052" w:rsidRPr="00A34F81" w:rsidRDefault="00E42052" w:rsidP="000E132D">
      <w:pPr>
        <w:spacing w:after="0" w:line="480" w:lineRule="auto"/>
        <w:rPr>
          <w:rFonts w:ascii="Arial" w:eastAsia="Times New Roman" w:hAnsi="Arial" w:cs="Times New Roman"/>
          <w:sz w:val="24"/>
          <w:szCs w:val="24"/>
          <w:lang w:eastAsia="en-GB"/>
        </w:rPr>
      </w:pPr>
      <w:r w:rsidRPr="00A34F81">
        <w:rPr>
          <w:rFonts w:ascii="Arial" w:eastAsia="Times New Roman" w:hAnsi="Arial" w:cs="Times New Roman"/>
          <w:sz w:val="24"/>
          <w:szCs w:val="24"/>
          <w:lang w:eastAsia="en-GB"/>
        </w:rPr>
        <w:t>Parliament House ACT 2600</w:t>
      </w:r>
    </w:p>
    <w:p w14:paraId="7772A917" w14:textId="6C339839" w:rsidR="00E42052" w:rsidRPr="00A34F81" w:rsidRDefault="00E42052" w:rsidP="000E132D">
      <w:pPr>
        <w:spacing w:after="0" w:line="480" w:lineRule="auto"/>
        <w:rPr>
          <w:rFonts w:ascii="Arial" w:eastAsia="Times New Roman" w:hAnsi="Arial" w:cs="Times New Roman"/>
          <w:sz w:val="24"/>
          <w:szCs w:val="24"/>
          <w:lang w:eastAsia="en-GB"/>
        </w:rPr>
      </w:pPr>
      <w:r w:rsidRPr="00A34F81">
        <w:rPr>
          <w:rFonts w:ascii="Arial" w:eastAsia="Times New Roman" w:hAnsi="Arial" w:cs="Times New Roman"/>
          <w:sz w:val="24"/>
          <w:szCs w:val="24"/>
          <w:lang w:eastAsia="en-GB"/>
        </w:rPr>
        <w:t>Dear Minister</w:t>
      </w:r>
    </w:p>
    <w:p w14:paraId="63D408BC" w14:textId="3AE1F599" w:rsidR="00E42052" w:rsidRPr="00A34F81" w:rsidRDefault="00E42052" w:rsidP="000E132D">
      <w:pPr>
        <w:spacing w:after="240" w:line="240" w:lineRule="auto"/>
        <w:rPr>
          <w:rFonts w:ascii="Arial" w:eastAsia="Times New Roman" w:hAnsi="Arial" w:cs="Times New Roman"/>
          <w:iCs/>
          <w:sz w:val="24"/>
          <w:szCs w:val="24"/>
          <w:lang w:eastAsia="en-GB"/>
        </w:rPr>
      </w:pPr>
      <w:r w:rsidRPr="00A34F81">
        <w:rPr>
          <w:rFonts w:ascii="Arial" w:eastAsia="Times New Roman" w:hAnsi="Arial" w:cs="Times New Roman"/>
          <w:iCs/>
          <w:sz w:val="24"/>
          <w:szCs w:val="24"/>
          <w:lang w:eastAsia="en-GB"/>
        </w:rPr>
        <w:t>Following my appointment to conduct an independent capability review of the</w:t>
      </w:r>
      <w:r w:rsidRPr="00A34F81">
        <w:rPr>
          <w:rFonts w:ascii="Arial" w:eastAsia="Times New Roman" w:hAnsi="Arial" w:cs="Times New Roman"/>
          <w:szCs w:val="24"/>
          <w:lang w:eastAsia="en-GB"/>
        </w:rPr>
        <w:t xml:space="preserve"> </w:t>
      </w:r>
      <w:r w:rsidRPr="00A34F81">
        <w:rPr>
          <w:rFonts w:ascii="Arial" w:eastAsia="Times New Roman" w:hAnsi="Arial" w:cs="Times New Roman"/>
          <w:iCs/>
          <w:sz w:val="24"/>
          <w:szCs w:val="24"/>
          <w:lang w:eastAsia="en-GB"/>
        </w:rPr>
        <w:t>Aged Care Quality and Safety Commission (</w:t>
      </w:r>
      <w:r>
        <w:rPr>
          <w:rFonts w:ascii="Arial" w:eastAsia="Times New Roman" w:hAnsi="Arial" w:cs="Times New Roman"/>
          <w:iCs/>
          <w:sz w:val="24"/>
          <w:szCs w:val="24"/>
          <w:lang w:eastAsia="en-GB"/>
        </w:rPr>
        <w:t>the Commission</w:t>
      </w:r>
      <w:r w:rsidRPr="00A34F81">
        <w:rPr>
          <w:rFonts w:ascii="Arial" w:eastAsia="Times New Roman" w:hAnsi="Arial" w:cs="Times New Roman"/>
          <w:iCs/>
          <w:sz w:val="24"/>
          <w:szCs w:val="24"/>
          <w:lang w:eastAsia="en-GB"/>
        </w:rPr>
        <w:t xml:space="preserve">), I am pleased to provide you with my report and recommendations on how the </w:t>
      </w:r>
      <w:r>
        <w:rPr>
          <w:rFonts w:ascii="Arial" w:eastAsia="Times New Roman" w:hAnsi="Arial" w:cs="Times New Roman"/>
          <w:iCs/>
          <w:sz w:val="24"/>
          <w:szCs w:val="24"/>
          <w:lang w:eastAsia="en-GB"/>
        </w:rPr>
        <w:t>Commission’</w:t>
      </w:r>
      <w:r w:rsidRPr="00A34F81">
        <w:rPr>
          <w:rFonts w:ascii="Arial" w:eastAsia="Times New Roman" w:hAnsi="Arial" w:cs="Times New Roman"/>
          <w:iCs/>
          <w:sz w:val="24"/>
          <w:szCs w:val="24"/>
          <w:lang w:eastAsia="en-GB"/>
        </w:rPr>
        <w:t>s capability c</w:t>
      </w:r>
      <w:r>
        <w:rPr>
          <w:rFonts w:ascii="Arial" w:eastAsia="Times New Roman" w:hAnsi="Arial" w:cs="Times New Roman"/>
          <w:iCs/>
          <w:sz w:val="24"/>
          <w:szCs w:val="24"/>
          <w:lang w:eastAsia="en-GB"/>
        </w:rPr>
        <w:t>an</w:t>
      </w:r>
      <w:r w:rsidRPr="00A34F81">
        <w:rPr>
          <w:rFonts w:ascii="Arial" w:eastAsia="Times New Roman" w:hAnsi="Arial" w:cs="Times New Roman"/>
          <w:iCs/>
          <w:sz w:val="24"/>
          <w:szCs w:val="24"/>
          <w:lang w:eastAsia="en-GB"/>
        </w:rPr>
        <w:t xml:space="preserve"> be improved to </w:t>
      </w:r>
      <w:r>
        <w:rPr>
          <w:rFonts w:ascii="Arial" w:eastAsia="Times New Roman" w:hAnsi="Arial" w:cs="Times New Roman"/>
          <w:iCs/>
          <w:sz w:val="24"/>
          <w:szCs w:val="24"/>
          <w:lang w:eastAsia="en-GB"/>
        </w:rPr>
        <w:t xml:space="preserve">better </w:t>
      </w:r>
      <w:r w:rsidRPr="00A34F81">
        <w:rPr>
          <w:rFonts w:ascii="Arial" w:eastAsia="Times New Roman" w:hAnsi="Arial" w:cs="Times New Roman"/>
          <w:iCs/>
          <w:sz w:val="24"/>
          <w:szCs w:val="24"/>
          <w:lang w:eastAsia="en-GB"/>
        </w:rPr>
        <w:t>support its regulation of the aged care sector.</w:t>
      </w:r>
    </w:p>
    <w:p w14:paraId="759E0B19" w14:textId="5F9395D4" w:rsidR="00E42052" w:rsidRPr="00A34F81" w:rsidRDefault="00E42052" w:rsidP="000E132D">
      <w:pPr>
        <w:spacing w:after="240" w:line="240" w:lineRule="auto"/>
        <w:rPr>
          <w:rFonts w:ascii="Arial" w:eastAsia="Times New Roman" w:hAnsi="Arial" w:cs="Times New Roman"/>
          <w:iCs/>
          <w:sz w:val="24"/>
          <w:szCs w:val="24"/>
          <w:lang w:eastAsia="en-GB"/>
        </w:rPr>
      </w:pPr>
      <w:r w:rsidRPr="00A34F81">
        <w:rPr>
          <w:rFonts w:ascii="Arial" w:eastAsia="Times New Roman" w:hAnsi="Arial" w:cs="Times New Roman"/>
          <w:iCs/>
          <w:sz w:val="24"/>
          <w:szCs w:val="24"/>
          <w:lang w:eastAsia="en-GB"/>
        </w:rPr>
        <w:t xml:space="preserve">In undertaking this review, I have consulted with stakeholders </w:t>
      </w:r>
      <w:r>
        <w:rPr>
          <w:rFonts w:ascii="Arial" w:eastAsia="Times New Roman" w:hAnsi="Arial" w:cs="Times New Roman"/>
          <w:iCs/>
          <w:sz w:val="24"/>
          <w:szCs w:val="24"/>
          <w:lang w:eastAsia="en-GB"/>
        </w:rPr>
        <w:t>across</w:t>
      </w:r>
      <w:r w:rsidRPr="00A34F81">
        <w:rPr>
          <w:rFonts w:ascii="Arial" w:eastAsia="Times New Roman" w:hAnsi="Arial" w:cs="Times New Roman"/>
          <w:iCs/>
          <w:sz w:val="24"/>
          <w:szCs w:val="24"/>
          <w:lang w:eastAsia="en-GB"/>
        </w:rPr>
        <w:t xml:space="preserve"> the aged care sector, including aged care </w:t>
      </w:r>
      <w:r>
        <w:rPr>
          <w:rFonts w:ascii="Arial" w:eastAsia="Times New Roman" w:hAnsi="Arial" w:cs="Times New Roman"/>
          <w:iCs/>
          <w:sz w:val="24"/>
          <w:szCs w:val="24"/>
          <w:lang w:eastAsia="en-GB"/>
        </w:rPr>
        <w:t xml:space="preserve">providers and </w:t>
      </w:r>
      <w:r w:rsidRPr="00A34F81">
        <w:rPr>
          <w:rFonts w:ascii="Arial" w:eastAsia="Times New Roman" w:hAnsi="Arial" w:cs="Times New Roman"/>
          <w:iCs/>
          <w:sz w:val="24"/>
          <w:szCs w:val="24"/>
          <w:lang w:eastAsia="en-GB"/>
        </w:rPr>
        <w:t xml:space="preserve">consumers, </w:t>
      </w:r>
      <w:r>
        <w:rPr>
          <w:rFonts w:ascii="Arial" w:eastAsia="Times New Roman" w:hAnsi="Arial" w:cs="Times New Roman"/>
          <w:iCs/>
          <w:sz w:val="24"/>
          <w:szCs w:val="24"/>
          <w:lang w:eastAsia="en-GB"/>
        </w:rPr>
        <w:t xml:space="preserve">peak bodies, </w:t>
      </w:r>
      <w:r w:rsidRPr="00A34F81">
        <w:rPr>
          <w:rFonts w:ascii="Arial" w:eastAsia="Times New Roman" w:hAnsi="Arial" w:cs="Times New Roman"/>
          <w:iCs/>
          <w:sz w:val="24"/>
          <w:szCs w:val="24"/>
          <w:lang w:eastAsia="en-GB"/>
        </w:rPr>
        <w:t xml:space="preserve">advocacy </w:t>
      </w:r>
      <w:r>
        <w:rPr>
          <w:rFonts w:ascii="Arial" w:eastAsia="Times New Roman" w:hAnsi="Arial" w:cs="Times New Roman"/>
          <w:iCs/>
          <w:sz w:val="24"/>
          <w:szCs w:val="24"/>
          <w:lang w:eastAsia="en-GB"/>
        </w:rPr>
        <w:t>groups</w:t>
      </w:r>
      <w:r w:rsidRPr="00A34F81">
        <w:rPr>
          <w:rFonts w:ascii="Arial" w:eastAsia="Times New Roman" w:hAnsi="Arial" w:cs="Times New Roman"/>
          <w:iCs/>
          <w:sz w:val="24"/>
          <w:szCs w:val="24"/>
          <w:lang w:eastAsia="en-GB"/>
        </w:rPr>
        <w:t xml:space="preserve">, the </w:t>
      </w:r>
      <w:r>
        <w:rPr>
          <w:rFonts w:ascii="Arial" w:eastAsia="Times New Roman" w:hAnsi="Arial" w:cs="Times New Roman"/>
          <w:iCs/>
          <w:sz w:val="24"/>
          <w:szCs w:val="24"/>
          <w:lang w:eastAsia="en-GB"/>
        </w:rPr>
        <w:t>Commission</w:t>
      </w:r>
      <w:r w:rsidRPr="00A34F81">
        <w:rPr>
          <w:rFonts w:ascii="Arial" w:eastAsia="Times New Roman" w:hAnsi="Arial" w:cs="Times New Roman"/>
          <w:iCs/>
          <w:sz w:val="24"/>
          <w:szCs w:val="24"/>
          <w:lang w:eastAsia="en-GB"/>
        </w:rPr>
        <w:t xml:space="preserve">, the Department of Health and Aged Care, other relevant </w:t>
      </w:r>
      <w:r>
        <w:rPr>
          <w:rFonts w:ascii="Arial" w:eastAsia="Times New Roman" w:hAnsi="Arial" w:cs="Times New Roman"/>
          <w:iCs/>
          <w:sz w:val="24"/>
          <w:szCs w:val="24"/>
          <w:lang w:eastAsia="en-GB"/>
        </w:rPr>
        <w:t xml:space="preserve">Australian Government </w:t>
      </w:r>
      <w:r w:rsidRPr="00A34F81">
        <w:rPr>
          <w:rFonts w:ascii="Arial" w:eastAsia="Times New Roman" w:hAnsi="Arial" w:cs="Times New Roman"/>
          <w:iCs/>
          <w:sz w:val="24"/>
          <w:szCs w:val="24"/>
          <w:lang w:eastAsia="en-GB"/>
        </w:rPr>
        <w:t xml:space="preserve">agencies and state and territory governments. </w:t>
      </w:r>
    </w:p>
    <w:p w14:paraId="24D75512" w14:textId="5474EBC0" w:rsidR="00E42052" w:rsidRPr="000E132D" w:rsidRDefault="00E42052" w:rsidP="000E132D">
      <w:pPr>
        <w:spacing w:after="240" w:line="240" w:lineRule="auto"/>
        <w:rPr>
          <w:rFonts w:ascii="Arial" w:eastAsia="Times New Roman" w:hAnsi="Arial" w:cs="Times New Roman"/>
          <w:sz w:val="24"/>
          <w:szCs w:val="24"/>
          <w:lang w:eastAsia="en-GB"/>
        </w:rPr>
      </w:pPr>
      <w:r>
        <w:rPr>
          <w:rFonts w:ascii="Arial" w:eastAsia="Times New Roman" w:hAnsi="Arial" w:cs="Times New Roman"/>
          <w:sz w:val="24"/>
          <w:szCs w:val="24"/>
          <w:lang w:eastAsia="en-GB"/>
        </w:rPr>
        <w:t>The</w:t>
      </w:r>
      <w:r w:rsidRPr="5A066E34">
        <w:rPr>
          <w:rFonts w:ascii="Arial" w:eastAsia="Times New Roman" w:hAnsi="Arial" w:cs="Times New Roman"/>
          <w:sz w:val="24"/>
          <w:szCs w:val="24"/>
          <w:lang w:eastAsia="en-GB"/>
        </w:rPr>
        <w:t xml:space="preserve"> review concludes that the </w:t>
      </w:r>
      <w:r>
        <w:rPr>
          <w:rFonts w:ascii="Arial" w:eastAsia="Times New Roman" w:hAnsi="Arial" w:cs="Times New Roman"/>
          <w:iCs/>
          <w:sz w:val="24"/>
          <w:szCs w:val="24"/>
          <w:lang w:eastAsia="en-GB"/>
        </w:rPr>
        <w:t>Commission</w:t>
      </w:r>
      <w:r w:rsidRPr="5A066E34">
        <w:rPr>
          <w:rFonts w:ascii="Arial" w:eastAsia="Times New Roman" w:hAnsi="Arial" w:cs="Times New Roman"/>
          <w:sz w:val="24"/>
          <w:szCs w:val="24"/>
          <w:lang w:eastAsia="en-GB"/>
        </w:rPr>
        <w:t xml:space="preserve"> has achieved a great deal in seeking to establish itself as one entity</w:t>
      </w:r>
      <w:r>
        <w:rPr>
          <w:rFonts w:ascii="Arial" w:eastAsia="Times New Roman" w:hAnsi="Arial" w:cs="Times New Roman"/>
          <w:sz w:val="24"/>
          <w:szCs w:val="24"/>
          <w:lang w:eastAsia="en-GB"/>
        </w:rPr>
        <w:t xml:space="preserve"> </w:t>
      </w:r>
      <w:r w:rsidRPr="5A066E34">
        <w:rPr>
          <w:rFonts w:ascii="Arial" w:eastAsia="Times New Roman" w:hAnsi="Arial" w:cs="Times New Roman"/>
          <w:sz w:val="24"/>
          <w:szCs w:val="24"/>
          <w:lang w:eastAsia="en-GB"/>
        </w:rPr>
        <w:t xml:space="preserve">and deliver on its substantively expanded roles and responsibilities. It is clear from meetings and consultation with the </w:t>
      </w:r>
      <w:r>
        <w:rPr>
          <w:rFonts w:ascii="Arial" w:eastAsia="Times New Roman" w:hAnsi="Arial" w:cs="Times New Roman"/>
          <w:iCs/>
          <w:sz w:val="24"/>
          <w:szCs w:val="24"/>
          <w:lang w:eastAsia="en-GB"/>
        </w:rPr>
        <w:t>Commission’s</w:t>
      </w:r>
      <w:r w:rsidRPr="5A066E34">
        <w:rPr>
          <w:rFonts w:ascii="Arial" w:eastAsia="Times New Roman" w:hAnsi="Arial" w:cs="Times New Roman"/>
          <w:sz w:val="24"/>
          <w:szCs w:val="24"/>
          <w:lang w:eastAsia="en-GB"/>
        </w:rPr>
        <w:t xml:space="preserve"> senior leadership and staff that its’ people are passionate and committed to their work and the goals of the organisation. </w:t>
      </w:r>
    </w:p>
    <w:p w14:paraId="0C2044AB" w14:textId="4BD4E523" w:rsidR="00E42052" w:rsidRDefault="00E42052" w:rsidP="000E132D">
      <w:pPr>
        <w:spacing w:after="240" w:line="240" w:lineRule="auto"/>
        <w:rPr>
          <w:rFonts w:ascii="Arial" w:eastAsia="Times New Roman" w:hAnsi="Arial" w:cs="Times New Roman"/>
          <w:iCs/>
          <w:sz w:val="24"/>
          <w:szCs w:val="24"/>
          <w:lang w:eastAsia="en-GB"/>
        </w:rPr>
      </w:pPr>
      <w:r>
        <w:rPr>
          <w:rFonts w:ascii="Arial" w:eastAsia="Times New Roman" w:hAnsi="Arial" w:cs="Times New Roman"/>
          <w:iCs/>
          <w:sz w:val="24"/>
          <w:szCs w:val="24"/>
          <w:lang w:eastAsia="en-GB"/>
        </w:rPr>
        <w:t xml:space="preserve">The Commission is maturing and has been </w:t>
      </w:r>
      <w:r w:rsidRPr="00352718">
        <w:rPr>
          <w:rFonts w:ascii="Arial" w:eastAsia="Times New Roman" w:hAnsi="Arial" w:cs="Times New Roman"/>
          <w:iCs/>
          <w:sz w:val="24"/>
          <w:szCs w:val="24"/>
          <w:lang w:eastAsia="en-GB"/>
        </w:rPr>
        <w:t xml:space="preserve">developing solid strategies across the range of its functions </w:t>
      </w:r>
      <w:r>
        <w:rPr>
          <w:rFonts w:ascii="Arial" w:eastAsia="Times New Roman" w:hAnsi="Arial" w:cs="Times New Roman"/>
          <w:iCs/>
          <w:sz w:val="24"/>
          <w:szCs w:val="24"/>
          <w:lang w:eastAsia="en-GB"/>
        </w:rPr>
        <w:t xml:space="preserve">aimed at </w:t>
      </w:r>
      <w:r w:rsidRPr="002E7828">
        <w:rPr>
          <w:rFonts w:ascii="Arial" w:eastAsia="Times New Roman" w:hAnsi="Arial" w:cs="Times New Roman"/>
          <w:iCs/>
          <w:sz w:val="24"/>
          <w:szCs w:val="24"/>
          <w:lang w:eastAsia="en-GB"/>
        </w:rPr>
        <w:t>strengthen</w:t>
      </w:r>
      <w:r>
        <w:rPr>
          <w:rFonts w:ascii="Arial" w:eastAsia="Times New Roman" w:hAnsi="Arial" w:cs="Times New Roman"/>
          <w:iCs/>
          <w:sz w:val="24"/>
          <w:szCs w:val="24"/>
          <w:lang w:eastAsia="en-GB"/>
        </w:rPr>
        <w:t>ing</w:t>
      </w:r>
      <w:r w:rsidRPr="002E7828">
        <w:rPr>
          <w:rFonts w:ascii="Arial" w:eastAsia="Times New Roman" w:hAnsi="Arial" w:cs="Times New Roman"/>
          <w:iCs/>
          <w:sz w:val="24"/>
          <w:szCs w:val="24"/>
          <w:lang w:eastAsia="en-GB"/>
        </w:rPr>
        <w:t xml:space="preserve"> its capability in a period of </w:t>
      </w:r>
      <w:r>
        <w:rPr>
          <w:rFonts w:ascii="Arial" w:eastAsia="Times New Roman" w:hAnsi="Arial" w:cs="Times New Roman"/>
          <w:iCs/>
          <w:sz w:val="24"/>
          <w:szCs w:val="24"/>
          <w:lang w:eastAsia="en-GB"/>
        </w:rPr>
        <w:t xml:space="preserve">significant </w:t>
      </w:r>
      <w:r w:rsidRPr="002E7828">
        <w:rPr>
          <w:rFonts w:ascii="Arial" w:eastAsia="Times New Roman" w:hAnsi="Arial" w:cs="Times New Roman"/>
          <w:iCs/>
          <w:sz w:val="24"/>
          <w:szCs w:val="24"/>
          <w:lang w:eastAsia="en-GB"/>
        </w:rPr>
        <w:t>change and major challenges</w:t>
      </w:r>
      <w:r>
        <w:rPr>
          <w:rFonts w:ascii="Arial" w:eastAsia="Times New Roman" w:hAnsi="Arial" w:cs="Times New Roman"/>
          <w:iCs/>
          <w:sz w:val="24"/>
          <w:szCs w:val="24"/>
          <w:lang w:eastAsia="en-GB"/>
        </w:rPr>
        <w:t xml:space="preserve">.  While the </w:t>
      </w:r>
      <w:r w:rsidRPr="00352718">
        <w:rPr>
          <w:rFonts w:ascii="Arial" w:eastAsia="Times New Roman" w:hAnsi="Arial" w:cs="Times New Roman"/>
          <w:iCs/>
          <w:sz w:val="24"/>
          <w:szCs w:val="24"/>
          <w:lang w:eastAsia="en-GB"/>
        </w:rPr>
        <w:t>implementation and embedding of these strategies should stand it in good stead going forwar</w:t>
      </w:r>
      <w:r>
        <w:rPr>
          <w:rFonts w:ascii="Arial" w:eastAsia="Times New Roman" w:hAnsi="Arial" w:cs="Times New Roman"/>
          <w:iCs/>
          <w:sz w:val="24"/>
          <w:szCs w:val="24"/>
          <w:lang w:eastAsia="en-GB"/>
        </w:rPr>
        <w:t>d, there remain some critical capability gaps in the organisation that require urgent attention.</w:t>
      </w:r>
    </w:p>
    <w:p w14:paraId="3EB9E9EC" w14:textId="77A8ABED" w:rsidR="00E42052" w:rsidRDefault="00E42052" w:rsidP="000E132D">
      <w:pPr>
        <w:spacing w:after="240" w:line="240" w:lineRule="auto"/>
        <w:rPr>
          <w:rFonts w:ascii="Arial" w:eastAsia="Times New Roman" w:hAnsi="Arial" w:cs="Times New Roman"/>
          <w:iCs/>
          <w:sz w:val="24"/>
          <w:szCs w:val="24"/>
          <w:lang w:eastAsia="en-GB"/>
        </w:rPr>
      </w:pPr>
      <w:r w:rsidRPr="00F4463B">
        <w:rPr>
          <w:rFonts w:ascii="Arial" w:eastAsia="Times New Roman" w:hAnsi="Arial" w:cs="Times New Roman"/>
          <w:iCs/>
          <w:sz w:val="24"/>
          <w:szCs w:val="24"/>
          <w:lang w:eastAsia="en-GB"/>
        </w:rPr>
        <w:t xml:space="preserve">While all </w:t>
      </w:r>
      <w:r>
        <w:rPr>
          <w:rFonts w:ascii="Arial" w:eastAsia="Times New Roman" w:hAnsi="Arial" w:cs="Times New Roman"/>
          <w:iCs/>
          <w:sz w:val="24"/>
          <w:szCs w:val="24"/>
          <w:lang w:eastAsia="en-GB"/>
        </w:rPr>
        <w:t xml:space="preserve">review </w:t>
      </w:r>
      <w:r w:rsidRPr="00F4463B">
        <w:rPr>
          <w:rFonts w:ascii="Arial" w:eastAsia="Times New Roman" w:hAnsi="Arial" w:cs="Times New Roman"/>
          <w:iCs/>
          <w:sz w:val="24"/>
          <w:szCs w:val="24"/>
          <w:lang w:eastAsia="en-GB"/>
        </w:rPr>
        <w:t xml:space="preserve">recommendations </w:t>
      </w:r>
      <w:r>
        <w:rPr>
          <w:rFonts w:ascii="Arial" w:eastAsia="Times New Roman" w:hAnsi="Arial" w:cs="Times New Roman"/>
          <w:iCs/>
          <w:sz w:val="24"/>
          <w:szCs w:val="24"/>
          <w:lang w:eastAsia="en-GB"/>
        </w:rPr>
        <w:t xml:space="preserve">are </w:t>
      </w:r>
      <w:r w:rsidRPr="00F4463B">
        <w:rPr>
          <w:rFonts w:ascii="Arial" w:eastAsia="Times New Roman" w:hAnsi="Arial" w:cs="Times New Roman"/>
          <w:iCs/>
          <w:sz w:val="24"/>
          <w:szCs w:val="24"/>
          <w:lang w:eastAsia="en-GB"/>
        </w:rPr>
        <w:t xml:space="preserve">complementary and important, </w:t>
      </w:r>
      <w:r>
        <w:rPr>
          <w:rFonts w:ascii="Arial" w:eastAsia="Times New Roman" w:hAnsi="Arial" w:cs="Times New Roman"/>
          <w:iCs/>
          <w:sz w:val="24"/>
          <w:szCs w:val="24"/>
          <w:lang w:eastAsia="en-GB"/>
        </w:rPr>
        <w:t xml:space="preserve">I consider </w:t>
      </w:r>
      <w:r w:rsidRPr="00F4463B">
        <w:rPr>
          <w:rFonts w:ascii="Arial" w:eastAsia="Times New Roman" w:hAnsi="Arial" w:cs="Times New Roman"/>
          <w:iCs/>
          <w:sz w:val="24"/>
          <w:szCs w:val="24"/>
          <w:lang w:eastAsia="en-GB"/>
        </w:rPr>
        <w:t xml:space="preserve">those recommendations </w:t>
      </w:r>
      <w:r>
        <w:rPr>
          <w:rFonts w:ascii="Arial" w:eastAsia="Times New Roman" w:hAnsi="Arial" w:cs="Times New Roman"/>
          <w:iCs/>
          <w:sz w:val="24"/>
          <w:szCs w:val="24"/>
          <w:lang w:eastAsia="en-GB"/>
        </w:rPr>
        <w:t xml:space="preserve">that focus on the </w:t>
      </w:r>
      <w:r w:rsidRPr="00F4463B">
        <w:rPr>
          <w:rFonts w:ascii="Arial" w:eastAsia="Times New Roman" w:hAnsi="Arial" w:cs="Times New Roman"/>
          <w:iCs/>
          <w:sz w:val="24"/>
          <w:szCs w:val="24"/>
          <w:lang w:eastAsia="en-GB"/>
        </w:rPr>
        <w:t xml:space="preserve">key enablers </w:t>
      </w:r>
      <w:r>
        <w:rPr>
          <w:rFonts w:ascii="Arial" w:eastAsia="Times New Roman" w:hAnsi="Arial" w:cs="Times New Roman"/>
          <w:iCs/>
          <w:sz w:val="24"/>
          <w:szCs w:val="24"/>
          <w:lang w:eastAsia="en-GB"/>
        </w:rPr>
        <w:t xml:space="preserve">for strengthening the Commission’s strategic, regulatory, leadership, structural, cultural, governance, digital, data and ICT, communications and engagement, and people capability as </w:t>
      </w:r>
      <w:r w:rsidRPr="00214023">
        <w:rPr>
          <w:rFonts w:ascii="Arial" w:eastAsia="Times New Roman" w:hAnsi="Arial" w:cs="Times New Roman"/>
          <w:iCs/>
          <w:sz w:val="24"/>
          <w:szCs w:val="24"/>
          <w:lang w:eastAsia="en-GB"/>
        </w:rPr>
        <w:t>the most critical and enduring and matter most.</w:t>
      </w:r>
      <w:r>
        <w:rPr>
          <w:rFonts w:ascii="Arial" w:eastAsia="Times New Roman" w:hAnsi="Arial" w:cs="Times New Roman"/>
          <w:iCs/>
          <w:sz w:val="24"/>
          <w:szCs w:val="24"/>
          <w:lang w:eastAsia="en-GB"/>
        </w:rPr>
        <w:t xml:space="preserve">  These will </w:t>
      </w:r>
      <w:r w:rsidRPr="00457D5B">
        <w:rPr>
          <w:rFonts w:ascii="Arial" w:eastAsia="Times New Roman" w:hAnsi="Arial" w:cs="Times New Roman"/>
          <w:iCs/>
          <w:sz w:val="24"/>
          <w:szCs w:val="24"/>
          <w:lang w:eastAsia="en-GB"/>
        </w:rPr>
        <w:t>ensur</w:t>
      </w:r>
      <w:r>
        <w:rPr>
          <w:rFonts w:ascii="Arial" w:eastAsia="Times New Roman" w:hAnsi="Arial" w:cs="Times New Roman"/>
          <w:iCs/>
          <w:sz w:val="24"/>
          <w:szCs w:val="24"/>
          <w:lang w:eastAsia="en-GB"/>
        </w:rPr>
        <w:t>e</w:t>
      </w:r>
      <w:r w:rsidRPr="00457D5B">
        <w:rPr>
          <w:rFonts w:ascii="Arial" w:eastAsia="Times New Roman" w:hAnsi="Arial" w:cs="Times New Roman"/>
          <w:iCs/>
          <w:sz w:val="24"/>
          <w:szCs w:val="24"/>
          <w:lang w:eastAsia="en-GB"/>
        </w:rPr>
        <w:t xml:space="preserve"> that the </w:t>
      </w:r>
      <w:r>
        <w:rPr>
          <w:rFonts w:ascii="Arial" w:eastAsia="Times New Roman" w:hAnsi="Arial" w:cs="Times New Roman"/>
          <w:iCs/>
          <w:sz w:val="24"/>
          <w:szCs w:val="24"/>
          <w:lang w:eastAsia="en-GB"/>
        </w:rPr>
        <w:t xml:space="preserve">Commission </w:t>
      </w:r>
      <w:r w:rsidRPr="00457D5B">
        <w:rPr>
          <w:rFonts w:ascii="Arial" w:eastAsia="Times New Roman" w:hAnsi="Arial" w:cs="Times New Roman"/>
          <w:iCs/>
          <w:sz w:val="24"/>
          <w:szCs w:val="24"/>
          <w:lang w:eastAsia="en-GB"/>
        </w:rPr>
        <w:t xml:space="preserve">is </w:t>
      </w:r>
      <w:r>
        <w:rPr>
          <w:rFonts w:ascii="Arial" w:eastAsia="Times New Roman" w:hAnsi="Arial" w:cs="Times New Roman"/>
          <w:iCs/>
          <w:sz w:val="24"/>
          <w:szCs w:val="24"/>
          <w:lang w:eastAsia="en-GB"/>
        </w:rPr>
        <w:t xml:space="preserve">best placed </w:t>
      </w:r>
      <w:r w:rsidRPr="00457D5B">
        <w:rPr>
          <w:rFonts w:ascii="Arial" w:eastAsia="Times New Roman" w:hAnsi="Arial" w:cs="Times New Roman"/>
          <w:iCs/>
          <w:sz w:val="24"/>
          <w:szCs w:val="24"/>
          <w:lang w:eastAsia="en-GB"/>
        </w:rPr>
        <w:t>to deliver the future regulatory framework that will apply when the new Aged Care Act commences on 1 July 2024.</w:t>
      </w:r>
    </w:p>
    <w:p w14:paraId="7C913C47" w14:textId="19FDDB71" w:rsidR="00E42052" w:rsidRDefault="00E42052" w:rsidP="000E132D">
      <w:pPr>
        <w:spacing w:after="240" w:line="240" w:lineRule="auto"/>
        <w:rPr>
          <w:rFonts w:ascii="Arial" w:eastAsia="Times New Roman" w:hAnsi="Arial" w:cs="Times New Roman"/>
          <w:iCs/>
          <w:sz w:val="24"/>
          <w:szCs w:val="24"/>
          <w:lang w:eastAsia="en-GB"/>
        </w:rPr>
      </w:pPr>
      <w:r w:rsidRPr="00A34F81">
        <w:rPr>
          <w:rFonts w:ascii="Arial" w:eastAsia="Times New Roman" w:hAnsi="Arial" w:cs="Times New Roman"/>
          <w:iCs/>
          <w:sz w:val="24"/>
          <w:szCs w:val="24"/>
          <w:lang w:eastAsia="en-GB"/>
        </w:rPr>
        <w:t>Attached is my completed report.</w:t>
      </w:r>
    </w:p>
    <w:p w14:paraId="6AC26401" w14:textId="77777777" w:rsidR="00E42052" w:rsidRPr="00A34F81" w:rsidRDefault="00E42052" w:rsidP="00E42052">
      <w:pPr>
        <w:spacing w:after="0" w:line="240" w:lineRule="auto"/>
        <w:rPr>
          <w:rFonts w:ascii="Arial" w:eastAsia="Times New Roman" w:hAnsi="Arial" w:cs="Times New Roman"/>
          <w:iCs/>
          <w:sz w:val="24"/>
          <w:szCs w:val="24"/>
          <w:lang w:eastAsia="en-GB"/>
        </w:rPr>
      </w:pPr>
      <w:r w:rsidRPr="00A34F81">
        <w:rPr>
          <w:rFonts w:ascii="Arial" w:eastAsia="Times New Roman" w:hAnsi="Arial" w:cs="Times New Roman"/>
          <w:iCs/>
          <w:sz w:val="24"/>
          <w:szCs w:val="24"/>
          <w:lang w:eastAsia="en-GB"/>
        </w:rPr>
        <w:t>Yours sincerely</w:t>
      </w:r>
    </w:p>
    <w:p w14:paraId="3E837013" w14:textId="4C03E136" w:rsidR="00E42052" w:rsidRPr="00A34F81" w:rsidRDefault="00E42052" w:rsidP="00E42052">
      <w:pPr>
        <w:spacing w:after="200" w:line="240" w:lineRule="auto"/>
        <w:rPr>
          <w:rFonts w:ascii="Arial" w:eastAsia="Times New Roman" w:hAnsi="Arial" w:cs="Times New Roman"/>
          <w:iCs/>
          <w:sz w:val="24"/>
          <w:szCs w:val="24"/>
          <w:lang w:eastAsia="en-GB"/>
        </w:rPr>
      </w:pPr>
      <w:r w:rsidRPr="00292B92">
        <w:rPr>
          <w:noProof/>
        </w:rPr>
        <w:drawing>
          <wp:inline distT="0" distB="0" distL="0" distR="0" wp14:anchorId="4BE3BF04" wp14:editId="0826A9E8">
            <wp:extent cx="1400175" cy="949073"/>
            <wp:effectExtent l="0" t="0" r="0" b="381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12152" cy="957191"/>
                    </a:xfrm>
                    <a:prstGeom prst="rect">
                      <a:avLst/>
                    </a:prstGeom>
                    <a:noFill/>
                    <a:ln>
                      <a:noFill/>
                    </a:ln>
                  </pic:spPr>
                </pic:pic>
              </a:graphicData>
            </a:graphic>
          </wp:inline>
        </w:drawing>
      </w:r>
    </w:p>
    <w:p w14:paraId="22A5EE6B" w14:textId="77777777" w:rsidR="00E42052" w:rsidRPr="00A34F81" w:rsidRDefault="00E42052" w:rsidP="00E42052">
      <w:pPr>
        <w:spacing w:after="200" w:line="240" w:lineRule="auto"/>
        <w:rPr>
          <w:rFonts w:ascii="Arial" w:eastAsia="Times New Roman" w:hAnsi="Arial" w:cs="Times New Roman"/>
          <w:iCs/>
          <w:sz w:val="24"/>
          <w:szCs w:val="24"/>
          <w:lang w:eastAsia="en-GB"/>
        </w:rPr>
      </w:pPr>
      <w:r w:rsidRPr="00A34F81">
        <w:rPr>
          <w:rFonts w:ascii="Arial" w:eastAsia="Times New Roman" w:hAnsi="Arial" w:cs="Times New Roman"/>
          <w:iCs/>
          <w:sz w:val="24"/>
          <w:szCs w:val="24"/>
          <w:lang w:eastAsia="en-GB"/>
        </w:rPr>
        <w:t>David Tune AO PSM</w:t>
      </w:r>
    </w:p>
    <w:p w14:paraId="52B85257" w14:textId="77777777" w:rsidR="00E42052" w:rsidRDefault="00E42052" w:rsidP="00E42052">
      <w:pPr>
        <w:spacing w:after="200" w:line="240" w:lineRule="auto"/>
      </w:pPr>
      <w:r>
        <w:rPr>
          <w:rFonts w:ascii="Arial" w:eastAsia="Times New Roman" w:hAnsi="Arial" w:cs="Times New Roman"/>
          <w:iCs/>
          <w:sz w:val="24"/>
          <w:szCs w:val="24"/>
          <w:lang w:eastAsia="en-GB"/>
        </w:rPr>
        <w:t>31</w:t>
      </w:r>
      <w:r w:rsidRPr="00A34F81">
        <w:rPr>
          <w:rFonts w:ascii="Arial" w:eastAsia="Times New Roman" w:hAnsi="Arial" w:cs="Times New Roman"/>
          <w:iCs/>
          <w:sz w:val="24"/>
          <w:szCs w:val="24"/>
          <w:lang w:eastAsia="en-GB"/>
        </w:rPr>
        <w:t xml:space="preserve"> March 2023</w:t>
      </w:r>
    </w:p>
    <w:p w14:paraId="7ED65099" w14:textId="77777777" w:rsidR="00E42052" w:rsidRDefault="00E42052">
      <w:pPr>
        <w:rPr>
          <w:rFonts w:ascii="Arial" w:hAnsi="Arial" w:cs="Arial"/>
          <w:b/>
          <w:bCs/>
          <w:sz w:val="28"/>
          <w:szCs w:val="28"/>
        </w:rPr>
      </w:pPr>
      <w:r>
        <w:rPr>
          <w:rFonts w:ascii="Arial" w:hAnsi="Arial" w:cs="Arial"/>
          <w:b/>
          <w:bCs/>
          <w:sz w:val="28"/>
          <w:szCs w:val="28"/>
        </w:rPr>
        <w:br w:type="page"/>
      </w:r>
    </w:p>
    <w:p w14:paraId="35EC8AF2" w14:textId="0132398C" w:rsidR="005E67BD" w:rsidRPr="005E67BD" w:rsidRDefault="005E67BD" w:rsidP="00A405F6">
      <w:pPr>
        <w:spacing w:line="240" w:lineRule="auto"/>
        <w:rPr>
          <w:rFonts w:ascii="Arial" w:hAnsi="Arial" w:cs="Arial"/>
          <w:b/>
          <w:bCs/>
          <w:sz w:val="28"/>
          <w:szCs w:val="28"/>
        </w:rPr>
      </w:pPr>
      <w:r w:rsidRPr="005E67BD">
        <w:rPr>
          <w:rFonts w:ascii="Arial" w:hAnsi="Arial" w:cs="Arial"/>
          <w:b/>
          <w:bCs/>
          <w:sz w:val="28"/>
          <w:szCs w:val="28"/>
        </w:rPr>
        <w:lastRenderedPageBreak/>
        <w:t xml:space="preserve">Acknowledgments </w:t>
      </w:r>
    </w:p>
    <w:p w14:paraId="4E9B3A0F" w14:textId="606C464B" w:rsidR="005E67BD" w:rsidRDefault="0059544A" w:rsidP="00A405F6">
      <w:pPr>
        <w:spacing w:line="240" w:lineRule="auto"/>
        <w:rPr>
          <w:rFonts w:ascii="Arial" w:hAnsi="Arial" w:cs="Arial"/>
          <w:sz w:val="24"/>
          <w:szCs w:val="24"/>
        </w:rPr>
      </w:pPr>
      <w:r>
        <w:rPr>
          <w:rFonts w:ascii="Arial" w:hAnsi="Arial" w:cs="Arial"/>
          <w:sz w:val="24"/>
          <w:szCs w:val="24"/>
        </w:rPr>
        <w:t xml:space="preserve">I </w:t>
      </w:r>
      <w:r w:rsidR="005E67BD" w:rsidRPr="005E67BD">
        <w:rPr>
          <w:rFonts w:ascii="Arial" w:hAnsi="Arial" w:cs="Arial"/>
          <w:sz w:val="24"/>
          <w:szCs w:val="24"/>
        </w:rPr>
        <w:t xml:space="preserve">would like to thank </w:t>
      </w:r>
      <w:r w:rsidR="00824FA9">
        <w:rPr>
          <w:rFonts w:ascii="Arial" w:eastAsia="Times New Roman" w:hAnsi="Arial" w:cs="Times New Roman"/>
          <w:iCs/>
          <w:sz w:val="24"/>
          <w:szCs w:val="24"/>
          <w:lang w:eastAsia="en-GB"/>
        </w:rPr>
        <w:t>Commission</w:t>
      </w:r>
      <w:r w:rsidR="005E67BD" w:rsidRPr="005E67BD">
        <w:rPr>
          <w:rFonts w:ascii="Arial" w:hAnsi="Arial" w:cs="Arial"/>
          <w:sz w:val="24"/>
          <w:szCs w:val="24"/>
        </w:rPr>
        <w:t xml:space="preserve"> staff</w:t>
      </w:r>
      <w:r w:rsidR="00B535DF">
        <w:rPr>
          <w:rFonts w:ascii="Arial" w:hAnsi="Arial" w:cs="Arial"/>
          <w:sz w:val="24"/>
          <w:szCs w:val="24"/>
        </w:rPr>
        <w:t xml:space="preserve">, </w:t>
      </w:r>
      <w:r w:rsidR="005E67BD" w:rsidRPr="005E67BD">
        <w:rPr>
          <w:rFonts w:ascii="Arial" w:hAnsi="Arial" w:cs="Arial"/>
          <w:sz w:val="24"/>
          <w:szCs w:val="24"/>
        </w:rPr>
        <w:t>senior executive leaders</w:t>
      </w:r>
      <w:r w:rsidR="00B535DF">
        <w:rPr>
          <w:rFonts w:ascii="Arial" w:hAnsi="Arial" w:cs="Arial"/>
          <w:sz w:val="24"/>
          <w:szCs w:val="24"/>
        </w:rPr>
        <w:t xml:space="preserve"> and</w:t>
      </w:r>
      <w:r w:rsidR="005E67BD" w:rsidRPr="005E67BD">
        <w:rPr>
          <w:rFonts w:ascii="Arial" w:hAnsi="Arial" w:cs="Arial"/>
          <w:sz w:val="24"/>
          <w:szCs w:val="24"/>
        </w:rPr>
        <w:t xml:space="preserve"> the</w:t>
      </w:r>
      <w:r w:rsidR="005E67BD" w:rsidRPr="0023698C">
        <w:rPr>
          <w:rFonts w:ascii="Arial" w:hAnsi="Arial" w:cs="Arial"/>
          <w:sz w:val="24"/>
          <w:szCs w:val="24"/>
        </w:rPr>
        <w:t xml:space="preserve"> </w:t>
      </w:r>
      <w:r w:rsidR="0011784A" w:rsidRPr="0011784A">
        <w:rPr>
          <w:rFonts w:ascii="Arial" w:hAnsi="Arial" w:cs="Arial"/>
          <w:sz w:val="24"/>
          <w:szCs w:val="24"/>
        </w:rPr>
        <w:t>Aged Care Quality and Safety Commissione</w:t>
      </w:r>
      <w:r w:rsidR="0011784A">
        <w:rPr>
          <w:rFonts w:ascii="Arial" w:hAnsi="Arial" w:cs="Arial"/>
          <w:sz w:val="24"/>
          <w:szCs w:val="24"/>
        </w:rPr>
        <w:t>r Janet Anderson</w:t>
      </w:r>
      <w:r w:rsidR="00947A14">
        <w:rPr>
          <w:rFonts w:ascii="Arial" w:hAnsi="Arial" w:cs="Arial"/>
          <w:sz w:val="24"/>
          <w:szCs w:val="24"/>
        </w:rPr>
        <w:t xml:space="preserve"> PSM</w:t>
      </w:r>
      <w:r w:rsidR="0011784A">
        <w:rPr>
          <w:rFonts w:ascii="Arial" w:hAnsi="Arial" w:cs="Arial"/>
          <w:sz w:val="24"/>
          <w:szCs w:val="24"/>
        </w:rPr>
        <w:t xml:space="preserve"> </w:t>
      </w:r>
      <w:r w:rsidR="005E67BD" w:rsidRPr="005E67BD">
        <w:rPr>
          <w:rFonts w:ascii="Arial" w:hAnsi="Arial" w:cs="Arial"/>
          <w:sz w:val="24"/>
          <w:szCs w:val="24"/>
        </w:rPr>
        <w:t xml:space="preserve">for their assistance and engagement in the Review. </w:t>
      </w:r>
    </w:p>
    <w:p w14:paraId="34F2300E" w14:textId="314F7792" w:rsidR="005E67BD" w:rsidRPr="0023698C" w:rsidRDefault="0059544A" w:rsidP="00A405F6">
      <w:pPr>
        <w:spacing w:line="240" w:lineRule="auto"/>
        <w:rPr>
          <w:rFonts w:ascii="Arial" w:hAnsi="Arial" w:cs="Arial"/>
          <w:sz w:val="24"/>
          <w:szCs w:val="24"/>
        </w:rPr>
      </w:pPr>
      <w:r>
        <w:rPr>
          <w:rFonts w:ascii="Arial" w:hAnsi="Arial" w:cs="Arial"/>
          <w:sz w:val="24"/>
          <w:szCs w:val="24"/>
        </w:rPr>
        <w:t xml:space="preserve">I </w:t>
      </w:r>
      <w:r w:rsidR="00A04E67" w:rsidRPr="00A04E67">
        <w:rPr>
          <w:rFonts w:ascii="Arial" w:hAnsi="Arial" w:cs="Arial"/>
          <w:sz w:val="24"/>
          <w:szCs w:val="24"/>
        </w:rPr>
        <w:t xml:space="preserve">would like to thank the Chair and members of the </w:t>
      </w:r>
      <w:r w:rsidR="009443B5">
        <w:rPr>
          <w:rFonts w:ascii="Arial" w:hAnsi="Arial" w:cs="Arial"/>
          <w:sz w:val="24"/>
          <w:szCs w:val="24"/>
        </w:rPr>
        <w:t xml:space="preserve">Aged Care Quality and Safety </w:t>
      </w:r>
      <w:r w:rsidR="00A04E67" w:rsidRPr="00A04E67">
        <w:rPr>
          <w:rFonts w:ascii="Arial" w:hAnsi="Arial" w:cs="Arial"/>
          <w:sz w:val="24"/>
          <w:szCs w:val="24"/>
        </w:rPr>
        <w:t xml:space="preserve">Advisory Council for their </w:t>
      </w:r>
      <w:r w:rsidR="00B535DF">
        <w:rPr>
          <w:rFonts w:ascii="Arial" w:hAnsi="Arial" w:cs="Arial"/>
          <w:sz w:val="24"/>
          <w:szCs w:val="24"/>
        </w:rPr>
        <w:t xml:space="preserve">contribution to </w:t>
      </w:r>
      <w:r w:rsidR="00A04E67" w:rsidRPr="00A04E67">
        <w:rPr>
          <w:rFonts w:ascii="Arial" w:hAnsi="Arial" w:cs="Arial"/>
          <w:sz w:val="24"/>
          <w:szCs w:val="24"/>
        </w:rPr>
        <w:t>the Review</w:t>
      </w:r>
      <w:r w:rsidR="00A04E67">
        <w:rPr>
          <w:rFonts w:ascii="Arial" w:hAnsi="Arial" w:cs="Arial"/>
          <w:sz w:val="24"/>
          <w:szCs w:val="24"/>
        </w:rPr>
        <w:t xml:space="preserve">, as well as the </w:t>
      </w:r>
      <w:r w:rsidR="005E67BD" w:rsidRPr="0023698C">
        <w:rPr>
          <w:rFonts w:ascii="Arial" w:hAnsi="Arial" w:cs="Arial"/>
          <w:sz w:val="24"/>
          <w:szCs w:val="24"/>
        </w:rPr>
        <w:t xml:space="preserve">Chairs </w:t>
      </w:r>
      <w:r w:rsidR="005E67BD" w:rsidRPr="005E67BD">
        <w:rPr>
          <w:rFonts w:ascii="Arial" w:hAnsi="Arial" w:cs="Arial"/>
          <w:sz w:val="24"/>
          <w:szCs w:val="24"/>
        </w:rPr>
        <w:t xml:space="preserve">and members of </w:t>
      </w:r>
      <w:r w:rsidR="00A04E67">
        <w:rPr>
          <w:rFonts w:ascii="Arial" w:hAnsi="Arial" w:cs="Arial"/>
          <w:sz w:val="24"/>
          <w:szCs w:val="24"/>
        </w:rPr>
        <w:t xml:space="preserve">other </w:t>
      </w:r>
      <w:r w:rsidR="005E67BD" w:rsidRPr="005E67BD">
        <w:rPr>
          <w:rFonts w:ascii="Arial" w:hAnsi="Arial" w:cs="Arial"/>
          <w:sz w:val="24"/>
          <w:szCs w:val="24"/>
        </w:rPr>
        <w:t xml:space="preserve">external committees </w:t>
      </w:r>
      <w:r w:rsidR="005E67BD" w:rsidRPr="0023698C">
        <w:rPr>
          <w:rFonts w:ascii="Arial" w:hAnsi="Arial" w:cs="Arial"/>
          <w:sz w:val="24"/>
          <w:szCs w:val="24"/>
        </w:rPr>
        <w:t>and forums</w:t>
      </w:r>
      <w:r w:rsidR="005E67BD" w:rsidRPr="005E67BD">
        <w:rPr>
          <w:rFonts w:ascii="Arial" w:hAnsi="Arial" w:cs="Arial"/>
          <w:sz w:val="24"/>
          <w:szCs w:val="24"/>
        </w:rPr>
        <w:t xml:space="preserve"> </w:t>
      </w:r>
      <w:r w:rsidR="00A04E67">
        <w:rPr>
          <w:rFonts w:ascii="Arial" w:hAnsi="Arial" w:cs="Arial"/>
          <w:sz w:val="24"/>
          <w:szCs w:val="24"/>
        </w:rPr>
        <w:t xml:space="preserve">who </w:t>
      </w:r>
      <w:r w:rsidR="005E67BD" w:rsidRPr="005E67BD">
        <w:rPr>
          <w:rFonts w:ascii="Arial" w:hAnsi="Arial" w:cs="Arial"/>
          <w:sz w:val="24"/>
          <w:szCs w:val="24"/>
        </w:rPr>
        <w:t>also gave generously of their time</w:t>
      </w:r>
      <w:r w:rsidR="005E67BD" w:rsidRPr="0023698C">
        <w:rPr>
          <w:rFonts w:ascii="Arial" w:hAnsi="Arial" w:cs="Arial"/>
          <w:sz w:val="24"/>
          <w:szCs w:val="24"/>
        </w:rPr>
        <w:t>.</w:t>
      </w:r>
    </w:p>
    <w:p w14:paraId="578D4BE9" w14:textId="7F300878" w:rsidR="0023698C" w:rsidRPr="005E67BD" w:rsidRDefault="0059544A" w:rsidP="00A405F6">
      <w:pPr>
        <w:spacing w:line="240" w:lineRule="auto"/>
        <w:rPr>
          <w:rFonts w:ascii="Arial" w:hAnsi="Arial" w:cs="Arial"/>
          <w:sz w:val="24"/>
          <w:szCs w:val="24"/>
        </w:rPr>
      </w:pPr>
      <w:r>
        <w:rPr>
          <w:rFonts w:ascii="Arial" w:hAnsi="Arial" w:cs="Arial"/>
          <w:sz w:val="24"/>
          <w:szCs w:val="24"/>
        </w:rPr>
        <w:t xml:space="preserve">I </w:t>
      </w:r>
      <w:r w:rsidR="0023698C" w:rsidRPr="005E67BD">
        <w:rPr>
          <w:rFonts w:ascii="Arial" w:hAnsi="Arial" w:cs="Arial"/>
          <w:sz w:val="24"/>
          <w:szCs w:val="24"/>
        </w:rPr>
        <w:t xml:space="preserve">would like to thank everyone who gave generously of their time and insights by participating in the </w:t>
      </w:r>
      <w:r w:rsidR="0023698C" w:rsidRPr="0023698C">
        <w:rPr>
          <w:rFonts w:ascii="Arial" w:hAnsi="Arial" w:cs="Arial"/>
          <w:sz w:val="24"/>
          <w:szCs w:val="24"/>
        </w:rPr>
        <w:t xml:space="preserve">Review’s stakeholder consultation </w:t>
      </w:r>
      <w:r w:rsidR="0023698C" w:rsidRPr="005E67BD">
        <w:rPr>
          <w:rFonts w:ascii="Arial" w:hAnsi="Arial" w:cs="Arial"/>
          <w:sz w:val="24"/>
          <w:szCs w:val="24"/>
        </w:rPr>
        <w:t xml:space="preserve">roundtables, one-on-one </w:t>
      </w:r>
      <w:proofErr w:type="gramStart"/>
      <w:r w:rsidR="0023698C" w:rsidRPr="005E67BD">
        <w:rPr>
          <w:rFonts w:ascii="Arial" w:hAnsi="Arial" w:cs="Arial"/>
          <w:sz w:val="24"/>
          <w:szCs w:val="24"/>
        </w:rPr>
        <w:t>interviews</w:t>
      </w:r>
      <w:proofErr w:type="gramEnd"/>
      <w:r w:rsidR="0023698C" w:rsidRPr="0023698C">
        <w:rPr>
          <w:rFonts w:ascii="Arial" w:hAnsi="Arial" w:cs="Arial"/>
          <w:sz w:val="24"/>
          <w:szCs w:val="24"/>
        </w:rPr>
        <w:t xml:space="preserve"> and</w:t>
      </w:r>
      <w:r w:rsidR="0023698C" w:rsidRPr="005E67BD">
        <w:rPr>
          <w:rFonts w:ascii="Arial" w:hAnsi="Arial" w:cs="Arial"/>
          <w:sz w:val="24"/>
          <w:szCs w:val="24"/>
        </w:rPr>
        <w:t xml:space="preserve"> meetings, </w:t>
      </w:r>
      <w:r w:rsidR="0023698C" w:rsidRPr="0023698C">
        <w:rPr>
          <w:rFonts w:ascii="Arial" w:hAnsi="Arial" w:cs="Arial"/>
          <w:sz w:val="24"/>
          <w:szCs w:val="24"/>
        </w:rPr>
        <w:t xml:space="preserve">and those who </w:t>
      </w:r>
      <w:r w:rsidR="0023698C" w:rsidRPr="005E67BD">
        <w:rPr>
          <w:rFonts w:ascii="Arial" w:hAnsi="Arial" w:cs="Arial"/>
          <w:sz w:val="24"/>
          <w:szCs w:val="24"/>
        </w:rPr>
        <w:t xml:space="preserve">went to the effort of preparing submissions. </w:t>
      </w:r>
    </w:p>
    <w:p w14:paraId="1D8D602E" w14:textId="7E19DCFB" w:rsidR="00A04E67" w:rsidRDefault="0059544A" w:rsidP="00A405F6">
      <w:pPr>
        <w:spacing w:line="240" w:lineRule="auto"/>
        <w:rPr>
          <w:rFonts w:ascii="Arial" w:hAnsi="Arial" w:cs="Arial"/>
          <w:sz w:val="24"/>
          <w:szCs w:val="24"/>
        </w:rPr>
      </w:pPr>
      <w:r>
        <w:rPr>
          <w:rFonts w:ascii="Arial" w:hAnsi="Arial" w:cs="Arial"/>
          <w:sz w:val="24"/>
          <w:szCs w:val="24"/>
        </w:rPr>
        <w:t xml:space="preserve">I </w:t>
      </w:r>
      <w:r w:rsidR="000C1B19" w:rsidRPr="0023698C">
        <w:rPr>
          <w:rFonts w:ascii="Arial" w:hAnsi="Arial" w:cs="Arial"/>
          <w:sz w:val="24"/>
          <w:szCs w:val="24"/>
        </w:rPr>
        <w:t xml:space="preserve">also wish to acknowledge the </w:t>
      </w:r>
      <w:r w:rsidR="00A04E67">
        <w:rPr>
          <w:rFonts w:ascii="Arial" w:hAnsi="Arial" w:cs="Arial"/>
          <w:sz w:val="24"/>
          <w:szCs w:val="24"/>
        </w:rPr>
        <w:t xml:space="preserve">contributions </w:t>
      </w:r>
      <w:r w:rsidR="000C1B19" w:rsidRPr="0023698C">
        <w:rPr>
          <w:rFonts w:ascii="Arial" w:hAnsi="Arial" w:cs="Arial"/>
          <w:sz w:val="24"/>
          <w:szCs w:val="24"/>
        </w:rPr>
        <w:t xml:space="preserve">provided by Department of Health and Aged Care </w:t>
      </w:r>
      <w:r w:rsidR="000C1B19">
        <w:rPr>
          <w:rFonts w:ascii="Arial" w:hAnsi="Arial" w:cs="Arial"/>
          <w:sz w:val="24"/>
          <w:szCs w:val="24"/>
        </w:rPr>
        <w:t>staff and senior executive leaders</w:t>
      </w:r>
      <w:r w:rsidR="000C1B19" w:rsidRPr="0023698C">
        <w:rPr>
          <w:rFonts w:ascii="Arial" w:hAnsi="Arial" w:cs="Arial"/>
          <w:sz w:val="24"/>
          <w:szCs w:val="24"/>
        </w:rPr>
        <w:t xml:space="preserve">, whose </w:t>
      </w:r>
      <w:r w:rsidR="00A04E67">
        <w:rPr>
          <w:rFonts w:ascii="Arial" w:hAnsi="Arial" w:cs="Arial"/>
          <w:sz w:val="24"/>
          <w:szCs w:val="24"/>
        </w:rPr>
        <w:t>assistance to and engagement with t</w:t>
      </w:r>
      <w:r w:rsidR="000C1B19" w:rsidRPr="0023698C">
        <w:rPr>
          <w:rFonts w:ascii="Arial" w:hAnsi="Arial" w:cs="Arial"/>
          <w:sz w:val="24"/>
          <w:szCs w:val="24"/>
        </w:rPr>
        <w:t xml:space="preserve">he Review </w:t>
      </w:r>
      <w:r w:rsidR="00AB1010">
        <w:rPr>
          <w:rFonts w:ascii="Arial" w:hAnsi="Arial" w:cs="Arial"/>
          <w:sz w:val="24"/>
          <w:szCs w:val="24"/>
        </w:rPr>
        <w:t>provided</w:t>
      </w:r>
      <w:r w:rsidR="000C1B19" w:rsidRPr="0023698C">
        <w:rPr>
          <w:rFonts w:ascii="Arial" w:hAnsi="Arial" w:cs="Arial"/>
          <w:sz w:val="24"/>
          <w:szCs w:val="24"/>
        </w:rPr>
        <w:t xml:space="preserve"> crucial insights into the issues </w:t>
      </w:r>
      <w:r w:rsidR="00AB1010">
        <w:rPr>
          <w:rFonts w:ascii="Arial" w:hAnsi="Arial" w:cs="Arial"/>
          <w:sz w:val="24"/>
          <w:szCs w:val="24"/>
        </w:rPr>
        <w:t xml:space="preserve">I </w:t>
      </w:r>
      <w:r w:rsidR="000C1B19" w:rsidRPr="0023698C">
        <w:rPr>
          <w:rFonts w:ascii="Arial" w:hAnsi="Arial" w:cs="Arial"/>
          <w:sz w:val="24"/>
          <w:szCs w:val="24"/>
        </w:rPr>
        <w:t>was asked to consider.</w:t>
      </w:r>
    </w:p>
    <w:p w14:paraId="309EC1A6" w14:textId="2BF6BF71" w:rsidR="00A00298" w:rsidRPr="00A00298" w:rsidRDefault="00A00298" w:rsidP="00A00298">
      <w:pPr>
        <w:spacing w:line="240" w:lineRule="auto"/>
        <w:rPr>
          <w:rFonts w:ascii="Arial" w:hAnsi="Arial" w:cs="Arial"/>
          <w:sz w:val="24"/>
          <w:szCs w:val="24"/>
        </w:rPr>
      </w:pPr>
      <w:r>
        <w:rPr>
          <w:rFonts w:ascii="Arial" w:hAnsi="Arial" w:cs="Arial"/>
          <w:sz w:val="24"/>
          <w:szCs w:val="24"/>
        </w:rPr>
        <w:t>I am particularly grateful for the invaluable assistance provided by the Review tea</w:t>
      </w:r>
      <w:r w:rsidR="00AA2A77">
        <w:rPr>
          <w:rFonts w:ascii="Arial" w:hAnsi="Arial" w:cs="Arial"/>
          <w:sz w:val="24"/>
          <w:szCs w:val="24"/>
        </w:rPr>
        <w:t>m</w:t>
      </w:r>
      <w:r>
        <w:rPr>
          <w:rFonts w:ascii="Arial" w:hAnsi="Arial" w:cs="Arial"/>
          <w:sz w:val="24"/>
          <w:szCs w:val="24"/>
        </w:rPr>
        <w:t xml:space="preserve">, comprised of Phil Brown (Lead), Kathleen </w:t>
      </w:r>
      <w:proofErr w:type="spellStart"/>
      <w:r>
        <w:rPr>
          <w:rFonts w:ascii="Arial" w:hAnsi="Arial" w:cs="Arial"/>
          <w:sz w:val="24"/>
          <w:szCs w:val="24"/>
        </w:rPr>
        <w:t>Dalladay</w:t>
      </w:r>
      <w:proofErr w:type="spellEnd"/>
      <w:r>
        <w:rPr>
          <w:rFonts w:ascii="Arial" w:hAnsi="Arial" w:cs="Arial"/>
          <w:sz w:val="24"/>
          <w:szCs w:val="24"/>
        </w:rPr>
        <w:t xml:space="preserve">, </w:t>
      </w:r>
      <w:r w:rsidRPr="00A00298">
        <w:rPr>
          <w:rFonts w:ascii="Arial" w:hAnsi="Arial" w:cs="Arial"/>
          <w:sz w:val="24"/>
          <w:szCs w:val="24"/>
        </w:rPr>
        <w:t>Elena del Castillo Villanueva</w:t>
      </w:r>
      <w:r>
        <w:rPr>
          <w:rFonts w:ascii="Arial" w:hAnsi="Arial" w:cs="Arial"/>
          <w:sz w:val="24"/>
          <w:szCs w:val="24"/>
        </w:rPr>
        <w:t xml:space="preserve">, </w:t>
      </w:r>
      <w:r w:rsidR="00196C63">
        <w:rPr>
          <w:rFonts w:ascii="Arial" w:hAnsi="Arial" w:cs="Arial"/>
          <w:sz w:val="24"/>
          <w:szCs w:val="24"/>
        </w:rPr>
        <w:t xml:space="preserve">Tony English, Sarah Hough, </w:t>
      </w:r>
      <w:r>
        <w:rPr>
          <w:rFonts w:ascii="Arial" w:hAnsi="Arial" w:cs="Arial"/>
          <w:sz w:val="24"/>
          <w:szCs w:val="24"/>
        </w:rPr>
        <w:t xml:space="preserve">Peter </w:t>
      </w:r>
      <w:proofErr w:type="spellStart"/>
      <w:r>
        <w:rPr>
          <w:rFonts w:ascii="Arial" w:hAnsi="Arial" w:cs="Arial"/>
          <w:sz w:val="24"/>
          <w:szCs w:val="24"/>
        </w:rPr>
        <w:t>Huta</w:t>
      </w:r>
      <w:proofErr w:type="spellEnd"/>
      <w:r>
        <w:rPr>
          <w:rFonts w:ascii="Arial" w:hAnsi="Arial" w:cs="Arial"/>
          <w:sz w:val="24"/>
          <w:szCs w:val="24"/>
        </w:rPr>
        <w:t xml:space="preserve">, Daniel Keys, Kym McConnell, Meagan </w:t>
      </w:r>
      <w:proofErr w:type="spellStart"/>
      <w:r>
        <w:rPr>
          <w:rFonts w:ascii="Arial" w:hAnsi="Arial" w:cs="Arial"/>
          <w:sz w:val="24"/>
          <w:szCs w:val="24"/>
        </w:rPr>
        <w:t>Petteit</w:t>
      </w:r>
      <w:proofErr w:type="spellEnd"/>
      <w:r>
        <w:rPr>
          <w:rFonts w:ascii="Arial" w:hAnsi="Arial" w:cs="Arial"/>
          <w:sz w:val="24"/>
          <w:szCs w:val="24"/>
        </w:rPr>
        <w:t xml:space="preserve">, Danielle Pinkerton, Anne </w:t>
      </w:r>
      <w:proofErr w:type="spellStart"/>
      <w:proofErr w:type="gramStart"/>
      <w:r>
        <w:rPr>
          <w:rFonts w:ascii="Arial" w:hAnsi="Arial" w:cs="Arial"/>
          <w:sz w:val="24"/>
          <w:szCs w:val="24"/>
        </w:rPr>
        <w:t>Tibaldi</w:t>
      </w:r>
      <w:proofErr w:type="spellEnd"/>
      <w:proofErr w:type="gramEnd"/>
      <w:r>
        <w:rPr>
          <w:rFonts w:ascii="Arial" w:hAnsi="Arial" w:cs="Arial"/>
          <w:sz w:val="24"/>
          <w:szCs w:val="24"/>
        </w:rPr>
        <w:t xml:space="preserve"> and David Weiss.</w:t>
      </w:r>
    </w:p>
    <w:p w14:paraId="7A2BC025" w14:textId="77777777" w:rsidR="00BD17DE" w:rsidRDefault="00BD17DE" w:rsidP="00A405F6">
      <w:pPr>
        <w:spacing w:line="240" w:lineRule="auto"/>
        <w:rPr>
          <w:rFonts w:ascii="Arial" w:hAnsi="Arial" w:cs="Arial"/>
          <w:sz w:val="24"/>
          <w:szCs w:val="24"/>
        </w:rPr>
      </w:pPr>
    </w:p>
    <w:p w14:paraId="086C58FD" w14:textId="77777777" w:rsidR="00BD17DE" w:rsidRDefault="00BD17DE" w:rsidP="00A405F6">
      <w:pPr>
        <w:spacing w:line="240" w:lineRule="auto"/>
        <w:rPr>
          <w:rFonts w:ascii="Arial" w:hAnsi="Arial" w:cs="Arial"/>
          <w:sz w:val="24"/>
          <w:szCs w:val="24"/>
        </w:rPr>
        <w:sectPr w:rsidR="00BD17DE" w:rsidSect="00A8493B">
          <w:headerReference w:type="even" r:id="rId12"/>
          <w:headerReference w:type="default" r:id="rId13"/>
          <w:footerReference w:type="default" r:id="rId14"/>
          <w:headerReference w:type="first" r:id="rId15"/>
          <w:pgSz w:w="11910" w:h="16840"/>
          <w:pgMar w:top="1240" w:right="1340" w:bottom="760" w:left="1340" w:header="756" w:footer="578" w:gutter="0"/>
          <w:pgNumType w:start="1"/>
          <w:cols w:space="720"/>
        </w:sectPr>
      </w:pPr>
    </w:p>
    <w:sdt>
      <w:sdtPr>
        <w:rPr>
          <w:rFonts w:asciiTheme="minorHAnsi" w:eastAsiaTheme="minorHAnsi" w:hAnsiTheme="minorHAnsi" w:cstheme="minorBidi"/>
          <w:caps w:val="0"/>
          <w:color w:val="auto"/>
          <w:sz w:val="22"/>
          <w:szCs w:val="22"/>
          <w:lang w:val="en-AU" w:eastAsia="en-US"/>
        </w:rPr>
        <w:id w:val="-134648572"/>
        <w:docPartObj>
          <w:docPartGallery w:val="Table of Contents"/>
          <w:docPartUnique/>
        </w:docPartObj>
      </w:sdtPr>
      <w:sdtEndPr>
        <w:rPr>
          <w:rFonts w:ascii="Calibri" w:eastAsiaTheme="minorEastAsia" w:hAnsi="Calibri" w:cs="Calibri"/>
          <w:b/>
          <w:bCs/>
          <w:noProof/>
          <w:sz w:val="24"/>
        </w:rPr>
      </w:sdtEndPr>
      <w:sdtContent>
        <w:p w14:paraId="7C231C27" w14:textId="2BDB832A" w:rsidR="00855A3B" w:rsidRDefault="00855A3B" w:rsidP="008B48BF">
          <w:pPr>
            <w:pStyle w:val="TOCHeading"/>
            <w:spacing w:before="120" w:after="120"/>
          </w:pPr>
          <w:r>
            <w:t>Contents</w:t>
          </w:r>
        </w:p>
        <w:p w14:paraId="0CD657AF" w14:textId="0AE4E0B4" w:rsidR="00D40DF5" w:rsidRDefault="00855A3B">
          <w:pPr>
            <w:pStyle w:val="TOC1"/>
            <w:rPr>
              <w:rFonts w:asciiTheme="minorHAnsi" w:hAnsiTheme="minorHAnsi" w:cstheme="minorBidi"/>
              <w:noProof/>
              <w:sz w:val="22"/>
              <w:lang w:eastAsia="en-AU"/>
            </w:rPr>
          </w:pPr>
          <w:r>
            <w:fldChar w:fldCharType="begin"/>
          </w:r>
          <w:r>
            <w:instrText xml:space="preserve"> TOC \o "1-3" \h \z \u </w:instrText>
          </w:r>
          <w:r>
            <w:fldChar w:fldCharType="separate"/>
          </w:r>
          <w:hyperlink w:anchor="_Toc131163549" w:history="1">
            <w:r w:rsidR="00D40DF5" w:rsidRPr="00EA5122">
              <w:rPr>
                <w:rStyle w:val="Hyperlink"/>
                <w:noProof/>
              </w:rPr>
              <w:t>EXECUTIVE SUMMARY</w:t>
            </w:r>
            <w:r w:rsidR="00D40DF5">
              <w:rPr>
                <w:noProof/>
                <w:webHidden/>
              </w:rPr>
              <w:tab/>
            </w:r>
            <w:r w:rsidR="00D40DF5">
              <w:rPr>
                <w:noProof/>
                <w:webHidden/>
              </w:rPr>
              <w:fldChar w:fldCharType="begin"/>
            </w:r>
            <w:r w:rsidR="00D40DF5">
              <w:rPr>
                <w:noProof/>
                <w:webHidden/>
              </w:rPr>
              <w:instrText xml:space="preserve"> PAGEREF _Toc131163549 \h </w:instrText>
            </w:r>
            <w:r w:rsidR="00D40DF5">
              <w:rPr>
                <w:noProof/>
                <w:webHidden/>
              </w:rPr>
            </w:r>
            <w:r w:rsidR="00D40DF5">
              <w:rPr>
                <w:noProof/>
                <w:webHidden/>
              </w:rPr>
              <w:fldChar w:fldCharType="separate"/>
            </w:r>
            <w:r w:rsidR="00D40DF5">
              <w:rPr>
                <w:noProof/>
                <w:webHidden/>
              </w:rPr>
              <w:t>1</w:t>
            </w:r>
            <w:r w:rsidR="00D40DF5">
              <w:rPr>
                <w:noProof/>
                <w:webHidden/>
              </w:rPr>
              <w:fldChar w:fldCharType="end"/>
            </w:r>
          </w:hyperlink>
        </w:p>
        <w:p w14:paraId="15EE9C5C" w14:textId="4A225708" w:rsidR="00D40DF5" w:rsidRDefault="00024728">
          <w:pPr>
            <w:pStyle w:val="TOC1"/>
            <w:rPr>
              <w:rFonts w:asciiTheme="minorHAnsi" w:hAnsiTheme="minorHAnsi" w:cstheme="minorBidi"/>
              <w:noProof/>
              <w:sz w:val="22"/>
              <w:lang w:eastAsia="en-AU"/>
            </w:rPr>
          </w:pPr>
          <w:hyperlink w:anchor="_Toc131163550" w:history="1">
            <w:r w:rsidR="00D40DF5" w:rsidRPr="00EA5122">
              <w:rPr>
                <w:rStyle w:val="Hyperlink"/>
                <w:noProof/>
              </w:rPr>
              <w:t>CHAPTER 1: INTRODUCTION</w:t>
            </w:r>
            <w:r w:rsidR="00D40DF5">
              <w:rPr>
                <w:noProof/>
                <w:webHidden/>
              </w:rPr>
              <w:tab/>
            </w:r>
            <w:r w:rsidR="00D40DF5">
              <w:rPr>
                <w:noProof/>
                <w:webHidden/>
              </w:rPr>
              <w:fldChar w:fldCharType="begin"/>
            </w:r>
            <w:r w:rsidR="00D40DF5">
              <w:rPr>
                <w:noProof/>
                <w:webHidden/>
              </w:rPr>
              <w:instrText xml:space="preserve"> PAGEREF _Toc131163550 \h </w:instrText>
            </w:r>
            <w:r w:rsidR="00D40DF5">
              <w:rPr>
                <w:noProof/>
                <w:webHidden/>
              </w:rPr>
            </w:r>
            <w:r w:rsidR="00D40DF5">
              <w:rPr>
                <w:noProof/>
                <w:webHidden/>
              </w:rPr>
              <w:fldChar w:fldCharType="separate"/>
            </w:r>
            <w:r w:rsidR="00D40DF5">
              <w:rPr>
                <w:noProof/>
                <w:webHidden/>
              </w:rPr>
              <w:t>5</w:t>
            </w:r>
            <w:r w:rsidR="00D40DF5">
              <w:rPr>
                <w:noProof/>
                <w:webHidden/>
              </w:rPr>
              <w:fldChar w:fldCharType="end"/>
            </w:r>
          </w:hyperlink>
        </w:p>
        <w:p w14:paraId="7DF12958" w14:textId="400DBD67" w:rsidR="00D40DF5" w:rsidRDefault="00024728">
          <w:pPr>
            <w:pStyle w:val="TOC1"/>
            <w:rPr>
              <w:rFonts w:asciiTheme="minorHAnsi" w:hAnsiTheme="minorHAnsi" w:cstheme="minorBidi"/>
              <w:noProof/>
              <w:sz w:val="22"/>
              <w:lang w:eastAsia="en-AU"/>
            </w:rPr>
          </w:pPr>
          <w:hyperlink w:anchor="_Toc131163551" w:history="1">
            <w:r w:rsidR="00D40DF5" w:rsidRPr="00EA5122">
              <w:rPr>
                <w:rStyle w:val="Hyperlink"/>
                <w:noProof/>
              </w:rPr>
              <w:t>CHAPTER 2: REVIEW RECOMMENDATIONS AND ACTION PLAN</w:t>
            </w:r>
            <w:r w:rsidR="00D40DF5">
              <w:rPr>
                <w:noProof/>
                <w:webHidden/>
              </w:rPr>
              <w:tab/>
            </w:r>
            <w:r w:rsidR="00D40DF5">
              <w:rPr>
                <w:noProof/>
                <w:webHidden/>
              </w:rPr>
              <w:fldChar w:fldCharType="begin"/>
            </w:r>
            <w:r w:rsidR="00D40DF5">
              <w:rPr>
                <w:noProof/>
                <w:webHidden/>
              </w:rPr>
              <w:instrText xml:space="preserve"> PAGEREF _Toc131163551 \h </w:instrText>
            </w:r>
            <w:r w:rsidR="00D40DF5">
              <w:rPr>
                <w:noProof/>
                <w:webHidden/>
              </w:rPr>
            </w:r>
            <w:r w:rsidR="00D40DF5">
              <w:rPr>
                <w:noProof/>
                <w:webHidden/>
              </w:rPr>
              <w:fldChar w:fldCharType="separate"/>
            </w:r>
            <w:r w:rsidR="00D40DF5">
              <w:rPr>
                <w:noProof/>
                <w:webHidden/>
              </w:rPr>
              <w:t>10</w:t>
            </w:r>
            <w:r w:rsidR="00D40DF5">
              <w:rPr>
                <w:noProof/>
                <w:webHidden/>
              </w:rPr>
              <w:fldChar w:fldCharType="end"/>
            </w:r>
          </w:hyperlink>
        </w:p>
        <w:p w14:paraId="27CC1074" w14:textId="4A53C4FD" w:rsidR="00D40DF5" w:rsidRDefault="00024728">
          <w:pPr>
            <w:pStyle w:val="TOC1"/>
            <w:rPr>
              <w:rFonts w:asciiTheme="minorHAnsi" w:hAnsiTheme="minorHAnsi" w:cstheme="minorBidi"/>
              <w:noProof/>
              <w:sz w:val="22"/>
              <w:lang w:eastAsia="en-AU"/>
            </w:rPr>
          </w:pPr>
          <w:hyperlink w:anchor="_Toc131163552" w:history="1">
            <w:r w:rsidR="00D40DF5" w:rsidRPr="00EA5122">
              <w:rPr>
                <w:rStyle w:val="Hyperlink"/>
                <w:noProof/>
              </w:rPr>
              <w:t>CHAPTER 3: CONTEXT</w:t>
            </w:r>
            <w:r w:rsidR="00D40DF5">
              <w:rPr>
                <w:noProof/>
                <w:webHidden/>
              </w:rPr>
              <w:tab/>
            </w:r>
            <w:r w:rsidR="00D40DF5">
              <w:rPr>
                <w:noProof/>
                <w:webHidden/>
              </w:rPr>
              <w:fldChar w:fldCharType="begin"/>
            </w:r>
            <w:r w:rsidR="00D40DF5">
              <w:rPr>
                <w:noProof/>
                <w:webHidden/>
              </w:rPr>
              <w:instrText xml:space="preserve"> PAGEREF _Toc131163552 \h </w:instrText>
            </w:r>
            <w:r w:rsidR="00D40DF5">
              <w:rPr>
                <w:noProof/>
                <w:webHidden/>
              </w:rPr>
            </w:r>
            <w:r w:rsidR="00D40DF5">
              <w:rPr>
                <w:noProof/>
                <w:webHidden/>
              </w:rPr>
              <w:fldChar w:fldCharType="separate"/>
            </w:r>
            <w:r w:rsidR="00D40DF5">
              <w:rPr>
                <w:noProof/>
                <w:webHidden/>
              </w:rPr>
              <w:t>14</w:t>
            </w:r>
            <w:r w:rsidR="00D40DF5">
              <w:rPr>
                <w:noProof/>
                <w:webHidden/>
              </w:rPr>
              <w:fldChar w:fldCharType="end"/>
            </w:r>
          </w:hyperlink>
        </w:p>
        <w:p w14:paraId="5A9FF2CD" w14:textId="044E77B3" w:rsidR="00D40DF5" w:rsidRDefault="00024728">
          <w:pPr>
            <w:pStyle w:val="TOC1"/>
            <w:rPr>
              <w:rFonts w:asciiTheme="minorHAnsi" w:hAnsiTheme="minorHAnsi" w:cstheme="minorBidi"/>
              <w:noProof/>
              <w:sz w:val="22"/>
              <w:lang w:eastAsia="en-AU"/>
            </w:rPr>
          </w:pPr>
          <w:hyperlink w:anchor="_Toc131163553" w:history="1">
            <w:r w:rsidR="00D40DF5" w:rsidRPr="00EA5122">
              <w:rPr>
                <w:rStyle w:val="Hyperlink"/>
                <w:noProof/>
              </w:rPr>
              <w:t>CHAPTER 4: TOWARDS A CONTEMPORARY, HIGH PERFORMING, RISK</w:t>
            </w:r>
            <w:r w:rsidR="00D40DF5" w:rsidRPr="00EA5122">
              <w:rPr>
                <w:rStyle w:val="Hyperlink"/>
                <w:noProof/>
              </w:rPr>
              <w:noBreakHyphen/>
              <w:t>BASED REGULATOR</w:t>
            </w:r>
            <w:r w:rsidR="00D40DF5">
              <w:rPr>
                <w:noProof/>
                <w:webHidden/>
              </w:rPr>
              <w:tab/>
            </w:r>
            <w:r w:rsidR="00D40DF5">
              <w:rPr>
                <w:noProof/>
                <w:webHidden/>
              </w:rPr>
              <w:fldChar w:fldCharType="begin"/>
            </w:r>
            <w:r w:rsidR="00D40DF5">
              <w:rPr>
                <w:noProof/>
                <w:webHidden/>
              </w:rPr>
              <w:instrText xml:space="preserve"> PAGEREF _Toc131163553 \h </w:instrText>
            </w:r>
            <w:r w:rsidR="00D40DF5">
              <w:rPr>
                <w:noProof/>
                <w:webHidden/>
              </w:rPr>
            </w:r>
            <w:r w:rsidR="00D40DF5">
              <w:rPr>
                <w:noProof/>
                <w:webHidden/>
              </w:rPr>
              <w:fldChar w:fldCharType="separate"/>
            </w:r>
            <w:r w:rsidR="00D40DF5">
              <w:rPr>
                <w:noProof/>
                <w:webHidden/>
              </w:rPr>
              <w:t>27</w:t>
            </w:r>
            <w:r w:rsidR="00D40DF5">
              <w:rPr>
                <w:noProof/>
                <w:webHidden/>
              </w:rPr>
              <w:fldChar w:fldCharType="end"/>
            </w:r>
          </w:hyperlink>
        </w:p>
        <w:p w14:paraId="4532994F" w14:textId="218DAF2A" w:rsidR="00D40DF5" w:rsidRDefault="00024728">
          <w:pPr>
            <w:pStyle w:val="TOC1"/>
            <w:rPr>
              <w:rFonts w:asciiTheme="minorHAnsi" w:hAnsiTheme="minorHAnsi" w:cstheme="minorBidi"/>
              <w:noProof/>
              <w:sz w:val="22"/>
              <w:lang w:eastAsia="en-AU"/>
            </w:rPr>
          </w:pPr>
          <w:hyperlink w:anchor="_Toc131163554" w:history="1">
            <w:r w:rsidR="00D40DF5" w:rsidRPr="00EA5122">
              <w:rPr>
                <w:rStyle w:val="Hyperlink"/>
                <w:noProof/>
              </w:rPr>
              <w:t>CHAPTER 5: REGULATORY FUNCTIONS AND OUTCOMES</w:t>
            </w:r>
            <w:r w:rsidR="00D40DF5">
              <w:rPr>
                <w:noProof/>
                <w:webHidden/>
              </w:rPr>
              <w:tab/>
            </w:r>
            <w:r w:rsidR="00D40DF5">
              <w:rPr>
                <w:noProof/>
                <w:webHidden/>
              </w:rPr>
              <w:fldChar w:fldCharType="begin"/>
            </w:r>
            <w:r w:rsidR="00D40DF5">
              <w:rPr>
                <w:noProof/>
                <w:webHidden/>
              </w:rPr>
              <w:instrText xml:space="preserve"> PAGEREF _Toc131163554 \h </w:instrText>
            </w:r>
            <w:r w:rsidR="00D40DF5">
              <w:rPr>
                <w:noProof/>
                <w:webHidden/>
              </w:rPr>
            </w:r>
            <w:r w:rsidR="00D40DF5">
              <w:rPr>
                <w:noProof/>
                <w:webHidden/>
              </w:rPr>
              <w:fldChar w:fldCharType="separate"/>
            </w:r>
            <w:r w:rsidR="00D40DF5">
              <w:rPr>
                <w:noProof/>
                <w:webHidden/>
              </w:rPr>
              <w:t>59</w:t>
            </w:r>
            <w:r w:rsidR="00D40DF5">
              <w:rPr>
                <w:noProof/>
                <w:webHidden/>
              </w:rPr>
              <w:fldChar w:fldCharType="end"/>
            </w:r>
          </w:hyperlink>
        </w:p>
        <w:p w14:paraId="413048AF" w14:textId="3EF219CD" w:rsidR="00D40DF5" w:rsidRDefault="00024728">
          <w:pPr>
            <w:pStyle w:val="TOC1"/>
            <w:rPr>
              <w:rFonts w:asciiTheme="minorHAnsi" w:hAnsiTheme="minorHAnsi" w:cstheme="minorBidi"/>
              <w:noProof/>
              <w:sz w:val="22"/>
              <w:lang w:eastAsia="en-AU"/>
            </w:rPr>
          </w:pPr>
          <w:hyperlink w:anchor="_Toc131163555" w:history="1">
            <w:r w:rsidR="00D40DF5" w:rsidRPr="00EA5122">
              <w:rPr>
                <w:rStyle w:val="Hyperlink"/>
                <w:noProof/>
              </w:rPr>
              <w:t>CHAPTER 6: RETAINING THE COMMISSION IN ITS CURRENT FORM</w:t>
            </w:r>
            <w:r w:rsidR="00D40DF5">
              <w:rPr>
                <w:noProof/>
                <w:webHidden/>
              </w:rPr>
              <w:tab/>
            </w:r>
            <w:r w:rsidR="00D40DF5">
              <w:rPr>
                <w:noProof/>
                <w:webHidden/>
              </w:rPr>
              <w:fldChar w:fldCharType="begin"/>
            </w:r>
            <w:r w:rsidR="00D40DF5">
              <w:rPr>
                <w:noProof/>
                <w:webHidden/>
              </w:rPr>
              <w:instrText xml:space="preserve"> PAGEREF _Toc131163555 \h </w:instrText>
            </w:r>
            <w:r w:rsidR="00D40DF5">
              <w:rPr>
                <w:noProof/>
                <w:webHidden/>
              </w:rPr>
            </w:r>
            <w:r w:rsidR="00D40DF5">
              <w:rPr>
                <w:noProof/>
                <w:webHidden/>
              </w:rPr>
              <w:fldChar w:fldCharType="separate"/>
            </w:r>
            <w:r w:rsidR="00D40DF5">
              <w:rPr>
                <w:noProof/>
                <w:webHidden/>
              </w:rPr>
              <w:t>74</w:t>
            </w:r>
            <w:r w:rsidR="00D40DF5">
              <w:rPr>
                <w:noProof/>
                <w:webHidden/>
              </w:rPr>
              <w:fldChar w:fldCharType="end"/>
            </w:r>
          </w:hyperlink>
        </w:p>
        <w:p w14:paraId="74614B5F" w14:textId="6A66FB55" w:rsidR="00D40DF5" w:rsidRDefault="00024728">
          <w:pPr>
            <w:pStyle w:val="TOC1"/>
            <w:rPr>
              <w:rFonts w:asciiTheme="minorHAnsi" w:hAnsiTheme="minorHAnsi" w:cstheme="minorBidi"/>
              <w:noProof/>
              <w:sz w:val="22"/>
              <w:lang w:eastAsia="en-AU"/>
            </w:rPr>
          </w:pPr>
          <w:hyperlink w:anchor="_Toc131163556" w:history="1">
            <w:r w:rsidR="00D40DF5" w:rsidRPr="00EA5122">
              <w:rPr>
                <w:rStyle w:val="Hyperlink"/>
                <w:noProof/>
              </w:rPr>
              <w:t>APPENDIX A – Review Terms of Reference</w:t>
            </w:r>
            <w:r w:rsidR="00D40DF5">
              <w:rPr>
                <w:noProof/>
                <w:webHidden/>
              </w:rPr>
              <w:tab/>
            </w:r>
            <w:r w:rsidR="00D40DF5">
              <w:rPr>
                <w:noProof/>
                <w:webHidden/>
              </w:rPr>
              <w:fldChar w:fldCharType="begin"/>
            </w:r>
            <w:r w:rsidR="00D40DF5">
              <w:rPr>
                <w:noProof/>
                <w:webHidden/>
              </w:rPr>
              <w:instrText xml:space="preserve"> PAGEREF _Toc131163556 \h </w:instrText>
            </w:r>
            <w:r w:rsidR="00D40DF5">
              <w:rPr>
                <w:noProof/>
                <w:webHidden/>
              </w:rPr>
            </w:r>
            <w:r w:rsidR="00D40DF5">
              <w:rPr>
                <w:noProof/>
                <w:webHidden/>
              </w:rPr>
              <w:fldChar w:fldCharType="separate"/>
            </w:r>
            <w:r w:rsidR="00D40DF5">
              <w:rPr>
                <w:noProof/>
                <w:webHidden/>
              </w:rPr>
              <w:t>83</w:t>
            </w:r>
            <w:r w:rsidR="00D40DF5">
              <w:rPr>
                <w:noProof/>
                <w:webHidden/>
              </w:rPr>
              <w:fldChar w:fldCharType="end"/>
            </w:r>
          </w:hyperlink>
        </w:p>
        <w:p w14:paraId="539567A2" w14:textId="120413ED" w:rsidR="00D40DF5" w:rsidRDefault="00024728">
          <w:pPr>
            <w:pStyle w:val="TOC1"/>
            <w:rPr>
              <w:rFonts w:asciiTheme="minorHAnsi" w:hAnsiTheme="minorHAnsi" w:cstheme="minorBidi"/>
              <w:noProof/>
              <w:sz w:val="22"/>
              <w:lang w:eastAsia="en-AU"/>
            </w:rPr>
          </w:pPr>
          <w:hyperlink w:anchor="_Toc131163557" w:history="1">
            <w:r w:rsidR="00D40DF5" w:rsidRPr="00EA5122">
              <w:rPr>
                <w:rStyle w:val="Hyperlink"/>
                <w:noProof/>
              </w:rPr>
              <w:t>APPENDIX B - Review consultations and public submission process</w:t>
            </w:r>
            <w:r w:rsidR="00D40DF5">
              <w:rPr>
                <w:noProof/>
                <w:webHidden/>
              </w:rPr>
              <w:tab/>
            </w:r>
            <w:r w:rsidR="00D40DF5">
              <w:rPr>
                <w:noProof/>
                <w:webHidden/>
              </w:rPr>
              <w:fldChar w:fldCharType="begin"/>
            </w:r>
            <w:r w:rsidR="00D40DF5">
              <w:rPr>
                <w:noProof/>
                <w:webHidden/>
              </w:rPr>
              <w:instrText xml:space="preserve"> PAGEREF _Toc131163557 \h </w:instrText>
            </w:r>
            <w:r w:rsidR="00D40DF5">
              <w:rPr>
                <w:noProof/>
                <w:webHidden/>
              </w:rPr>
            </w:r>
            <w:r w:rsidR="00D40DF5">
              <w:rPr>
                <w:noProof/>
                <w:webHidden/>
              </w:rPr>
              <w:fldChar w:fldCharType="separate"/>
            </w:r>
            <w:r w:rsidR="00D40DF5">
              <w:rPr>
                <w:noProof/>
                <w:webHidden/>
              </w:rPr>
              <w:t>87</w:t>
            </w:r>
            <w:r w:rsidR="00D40DF5">
              <w:rPr>
                <w:noProof/>
                <w:webHidden/>
              </w:rPr>
              <w:fldChar w:fldCharType="end"/>
            </w:r>
          </w:hyperlink>
        </w:p>
        <w:p w14:paraId="25B58FE3" w14:textId="27F68285" w:rsidR="00D40DF5" w:rsidRDefault="00024728">
          <w:pPr>
            <w:pStyle w:val="TOC1"/>
            <w:rPr>
              <w:rFonts w:asciiTheme="minorHAnsi" w:hAnsiTheme="minorHAnsi" w:cstheme="minorBidi"/>
              <w:noProof/>
              <w:sz w:val="22"/>
              <w:lang w:eastAsia="en-AU"/>
            </w:rPr>
          </w:pPr>
          <w:hyperlink w:anchor="_Toc131163558" w:history="1">
            <w:r w:rsidR="00D40DF5" w:rsidRPr="00EA5122">
              <w:rPr>
                <w:rStyle w:val="Hyperlink"/>
                <w:noProof/>
              </w:rPr>
              <w:t>APPENDIX C – Summary of Grosvenor Final Report</w:t>
            </w:r>
            <w:r w:rsidR="00D40DF5">
              <w:rPr>
                <w:noProof/>
                <w:webHidden/>
              </w:rPr>
              <w:tab/>
            </w:r>
            <w:r w:rsidR="00D40DF5">
              <w:rPr>
                <w:noProof/>
                <w:webHidden/>
              </w:rPr>
              <w:fldChar w:fldCharType="begin"/>
            </w:r>
            <w:r w:rsidR="00D40DF5">
              <w:rPr>
                <w:noProof/>
                <w:webHidden/>
              </w:rPr>
              <w:instrText xml:space="preserve"> PAGEREF _Toc131163558 \h </w:instrText>
            </w:r>
            <w:r w:rsidR="00D40DF5">
              <w:rPr>
                <w:noProof/>
                <w:webHidden/>
              </w:rPr>
            </w:r>
            <w:r w:rsidR="00D40DF5">
              <w:rPr>
                <w:noProof/>
                <w:webHidden/>
              </w:rPr>
              <w:fldChar w:fldCharType="separate"/>
            </w:r>
            <w:r w:rsidR="00D40DF5">
              <w:rPr>
                <w:noProof/>
                <w:webHidden/>
              </w:rPr>
              <w:t>89</w:t>
            </w:r>
            <w:r w:rsidR="00D40DF5">
              <w:rPr>
                <w:noProof/>
                <w:webHidden/>
              </w:rPr>
              <w:fldChar w:fldCharType="end"/>
            </w:r>
          </w:hyperlink>
        </w:p>
        <w:p w14:paraId="415DCFBB" w14:textId="3D0F08B4" w:rsidR="00D40DF5" w:rsidRDefault="00024728">
          <w:pPr>
            <w:pStyle w:val="TOC1"/>
            <w:rPr>
              <w:rFonts w:asciiTheme="minorHAnsi" w:hAnsiTheme="minorHAnsi" w:cstheme="minorBidi"/>
              <w:noProof/>
              <w:sz w:val="22"/>
              <w:lang w:eastAsia="en-AU"/>
            </w:rPr>
          </w:pPr>
          <w:hyperlink w:anchor="_Toc131163559" w:history="1">
            <w:r w:rsidR="00D40DF5" w:rsidRPr="00EA5122">
              <w:rPr>
                <w:rStyle w:val="Hyperlink"/>
                <w:noProof/>
              </w:rPr>
              <w:t xml:space="preserve">APPENDIX D - </w:t>
            </w:r>
            <w:r w:rsidR="00D40DF5" w:rsidRPr="00EA5122">
              <w:rPr>
                <w:rStyle w:val="Hyperlink"/>
                <w:rFonts w:eastAsiaTheme="majorEastAsia"/>
                <w:noProof/>
              </w:rPr>
              <w:t>Commission functions at March 2023</w:t>
            </w:r>
            <w:r w:rsidR="00D40DF5">
              <w:rPr>
                <w:noProof/>
                <w:webHidden/>
              </w:rPr>
              <w:tab/>
            </w:r>
            <w:r w:rsidR="00D40DF5">
              <w:rPr>
                <w:noProof/>
                <w:webHidden/>
              </w:rPr>
              <w:fldChar w:fldCharType="begin"/>
            </w:r>
            <w:r w:rsidR="00D40DF5">
              <w:rPr>
                <w:noProof/>
                <w:webHidden/>
              </w:rPr>
              <w:instrText xml:space="preserve"> PAGEREF _Toc131163559 \h </w:instrText>
            </w:r>
            <w:r w:rsidR="00D40DF5">
              <w:rPr>
                <w:noProof/>
                <w:webHidden/>
              </w:rPr>
            </w:r>
            <w:r w:rsidR="00D40DF5">
              <w:rPr>
                <w:noProof/>
                <w:webHidden/>
              </w:rPr>
              <w:fldChar w:fldCharType="separate"/>
            </w:r>
            <w:r w:rsidR="00D40DF5">
              <w:rPr>
                <w:noProof/>
                <w:webHidden/>
              </w:rPr>
              <w:t>93</w:t>
            </w:r>
            <w:r w:rsidR="00D40DF5">
              <w:rPr>
                <w:noProof/>
                <w:webHidden/>
              </w:rPr>
              <w:fldChar w:fldCharType="end"/>
            </w:r>
          </w:hyperlink>
        </w:p>
        <w:p w14:paraId="46F711B9" w14:textId="666C949D" w:rsidR="00D40DF5" w:rsidRDefault="00024728">
          <w:pPr>
            <w:pStyle w:val="TOC1"/>
            <w:rPr>
              <w:rFonts w:asciiTheme="minorHAnsi" w:hAnsiTheme="minorHAnsi" w:cstheme="minorBidi"/>
              <w:noProof/>
              <w:sz w:val="22"/>
              <w:lang w:eastAsia="en-AU"/>
            </w:rPr>
          </w:pPr>
          <w:hyperlink w:anchor="_Toc131163560" w:history="1">
            <w:r w:rsidR="00D40DF5" w:rsidRPr="00EA5122">
              <w:rPr>
                <w:rStyle w:val="Hyperlink"/>
                <w:noProof/>
              </w:rPr>
              <w:t>Appendix E – Comparison of selected national regulators</w:t>
            </w:r>
            <w:r w:rsidR="00D40DF5">
              <w:rPr>
                <w:noProof/>
                <w:webHidden/>
              </w:rPr>
              <w:tab/>
            </w:r>
            <w:r w:rsidR="00D40DF5">
              <w:rPr>
                <w:noProof/>
                <w:webHidden/>
              </w:rPr>
              <w:fldChar w:fldCharType="begin"/>
            </w:r>
            <w:r w:rsidR="00D40DF5">
              <w:rPr>
                <w:noProof/>
                <w:webHidden/>
              </w:rPr>
              <w:instrText xml:space="preserve"> PAGEREF _Toc131163560 \h </w:instrText>
            </w:r>
            <w:r w:rsidR="00D40DF5">
              <w:rPr>
                <w:noProof/>
                <w:webHidden/>
              </w:rPr>
            </w:r>
            <w:r w:rsidR="00D40DF5">
              <w:rPr>
                <w:noProof/>
                <w:webHidden/>
              </w:rPr>
              <w:fldChar w:fldCharType="separate"/>
            </w:r>
            <w:r w:rsidR="00D40DF5">
              <w:rPr>
                <w:noProof/>
                <w:webHidden/>
              </w:rPr>
              <w:t>96</w:t>
            </w:r>
            <w:r w:rsidR="00D40DF5">
              <w:rPr>
                <w:noProof/>
                <w:webHidden/>
              </w:rPr>
              <w:fldChar w:fldCharType="end"/>
            </w:r>
          </w:hyperlink>
        </w:p>
        <w:p w14:paraId="0F6FC96A" w14:textId="322783AC" w:rsidR="00D40DF5" w:rsidRDefault="00024728">
          <w:pPr>
            <w:pStyle w:val="TOC1"/>
            <w:rPr>
              <w:rFonts w:asciiTheme="minorHAnsi" w:hAnsiTheme="minorHAnsi" w:cstheme="minorBidi"/>
              <w:noProof/>
              <w:sz w:val="22"/>
              <w:lang w:eastAsia="en-AU"/>
            </w:rPr>
          </w:pPr>
          <w:hyperlink w:anchor="_Toc131163561" w:history="1">
            <w:r w:rsidR="00D40DF5" w:rsidRPr="00EA5122">
              <w:rPr>
                <w:rStyle w:val="Hyperlink"/>
                <w:noProof/>
              </w:rPr>
              <w:t>APPENDIX F - Comparison of international health and social care regulatory systems</w:t>
            </w:r>
            <w:r w:rsidR="00D40DF5">
              <w:rPr>
                <w:noProof/>
                <w:webHidden/>
              </w:rPr>
              <w:tab/>
            </w:r>
            <w:r w:rsidR="00D40DF5">
              <w:rPr>
                <w:noProof/>
                <w:webHidden/>
              </w:rPr>
              <w:fldChar w:fldCharType="begin"/>
            </w:r>
            <w:r w:rsidR="00D40DF5">
              <w:rPr>
                <w:noProof/>
                <w:webHidden/>
              </w:rPr>
              <w:instrText xml:space="preserve"> PAGEREF _Toc131163561 \h </w:instrText>
            </w:r>
            <w:r w:rsidR="00D40DF5">
              <w:rPr>
                <w:noProof/>
                <w:webHidden/>
              </w:rPr>
            </w:r>
            <w:r w:rsidR="00D40DF5">
              <w:rPr>
                <w:noProof/>
                <w:webHidden/>
              </w:rPr>
              <w:fldChar w:fldCharType="separate"/>
            </w:r>
            <w:r w:rsidR="00D40DF5">
              <w:rPr>
                <w:noProof/>
                <w:webHidden/>
              </w:rPr>
              <w:t>102</w:t>
            </w:r>
            <w:r w:rsidR="00D40DF5">
              <w:rPr>
                <w:noProof/>
                <w:webHidden/>
              </w:rPr>
              <w:fldChar w:fldCharType="end"/>
            </w:r>
          </w:hyperlink>
        </w:p>
        <w:p w14:paraId="4E8EADDD" w14:textId="4138DAFF" w:rsidR="00D40DF5" w:rsidRDefault="00024728">
          <w:pPr>
            <w:pStyle w:val="TOC1"/>
            <w:rPr>
              <w:rFonts w:asciiTheme="minorHAnsi" w:hAnsiTheme="minorHAnsi" w:cstheme="minorBidi"/>
              <w:noProof/>
              <w:sz w:val="22"/>
              <w:lang w:eastAsia="en-AU"/>
            </w:rPr>
          </w:pPr>
          <w:hyperlink w:anchor="_Toc131163562" w:history="1">
            <w:r w:rsidR="00D40DF5" w:rsidRPr="00EA5122">
              <w:rPr>
                <w:rStyle w:val="Hyperlink"/>
                <w:noProof/>
              </w:rPr>
              <w:t xml:space="preserve">APPENDIX G - </w:t>
            </w:r>
            <w:r w:rsidR="00D40DF5" w:rsidRPr="00EA5122">
              <w:rPr>
                <w:rStyle w:val="Hyperlink"/>
                <w:rFonts w:eastAsiaTheme="majorEastAsia"/>
                <w:noProof/>
              </w:rPr>
              <w:t>Regulatory best practice principles and capabilities</w:t>
            </w:r>
            <w:r w:rsidR="00D40DF5">
              <w:rPr>
                <w:noProof/>
                <w:webHidden/>
              </w:rPr>
              <w:tab/>
            </w:r>
            <w:r w:rsidR="00D40DF5">
              <w:rPr>
                <w:noProof/>
                <w:webHidden/>
              </w:rPr>
              <w:fldChar w:fldCharType="begin"/>
            </w:r>
            <w:r w:rsidR="00D40DF5">
              <w:rPr>
                <w:noProof/>
                <w:webHidden/>
              </w:rPr>
              <w:instrText xml:space="preserve"> PAGEREF _Toc131163562 \h </w:instrText>
            </w:r>
            <w:r w:rsidR="00D40DF5">
              <w:rPr>
                <w:noProof/>
                <w:webHidden/>
              </w:rPr>
            </w:r>
            <w:r w:rsidR="00D40DF5">
              <w:rPr>
                <w:noProof/>
                <w:webHidden/>
              </w:rPr>
              <w:fldChar w:fldCharType="separate"/>
            </w:r>
            <w:r w:rsidR="00D40DF5">
              <w:rPr>
                <w:noProof/>
                <w:webHidden/>
              </w:rPr>
              <w:t>106</w:t>
            </w:r>
            <w:r w:rsidR="00D40DF5">
              <w:rPr>
                <w:noProof/>
                <w:webHidden/>
              </w:rPr>
              <w:fldChar w:fldCharType="end"/>
            </w:r>
          </w:hyperlink>
        </w:p>
        <w:p w14:paraId="52B0E6A1" w14:textId="2AB41AFB" w:rsidR="00D40DF5" w:rsidRDefault="00024728">
          <w:pPr>
            <w:pStyle w:val="TOC1"/>
            <w:rPr>
              <w:rFonts w:asciiTheme="minorHAnsi" w:hAnsiTheme="minorHAnsi" w:cstheme="minorBidi"/>
              <w:noProof/>
              <w:sz w:val="22"/>
              <w:lang w:eastAsia="en-AU"/>
            </w:rPr>
          </w:pPr>
          <w:hyperlink w:anchor="_Toc131163563" w:history="1">
            <w:r w:rsidR="00D40DF5" w:rsidRPr="00EA5122">
              <w:rPr>
                <w:rStyle w:val="Hyperlink"/>
                <w:noProof/>
              </w:rPr>
              <w:t>APPENDIX H - Glossary</w:t>
            </w:r>
            <w:r w:rsidR="00D40DF5">
              <w:rPr>
                <w:noProof/>
                <w:webHidden/>
              </w:rPr>
              <w:tab/>
            </w:r>
            <w:r w:rsidR="00D40DF5">
              <w:rPr>
                <w:noProof/>
                <w:webHidden/>
              </w:rPr>
              <w:fldChar w:fldCharType="begin"/>
            </w:r>
            <w:r w:rsidR="00D40DF5">
              <w:rPr>
                <w:noProof/>
                <w:webHidden/>
              </w:rPr>
              <w:instrText xml:space="preserve"> PAGEREF _Toc131163563 \h </w:instrText>
            </w:r>
            <w:r w:rsidR="00D40DF5">
              <w:rPr>
                <w:noProof/>
                <w:webHidden/>
              </w:rPr>
            </w:r>
            <w:r w:rsidR="00D40DF5">
              <w:rPr>
                <w:noProof/>
                <w:webHidden/>
              </w:rPr>
              <w:fldChar w:fldCharType="separate"/>
            </w:r>
            <w:r w:rsidR="00D40DF5">
              <w:rPr>
                <w:noProof/>
                <w:webHidden/>
              </w:rPr>
              <w:t>115</w:t>
            </w:r>
            <w:r w:rsidR="00D40DF5">
              <w:rPr>
                <w:noProof/>
                <w:webHidden/>
              </w:rPr>
              <w:fldChar w:fldCharType="end"/>
            </w:r>
          </w:hyperlink>
        </w:p>
        <w:p w14:paraId="69FBEF9D" w14:textId="678C852E" w:rsidR="00855A3B" w:rsidRDefault="00855A3B" w:rsidP="00873986">
          <w:pPr>
            <w:pStyle w:val="TOC1"/>
          </w:pPr>
          <w:r>
            <w:rPr>
              <w:b/>
              <w:bCs/>
              <w:noProof/>
            </w:rPr>
            <w:fldChar w:fldCharType="end"/>
          </w:r>
        </w:p>
      </w:sdtContent>
    </w:sdt>
    <w:p w14:paraId="4973B9CD" w14:textId="2A9D5F3A" w:rsidR="00F826B6" w:rsidRPr="00F826B6" w:rsidRDefault="00F826B6" w:rsidP="00F826B6">
      <w:pPr>
        <w:spacing w:after="100" w:line="240" w:lineRule="auto"/>
        <w:rPr>
          <w:rFonts w:ascii="Arial" w:hAnsi="Arial" w:cs="Arial"/>
          <w:sz w:val="24"/>
          <w:szCs w:val="24"/>
          <w:lang w:eastAsia="en-AU"/>
        </w:rPr>
      </w:pPr>
      <w:bookmarkStart w:id="0" w:name="_Hlk127258119"/>
    </w:p>
    <w:p w14:paraId="06DE4350" w14:textId="77777777" w:rsidR="002E6F31" w:rsidRDefault="002E6F31" w:rsidP="00A405F6">
      <w:pPr>
        <w:tabs>
          <w:tab w:val="right" w:leader="dot" w:pos="9016"/>
        </w:tabs>
        <w:spacing w:after="100" w:line="240" w:lineRule="auto"/>
        <w:rPr>
          <w:rFonts w:ascii="Arial" w:hAnsi="Arial" w:cs="Arial"/>
          <w:sz w:val="24"/>
          <w:szCs w:val="24"/>
        </w:rPr>
        <w:sectPr w:rsidR="002E6F31" w:rsidSect="00A8493B">
          <w:pgSz w:w="11910" w:h="16840"/>
          <w:pgMar w:top="1240" w:right="1340" w:bottom="760" w:left="1340" w:header="756" w:footer="578" w:gutter="0"/>
          <w:pgNumType w:start="1"/>
          <w:cols w:space="720"/>
        </w:sectPr>
      </w:pPr>
    </w:p>
    <w:p w14:paraId="103D7C99" w14:textId="68743952" w:rsidR="003868A6" w:rsidRPr="000E132D" w:rsidRDefault="00D2238A" w:rsidP="000E132D">
      <w:pPr>
        <w:pStyle w:val="Heading3"/>
      </w:pPr>
      <w:bookmarkStart w:id="1" w:name="_Toc131163549"/>
      <w:bookmarkStart w:id="2" w:name="_Hlk130369850"/>
      <w:bookmarkEnd w:id="0"/>
      <w:r w:rsidRPr="000E132D">
        <w:lastRenderedPageBreak/>
        <w:t>EXECUTIVE SUMMARY</w:t>
      </w:r>
      <w:bookmarkEnd w:id="1"/>
    </w:p>
    <w:p w14:paraId="039BDD3D" w14:textId="40490602" w:rsidR="00230967" w:rsidRDefault="00230967" w:rsidP="00230967">
      <w:pPr>
        <w:spacing w:before="120" w:after="120"/>
        <w:rPr>
          <w:rFonts w:ascii="Arial" w:hAnsi="Arial" w:cs="Arial"/>
          <w:sz w:val="24"/>
          <w:szCs w:val="24"/>
        </w:rPr>
      </w:pPr>
      <w:r w:rsidRPr="00987B1B">
        <w:rPr>
          <w:rFonts w:ascii="Arial" w:hAnsi="Arial" w:cs="Arial"/>
          <w:sz w:val="24"/>
          <w:szCs w:val="24"/>
        </w:rPr>
        <w:t xml:space="preserve">I was asked by the Minister to </w:t>
      </w:r>
      <w:r>
        <w:rPr>
          <w:rFonts w:ascii="Arial" w:hAnsi="Arial" w:cs="Arial"/>
          <w:sz w:val="24"/>
          <w:szCs w:val="24"/>
        </w:rPr>
        <w:t>assess</w:t>
      </w:r>
      <w:r w:rsidRPr="00987B1B">
        <w:rPr>
          <w:rFonts w:ascii="Arial" w:hAnsi="Arial" w:cs="Arial"/>
          <w:sz w:val="24"/>
          <w:szCs w:val="24"/>
        </w:rPr>
        <w:t xml:space="preserve"> aspects of </w:t>
      </w:r>
      <w:r w:rsidR="00AF5A6D">
        <w:rPr>
          <w:rFonts w:ascii="Arial" w:hAnsi="Arial" w:cs="Arial"/>
          <w:sz w:val="24"/>
          <w:szCs w:val="24"/>
        </w:rPr>
        <w:t>the Aged Care Quality and Safety Commission’s (</w:t>
      </w:r>
      <w:r w:rsidRPr="00987B1B">
        <w:rPr>
          <w:rFonts w:ascii="Arial" w:hAnsi="Arial" w:cs="Arial"/>
          <w:sz w:val="24"/>
          <w:szCs w:val="24"/>
        </w:rPr>
        <w:t>the Commission’s</w:t>
      </w:r>
      <w:r w:rsidR="00AF5A6D">
        <w:rPr>
          <w:rFonts w:ascii="Arial" w:hAnsi="Arial" w:cs="Arial"/>
          <w:sz w:val="24"/>
          <w:szCs w:val="24"/>
        </w:rPr>
        <w:t>)</w:t>
      </w:r>
      <w:r w:rsidRPr="00987B1B">
        <w:rPr>
          <w:rFonts w:ascii="Arial" w:hAnsi="Arial" w:cs="Arial"/>
          <w:sz w:val="24"/>
          <w:szCs w:val="24"/>
        </w:rPr>
        <w:t xml:space="preserve"> capabilit</w:t>
      </w:r>
      <w:r w:rsidR="00AF5A6D">
        <w:rPr>
          <w:rFonts w:ascii="Arial" w:hAnsi="Arial" w:cs="Arial"/>
          <w:sz w:val="24"/>
          <w:szCs w:val="24"/>
        </w:rPr>
        <w:t>ies</w:t>
      </w:r>
      <w:r w:rsidRPr="00987B1B">
        <w:rPr>
          <w:rFonts w:ascii="Arial" w:hAnsi="Arial" w:cs="Arial"/>
          <w:sz w:val="24"/>
          <w:szCs w:val="24"/>
        </w:rPr>
        <w:t xml:space="preserve"> and performance.</w:t>
      </w:r>
      <w:r>
        <w:rPr>
          <w:rFonts w:ascii="Arial" w:hAnsi="Arial" w:cs="Arial"/>
          <w:sz w:val="24"/>
          <w:szCs w:val="24"/>
        </w:rPr>
        <w:t xml:space="preserve"> I have done so in the context of assessing the Commission’s strengths, opportunities and weaknesses, and the extent to which these inhibit or enable a high-performing, contemporary, best practice regulator.</w:t>
      </w:r>
    </w:p>
    <w:p w14:paraId="0D831314" w14:textId="4BD2BE2A" w:rsidR="00230967" w:rsidRDefault="00230967" w:rsidP="00230967">
      <w:pPr>
        <w:spacing w:before="120" w:after="120"/>
        <w:rPr>
          <w:rFonts w:ascii="Arial" w:hAnsi="Arial" w:cs="Arial"/>
          <w:sz w:val="24"/>
          <w:szCs w:val="24"/>
        </w:rPr>
      </w:pPr>
      <w:r w:rsidRPr="00987B1B">
        <w:rPr>
          <w:rFonts w:ascii="Arial" w:hAnsi="Arial" w:cs="Arial"/>
          <w:sz w:val="24"/>
          <w:szCs w:val="24"/>
        </w:rPr>
        <w:t>I have focussed on the future – what the Commission needs to do to ensure that it can successfully undertake its important role of ensuring the safety and wellbeing of older Australians</w:t>
      </w:r>
      <w:r>
        <w:rPr>
          <w:rFonts w:ascii="Arial" w:hAnsi="Arial" w:cs="Arial"/>
          <w:sz w:val="24"/>
          <w:szCs w:val="24"/>
        </w:rPr>
        <w:t xml:space="preserve"> in the context of the new Aged Care Act.</w:t>
      </w:r>
    </w:p>
    <w:p w14:paraId="787F964B" w14:textId="59359E4E" w:rsidR="00230967" w:rsidRDefault="00230967" w:rsidP="00230967">
      <w:pPr>
        <w:spacing w:before="120" w:after="120"/>
        <w:rPr>
          <w:rFonts w:ascii="Arial" w:hAnsi="Arial" w:cs="Arial"/>
          <w:sz w:val="24"/>
          <w:szCs w:val="24"/>
        </w:rPr>
      </w:pPr>
      <w:r w:rsidRPr="00987B1B">
        <w:rPr>
          <w:rFonts w:ascii="Arial" w:hAnsi="Arial" w:cs="Arial"/>
          <w:sz w:val="24"/>
          <w:szCs w:val="24"/>
        </w:rPr>
        <w:t>I have considered the contex</w:t>
      </w:r>
      <w:r>
        <w:rPr>
          <w:rFonts w:ascii="Arial" w:hAnsi="Arial" w:cs="Arial"/>
          <w:sz w:val="24"/>
          <w:szCs w:val="24"/>
        </w:rPr>
        <w:t xml:space="preserve">t </w:t>
      </w:r>
      <w:r w:rsidRPr="00987B1B">
        <w:rPr>
          <w:rFonts w:ascii="Arial" w:hAnsi="Arial" w:cs="Arial"/>
          <w:sz w:val="24"/>
          <w:szCs w:val="24"/>
        </w:rPr>
        <w:t xml:space="preserve">in which the Commission has had to perform its roles and functions since its inception in 2019, particularly </w:t>
      </w:r>
      <w:r>
        <w:rPr>
          <w:rFonts w:ascii="Arial" w:hAnsi="Arial" w:cs="Arial"/>
          <w:sz w:val="24"/>
          <w:szCs w:val="24"/>
        </w:rPr>
        <w:t>the</w:t>
      </w:r>
      <w:r w:rsidRPr="002859F5">
        <w:rPr>
          <w:rFonts w:ascii="Arial" w:hAnsi="Arial" w:cs="Arial"/>
          <w:sz w:val="24"/>
          <w:szCs w:val="24"/>
        </w:rPr>
        <w:t xml:space="preserve"> rapid expansion of Its functions, </w:t>
      </w:r>
      <w:proofErr w:type="gramStart"/>
      <w:r w:rsidRPr="002859F5">
        <w:rPr>
          <w:rFonts w:ascii="Arial" w:hAnsi="Arial" w:cs="Arial"/>
          <w:sz w:val="24"/>
          <w:szCs w:val="24"/>
        </w:rPr>
        <w:t>funding</w:t>
      </w:r>
      <w:proofErr w:type="gramEnd"/>
      <w:r w:rsidRPr="002859F5">
        <w:rPr>
          <w:rFonts w:ascii="Arial" w:hAnsi="Arial" w:cs="Arial"/>
          <w:sz w:val="24"/>
          <w:szCs w:val="24"/>
        </w:rPr>
        <w:t xml:space="preserve"> and staffing.</w:t>
      </w:r>
    </w:p>
    <w:p w14:paraId="51B5A5A5" w14:textId="7B3FE6A5" w:rsidR="00230967" w:rsidRPr="002859F5" w:rsidRDefault="00230967" w:rsidP="00230967">
      <w:pPr>
        <w:spacing w:before="120" w:after="120"/>
        <w:rPr>
          <w:rFonts w:ascii="Arial" w:hAnsi="Arial" w:cs="Arial"/>
          <w:sz w:val="24"/>
          <w:szCs w:val="24"/>
        </w:rPr>
      </w:pPr>
      <w:r w:rsidRPr="002859F5">
        <w:rPr>
          <w:rFonts w:ascii="Arial" w:hAnsi="Arial" w:cs="Arial"/>
          <w:sz w:val="24"/>
          <w:szCs w:val="24"/>
        </w:rPr>
        <w:t>During this time the Commission has faced significant challenges, including the COVID-19 pandemic and natural disasters in some regions.</w:t>
      </w:r>
    </w:p>
    <w:p w14:paraId="40A08215" w14:textId="1BBB90D8" w:rsidR="00230967" w:rsidRDefault="00230967" w:rsidP="00230967">
      <w:pPr>
        <w:spacing w:before="120" w:after="120"/>
        <w:rPr>
          <w:rFonts w:ascii="Arial" w:hAnsi="Arial" w:cs="Arial"/>
          <w:sz w:val="24"/>
          <w:szCs w:val="24"/>
        </w:rPr>
      </w:pPr>
      <w:r w:rsidRPr="002859F5">
        <w:rPr>
          <w:rFonts w:ascii="Arial" w:hAnsi="Arial" w:cs="Arial"/>
          <w:sz w:val="24"/>
          <w:szCs w:val="24"/>
        </w:rPr>
        <w:t xml:space="preserve">The Commission has faced significant issues attracting and retaining staff in an environment </w:t>
      </w:r>
      <w:r w:rsidR="00ED4144">
        <w:rPr>
          <w:rFonts w:ascii="Arial" w:hAnsi="Arial" w:cs="Arial"/>
          <w:sz w:val="24"/>
          <w:szCs w:val="24"/>
        </w:rPr>
        <w:t>of</w:t>
      </w:r>
      <w:r w:rsidRPr="002859F5">
        <w:rPr>
          <w:rFonts w:ascii="Arial" w:hAnsi="Arial" w:cs="Arial"/>
          <w:sz w:val="24"/>
          <w:szCs w:val="24"/>
        </w:rPr>
        <w:t xml:space="preserve"> staff </w:t>
      </w:r>
      <w:r w:rsidR="00ED4144">
        <w:rPr>
          <w:rFonts w:ascii="Arial" w:hAnsi="Arial" w:cs="Arial"/>
          <w:sz w:val="24"/>
          <w:szCs w:val="24"/>
        </w:rPr>
        <w:t xml:space="preserve">and skills </w:t>
      </w:r>
      <w:r w:rsidRPr="002859F5">
        <w:rPr>
          <w:rFonts w:ascii="Arial" w:hAnsi="Arial" w:cs="Arial"/>
          <w:sz w:val="24"/>
          <w:szCs w:val="24"/>
        </w:rPr>
        <w:t>shortages across the aged care sector and more broadly.</w:t>
      </w:r>
    </w:p>
    <w:p w14:paraId="68AB42FB" w14:textId="57A69699" w:rsidR="00230967" w:rsidRDefault="00230967" w:rsidP="00230967">
      <w:pPr>
        <w:spacing w:before="120" w:after="120"/>
        <w:rPr>
          <w:rFonts w:ascii="Arial" w:hAnsi="Arial" w:cs="Arial"/>
          <w:sz w:val="24"/>
          <w:szCs w:val="24"/>
        </w:rPr>
      </w:pPr>
      <w:r w:rsidRPr="002859F5">
        <w:rPr>
          <w:rFonts w:ascii="Arial" w:hAnsi="Arial" w:cs="Arial"/>
          <w:sz w:val="24"/>
          <w:szCs w:val="24"/>
        </w:rPr>
        <w:t xml:space="preserve">The Commission currently has a </w:t>
      </w:r>
      <w:r w:rsidR="00C03984">
        <w:rPr>
          <w:rFonts w:ascii="Arial" w:hAnsi="Arial" w:cs="Arial"/>
          <w:sz w:val="24"/>
          <w:szCs w:val="24"/>
        </w:rPr>
        <w:t xml:space="preserve">staff </w:t>
      </w:r>
      <w:r w:rsidRPr="002859F5">
        <w:rPr>
          <w:rFonts w:ascii="Arial" w:hAnsi="Arial" w:cs="Arial"/>
          <w:sz w:val="24"/>
          <w:szCs w:val="24"/>
        </w:rPr>
        <w:t>vacancy rate of 20</w:t>
      </w:r>
      <w:r w:rsidR="00C30229">
        <w:rPr>
          <w:rFonts w:ascii="Arial" w:hAnsi="Arial" w:cs="Arial"/>
          <w:sz w:val="24"/>
          <w:szCs w:val="24"/>
        </w:rPr>
        <w:t xml:space="preserve"> per cent</w:t>
      </w:r>
      <w:r w:rsidRPr="002859F5">
        <w:rPr>
          <w:rFonts w:ascii="Arial" w:hAnsi="Arial" w:cs="Arial"/>
          <w:sz w:val="24"/>
          <w:szCs w:val="24"/>
        </w:rPr>
        <w:t xml:space="preserve"> which results in capability and capacity deficits. </w:t>
      </w:r>
      <w:proofErr w:type="gramStart"/>
      <w:r w:rsidRPr="002859F5">
        <w:rPr>
          <w:rFonts w:ascii="Arial" w:hAnsi="Arial" w:cs="Arial"/>
          <w:sz w:val="24"/>
          <w:szCs w:val="24"/>
        </w:rPr>
        <w:t>In particular, quality</w:t>
      </w:r>
      <w:proofErr w:type="gramEnd"/>
      <w:r w:rsidRPr="002859F5">
        <w:rPr>
          <w:rFonts w:ascii="Arial" w:hAnsi="Arial" w:cs="Arial"/>
          <w:sz w:val="24"/>
          <w:szCs w:val="24"/>
        </w:rPr>
        <w:t xml:space="preserve"> assessor staff are difficult to attract and retain.</w:t>
      </w:r>
    </w:p>
    <w:p w14:paraId="0D3591D8" w14:textId="77777777" w:rsidR="00230967" w:rsidRPr="002859F5" w:rsidRDefault="00230967" w:rsidP="00230967">
      <w:pPr>
        <w:spacing w:before="120" w:after="120"/>
        <w:rPr>
          <w:rFonts w:ascii="Arial" w:hAnsi="Arial" w:cs="Arial"/>
          <w:sz w:val="24"/>
          <w:szCs w:val="24"/>
        </w:rPr>
      </w:pPr>
      <w:r w:rsidRPr="002859F5">
        <w:rPr>
          <w:rFonts w:ascii="Arial" w:hAnsi="Arial" w:cs="Arial"/>
          <w:sz w:val="24"/>
          <w:szCs w:val="24"/>
        </w:rPr>
        <w:t xml:space="preserve">In addition to staff shortages, the resourcing of corporate services such as </w:t>
      </w:r>
      <w:r>
        <w:rPr>
          <w:rFonts w:ascii="Arial" w:hAnsi="Arial" w:cs="Arial"/>
          <w:sz w:val="24"/>
          <w:szCs w:val="24"/>
        </w:rPr>
        <w:t xml:space="preserve">ICT and HR </w:t>
      </w:r>
      <w:r w:rsidRPr="002859F5">
        <w:rPr>
          <w:rFonts w:ascii="Arial" w:hAnsi="Arial" w:cs="Arial"/>
          <w:sz w:val="24"/>
          <w:szCs w:val="24"/>
        </w:rPr>
        <w:t>have not kept pace with the growth in functions and staffing needs.</w:t>
      </w:r>
    </w:p>
    <w:p w14:paraId="5B28CC35" w14:textId="77777777" w:rsidR="00230967" w:rsidRDefault="00230967" w:rsidP="00230967">
      <w:pPr>
        <w:spacing w:before="120" w:after="120"/>
        <w:rPr>
          <w:rFonts w:ascii="Arial" w:hAnsi="Arial" w:cs="Arial"/>
          <w:sz w:val="24"/>
          <w:szCs w:val="24"/>
        </w:rPr>
      </w:pPr>
      <w:r w:rsidRPr="002859F5">
        <w:rPr>
          <w:rFonts w:ascii="Arial" w:hAnsi="Arial" w:cs="Arial"/>
          <w:sz w:val="24"/>
          <w:szCs w:val="24"/>
        </w:rPr>
        <w:t xml:space="preserve">Despite these challenges, the Commission has been able to demonstrate success in </w:t>
      </w:r>
      <w:proofErr w:type="gramStart"/>
      <w:r w:rsidRPr="002859F5">
        <w:rPr>
          <w:rFonts w:ascii="Arial" w:hAnsi="Arial" w:cs="Arial"/>
          <w:sz w:val="24"/>
          <w:szCs w:val="24"/>
        </w:rPr>
        <w:t>a number of</w:t>
      </w:r>
      <w:proofErr w:type="gramEnd"/>
      <w:r w:rsidRPr="002859F5">
        <w:rPr>
          <w:rFonts w:ascii="Arial" w:hAnsi="Arial" w:cs="Arial"/>
          <w:sz w:val="24"/>
          <w:szCs w:val="24"/>
        </w:rPr>
        <w:t xml:space="preserve"> areas, including in its implementation of new functions.</w:t>
      </w:r>
    </w:p>
    <w:p w14:paraId="472EE4B2" w14:textId="7A7D3C6C" w:rsidR="00230967" w:rsidRDefault="00230967" w:rsidP="00230967">
      <w:pPr>
        <w:spacing w:before="120" w:after="120"/>
        <w:rPr>
          <w:rFonts w:ascii="Arial" w:hAnsi="Arial" w:cs="Arial"/>
          <w:sz w:val="24"/>
          <w:szCs w:val="24"/>
        </w:rPr>
      </w:pPr>
      <w:r>
        <w:rPr>
          <w:rFonts w:ascii="Arial" w:hAnsi="Arial" w:cs="Arial"/>
          <w:sz w:val="24"/>
          <w:szCs w:val="24"/>
        </w:rPr>
        <w:t xml:space="preserve">I have also noted the </w:t>
      </w:r>
      <w:r w:rsidRPr="00987B1B">
        <w:rPr>
          <w:rFonts w:ascii="Arial" w:hAnsi="Arial" w:cs="Arial"/>
          <w:sz w:val="24"/>
          <w:szCs w:val="24"/>
        </w:rPr>
        <w:t xml:space="preserve">additional scrutiny, functions, and challenges </w:t>
      </w:r>
      <w:r>
        <w:rPr>
          <w:rFonts w:ascii="Arial" w:hAnsi="Arial" w:cs="Arial"/>
          <w:sz w:val="24"/>
          <w:szCs w:val="24"/>
        </w:rPr>
        <w:t xml:space="preserve">for the Commission </w:t>
      </w:r>
      <w:proofErr w:type="gramStart"/>
      <w:r w:rsidRPr="00987B1B">
        <w:rPr>
          <w:rFonts w:ascii="Arial" w:hAnsi="Arial" w:cs="Arial"/>
          <w:sz w:val="24"/>
          <w:szCs w:val="24"/>
        </w:rPr>
        <w:t>as a result of</w:t>
      </w:r>
      <w:proofErr w:type="gramEnd"/>
      <w:r w:rsidRPr="00987B1B">
        <w:rPr>
          <w:rFonts w:ascii="Arial" w:hAnsi="Arial" w:cs="Arial"/>
          <w:sz w:val="24"/>
          <w:szCs w:val="24"/>
        </w:rPr>
        <w:t xml:space="preserve"> the R</w:t>
      </w:r>
      <w:r>
        <w:rPr>
          <w:rFonts w:ascii="Arial" w:hAnsi="Arial" w:cs="Arial"/>
          <w:sz w:val="24"/>
          <w:szCs w:val="24"/>
        </w:rPr>
        <w:t xml:space="preserve">oyal Commission into Aged Care Quality and Safety </w:t>
      </w:r>
      <w:r w:rsidR="00207FA2">
        <w:rPr>
          <w:rFonts w:ascii="Arial" w:hAnsi="Arial" w:cs="Arial"/>
          <w:sz w:val="24"/>
          <w:szCs w:val="24"/>
        </w:rPr>
        <w:t>(</w:t>
      </w:r>
      <w:r w:rsidR="00C03984">
        <w:rPr>
          <w:rFonts w:ascii="Arial" w:hAnsi="Arial" w:cs="Arial"/>
          <w:sz w:val="24"/>
          <w:szCs w:val="24"/>
        </w:rPr>
        <w:t xml:space="preserve">the </w:t>
      </w:r>
      <w:r w:rsidR="00207FA2">
        <w:rPr>
          <w:rFonts w:ascii="Arial" w:hAnsi="Arial" w:cs="Arial"/>
          <w:sz w:val="24"/>
          <w:szCs w:val="24"/>
        </w:rPr>
        <w:t xml:space="preserve">Royal Commission) </w:t>
      </w:r>
      <w:r>
        <w:rPr>
          <w:rFonts w:ascii="Arial" w:hAnsi="Arial" w:cs="Arial"/>
          <w:sz w:val="24"/>
          <w:szCs w:val="24"/>
        </w:rPr>
        <w:t>and the Australian Government’s aged care reform agenda.</w:t>
      </w:r>
    </w:p>
    <w:p w14:paraId="20727E36" w14:textId="1B346DA6" w:rsidR="00230967" w:rsidRDefault="00230967" w:rsidP="00230967">
      <w:pPr>
        <w:spacing w:before="120" w:after="120"/>
        <w:rPr>
          <w:rFonts w:ascii="Arial" w:hAnsi="Arial" w:cs="Arial"/>
          <w:sz w:val="24"/>
          <w:szCs w:val="24"/>
        </w:rPr>
      </w:pPr>
      <w:r w:rsidRPr="00530F0C">
        <w:rPr>
          <w:rFonts w:ascii="Arial" w:hAnsi="Arial" w:cs="Arial"/>
          <w:sz w:val="24"/>
          <w:szCs w:val="24"/>
        </w:rPr>
        <w:t xml:space="preserve">I </w:t>
      </w:r>
      <w:r>
        <w:rPr>
          <w:rFonts w:ascii="Arial" w:hAnsi="Arial" w:cs="Arial"/>
          <w:sz w:val="24"/>
          <w:szCs w:val="24"/>
        </w:rPr>
        <w:t xml:space="preserve">have </w:t>
      </w:r>
      <w:r w:rsidRPr="00530F0C">
        <w:rPr>
          <w:rFonts w:ascii="Arial" w:hAnsi="Arial" w:cs="Arial"/>
          <w:sz w:val="24"/>
          <w:szCs w:val="24"/>
        </w:rPr>
        <w:t xml:space="preserve">consulted extensively with providers regulated by the Commission, peak bodies, consumer representatives, and other stakeholders, </w:t>
      </w:r>
      <w:r>
        <w:rPr>
          <w:rFonts w:ascii="Arial" w:hAnsi="Arial" w:cs="Arial"/>
          <w:sz w:val="24"/>
          <w:szCs w:val="24"/>
        </w:rPr>
        <w:t xml:space="preserve">and </w:t>
      </w:r>
      <w:r w:rsidRPr="00530F0C">
        <w:rPr>
          <w:rFonts w:ascii="Arial" w:hAnsi="Arial" w:cs="Arial"/>
          <w:sz w:val="24"/>
          <w:szCs w:val="24"/>
        </w:rPr>
        <w:t>staff and leadership from the Commission and the Department of Health and Aged Care</w:t>
      </w:r>
      <w:r w:rsidR="00C03984">
        <w:rPr>
          <w:rFonts w:ascii="Arial" w:hAnsi="Arial" w:cs="Arial"/>
          <w:sz w:val="24"/>
          <w:szCs w:val="24"/>
        </w:rPr>
        <w:t xml:space="preserve"> (the Department)</w:t>
      </w:r>
      <w:r w:rsidRPr="00530F0C">
        <w:rPr>
          <w:rFonts w:ascii="Arial" w:hAnsi="Arial" w:cs="Arial"/>
          <w:sz w:val="24"/>
          <w:szCs w:val="24"/>
        </w:rPr>
        <w:t>.</w:t>
      </w:r>
    </w:p>
    <w:p w14:paraId="745F7A37" w14:textId="1D5E8344" w:rsidR="00230967" w:rsidRDefault="00230967" w:rsidP="00230967">
      <w:pPr>
        <w:spacing w:before="120" w:after="120"/>
        <w:rPr>
          <w:rFonts w:ascii="Arial" w:hAnsi="Arial" w:cs="Arial"/>
          <w:sz w:val="24"/>
          <w:szCs w:val="24"/>
        </w:rPr>
      </w:pPr>
      <w:r>
        <w:rPr>
          <w:rFonts w:ascii="Arial" w:hAnsi="Arial" w:cs="Arial"/>
          <w:sz w:val="24"/>
          <w:szCs w:val="24"/>
        </w:rPr>
        <w:t>In assessing the Commission’s capabilities</w:t>
      </w:r>
      <w:r w:rsidR="00FF2DAB">
        <w:rPr>
          <w:rFonts w:ascii="Arial" w:hAnsi="Arial" w:cs="Arial"/>
          <w:sz w:val="24"/>
          <w:szCs w:val="24"/>
        </w:rPr>
        <w:t>,</w:t>
      </w:r>
      <w:r>
        <w:rPr>
          <w:rFonts w:ascii="Arial" w:hAnsi="Arial" w:cs="Arial"/>
          <w:sz w:val="24"/>
          <w:szCs w:val="24"/>
        </w:rPr>
        <w:t xml:space="preserve"> </w:t>
      </w:r>
      <w:r w:rsidRPr="00987B1B">
        <w:rPr>
          <w:rFonts w:ascii="Arial" w:hAnsi="Arial" w:cs="Arial"/>
          <w:sz w:val="24"/>
          <w:szCs w:val="24"/>
        </w:rPr>
        <w:t xml:space="preserve">I have examined both domestic and international regulatory </w:t>
      </w:r>
      <w:r>
        <w:rPr>
          <w:rFonts w:ascii="Arial" w:hAnsi="Arial" w:cs="Arial"/>
          <w:sz w:val="24"/>
          <w:szCs w:val="24"/>
        </w:rPr>
        <w:t xml:space="preserve">best practice </w:t>
      </w:r>
      <w:r w:rsidRPr="00987B1B">
        <w:rPr>
          <w:rFonts w:ascii="Arial" w:hAnsi="Arial" w:cs="Arial"/>
          <w:sz w:val="24"/>
          <w:szCs w:val="24"/>
        </w:rPr>
        <w:t xml:space="preserve">approaches, </w:t>
      </w:r>
      <w:proofErr w:type="gramStart"/>
      <w:r w:rsidRPr="00987B1B">
        <w:rPr>
          <w:rFonts w:ascii="Arial" w:hAnsi="Arial" w:cs="Arial"/>
          <w:sz w:val="24"/>
          <w:szCs w:val="24"/>
        </w:rPr>
        <w:t>trends</w:t>
      </w:r>
      <w:proofErr w:type="gramEnd"/>
      <w:r w:rsidRPr="00987B1B">
        <w:rPr>
          <w:rFonts w:ascii="Arial" w:hAnsi="Arial" w:cs="Arial"/>
          <w:sz w:val="24"/>
          <w:szCs w:val="24"/>
        </w:rPr>
        <w:t xml:space="preserve"> and evidence.</w:t>
      </w:r>
    </w:p>
    <w:p w14:paraId="0DE078A9" w14:textId="212DA5C1" w:rsidR="00230967" w:rsidRDefault="00230967" w:rsidP="00230967">
      <w:pPr>
        <w:spacing w:before="120" w:after="120"/>
        <w:rPr>
          <w:rFonts w:ascii="Arial" w:hAnsi="Arial" w:cs="Arial"/>
          <w:sz w:val="24"/>
          <w:szCs w:val="24"/>
        </w:rPr>
      </w:pPr>
      <w:r w:rsidRPr="00987B1B">
        <w:rPr>
          <w:rFonts w:ascii="Arial" w:hAnsi="Arial" w:cs="Arial"/>
          <w:sz w:val="24"/>
          <w:szCs w:val="24"/>
        </w:rPr>
        <w:t xml:space="preserve">I have </w:t>
      </w:r>
      <w:r>
        <w:rPr>
          <w:rFonts w:ascii="Arial" w:hAnsi="Arial" w:cs="Arial"/>
          <w:sz w:val="24"/>
          <w:szCs w:val="24"/>
        </w:rPr>
        <w:t xml:space="preserve">also </w:t>
      </w:r>
      <w:r w:rsidRPr="00987B1B">
        <w:rPr>
          <w:rFonts w:ascii="Arial" w:hAnsi="Arial" w:cs="Arial"/>
          <w:sz w:val="24"/>
          <w:szCs w:val="24"/>
        </w:rPr>
        <w:t>considered the new A</w:t>
      </w:r>
      <w:r>
        <w:rPr>
          <w:rFonts w:ascii="Arial" w:hAnsi="Arial" w:cs="Arial"/>
          <w:sz w:val="24"/>
          <w:szCs w:val="24"/>
        </w:rPr>
        <w:t xml:space="preserve">ustralian Public Service Commission </w:t>
      </w:r>
      <w:r w:rsidRPr="00987B1B">
        <w:rPr>
          <w:rFonts w:ascii="Arial" w:hAnsi="Arial" w:cs="Arial"/>
          <w:sz w:val="24"/>
          <w:szCs w:val="24"/>
        </w:rPr>
        <w:t>organisational capability framework</w:t>
      </w:r>
      <w:r>
        <w:rPr>
          <w:rFonts w:ascii="Arial" w:hAnsi="Arial" w:cs="Arial"/>
          <w:sz w:val="24"/>
          <w:szCs w:val="24"/>
        </w:rPr>
        <w:t xml:space="preserve"> and the </w:t>
      </w:r>
      <w:r w:rsidRPr="002C1E77">
        <w:rPr>
          <w:rFonts w:ascii="Arial" w:hAnsi="Arial" w:cs="Arial"/>
          <w:sz w:val="24"/>
          <w:szCs w:val="24"/>
        </w:rPr>
        <w:t>Australian Government’s Regulator Performance Guide</w:t>
      </w:r>
      <w:r>
        <w:rPr>
          <w:rFonts w:ascii="Arial" w:hAnsi="Arial" w:cs="Arial"/>
          <w:sz w:val="24"/>
          <w:szCs w:val="24"/>
        </w:rPr>
        <w:t xml:space="preserve"> to determine what constitutes capability best practice for a modern, high-performing regulator.</w:t>
      </w:r>
    </w:p>
    <w:p w14:paraId="582CDEBC" w14:textId="5E46A741" w:rsidR="00936D9A" w:rsidRDefault="00230967" w:rsidP="00936D9A">
      <w:pPr>
        <w:spacing w:before="120" w:after="120"/>
        <w:rPr>
          <w:rFonts w:ascii="Arial" w:hAnsi="Arial" w:cs="Arial"/>
          <w:sz w:val="24"/>
          <w:szCs w:val="24"/>
        </w:rPr>
      </w:pPr>
      <w:r>
        <w:rPr>
          <w:rFonts w:ascii="Arial" w:hAnsi="Arial" w:cs="Arial"/>
          <w:sz w:val="24"/>
          <w:szCs w:val="24"/>
        </w:rPr>
        <w:t>I have used these</w:t>
      </w:r>
      <w:r w:rsidR="00936D9A">
        <w:rPr>
          <w:rFonts w:ascii="Arial" w:hAnsi="Arial" w:cs="Arial"/>
          <w:sz w:val="24"/>
          <w:szCs w:val="24"/>
        </w:rPr>
        <w:t xml:space="preserve"> and other relevant</w:t>
      </w:r>
      <w:r>
        <w:rPr>
          <w:rFonts w:ascii="Arial" w:hAnsi="Arial" w:cs="Arial"/>
          <w:sz w:val="24"/>
          <w:szCs w:val="24"/>
        </w:rPr>
        <w:t xml:space="preserve"> </w:t>
      </w:r>
      <w:r w:rsidRPr="00942E5C">
        <w:rPr>
          <w:rFonts w:ascii="Arial" w:hAnsi="Arial" w:cs="Arial"/>
          <w:sz w:val="24"/>
          <w:szCs w:val="24"/>
        </w:rPr>
        <w:t>elements of best practice as the benchmarks to assess the Commission’s capability</w:t>
      </w:r>
      <w:r w:rsidR="00936D9A">
        <w:rPr>
          <w:rFonts w:ascii="Arial" w:hAnsi="Arial" w:cs="Arial"/>
          <w:sz w:val="24"/>
          <w:szCs w:val="24"/>
        </w:rPr>
        <w:t>:</w:t>
      </w:r>
    </w:p>
    <w:p w14:paraId="5ED2E05D" w14:textId="2BE3AB3C" w:rsidR="00F8239C" w:rsidRPr="008B48BF" w:rsidRDefault="00F8239C" w:rsidP="008B48BF">
      <w:pPr>
        <w:pStyle w:val="ListParagraph"/>
        <w:numPr>
          <w:ilvl w:val="0"/>
          <w:numId w:val="106"/>
        </w:numPr>
        <w:spacing w:before="120" w:after="120"/>
        <w:rPr>
          <w:rFonts w:ascii="Arial" w:hAnsi="Arial" w:cs="Arial"/>
          <w:sz w:val="24"/>
          <w:szCs w:val="24"/>
        </w:rPr>
      </w:pPr>
      <w:r w:rsidRPr="008B48BF">
        <w:rPr>
          <w:rFonts w:ascii="Arial" w:hAnsi="Arial" w:cs="Arial"/>
          <w:sz w:val="24"/>
          <w:szCs w:val="24"/>
        </w:rPr>
        <w:t>clear purpose and clarity of role</w:t>
      </w:r>
    </w:p>
    <w:p w14:paraId="72C5F487" w14:textId="77777777"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lastRenderedPageBreak/>
        <w:t xml:space="preserve">strategic and visible leadership, appropriate supporting </w:t>
      </w:r>
      <w:proofErr w:type="gramStart"/>
      <w:r>
        <w:rPr>
          <w:rFonts w:ascii="Arial" w:hAnsi="Arial" w:cs="Arial"/>
          <w:sz w:val="24"/>
          <w:szCs w:val="24"/>
        </w:rPr>
        <w:t>structure</w:t>
      </w:r>
      <w:proofErr w:type="gramEnd"/>
      <w:r>
        <w:rPr>
          <w:rFonts w:ascii="Arial" w:hAnsi="Arial" w:cs="Arial"/>
          <w:sz w:val="24"/>
          <w:szCs w:val="24"/>
        </w:rPr>
        <w:t xml:space="preserve"> and culture</w:t>
      </w:r>
    </w:p>
    <w:p w14:paraId="52C0BDB5" w14:textId="77777777"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good internal governance</w:t>
      </w:r>
    </w:p>
    <w:p w14:paraId="76DF912E" w14:textId="10ADD6E9"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accountability and transparency</w:t>
      </w:r>
    </w:p>
    <w:p w14:paraId="0D697062" w14:textId="77777777"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capable people</w:t>
      </w:r>
    </w:p>
    <w:p w14:paraId="30BB48FF" w14:textId="42846EC5" w:rsidR="00F8239C" w:rsidRDefault="008A62B9" w:rsidP="001750D5">
      <w:pPr>
        <w:pStyle w:val="ListParagraph"/>
        <w:numPr>
          <w:ilvl w:val="0"/>
          <w:numId w:val="106"/>
        </w:numPr>
        <w:spacing w:before="120" w:after="120"/>
        <w:rPr>
          <w:rFonts w:ascii="Arial" w:hAnsi="Arial" w:cs="Arial"/>
          <w:sz w:val="24"/>
          <w:szCs w:val="24"/>
        </w:rPr>
      </w:pPr>
      <w:r>
        <w:rPr>
          <w:rFonts w:ascii="Arial" w:hAnsi="Arial" w:cs="Arial"/>
          <w:sz w:val="24"/>
          <w:szCs w:val="24"/>
        </w:rPr>
        <w:t xml:space="preserve">robust and user focused </w:t>
      </w:r>
      <w:r w:rsidR="00F8239C">
        <w:rPr>
          <w:rFonts w:ascii="Arial" w:hAnsi="Arial" w:cs="Arial"/>
          <w:sz w:val="24"/>
          <w:szCs w:val="24"/>
        </w:rPr>
        <w:t>ICT and data systems</w:t>
      </w:r>
    </w:p>
    <w:p w14:paraId="50832594" w14:textId="1C69FBE4"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 xml:space="preserve">trust and reputation, and a focus on organisational continuous improvement </w:t>
      </w:r>
    </w:p>
    <w:p w14:paraId="0AEAF964" w14:textId="46EDE017"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resourcing</w:t>
      </w:r>
    </w:p>
    <w:p w14:paraId="4D562DCF" w14:textId="4C1358D3"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regulatory strategy and operating model</w:t>
      </w:r>
    </w:p>
    <w:p w14:paraId="3E8983A5" w14:textId="4061B662"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risk based and data driven</w:t>
      </w:r>
    </w:p>
    <w:p w14:paraId="063D1081" w14:textId="0556828B" w:rsidR="00F8239C" w:rsidRDefault="00F8239C" w:rsidP="001750D5">
      <w:pPr>
        <w:pStyle w:val="ListParagraph"/>
        <w:numPr>
          <w:ilvl w:val="0"/>
          <w:numId w:val="106"/>
        </w:numPr>
        <w:spacing w:before="120" w:after="120"/>
        <w:rPr>
          <w:rFonts w:ascii="Arial" w:hAnsi="Arial" w:cs="Arial"/>
          <w:sz w:val="24"/>
          <w:szCs w:val="24"/>
        </w:rPr>
      </w:pPr>
      <w:r>
        <w:rPr>
          <w:rFonts w:ascii="Arial" w:hAnsi="Arial" w:cs="Arial"/>
          <w:sz w:val="24"/>
          <w:szCs w:val="24"/>
        </w:rPr>
        <w:t>cultural capability, and ability to deliver for diverse groups, and</w:t>
      </w:r>
    </w:p>
    <w:p w14:paraId="7781956D" w14:textId="16111664" w:rsidR="00230967" w:rsidRPr="00F8239C" w:rsidRDefault="00F8239C" w:rsidP="001750D5">
      <w:pPr>
        <w:pStyle w:val="ListParagraph"/>
        <w:numPr>
          <w:ilvl w:val="0"/>
          <w:numId w:val="106"/>
        </w:numPr>
        <w:spacing w:before="120" w:after="120"/>
        <w:rPr>
          <w:rFonts w:ascii="Arial" w:hAnsi="Arial" w:cs="Arial"/>
          <w:sz w:val="24"/>
          <w:szCs w:val="24"/>
        </w:rPr>
      </w:pPr>
      <w:r w:rsidRPr="00F8239C">
        <w:rPr>
          <w:rFonts w:ascii="Arial" w:hAnsi="Arial" w:cs="Arial"/>
          <w:sz w:val="24"/>
          <w:szCs w:val="24"/>
        </w:rPr>
        <w:t>effective engagement and communications.</w:t>
      </w:r>
    </w:p>
    <w:p w14:paraId="414E72FB" w14:textId="578B4E11" w:rsidR="00230967" w:rsidRDefault="00936D9A" w:rsidP="00230967">
      <w:pPr>
        <w:spacing w:before="120" w:after="120"/>
        <w:rPr>
          <w:rFonts w:ascii="Arial" w:hAnsi="Arial" w:cs="Arial"/>
          <w:sz w:val="24"/>
          <w:szCs w:val="24"/>
        </w:rPr>
      </w:pPr>
      <w:r>
        <w:rPr>
          <w:rFonts w:ascii="Arial" w:hAnsi="Arial" w:cs="Arial"/>
          <w:sz w:val="24"/>
          <w:szCs w:val="24"/>
        </w:rPr>
        <w:t>In my view, t</w:t>
      </w:r>
      <w:r w:rsidR="00230967">
        <w:rPr>
          <w:rFonts w:ascii="Arial" w:hAnsi="Arial" w:cs="Arial"/>
          <w:sz w:val="24"/>
          <w:szCs w:val="24"/>
        </w:rPr>
        <w:t xml:space="preserve">he </w:t>
      </w:r>
      <w:r w:rsidR="00230967" w:rsidRPr="00987B1B">
        <w:rPr>
          <w:rFonts w:ascii="Arial" w:hAnsi="Arial" w:cs="Arial"/>
          <w:sz w:val="24"/>
          <w:szCs w:val="24"/>
        </w:rPr>
        <w:t>Commission is</w:t>
      </w:r>
      <w:r w:rsidR="00230967">
        <w:rPr>
          <w:rFonts w:ascii="Arial" w:hAnsi="Arial" w:cs="Arial"/>
          <w:sz w:val="24"/>
          <w:szCs w:val="24"/>
        </w:rPr>
        <w:t xml:space="preserve"> </w:t>
      </w:r>
      <w:r w:rsidR="00230967" w:rsidRPr="00987B1B">
        <w:rPr>
          <w:rFonts w:ascii="Arial" w:hAnsi="Arial" w:cs="Arial"/>
          <w:sz w:val="24"/>
          <w:szCs w:val="24"/>
        </w:rPr>
        <w:t>taking important steps to ensure that</w:t>
      </w:r>
      <w:r w:rsidR="00230967">
        <w:rPr>
          <w:rFonts w:ascii="Arial" w:hAnsi="Arial" w:cs="Arial"/>
          <w:sz w:val="24"/>
          <w:szCs w:val="24"/>
        </w:rPr>
        <w:t xml:space="preserve"> it</w:t>
      </w:r>
      <w:r w:rsidR="00230967" w:rsidRPr="00987B1B">
        <w:rPr>
          <w:rFonts w:ascii="Arial" w:hAnsi="Arial" w:cs="Arial"/>
          <w:sz w:val="24"/>
          <w:szCs w:val="24"/>
        </w:rPr>
        <w:t xml:space="preserve"> evolve</w:t>
      </w:r>
      <w:r w:rsidR="00230967">
        <w:rPr>
          <w:rFonts w:ascii="Arial" w:hAnsi="Arial" w:cs="Arial"/>
          <w:sz w:val="24"/>
          <w:szCs w:val="24"/>
        </w:rPr>
        <w:t>s</w:t>
      </w:r>
      <w:r w:rsidR="00230967" w:rsidRPr="00987B1B">
        <w:rPr>
          <w:rFonts w:ascii="Arial" w:hAnsi="Arial" w:cs="Arial"/>
          <w:sz w:val="24"/>
          <w:szCs w:val="24"/>
        </w:rPr>
        <w:t xml:space="preserve"> into a high performing regulator. There is much to build from, and I commend the work of the Commissioner</w:t>
      </w:r>
      <w:r w:rsidR="00230967">
        <w:rPr>
          <w:rFonts w:ascii="Arial" w:hAnsi="Arial" w:cs="Arial"/>
          <w:sz w:val="24"/>
          <w:szCs w:val="24"/>
        </w:rPr>
        <w:t xml:space="preserve">, </w:t>
      </w:r>
      <w:r w:rsidR="00230967" w:rsidRPr="00987B1B">
        <w:rPr>
          <w:rFonts w:ascii="Arial" w:hAnsi="Arial" w:cs="Arial"/>
          <w:sz w:val="24"/>
          <w:szCs w:val="24"/>
        </w:rPr>
        <w:t xml:space="preserve">her </w:t>
      </w:r>
      <w:proofErr w:type="gramStart"/>
      <w:r w:rsidR="00230967" w:rsidRPr="00987B1B">
        <w:rPr>
          <w:rFonts w:ascii="Arial" w:hAnsi="Arial" w:cs="Arial"/>
          <w:sz w:val="24"/>
          <w:szCs w:val="24"/>
        </w:rPr>
        <w:t>team</w:t>
      </w:r>
      <w:proofErr w:type="gramEnd"/>
      <w:r w:rsidR="00230967" w:rsidRPr="00987B1B">
        <w:rPr>
          <w:rFonts w:ascii="Arial" w:hAnsi="Arial" w:cs="Arial"/>
          <w:sz w:val="24"/>
          <w:szCs w:val="24"/>
        </w:rPr>
        <w:t xml:space="preserve"> and </w:t>
      </w:r>
      <w:r w:rsidR="00C04267">
        <w:rPr>
          <w:rFonts w:ascii="Arial" w:hAnsi="Arial" w:cs="Arial"/>
          <w:sz w:val="24"/>
          <w:szCs w:val="24"/>
        </w:rPr>
        <w:t>staff across the organisation</w:t>
      </w:r>
      <w:r w:rsidR="00230967" w:rsidRPr="00987B1B">
        <w:rPr>
          <w:rFonts w:ascii="Arial" w:hAnsi="Arial" w:cs="Arial"/>
          <w:sz w:val="24"/>
          <w:szCs w:val="24"/>
        </w:rPr>
        <w:t xml:space="preserve"> for these steps.</w:t>
      </w:r>
    </w:p>
    <w:p w14:paraId="799DCEBD" w14:textId="1F3D4A43" w:rsidR="00230967" w:rsidRDefault="00230967" w:rsidP="00230967">
      <w:pPr>
        <w:spacing w:before="120" w:after="120"/>
        <w:rPr>
          <w:rFonts w:ascii="Arial" w:hAnsi="Arial" w:cs="Arial"/>
          <w:sz w:val="24"/>
          <w:szCs w:val="24"/>
        </w:rPr>
      </w:pPr>
      <w:r w:rsidRPr="00987B1B">
        <w:rPr>
          <w:rFonts w:ascii="Arial" w:hAnsi="Arial" w:cs="Arial"/>
          <w:sz w:val="24"/>
          <w:szCs w:val="24"/>
        </w:rPr>
        <w:t xml:space="preserve">However, </w:t>
      </w:r>
      <w:proofErr w:type="gramStart"/>
      <w:r w:rsidRPr="00987B1B">
        <w:rPr>
          <w:rFonts w:ascii="Arial" w:hAnsi="Arial" w:cs="Arial"/>
          <w:sz w:val="24"/>
          <w:szCs w:val="24"/>
        </w:rPr>
        <w:t>it is clear that there</w:t>
      </w:r>
      <w:proofErr w:type="gramEnd"/>
      <w:r w:rsidRPr="00987B1B">
        <w:rPr>
          <w:rFonts w:ascii="Arial" w:hAnsi="Arial" w:cs="Arial"/>
          <w:sz w:val="24"/>
          <w:szCs w:val="24"/>
        </w:rPr>
        <w:t xml:space="preserve"> is much more to be done.</w:t>
      </w:r>
    </w:p>
    <w:p w14:paraId="294A9EFC" w14:textId="77777777" w:rsidR="00230967" w:rsidRDefault="00230967" w:rsidP="00230967">
      <w:pPr>
        <w:spacing w:before="120" w:after="120"/>
        <w:rPr>
          <w:rFonts w:ascii="Arial" w:hAnsi="Arial" w:cs="Arial"/>
          <w:sz w:val="24"/>
          <w:szCs w:val="24"/>
        </w:rPr>
      </w:pPr>
      <w:r w:rsidRPr="00987B1B">
        <w:rPr>
          <w:rFonts w:ascii="Arial" w:hAnsi="Arial" w:cs="Arial"/>
          <w:sz w:val="24"/>
          <w:szCs w:val="24"/>
        </w:rPr>
        <w:t xml:space="preserve">I believe that the recommendations set out in this report are practical, </w:t>
      </w:r>
      <w:proofErr w:type="gramStart"/>
      <w:r w:rsidRPr="00987B1B">
        <w:rPr>
          <w:rFonts w:ascii="Arial" w:hAnsi="Arial" w:cs="Arial"/>
          <w:sz w:val="24"/>
          <w:szCs w:val="24"/>
        </w:rPr>
        <w:t>constructive</w:t>
      </w:r>
      <w:proofErr w:type="gramEnd"/>
      <w:r w:rsidRPr="00987B1B">
        <w:rPr>
          <w:rFonts w:ascii="Arial" w:hAnsi="Arial" w:cs="Arial"/>
          <w:sz w:val="24"/>
          <w:szCs w:val="24"/>
        </w:rPr>
        <w:t xml:space="preserve"> and achievable</w:t>
      </w:r>
      <w:r>
        <w:rPr>
          <w:rFonts w:ascii="Arial" w:hAnsi="Arial" w:cs="Arial"/>
          <w:sz w:val="24"/>
          <w:szCs w:val="24"/>
        </w:rPr>
        <w:t>, and are essential to enable the Commission to address its capability gaps and meet the requirements and public expectations of the new Aged Care Act.</w:t>
      </w:r>
    </w:p>
    <w:p w14:paraId="2EC1FC58" w14:textId="163EB9C5" w:rsidR="00230967" w:rsidRDefault="00230967" w:rsidP="00230967">
      <w:pPr>
        <w:spacing w:before="120" w:after="120"/>
        <w:rPr>
          <w:rFonts w:ascii="Arial" w:eastAsia="Times New Roman" w:hAnsi="Arial" w:cs="Arial"/>
          <w:sz w:val="24"/>
          <w:szCs w:val="24"/>
        </w:rPr>
      </w:pPr>
      <w:r>
        <w:rPr>
          <w:rFonts w:ascii="Arial" w:hAnsi="Arial" w:cs="Arial"/>
          <w:sz w:val="24"/>
          <w:szCs w:val="24"/>
        </w:rPr>
        <w:t>T</w:t>
      </w:r>
      <w:r w:rsidRPr="00987B1B">
        <w:rPr>
          <w:rFonts w:ascii="Arial" w:hAnsi="Arial" w:cs="Arial"/>
          <w:sz w:val="24"/>
          <w:szCs w:val="24"/>
        </w:rPr>
        <w:t>o become a trusted, high performing regulator, the Commission must</w:t>
      </w:r>
      <w:r>
        <w:rPr>
          <w:rFonts w:ascii="Arial" w:hAnsi="Arial" w:cs="Arial"/>
          <w:sz w:val="24"/>
          <w:szCs w:val="24"/>
        </w:rPr>
        <w:t xml:space="preserve"> as </w:t>
      </w:r>
      <w:r w:rsidRPr="007A3EDA">
        <w:rPr>
          <w:rFonts w:ascii="Arial" w:eastAsia="Times New Roman" w:hAnsi="Arial" w:cs="Arial"/>
          <w:sz w:val="24"/>
          <w:szCs w:val="24"/>
        </w:rPr>
        <w:t>a matter of urgency</w:t>
      </w:r>
      <w:r>
        <w:rPr>
          <w:rFonts w:ascii="Arial" w:eastAsia="Times New Roman" w:hAnsi="Arial" w:cs="Arial"/>
          <w:sz w:val="24"/>
          <w:szCs w:val="24"/>
        </w:rPr>
        <w:t xml:space="preserve"> take action to </w:t>
      </w:r>
      <w:r w:rsidRPr="007A3EDA">
        <w:rPr>
          <w:rFonts w:ascii="Arial" w:eastAsia="Times New Roman" w:hAnsi="Arial" w:cs="Arial"/>
          <w:sz w:val="24"/>
          <w:szCs w:val="24"/>
        </w:rPr>
        <w:t>fix its</w:t>
      </w:r>
      <w:r>
        <w:rPr>
          <w:rFonts w:ascii="Arial" w:eastAsia="Times New Roman" w:hAnsi="Arial" w:cs="Arial"/>
          <w:sz w:val="24"/>
          <w:szCs w:val="24"/>
        </w:rPr>
        <w:t xml:space="preserve"> organisational</w:t>
      </w:r>
      <w:r w:rsidRPr="007A3EDA">
        <w:rPr>
          <w:rFonts w:ascii="Arial" w:eastAsia="Times New Roman" w:hAnsi="Arial" w:cs="Arial"/>
          <w:sz w:val="24"/>
          <w:szCs w:val="24"/>
        </w:rPr>
        <w:t xml:space="preserve"> structure, senior leadership, and internal governance. It needs strategic, visible leadership, and </w:t>
      </w:r>
      <w:r w:rsidR="00A43E28">
        <w:rPr>
          <w:rFonts w:ascii="Arial" w:eastAsia="Times New Roman" w:hAnsi="Arial" w:cs="Arial"/>
          <w:sz w:val="24"/>
          <w:szCs w:val="24"/>
        </w:rPr>
        <w:t xml:space="preserve">a </w:t>
      </w:r>
      <w:r w:rsidRPr="007A3EDA">
        <w:rPr>
          <w:rFonts w:ascii="Arial" w:eastAsia="Times New Roman" w:hAnsi="Arial" w:cs="Arial"/>
          <w:sz w:val="24"/>
          <w:szCs w:val="24"/>
        </w:rPr>
        <w:t>focus on being engaged right across the sector and community, in an open and transparent way.</w:t>
      </w:r>
    </w:p>
    <w:p w14:paraId="62FA8ACB" w14:textId="2673F3D8" w:rsidR="00230967" w:rsidRDefault="00230967" w:rsidP="00230967">
      <w:pPr>
        <w:spacing w:before="120" w:after="120"/>
        <w:rPr>
          <w:rFonts w:ascii="Arial" w:eastAsia="Times New Roman" w:hAnsi="Arial" w:cs="Arial"/>
          <w:sz w:val="24"/>
          <w:szCs w:val="24"/>
        </w:rPr>
      </w:pPr>
      <w:r>
        <w:rPr>
          <w:rFonts w:ascii="Arial" w:eastAsia="Times New Roman" w:hAnsi="Arial" w:cs="Arial"/>
          <w:sz w:val="24"/>
          <w:szCs w:val="24"/>
        </w:rPr>
        <w:t xml:space="preserve">The Commissioner </w:t>
      </w:r>
      <w:r w:rsidRPr="007A3EDA">
        <w:rPr>
          <w:rFonts w:ascii="Arial" w:eastAsia="Times New Roman" w:hAnsi="Arial" w:cs="Arial"/>
          <w:sz w:val="24"/>
          <w:szCs w:val="24"/>
        </w:rPr>
        <w:t xml:space="preserve">must empower </w:t>
      </w:r>
      <w:r>
        <w:rPr>
          <w:rFonts w:ascii="Arial" w:eastAsia="Times New Roman" w:hAnsi="Arial" w:cs="Arial"/>
          <w:sz w:val="24"/>
          <w:szCs w:val="24"/>
        </w:rPr>
        <w:t xml:space="preserve">senior and executive level (EL) staff and current and emerging leaders and </w:t>
      </w:r>
      <w:r w:rsidRPr="007A3EDA">
        <w:rPr>
          <w:rFonts w:ascii="Arial" w:eastAsia="Times New Roman" w:hAnsi="Arial" w:cs="Arial"/>
          <w:sz w:val="24"/>
          <w:szCs w:val="24"/>
        </w:rPr>
        <w:t xml:space="preserve">recruit </w:t>
      </w:r>
      <w:r>
        <w:rPr>
          <w:rFonts w:ascii="Arial" w:eastAsia="Times New Roman" w:hAnsi="Arial" w:cs="Arial"/>
          <w:sz w:val="24"/>
          <w:szCs w:val="24"/>
        </w:rPr>
        <w:t xml:space="preserve">senior executive service (SES) staff </w:t>
      </w:r>
      <w:r w:rsidRPr="007A3EDA">
        <w:rPr>
          <w:rFonts w:ascii="Arial" w:eastAsia="Times New Roman" w:hAnsi="Arial" w:cs="Arial"/>
          <w:sz w:val="24"/>
          <w:szCs w:val="24"/>
        </w:rPr>
        <w:t xml:space="preserve">with high quality leadership </w:t>
      </w:r>
      <w:r>
        <w:rPr>
          <w:rFonts w:ascii="Arial" w:eastAsia="Times New Roman" w:hAnsi="Arial" w:cs="Arial"/>
          <w:sz w:val="24"/>
          <w:szCs w:val="24"/>
        </w:rPr>
        <w:t>capabilities.</w:t>
      </w:r>
    </w:p>
    <w:p w14:paraId="40AB6AE2" w14:textId="32797D32" w:rsidR="00230967" w:rsidRPr="00BF5DA6" w:rsidRDefault="00230967" w:rsidP="00230967">
      <w:pPr>
        <w:spacing w:before="120" w:after="120"/>
        <w:rPr>
          <w:rFonts w:ascii="Arial" w:eastAsia="Times New Roman" w:hAnsi="Arial" w:cs="Arial"/>
          <w:sz w:val="24"/>
          <w:szCs w:val="24"/>
        </w:rPr>
      </w:pPr>
      <w:r w:rsidRPr="00BF5DA6">
        <w:rPr>
          <w:rFonts w:ascii="Arial" w:eastAsia="Times New Roman" w:hAnsi="Arial" w:cs="Arial"/>
          <w:sz w:val="24"/>
          <w:szCs w:val="24"/>
        </w:rPr>
        <w:t>The Commissioner needs to change the Commission’s organisational structure to</w:t>
      </w:r>
      <w:r w:rsidRPr="00BF5DA6">
        <w:rPr>
          <w:rFonts w:ascii="Arial" w:hAnsi="Arial" w:cs="Arial"/>
          <w:sz w:val="24"/>
          <w:szCs w:val="24"/>
        </w:rPr>
        <w:t xml:space="preserve"> reduce </w:t>
      </w:r>
      <w:r w:rsidR="00ED4144">
        <w:rPr>
          <w:rFonts w:ascii="Arial" w:eastAsia="Times New Roman" w:hAnsi="Arial" w:cs="Arial"/>
          <w:sz w:val="24"/>
          <w:szCs w:val="24"/>
        </w:rPr>
        <w:t xml:space="preserve">functional </w:t>
      </w:r>
      <w:r w:rsidRPr="00BF5DA6">
        <w:rPr>
          <w:rFonts w:ascii="Arial" w:eastAsia="Times New Roman" w:hAnsi="Arial" w:cs="Arial"/>
          <w:sz w:val="24"/>
          <w:szCs w:val="24"/>
        </w:rPr>
        <w:t>silos, bring together like functions, improve accountability, spans of control and delegation of powers, and the redesign of internal strategic governance arrangements.</w:t>
      </w:r>
    </w:p>
    <w:p w14:paraId="0B30317A" w14:textId="7F697B00" w:rsidR="00230967" w:rsidRPr="00B17B03" w:rsidRDefault="00230967" w:rsidP="00230967">
      <w:pPr>
        <w:spacing w:before="120" w:after="120"/>
        <w:rPr>
          <w:rFonts w:ascii="Arial" w:eastAsia="Times New Roman" w:hAnsi="Arial" w:cs="Arial"/>
          <w:sz w:val="24"/>
          <w:szCs w:val="24"/>
        </w:rPr>
      </w:pPr>
      <w:r w:rsidRPr="00B17B03">
        <w:rPr>
          <w:rFonts w:ascii="Arial" w:eastAsia="Times New Roman" w:hAnsi="Arial" w:cs="Arial"/>
          <w:sz w:val="24"/>
          <w:szCs w:val="24"/>
        </w:rPr>
        <w:t>Workforce and ICT systems will need a sustained focus</w:t>
      </w:r>
      <w:r w:rsidR="00ED4144">
        <w:rPr>
          <w:rFonts w:ascii="Arial" w:eastAsia="Times New Roman" w:hAnsi="Arial" w:cs="Arial"/>
          <w:sz w:val="24"/>
          <w:szCs w:val="24"/>
        </w:rPr>
        <w:t>. The</w:t>
      </w:r>
      <w:r w:rsidRPr="00B17B03">
        <w:rPr>
          <w:rFonts w:ascii="Arial" w:eastAsia="Times New Roman" w:hAnsi="Arial" w:cs="Arial"/>
          <w:sz w:val="24"/>
          <w:szCs w:val="24"/>
        </w:rPr>
        <w:t xml:space="preserve"> Commission needs to elevate these functions structurally and recruit expertise at SES Band 1 and EL levels. A major priority will be a new set of internal governance arrangements, with oversight by a new </w:t>
      </w:r>
      <w:r w:rsidR="00ED4144">
        <w:rPr>
          <w:rFonts w:ascii="Arial" w:eastAsia="Times New Roman" w:hAnsi="Arial" w:cs="Arial"/>
          <w:sz w:val="24"/>
          <w:szCs w:val="24"/>
        </w:rPr>
        <w:t>Deputy Commissioner Corporate</w:t>
      </w:r>
      <w:r w:rsidRPr="00B17B03">
        <w:rPr>
          <w:rFonts w:ascii="Arial" w:eastAsia="Times New Roman" w:hAnsi="Arial" w:cs="Arial"/>
          <w:sz w:val="24"/>
          <w:szCs w:val="24"/>
        </w:rPr>
        <w:t>.</w:t>
      </w:r>
    </w:p>
    <w:p w14:paraId="52E6D2D6" w14:textId="64E0BED6" w:rsidR="00230967" w:rsidRDefault="00230967" w:rsidP="00230967">
      <w:pPr>
        <w:spacing w:before="120" w:after="120"/>
        <w:rPr>
          <w:rFonts w:ascii="Arial" w:eastAsia="Times New Roman" w:hAnsi="Arial" w:cs="Arial"/>
          <w:sz w:val="24"/>
          <w:szCs w:val="24"/>
        </w:rPr>
      </w:pPr>
      <w:r>
        <w:rPr>
          <w:rFonts w:ascii="Arial" w:eastAsia="Times New Roman" w:hAnsi="Arial" w:cs="Arial"/>
          <w:sz w:val="24"/>
          <w:szCs w:val="24"/>
        </w:rPr>
        <w:t xml:space="preserve">The Commission </w:t>
      </w:r>
      <w:r w:rsidRPr="007A3EDA">
        <w:rPr>
          <w:rFonts w:ascii="Arial" w:eastAsia="Times New Roman" w:hAnsi="Arial" w:cs="Arial"/>
          <w:sz w:val="24"/>
          <w:szCs w:val="24"/>
        </w:rPr>
        <w:t xml:space="preserve">urgently needs to fix </w:t>
      </w:r>
      <w:r>
        <w:rPr>
          <w:rFonts w:ascii="Arial" w:eastAsia="Times New Roman" w:hAnsi="Arial" w:cs="Arial"/>
          <w:sz w:val="24"/>
          <w:szCs w:val="24"/>
        </w:rPr>
        <w:t xml:space="preserve">significant problems in its </w:t>
      </w:r>
      <w:r w:rsidRPr="007A3EDA">
        <w:rPr>
          <w:rFonts w:ascii="Arial" w:eastAsia="Times New Roman" w:hAnsi="Arial" w:cs="Arial"/>
          <w:sz w:val="24"/>
          <w:szCs w:val="24"/>
        </w:rPr>
        <w:t xml:space="preserve">complaints </w:t>
      </w:r>
      <w:r>
        <w:rPr>
          <w:rFonts w:ascii="Arial" w:eastAsia="Times New Roman" w:hAnsi="Arial" w:cs="Arial"/>
          <w:sz w:val="24"/>
          <w:szCs w:val="24"/>
        </w:rPr>
        <w:t xml:space="preserve">process </w:t>
      </w:r>
      <w:r w:rsidRPr="007A3EDA">
        <w:rPr>
          <w:rFonts w:ascii="Arial" w:eastAsia="Times New Roman" w:hAnsi="Arial" w:cs="Arial"/>
          <w:sz w:val="24"/>
          <w:szCs w:val="24"/>
        </w:rPr>
        <w:t xml:space="preserve">and </w:t>
      </w:r>
      <w:r w:rsidRPr="00F130E6">
        <w:rPr>
          <w:rFonts w:ascii="Arial" w:eastAsia="Times New Roman" w:hAnsi="Arial" w:cs="Arial"/>
          <w:sz w:val="24"/>
          <w:szCs w:val="24"/>
        </w:rPr>
        <w:t xml:space="preserve">Serious Incident Response Scheme </w:t>
      </w:r>
      <w:r>
        <w:rPr>
          <w:rFonts w:ascii="Arial" w:eastAsia="Times New Roman" w:hAnsi="Arial" w:cs="Arial"/>
          <w:sz w:val="24"/>
          <w:szCs w:val="24"/>
        </w:rPr>
        <w:t>(</w:t>
      </w:r>
      <w:r w:rsidRPr="007A3EDA">
        <w:rPr>
          <w:rFonts w:ascii="Arial" w:eastAsia="Times New Roman" w:hAnsi="Arial" w:cs="Arial"/>
          <w:sz w:val="24"/>
          <w:szCs w:val="24"/>
        </w:rPr>
        <w:t>SIRS</w:t>
      </w:r>
      <w:r>
        <w:rPr>
          <w:rFonts w:ascii="Arial" w:eastAsia="Times New Roman" w:hAnsi="Arial" w:cs="Arial"/>
          <w:sz w:val="24"/>
          <w:szCs w:val="24"/>
        </w:rPr>
        <w:t>)</w:t>
      </w:r>
      <w:r w:rsidR="00ED4144">
        <w:rPr>
          <w:rFonts w:ascii="Arial" w:eastAsia="Times New Roman" w:hAnsi="Arial" w:cs="Arial"/>
          <w:sz w:val="24"/>
          <w:szCs w:val="24"/>
        </w:rPr>
        <w:t>. T</w:t>
      </w:r>
      <w:r w:rsidRPr="007A3EDA">
        <w:rPr>
          <w:rFonts w:ascii="Arial" w:eastAsia="Times New Roman" w:hAnsi="Arial" w:cs="Arial"/>
          <w:sz w:val="24"/>
          <w:szCs w:val="24"/>
        </w:rPr>
        <w:t xml:space="preserve">his is a huge workload, and the appointment of the new </w:t>
      </w:r>
      <w:r w:rsidR="00C04267">
        <w:rPr>
          <w:rFonts w:ascii="Arial" w:eastAsia="Times New Roman" w:hAnsi="Arial" w:cs="Arial"/>
          <w:sz w:val="24"/>
          <w:szCs w:val="24"/>
        </w:rPr>
        <w:t xml:space="preserve">Aged Care </w:t>
      </w:r>
      <w:r>
        <w:rPr>
          <w:rFonts w:ascii="Arial" w:eastAsia="Times New Roman" w:hAnsi="Arial" w:cs="Arial"/>
          <w:sz w:val="24"/>
          <w:szCs w:val="24"/>
        </w:rPr>
        <w:t>C</w:t>
      </w:r>
      <w:r w:rsidRPr="007A3EDA">
        <w:rPr>
          <w:rFonts w:ascii="Arial" w:eastAsia="Times New Roman" w:hAnsi="Arial" w:cs="Arial"/>
          <w:sz w:val="24"/>
          <w:szCs w:val="24"/>
        </w:rPr>
        <w:t xml:space="preserve">omplaints </w:t>
      </w:r>
      <w:r>
        <w:rPr>
          <w:rFonts w:ascii="Arial" w:eastAsia="Times New Roman" w:hAnsi="Arial" w:cs="Arial"/>
          <w:sz w:val="24"/>
          <w:szCs w:val="24"/>
        </w:rPr>
        <w:t>C</w:t>
      </w:r>
      <w:r w:rsidRPr="007A3EDA">
        <w:rPr>
          <w:rFonts w:ascii="Arial" w:eastAsia="Times New Roman" w:hAnsi="Arial" w:cs="Arial"/>
          <w:sz w:val="24"/>
          <w:szCs w:val="24"/>
        </w:rPr>
        <w:t xml:space="preserve">ommissioner must proceed </w:t>
      </w:r>
      <w:r>
        <w:rPr>
          <w:rFonts w:ascii="Arial" w:eastAsia="Times New Roman" w:hAnsi="Arial" w:cs="Arial"/>
          <w:sz w:val="24"/>
          <w:szCs w:val="24"/>
        </w:rPr>
        <w:t>as a high priority.</w:t>
      </w:r>
    </w:p>
    <w:p w14:paraId="22E6BBA1" w14:textId="77777777" w:rsidR="00230967" w:rsidRDefault="00230967" w:rsidP="00230967">
      <w:pPr>
        <w:spacing w:before="120" w:after="120"/>
        <w:rPr>
          <w:rFonts w:ascii="Arial" w:eastAsia="Times New Roman" w:hAnsi="Arial" w:cs="Arial"/>
          <w:sz w:val="24"/>
          <w:szCs w:val="24"/>
        </w:rPr>
      </w:pPr>
      <w:r w:rsidRPr="007A3EDA">
        <w:rPr>
          <w:rFonts w:ascii="Arial" w:eastAsia="Times New Roman" w:hAnsi="Arial" w:cs="Arial"/>
          <w:sz w:val="24"/>
          <w:szCs w:val="24"/>
        </w:rPr>
        <w:t xml:space="preserve">The complaints system must be </w:t>
      </w:r>
      <w:r>
        <w:rPr>
          <w:rFonts w:ascii="Arial" w:eastAsia="Times New Roman" w:hAnsi="Arial" w:cs="Arial"/>
          <w:sz w:val="24"/>
          <w:szCs w:val="24"/>
        </w:rPr>
        <w:t xml:space="preserve">urgently </w:t>
      </w:r>
      <w:r w:rsidRPr="007A3EDA">
        <w:rPr>
          <w:rFonts w:ascii="Arial" w:eastAsia="Times New Roman" w:hAnsi="Arial" w:cs="Arial"/>
          <w:sz w:val="24"/>
          <w:szCs w:val="24"/>
        </w:rPr>
        <w:t>reviewed to ensure that complaints are triaged appropriately, that complainants have assurance that concerns are being followed up, and the wider community gain trust that matters of concern to older Australians and their families are getting priority attention. There must be regular and more detailed reporting on complaints and SIRS.</w:t>
      </w:r>
    </w:p>
    <w:p w14:paraId="54563E65" w14:textId="54D3979A" w:rsidR="00230967" w:rsidRPr="007A3EDA" w:rsidRDefault="00230967" w:rsidP="00230967">
      <w:pPr>
        <w:spacing w:before="120" w:after="120"/>
        <w:rPr>
          <w:rFonts w:ascii="Arial" w:eastAsia="Times New Roman" w:hAnsi="Arial" w:cs="Arial"/>
          <w:sz w:val="24"/>
          <w:szCs w:val="24"/>
        </w:rPr>
      </w:pPr>
      <w:r w:rsidRPr="007A3EDA">
        <w:rPr>
          <w:rFonts w:ascii="Arial" w:eastAsia="Times New Roman" w:hAnsi="Arial" w:cs="Arial"/>
          <w:sz w:val="24"/>
          <w:szCs w:val="24"/>
        </w:rPr>
        <w:lastRenderedPageBreak/>
        <w:t>The</w:t>
      </w:r>
      <w:r>
        <w:rPr>
          <w:rFonts w:ascii="Arial" w:eastAsia="Times New Roman" w:hAnsi="Arial" w:cs="Arial"/>
          <w:sz w:val="24"/>
          <w:szCs w:val="24"/>
        </w:rPr>
        <w:t xml:space="preserve"> Commission’s</w:t>
      </w:r>
      <w:r w:rsidRPr="007A3EDA">
        <w:rPr>
          <w:rFonts w:ascii="Arial" w:eastAsia="Times New Roman" w:hAnsi="Arial" w:cs="Arial"/>
          <w:sz w:val="24"/>
          <w:szCs w:val="24"/>
        </w:rPr>
        <w:t xml:space="preserve"> culture internally drives what is experienced externally. </w:t>
      </w:r>
      <w:r w:rsidR="00ED4144">
        <w:rPr>
          <w:rFonts w:ascii="Arial" w:eastAsia="Times New Roman" w:hAnsi="Arial" w:cs="Arial"/>
          <w:sz w:val="24"/>
          <w:szCs w:val="24"/>
        </w:rPr>
        <w:t>T</w:t>
      </w:r>
      <w:r w:rsidRPr="007A3EDA">
        <w:rPr>
          <w:rFonts w:ascii="Arial" w:eastAsia="Times New Roman" w:hAnsi="Arial" w:cs="Arial"/>
          <w:sz w:val="24"/>
          <w:szCs w:val="24"/>
        </w:rPr>
        <w:t>herefore</w:t>
      </w:r>
      <w:r w:rsidR="008B0574">
        <w:rPr>
          <w:rFonts w:ascii="Arial" w:eastAsia="Times New Roman" w:hAnsi="Arial" w:cs="Arial"/>
          <w:sz w:val="24"/>
          <w:szCs w:val="24"/>
        </w:rPr>
        <w:t>,</w:t>
      </w:r>
      <w:r w:rsidRPr="007A3EDA">
        <w:rPr>
          <w:rFonts w:ascii="Arial" w:eastAsia="Times New Roman" w:hAnsi="Arial" w:cs="Arial"/>
          <w:sz w:val="24"/>
          <w:szCs w:val="24"/>
        </w:rPr>
        <w:t xml:space="preserve"> </w:t>
      </w:r>
      <w:r w:rsidR="00723451">
        <w:rPr>
          <w:rFonts w:ascii="Arial" w:eastAsia="Times New Roman" w:hAnsi="Arial" w:cs="Arial"/>
          <w:sz w:val="24"/>
          <w:szCs w:val="24"/>
        </w:rPr>
        <w:t>t</w:t>
      </w:r>
      <w:r w:rsidR="00ED4144">
        <w:rPr>
          <w:rFonts w:ascii="Arial" w:eastAsia="Times New Roman" w:hAnsi="Arial" w:cs="Arial"/>
          <w:sz w:val="24"/>
          <w:szCs w:val="24"/>
        </w:rPr>
        <w:t xml:space="preserve">he Commission must </w:t>
      </w:r>
      <w:r w:rsidRPr="007A3EDA">
        <w:rPr>
          <w:rFonts w:ascii="Arial" w:eastAsia="Times New Roman" w:hAnsi="Arial" w:cs="Arial"/>
          <w:sz w:val="24"/>
          <w:szCs w:val="24"/>
        </w:rPr>
        <w:t xml:space="preserve">be more open, </w:t>
      </w:r>
      <w:proofErr w:type="gramStart"/>
      <w:r w:rsidRPr="007A3EDA">
        <w:rPr>
          <w:rFonts w:ascii="Arial" w:eastAsia="Times New Roman" w:hAnsi="Arial" w:cs="Arial"/>
          <w:sz w:val="24"/>
          <w:szCs w:val="24"/>
        </w:rPr>
        <w:t>transparent</w:t>
      </w:r>
      <w:proofErr w:type="gramEnd"/>
      <w:r w:rsidRPr="007A3EDA">
        <w:rPr>
          <w:rFonts w:ascii="Arial" w:eastAsia="Times New Roman" w:hAnsi="Arial" w:cs="Arial"/>
          <w:sz w:val="24"/>
          <w:szCs w:val="24"/>
        </w:rPr>
        <w:t xml:space="preserve"> and accountable. It must share information</w:t>
      </w:r>
      <w:r>
        <w:rPr>
          <w:rFonts w:ascii="Arial" w:eastAsia="Times New Roman" w:hAnsi="Arial" w:cs="Arial"/>
          <w:sz w:val="24"/>
          <w:szCs w:val="24"/>
        </w:rPr>
        <w:t xml:space="preserve">, </w:t>
      </w:r>
      <w:r w:rsidRPr="007A3EDA">
        <w:rPr>
          <w:rFonts w:ascii="Arial" w:eastAsia="Times New Roman" w:hAnsi="Arial" w:cs="Arial"/>
          <w:sz w:val="24"/>
          <w:szCs w:val="24"/>
        </w:rPr>
        <w:t xml:space="preserve">engage more openly </w:t>
      </w:r>
      <w:r>
        <w:rPr>
          <w:rFonts w:ascii="Arial" w:eastAsia="Times New Roman" w:hAnsi="Arial" w:cs="Arial"/>
          <w:sz w:val="24"/>
          <w:szCs w:val="24"/>
        </w:rPr>
        <w:t xml:space="preserve">and work </w:t>
      </w:r>
      <w:r w:rsidRPr="007A3EDA">
        <w:rPr>
          <w:rFonts w:ascii="Arial" w:eastAsia="Times New Roman" w:hAnsi="Arial" w:cs="Arial"/>
          <w:sz w:val="24"/>
          <w:szCs w:val="24"/>
        </w:rPr>
        <w:t xml:space="preserve">with providers. It must build on its recent good work </w:t>
      </w:r>
      <w:r w:rsidR="00ED4144">
        <w:rPr>
          <w:rFonts w:ascii="Arial" w:eastAsia="Times New Roman" w:hAnsi="Arial" w:cs="Arial"/>
          <w:sz w:val="24"/>
          <w:szCs w:val="24"/>
        </w:rPr>
        <w:t>engaging with</w:t>
      </w:r>
      <w:r w:rsidRPr="007A3EDA">
        <w:rPr>
          <w:rFonts w:ascii="Arial" w:eastAsia="Times New Roman" w:hAnsi="Arial" w:cs="Arial"/>
          <w:sz w:val="24"/>
          <w:szCs w:val="24"/>
        </w:rPr>
        <w:t xml:space="preserve"> consumers and providers but go much further. </w:t>
      </w:r>
    </w:p>
    <w:p w14:paraId="0BA482D5" w14:textId="040FC8EA" w:rsidR="00230967" w:rsidRPr="007A3EDA" w:rsidRDefault="00230967" w:rsidP="00230967">
      <w:pPr>
        <w:spacing w:before="120" w:after="120"/>
        <w:rPr>
          <w:rFonts w:ascii="Arial" w:eastAsia="Times New Roman" w:hAnsi="Arial" w:cs="Arial"/>
          <w:sz w:val="24"/>
          <w:szCs w:val="24"/>
        </w:rPr>
      </w:pPr>
      <w:r w:rsidRPr="007A3EDA">
        <w:rPr>
          <w:rFonts w:ascii="Arial" w:eastAsia="Times New Roman" w:hAnsi="Arial" w:cs="Arial"/>
          <w:sz w:val="24"/>
          <w:szCs w:val="24"/>
        </w:rPr>
        <w:t>The Commission must adopt a far more collaborative approach to shaping and delivering its regulatory responsibilities and work program, partnering with providers and peaks and utilis</w:t>
      </w:r>
      <w:r w:rsidR="00C04267">
        <w:rPr>
          <w:rFonts w:ascii="Arial" w:eastAsia="Times New Roman" w:hAnsi="Arial" w:cs="Arial"/>
          <w:sz w:val="24"/>
          <w:szCs w:val="24"/>
        </w:rPr>
        <w:t>ing</w:t>
      </w:r>
      <w:r w:rsidRPr="007A3EDA">
        <w:rPr>
          <w:rFonts w:ascii="Arial" w:eastAsia="Times New Roman" w:hAnsi="Arial" w:cs="Arial"/>
          <w:sz w:val="24"/>
          <w:szCs w:val="24"/>
        </w:rPr>
        <w:t xml:space="preserve"> opportunities for co-design with providers and consumers.</w:t>
      </w:r>
    </w:p>
    <w:p w14:paraId="413BEC90" w14:textId="2834DFC2" w:rsidR="00230967" w:rsidRPr="007A3EDA" w:rsidRDefault="00230967" w:rsidP="00230967">
      <w:pPr>
        <w:spacing w:before="120" w:after="120"/>
        <w:rPr>
          <w:rFonts w:ascii="Arial" w:eastAsia="Times New Roman" w:hAnsi="Arial" w:cs="Arial"/>
          <w:sz w:val="24"/>
          <w:szCs w:val="24"/>
        </w:rPr>
      </w:pPr>
      <w:r>
        <w:rPr>
          <w:rFonts w:ascii="Arial" w:eastAsia="Times New Roman" w:hAnsi="Arial" w:cs="Arial"/>
          <w:sz w:val="24"/>
          <w:szCs w:val="24"/>
        </w:rPr>
        <w:t xml:space="preserve">The Commission </w:t>
      </w:r>
      <w:r w:rsidRPr="007A3EDA">
        <w:rPr>
          <w:rFonts w:ascii="Arial" w:eastAsia="Times New Roman" w:hAnsi="Arial" w:cs="Arial"/>
          <w:sz w:val="24"/>
          <w:szCs w:val="24"/>
        </w:rPr>
        <w:t xml:space="preserve">must acquire a better understanding of the diverse needs and circumstances of aged care consumers and their communities, especially First Nations people, </w:t>
      </w:r>
      <w:r>
        <w:rPr>
          <w:rFonts w:ascii="Arial" w:eastAsia="Times New Roman" w:hAnsi="Arial" w:cs="Arial"/>
          <w:sz w:val="24"/>
          <w:szCs w:val="24"/>
        </w:rPr>
        <w:t>culturally and lingu</w:t>
      </w:r>
      <w:r w:rsidR="003B2C53">
        <w:rPr>
          <w:rFonts w:ascii="Arial" w:eastAsia="Times New Roman" w:hAnsi="Arial" w:cs="Arial"/>
          <w:sz w:val="24"/>
          <w:szCs w:val="24"/>
        </w:rPr>
        <w:t>istically</w:t>
      </w:r>
      <w:r>
        <w:rPr>
          <w:rFonts w:ascii="Arial" w:eastAsia="Times New Roman" w:hAnsi="Arial" w:cs="Arial"/>
          <w:sz w:val="24"/>
          <w:szCs w:val="24"/>
        </w:rPr>
        <w:t xml:space="preserve"> diverse </w:t>
      </w:r>
      <w:r w:rsidRPr="007A3EDA">
        <w:rPr>
          <w:rFonts w:ascii="Arial" w:eastAsia="Times New Roman" w:hAnsi="Arial" w:cs="Arial"/>
          <w:sz w:val="24"/>
          <w:szCs w:val="24"/>
        </w:rPr>
        <w:t>people, people with dementia, veterans and LGBTIQ+ people, and older people living in regional and remote communities. In doing so,</w:t>
      </w:r>
      <w:r>
        <w:rPr>
          <w:rFonts w:ascii="Arial" w:eastAsia="Times New Roman" w:hAnsi="Arial" w:cs="Arial"/>
          <w:sz w:val="24"/>
          <w:szCs w:val="24"/>
        </w:rPr>
        <w:t xml:space="preserve"> it </w:t>
      </w:r>
      <w:r w:rsidRPr="007A3EDA">
        <w:rPr>
          <w:rFonts w:ascii="Arial" w:eastAsia="Times New Roman" w:hAnsi="Arial" w:cs="Arial"/>
          <w:sz w:val="24"/>
          <w:szCs w:val="24"/>
        </w:rPr>
        <w:t xml:space="preserve">must </w:t>
      </w:r>
      <w:r>
        <w:rPr>
          <w:rFonts w:ascii="Arial" w:eastAsia="Times New Roman" w:hAnsi="Arial" w:cs="Arial"/>
          <w:sz w:val="24"/>
          <w:szCs w:val="24"/>
        </w:rPr>
        <w:t xml:space="preserve">deliver </w:t>
      </w:r>
      <w:r w:rsidRPr="007A3EDA">
        <w:rPr>
          <w:rFonts w:ascii="Arial" w:eastAsia="Times New Roman" w:hAnsi="Arial" w:cs="Arial"/>
          <w:sz w:val="24"/>
          <w:szCs w:val="24"/>
        </w:rPr>
        <w:t>more flexible and responsive consumer-centric approaches</w:t>
      </w:r>
      <w:r w:rsidR="00FE585F">
        <w:rPr>
          <w:rFonts w:ascii="Arial" w:eastAsia="Times New Roman" w:hAnsi="Arial" w:cs="Arial"/>
          <w:sz w:val="24"/>
          <w:szCs w:val="24"/>
        </w:rPr>
        <w:t xml:space="preserve"> while ensuring quality and safety remains paramount</w:t>
      </w:r>
      <w:r w:rsidRPr="007A3EDA">
        <w:rPr>
          <w:rFonts w:ascii="Arial" w:eastAsia="Times New Roman" w:hAnsi="Arial" w:cs="Arial"/>
          <w:sz w:val="24"/>
          <w:szCs w:val="24"/>
        </w:rPr>
        <w:t>.</w:t>
      </w:r>
    </w:p>
    <w:p w14:paraId="32EF1938" w14:textId="5C3E3A3D" w:rsidR="00230967" w:rsidRPr="007A3EDA" w:rsidRDefault="00230967" w:rsidP="00230967">
      <w:pPr>
        <w:spacing w:before="120" w:after="120"/>
        <w:rPr>
          <w:rFonts w:ascii="Arial" w:eastAsia="Times New Roman" w:hAnsi="Arial" w:cs="Arial"/>
          <w:sz w:val="24"/>
          <w:szCs w:val="24"/>
        </w:rPr>
      </w:pPr>
      <w:r>
        <w:rPr>
          <w:rFonts w:ascii="Arial" w:eastAsia="Times New Roman" w:hAnsi="Arial" w:cs="Arial"/>
          <w:sz w:val="24"/>
          <w:szCs w:val="24"/>
        </w:rPr>
        <w:t xml:space="preserve">The existing aged care </w:t>
      </w:r>
      <w:r w:rsidRPr="007A3EDA">
        <w:rPr>
          <w:rFonts w:ascii="Arial" w:eastAsia="Times New Roman" w:hAnsi="Arial" w:cs="Arial"/>
          <w:sz w:val="24"/>
          <w:szCs w:val="24"/>
        </w:rPr>
        <w:t xml:space="preserve">legislative framework is not fit for purpose and is too complicated and rules bound. The new Act and regulatory system </w:t>
      </w:r>
      <w:r w:rsidR="003D44CB">
        <w:rPr>
          <w:rFonts w:ascii="Arial" w:eastAsia="Times New Roman" w:hAnsi="Arial" w:cs="Arial"/>
          <w:sz w:val="24"/>
          <w:szCs w:val="24"/>
        </w:rPr>
        <w:t>must</w:t>
      </w:r>
      <w:r w:rsidR="003D44CB" w:rsidRPr="007A3EDA">
        <w:rPr>
          <w:rFonts w:ascii="Arial" w:eastAsia="Times New Roman" w:hAnsi="Arial" w:cs="Arial"/>
          <w:sz w:val="24"/>
          <w:szCs w:val="24"/>
        </w:rPr>
        <w:t xml:space="preserve"> </w:t>
      </w:r>
      <w:r w:rsidRPr="007A3EDA">
        <w:rPr>
          <w:rFonts w:ascii="Arial" w:eastAsia="Times New Roman" w:hAnsi="Arial" w:cs="Arial"/>
          <w:sz w:val="24"/>
          <w:szCs w:val="24"/>
        </w:rPr>
        <w:t>encourage ongoing continuous improvement, driving higher quality</w:t>
      </w:r>
      <w:r w:rsidR="00C03984">
        <w:rPr>
          <w:rFonts w:ascii="Arial" w:eastAsia="Times New Roman" w:hAnsi="Arial" w:cs="Arial"/>
          <w:sz w:val="24"/>
          <w:szCs w:val="24"/>
        </w:rPr>
        <w:t xml:space="preserve"> care</w:t>
      </w:r>
      <w:r w:rsidRPr="007A3EDA">
        <w:rPr>
          <w:rFonts w:ascii="Arial" w:eastAsia="Times New Roman" w:hAnsi="Arial" w:cs="Arial"/>
          <w:sz w:val="24"/>
          <w:szCs w:val="24"/>
        </w:rPr>
        <w:t>, and the development of risk approaches that ensure that the safety of older Australians gets the right and timely attention that is warranted.</w:t>
      </w:r>
    </w:p>
    <w:p w14:paraId="19A74912" w14:textId="5A4D2D98" w:rsidR="00230967" w:rsidRPr="007A3EDA" w:rsidRDefault="00230967" w:rsidP="00230967">
      <w:pPr>
        <w:spacing w:before="120" w:after="120"/>
        <w:rPr>
          <w:rFonts w:ascii="Arial" w:eastAsia="Times New Roman" w:hAnsi="Arial" w:cs="Arial"/>
          <w:sz w:val="24"/>
          <w:szCs w:val="24"/>
        </w:rPr>
      </w:pPr>
      <w:r w:rsidRPr="007A3EDA">
        <w:rPr>
          <w:rFonts w:ascii="Arial" w:eastAsia="Times New Roman" w:hAnsi="Arial" w:cs="Arial"/>
          <w:sz w:val="24"/>
          <w:szCs w:val="24"/>
        </w:rPr>
        <w:t xml:space="preserve">To do this, </w:t>
      </w:r>
      <w:r>
        <w:rPr>
          <w:rFonts w:ascii="Arial" w:eastAsia="Times New Roman" w:hAnsi="Arial" w:cs="Arial"/>
          <w:sz w:val="24"/>
          <w:szCs w:val="24"/>
        </w:rPr>
        <w:t xml:space="preserve">the Commission </w:t>
      </w:r>
      <w:r w:rsidRPr="007A3EDA">
        <w:rPr>
          <w:rFonts w:ascii="Arial" w:eastAsia="Times New Roman" w:hAnsi="Arial" w:cs="Arial"/>
          <w:sz w:val="24"/>
          <w:szCs w:val="24"/>
        </w:rPr>
        <w:t xml:space="preserve">must have a major focus on being data driven so that the risk-based regulatory vision is able to be realised. Without the right systems and capabilities – particularly </w:t>
      </w:r>
      <w:r>
        <w:rPr>
          <w:rFonts w:ascii="Arial" w:eastAsia="Times New Roman" w:hAnsi="Arial" w:cs="Arial"/>
          <w:sz w:val="24"/>
          <w:szCs w:val="24"/>
        </w:rPr>
        <w:t xml:space="preserve">robust data </w:t>
      </w:r>
      <w:r w:rsidRPr="007A3EDA">
        <w:rPr>
          <w:rFonts w:ascii="Arial" w:eastAsia="Times New Roman" w:hAnsi="Arial" w:cs="Arial"/>
          <w:sz w:val="24"/>
          <w:szCs w:val="24"/>
        </w:rPr>
        <w:t xml:space="preserve">analysis – the vision will not come into being. </w:t>
      </w:r>
      <w:r>
        <w:rPr>
          <w:rFonts w:ascii="Arial" w:eastAsia="Times New Roman" w:hAnsi="Arial" w:cs="Arial"/>
          <w:sz w:val="24"/>
          <w:szCs w:val="24"/>
        </w:rPr>
        <w:t xml:space="preserve">The Commission </w:t>
      </w:r>
      <w:r w:rsidRPr="007A3EDA">
        <w:rPr>
          <w:rFonts w:ascii="Arial" w:eastAsia="Times New Roman" w:hAnsi="Arial" w:cs="Arial"/>
          <w:sz w:val="24"/>
          <w:szCs w:val="24"/>
        </w:rPr>
        <w:t>must share much more information</w:t>
      </w:r>
      <w:r>
        <w:rPr>
          <w:rFonts w:ascii="Arial" w:eastAsia="Times New Roman" w:hAnsi="Arial" w:cs="Arial"/>
          <w:sz w:val="24"/>
          <w:szCs w:val="24"/>
        </w:rPr>
        <w:t xml:space="preserve"> and data</w:t>
      </w:r>
      <w:r w:rsidRPr="007A3EDA">
        <w:rPr>
          <w:rFonts w:ascii="Arial" w:eastAsia="Times New Roman" w:hAnsi="Arial" w:cs="Arial"/>
          <w:sz w:val="24"/>
          <w:szCs w:val="24"/>
        </w:rPr>
        <w:t xml:space="preserve"> – on its </w:t>
      </w:r>
      <w:r>
        <w:rPr>
          <w:rFonts w:ascii="Arial" w:eastAsia="Times New Roman" w:hAnsi="Arial" w:cs="Arial"/>
          <w:sz w:val="24"/>
          <w:szCs w:val="24"/>
        </w:rPr>
        <w:t xml:space="preserve">own </w:t>
      </w:r>
      <w:r w:rsidRPr="007A3EDA">
        <w:rPr>
          <w:rFonts w:ascii="Arial" w:eastAsia="Times New Roman" w:hAnsi="Arial" w:cs="Arial"/>
          <w:sz w:val="24"/>
          <w:szCs w:val="24"/>
        </w:rPr>
        <w:t>performance, but also providers, and what works, and what the key issues are. This will help drive ongoing</w:t>
      </w:r>
      <w:r>
        <w:rPr>
          <w:rFonts w:ascii="Arial" w:eastAsia="Times New Roman" w:hAnsi="Arial" w:cs="Arial"/>
          <w:sz w:val="24"/>
          <w:szCs w:val="24"/>
        </w:rPr>
        <w:t xml:space="preserve"> continuous</w:t>
      </w:r>
      <w:r w:rsidRPr="007A3EDA">
        <w:rPr>
          <w:rFonts w:ascii="Arial" w:eastAsia="Times New Roman" w:hAnsi="Arial" w:cs="Arial"/>
          <w:sz w:val="24"/>
          <w:szCs w:val="24"/>
        </w:rPr>
        <w:t xml:space="preserve"> improvement and</w:t>
      </w:r>
      <w:r>
        <w:rPr>
          <w:rFonts w:ascii="Arial" w:eastAsia="Times New Roman" w:hAnsi="Arial" w:cs="Arial"/>
          <w:sz w:val="24"/>
          <w:szCs w:val="24"/>
        </w:rPr>
        <w:t xml:space="preserve"> enable </w:t>
      </w:r>
      <w:r w:rsidRPr="007A3EDA">
        <w:rPr>
          <w:rFonts w:ascii="Arial" w:eastAsia="Times New Roman" w:hAnsi="Arial" w:cs="Arial"/>
          <w:sz w:val="24"/>
          <w:szCs w:val="24"/>
        </w:rPr>
        <w:t xml:space="preserve">a more trusting and </w:t>
      </w:r>
      <w:r>
        <w:rPr>
          <w:rFonts w:ascii="Arial" w:eastAsia="Times New Roman" w:hAnsi="Arial" w:cs="Arial"/>
          <w:sz w:val="24"/>
          <w:szCs w:val="24"/>
        </w:rPr>
        <w:t xml:space="preserve">empowered </w:t>
      </w:r>
      <w:r w:rsidRPr="007A3EDA">
        <w:rPr>
          <w:rFonts w:ascii="Arial" w:eastAsia="Times New Roman" w:hAnsi="Arial" w:cs="Arial"/>
          <w:sz w:val="24"/>
          <w:szCs w:val="24"/>
        </w:rPr>
        <w:t>sector.</w:t>
      </w:r>
    </w:p>
    <w:p w14:paraId="1C070301" w14:textId="5DDB0E96" w:rsidR="00CC2D3E" w:rsidRPr="00CC2D3E" w:rsidRDefault="00CC2D3E" w:rsidP="00CC2D3E">
      <w:pPr>
        <w:spacing w:before="120" w:after="120"/>
        <w:rPr>
          <w:rFonts w:ascii="Arial" w:eastAsia="Times New Roman" w:hAnsi="Arial" w:cs="Arial"/>
          <w:sz w:val="24"/>
          <w:szCs w:val="24"/>
        </w:rPr>
      </w:pPr>
      <w:r w:rsidRPr="00CC2D3E">
        <w:rPr>
          <w:rFonts w:ascii="Arial" w:eastAsia="Times New Roman" w:hAnsi="Arial" w:cs="Arial"/>
          <w:sz w:val="24"/>
          <w:szCs w:val="24"/>
        </w:rPr>
        <w:t>While the Commission has been able to fund its</w:t>
      </w:r>
      <w:r w:rsidR="00936D9A">
        <w:rPr>
          <w:rFonts w:ascii="Arial" w:eastAsia="Times New Roman" w:hAnsi="Arial" w:cs="Arial"/>
          <w:sz w:val="24"/>
          <w:szCs w:val="24"/>
        </w:rPr>
        <w:t xml:space="preserve"> range of</w:t>
      </w:r>
      <w:r w:rsidRPr="00CC2D3E">
        <w:rPr>
          <w:rFonts w:ascii="Arial" w:eastAsia="Times New Roman" w:hAnsi="Arial" w:cs="Arial"/>
          <w:sz w:val="24"/>
          <w:szCs w:val="24"/>
        </w:rPr>
        <w:t xml:space="preserve"> activities through interna</w:t>
      </w:r>
      <w:r w:rsidR="00A43E28">
        <w:rPr>
          <w:rFonts w:ascii="Arial" w:eastAsia="Times New Roman" w:hAnsi="Arial" w:cs="Arial"/>
          <w:sz w:val="24"/>
          <w:szCs w:val="24"/>
        </w:rPr>
        <w:t>l</w:t>
      </w:r>
      <w:r w:rsidRPr="00CC2D3E">
        <w:rPr>
          <w:rFonts w:ascii="Arial" w:eastAsia="Times New Roman" w:hAnsi="Arial" w:cs="Arial"/>
          <w:sz w:val="24"/>
          <w:szCs w:val="24"/>
        </w:rPr>
        <w:t xml:space="preserve"> cross-subsidis</w:t>
      </w:r>
      <w:r w:rsidR="00936D9A">
        <w:rPr>
          <w:rFonts w:ascii="Arial" w:eastAsia="Times New Roman" w:hAnsi="Arial" w:cs="Arial"/>
          <w:sz w:val="24"/>
          <w:szCs w:val="24"/>
        </w:rPr>
        <w:t>ation</w:t>
      </w:r>
      <w:r w:rsidRPr="00CC2D3E">
        <w:rPr>
          <w:rFonts w:ascii="Arial" w:eastAsia="Times New Roman" w:hAnsi="Arial" w:cs="Arial"/>
          <w:sz w:val="24"/>
          <w:szCs w:val="24"/>
        </w:rPr>
        <w:t xml:space="preserve">, particularly through the COVID-19 </w:t>
      </w:r>
      <w:r>
        <w:rPr>
          <w:rFonts w:ascii="Arial" w:eastAsia="Times New Roman" w:hAnsi="Arial" w:cs="Arial"/>
          <w:sz w:val="24"/>
          <w:szCs w:val="24"/>
        </w:rPr>
        <w:t xml:space="preserve">pandemic </w:t>
      </w:r>
      <w:r w:rsidRPr="00CC2D3E">
        <w:rPr>
          <w:rFonts w:ascii="Arial" w:eastAsia="Times New Roman" w:hAnsi="Arial" w:cs="Arial"/>
          <w:sz w:val="24"/>
          <w:szCs w:val="24"/>
        </w:rPr>
        <w:t xml:space="preserve">lockdown periods, </w:t>
      </w:r>
      <w:proofErr w:type="gramStart"/>
      <w:r w:rsidRPr="00CC2D3E">
        <w:rPr>
          <w:rFonts w:ascii="Arial" w:eastAsia="Times New Roman" w:hAnsi="Arial" w:cs="Arial"/>
          <w:sz w:val="24"/>
          <w:szCs w:val="24"/>
        </w:rPr>
        <w:t>a number of</w:t>
      </w:r>
      <w:proofErr w:type="gramEnd"/>
      <w:r w:rsidRPr="00CC2D3E">
        <w:rPr>
          <w:rFonts w:ascii="Arial" w:eastAsia="Times New Roman" w:hAnsi="Arial" w:cs="Arial"/>
          <w:sz w:val="24"/>
          <w:szCs w:val="24"/>
        </w:rPr>
        <w:t xml:space="preserve"> terminating measures, as well as increasing demand for some activities such as complaints, means that resourcing issues</w:t>
      </w:r>
      <w:r w:rsidR="00936D9A">
        <w:rPr>
          <w:rFonts w:ascii="Arial" w:eastAsia="Times New Roman" w:hAnsi="Arial" w:cs="Arial"/>
          <w:sz w:val="24"/>
          <w:szCs w:val="24"/>
        </w:rPr>
        <w:t xml:space="preserve"> from 2023-24</w:t>
      </w:r>
      <w:r w:rsidRPr="00CC2D3E">
        <w:rPr>
          <w:rFonts w:ascii="Arial" w:eastAsia="Times New Roman" w:hAnsi="Arial" w:cs="Arial"/>
          <w:sz w:val="24"/>
          <w:szCs w:val="24"/>
        </w:rPr>
        <w:t xml:space="preserve"> must be addressed with some urgency.</w:t>
      </w:r>
      <w:r w:rsidR="00936D9A">
        <w:rPr>
          <w:rFonts w:ascii="Arial" w:eastAsia="Times New Roman" w:hAnsi="Arial" w:cs="Arial"/>
          <w:sz w:val="24"/>
          <w:szCs w:val="24"/>
        </w:rPr>
        <w:t xml:space="preserve"> </w:t>
      </w:r>
      <w:proofErr w:type="gramStart"/>
      <w:r w:rsidR="00936D9A">
        <w:rPr>
          <w:rFonts w:ascii="Arial" w:eastAsia="Times New Roman" w:hAnsi="Arial" w:cs="Arial"/>
          <w:sz w:val="24"/>
          <w:szCs w:val="24"/>
        </w:rPr>
        <w:t>In particular,</w:t>
      </w:r>
      <w:r w:rsidRPr="00CC2D3E">
        <w:rPr>
          <w:rFonts w:ascii="Arial" w:eastAsia="Times New Roman" w:hAnsi="Arial" w:cs="Arial"/>
          <w:sz w:val="24"/>
          <w:szCs w:val="24"/>
        </w:rPr>
        <w:t xml:space="preserve"> I</w:t>
      </w:r>
      <w:proofErr w:type="gramEnd"/>
      <w:r w:rsidRPr="00CC2D3E">
        <w:rPr>
          <w:rFonts w:ascii="Arial" w:eastAsia="Times New Roman" w:hAnsi="Arial" w:cs="Arial"/>
          <w:sz w:val="24"/>
          <w:szCs w:val="24"/>
        </w:rPr>
        <w:t xml:space="preserve"> recommend that a resourcing model be developed that includes for some functions a funding mechanism that sees its appropriation revenue directly determined by estimate</w:t>
      </w:r>
      <w:r w:rsidR="003D44CB">
        <w:rPr>
          <w:rFonts w:ascii="Arial" w:eastAsia="Times New Roman" w:hAnsi="Arial" w:cs="Arial"/>
          <w:sz w:val="24"/>
          <w:szCs w:val="24"/>
        </w:rPr>
        <w:t>d</w:t>
      </w:r>
      <w:r w:rsidRPr="00CC2D3E">
        <w:rPr>
          <w:rFonts w:ascii="Arial" w:eastAsia="Times New Roman" w:hAnsi="Arial" w:cs="Arial"/>
          <w:sz w:val="24"/>
          <w:szCs w:val="24"/>
        </w:rPr>
        <w:t xml:space="preserve"> workloads, which can be adjusted throughout each year based on actual workload</w:t>
      </w:r>
      <w:r w:rsidR="00936D9A">
        <w:rPr>
          <w:rFonts w:ascii="Arial" w:eastAsia="Times New Roman" w:hAnsi="Arial" w:cs="Arial"/>
          <w:sz w:val="24"/>
          <w:szCs w:val="24"/>
        </w:rPr>
        <w:t xml:space="preserve"> – a demand-driven mechanism</w:t>
      </w:r>
      <w:r w:rsidRPr="00CC2D3E">
        <w:rPr>
          <w:rFonts w:ascii="Arial" w:eastAsia="Times New Roman" w:hAnsi="Arial" w:cs="Arial"/>
          <w:sz w:val="24"/>
          <w:szCs w:val="24"/>
        </w:rPr>
        <w:t>.</w:t>
      </w:r>
    </w:p>
    <w:p w14:paraId="41AAF535" w14:textId="256A9A18" w:rsidR="00230967" w:rsidRPr="007A3EDA" w:rsidRDefault="00230967" w:rsidP="00230967">
      <w:pPr>
        <w:spacing w:before="120" w:after="120"/>
        <w:rPr>
          <w:rFonts w:ascii="Arial" w:eastAsia="Times New Roman" w:hAnsi="Arial" w:cs="Arial"/>
          <w:sz w:val="24"/>
          <w:szCs w:val="24"/>
        </w:rPr>
      </w:pPr>
      <w:r>
        <w:rPr>
          <w:rFonts w:ascii="Arial" w:eastAsia="Times New Roman" w:hAnsi="Arial" w:cs="Arial"/>
          <w:sz w:val="24"/>
          <w:szCs w:val="24"/>
        </w:rPr>
        <w:t xml:space="preserve">The Commission </w:t>
      </w:r>
      <w:r w:rsidRPr="007A3EDA">
        <w:rPr>
          <w:rFonts w:ascii="Arial" w:eastAsia="Times New Roman" w:hAnsi="Arial" w:cs="Arial"/>
          <w:sz w:val="24"/>
          <w:szCs w:val="24"/>
        </w:rPr>
        <w:t>must also come together with the Department to ensure</w:t>
      </w:r>
      <w:r>
        <w:rPr>
          <w:rFonts w:ascii="Arial" w:eastAsia="Times New Roman" w:hAnsi="Arial" w:cs="Arial"/>
          <w:sz w:val="24"/>
          <w:szCs w:val="24"/>
        </w:rPr>
        <w:t xml:space="preserve"> </w:t>
      </w:r>
      <w:r w:rsidRPr="007A3EDA">
        <w:rPr>
          <w:rFonts w:ascii="Arial" w:eastAsia="Times New Roman" w:hAnsi="Arial" w:cs="Arial"/>
          <w:sz w:val="24"/>
          <w:szCs w:val="24"/>
        </w:rPr>
        <w:t>priorities</w:t>
      </w:r>
      <w:r>
        <w:rPr>
          <w:rFonts w:ascii="Arial" w:eastAsia="Times New Roman" w:hAnsi="Arial" w:cs="Arial"/>
          <w:sz w:val="24"/>
          <w:szCs w:val="24"/>
        </w:rPr>
        <w:t xml:space="preserve"> are </w:t>
      </w:r>
      <w:r w:rsidRPr="007A3EDA">
        <w:rPr>
          <w:rFonts w:ascii="Arial" w:eastAsia="Times New Roman" w:hAnsi="Arial" w:cs="Arial"/>
          <w:sz w:val="24"/>
          <w:szCs w:val="24"/>
        </w:rPr>
        <w:t>better articulated and understood</w:t>
      </w:r>
      <w:r>
        <w:rPr>
          <w:rFonts w:ascii="Arial" w:eastAsia="Times New Roman" w:hAnsi="Arial" w:cs="Arial"/>
          <w:sz w:val="24"/>
          <w:szCs w:val="24"/>
        </w:rPr>
        <w:t xml:space="preserve">, </w:t>
      </w:r>
      <w:r w:rsidRPr="007A3EDA">
        <w:rPr>
          <w:rFonts w:ascii="Arial" w:eastAsia="Times New Roman" w:hAnsi="Arial" w:cs="Arial"/>
          <w:sz w:val="24"/>
          <w:szCs w:val="24"/>
        </w:rPr>
        <w:t>better data sharing</w:t>
      </w:r>
      <w:r>
        <w:rPr>
          <w:rFonts w:ascii="Arial" w:eastAsia="Times New Roman" w:hAnsi="Arial" w:cs="Arial"/>
          <w:sz w:val="24"/>
          <w:szCs w:val="24"/>
        </w:rPr>
        <w:t>, r</w:t>
      </w:r>
      <w:r w:rsidRPr="007A3EDA">
        <w:rPr>
          <w:rFonts w:ascii="Arial" w:eastAsia="Times New Roman" w:hAnsi="Arial" w:cs="Arial"/>
          <w:sz w:val="24"/>
          <w:szCs w:val="24"/>
        </w:rPr>
        <w:t>ole clarity between the two agencies and their staff</w:t>
      </w:r>
      <w:r>
        <w:rPr>
          <w:rFonts w:ascii="Arial" w:eastAsia="Times New Roman" w:hAnsi="Arial" w:cs="Arial"/>
          <w:sz w:val="24"/>
          <w:szCs w:val="24"/>
        </w:rPr>
        <w:t xml:space="preserve">, and improved coordination of messaging and engagement with </w:t>
      </w:r>
      <w:r w:rsidRPr="007A3EDA">
        <w:rPr>
          <w:rFonts w:ascii="Arial" w:eastAsia="Times New Roman" w:hAnsi="Arial" w:cs="Arial"/>
          <w:sz w:val="24"/>
          <w:szCs w:val="24"/>
        </w:rPr>
        <w:t xml:space="preserve">the sector. This is </w:t>
      </w:r>
      <w:r>
        <w:rPr>
          <w:rFonts w:ascii="Arial" w:eastAsia="Times New Roman" w:hAnsi="Arial" w:cs="Arial"/>
          <w:sz w:val="24"/>
          <w:szCs w:val="24"/>
        </w:rPr>
        <w:t xml:space="preserve">of </w:t>
      </w:r>
      <w:r w:rsidRPr="007A3EDA">
        <w:rPr>
          <w:rFonts w:ascii="Arial" w:eastAsia="Times New Roman" w:hAnsi="Arial" w:cs="Arial"/>
          <w:sz w:val="24"/>
          <w:szCs w:val="24"/>
        </w:rPr>
        <w:t>critical</w:t>
      </w:r>
      <w:r>
        <w:rPr>
          <w:rFonts w:ascii="Arial" w:eastAsia="Times New Roman" w:hAnsi="Arial" w:cs="Arial"/>
          <w:sz w:val="24"/>
          <w:szCs w:val="24"/>
        </w:rPr>
        <w:t xml:space="preserve"> importance</w:t>
      </w:r>
      <w:r w:rsidRPr="007A3EDA">
        <w:rPr>
          <w:rFonts w:ascii="Arial" w:eastAsia="Times New Roman" w:hAnsi="Arial" w:cs="Arial"/>
          <w:sz w:val="24"/>
          <w:szCs w:val="24"/>
        </w:rPr>
        <w:t xml:space="preserve"> for matters like education and support for providers. </w:t>
      </w:r>
    </w:p>
    <w:p w14:paraId="568DB889" w14:textId="3BF5218F" w:rsidR="00230967" w:rsidRDefault="00230967" w:rsidP="00230967">
      <w:pPr>
        <w:spacing w:before="120" w:after="120"/>
        <w:rPr>
          <w:rFonts w:ascii="Arial" w:eastAsia="Times New Roman" w:hAnsi="Arial" w:cs="Arial"/>
          <w:sz w:val="24"/>
          <w:szCs w:val="24"/>
        </w:rPr>
      </w:pPr>
      <w:r w:rsidRPr="007A3EDA">
        <w:rPr>
          <w:rFonts w:ascii="Arial" w:eastAsia="Times New Roman" w:hAnsi="Arial" w:cs="Arial"/>
          <w:sz w:val="24"/>
          <w:szCs w:val="24"/>
        </w:rPr>
        <w:t xml:space="preserve">If </w:t>
      </w:r>
      <w:r>
        <w:rPr>
          <w:rFonts w:ascii="Arial" w:eastAsia="Times New Roman" w:hAnsi="Arial" w:cs="Arial"/>
          <w:sz w:val="24"/>
          <w:szCs w:val="24"/>
        </w:rPr>
        <w:t xml:space="preserve">the Commission </w:t>
      </w:r>
      <w:r w:rsidRPr="007A3EDA">
        <w:rPr>
          <w:rFonts w:ascii="Arial" w:eastAsia="Times New Roman" w:hAnsi="Arial" w:cs="Arial"/>
          <w:sz w:val="24"/>
          <w:szCs w:val="24"/>
        </w:rPr>
        <w:t>does these things – and this is a</w:t>
      </w:r>
      <w:r w:rsidR="00936D9A">
        <w:rPr>
          <w:rFonts w:ascii="Arial" w:eastAsia="Times New Roman" w:hAnsi="Arial" w:cs="Arial"/>
          <w:sz w:val="24"/>
          <w:szCs w:val="24"/>
        </w:rPr>
        <w:t>n important cavea</w:t>
      </w:r>
      <w:r w:rsidR="008B48BF">
        <w:rPr>
          <w:rFonts w:ascii="Arial" w:eastAsia="Times New Roman" w:hAnsi="Arial" w:cs="Arial"/>
          <w:sz w:val="24"/>
          <w:szCs w:val="24"/>
        </w:rPr>
        <w:t>t</w:t>
      </w:r>
      <w:r w:rsidRPr="007A3EDA">
        <w:rPr>
          <w:rFonts w:ascii="Arial" w:eastAsia="Times New Roman" w:hAnsi="Arial" w:cs="Arial"/>
          <w:sz w:val="24"/>
          <w:szCs w:val="24"/>
        </w:rPr>
        <w:t xml:space="preserve"> - I believe it will be set up for success.</w:t>
      </w:r>
    </w:p>
    <w:p w14:paraId="1D20A666" w14:textId="6E8388CC" w:rsidR="00AB4DD1" w:rsidRDefault="00AB4DD1" w:rsidP="005901E3">
      <w:pPr>
        <w:keepLines/>
        <w:spacing w:before="120" w:after="120"/>
        <w:rPr>
          <w:rFonts w:ascii="Arial" w:hAnsi="Arial" w:cs="Arial"/>
          <w:sz w:val="24"/>
          <w:szCs w:val="24"/>
        </w:rPr>
      </w:pPr>
      <w:r>
        <w:rPr>
          <w:rFonts w:ascii="Arial" w:hAnsi="Arial" w:cs="Arial"/>
          <w:sz w:val="24"/>
          <w:szCs w:val="24"/>
        </w:rPr>
        <w:lastRenderedPageBreak/>
        <w:t>Feedback I have received from stakeholders strongly suggests that the Commission has been overloaded and that the new functions coming on-line and being transferred from the Department have created pressure and resulted in serious risks to the Commission’s business-as-usual (BAU) functions.</w:t>
      </w:r>
    </w:p>
    <w:p w14:paraId="089C546D" w14:textId="707514DA" w:rsidR="00AB4DD1" w:rsidRDefault="00AB4DD1" w:rsidP="00AB4DD1">
      <w:pPr>
        <w:spacing w:before="120" w:after="120"/>
        <w:rPr>
          <w:rFonts w:ascii="Arial" w:hAnsi="Arial" w:cs="Arial"/>
          <w:sz w:val="24"/>
          <w:szCs w:val="24"/>
        </w:rPr>
      </w:pPr>
      <w:r>
        <w:rPr>
          <w:rFonts w:ascii="Arial" w:hAnsi="Arial" w:cs="Arial"/>
          <w:sz w:val="24"/>
          <w:szCs w:val="24"/>
        </w:rPr>
        <w:t>I consider therefore it would be ill-advised to require the Commission to take on any additional new functions</w:t>
      </w:r>
      <w:r w:rsidR="00936D9A">
        <w:rPr>
          <w:rFonts w:ascii="Arial" w:hAnsi="Arial" w:cs="Arial"/>
          <w:sz w:val="24"/>
          <w:szCs w:val="24"/>
        </w:rPr>
        <w:t>, bar those already agreed upon,</w:t>
      </w:r>
      <w:r>
        <w:rPr>
          <w:rFonts w:ascii="Arial" w:hAnsi="Arial" w:cs="Arial"/>
          <w:sz w:val="24"/>
          <w:szCs w:val="24"/>
        </w:rPr>
        <w:t xml:space="preserve"> before the commencement of the new Aged Care Act. Rather, the Commission should be encouraged to bed down recent new functions and be given some ‘clear air’ to implement recommendations from this Review.</w:t>
      </w:r>
    </w:p>
    <w:p w14:paraId="4DAECB86" w14:textId="75AD4792" w:rsidR="00AB4DD1" w:rsidRDefault="00AB4DD1" w:rsidP="00230967">
      <w:pPr>
        <w:spacing w:before="120" w:after="120"/>
        <w:rPr>
          <w:rFonts w:ascii="Arial" w:hAnsi="Arial" w:cs="Arial"/>
          <w:sz w:val="24"/>
          <w:szCs w:val="24"/>
        </w:rPr>
      </w:pPr>
      <w:r>
        <w:rPr>
          <w:rFonts w:ascii="Arial" w:hAnsi="Arial" w:cs="Arial"/>
          <w:sz w:val="24"/>
          <w:szCs w:val="24"/>
        </w:rPr>
        <w:t>I also consider there are benefits to the Commission being the end-to-end aged care regulator, and do not support any of the Commission’s current functions being removed.</w:t>
      </w:r>
    </w:p>
    <w:p w14:paraId="15ED4826" w14:textId="4C7845CE" w:rsidR="00230967" w:rsidRPr="00E8758F" w:rsidRDefault="00230967" w:rsidP="00230967">
      <w:pPr>
        <w:spacing w:before="120" w:after="120"/>
        <w:rPr>
          <w:rFonts w:ascii="Arial" w:hAnsi="Arial" w:cs="Arial"/>
          <w:sz w:val="24"/>
          <w:szCs w:val="24"/>
        </w:rPr>
      </w:pPr>
      <w:r w:rsidRPr="00E8758F">
        <w:rPr>
          <w:rFonts w:ascii="Arial" w:hAnsi="Arial" w:cs="Arial"/>
          <w:sz w:val="24"/>
          <w:szCs w:val="24"/>
        </w:rPr>
        <w:t xml:space="preserve">The Royal Commission recommended </w:t>
      </w:r>
      <w:r>
        <w:rPr>
          <w:rFonts w:ascii="Arial" w:hAnsi="Arial" w:cs="Arial"/>
          <w:sz w:val="24"/>
          <w:szCs w:val="24"/>
        </w:rPr>
        <w:t xml:space="preserve">in its Final Report </w:t>
      </w:r>
      <w:r w:rsidRPr="00E8758F">
        <w:rPr>
          <w:rFonts w:ascii="Arial" w:hAnsi="Arial" w:cs="Arial"/>
          <w:sz w:val="24"/>
          <w:szCs w:val="24"/>
        </w:rPr>
        <w:t xml:space="preserve">that a new </w:t>
      </w:r>
      <w:r>
        <w:rPr>
          <w:rFonts w:ascii="Arial" w:hAnsi="Arial" w:cs="Arial"/>
          <w:sz w:val="24"/>
          <w:szCs w:val="24"/>
        </w:rPr>
        <w:t>A</w:t>
      </w:r>
      <w:r w:rsidRPr="00E8758F">
        <w:rPr>
          <w:rFonts w:ascii="Arial" w:hAnsi="Arial" w:cs="Arial"/>
          <w:sz w:val="24"/>
          <w:szCs w:val="24"/>
        </w:rPr>
        <w:t xml:space="preserve">ged </w:t>
      </w:r>
      <w:r>
        <w:rPr>
          <w:rFonts w:ascii="Arial" w:hAnsi="Arial" w:cs="Arial"/>
          <w:sz w:val="24"/>
          <w:szCs w:val="24"/>
        </w:rPr>
        <w:t>C</w:t>
      </w:r>
      <w:r w:rsidRPr="00E8758F">
        <w:rPr>
          <w:rFonts w:ascii="Arial" w:hAnsi="Arial" w:cs="Arial"/>
          <w:sz w:val="24"/>
          <w:szCs w:val="24"/>
        </w:rPr>
        <w:t xml:space="preserve">are </w:t>
      </w:r>
      <w:r>
        <w:rPr>
          <w:rFonts w:ascii="Arial" w:hAnsi="Arial" w:cs="Arial"/>
          <w:sz w:val="24"/>
          <w:szCs w:val="24"/>
        </w:rPr>
        <w:t xml:space="preserve">Safety and Quality Authority </w:t>
      </w:r>
      <w:r w:rsidRPr="00E8758F">
        <w:rPr>
          <w:rFonts w:ascii="Arial" w:hAnsi="Arial" w:cs="Arial"/>
          <w:sz w:val="24"/>
          <w:szCs w:val="24"/>
        </w:rPr>
        <w:t>be established in place of the Commission</w:t>
      </w:r>
      <w:r>
        <w:rPr>
          <w:rFonts w:ascii="Arial" w:hAnsi="Arial" w:cs="Arial"/>
          <w:sz w:val="24"/>
          <w:szCs w:val="24"/>
        </w:rPr>
        <w:t xml:space="preserve">. </w:t>
      </w:r>
      <w:r w:rsidRPr="00E8758F">
        <w:rPr>
          <w:rFonts w:ascii="Arial" w:hAnsi="Arial" w:cs="Arial"/>
          <w:sz w:val="24"/>
          <w:szCs w:val="24"/>
        </w:rPr>
        <w:t>The former Government accepted this recommendation</w:t>
      </w:r>
      <w:r>
        <w:rPr>
          <w:rFonts w:ascii="Arial" w:hAnsi="Arial" w:cs="Arial"/>
          <w:sz w:val="24"/>
          <w:szCs w:val="24"/>
        </w:rPr>
        <w:t>, noting that this should be informed by the outcomes of this Review</w:t>
      </w:r>
      <w:r w:rsidRPr="00E8758F">
        <w:rPr>
          <w:rFonts w:ascii="Arial" w:hAnsi="Arial" w:cs="Arial"/>
          <w:sz w:val="24"/>
          <w:szCs w:val="24"/>
        </w:rPr>
        <w:t>.</w:t>
      </w:r>
    </w:p>
    <w:p w14:paraId="4AF58E41" w14:textId="37CB7FB0" w:rsidR="00230967" w:rsidRDefault="00230967" w:rsidP="00230967">
      <w:pPr>
        <w:spacing w:before="120" w:after="120"/>
        <w:rPr>
          <w:rFonts w:ascii="Arial" w:hAnsi="Arial" w:cs="Arial"/>
          <w:sz w:val="24"/>
          <w:szCs w:val="24"/>
        </w:rPr>
      </w:pPr>
      <w:r w:rsidRPr="00E8758F">
        <w:rPr>
          <w:rFonts w:ascii="Arial" w:hAnsi="Arial" w:cs="Arial"/>
          <w:sz w:val="24"/>
          <w:szCs w:val="24"/>
        </w:rPr>
        <w:t xml:space="preserve">There are strong arguments however, to more effectively and efficiently achieve the objectives </w:t>
      </w:r>
      <w:r>
        <w:rPr>
          <w:rFonts w:ascii="Arial" w:hAnsi="Arial" w:cs="Arial"/>
          <w:sz w:val="24"/>
          <w:szCs w:val="24"/>
        </w:rPr>
        <w:t xml:space="preserve">expressed </w:t>
      </w:r>
      <w:r w:rsidR="003D44CB">
        <w:rPr>
          <w:rFonts w:ascii="Arial" w:hAnsi="Arial" w:cs="Arial"/>
          <w:sz w:val="24"/>
          <w:szCs w:val="24"/>
        </w:rPr>
        <w:t xml:space="preserve">by </w:t>
      </w:r>
      <w:r>
        <w:rPr>
          <w:rFonts w:ascii="Arial" w:hAnsi="Arial" w:cs="Arial"/>
          <w:sz w:val="24"/>
          <w:szCs w:val="24"/>
        </w:rPr>
        <w:t xml:space="preserve">the Royal Commission </w:t>
      </w:r>
      <w:r w:rsidRPr="00E8758F">
        <w:rPr>
          <w:rFonts w:ascii="Arial" w:hAnsi="Arial" w:cs="Arial"/>
          <w:sz w:val="24"/>
          <w:szCs w:val="24"/>
        </w:rPr>
        <w:t xml:space="preserve">by retaining the current Commission. This approach involves a less disruptive and more </w:t>
      </w:r>
      <w:r>
        <w:rPr>
          <w:rFonts w:ascii="Arial" w:hAnsi="Arial" w:cs="Arial"/>
          <w:sz w:val="24"/>
          <w:szCs w:val="24"/>
        </w:rPr>
        <w:t xml:space="preserve">efficient </w:t>
      </w:r>
      <w:r w:rsidRPr="00E8758F">
        <w:rPr>
          <w:rFonts w:ascii="Arial" w:hAnsi="Arial" w:cs="Arial"/>
          <w:sz w:val="24"/>
          <w:szCs w:val="24"/>
        </w:rPr>
        <w:t>and cost-effective approach by building on the strengths of the current Commission and the work already underway to achieve modern, world class regulation.</w:t>
      </w:r>
    </w:p>
    <w:p w14:paraId="495F3326" w14:textId="5A80DE39" w:rsidR="00230967" w:rsidRDefault="00230967" w:rsidP="00230967">
      <w:pPr>
        <w:spacing w:before="120" w:after="120"/>
        <w:rPr>
          <w:rFonts w:ascii="Arial" w:eastAsia="Times New Roman" w:hAnsi="Arial" w:cs="Arial"/>
          <w:sz w:val="24"/>
          <w:szCs w:val="24"/>
        </w:rPr>
      </w:pPr>
      <w:r>
        <w:rPr>
          <w:rFonts w:ascii="Arial" w:eastAsia="Times New Roman" w:hAnsi="Arial" w:cs="Arial"/>
          <w:sz w:val="24"/>
          <w:szCs w:val="24"/>
        </w:rPr>
        <w:t>T</w:t>
      </w:r>
      <w:r w:rsidRPr="007A3EDA">
        <w:rPr>
          <w:rFonts w:ascii="Arial" w:eastAsia="Times New Roman" w:hAnsi="Arial" w:cs="Arial"/>
          <w:sz w:val="24"/>
          <w:szCs w:val="24"/>
        </w:rPr>
        <w:t xml:space="preserve">herefore, I am not convinced that the creation of a new Authority and Board is either necessary or advisable at this time. What is more critical is to </w:t>
      </w:r>
      <w:r>
        <w:rPr>
          <w:rFonts w:ascii="Arial" w:eastAsia="Times New Roman" w:hAnsi="Arial" w:cs="Arial"/>
          <w:sz w:val="24"/>
          <w:szCs w:val="24"/>
        </w:rPr>
        <w:t xml:space="preserve">successfully </w:t>
      </w:r>
      <w:r w:rsidRPr="007A3EDA">
        <w:rPr>
          <w:rFonts w:ascii="Arial" w:eastAsia="Times New Roman" w:hAnsi="Arial" w:cs="Arial"/>
          <w:sz w:val="24"/>
          <w:szCs w:val="24"/>
        </w:rPr>
        <w:t>implement the</w:t>
      </w:r>
      <w:r>
        <w:rPr>
          <w:rFonts w:ascii="Arial" w:eastAsia="Times New Roman" w:hAnsi="Arial" w:cs="Arial"/>
          <w:sz w:val="24"/>
          <w:szCs w:val="24"/>
        </w:rPr>
        <w:t xml:space="preserve"> changes I have proposed.</w:t>
      </w:r>
    </w:p>
    <w:p w14:paraId="643A02FB" w14:textId="14DAAD74" w:rsidR="00230967" w:rsidRDefault="003D44CB" w:rsidP="00230967">
      <w:pPr>
        <w:spacing w:before="120" w:after="120"/>
        <w:rPr>
          <w:rFonts w:ascii="Arial" w:hAnsi="Arial" w:cs="Arial"/>
          <w:sz w:val="24"/>
          <w:szCs w:val="24"/>
        </w:rPr>
      </w:pPr>
      <w:r>
        <w:rPr>
          <w:rFonts w:ascii="Arial" w:hAnsi="Arial" w:cs="Arial"/>
          <w:sz w:val="24"/>
          <w:szCs w:val="24"/>
        </w:rPr>
        <w:t>However, r</w:t>
      </w:r>
      <w:r w:rsidR="00230967" w:rsidRPr="00E8758F">
        <w:rPr>
          <w:rFonts w:ascii="Arial" w:hAnsi="Arial" w:cs="Arial"/>
          <w:sz w:val="24"/>
          <w:szCs w:val="24"/>
        </w:rPr>
        <w:t xml:space="preserve">etaining the current Commission </w:t>
      </w:r>
      <w:r>
        <w:rPr>
          <w:rFonts w:ascii="Arial" w:hAnsi="Arial" w:cs="Arial"/>
          <w:sz w:val="24"/>
          <w:szCs w:val="24"/>
        </w:rPr>
        <w:t>requires</w:t>
      </w:r>
      <w:r w:rsidR="00230967" w:rsidRPr="00E8758F">
        <w:rPr>
          <w:rFonts w:ascii="Arial" w:hAnsi="Arial" w:cs="Arial"/>
          <w:sz w:val="24"/>
          <w:szCs w:val="24"/>
        </w:rPr>
        <w:t xml:space="preserve"> changes to strengthen its governance</w:t>
      </w:r>
      <w:r w:rsidR="00230967">
        <w:rPr>
          <w:rFonts w:ascii="Arial" w:hAnsi="Arial" w:cs="Arial"/>
          <w:sz w:val="24"/>
          <w:szCs w:val="24"/>
        </w:rPr>
        <w:t xml:space="preserve"> </w:t>
      </w:r>
      <w:r w:rsidR="00230967" w:rsidRPr="00E8758F">
        <w:rPr>
          <w:rFonts w:ascii="Arial" w:hAnsi="Arial" w:cs="Arial"/>
          <w:sz w:val="24"/>
          <w:szCs w:val="24"/>
        </w:rPr>
        <w:t xml:space="preserve">arrangements. These include </w:t>
      </w:r>
      <w:r w:rsidR="00230967">
        <w:rPr>
          <w:rFonts w:ascii="Arial" w:hAnsi="Arial" w:cs="Arial"/>
          <w:sz w:val="24"/>
          <w:szCs w:val="24"/>
        </w:rPr>
        <w:t xml:space="preserve">substantially </w:t>
      </w:r>
      <w:r w:rsidR="00ED4144">
        <w:rPr>
          <w:rFonts w:ascii="Arial" w:hAnsi="Arial" w:cs="Arial"/>
          <w:sz w:val="24"/>
          <w:szCs w:val="24"/>
        </w:rPr>
        <w:t>strengthening</w:t>
      </w:r>
      <w:r w:rsidR="00230967" w:rsidRPr="00E8758F">
        <w:rPr>
          <w:rFonts w:ascii="Arial" w:hAnsi="Arial" w:cs="Arial"/>
          <w:sz w:val="24"/>
          <w:szCs w:val="24"/>
        </w:rPr>
        <w:t xml:space="preserve"> the </w:t>
      </w:r>
      <w:r w:rsidR="00230967">
        <w:rPr>
          <w:rFonts w:ascii="Arial" w:hAnsi="Arial" w:cs="Arial"/>
          <w:sz w:val="24"/>
          <w:szCs w:val="24"/>
        </w:rPr>
        <w:t xml:space="preserve">Aged Care Quality and Safety </w:t>
      </w:r>
      <w:r w:rsidR="00230967" w:rsidRPr="00E8758F">
        <w:rPr>
          <w:rFonts w:ascii="Arial" w:hAnsi="Arial" w:cs="Arial"/>
          <w:sz w:val="24"/>
          <w:szCs w:val="24"/>
        </w:rPr>
        <w:t>Advisory Council</w:t>
      </w:r>
      <w:r w:rsidR="00C03984">
        <w:rPr>
          <w:rFonts w:ascii="Arial" w:hAnsi="Arial" w:cs="Arial"/>
          <w:sz w:val="24"/>
          <w:szCs w:val="24"/>
        </w:rPr>
        <w:t xml:space="preserve"> (the Advisory Council)</w:t>
      </w:r>
      <w:r w:rsidR="00230967">
        <w:rPr>
          <w:rFonts w:ascii="Arial" w:hAnsi="Arial" w:cs="Arial"/>
          <w:sz w:val="24"/>
          <w:szCs w:val="24"/>
        </w:rPr>
        <w:t>, including refreshing the membership to address skills deficits and increase diversity of representation.</w:t>
      </w:r>
    </w:p>
    <w:p w14:paraId="0F65E93E" w14:textId="7F7EEA6B" w:rsidR="00230967" w:rsidRDefault="00230967" w:rsidP="0A7F04F2">
      <w:pPr>
        <w:spacing w:before="120" w:after="120"/>
        <w:rPr>
          <w:rFonts w:ascii="Arial" w:hAnsi="Arial" w:cs="Arial"/>
          <w:sz w:val="24"/>
          <w:szCs w:val="24"/>
        </w:rPr>
      </w:pPr>
      <w:r w:rsidRPr="0A7F04F2">
        <w:rPr>
          <w:rFonts w:ascii="Arial" w:hAnsi="Arial" w:cs="Arial"/>
          <w:sz w:val="24"/>
          <w:szCs w:val="24"/>
        </w:rPr>
        <w:t xml:space="preserve">I consider that the Advisory Council requires more independence and autonomy to enable proper scrutiny of the Commission, and direct engagement with the Minister. </w:t>
      </w:r>
    </w:p>
    <w:p w14:paraId="12920673" w14:textId="2E4D1C52" w:rsidR="00230967" w:rsidRDefault="00230967" w:rsidP="00230967">
      <w:pPr>
        <w:spacing w:before="120" w:after="120"/>
        <w:rPr>
          <w:rFonts w:ascii="Arial" w:eastAsia="Times New Roman" w:hAnsi="Arial" w:cs="Arial"/>
          <w:sz w:val="24"/>
          <w:szCs w:val="24"/>
        </w:rPr>
      </w:pPr>
      <w:r>
        <w:rPr>
          <w:rFonts w:ascii="Arial" w:eastAsia="Times New Roman" w:hAnsi="Arial" w:cs="Arial"/>
          <w:sz w:val="24"/>
          <w:szCs w:val="24"/>
        </w:rPr>
        <w:t xml:space="preserve">I further recommend that the </w:t>
      </w:r>
      <w:r w:rsidRPr="007A3EDA">
        <w:rPr>
          <w:rFonts w:ascii="Arial" w:eastAsia="Times New Roman" w:hAnsi="Arial" w:cs="Arial"/>
          <w:sz w:val="24"/>
          <w:szCs w:val="24"/>
        </w:rPr>
        <w:t>Insp</w:t>
      </w:r>
      <w:r>
        <w:rPr>
          <w:rFonts w:ascii="Arial" w:eastAsia="Times New Roman" w:hAnsi="Arial" w:cs="Arial"/>
          <w:sz w:val="24"/>
          <w:szCs w:val="24"/>
        </w:rPr>
        <w:t xml:space="preserve">ector-General </w:t>
      </w:r>
      <w:r w:rsidR="000F2A86">
        <w:rPr>
          <w:rFonts w:ascii="Arial" w:eastAsia="Times New Roman" w:hAnsi="Arial" w:cs="Arial"/>
          <w:sz w:val="24"/>
          <w:szCs w:val="24"/>
        </w:rPr>
        <w:t>of</w:t>
      </w:r>
      <w:r>
        <w:rPr>
          <w:rFonts w:ascii="Arial" w:eastAsia="Times New Roman" w:hAnsi="Arial" w:cs="Arial"/>
          <w:sz w:val="24"/>
          <w:szCs w:val="24"/>
        </w:rPr>
        <w:t xml:space="preserve"> Aged Care assess</w:t>
      </w:r>
      <w:r w:rsidRPr="007A3EDA">
        <w:rPr>
          <w:rFonts w:ascii="Arial" w:eastAsia="Times New Roman" w:hAnsi="Arial" w:cs="Arial"/>
          <w:sz w:val="24"/>
          <w:szCs w:val="24"/>
        </w:rPr>
        <w:t xml:space="preserve"> progress and whether more </w:t>
      </w:r>
      <w:r>
        <w:rPr>
          <w:rFonts w:ascii="Arial" w:eastAsia="Times New Roman" w:hAnsi="Arial" w:cs="Arial"/>
          <w:sz w:val="24"/>
          <w:szCs w:val="24"/>
        </w:rPr>
        <w:t xml:space="preserve">may </w:t>
      </w:r>
      <w:r w:rsidRPr="007A3EDA">
        <w:rPr>
          <w:rFonts w:ascii="Arial" w:eastAsia="Times New Roman" w:hAnsi="Arial" w:cs="Arial"/>
          <w:sz w:val="24"/>
          <w:szCs w:val="24"/>
        </w:rPr>
        <w:t>need to be done in two years</w:t>
      </w:r>
      <w:r>
        <w:rPr>
          <w:rFonts w:ascii="Arial" w:eastAsia="Times New Roman" w:hAnsi="Arial" w:cs="Arial"/>
          <w:sz w:val="24"/>
          <w:szCs w:val="24"/>
        </w:rPr>
        <w:t xml:space="preserve">, </w:t>
      </w:r>
      <w:r w:rsidRPr="007A3EDA">
        <w:rPr>
          <w:rFonts w:ascii="Arial" w:eastAsia="Times New Roman" w:hAnsi="Arial" w:cs="Arial"/>
          <w:sz w:val="24"/>
          <w:szCs w:val="24"/>
        </w:rPr>
        <w:t xml:space="preserve">including </w:t>
      </w:r>
      <w:r>
        <w:rPr>
          <w:rFonts w:ascii="Arial" w:eastAsia="Times New Roman" w:hAnsi="Arial" w:cs="Arial"/>
          <w:sz w:val="24"/>
          <w:szCs w:val="24"/>
        </w:rPr>
        <w:t xml:space="preserve">further consideration of </w:t>
      </w:r>
      <w:r w:rsidRPr="007A3EDA">
        <w:rPr>
          <w:rFonts w:ascii="Arial" w:eastAsia="Times New Roman" w:hAnsi="Arial" w:cs="Arial"/>
          <w:sz w:val="24"/>
          <w:szCs w:val="24"/>
        </w:rPr>
        <w:t xml:space="preserve">the creation of a new Authority and Board if matters are not </w:t>
      </w:r>
      <w:r>
        <w:rPr>
          <w:rFonts w:ascii="Arial" w:eastAsia="Times New Roman" w:hAnsi="Arial" w:cs="Arial"/>
          <w:sz w:val="24"/>
          <w:szCs w:val="24"/>
        </w:rPr>
        <w:t xml:space="preserve">sufficiently </w:t>
      </w:r>
      <w:r w:rsidRPr="007A3EDA">
        <w:rPr>
          <w:rFonts w:ascii="Arial" w:eastAsia="Times New Roman" w:hAnsi="Arial" w:cs="Arial"/>
          <w:sz w:val="24"/>
          <w:szCs w:val="24"/>
        </w:rPr>
        <w:t>progress</w:t>
      </w:r>
      <w:r>
        <w:rPr>
          <w:rFonts w:ascii="Arial" w:eastAsia="Times New Roman" w:hAnsi="Arial" w:cs="Arial"/>
          <w:sz w:val="24"/>
          <w:szCs w:val="24"/>
        </w:rPr>
        <w:t>ed</w:t>
      </w:r>
      <w:r w:rsidRPr="007A3EDA">
        <w:rPr>
          <w:rFonts w:ascii="Arial" w:eastAsia="Times New Roman" w:hAnsi="Arial" w:cs="Arial"/>
          <w:sz w:val="24"/>
          <w:szCs w:val="24"/>
        </w:rPr>
        <w:t>.</w:t>
      </w:r>
    </w:p>
    <w:p w14:paraId="070E164A" w14:textId="43C98FCB" w:rsidR="00230967" w:rsidRDefault="00230967" w:rsidP="00230967">
      <w:pPr>
        <w:spacing w:before="240" w:after="120"/>
      </w:pPr>
      <w:r>
        <w:rPr>
          <w:rFonts w:ascii="Arial" w:eastAsia="Times New Roman" w:hAnsi="Arial" w:cs="Arial"/>
          <w:sz w:val="24"/>
          <w:szCs w:val="24"/>
        </w:rPr>
        <w:t xml:space="preserve">A consolidated list of the report’s recommendations </w:t>
      </w:r>
      <w:r w:rsidR="005F51FB">
        <w:rPr>
          <w:rFonts w:ascii="Arial" w:eastAsia="Times New Roman" w:hAnsi="Arial" w:cs="Arial"/>
          <w:sz w:val="24"/>
          <w:szCs w:val="24"/>
        </w:rPr>
        <w:t xml:space="preserve">with </w:t>
      </w:r>
      <w:r w:rsidR="00936D9A">
        <w:rPr>
          <w:rFonts w:ascii="Arial" w:eastAsia="Times New Roman" w:hAnsi="Arial" w:cs="Arial"/>
          <w:sz w:val="24"/>
          <w:szCs w:val="24"/>
        </w:rPr>
        <w:t xml:space="preserve">timelines based on </w:t>
      </w:r>
      <w:r w:rsidR="005F51FB">
        <w:rPr>
          <w:rFonts w:ascii="Arial" w:eastAsia="Times New Roman" w:hAnsi="Arial" w:cs="Arial"/>
          <w:sz w:val="24"/>
          <w:szCs w:val="24"/>
        </w:rPr>
        <w:t>priority ratings is at Chapter 2</w:t>
      </w:r>
      <w:r>
        <w:rPr>
          <w:rFonts w:ascii="Arial" w:eastAsia="Times New Roman" w:hAnsi="Arial" w:cs="Arial"/>
          <w:sz w:val="24"/>
          <w:szCs w:val="24"/>
        </w:rPr>
        <w:t>.</w:t>
      </w:r>
    </w:p>
    <w:p w14:paraId="5FFB7849" w14:textId="4D428054" w:rsidR="003868A6" w:rsidRDefault="003868A6">
      <w:pPr>
        <w:rPr>
          <w:rFonts w:ascii="Arial" w:hAnsi="Arial" w:cs="Arial"/>
          <w:sz w:val="24"/>
          <w:szCs w:val="24"/>
        </w:rPr>
      </w:pPr>
      <w:r>
        <w:rPr>
          <w:rFonts w:ascii="Arial" w:hAnsi="Arial" w:cs="Arial"/>
          <w:sz w:val="24"/>
          <w:szCs w:val="24"/>
        </w:rPr>
        <w:br w:type="page"/>
      </w:r>
    </w:p>
    <w:p w14:paraId="1BCA888B" w14:textId="51CF0ACE" w:rsidR="0083436D" w:rsidRPr="00855A3B" w:rsidRDefault="00D2238A" w:rsidP="000E132D">
      <w:pPr>
        <w:pStyle w:val="Heading3"/>
      </w:pPr>
      <w:bookmarkStart w:id="3" w:name="_Toc131163550"/>
      <w:bookmarkEnd w:id="2"/>
      <w:r>
        <w:lastRenderedPageBreak/>
        <w:t>CHAPTER</w:t>
      </w:r>
      <w:r w:rsidR="00A43E28">
        <w:t xml:space="preserve"> </w:t>
      </w:r>
      <w:r>
        <w:t>1: INTRODUCTION</w:t>
      </w:r>
      <w:bookmarkEnd w:id="3"/>
    </w:p>
    <w:p w14:paraId="2B76DF10" w14:textId="65B6FA02" w:rsidR="00496A8A" w:rsidRDefault="00496A8A" w:rsidP="00496A8A">
      <w:pPr>
        <w:spacing w:before="120" w:line="240" w:lineRule="auto"/>
        <w:rPr>
          <w:rFonts w:ascii="Arial" w:hAnsi="Arial" w:cs="Arial"/>
          <w:sz w:val="24"/>
          <w:szCs w:val="24"/>
        </w:rPr>
      </w:pPr>
      <w:r w:rsidRPr="00496A8A">
        <w:rPr>
          <w:rFonts w:ascii="Arial" w:hAnsi="Arial" w:cs="Arial"/>
          <w:sz w:val="24"/>
          <w:szCs w:val="24"/>
        </w:rPr>
        <w:t>The capability review (</w:t>
      </w:r>
      <w:r>
        <w:rPr>
          <w:rFonts w:ascii="Arial" w:hAnsi="Arial" w:cs="Arial"/>
          <w:sz w:val="24"/>
          <w:szCs w:val="24"/>
        </w:rPr>
        <w:t>the Review) of the Aged Care Quality and Safety Commission (the Commission) responds to recommendations 10 and 104 of the Royal Commission into Aged Care Quality and Safety (the Royal Commission). Figure 1 refers.</w:t>
      </w:r>
      <w:r w:rsidR="00D20410">
        <w:rPr>
          <w:rFonts w:ascii="Arial" w:hAnsi="Arial" w:cs="Arial"/>
          <w:sz w:val="24"/>
          <w:szCs w:val="24"/>
        </w:rPr>
        <w:t xml:space="preserve"> The Royal Commission delivered its final report in February 2021.</w:t>
      </w:r>
    </w:p>
    <w:p w14:paraId="717F1077" w14:textId="4D23F1C7" w:rsidR="00496A8A" w:rsidRDefault="00496A8A" w:rsidP="00496A8A">
      <w:pPr>
        <w:spacing w:before="120" w:line="240" w:lineRule="auto"/>
        <w:rPr>
          <w:rFonts w:ascii="Arial" w:hAnsi="Arial" w:cs="Arial"/>
          <w:sz w:val="24"/>
          <w:szCs w:val="24"/>
        </w:rPr>
      </w:pPr>
      <w:r>
        <w:rPr>
          <w:rFonts w:ascii="Arial" w:hAnsi="Arial" w:cs="Arial"/>
          <w:sz w:val="24"/>
          <w:szCs w:val="24"/>
        </w:rPr>
        <w:t xml:space="preserve">The Review was announced by the Minister for Aged Care, the Hon Anika Wells MP on 28 July 2022 and commenced on </w:t>
      </w:r>
      <w:r w:rsidR="00155CBF">
        <w:rPr>
          <w:rFonts w:ascii="Arial" w:hAnsi="Arial" w:cs="Arial"/>
          <w:sz w:val="24"/>
          <w:szCs w:val="24"/>
        </w:rPr>
        <w:t>4</w:t>
      </w:r>
      <w:r>
        <w:rPr>
          <w:rFonts w:ascii="Arial" w:hAnsi="Arial" w:cs="Arial"/>
          <w:sz w:val="24"/>
          <w:szCs w:val="24"/>
        </w:rPr>
        <w:t xml:space="preserve"> October 2022.</w:t>
      </w:r>
    </w:p>
    <w:p w14:paraId="2FFAF850" w14:textId="2984C4CA" w:rsidR="00E56481" w:rsidRPr="00E56481" w:rsidRDefault="00E56481" w:rsidP="005901E3">
      <w:pPr>
        <w:keepNext/>
        <w:spacing w:before="120" w:line="240" w:lineRule="auto"/>
        <w:rPr>
          <w:rFonts w:ascii="Arial" w:hAnsi="Arial" w:cs="Arial"/>
          <w:b/>
          <w:bCs/>
          <w:sz w:val="24"/>
          <w:szCs w:val="24"/>
        </w:rPr>
      </w:pPr>
      <w:r w:rsidRPr="00E56481">
        <w:rPr>
          <w:rFonts w:ascii="Arial" w:hAnsi="Arial" w:cs="Arial"/>
          <w:b/>
          <w:bCs/>
          <w:sz w:val="24"/>
          <w:szCs w:val="24"/>
        </w:rPr>
        <w:t>Figure 1: Royal Commission recommendations 10 and 104</w:t>
      </w:r>
    </w:p>
    <w:tbl>
      <w:tblPr>
        <w:tblW w:w="0" w:type="auto"/>
        <w:tblCellMar>
          <w:left w:w="0" w:type="dxa"/>
          <w:right w:w="0" w:type="dxa"/>
        </w:tblCellMar>
        <w:tblLook w:val="04A0" w:firstRow="1" w:lastRow="0" w:firstColumn="1" w:lastColumn="0" w:noHBand="0" w:noVBand="1"/>
        <w:tblDescription w:val="Table is made of two coloumns. The first column is the recommendations with the second the Government response"/>
      </w:tblPr>
      <w:tblGrid>
        <w:gridCol w:w="9006"/>
      </w:tblGrid>
      <w:tr w:rsidR="00E56481" w14:paraId="0B8F6E01" w14:textId="77777777" w:rsidTr="00E56481">
        <w:tc>
          <w:tcPr>
            <w:tcW w:w="90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6AA51D1" w14:textId="77777777" w:rsidR="00E56481" w:rsidRPr="00496A8A" w:rsidRDefault="00E56481">
            <w:pPr>
              <w:pStyle w:val="Recommendationheading"/>
              <w:spacing w:line="252" w:lineRule="auto"/>
              <w:rPr>
                <w:rFonts w:ascii="Arial" w:hAnsi="Arial" w:cs="Arial"/>
                <w:lang w:val="en-US"/>
              </w:rPr>
            </w:pPr>
            <w:bookmarkStart w:id="4" w:name="_Toc71214547"/>
            <w:r w:rsidRPr="00496A8A">
              <w:rPr>
                <w:rFonts w:ascii="Arial" w:hAnsi="Arial" w:cs="Arial"/>
                <w:lang w:val="en-US"/>
              </w:rPr>
              <w:t>Recommendation 10: Aged Care Safety and Quality Authority (Commissioner Briggs)</w:t>
            </w:r>
            <w:bookmarkEnd w:id="4"/>
          </w:p>
          <w:p w14:paraId="6F11988A" w14:textId="77777777" w:rsidR="00E56481" w:rsidRPr="00496A8A" w:rsidRDefault="00E56481" w:rsidP="001750D5">
            <w:pPr>
              <w:pStyle w:val="ListParagraph"/>
              <w:numPr>
                <w:ilvl w:val="0"/>
                <w:numId w:val="100"/>
              </w:numPr>
              <w:spacing w:after="0" w:line="240" w:lineRule="auto"/>
              <w:rPr>
                <w:rFonts w:ascii="Arial" w:hAnsi="Arial" w:cs="Arial"/>
                <w:sz w:val="20"/>
                <w:szCs w:val="20"/>
              </w:rPr>
            </w:pPr>
            <w:r w:rsidRPr="00496A8A">
              <w:rPr>
                <w:rFonts w:ascii="Arial" w:hAnsi="Arial" w:cs="Arial"/>
                <w:sz w:val="20"/>
                <w:szCs w:val="20"/>
              </w:rPr>
              <w:t xml:space="preserve">The Aged Care Quality and Safety Commission should be abolished by 1 July 2022 and replaced by an independent Aged Care Safety and Quality Authority, overseen by a board made up of up to five members, with a Chief Executive Officer responsible to the Authority. </w:t>
            </w:r>
          </w:p>
          <w:p w14:paraId="1115C944" w14:textId="77777777" w:rsidR="00E56481" w:rsidRPr="00496A8A" w:rsidRDefault="00E56481" w:rsidP="001750D5">
            <w:pPr>
              <w:pStyle w:val="ListParagraph"/>
              <w:numPr>
                <w:ilvl w:val="0"/>
                <w:numId w:val="100"/>
              </w:numPr>
              <w:spacing w:after="0" w:line="240" w:lineRule="auto"/>
              <w:rPr>
                <w:rFonts w:ascii="Arial" w:hAnsi="Arial" w:cs="Arial"/>
                <w:sz w:val="20"/>
                <w:szCs w:val="20"/>
              </w:rPr>
            </w:pPr>
            <w:r w:rsidRPr="00496A8A">
              <w:rPr>
                <w:rFonts w:ascii="Arial" w:hAnsi="Arial" w:cs="Arial"/>
                <w:sz w:val="20"/>
                <w:szCs w:val="20"/>
              </w:rPr>
              <w:t xml:space="preserve">The Authority should have the overarching purpose of safeguarding the quality and safety of aged care through enforcing compliance with the Act and Standards. In carrying out this purpose, the Authority should actively engage with older people and their families and carers to ensure that their views are incorporated in the Authority’s compliance and </w:t>
            </w:r>
            <w:proofErr w:type="gramStart"/>
            <w:r w:rsidRPr="00496A8A">
              <w:rPr>
                <w:rFonts w:ascii="Arial" w:hAnsi="Arial" w:cs="Arial"/>
                <w:sz w:val="20"/>
                <w:szCs w:val="20"/>
              </w:rPr>
              <w:t>decision-making, and</w:t>
            </w:r>
            <w:proofErr w:type="gramEnd"/>
            <w:r w:rsidRPr="00496A8A">
              <w:rPr>
                <w:rFonts w:ascii="Arial" w:hAnsi="Arial" w:cs="Arial"/>
                <w:sz w:val="20"/>
                <w:szCs w:val="20"/>
              </w:rPr>
              <w:t xml:space="preserve"> are kept informed of the outcome of regulatory activities. </w:t>
            </w:r>
          </w:p>
          <w:p w14:paraId="0BD6F52C" w14:textId="77777777" w:rsidR="00E56481" w:rsidRPr="00496A8A" w:rsidRDefault="00E56481" w:rsidP="001750D5">
            <w:pPr>
              <w:pStyle w:val="ListParagraph"/>
              <w:numPr>
                <w:ilvl w:val="0"/>
                <w:numId w:val="100"/>
              </w:numPr>
              <w:spacing w:after="0" w:line="240" w:lineRule="auto"/>
              <w:rPr>
                <w:rFonts w:ascii="Arial" w:hAnsi="Arial" w:cs="Arial"/>
                <w:sz w:val="20"/>
                <w:szCs w:val="20"/>
              </w:rPr>
            </w:pPr>
            <w:r w:rsidRPr="00496A8A">
              <w:rPr>
                <w:rFonts w:ascii="Arial" w:hAnsi="Arial" w:cs="Arial"/>
                <w:sz w:val="20"/>
                <w:szCs w:val="20"/>
              </w:rPr>
              <w:t xml:space="preserve">The functions of the Authority are to: </w:t>
            </w:r>
          </w:p>
          <w:p w14:paraId="508846B1" w14:textId="77777777" w:rsidR="00E56481" w:rsidRPr="00496A8A" w:rsidRDefault="00E56481" w:rsidP="001750D5">
            <w:pPr>
              <w:pStyle w:val="ListParagraph"/>
              <w:numPr>
                <w:ilvl w:val="1"/>
                <w:numId w:val="100"/>
              </w:numPr>
              <w:spacing w:after="0" w:line="240" w:lineRule="auto"/>
              <w:rPr>
                <w:rFonts w:ascii="Arial" w:hAnsi="Arial" w:cs="Arial"/>
                <w:sz w:val="20"/>
                <w:szCs w:val="20"/>
              </w:rPr>
            </w:pPr>
            <w:r w:rsidRPr="00496A8A">
              <w:rPr>
                <w:rFonts w:ascii="Arial" w:hAnsi="Arial" w:cs="Arial"/>
                <w:sz w:val="20"/>
                <w:szCs w:val="20"/>
              </w:rPr>
              <w:t xml:space="preserve">approve and accredit providers </w:t>
            </w:r>
          </w:p>
          <w:p w14:paraId="170CC680" w14:textId="77777777" w:rsidR="00E56481" w:rsidRPr="00496A8A" w:rsidRDefault="00E56481" w:rsidP="001750D5">
            <w:pPr>
              <w:pStyle w:val="ListParagraph"/>
              <w:numPr>
                <w:ilvl w:val="1"/>
                <w:numId w:val="100"/>
              </w:numPr>
              <w:spacing w:after="0" w:line="240" w:lineRule="auto"/>
              <w:rPr>
                <w:rFonts w:ascii="Arial" w:hAnsi="Arial" w:cs="Arial"/>
                <w:sz w:val="20"/>
                <w:szCs w:val="20"/>
              </w:rPr>
            </w:pPr>
            <w:r w:rsidRPr="00496A8A">
              <w:rPr>
                <w:rFonts w:ascii="Arial" w:hAnsi="Arial" w:cs="Arial"/>
                <w:sz w:val="20"/>
                <w:szCs w:val="20"/>
              </w:rPr>
              <w:t xml:space="preserve"> monitor and assess compliance with the quality and safety obligations required of providers under the new Aged Care Act </w:t>
            </w:r>
          </w:p>
          <w:p w14:paraId="6027D9F1" w14:textId="77777777" w:rsidR="00E56481" w:rsidRPr="00496A8A" w:rsidRDefault="00E56481" w:rsidP="001750D5">
            <w:pPr>
              <w:pStyle w:val="ListParagraph"/>
              <w:numPr>
                <w:ilvl w:val="1"/>
                <w:numId w:val="100"/>
              </w:numPr>
              <w:spacing w:after="0" w:line="240" w:lineRule="auto"/>
              <w:rPr>
                <w:rFonts w:ascii="Arial" w:hAnsi="Arial" w:cs="Arial"/>
                <w:sz w:val="20"/>
                <w:szCs w:val="20"/>
              </w:rPr>
            </w:pPr>
            <w:r w:rsidRPr="00496A8A">
              <w:rPr>
                <w:rFonts w:ascii="Arial" w:hAnsi="Arial" w:cs="Arial"/>
                <w:sz w:val="20"/>
                <w:szCs w:val="20"/>
              </w:rPr>
              <w:t xml:space="preserve">address non-compliance with quality and safety obligations by taking enforcement action including: </w:t>
            </w:r>
          </w:p>
          <w:p w14:paraId="73E0CA4A" w14:textId="77777777" w:rsidR="00E56481" w:rsidRPr="00496A8A" w:rsidRDefault="00E56481" w:rsidP="001750D5">
            <w:pPr>
              <w:pStyle w:val="ListParagraph"/>
              <w:numPr>
                <w:ilvl w:val="2"/>
                <w:numId w:val="100"/>
              </w:numPr>
              <w:spacing w:after="0" w:line="240" w:lineRule="auto"/>
              <w:rPr>
                <w:rFonts w:ascii="Arial" w:hAnsi="Arial" w:cs="Arial"/>
                <w:sz w:val="20"/>
                <w:szCs w:val="20"/>
              </w:rPr>
            </w:pPr>
            <w:r w:rsidRPr="00496A8A">
              <w:rPr>
                <w:rFonts w:ascii="Arial" w:hAnsi="Arial" w:cs="Arial"/>
                <w:sz w:val="20"/>
                <w:szCs w:val="20"/>
              </w:rPr>
              <w:t xml:space="preserve">enforceable undertakings </w:t>
            </w:r>
          </w:p>
          <w:p w14:paraId="11BD6DA0" w14:textId="77777777" w:rsidR="00E56481" w:rsidRPr="00496A8A" w:rsidRDefault="00E56481" w:rsidP="001750D5">
            <w:pPr>
              <w:pStyle w:val="ListParagraph"/>
              <w:numPr>
                <w:ilvl w:val="2"/>
                <w:numId w:val="100"/>
              </w:numPr>
              <w:spacing w:after="0" w:line="240" w:lineRule="auto"/>
              <w:rPr>
                <w:rFonts w:ascii="Arial" w:eastAsia="Times New Roman" w:hAnsi="Arial" w:cs="Arial"/>
                <w:sz w:val="20"/>
                <w:szCs w:val="20"/>
              </w:rPr>
            </w:pPr>
            <w:r w:rsidRPr="00496A8A">
              <w:rPr>
                <w:rFonts w:ascii="Arial" w:hAnsi="Arial" w:cs="Arial"/>
                <w:sz w:val="20"/>
                <w:szCs w:val="20"/>
              </w:rPr>
              <w:t xml:space="preserve">directions </w:t>
            </w:r>
          </w:p>
          <w:p w14:paraId="2B23469A" w14:textId="77777777" w:rsidR="00E56481" w:rsidRPr="00496A8A" w:rsidRDefault="00E56481" w:rsidP="001750D5">
            <w:pPr>
              <w:pStyle w:val="ListParagraph"/>
              <w:numPr>
                <w:ilvl w:val="2"/>
                <w:numId w:val="100"/>
              </w:numPr>
              <w:spacing w:after="0" w:line="240" w:lineRule="auto"/>
              <w:rPr>
                <w:rFonts w:ascii="Arial" w:hAnsi="Arial" w:cs="Arial"/>
                <w:sz w:val="20"/>
                <w:szCs w:val="20"/>
              </w:rPr>
            </w:pPr>
            <w:r w:rsidRPr="00496A8A">
              <w:rPr>
                <w:rFonts w:ascii="Arial" w:hAnsi="Arial" w:cs="Arial"/>
                <w:sz w:val="20"/>
                <w:szCs w:val="20"/>
              </w:rPr>
              <w:t xml:space="preserve">civil penalties on directors </w:t>
            </w:r>
          </w:p>
          <w:p w14:paraId="0358539F" w14:textId="77777777" w:rsidR="00E56481" w:rsidRPr="00496A8A" w:rsidRDefault="00E56481" w:rsidP="001750D5">
            <w:pPr>
              <w:pStyle w:val="ListParagraph"/>
              <w:numPr>
                <w:ilvl w:val="2"/>
                <w:numId w:val="100"/>
              </w:numPr>
              <w:spacing w:after="0" w:line="240" w:lineRule="auto"/>
              <w:rPr>
                <w:rFonts w:ascii="Arial" w:hAnsi="Arial" w:cs="Arial"/>
                <w:sz w:val="20"/>
                <w:szCs w:val="20"/>
              </w:rPr>
            </w:pPr>
            <w:r w:rsidRPr="00496A8A">
              <w:rPr>
                <w:rFonts w:ascii="Arial" w:hAnsi="Arial" w:cs="Arial"/>
                <w:sz w:val="20"/>
                <w:szCs w:val="20"/>
              </w:rPr>
              <w:t xml:space="preserve">amending approval or accreditation conditions </w:t>
            </w:r>
          </w:p>
          <w:p w14:paraId="6E8CADC9" w14:textId="77777777" w:rsidR="00E56481" w:rsidRPr="00496A8A" w:rsidRDefault="00E56481" w:rsidP="001750D5">
            <w:pPr>
              <w:pStyle w:val="ListParagraph"/>
              <w:numPr>
                <w:ilvl w:val="2"/>
                <w:numId w:val="100"/>
              </w:numPr>
              <w:spacing w:after="0" w:line="240" w:lineRule="auto"/>
              <w:rPr>
                <w:rFonts w:ascii="Arial" w:hAnsi="Arial" w:cs="Arial"/>
                <w:sz w:val="20"/>
                <w:szCs w:val="20"/>
              </w:rPr>
            </w:pPr>
            <w:r w:rsidRPr="00496A8A">
              <w:rPr>
                <w:rFonts w:ascii="Arial" w:hAnsi="Arial" w:cs="Arial"/>
                <w:sz w:val="20"/>
                <w:szCs w:val="20"/>
              </w:rPr>
              <w:t xml:space="preserve">appointing an administrator to assume responsibility for the conduct of a service </w:t>
            </w:r>
          </w:p>
          <w:p w14:paraId="25F3EC9C" w14:textId="77777777" w:rsidR="00E56481" w:rsidRPr="00496A8A" w:rsidRDefault="00E56481" w:rsidP="001750D5">
            <w:pPr>
              <w:pStyle w:val="ListParagraph"/>
              <w:numPr>
                <w:ilvl w:val="2"/>
                <w:numId w:val="100"/>
              </w:numPr>
              <w:spacing w:after="0" w:line="240" w:lineRule="auto"/>
              <w:rPr>
                <w:rFonts w:ascii="Arial" w:hAnsi="Arial" w:cs="Arial"/>
                <w:sz w:val="20"/>
                <w:szCs w:val="20"/>
              </w:rPr>
            </w:pPr>
            <w:r w:rsidRPr="00496A8A">
              <w:rPr>
                <w:rFonts w:ascii="Arial" w:hAnsi="Arial" w:cs="Arial"/>
                <w:sz w:val="20"/>
                <w:szCs w:val="20"/>
              </w:rPr>
              <w:t>revocation of approval as an approved provider or withdrawal of accreditation of a service</w:t>
            </w:r>
          </w:p>
          <w:p w14:paraId="19C8E86D" w14:textId="77777777" w:rsidR="00E56481" w:rsidRPr="00496A8A" w:rsidRDefault="00E56481" w:rsidP="001750D5">
            <w:pPr>
              <w:pStyle w:val="ListParagraph"/>
              <w:numPr>
                <w:ilvl w:val="1"/>
                <w:numId w:val="100"/>
              </w:numPr>
              <w:spacing w:after="0" w:line="240" w:lineRule="auto"/>
              <w:rPr>
                <w:rFonts w:ascii="Arial" w:hAnsi="Arial" w:cs="Arial"/>
                <w:sz w:val="20"/>
                <w:szCs w:val="20"/>
              </w:rPr>
            </w:pPr>
            <w:r w:rsidRPr="00496A8A">
              <w:rPr>
                <w:rFonts w:ascii="Arial" w:hAnsi="Arial" w:cs="Arial"/>
                <w:sz w:val="20"/>
                <w:szCs w:val="20"/>
              </w:rPr>
              <w:t>investigate and respond to complaints about the aged care system</w:t>
            </w:r>
          </w:p>
          <w:p w14:paraId="4B896993" w14:textId="77777777" w:rsidR="00E56481" w:rsidRPr="00496A8A" w:rsidRDefault="00E56481" w:rsidP="001750D5">
            <w:pPr>
              <w:pStyle w:val="ListParagraph"/>
              <w:numPr>
                <w:ilvl w:val="1"/>
                <w:numId w:val="100"/>
              </w:numPr>
              <w:spacing w:after="0" w:line="240" w:lineRule="auto"/>
              <w:rPr>
                <w:rFonts w:ascii="Arial" w:hAnsi="Arial" w:cs="Arial"/>
                <w:sz w:val="20"/>
                <w:szCs w:val="20"/>
              </w:rPr>
            </w:pPr>
            <w:r w:rsidRPr="00496A8A">
              <w:rPr>
                <w:rFonts w:ascii="Arial" w:hAnsi="Arial" w:cs="Arial"/>
                <w:sz w:val="20"/>
                <w:szCs w:val="20"/>
              </w:rPr>
              <w:t xml:space="preserve">provide timely and accurate data as specified by the Department for inclusion in the national information service, including information on compliance and accreditation activities, serious incident reporting and complaints by provider and service </w:t>
            </w:r>
          </w:p>
          <w:p w14:paraId="71A40D48" w14:textId="77777777" w:rsidR="00E56481" w:rsidRPr="00496A8A" w:rsidRDefault="00E56481" w:rsidP="001750D5">
            <w:pPr>
              <w:pStyle w:val="ListParagraph"/>
              <w:numPr>
                <w:ilvl w:val="1"/>
                <w:numId w:val="100"/>
              </w:numPr>
              <w:spacing w:after="0" w:line="240" w:lineRule="auto"/>
              <w:rPr>
                <w:rFonts w:ascii="Arial" w:hAnsi="Arial" w:cs="Arial"/>
                <w:sz w:val="20"/>
                <w:szCs w:val="20"/>
              </w:rPr>
            </w:pPr>
            <w:r w:rsidRPr="00496A8A">
              <w:rPr>
                <w:rFonts w:ascii="Arial" w:hAnsi="Arial" w:cs="Arial"/>
                <w:sz w:val="20"/>
                <w:szCs w:val="20"/>
              </w:rPr>
              <w:t xml:space="preserve">publish information on the outcomes of regulatory actions, including information on system-wide regulatory activity and outcomes, and publication of enforcement action taken against individual providers </w:t>
            </w:r>
          </w:p>
          <w:p w14:paraId="3D9E7E0A" w14:textId="77777777" w:rsidR="00E56481" w:rsidRPr="00496A8A" w:rsidRDefault="00E56481" w:rsidP="001750D5">
            <w:pPr>
              <w:pStyle w:val="ListParagraph"/>
              <w:numPr>
                <w:ilvl w:val="1"/>
                <w:numId w:val="100"/>
              </w:numPr>
              <w:spacing w:after="0" w:line="240" w:lineRule="auto"/>
              <w:rPr>
                <w:rFonts w:ascii="Arial" w:hAnsi="Arial" w:cs="Arial"/>
                <w:sz w:val="20"/>
                <w:szCs w:val="20"/>
              </w:rPr>
            </w:pPr>
            <w:r w:rsidRPr="00496A8A">
              <w:rPr>
                <w:rFonts w:ascii="Arial" w:hAnsi="Arial" w:cs="Arial"/>
                <w:sz w:val="20"/>
                <w:szCs w:val="20"/>
              </w:rPr>
              <w:t xml:space="preserve">do anything incidental or conducive to the performance of any of the above functions. </w:t>
            </w:r>
          </w:p>
          <w:p w14:paraId="04561B48" w14:textId="77777777" w:rsidR="00E56481" w:rsidRPr="00496A8A" w:rsidRDefault="00E56481" w:rsidP="001750D5">
            <w:pPr>
              <w:pStyle w:val="ListParagraph"/>
              <w:numPr>
                <w:ilvl w:val="0"/>
                <w:numId w:val="100"/>
              </w:numPr>
              <w:spacing w:after="0" w:line="240" w:lineRule="auto"/>
              <w:rPr>
                <w:rFonts w:ascii="Arial" w:hAnsi="Arial" w:cs="Arial"/>
                <w:sz w:val="20"/>
                <w:szCs w:val="20"/>
              </w:rPr>
            </w:pPr>
            <w:r w:rsidRPr="00496A8A">
              <w:rPr>
                <w:rFonts w:ascii="Arial" w:hAnsi="Arial" w:cs="Arial"/>
                <w:sz w:val="20"/>
                <w:szCs w:val="20"/>
              </w:rPr>
              <w:t xml:space="preserve">The Authority should be fully funded from Budget appropriations. </w:t>
            </w:r>
          </w:p>
          <w:p w14:paraId="3DE84585" w14:textId="6A3208D8" w:rsidR="00E56481" w:rsidRPr="00496A8A" w:rsidRDefault="00E56481" w:rsidP="001750D5">
            <w:pPr>
              <w:pStyle w:val="ListParagraph"/>
              <w:numPr>
                <w:ilvl w:val="0"/>
                <w:numId w:val="100"/>
              </w:numPr>
              <w:spacing w:after="0" w:line="240" w:lineRule="auto"/>
              <w:rPr>
                <w:rFonts w:ascii="Arial" w:hAnsi="Arial" w:cs="Arial"/>
                <w:sz w:val="20"/>
                <w:szCs w:val="20"/>
              </w:rPr>
            </w:pPr>
            <w:r w:rsidRPr="00496A8A">
              <w:rPr>
                <w:rFonts w:ascii="Arial" w:hAnsi="Arial" w:cs="Arial"/>
                <w:sz w:val="20"/>
                <w:szCs w:val="20"/>
              </w:rPr>
              <w:t xml:space="preserve">The Authority’s staff will be employed under the </w:t>
            </w:r>
            <w:r w:rsidRPr="00496A8A">
              <w:rPr>
                <w:rFonts w:ascii="Arial" w:hAnsi="Arial" w:cs="Arial"/>
                <w:i/>
                <w:iCs/>
                <w:sz w:val="20"/>
                <w:szCs w:val="20"/>
              </w:rPr>
              <w:t>Public Service Act 1999</w:t>
            </w:r>
            <w:r w:rsidRPr="00496A8A">
              <w:rPr>
                <w:rFonts w:ascii="Arial" w:hAnsi="Arial" w:cs="Arial"/>
                <w:sz w:val="20"/>
                <w:szCs w:val="20"/>
              </w:rPr>
              <w:t xml:space="preserve"> (</w:t>
            </w:r>
            <w:proofErr w:type="spellStart"/>
            <w:r w:rsidRPr="00496A8A">
              <w:rPr>
                <w:rFonts w:ascii="Arial" w:hAnsi="Arial" w:cs="Arial"/>
                <w:sz w:val="20"/>
                <w:szCs w:val="20"/>
              </w:rPr>
              <w:t>Cth</w:t>
            </w:r>
            <w:proofErr w:type="spellEnd"/>
            <w:r w:rsidRPr="00496A8A">
              <w:rPr>
                <w:rFonts w:ascii="Arial" w:hAnsi="Arial" w:cs="Arial"/>
                <w:sz w:val="20"/>
                <w:szCs w:val="20"/>
              </w:rPr>
              <w:t>). The Authority should ensure that it maintains an appropriate regulatory capability, including regulatory and investigatory skills, clinical skills, assessment skills, and enforcement skills.</w:t>
            </w:r>
          </w:p>
          <w:p w14:paraId="17360B91" w14:textId="77777777" w:rsidR="00E56481" w:rsidRPr="00496A8A" w:rsidRDefault="00E56481" w:rsidP="00E56481">
            <w:pPr>
              <w:pStyle w:val="Recommendationheading"/>
              <w:spacing w:line="252" w:lineRule="auto"/>
              <w:rPr>
                <w:rFonts w:ascii="Arial" w:hAnsi="Arial" w:cs="Arial"/>
                <w:lang w:val="en-US"/>
              </w:rPr>
            </w:pPr>
            <w:r w:rsidRPr="00496A8A">
              <w:rPr>
                <w:rFonts w:ascii="Arial" w:hAnsi="Arial" w:cs="Arial"/>
                <w:lang w:val="en-US"/>
              </w:rPr>
              <w:t xml:space="preserve">Recommendation 104: </w:t>
            </w:r>
          </w:p>
          <w:p w14:paraId="75F7C1B9" w14:textId="77777777" w:rsidR="00E56481" w:rsidRPr="00496A8A" w:rsidRDefault="00E56481" w:rsidP="001750D5">
            <w:pPr>
              <w:pStyle w:val="Recommendationheading"/>
              <w:numPr>
                <w:ilvl w:val="0"/>
                <w:numId w:val="101"/>
              </w:numPr>
              <w:rPr>
                <w:rFonts w:ascii="Arial" w:hAnsi="Arial" w:cs="Arial"/>
                <w:b w:val="0"/>
                <w:bCs w:val="0"/>
                <w:color w:val="000000" w:themeColor="text1"/>
                <w:lang w:val="en-US"/>
              </w:rPr>
            </w:pPr>
            <w:r w:rsidRPr="00496A8A">
              <w:rPr>
                <w:rFonts w:ascii="Arial" w:hAnsi="Arial" w:cs="Arial"/>
                <w:b w:val="0"/>
                <w:bCs w:val="0"/>
                <w:color w:val="000000" w:themeColor="text1"/>
                <w:lang w:val="en-US"/>
              </w:rPr>
              <w:t xml:space="preserve">By 1 May 2021, the Australian Government should commission an independent review of the capabilities of the Aged Care Quality and Safety Commission. </w:t>
            </w:r>
          </w:p>
          <w:p w14:paraId="76613DDE" w14:textId="3CCFC39A" w:rsidR="00E56481" w:rsidRDefault="00E56481" w:rsidP="001750D5">
            <w:pPr>
              <w:pStyle w:val="ListParagraph"/>
              <w:numPr>
                <w:ilvl w:val="0"/>
                <w:numId w:val="101"/>
              </w:numPr>
              <w:spacing w:after="0" w:line="240" w:lineRule="auto"/>
            </w:pPr>
            <w:r w:rsidRPr="00496A8A">
              <w:rPr>
                <w:rFonts w:ascii="Arial" w:hAnsi="Arial" w:cs="Arial"/>
                <w:color w:val="000000" w:themeColor="text1"/>
                <w:sz w:val="20"/>
                <w:szCs w:val="20"/>
                <w:lang w:val="en-US"/>
              </w:rPr>
              <w:t>By 1 January 2022, the Australian Government should implement the recommendations of the review and provide the resources identified in the review that are needed for the Quality Regulator to engage and develop a skilled and dedicated compliance and enforcement workforce, with the regulatory and investigatory skills, clinical knowledge, assessment skills, and enforcement skills required for it to meet its regulatory mandate.</w:t>
            </w:r>
          </w:p>
        </w:tc>
      </w:tr>
    </w:tbl>
    <w:p w14:paraId="17300D34" w14:textId="77777777" w:rsidR="00496A8A" w:rsidRDefault="00496A8A" w:rsidP="00496A8A">
      <w:pPr>
        <w:spacing w:after="0" w:line="240" w:lineRule="auto"/>
        <w:rPr>
          <w:rFonts w:ascii="Arial" w:hAnsi="Arial" w:cs="Arial"/>
          <w:b/>
          <w:bCs/>
          <w:sz w:val="28"/>
          <w:szCs w:val="28"/>
        </w:rPr>
      </w:pPr>
    </w:p>
    <w:p w14:paraId="196DC63C" w14:textId="4BDDCDE1" w:rsidR="00496A8A" w:rsidRDefault="00496A8A" w:rsidP="00496A8A">
      <w:pPr>
        <w:spacing w:after="0" w:line="240" w:lineRule="auto"/>
        <w:rPr>
          <w:rFonts w:ascii="Times New Roman" w:hAnsi="Times New Roman" w:cs="Times New Roman"/>
          <w:sz w:val="24"/>
          <w:szCs w:val="24"/>
          <w:lang w:eastAsia="en-AU"/>
        </w:rPr>
      </w:pPr>
      <w:r w:rsidRPr="00872986">
        <w:rPr>
          <w:rFonts w:ascii="Arial" w:hAnsi="Arial" w:cs="Arial"/>
          <w:b/>
          <w:bCs/>
          <w:sz w:val="28"/>
          <w:szCs w:val="28"/>
        </w:rPr>
        <w:lastRenderedPageBreak/>
        <w:t xml:space="preserve">1.1 </w:t>
      </w:r>
      <w:r>
        <w:rPr>
          <w:rFonts w:ascii="Arial" w:hAnsi="Arial" w:cs="Arial"/>
          <w:b/>
          <w:bCs/>
          <w:sz w:val="28"/>
          <w:szCs w:val="28"/>
        </w:rPr>
        <w:t>Review scope and methodology</w:t>
      </w:r>
      <w:r>
        <w:rPr>
          <w:rFonts w:ascii="Times New Roman" w:hAnsi="Times New Roman" w:cs="Times New Roman"/>
          <w:sz w:val="24"/>
          <w:szCs w:val="24"/>
          <w:lang w:eastAsia="en-AU"/>
        </w:rPr>
        <w:t xml:space="preserve"> </w:t>
      </w:r>
    </w:p>
    <w:p w14:paraId="7CAB46A4" w14:textId="77777777" w:rsidR="005D7523" w:rsidRPr="002265D3" w:rsidRDefault="005D7523" w:rsidP="005D7523">
      <w:pPr>
        <w:spacing w:before="120" w:line="240" w:lineRule="auto"/>
        <w:rPr>
          <w:rFonts w:ascii="Arial" w:hAnsi="Arial" w:cs="Arial"/>
          <w:i/>
          <w:iCs/>
          <w:sz w:val="24"/>
          <w:szCs w:val="24"/>
        </w:rPr>
      </w:pPr>
      <w:r>
        <w:rPr>
          <w:rFonts w:ascii="Arial" w:hAnsi="Arial" w:cs="Arial"/>
          <w:i/>
          <w:iCs/>
          <w:sz w:val="24"/>
          <w:szCs w:val="24"/>
        </w:rPr>
        <w:t>Review s</w:t>
      </w:r>
      <w:r w:rsidRPr="002265D3">
        <w:rPr>
          <w:rFonts w:ascii="Arial" w:hAnsi="Arial" w:cs="Arial"/>
          <w:i/>
          <w:iCs/>
          <w:sz w:val="24"/>
          <w:szCs w:val="24"/>
        </w:rPr>
        <w:t>cope</w:t>
      </w:r>
    </w:p>
    <w:p w14:paraId="7C175773" w14:textId="0EDE597B" w:rsidR="00A24F4F" w:rsidRPr="00A24F4F" w:rsidRDefault="00A24F4F" w:rsidP="00A24F4F">
      <w:pPr>
        <w:spacing w:before="120" w:line="240" w:lineRule="auto"/>
        <w:rPr>
          <w:rFonts w:ascii="Arial" w:hAnsi="Arial" w:cs="Arial"/>
          <w:sz w:val="24"/>
          <w:szCs w:val="24"/>
        </w:rPr>
      </w:pPr>
      <w:r w:rsidRPr="00A24F4F">
        <w:rPr>
          <w:rFonts w:ascii="Arial" w:hAnsi="Arial" w:cs="Arial"/>
          <w:sz w:val="24"/>
          <w:szCs w:val="24"/>
        </w:rPr>
        <w:t xml:space="preserve">This Review has been asked to consider whether the Commission has the appropriate resources, workforce, regulatory and investigatory skills, clinical knowledge, </w:t>
      </w:r>
      <w:r>
        <w:rPr>
          <w:rFonts w:ascii="Arial" w:hAnsi="Arial" w:cs="Arial"/>
          <w:sz w:val="24"/>
          <w:szCs w:val="24"/>
        </w:rPr>
        <w:t xml:space="preserve">and </w:t>
      </w:r>
      <w:r w:rsidRPr="00A24F4F">
        <w:rPr>
          <w:rFonts w:ascii="Arial" w:hAnsi="Arial" w:cs="Arial"/>
          <w:sz w:val="24"/>
          <w:szCs w:val="24"/>
        </w:rPr>
        <w:t xml:space="preserve">assessment and enforcement skills, to meet its regulatory responsibilities and keep older Australians </w:t>
      </w:r>
      <w:r>
        <w:rPr>
          <w:rFonts w:ascii="Arial" w:hAnsi="Arial" w:cs="Arial"/>
          <w:sz w:val="24"/>
          <w:szCs w:val="24"/>
        </w:rPr>
        <w:t xml:space="preserve">receiving Australian Government aged care services </w:t>
      </w:r>
      <w:r w:rsidRPr="00A24F4F">
        <w:rPr>
          <w:rFonts w:ascii="Arial" w:hAnsi="Arial" w:cs="Arial"/>
          <w:sz w:val="24"/>
          <w:szCs w:val="24"/>
        </w:rPr>
        <w:t xml:space="preserve">safe. The </w:t>
      </w:r>
      <w:r w:rsidR="005446F9">
        <w:rPr>
          <w:rFonts w:ascii="Arial" w:hAnsi="Arial" w:cs="Arial"/>
          <w:sz w:val="24"/>
          <w:szCs w:val="24"/>
        </w:rPr>
        <w:t xml:space="preserve">full </w:t>
      </w:r>
      <w:r w:rsidRPr="00A24F4F">
        <w:rPr>
          <w:rFonts w:ascii="Arial" w:hAnsi="Arial" w:cs="Arial"/>
          <w:sz w:val="24"/>
          <w:szCs w:val="24"/>
        </w:rPr>
        <w:t xml:space="preserve">Terms of Reference </w:t>
      </w:r>
      <w:r w:rsidR="005446F9">
        <w:rPr>
          <w:rFonts w:ascii="Arial" w:hAnsi="Arial" w:cs="Arial"/>
          <w:sz w:val="24"/>
          <w:szCs w:val="24"/>
        </w:rPr>
        <w:t>for the Review are</w:t>
      </w:r>
      <w:r w:rsidRPr="00A24F4F">
        <w:rPr>
          <w:rFonts w:ascii="Arial" w:hAnsi="Arial" w:cs="Arial"/>
          <w:sz w:val="24"/>
          <w:szCs w:val="24"/>
        </w:rPr>
        <w:t xml:space="preserve"> at Appendix A. </w:t>
      </w:r>
      <w:r w:rsidR="005446F9">
        <w:rPr>
          <w:rFonts w:ascii="Arial" w:hAnsi="Arial" w:cs="Arial"/>
          <w:sz w:val="24"/>
          <w:szCs w:val="24"/>
        </w:rPr>
        <w:t>In summary, they require a capability review of:</w:t>
      </w:r>
    </w:p>
    <w:p w14:paraId="342C15C1" w14:textId="77777777" w:rsidR="00A24F4F"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the Commission’s</w:t>
      </w:r>
      <w:r w:rsidR="00A24F4F">
        <w:rPr>
          <w:rFonts w:ascii="Arial" w:hAnsi="Arial" w:cs="Arial"/>
          <w:sz w:val="24"/>
          <w:szCs w:val="24"/>
        </w:rPr>
        <w:t>:</w:t>
      </w:r>
    </w:p>
    <w:p w14:paraId="1BFBD9B2" w14:textId="7D1FCE26" w:rsidR="005D7523" w:rsidRDefault="005D7523" w:rsidP="00817A0C">
      <w:pPr>
        <w:pStyle w:val="ListParagraph"/>
        <w:numPr>
          <w:ilvl w:val="1"/>
          <w:numId w:val="19"/>
        </w:numPr>
        <w:spacing w:before="120" w:after="120" w:line="240" w:lineRule="auto"/>
        <w:ind w:left="1077" w:hanging="357"/>
        <w:contextualSpacing w:val="0"/>
        <w:rPr>
          <w:rFonts w:ascii="Arial" w:hAnsi="Arial" w:cs="Arial"/>
          <w:sz w:val="24"/>
          <w:szCs w:val="24"/>
        </w:rPr>
      </w:pPr>
      <w:r>
        <w:rPr>
          <w:rFonts w:ascii="Arial" w:hAnsi="Arial" w:cs="Arial"/>
          <w:sz w:val="24"/>
          <w:szCs w:val="24"/>
        </w:rPr>
        <w:t xml:space="preserve">organisational values, structure, </w:t>
      </w:r>
      <w:proofErr w:type="gramStart"/>
      <w:r>
        <w:rPr>
          <w:rFonts w:ascii="Arial" w:hAnsi="Arial" w:cs="Arial"/>
          <w:sz w:val="24"/>
          <w:szCs w:val="24"/>
        </w:rPr>
        <w:t>leadership</w:t>
      </w:r>
      <w:proofErr w:type="gramEnd"/>
      <w:r>
        <w:rPr>
          <w:rFonts w:ascii="Arial" w:hAnsi="Arial" w:cs="Arial"/>
          <w:sz w:val="24"/>
          <w:szCs w:val="24"/>
        </w:rPr>
        <w:t xml:space="preserve"> and culture</w:t>
      </w:r>
    </w:p>
    <w:p w14:paraId="27DB5330" w14:textId="21E4F80F" w:rsidR="005D7523" w:rsidRDefault="005D7523" w:rsidP="00817A0C">
      <w:pPr>
        <w:pStyle w:val="ListParagraph"/>
        <w:numPr>
          <w:ilvl w:val="1"/>
          <w:numId w:val="19"/>
        </w:numPr>
        <w:spacing w:before="120" w:after="120" w:line="240" w:lineRule="auto"/>
        <w:ind w:left="1077" w:hanging="357"/>
        <w:contextualSpacing w:val="0"/>
        <w:rPr>
          <w:rFonts w:ascii="Arial" w:hAnsi="Arial" w:cs="Arial"/>
          <w:sz w:val="24"/>
          <w:szCs w:val="24"/>
        </w:rPr>
      </w:pPr>
      <w:r>
        <w:rPr>
          <w:rFonts w:ascii="Arial" w:hAnsi="Arial" w:cs="Arial"/>
          <w:sz w:val="24"/>
          <w:szCs w:val="24"/>
        </w:rPr>
        <w:t>risk-management and decision</w:t>
      </w:r>
      <w:r w:rsidR="00497D6C">
        <w:rPr>
          <w:rFonts w:ascii="Arial" w:hAnsi="Arial" w:cs="Arial"/>
          <w:sz w:val="24"/>
          <w:szCs w:val="24"/>
        </w:rPr>
        <w:t>-</w:t>
      </w:r>
      <w:r>
        <w:rPr>
          <w:rFonts w:ascii="Arial" w:hAnsi="Arial" w:cs="Arial"/>
          <w:sz w:val="24"/>
          <w:szCs w:val="24"/>
        </w:rPr>
        <w:t>making</w:t>
      </w:r>
      <w:r w:rsidR="00A24F4F">
        <w:rPr>
          <w:rFonts w:ascii="Arial" w:hAnsi="Arial" w:cs="Arial"/>
          <w:sz w:val="24"/>
          <w:szCs w:val="24"/>
        </w:rPr>
        <w:t xml:space="preserve"> approach</w:t>
      </w:r>
      <w:r>
        <w:rPr>
          <w:rFonts w:ascii="Arial" w:hAnsi="Arial" w:cs="Arial"/>
          <w:sz w:val="24"/>
          <w:szCs w:val="24"/>
        </w:rPr>
        <w:t>, including delegation of powers,</w:t>
      </w:r>
      <w:r w:rsidR="00A24F4F">
        <w:rPr>
          <w:rFonts w:ascii="Arial" w:hAnsi="Arial" w:cs="Arial"/>
          <w:sz w:val="24"/>
          <w:szCs w:val="24"/>
        </w:rPr>
        <w:t xml:space="preserve"> and </w:t>
      </w:r>
      <w:r>
        <w:rPr>
          <w:rFonts w:ascii="Arial" w:hAnsi="Arial" w:cs="Arial"/>
          <w:sz w:val="24"/>
          <w:szCs w:val="24"/>
        </w:rPr>
        <w:t xml:space="preserve">the balance of </w:t>
      </w:r>
      <w:r w:rsidR="00A43E28">
        <w:rPr>
          <w:rFonts w:ascii="Arial" w:hAnsi="Arial" w:cs="Arial"/>
          <w:sz w:val="24"/>
          <w:szCs w:val="24"/>
        </w:rPr>
        <w:t>the Commission’s</w:t>
      </w:r>
      <w:r>
        <w:rPr>
          <w:rFonts w:ascii="Arial" w:hAnsi="Arial" w:cs="Arial"/>
          <w:sz w:val="24"/>
          <w:szCs w:val="24"/>
        </w:rPr>
        <w:t xml:space="preserve"> focus</w:t>
      </w:r>
      <w:r w:rsidR="00A43E28">
        <w:rPr>
          <w:rFonts w:ascii="Arial" w:hAnsi="Arial" w:cs="Arial"/>
          <w:sz w:val="24"/>
          <w:szCs w:val="24"/>
        </w:rPr>
        <w:t xml:space="preserve"> </w:t>
      </w:r>
      <w:r w:rsidR="003D44CB">
        <w:rPr>
          <w:rFonts w:ascii="Arial" w:hAnsi="Arial" w:cs="Arial"/>
          <w:sz w:val="24"/>
          <w:szCs w:val="24"/>
        </w:rPr>
        <w:t xml:space="preserve">between </w:t>
      </w:r>
      <w:r w:rsidR="00A24F4F">
        <w:rPr>
          <w:rFonts w:ascii="Arial" w:hAnsi="Arial" w:cs="Arial"/>
          <w:sz w:val="24"/>
          <w:szCs w:val="24"/>
        </w:rPr>
        <w:t>compliance and</w:t>
      </w:r>
      <w:r>
        <w:rPr>
          <w:rFonts w:ascii="Arial" w:hAnsi="Arial" w:cs="Arial"/>
          <w:sz w:val="24"/>
          <w:szCs w:val="24"/>
        </w:rPr>
        <w:t xml:space="preserve"> education</w:t>
      </w:r>
      <w:r w:rsidR="003D44CB">
        <w:rPr>
          <w:rFonts w:ascii="Arial" w:hAnsi="Arial" w:cs="Arial"/>
          <w:sz w:val="24"/>
          <w:szCs w:val="24"/>
        </w:rPr>
        <w:t>, and</w:t>
      </w:r>
      <w:r>
        <w:rPr>
          <w:rFonts w:ascii="Arial" w:hAnsi="Arial" w:cs="Arial"/>
          <w:sz w:val="24"/>
          <w:szCs w:val="24"/>
        </w:rPr>
        <w:t xml:space="preserve"> best practice promotion</w:t>
      </w:r>
    </w:p>
    <w:p w14:paraId="241323E4" w14:textId="72A55E7D" w:rsidR="005D7523" w:rsidRDefault="005D7523" w:rsidP="00817A0C">
      <w:pPr>
        <w:pStyle w:val="ListParagraph"/>
        <w:numPr>
          <w:ilvl w:val="1"/>
          <w:numId w:val="19"/>
        </w:numPr>
        <w:spacing w:before="120" w:after="120" w:line="240" w:lineRule="auto"/>
        <w:ind w:left="1077" w:hanging="357"/>
        <w:contextualSpacing w:val="0"/>
        <w:rPr>
          <w:rFonts w:ascii="Arial" w:hAnsi="Arial" w:cs="Arial"/>
          <w:sz w:val="24"/>
          <w:szCs w:val="24"/>
        </w:rPr>
      </w:pPr>
      <w:r>
        <w:rPr>
          <w:rFonts w:ascii="Arial" w:hAnsi="Arial" w:cs="Arial"/>
          <w:sz w:val="24"/>
          <w:szCs w:val="24"/>
        </w:rPr>
        <w:t xml:space="preserve">adaptability </w:t>
      </w:r>
      <w:r w:rsidRPr="00404D49">
        <w:rPr>
          <w:rFonts w:ascii="Arial" w:hAnsi="Arial" w:cs="Arial"/>
          <w:sz w:val="24"/>
          <w:szCs w:val="24"/>
        </w:rPr>
        <w:t>to meet emerging challenges</w:t>
      </w:r>
      <w:r>
        <w:rPr>
          <w:rFonts w:ascii="Arial" w:hAnsi="Arial" w:cs="Arial"/>
          <w:sz w:val="24"/>
          <w:szCs w:val="24"/>
        </w:rPr>
        <w:t xml:space="preserve">, </w:t>
      </w:r>
      <w:proofErr w:type="gramStart"/>
      <w:r>
        <w:rPr>
          <w:rFonts w:ascii="Arial" w:hAnsi="Arial" w:cs="Arial"/>
          <w:sz w:val="24"/>
          <w:szCs w:val="24"/>
        </w:rPr>
        <w:t>risks</w:t>
      </w:r>
      <w:proofErr w:type="gramEnd"/>
      <w:r>
        <w:rPr>
          <w:rFonts w:ascii="Arial" w:hAnsi="Arial" w:cs="Arial"/>
          <w:sz w:val="24"/>
          <w:szCs w:val="24"/>
        </w:rPr>
        <w:t xml:space="preserve"> and concerns within the aged care sector</w:t>
      </w:r>
    </w:p>
    <w:p w14:paraId="0D54B84C" w14:textId="2377ED62" w:rsidR="005D7523"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 xml:space="preserve">the efficient allocation of resourcing for </w:t>
      </w:r>
      <w:r w:rsidR="00A24F4F">
        <w:rPr>
          <w:rFonts w:ascii="Arial" w:hAnsi="Arial" w:cs="Arial"/>
          <w:sz w:val="24"/>
          <w:szCs w:val="24"/>
        </w:rPr>
        <w:t xml:space="preserve">and by </w:t>
      </w:r>
      <w:r>
        <w:rPr>
          <w:rFonts w:ascii="Arial" w:hAnsi="Arial" w:cs="Arial"/>
          <w:sz w:val="24"/>
          <w:szCs w:val="24"/>
        </w:rPr>
        <w:t>the Commission</w:t>
      </w:r>
      <w:r w:rsidR="00C04267">
        <w:rPr>
          <w:rFonts w:ascii="Arial" w:hAnsi="Arial" w:cs="Arial"/>
          <w:sz w:val="24"/>
          <w:szCs w:val="24"/>
        </w:rPr>
        <w:t>,</w:t>
      </w:r>
      <w:r>
        <w:rPr>
          <w:rFonts w:ascii="Arial" w:hAnsi="Arial" w:cs="Arial"/>
          <w:sz w:val="24"/>
          <w:szCs w:val="24"/>
        </w:rPr>
        <w:t xml:space="preserve"> including in relation to workforce, structures, infrastructure and the identification of service duplication and gaps</w:t>
      </w:r>
    </w:p>
    <w:p w14:paraId="062F069E" w14:textId="77777777" w:rsidR="005D7523"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the role of Statutory Office Holders and key executive officers</w:t>
      </w:r>
    </w:p>
    <w:p w14:paraId="551D880E" w14:textId="77777777" w:rsidR="005D7523"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the capability of the workforce to perform the Commission’s functions</w:t>
      </w:r>
    </w:p>
    <w:p w14:paraId="68F964D0" w14:textId="77777777" w:rsidR="005D7523"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the capability of the Commission to undertake monitoring and enforcement in rural and remote areas, and to ensure nationally consistent but locally relevant application of its functions</w:t>
      </w:r>
    </w:p>
    <w:p w14:paraId="429D76B3" w14:textId="713EC3FB" w:rsidR="005D7523"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the capability of the Commission to undertake its functions for aged care services for older people with dementia, culturally and linguistically diverse consumers and specific diversity groups including First Nations people, veterans and the LGBTIQ</w:t>
      </w:r>
      <w:r w:rsidR="00A24F4F">
        <w:rPr>
          <w:rFonts w:ascii="Arial" w:hAnsi="Arial" w:cs="Arial"/>
          <w:sz w:val="24"/>
          <w:szCs w:val="24"/>
        </w:rPr>
        <w:t>+</w:t>
      </w:r>
      <w:r>
        <w:rPr>
          <w:rFonts w:ascii="Arial" w:hAnsi="Arial" w:cs="Arial"/>
          <w:sz w:val="24"/>
          <w:szCs w:val="24"/>
        </w:rPr>
        <w:t xml:space="preserve"> communities</w:t>
      </w:r>
    </w:p>
    <w:p w14:paraId="2DDF8386" w14:textId="6C9B78D8" w:rsidR="005D7523"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the Commission</w:t>
      </w:r>
      <w:r w:rsidR="00A24F4F">
        <w:rPr>
          <w:rFonts w:ascii="Arial" w:hAnsi="Arial" w:cs="Arial"/>
          <w:sz w:val="24"/>
          <w:szCs w:val="24"/>
        </w:rPr>
        <w:t>’s effectiveness</w:t>
      </w:r>
      <w:r>
        <w:rPr>
          <w:rFonts w:ascii="Arial" w:hAnsi="Arial" w:cs="Arial"/>
          <w:sz w:val="24"/>
          <w:szCs w:val="24"/>
        </w:rPr>
        <w:t xml:space="preserve"> in engaging and communicating with and educating older Australians</w:t>
      </w:r>
      <w:r w:rsidR="00C04267">
        <w:rPr>
          <w:rFonts w:ascii="Arial" w:hAnsi="Arial" w:cs="Arial"/>
          <w:sz w:val="24"/>
          <w:szCs w:val="24"/>
        </w:rPr>
        <w:t>,</w:t>
      </w:r>
      <w:r>
        <w:rPr>
          <w:rFonts w:ascii="Arial" w:hAnsi="Arial" w:cs="Arial"/>
          <w:sz w:val="24"/>
          <w:szCs w:val="24"/>
        </w:rPr>
        <w:t xml:space="preserve"> their families and carers and the community more broadly, and</w:t>
      </w:r>
    </w:p>
    <w:p w14:paraId="72C584FE" w14:textId="77777777" w:rsidR="005D7523" w:rsidRDefault="005D7523"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options for the establishment of a culturally sensitive and capable new aged care regulatory Authority.</w:t>
      </w:r>
    </w:p>
    <w:p w14:paraId="12DE7764" w14:textId="77777777" w:rsidR="00A24F4F" w:rsidRDefault="00A24F4F" w:rsidP="00A24F4F">
      <w:pPr>
        <w:spacing w:before="120" w:after="120" w:line="240" w:lineRule="auto"/>
        <w:rPr>
          <w:rFonts w:ascii="Arial" w:hAnsi="Arial" w:cs="Arial"/>
          <w:sz w:val="24"/>
          <w:szCs w:val="24"/>
        </w:rPr>
      </w:pPr>
      <w:r w:rsidRPr="004E4A56">
        <w:rPr>
          <w:rFonts w:ascii="Arial" w:hAnsi="Arial" w:cs="Arial"/>
          <w:sz w:val="24"/>
          <w:szCs w:val="24"/>
        </w:rPr>
        <w:t xml:space="preserve">The Review also </w:t>
      </w:r>
      <w:proofErr w:type="gramStart"/>
      <w:r w:rsidRPr="004E4A56">
        <w:rPr>
          <w:rFonts w:ascii="Arial" w:hAnsi="Arial" w:cs="Arial"/>
          <w:sz w:val="24"/>
          <w:szCs w:val="24"/>
        </w:rPr>
        <w:t>took into account</w:t>
      </w:r>
      <w:proofErr w:type="gramEnd"/>
      <w:r>
        <w:rPr>
          <w:rFonts w:ascii="Arial" w:hAnsi="Arial" w:cs="Arial"/>
          <w:sz w:val="24"/>
          <w:szCs w:val="24"/>
        </w:rPr>
        <w:t>:</w:t>
      </w:r>
    </w:p>
    <w:p w14:paraId="2AC4762E" w14:textId="6D98D213" w:rsidR="00A24F4F" w:rsidRPr="00A24F4F" w:rsidRDefault="00A24F4F" w:rsidP="001750D5">
      <w:pPr>
        <w:pStyle w:val="ListParagraph"/>
        <w:numPr>
          <w:ilvl w:val="0"/>
          <w:numId w:val="18"/>
        </w:numPr>
        <w:spacing w:before="120" w:after="120" w:line="240" w:lineRule="auto"/>
        <w:ind w:left="357" w:hanging="357"/>
        <w:contextualSpacing w:val="0"/>
        <w:rPr>
          <w:rFonts w:ascii="Arial" w:hAnsi="Arial" w:cs="Arial"/>
          <w:sz w:val="24"/>
          <w:szCs w:val="24"/>
        </w:rPr>
      </w:pPr>
      <w:r w:rsidRPr="00A24F4F">
        <w:rPr>
          <w:rFonts w:ascii="Arial" w:hAnsi="Arial" w:cs="Arial"/>
          <w:sz w:val="24"/>
          <w:szCs w:val="24"/>
        </w:rPr>
        <w:t xml:space="preserve">the impact of </w:t>
      </w:r>
      <w:r w:rsidR="00C03984">
        <w:rPr>
          <w:rFonts w:ascii="Arial" w:hAnsi="Arial" w:cs="Arial"/>
          <w:sz w:val="24"/>
          <w:szCs w:val="24"/>
        </w:rPr>
        <w:t xml:space="preserve">Australian </w:t>
      </w:r>
      <w:r w:rsidRPr="00A24F4F">
        <w:rPr>
          <w:rFonts w:ascii="Arial" w:hAnsi="Arial" w:cs="Arial"/>
          <w:sz w:val="24"/>
          <w:szCs w:val="24"/>
        </w:rPr>
        <w:t>Government priorities and reform activities planned or underway to implement recommendations from the Royal Commission. This includes the legislative reforms associated with the new Aged Care Act</w:t>
      </w:r>
    </w:p>
    <w:p w14:paraId="4DF684A6" w14:textId="6AADDE83" w:rsidR="00A24F4F" w:rsidRDefault="00A24F4F"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 xml:space="preserve">the role of the Commission in rebuilding </w:t>
      </w:r>
      <w:r w:rsidR="00A43E28">
        <w:rPr>
          <w:rFonts w:ascii="Arial" w:hAnsi="Arial" w:cs="Arial"/>
          <w:sz w:val="24"/>
          <w:szCs w:val="24"/>
        </w:rPr>
        <w:t xml:space="preserve">the community’s </w:t>
      </w:r>
      <w:r>
        <w:rPr>
          <w:rFonts w:ascii="Arial" w:hAnsi="Arial" w:cs="Arial"/>
          <w:sz w:val="24"/>
          <w:szCs w:val="24"/>
        </w:rPr>
        <w:t>confidence in the aged care regulator and the aged care system more broadly, and</w:t>
      </w:r>
    </w:p>
    <w:p w14:paraId="054BA827" w14:textId="5042511C" w:rsidR="00A24F4F" w:rsidRDefault="00A24F4F" w:rsidP="001750D5">
      <w:pPr>
        <w:pStyle w:val="ListParagraph"/>
        <w:numPr>
          <w:ilvl w:val="0"/>
          <w:numId w:val="18"/>
        </w:numPr>
        <w:spacing w:before="120" w:after="120" w:line="240" w:lineRule="auto"/>
        <w:ind w:left="357" w:hanging="357"/>
        <w:contextualSpacing w:val="0"/>
        <w:rPr>
          <w:rFonts w:ascii="Arial" w:hAnsi="Arial" w:cs="Arial"/>
          <w:sz w:val="24"/>
          <w:szCs w:val="24"/>
        </w:rPr>
      </w:pPr>
      <w:r>
        <w:rPr>
          <w:rFonts w:ascii="Arial" w:hAnsi="Arial" w:cs="Arial"/>
          <w:sz w:val="24"/>
          <w:szCs w:val="24"/>
        </w:rPr>
        <w:t xml:space="preserve">the role and responsibility of the Commission in working with the Department </w:t>
      </w:r>
      <w:r w:rsidR="002515AF">
        <w:rPr>
          <w:rFonts w:ascii="Arial" w:hAnsi="Arial" w:cs="Arial"/>
          <w:sz w:val="24"/>
          <w:szCs w:val="24"/>
        </w:rPr>
        <w:t xml:space="preserve">of Health and Aged Care (the Department) </w:t>
      </w:r>
      <w:r>
        <w:rPr>
          <w:rFonts w:ascii="Arial" w:hAnsi="Arial" w:cs="Arial"/>
          <w:sz w:val="24"/>
          <w:szCs w:val="24"/>
        </w:rPr>
        <w:t>and the Australian Commission on Safety and Quality in Health Care to regulate aged care</w:t>
      </w:r>
      <w:r w:rsidR="002515AF">
        <w:rPr>
          <w:rFonts w:ascii="Arial" w:hAnsi="Arial" w:cs="Arial"/>
          <w:sz w:val="24"/>
          <w:szCs w:val="24"/>
        </w:rPr>
        <w:t>, including clarifying responsibilities and legislation</w:t>
      </w:r>
      <w:r>
        <w:rPr>
          <w:rFonts w:ascii="Arial" w:hAnsi="Arial" w:cs="Arial"/>
          <w:sz w:val="24"/>
          <w:szCs w:val="24"/>
        </w:rPr>
        <w:t>.</w:t>
      </w:r>
    </w:p>
    <w:p w14:paraId="3A3278BC" w14:textId="3672B1C6" w:rsidR="005D7523" w:rsidRPr="00981328" w:rsidRDefault="005D7523" w:rsidP="00A24F4F">
      <w:pPr>
        <w:spacing w:before="120" w:line="240" w:lineRule="auto"/>
        <w:rPr>
          <w:rFonts w:ascii="Arial" w:hAnsi="Arial" w:cs="Arial"/>
          <w:i/>
          <w:iCs/>
          <w:sz w:val="24"/>
          <w:szCs w:val="24"/>
        </w:rPr>
      </w:pPr>
      <w:r w:rsidRPr="00981328">
        <w:rPr>
          <w:rFonts w:ascii="Arial" w:hAnsi="Arial" w:cs="Arial"/>
          <w:i/>
          <w:iCs/>
          <w:sz w:val="24"/>
          <w:szCs w:val="24"/>
        </w:rPr>
        <w:lastRenderedPageBreak/>
        <w:t>Review methodology</w:t>
      </w:r>
    </w:p>
    <w:p w14:paraId="3D4E8C74" w14:textId="45FB2D98" w:rsidR="005D7523" w:rsidRDefault="005D7523" w:rsidP="005D7523">
      <w:pPr>
        <w:spacing w:before="120" w:line="240" w:lineRule="auto"/>
        <w:rPr>
          <w:rFonts w:ascii="Arial" w:hAnsi="Arial" w:cs="Arial"/>
          <w:sz w:val="24"/>
          <w:szCs w:val="24"/>
        </w:rPr>
      </w:pPr>
      <w:r>
        <w:rPr>
          <w:rFonts w:ascii="Arial" w:hAnsi="Arial" w:cs="Arial"/>
          <w:sz w:val="24"/>
          <w:szCs w:val="24"/>
        </w:rPr>
        <w:t>The following methodology was adopted to inform the</w:t>
      </w:r>
      <w:r w:rsidR="007456E8">
        <w:rPr>
          <w:rFonts w:ascii="Arial" w:hAnsi="Arial" w:cs="Arial"/>
          <w:sz w:val="24"/>
          <w:szCs w:val="24"/>
        </w:rPr>
        <w:t xml:space="preserve"> R</w:t>
      </w:r>
      <w:r>
        <w:rPr>
          <w:rFonts w:ascii="Arial" w:hAnsi="Arial" w:cs="Arial"/>
          <w:sz w:val="24"/>
          <w:szCs w:val="24"/>
        </w:rPr>
        <w:t>eview and address the Terms of Reference:</w:t>
      </w:r>
    </w:p>
    <w:p w14:paraId="096F14E9" w14:textId="46CFD6D6" w:rsidR="005D7523" w:rsidRPr="00981328" w:rsidRDefault="005D7523" w:rsidP="001750D5">
      <w:pPr>
        <w:pStyle w:val="ListParagraph"/>
        <w:numPr>
          <w:ilvl w:val="0"/>
          <w:numId w:val="19"/>
        </w:numPr>
        <w:spacing w:before="120" w:after="120" w:line="240" w:lineRule="auto"/>
        <w:ind w:left="357" w:hanging="357"/>
        <w:contextualSpacing w:val="0"/>
        <w:rPr>
          <w:rFonts w:ascii="Arial" w:hAnsi="Arial" w:cs="Arial"/>
          <w:sz w:val="24"/>
          <w:szCs w:val="24"/>
        </w:rPr>
      </w:pPr>
      <w:r>
        <w:rPr>
          <w:rFonts w:ascii="Arial" w:hAnsi="Arial" w:cs="Arial"/>
          <w:sz w:val="24"/>
          <w:szCs w:val="24"/>
        </w:rPr>
        <w:t xml:space="preserve">the examination of a range of </w:t>
      </w:r>
      <w:r w:rsidR="005446F9">
        <w:rPr>
          <w:rFonts w:ascii="Arial" w:hAnsi="Arial" w:cs="Arial"/>
          <w:sz w:val="24"/>
          <w:szCs w:val="24"/>
        </w:rPr>
        <w:t>issues</w:t>
      </w:r>
      <w:r>
        <w:rPr>
          <w:rFonts w:ascii="Arial" w:hAnsi="Arial" w:cs="Arial"/>
          <w:sz w:val="24"/>
          <w:szCs w:val="24"/>
        </w:rPr>
        <w:t xml:space="preserve"> relevant to the functions of the </w:t>
      </w:r>
      <w:r w:rsidR="001C0B9C">
        <w:rPr>
          <w:rFonts w:ascii="Arial" w:hAnsi="Arial" w:cs="Arial"/>
          <w:sz w:val="24"/>
          <w:szCs w:val="24"/>
        </w:rPr>
        <w:t>Commission</w:t>
      </w:r>
      <w:r>
        <w:rPr>
          <w:rFonts w:ascii="Arial" w:hAnsi="Arial" w:cs="Arial"/>
          <w:sz w:val="24"/>
          <w:szCs w:val="24"/>
        </w:rPr>
        <w:t xml:space="preserve"> and </w:t>
      </w:r>
      <w:r w:rsidR="001C0B9C">
        <w:rPr>
          <w:rFonts w:ascii="Arial" w:hAnsi="Arial" w:cs="Arial"/>
          <w:sz w:val="24"/>
          <w:szCs w:val="24"/>
        </w:rPr>
        <w:t>Commission</w:t>
      </w:r>
      <w:r>
        <w:rPr>
          <w:rFonts w:ascii="Arial" w:hAnsi="Arial" w:cs="Arial"/>
          <w:sz w:val="24"/>
          <w:szCs w:val="24"/>
        </w:rPr>
        <w:t xml:space="preserve"> performance and workforce data</w:t>
      </w:r>
    </w:p>
    <w:p w14:paraId="0581EF29" w14:textId="3F2A6E93" w:rsidR="005D7523" w:rsidRDefault="005D7523" w:rsidP="001750D5">
      <w:pPr>
        <w:pStyle w:val="ListParagraph"/>
        <w:numPr>
          <w:ilvl w:val="0"/>
          <w:numId w:val="19"/>
        </w:numPr>
        <w:spacing w:before="120" w:after="120" w:line="240" w:lineRule="auto"/>
        <w:ind w:left="357" w:hanging="357"/>
        <w:contextualSpacing w:val="0"/>
        <w:rPr>
          <w:rFonts w:ascii="Arial" w:hAnsi="Arial" w:cs="Arial"/>
          <w:sz w:val="24"/>
          <w:szCs w:val="24"/>
        </w:rPr>
      </w:pPr>
      <w:r>
        <w:rPr>
          <w:rFonts w:ascii="Arial" w:hAnsi="Arial" w:cs="Arial"/>
          <w:sz w:val="24"/>
          <w:szCs w:val="24"/>
        </w:rPr>
        <w:t xml:space="preserve">extensive consultations and information sessions with </w:t>
      </w:r>
      <w:r w:rsidR="001C0B9C">
        <w:rPr>
          <w:rFonts w:ascii="Arial" w:hAnsi="Arial" w:cs="Arial"/>
          <w:sz w:val="24"/>
          <w:szCs w:val="24"/>
        </w:rPr>
        <w:t>Commission</w:t>
      </w:r>
      <w:r>
        <w:rPr>
          <w:rFonts w:ascii="Arial" w:hAnsi="Arial" w:cs="Arial"/>
          <w:sz w:val="24"/>
          <w:szCs w:val="24"/>
        </w:rPr>
        <w:t xml:space="preserve"> and Department</w:t>
      </w:r>
      <w:r w:rsidR="002515AF">
        <w:rPr>
          <w:rFonts w:ascii="Arial" w:hAnsi="Arial" w:cs="Arial"/>
          <w:sz w:val="24"/>
          <w:szCs w:val="24"/>
        </w:rPr>
        <w:t>al</w:t>
      </w:r>
      <w:r>
        <w:rPr>
          <w:rFonts w:ascii="Arial" w:hAnsi="Arial" w:cs="Arial"/>
          <w:sz w:val="24"/>
          <w:szCs w:val="24"/>
        </w:rPr>
        <w:t xml:space="preserve"> staff to better understand the development, current functions and proposed additional functions of the </w:t>
      </w:r>
      <w:r w:rsidR="001C0B9C">
        <w:rPr>
          <w:rFonts w:ascii="Arial" w:hAnsi="Arial" w:cs="Arial"/>
          <w:sz w:val="24"/>
          <w:szCs w:val="24"/>
        </w:rPr>
        <w:t>Commission</w:t>
      </w:r>
    </w:p>
    <w:p w14:paraId="64C0BA6E" w14:textId="5347EFED" w:rsidR="005D7523" w:rsidRDefault="005D7523" w:rsidP="001750D5">
      <w:pPr>
        <w:pStyle w:val="ListParagraph"/>
        <w:numPr>
          <w:ilvl w:val="0"/>
          <w:numId w:val="19"/>
        </w:numPr>
        <w:spacing w:before="120" w:after="120" w:line="240" w:lineRule="auto"/>
        <w:ind w:left="357" w:hanging="357"/>
        <w:contextualSpacing w:val="0"/>
        <w:rPr>
          <w:rFonts w:ascii="Arial" w:hAnsi="Arial" w:cs="Arial"/>
          <w:sz w:val="24"/>
          <w:szCs w:val="24"/>
        </w:rPr>
      </w:pPr>
      <w:r>
        <w:rPr>
          <w:rFonts w:ascii="Arial" w:hAnsi="Arial" w:cs="Arial"/>
          <w:sz w:val="24"/>
          <w:szCs w:val="24"/>
        </w:rPr>
        <w:t xml:space="preserve">targeted consultations with consumer and provider peak bodies, </w:t>
      </w:r>
      <w:r w:rsidR="001C0B9C">
        <w:rPr>
          <w:rFonts w:ascii="Arial" w:hAnsi="Arial" w:cs="Arial"/>
          <w:sz w:val="24"/>
          <w:szCs w:val="24"/>
        </w:rPr>
        <w:t>Commission</w:t>
      </w:r>
      <w:r>
        <w:rPr>
          <w:rFonts w:ascii="Arial" w:hAnsi="Arial" w:cs="Arial"/>
          <w:sz w:val="24"/>
          <w:szCs w:val="24"/>
        </w:rPr>
        <w:t xml:space="preserve"> and Departmental advisory and reference groups, state and territory governments, and other </w:t>
      </w:r>
      <w:r w:rsidR="003876EE">
        <w:rPr>
          <w:rFonts w:ascii="Arial" w:hAnsi="Arial" w:cs="Arial"/>
          <w:sz w:val="24"/>
          <w:szCs w:val="24"/>
        </w:rPr>
        <w:t>Australian Government</w:t>
      </w:r>
      <w:r>
        <w:rPr>
          <w:rFonts w:ascii="Arial" w:hAnsi="Arial" w:cs="Arial"/>
          <w:sz w:val="24"/>
          <w:szCs w:val="24"/>
        </w:rPr>
        <w:t xml:space="preserve"> departments and agencies including other regulators, the Department of </w:t>
      </w:r>
      <w:proofErr w:type="gramStart"/>
      <w:r>
        <w:rPr>
          <w:rFonts w:ascii="Arial" w:hAnsi="Arial" w:cs="Arial"/>
          <w:sz w:val="24"/>
          <w:szCs w:val="24"/>
        </w:rPr>
        <w:t>Finance</w:t>
      </w:r>
      <w:proofErr w:type="gramEnd"/>
      <w:r>
        <w:rPr>
          <w:rFonts w:ascii="Arial" w:hAnsi="Arial" w:cs="Arial"/>
          <w:sz w:val="24"/>
          <w:szCs w:val="24"/>
        </w:rPr>
        <w:t xml:space="preserve"> and the Australian Public Service Commission</w:t>
      </w:r>
    </w:p>
    <w:p w14:paraId="50BCF330" w14:textId="6DD5B4DF" w:rsidR="005D7523" w:rsidRDefault="005D7523" w:rsidP="001750D5">
      <w:pPr>
        <w:pStyle w:val="ListParagraph"/>
        <w:numPr>
          <w:ilvl w:val="0"/>
          <w:numId w:val="19"/>
        </w:numPr>
        <w:spacing w:before="120" w:after="120" w:line="240" w:lineRule="auto"/>
        <w:ind w:left="357" w:hanging="357"/>
        <w:contextualSpacing w:val="0"/>
        <w:rPr>
          <w:rFonts w:ascii="Arial" w:hAnsi="Arial" w:cs="Arial"/>
          <w:sz w:val="24"/>
          <w:szCs w:val="24"/>
        </w:rPr>
      </w:pPr>
      <w:r>
        <w:rPr>
          <w:rFonts w:ascii="Arial" w:hAnsi="Arial" w:cs="Arial"/>
          <w:sz w:val="24"/>
          <w:szCs w:val="24"/>
        </w:rPr>
        <w:t xml:space="preserve">a public submission process </w:t>
      </w:r>
      <w:r w:rsidR="002515AF">
        <w:rPr>
          <w:rFonts w:ascii="Arial" w:hAnsi="Arial" w:cs="Arial"/>
          <w:sz w:val="24"/>
          <w:szCs w:val="24"/>
        </w:rPr>
        <w:t>inviting</w:t>
      </w:r>
      <w:r>
        <w:rPr>
          <w:rFonts w:ascii="Arial" w:hAnsi="Arial" w:cs="Arial"/>
          <w:sz w:val="24"/>
          <w:szCs w:val="24"/>
        </w:rPr>
        <w:t xml:space="preserve"> interested individuals and groups to share their views about the capability of the </w:t>
      </w:r>
      <w:r w:rsidR="001C0B9C">
        <w:rPr>
          <w:rFonts w:ascii="Arial" w:hAnsi="Arial" w:cs="Arial"/>
          <w:sz w:val="24"/>
          <w:szCs w:val="24"/>
        </w:rPr>
        <w:t>Commission</w:t>
      </w:r>
      <w:r>
        <w:rPr>
          <w:rFonts w:ascii="Arial" w:hAnsi="Arial" w:cs="Arial"/>
          <w:sz w:val="24"/>
          <w:szCs w:val="24"/>
        </w:rPr>
        <w:t>, and</w:t>
      </w:r>
    </w:p>
    <w:p w14:paraId="7BCA617C" w14:textId="6569211A" w:rsidR="005D7523" w:rsidRDefault="002515AF" w:rsidP="001750D5">
      <w:pPr>
        <w:pStyle w:val="ListParagraph"/>
        <w:numPr>
          <w:ilvl w:val="0"/>
          <w:numId w:val="19"/>
        </w:numPr>
        <w:spacing w:before="120" w:after="120" w:line="240" w:lineRule="auto"/>
        <w:ind w:left="357" w:hanging="357"/>
        <w:contextualSpacing w:val="0"/>
        <w:rPr>
          <w:rFonts w:ascii="Arial" w:hAnsi="Arial" w:cs="Arial"/>
          <w:sz w:val="24"/>
          <w:szCs w:val="24"/>
        </w:rPr>
      </w:pPr>
      <w:r>
        <w:rPr>
          <w:rFonts w:ascii="Arial" w:hAnsi="Arial" w:cs="Arial"/>
          <w:sz w:val="24"/>
          <w:szCs w:val="24"/>
        </w:rPr>
        <w:t>consideration of</w:t>
      </w:r>
      <w:r w:rsidR="005D7523">
        <w:rPr>
          <w:rFonts w:ascii="Arial" w:hAnsi="Arial" w:cs="Arial"/>
          <w:sz w:val="24"/>
          <w:szCs w:val="24"/>
        </w:rPr>
        <w:t>:</w:t>
      </w:r>
    </w:p>
    <w:p w14:paraId="1E0AC537" w14:textId="77777777" w:rsidR="005D7523" w:rsidRDefault="005D7523" w:rsidP="001750D5">
      <w:pPr>
        <w:pStyle w:val="ListParagraph"/>
        <w:numPr>
          <w:ilvl w:val="1"/>
          <w:numId w:val="19"/>
        </w:numPr>
        <w:spacing w:before="120" w:after="120" w:line="240" w:lineRule="auto"/>
        <w:ind w:left="1077" w:hanging="357"/>
        <w:contextualSpacing w:val="0"/>
        <w:rPr>
          <w:rFonts w:ascii="Arial" w:hAnsi="Arial" w:cs="Arial"/>
          <w:sz w:val="24"/>
          <w:szCs w:val="24"/>
        </w:rPr>
      </w:pPr>
      <w:r>
        <w:rPr>
          <w:rFonts w:ascii="Arial" w:hAnsi="Arial" w:cs="Arial"/>
          <w:sz w:val="24"/>
          <w:szCs w:val="24"/>
        </w:rPr>
        <w:t>relevant reviews</w:t>
      </w:r>
    </w:p>
    <w:p w14:paraId="1E3C8980" w14:textId="67346DE8" w:rsidR="005D7523" w:rsidRDefault="005D7523" w:rsidP="001750D5">
      <w:pPr>
        <w:pStyle w:val="ListParagraph"/>
        <w:numPr>
          <w:ilvl w:val="1"/>
          <w:numId w:val="19"/>
        </w:numPr>
        <w:spacing w:before="120" w:after="120" w:line="240" w:lineRule="auto"/>
        <w:ind w:left="1077" w:hanging="357"/>
        <w:contextualSpacing w:val="0"/>
        <w:rPr>
          <w:rFonts w:ascii="Arial" w:hAnsi="Arial" w:cs="Arial"/>
          <w:sz w:val="24"/>
          <w:szCs w:val="24"/>
        </w:rPr>
      </w:pPr>
      <w:r>
        <w:rPr>
          <w:rFonts w:ascii="Arial" w:hAnsi="Arial" w:cs="Arial"/>
          <w:sz w:val="24"/>
          <w:szCs w:val="24"/>
        </w:rPr>
        <w:t xml:space="preserve">similar </w:t>
      </w:r>
      <w:r w:rsidR="002515AF">
        <w:rPr>
          <w:rFonts w:ascii="Arial" w:hAnsi="Arial" w:cs="Arial"/>
          <w:sz w:val="24"/>
          <w:szCs w:val="24"/>
        </w:rPr>
        <w:t xml:space="preserve">national and </w:t>
      </w:r>
      <w:r>
        <w:rPr>
          <w:rFonts w:ascii="Arial" w:hAnsi="Arial" w:cs="Arial"/>
          <w:sz w:val="24"/>
          <w:szCs w:val="24"/>
        </w:rPr>
        <w:t>international entities</w:t>
      </w:r>
    </w:p>
    <w:p w14:paraId="1373C806" w14:textId="02EF3A6B" w:rsidR="005D7523" w:rsidRDefault="005D7523" w:rsidP="001750D5">
      <w:pPr>
        <w:pStyle w:val="ListParagraph"/>
        <w:numPr>
          <w:ilvl w:val="1"/>
          <w:numId w:val="19"/>
        </w:numPr>
        <w:spacing w:before="120" w:after="120" w:line="240" w:lineRule="auto"/>
        <w:ind w:left="1077" w:hanging="357"/>
        <w:contextualSpacing w:val="0"/>
        <w:rPr>
          <w:rFonts w:ascii="Arial" w:hAnsi="Arial" w:cs="Arial"/>
          <w:sz w:val="24"/>
          <w:szCs w:val="24"/>
        </w:rPr>
      </w:pPr>
      <w:r>
        <w:rPr>
          <w:rFonts w:ascii="Arial" w:hAnsi="Arial" w:cs="Arial"/>
          <w:sz w:val="24"/>
          <w:szCs w:val="24"/>
        </w:rPr>
        <w:t>best practice guidelines and models for regulatory bodies</w:t>
      </w:r>
      <w:r w:rsidR="002515AF">
        <w:rPr>
          <w:rFonts w:ascii="Arial" w:hAnsi="Arial" w:cs="Arial"/>
          <w:sz w:val="24"/>
          <w:szCs w:val="24"/>
        </w:rPr>
        <w:t>, and</w:t>
      </w:r>
    </w:p>
    <w:p w14:paraId="5BCD3D75" w14:textId="2EA0D4A4" w:rsidR="005D7523" w:rsidRDefault="005D7523" w:rsidP="001750D5">
      <w:pPr>
        <w:pStyle w:val="ListParagraph"/>
        <w:numPr>
          <w:ilvl w:val="1"/>
          <w:numId w:val="19"/>
        </w:numPr>
        <w:spacing w:before="120" w:after="120" w:line="240" w:lineRule="auto"/>
        <w:ind w:left="1077" w:hanging="357"/>
        <w:contextualSpacing w:val="0"/>
        <w:rPr>
          <w:rFonts w:ascii="Arial" w:hAnsi="Arial" w:cs="Arial"/>
          <w:sz w:val="24"/>
          <w:szCs w:val="24"/>
        </w:rPr>
      </w:pPr>
      <w:r>
        <w:rPr>
          <w:rFonts w:ascii="Arial" w:hAnsi="Arial" w:cs="Arial"/>
          <w:sz w:val="24"/>
          <w:szCs w:val="24"/>
        </w:rPr>
        <w:t>lessons learned from sector innovations and other social care regulators</w:t>
      </w:r>
      <w:r w:rsidR="002515AF">
        <w:rPr>
          <w:rFonts w:ascii="Arial" w:hAnsi="Arial" w:cs="Arial"/>
          <w:sz w:val="24"/>
          <w:szCs w:val="24"/>
        </w:rPr>
        <w:t>.</w:t>
      </w:r>
    </w:p>
    <w:p w14:paraId="7B413947" w14:textId="1E0ADE00" w:rsidR="005D7523" w:rsidRDefault="005D7523" w:rsidP="005D7523">
      <w:pPr>
        <w:spacing w:before="120" w:line="240" w:lineRule="auto"/>
        <w:rPr>
          <w:rFonts w:ascii="Arial" w:hAnsi="Arial" w:cs="Arial"/>
          <w:sz w:val="24"/>
          <w:szCs w:val="24"/>
        </w:rPr>
      </w:pPr>
      <w:r>
        <w:rPr>
          <w:rFonts w:ascii="Arial" w:hAnsi="Arial" w:cs="Arial"/>
          <w:sz w:val="24"/>
          <w:szCs w:val="24"/>
        </w:rPr>
        <w:t xml:space="preserve">Further detail about the </w:t>
      </w:r>
      <w:r w:rsidR="007456E8">
        <w:rPr>
          <w:rFonts w:ascii="Arial" w:hAnsi="Arial" w:cs="Arial"/>
          <w:sz w:val="24"/>
          <w:szCs w:val="24"/>
        </w:rPr>
        <w:t>R</w:t>
      </w:r>
      <w:r>
        <w:rPr>
          <w:rFonts w:ascii="Arial" w:hAnsi="Arial" w:cs="Arial"/>
          <w:sz w:val="24"/>
          <w:szCs w:val="24"/>
        </w:rPr>
        <w:t>eview consultations and public submission process is at Appendix B.</w:t>
      </w:r>
    </w:p>
    <w:p w14:paraId="21F36A90" w14:textId="77777777" w:rsidR="008B100E" w:rsidRDefault="008B100E" w:rsidP="005D7523">
      <w:pPr>
        <w:spacing w:before="120" w:line="240" w:lineRule="auto"/>
        <w:rPr>
          <w:rFonts w:ascii="Arial" w:hAnsi="Arial" w:cs="Arial"/>
          <w:sz w:val="24"/>
          <w:szCs w:val="24"/>
        </w:rPr>
      </w:pPr>
    </w:p>
    <w:p w14:paraId="6B096525" w14:textId="3C471666" w:rsidR="005446F9" w:rsidRPr="005446F9" w:rsidRDefault="005446F9" w:rsidP="005D7523">
      <w:pPr>
        <w:spacing w:before="120" w:line="240" w:lineRule="auto"/>
        <w:rPr>
          <w:rFonts w:ascii="Arial" w:hAnsi="Arial" w:cs="Arial"/>
          <w:b/>
          <w:bCs/>
          <w:sz w:val="28"/>
          <w:szCs w:val="28"/>
        </w:rPr>
      </w:pPr>
      <w:r w:rsidRPr="005446F9">
        <w:rPr>
          <w:rFonts w:ascii="Arial" w:hAnsi="Arial" w:cs="Arial"/>
          <w:b/>
          <w:bCs/>
          <w:sz w:val="28"/>
          <w:szCs w:val="28"/>
        </w:rPr>
        <w:t>1.</w:t>
      </w:r>
      <w:r w:rsidR="00640563">
        <w:rPr>
          <w:rFonts w:ascii="Arial" w:hAnsi="Arial" w:cs="Arial"/>
          <w:b/>
          <w:bCs/>
          <w:sz w:val="28"/>
          <w:szCs w:val="28"/>
        </w:rPr>
        <w:t>2</w:t>
      </w:r>
      <w:r w:rsidRPr="005446F9">
        <w:rPr>
          <w:rFonts w:ascii="Arial" w:hAnsi="Arial" w:cs="Arial"/>
          <w:b/>
          <w:bCs/>
          <w:sz w:val="28"/>
          <w:szCs w:val="28"/>
        </w:rPr>
        <w:t xml:space="preserve"> Grosvenor </w:t>
      </w:r>
      <w:r w:rsidR="00C04267">
        <w:rPr>
          <w:rFonts w:ascii="Arial" w:hAnsi="Arial" w:cs="Arial"/>
          <w:b/>
          <w:bCs/>
          <w:sz w:val="28"/>
          <w:szCs w:val="28"/>
        </w:rPr>
        <w:t>c</w:t>
      </w:r>
      <w:r w:rsidRPr="005446F9">
        <w:rPr>
          <w:rFonts w:ascii="Arial" w:hAnsi="Arial" w:cs="Arial"/>
          <w:b/>
          <w:bCs/>
          <w:sz w:val="28"/>
          <w:szCs w:val="28"/>
        </w:rPr>
        <w:t xml:space="preserve">apability </w:t>
      </w:r>
      <w:r w:rsidR="00C04267">
        <w:rPr>
          <w:rFonts w:ascii="Arial" w:hAnsi="Arial" w:cs="Arial"/>
          <w:b/>
          <w:bCs/>
          <w:sz w:val="28"/>
          <w:szCs w:val="28"/>
        </w:rPr>
        <w:t>r</w:t>
      </w:r>
      <w:r w:rsidRPr="005446F9">
        <w:rPr>
          <w:rFonts w:ascii="Arial" w:hAnsi="Arial" w:cs="Arial"/>
          <w:b/>
          <w:bCs/>
          <w:sz w:val="28"/>
          <w:szCs w:val="28"/>
        </w:rPr>
        <w:t xml:space="preserve">eview of the </w:t>
      </w:r>
      <w:r w:rsidR="00C04267">
        <w:rPr>
          <w:rFonts w:ascii="Arial" w:hAnsi="Arial" w:cs="Arial"/>
          <w:b/>
          <w:bCs/>
          <w:sz w:val="28"/>
          <w:szCs w:val="28"/>
        </w:rPr>
        <w:t>C</w:t>
      </w:r>
      <w:r w:rsidRPr="005446F9">
        <w:rPr>
          <w:rFonts w:ascii="Arial" w:hAnsi="Arial" w:cs="Arial"/>
          <w:b/>
          <w:bCs/>
          <w:sz w:val="28"/>
          <w:szCs w:val="28"/>
        </w:rPr>
        <w:t>ommission</w:t>
      </w:r>
    </w:p>
    <w:p w14:paraId="5653E083" w14:textId="16120822" w:rsidR="00BD4CCD" w:rsidRDefault="00BD4CCD" w:rsidP="00BD4CCD">
      <w:pPr>
        <w:spacing w:before="120" w:line="240" w:lineRule="auto"/>
        <w:rPr>
          <w:rFonts w:ascii="Arial" w:hAnsi="Arial" w:cs="Arial"/>
          <w:sz w:val="24"/>
          <w:szCs w:val="24"/>
        </w:rPr>
      </w:pPr>
      <w:r>
        <w:rPr>
          <w:rFonts w:ascii="Arial" w:hAnsi="Arial" w:cs="Arial"/>
          <w:sz w:val="24"/>
          <w:szCs w:val="24"/>
        </w:rPr>
        <w:t xml:space="preserve">In March 2021 the Commission engaged </w:t>
      </w:r>
      <w:r w:rsidRPr="00985197">
        <w:rPr>
          <w:rFonts w:ascii="Arial" w:hAnsi="Arial" w:cs="Arial"/>
          <w:sz w:val="24"/>
          <w:szCs w:val="24"/>
        </w:rPr>
        <w:t xml:space="preserve">Grosvenor Public Sector Advisory (Grosvenor) to identify the organisational capabilities required to operate as a contemporary </w:t>
      </w:r>
      <w:r>
        <w:rPr>
          <w:rFonts w:ascii="Arial" w:hAnsi="Arial" w:cs="Arial"/>
          <w:sz w:val="24"/>
          <w:szCs w:val="24"/>
        </w:rPr>
        <w:t>best</w:t>
      </w:r>
      <w:r w:rsidRPr="00985197">
        <w:rPr>
          <w:rFonts w:ascii="Arial" w:hAnsi="Arial" w:cs="Arial"/>
          <w:sz w:val="24"/>
          <w:szCs w:val="24"/>
        </w:rPr>
        <w:t xml:space="preserve"> practice regulator and develop recommendations for the Commission to optimise its performance and impact.</w:t>
      </w:r>
    </w:p>
    <w:p w14:paraId="6AD8DF19" w14:textId="4C61727D" w:rsidR="00BD4CCD" w:rsidRDefault="00BD4CCD" w:rsidP="00BD4CCD">
      <w:pPr>
        <w:spacing w:before="120" w:line="240" w:lineRule="auto"/>
        <w:rPr>
          <w:rFonts w:ascii="Arial" w:hAnsi="Arial" w:cs="Arial"/>
          <w:sz w:val="24"/>
          <w:szCs w:val="24"/>
        </w:rPr>
      </w:pPr>
      <w:r>
        <w:rPr>
          <w:rFonts w:ascii="Arial" w:hAnsi="Arial" w:cs="Arial"/>
          <w:sz w:val="24"/>
          <w:szCs w:val="24"/>
        </w:rPr>
        <w:t xml:space="preserve">Grosvenor delivered its </w:t>
      </w:r>
      <w:r w:rsidR="00145B80">
        <w:rPr>
          <w:rFonts w:ascii="Arial" w:hAnsi="Arial" w:cs="Arial"/>
          <w:sz w:val="24"/>
          <w:szCs w:val="24"/>
        </w:rPr>
        <w:t xml:space="preserve">final </w:t>
      </w:r>
      <w:r>
        <w:rPr>
          <w:rFonts w:ascii="Arial" w:hAnsi="Arial" w:cs="Arial"/>
          <w:sz w:val="24"/>
          <w:szCs w:val="24"/>
        </w:rPr>
        <w:t xml:space="preserve">report </w:t>
      </w:r>
      <w:r w:rsidRPr="00C52AF4">
        <w:rPr>
          <w:rFonts w:ascii="Arial" w:hAnsi="Arial" w:cs="Arial"/>
          <w:i/>
          <w:iCs/>
          <w:sz w:val="24"/>
          <w:szCs w:val="24"/>
        </w:rPr>
        <w:t>Optimising capability to meet current and future challenges</w:t>
      </w:r>
      <w:r w:rsidRPr="00C52AF4">
        <w:rPr>
          <w:rFonts w:ascii="Arial" w:hAnsi="Arial" w:cs="Arial"/>
          <w:sz w:val="24"/>
          <w:szCs w:val="24"/>
        </w:rPr>
        <w:t xml:space="preserve"> </w:t>
      </w:r>
      <w:r>
        <w:rPr>
          <w:rFonts w:ascii="Arial" w:hAnsi="Arial" w:cs="Arial"/>
          <w:sz w:val="24"/>
          <w:szCs w:val="24"/>
        </w:rPr>
        <w:t>in December 202</w:t>
      </w:r>
      <w:r w:rsidR="00AF5A6D">
        <w:rPr>
          <w:rFonts w:ascii="Arial" w:hAnsi="Arial" w:cs="Arial"/>
          <w:sz w:val="24"/>
          <w:szCs w:val="24"/>
        </w:rPr>
        <w:t>1</w:t>
      </w:r>
      <w:r>
        <w:rPr>
          <w:rFonts w:ascii="Arial" w:hAnsi="Arial" w:cs="Arial"/>
          <w:sz w:val="24"/>
          <w:szCs w:val="24"/>
        </w:rPr>
        <w:t xml:space="preserve">. The report findings, conclusions and recommendations are summarised at </w:t>
      </w:r>
      <w:r w:rsidRPr="00BD4CCD">
        <w:rPr>
          <w:rFonts w:ascii="Arial" w:hAnsi="Arial" w:cs="Arial"/>
          <w:sz w:val="24"/>
          <w:szCs w:val="24"/>
        </w:rPr>
        <w:t>Appendix C.</w:t>
      </w:r>
    </w:p>
    <w:p w14:paraId="1CF3B64C" w14:textId="680D24C6" w:rsidR="00BD4CCD" w:rsidRPr="00985197" w:rsidRDefault="003D44CB" w:rsidP="00BD4CCD">
      <w:pPr>
        <w:spacing w:before="120" w:line="240" w:lineRule="auto"/>
        <w:rPr>
          <w:rFonts w:ascii="Arial" w:hAnsi="Arial" w:cs="Arial"/>
          <w:sz w:val="24"/>
          <w:szCs w:val="24"/>
        </w:rPr>
      </w:pPr>
      <w:r>
        <w:rPr>
          <w:rFonts w:ascii="Arial" w:hAnsi="Arial" w:cs="Arial"/>
          <w:sz w:val="24"/>
          <w:szCs w:val="24"/>
        </w:rPr>
        <w:t>My</w:t>
      </w:r>
      <w:r w:rsidR="00BD4CCD">
        <w:rPr>
          <w:rFonts w:ascii="Arial" w:hAnsi="Arial" w:cs="Arial"/>
          <w:sz w:val="24"/>
          <w:szCs w:val="24"/>
        </w:rPr>
        <w:t xml:space="preserve"> own research and consultations have echoed many of Grosvenor’s conclusions about the need for the Commission to lift core capabilities </w:t>
      </w:r>
      <w:r w:rsidR="00BD4CCD" w:rsidRPr="00985197">
        <w:rPr>
          <w:rFonts w:ascii="Arial" w:hAnsi="Arial" w:cs="Arial"/>
          <w:sz w:val="24"/>
          <w:szCs w:val="24"/>
        </w:rPr>
        <w:t>to meet current and future requirements.</w:t>
      </w:r>
    </w:p>
    <w:p w14:paraId="4CA550F5" w14:textId="5B48AB27" w:rsidR="00BD4CCD" w:rsidRDefault="00BD4CCD" w:rsidP="00BD4CCD">
      <w:pPr>
        <w:spacing w:before="120" w:line="240" w:lineRule="auto"/>
        <w:rPr>
          <w:rFonts w:ascii="Arial" w:hAnsi="Arial" w:cs="Arial"/>
          <w:sz w:val="24"/>
          <w:szCs w:val="24"/>
        </w:rPr>
      </w:pPr>
      <w:r>
        <w:rPr>
          <w:rFonts w:ascii="Arial" w:hAnsi="Arial" w:cs="Arial"/>
          <w:sz w:val="24"/>
          <w:szCs w:val="24"/>
        </w:rPr>
        <w:t xml:space="preserve">I also acknowledge that the Commission has taken some actions in response to the Grosvenor findings </w:t>
      </w:r>
      <w:r w:rsidR="000D658C">
        <w:rPr>
          <w:rFonts w:ascii="Arial" w:hAnsi="Arial" w:cs="Arial"/>
          <w:sz w:val="24"/>
          <w:szCs w:val="24"/>
        </w:rPr>
        <w:t xml:space="preserve">including developing </w:t>
      </w:r>
      <w:proofErr w:type="gramStart"/>
      <w:r w:rsidR="000D658C">
        <w:rPr>
          <w:rFonts w:ascii="Arial" w:hAnsi="Arial" w:cs="Arial"/>
          <w:sz w:val="24"/>
          <w:szCs w:val="24"/>
        </w:rPr>
        <w:t>a number of</w:t>
      </w:r>
      <w:proofErr w:type="gramEnd"/>
      <w:r w:rsidR="000D658C">
        <w:rPr>
          <w:rFonts w:ascii="Arial" w:hAnsi="Arial" w:cs="Arial"/>
          <w:sz w:val="24"/>
          <w:szCs w:val="24"/>
        </w:rPr>
        <w:t xml:space="preserve"> strategies, plan</w:t>
      </w:r>
      <w:r w:rsidR="00CB0104">
        <w:rPr>
          <w:rFonts w:ascii="Arial" w:hAnsi="Arial" w:cs="Arial"/>
          <w:sz w:val="24"/>
          <w:szCs w:val="24"/>
        </w:rPr>
        <w:t>s</w:t>
      </w:r>
      <w:r w:rsidR="000D658C">
        <w:rPr>
          <w:rFonts w:ascii="Arial" w:hAnsi="Arial" w:cs="Arial"/>
          <w:sz w:val="24"/>
          <w:szCs w:val="24"/>
        </w:rPr>
        <w:t xml:space="preserve"> and frameworks (see </w:t>
      </w:r>
      <w:r w:rsidR="00987DE8">
        <w:rPr>
          <w:rFonts w:ascii="Arial" w:hAnsi="Arial" w:cs="Arial"/>
          <w:sz w:val="24"/>
          <w:szCs w:val="24"/>
        </w:rPr>
        <w:t xml:space="preserve">Section </w:t>
      </w:r>
      <w:r w:rsidR="000D658C">
        <w:rPr>
          <w:rFonts w:ascii="Arial" w:hAnsi="Arial" w:cs="Arial"/>
          <w:sz w:val="24"/>
          <w:szCs w:val="24"/>
        </w:rPr>
        <w:t>3</w:t>
      </w:r>
      <w:r w:rsidR="00987DE8">
        <w:rPr>
          <w:rFonts w:ascii="Arial" w:hAnsi="Arial" w:cs="Arial"/>
          <w:sz w:val="24"/>
          <w:szCs w:val="24"/>
        </w:rPr>
        <w:t>.9</w:t>
      </w:r>
      <w:r w:rsidR="000D658C">
        <w:rPr>
          <w:rFonts w:ascii="Arial" w:hAnsi="Arial" w:cs="Arial"/>
          <w:sz w:val="24"/>
          <w:szCs w:val="24"/>
        </w:rPr>
        <w:t xml:space="preserve">), </w:t>
      </w:r>
      <w:r>
        <w:rPr>
          <w:rFonts w:ascii="Arial" w:hAnsi="Arial" w:cs="Arial"/>
          <w:sz w:val="24"/>
          <w:szCs w:val="24"/>
        </w:rPr>
        <w:t xml:space="preserve">and has further actions planned. </w:t>
      </w:r>
    </w:p>
    <w:p w14:paraId="5FDA4683" w14:textId="770C611C" w:rsidR="001364C7" w:rsidRDefault="00BD4CCD" w:rsidP="00640563">
      <w:pPr>
        <w:spacing w:before="120" w:line="240" w:lineRule="auto"/>
        <w:rPr>
          <w:rFonts w:ascii="Arial" w:hAnsi="Arial" w:cs="Arial"/>
          <w:sz w:val="24"/>
          <w:szCs w:val="24"/>
        </w:rPr>
      </w:pPr>
      <w:r>
        <w:rPr>
          <w:rFonts w:ascii="Arial" w:hAnsi="Arial" w:cs="Arial"/>
          <w:sz w:val="24"/>
          <w:szCs w:val="24"/>
        </w:rPr>
        <w:t>Grosvenor’s findings are referenced throughout the report.</w:t>
      </w:r>
    </w:p>
    <w:p w14:paraId="30F6578C" w14:textId="77777777" w:rsidR="001364C7" w:rsidRDefault="001364C7">
      <w:pPr>
        <w:rPr>
          <w:rFonts w:ascii="Arial" w:hAnsi="Arial" w:cs="Arial"/>
          <w:sz w:val="24"/>
          <w:szCs w:val="24"/>
        </w:rPr>
      </w:pPr>
      <w:r>
        <w:rPr>
          <w:rFonts w:ascii="Arial" w:hAnsi="Arial" w:cs="Arial"/>
          <w:sz w:val="24"/>
          <w:szCs w:val="24"/>
        </w:rPr>
        <w:br w:type="page"/>
      </w:r>
    </w:p>
    <w:p w14:paraId="6245CF76" w14:textId="2705B6BA" w:rsidR="00A24F4F" w:rsidRPr="002515AF" w:rsidRDefault="009A3906" w:rsidP="00A24F4F">
      <w:pPr>
        <w:spacing w:before="120" w:line="240" w:lineRule="auto"/>
        <w:rPr>
          <w:rFonts w:ascii="Arial" w:hAnsi="Arial" w:cs="Arial"/>
          <w:b/>
          <w:bCs/>
          <w:sz w:val="28"/>
          <w:szCs w:val="28"/>
        </w:rPr>
      </w:pPr>
      <w:r w:rsidRPr="002515AF">
        <w:rPr>
          <w:rFonts w:ascii="Arial" w:hAnsi="Arial" w:cs="Arial"/>
          <w:b/>
          <w:bCs/>
          <w:sz w:val="28"/>
          <w:szCs w:val="28"/>
        </w:rPr>
        <w:lastRenderedPageBreak/>
        <w:t>1.</w:t>
      </w:r>
      <w:r w:rsidR="00723451">
        <w:rPr>
          <w:rFonts w:ascii="Arial" w:hAnsi="Arial" w:cs="Arial"/>
          <w:b/>
          <w:bCs/>
          <w:sz w:val="28"/>
          <w:szCs w:val="28"/>
        </w:rPr>
        <w:t>3</w:t>
      </w:r>
      <w:r w:rsidRPr="002515AF">
        <w:rPr>
          <w:rFonts w:ascii="Arial" w:hAnsi="Arial" w:cs="Arial"/>
          <w:b/>
          <w:bCs/>
          <w:sz w:val="28"/>
          <w:szCs w:val="28"/>
        </w:rPr>
        <w:t xml:space="preserve"> </w:t>
      </w:r>
      <w:r w:rsidR="00A24F4F" w:rsidRPr="002515AF">
        <w:rPr>
          <w:rFonts w:ascii="Arial" w:hAnsi="Arial" w:cs="Arial"/>
          <w:b/>
          <w:bCs/>
          <w:sz w:val="28"/>
          <w:szCs w:val="28"/>
        </w:rPr>
        <w:t>Relationship between the Review and the Australian Public Service Commission (APSC) Capability Review Framework</w:t>
      </w:r>
    </w:p>
    <w:p w14:paraId="2B34D76E" w14:textId="0DDACE3D" w:rsidR="00A24F4F" w:rsidRDefault="00A24F4F" w:rsidP="00A24F4F">
      <w:pPr>
        <w:spacing w:after="0"/>
        <w:rPr>
          <w:rFonts w:ascii="Arial" w:hAnsi="Arial" w:cs="Arial"/>
          <w:sz w:val="24"/>
          <w:szCs w:val="24"/>
        </w:rPr>
      </w:pPr>
      <w:r>
        <w:rPr>
          <w:rFonts w:ascii="Arial" w:hAnsi="Arial" w:cs="Arial"/>
          <w:sz w:val="24"/>
          <w:szCs w:val="24"/>
        </w:rPr>
        <w:t xml:space="preserve">The APSC Capability Review Framework has five core domains </w:t>
      </w:r>
      <w:r w:rsidR="003D44CB">
        <w:rPr>
          <w:rFonts w:ascii="Arial" w:hAnsi="Arial" w:cs="Arial"/>
          <w:sz w:val="24"/>
          <w:szCs w:val="24"/>
        </w:rPr>
        <w:t>covering</w:t>
      </w:r>
      <w:r w:rsidR="00CB0104">
        <w:rPr>
          <w:rFonts w:ascii="Arial" w:hAnsi="Arial" w:cs="Arial"/>
          <w:sz w:val="24"/>
          <w:szCs w:val="24"/>
        </w:rPr>
        <w:t xml:space="preserve"> </w:t>
      </w:r>
      <w:r>
        <w:rPr>
          <w:rFonts w:ascii="Arial" w:hAnsi="Arial" w:cs="Arial"/>
          <w:sz w:val="24"/>
          <w:szCs w:val="24"/>
        </w:rPr>
        <w:t>(1) Leadership and Culture, (2) Collaboration, (3) Delivery, (4) People and Resourcing and (5) Risk.</w:t>
      </w:r>
    </w:p>
    <w:p w14:paraId="25397094" w14:textId="77777777" w:rsidR="00A24F4F" w:rsidRDefault="00A24F4F" w:rsidP="00A24F4F">
      <w:pPr>
        <w:spacing w:after="0"/>
        <w:rPr>
          <w:rFonts w:ascii="Arial" w:hAnsi="Arial" w:cs="Arial"/>
          <w:sz w:val="24"/>
          <w:szCs w:val="24"/>
        </w:rPr>
      </w:pPr>
    </w:p>
    <w:p w14:paraId="27A09A89" w14:textId="7655FC7B" w:rsidR="00A24F4F" w:rsidRDefault="00A24F4F" w:rsidP="00A24F4F">
      <w:pPr>
        <w:spacing w:after="0"/>
        <w:rPr>
          <w:rFonts w:ascii="Arial" w:hAnsi="Arial" w:cs="Arial"/>
          <w:sz w:val="24"/>
          <w:szCs w:val="24"/>
        </w:rPr>
      </w:pPr>
      <w:r>
        <w:rPr>
          <w:rFonts w:ascii="Arial" w:hAnsi="Arial" w:cs="Arial"/>
          <w:sz w:val="24"/>
          <w:szCs w:val="24"/>
        </w:rPr>
        <w:t>While th</w:t>
      </w:r>
      <w:r w:rsidR="00D20410">
        <w:rPr>
          <w:rFonts w:ascii="Arial" w:hAnsi="Arial" w:cs="Arial"/>
          <w:sz w:val="24"/>
          <w:szCs w:val="24"/>
        </w:rPr>
        <w:t>is</w:t>
      </w:r>
      <w:r>
        <w:rPr>
          <w:rFonts w:ascii="Arial" w:hAnsi="Arial" w:cs="Arial"/>
          <w:sz w:val="24"/>
          <w:szCs w:val="24"/>
        </w:rPr>
        <w:t xml:space="preserve"> Review has specific Terms of Reference that inform </w:t>
      </w:r>
      <w:r w:rsidR="00D20410">
        <w:rPr>
          <w:rFonts w:ascii="Arial" w:hAnsi="Arial" w:cs="Arial"/>
          <w:sz w:val="24"/>
          <w:szCs w:val="24"/>
        </w:rPr>
        <w:t>its</w:t>
      </w:r>
      <w:r>
        <w:rPr>
          <w:rFonts w:ascii="Arial" w:hAnsi="Arial" w:cs="Arial"/>
          <w:sz w:val="24"/>
          <w:szCs w:val="24"/>
        </w:rPr>
        <w:t xml:space="preserve"> focus, it does have regard to the five domains of the APSC Capability Review Framework, and they are embedded in all aspects of this Review.</w:t>
      </w:r>
    </w:p>
    <w:p w14:paraId="08B7B73E" w14:textId="4E7F68E2" w:rsidR="00AB4DD1" w:rsidRDefault="00AB4DD1" w:rsidP="008B100E">
      <w:pPr>
        <w:spacing w:before="120" w:line="240" w:lineRule="auto"/>
        <w:rPr>
          <w:rFonts w:ascii="Arial" w:hAnsi="Arial" w:cs="Arial"/>
          <w:sz w:val="24"/>
          <w:szCs w:val="24"/>
        </w:rPr>
      </w:pPr>
    </w:p>
    <w:p w14:paraId="715E1048" w14:textId="77777777" w:rsidR="00723451" w:rsidRPr="002515AF" w:rsidRDefault="00723451" w:rsidP="00723451">
      <w:pPr>
        <w:tabs>
          <w:tab w:val="right" w:leader="dot" w:pos="9016"/>
        </w:tabs>
        <w:spacing w:after="100" w:line="240" w:lineRule="auto"/>
        <w:rPr>
          <w:rFonts w:ascii="Arial" w:hAnsi="Arial" w:cs="Arial"/>
          <w:b/>
          <w:bCs/>
          <w:sz w:val="28"/>
          <w:szCs w:val="28"/>
        </w:rPr>
      </w:pPr>
      <w:r w:rsidRPr="002515AF">
        <w:rPr>
          <w:rFonts w:ascii="Arial" w:hAnsi="Arial" w:cs="Arial"/>
          <w:b/>
          <w:bCs/>
          <w:sz w:val="28"/>
          <w:szCs w:val="28"/>
        </w:rPr>
        <w:t>1.</w:t>
      </w:r>
      <w:r>
        <w:rPr>
          <w:rFonts w:ascii="Arial" w:hAnsi="Arial" w:cs="Arial"/>
          <w:b/>
          <w:bCs/>
          <w:sz w:val="28"/>
          <w:szCs w:val="28"/>
        </w:rPr>
        <w:t>4</w:t>
      </w:r>
      <w:r w:rsidRPr="002515AF">
        <w:rPr>
          <w:rFonts w:ascii="Arial" w:hAnsi="Arial" w:cs="Arial"/>
          <w:b/>
          <w:bCs/>
          <w:sz w:val="28"/>
          <w:szCs w:val="28"/>
        </w:rPr>
        <w:t xml:space="preserve"> Report roadmap</w:t>
      </w:r>
    </w:p>
    <w:p w14:paraId="40A39111" w14:textId="77777777" w:rsidR="00723451" w:rsidRPr="00EC4CED" w:rsidRDefault="00723451" w:rsidP="00723451">
      <w:pPr>
        <w:shd w:val="clear" w:color="auto" w:fill="FFFFFF" w:themeFill="background1"/>
        <w:spacing w:after="120" w:line="240" w:lineRule="auto"/>
        <w:rPr>
          <w:rFonts w:ascii="Arial" w:hAnsi="Arial" w:cs="Arial"/>
          <w:sz w:val="24"/>
          <w:szCs w:val="24"/>
          <w:lang w:val="en-US"/>
        </w:rPr>
      </w:pPr>
      <w:r>
        <w:rPr>
          <w:rFonts w:ascii="Arial" w:hAnsi="Arial" w:cs="Arial"/>
          <w:sz w:val="24"/>
          <w:szCs w:val="24"/>
          <w:lang w:val="en-US"/>
        </w:rPr>
        <w:t>The report is structured across six</w:t>
      </w:r>
      <w:r w:rsidRPr="00EC4CED">
        <w:rPr>
          <w:rFonts w:ascii="Arial" w:hAnsi="Arial" w:cs="Arial"/>
          <w:sz w:val="24"/>
          <w:szCs w:val="24"/>
          <w:lang w:val="en-US"/>
        </w:rPr>
        <w:t xml:space="preserve"> </w:t>
      </w:r>
      <w:r>
        <w:rPr>
          <w:rFonts w:ascii="Arial" w:hAnsi="Arial" w:cs="Arial"/>
          <w:sz w:val="24"/>
          <w:szCs w:val="24"/>
          <w:lang w:val="en-US"/>
        </w:rPr>
        <w:t>chapters.</w:t>
      </w:r>
    </w:p>
    <w:p w14:paraId="5E011D34" w14:textId="77777777" w:rsidR="00723451" w:rsidRPr="00AC109A" w:rsidRDefault="00723451" w:rsidP="00723451">
      <w:pPr>
        <w:shd w:val="clear" w:color="auto" w:fill="FFFFFF" w:themeFill="background1"/>
        <w:spacing w:before="120" w:after="120" w:line="240" w:lineRule="auto"/>
        <w:rPr>
          <w:rFonts w:ascii="Arial" w:hAnsi="Arial" w:cs="Arial"/>
          <w:b/>
          <w:color w:val="000000" w:themeColor="text1"/>
          <w:sz w:val="24"/>
          <w:szCs w:val="24"/>
          <w:lang w:val="en-US"/>
        </w:rPr>
      </w:pPr>
      <w:r w:rsidRPr="00AC109A">
        <w:rPr>
          <w:rFonts w:ascii="Arial" w:hAnsi="Arial" w:cs="Arial"/>
          <w:b/>
          <w:i/>
          <w:iCs/>
          <w:color w:val="000000" w:themeColor="text1"/>
          <w:sz w:val="24"/>
          <w:szCs w:val="24"/>
          <w:lang w:val="en-US"/>
        </w:rPr>
        <w:t>Chapter 1: Introduction</w:t>
      </w:r>
    </w:p>
    <w:p w14:paraId="6BCA4089" w14:textId="77777777" w:rsidR="00723451" w:rsidRPr="00AC109A" w:rsidRDefault="00723451" w:rsidP="00723451">
      <w:pPr>
        <w:shd w:val="clear" w:color="auto" w:fill="FFFFFF" w:themeFill="background1"/>
        <w:spacing w:before="120" w:after="120" w:line="240" w:lineRule="auto"/>
        <w:rPr>
          <w:rFonts w:ascii="Arial" w:hAnsi="Arial" w:cs="Arial"/>
          <w:color w:val="000000" w:themeColor="text1"/>
          <w:sz w:val="24"/>
          <w:szCs w:val="24"/>
          <w:lang w:val="en-US"/>
        </w:rPr>
      </w:pPr>
      <w:r>
        <w:rPr>
          <w:rFonts w:ascii="Arial" w:hAnsi="Arial" w:cs="Arial"/>
          <w:color w:val="000000" w:themeColor="text1"/>
          <w:sz w:val="24"/>
          <w:szCs w:val="24"/>
          <w:lang w:val="en-US"/>
        </w:rPr>
        <w:t>This Chapter includes the Royal Commission recommendations relating to the Review, the Review scope and methodology, and the relationship between this Review and other capability reviews.</w:t>
      </w:r>
    </w:p>
    <w:p w14:paraId="491AB025" w14:textId="77777777" w:rsidR="00723451" w:rsidRDefault="00723451" w:rsidP="00723451">
      <w:pPr>
        <w:shd w:val="clear" w:color="auto" w:fill="FFFFFF" w:themeFill="background1"/>
        <w:spacing w:before="120" w:after="120" w:line="240" w:lineRule="auto"/>
        <w:rPr>
          <w:rFonts w:ascii="Arial" w:hAnsi="Arial" w:cs="Arial"/>
          <w:b/>
          <w:i/>
          <w:iCs/>
          <w:color w:val="000000" w:themeColor="text1"/>
          <w:sz w:val="24"/>
          <w:szCs w:val="24"/>
          <w:lang w:val="en-US"/>
        </w:rPr>
      </w:pPr>
      <w:r>
        <w:rPr>
          <w:rFonts w:ascii="Arial" w:hAnsi="Arial" w:cs="Arial"/>
          <w:b/>
          <w:i/>
          <w:iCs/>
          <w:color w:val="000000" w:themeColor="text1"/>
          <w:sz w:val="24"/>
          <w:szCs w:val="24"/>
          <w:lang w:val="en-US"/>
        </w:rPr>
        <w:t>Chapter 2: Review recommendations and Action Plan</w:t>
      </w:r>
    </w:p>
    <w:p w14:paraId="1FE45655" w14:textId="2555345F" w:rsidR="00723451" w:rsidRPr="00AC109A" w:rsidRDefault="00CB0104" w:rsidP="00723451">
      <w:pPr>
        <w:shd w:val="clear" w:color="auto" w:fill="FFFFFF" w:themeFill="background1"/>
        <w:spacing w:before="120" w:after="120" w:line="240" w:lineRule="auto"/>
        <w:rPr>
          <w:rFonts w:ascii="Arial" w:hAnsi="Arial" w:cs="Arial"/>
          <w:bCs/>
          <w:color w:val="000000" w:themeColor="text1"/>
          <w:sz w:val="24"/>
          <w:szCs w:val="24"/>
          <w:lang w:val="en-US"/>
        </w:rPr>
      </w:pPr>
      <w:r>
        <w:rPr>
          <w:rFonts w:ascii="Arial" w:hAnsi="Arial" w:cs="Arial"/>
          <w:bCs/>
          <w:color w:val="000000" w:themeColor="text1"/>
          <w:sz w:val="24"/>
          <w:szCs w:val="24"/>
          <w:lang w:val="en-US"/>
        </w:rPr>
        <w:t>This C</w:t>
      </w:r>
      <w:r w:rsidR="00723451">
        <w:rPr>
          <w:rFonts w:ascii="Arial" w:hAnsi="Arial" w:cs="Arial"/>
          <w:bCs/>
          <w:color w:val="000000" w:themeColor="text1"/>
          <w:sz w:val="24"/>
          <w:szCs w:val="24"/>
          <w:lang w:val="en-US"/>
        </w:rPr>
        <w:t xml:space="preserve">hapter </w:t>
      </w:r>
      <w:r>
        <w:rPr>
          <w:rFonts w:ascii="Arial" w:hAnsi="Arial" w:cs="Arial"/>
          <w:bCs/>
          <w:color w:val="000000" w:themeColor="text1"/>
          <w:sz w:val="24"/>
          <w:szCs w:val="24"/>
          <w:lang w:val="en-US"/>
        </w:rPr>
        <w:t>contains</w:t>
      </w:r>
      <w:r w:rsidR="00723451">
        <w:rPr>
          <w:rFonts w:ascii="Arial" w:hAnsi="Arial" w:cs="Arial"/>
          <w:bCs/>
          <w:color w:val="000000" w:themeColor="text1"/>
          <w:sz w:val="24"/>
          <w:szCs w:val="24"/>
          <w:lang w:val="en-US"/>
        </w:rPr>
        <w:t xml:space="preserve"> a summary table of recommendations and an action plan for implementation.</w:t>
      </w:r>
    </w:p>
    <w:p w14:paraId="15D0BB05" w14:textId="77777777" w:rsidR="00723451" w:rsidRPr="00AC109A" w:rsidRDefault="00723451" w:rsidP="00723451">
      <w:pPr>
        <w:shd w:val="clear" w:color="auto" w:fill="FFFFFF" w:themeFill="background1"/>
        <w:spacing w:before="120" w:after="120" w:line="240" w:lineRule="auto"/>
        <w:rPr>
          <w:rFonts w:ascii="Arial" w:hAnsi="Arial" w:cs="Arial"/>
          <w:b/>
          <w:i/>
          <w:iCs/>
          <w:color w:val="000000" w:themeColor="text1"/>
          <w:sz w:val="24"/>
          <w:szCs w:val="24"/>
          <w:lang w:val="en-US"/>
        </w:rPr>
      </w:pPr>
      <w:r w:rsidRPr="00AC109A">
        <w:rPr>
          <w:rFonts w:ascii="Arial" w:hAnsi="Arial" w:cs="Arial"/>
          <w:b/>
          <w:i/>
          <w:iCs/>
          <w:color w:val="000000" w:themeColor="text1"/>
          <w:sz w:val="24"/>
          <w:szCs w:val="24"/>
          <w:lang w:val="en-US"/>
        </w:rPr>
        <w:t xml:space="preserve">Chapter </w:t>
      </w:r>
      <w:r>
        <w:rPr>
          <w:rFonts w:ascii="Arial" w:hAnsi="Arial" w:cs="Arial"/>
          <w:b/>
          <w:i/>
          <w:iCs/>
          <w:color w:val="000000" w:themeColor="text1"/>
          <w:sz w:val="24"/>
          <w:szCs w:val="24"/>
          <w:lang w:val="en-US"/>
        </w:rPr>
        <w:t>3</w:t>
      </w:r>
      <w:r w:rsidRPr="00AC109A">
        <w:rPr>
          <w:rFonts w:ascii="Arial" w:hAnsi="Arial" w:cs="Arial"/>
          <w:b/>
          <w:i/>
          <w:iCs/>
          <w:color w:val="000000" w:themeColor="text1"/>
          <w:sz w:val="24"/>
          <w:szCs w:val="24"/>
          <w:lang w:val="en-US"/>
        </w:rPr>
        <w:t>: Context</w:t>
      </w:r>
    </w:p>
    <w:p w14:paraId="03A374E1" w14:textId="645B9634" w:rsidR="00723451" w:rsidRDefault="00723451" w:rsidP="00723451">
      <w:pPr>
        <w:shd w:val="clear" w:color="auto" w:fill="FFFFFF" w:themeFill="background1"/>
        <w:spacing w:before="120" w:after="120" w:line="240" w:lineRule="auto"/>
        <w:rPr>
          <w:rFonts w:ascii="Arial" w:hAnsi="Arial" w:cs="Arial"/>
          <w:color w:val="000000" w:themeColor="text1"/>
          <w:sz w:val="24"/>
          <w:szCs w:val="24"/>
          <w:lang w:val="en-US"/>
        </w:rPr>
      </w:pPr>
      <w:r w:rsidRPr="00AC109A">
        <w:rPr>
          <w:rFonts w:ascii="Arial" w:hAnsi="Arial" w:cs="Arial"/>
          <w:color w:val="000000" w:themeColor="text1"/>
          <w:sz w:val="24"/>
          <w:szCs w:val="24"/>
          <w:lang w:val="en-US"/>
        </w:rPr>
        <w:t xml:space="preserve">This </w:t>
      </w:r>
      <w:r w:rsidR="00CB0104">
        <w:rPr>
          <w:rFonts w:ascii="Arial" w:hAnsi="Arial" w:cs="Arial"/>
          <w:color w:val="000000" w:themeColor="text1"/>
          <w:sz w:val="24"/>
          <w:szCs w:val="24"/>
          <w:lang w:val="en-US"/>
        </w:rPr>
        <w:t>C</w:t>
      </w:r>
      <w:r w:rsidRPr="00AC109A">
        <w:rPr>
          <w:rFonts w:ascii="Arial" w:hAnsi="Arial" w:cs="Arial"/>
          <w:color w:val="000000" w:themeColor="text1"/>
          <w:sz w:val="24"/>
          <w:szCs w:val="24"/>
          <w:lang w:val="en-US"/>
        </w:rPr>
        <w:t xml:space="preserve">hapter provides </w:t>
      </w:r>
      <w:r>
        <w:rPr>
          <w:rFonts w:ascii="Arial" w:hAnsi="Arial" w:cs="Arial"/>
          <w:color w:val="000000" w:themeColor="text1"/>
          <w:sz w:val="24"/>
          <w:szCs w:val="24"/>
          <w:lang w:val="en-US"/>
        </w:rPr>
        <w:t>background on the Commission’s origins, current operating environment</w:t>
      </w:r>
      <w:r w:rsidR="00CB0104">
        <w:rPr>
          <w:rFonts w:ascii="Arial" w:hAnsi="Arial" w:cs="Arial"/>
          <w:color w:val="000000" w:themeColor="text1"/>
          <w:sz w:val="24"/>
          <w:szCs w:val="24"/>
          <w:lang w:val="en-US"/>
        </w:rPr>
        <w:t xml:space="preserve"> and </w:t>
      </w:r>
      <w:r>
        <w:rPr>
          <w:rFonts w:ascii="Arial" w:hAnsi="Arial" w:cs="Arial"/>
          <w:color w:val="000000" w:themeColor="text1"/>
          <w:sz w:val="24"/>
          <w:szCs w:val="24"/>
          <w:lang w:val="en-US"/>
        </w:rPr>
        <w:t>strategic regulatory approach, and a summary of the barriers and challenges it faces in delivering its functions.</w:t>
      </w:r>
    </w:p>
    <w:p w14:paraId="30C788D9" w14:textId="77777777" w:rsidR="00723451" w:rsidRPr="004025D7" w:rsidRDefault="00723451" w:rsidP="00723451">
      <w:pPr>
        <w:shd w:val="clear" w:color="auto" w:fill="FFFFFF" w:themeFill="background1"/>
        <w:spacing w:before="120" w:after="120" w:line="240" w:lineRule="auto"/>
        <w:rPr>
          <w:rFonts w:ascii="Arial" w:hAnsi="Arial" w:cs="Arial"/>
          <w:b/>
          <w:bCs/>
          <w:color w:val="000000" w:themeColor="text1"/>
          <w:sz w:val="24"/>
          <w:szCs w:val="24"/>
          <w:lang w:val="en-US"/>
        </w:rPr>
      </w:pPr>
      <w:r w:rsidRPr="004025D7">
        <w:rPr>
          <w:rFonts w:ascii="Arial" w:hAnsi="Arial" w:cs="Arial"/>
          <w:b/>
          <w:bCs/>
          <w:i/>
          <w:iCs/>
          <w:color w:val="000000" w:themeColor="text1"/>
          <w:sz w:val="24"/>
          <w:szCs w:val="24"/>
          <w:lang w:val="en-US"/>
        </w:rPr>
        <w:t xml:space="preserve">Chapter </w:t>
      </w:r>
      <w:r>
        <w:rPr>
          <w:rFonts w:ascii="Arial" w:hAnsi="Arial" w:cs="Arial"/>
          <w:b/>
          <w:bCs/>
          <w:i/>
          <w:iCs/>
          <w:color w:val="000000" w:themeColor="text1"/>
          <w:sz w:val="24"/>
          <w:szCs w:val="24"/>
          <w:lang w:val="en-US"/>
        </w:rPr>
        <w:t>4</w:t>
      </w:r>
      <w:r w:rsidRPr="004025D7">
        <w:rPr>
          <w:rFonts w:ascii="Arial" w:hAnsi="Arial" w:cs="Arial"/>
          <w:b/>
          <w:bCs/>
          <w:i/>
          <w:iCs/>
          <w:color w:val="000000" w:themeColor="text1"/>
          <w:sz w:val="24"/>
          <w:szCs w:val="24"/>
          <w:lang w:val="en-US"/>
        </w:rPr>
        <w:t>: Towards a contemporary, high performing risk-based regulator</w:t>
      </w:r>
      <w:r w:rsidRPr="004025D7">
        <w:rPr>
          <w:rFonts w:ascii="Arial" w:hAnsi="Arial" w:cs="Arial"/>
          <w:b/>
          <w:bCs/>
          <w:color w:val="000000" w:themeColor="text1"/>
          <w:sz w:val="24"/>
          <w:szCs w:val="24"/>
          <w:lang w:val="en-US"/>
        </w:rPr>
        <w:t xml:space="preserve"> </w:t>
      </w:r>
    </w:p>
    <w:p w14:paraId="71D9ADA4" w14:textId="77777777" w:rsidR="00723451" w:rsidRPr="00AC109A" w:rsidRDefault="00723451" w:rsidP="00723451">
      <w:pPr>
        <w:shd w:val="clear" w:color="auto" w:fill="FFFFFF" w:themeFill="background1"/>
        <w:spacing w:before="120" w:after="120" w:line="240" w:lineRule="auto"/>
        <w:rPr>
          <w:rFonts w:ascii="Arial" w:hAnsi="Arial" w:cs="Arial"/>
          <w:sz w:val="24"/>
          <w:szCs w:val="24"/>
          <w:lang w:val="en-US"/>
        </w:rPr>
      </w:pPr>
      <w:r>
        <w:rPr>
          <w:rFonts w:ascii="Arial" w:hAnsi="Arial" w:cs="Arial"/>
          <w:color w:val="000000" w:themeColor="text1"/>
          <w:sz w:val="24"/>
          <w:szCs w:val="24"/>
          <w:lang w:val="en-US"/>
        </w:rPr>
        <w:t xml:space="preserve">Against a set of key </w:t>
      </w:r>
      <w:proofErr w:type="spellStart"/>
      <w:r>
        <w:rPr>
          <w:rFonts w:ascii="Arial" w:hAnsi="Arial" w:cs="Arial"/>
          <w:color w:val="000000" w:themeColor="text1"/>
          <w:sz w:val="24"/>
          <w:szCs w:val="24"/>
          <w:lang w:val="en-US"/>
        </w:rPr>
        <w:t>organisational</w:t>
      </w:r>
      <w:proofErr w:type="spellEnd"/>
      <w:r>
        <w:rPr>
          <w:rFonts w:ascii="Arial" w:hAnsi="Arial" w:cs="Arial"/>
          <w:color w:val="000000" w:themeColor="text1"/>
          <w:sz w:val="24"/>
          <w:szCs w:val="24"/>
          <w:lang w:val="en-US"/>
        </w:rPr>
        <w:t xml:space="preserve"> and regulatory enablers, this Chapter discusses regulatory best practice principles and the Commission’s current </w:t>
      </w:r>
      <w:proofErr w:type="gramStart"/>
      <w:r>
        <w:rPr>
          <w:rFonts w:ascii="Arial" w:hAnsi="Arial" w:cs="Arial"/>
          <w:color w:val="000000" w:themeColor="text1"/>
          <w:sz w:val="24"/>
          <w:szCs w:val="24"/>
          <w:lang w:val="en-US"/>
        </w:rPr>
        <w:t>capability, and</w:t>
      </w:r>
      <w:proofErr w:type="gramEnd"/>
      <w:r>
        <w:rPr>
          <w:rFonts w:ascii="Arial" w:hAnsi="Arial" w:cs="Arial"/>
          <w:color w:val="000000" w:themeColor="text1"/>
          <w:sz w:val="24"/>
          <w:szCs w:val="24"/>
          <w:lang w:val="en-US"/>
        </w:rPr>
        <w:t xml:space="preserve"> makes recommendations on the capability uplift the Commission requires.</w:t>
      </w:r>
    </w:p>
    <w:p w14:paraId="46E7715A" w14:textId="77777777" w:rsidR="00723451" w:rsidRPr="00594C39" w:rsidRDefault="00723451" w:rsidP="00723451">
      <w:pPr>
        <w:shd w:val="clear" w:color="auto" w:fill="FFFFFF" w:themeFill="background1"/>
        <w:spacing w:before="120" w:after="120" w:line="240" w:lineRule="auto"/>
        <w:rPr>
          <w:rFonts w:ascii="Arial" w:eastAsia="Times New Roman" w:hAnsi="Arial" w:cs="Arial"/>
          <w:b/>
          <w:bCs/>
          <w:i/>
          <w:iCs/>
          <w:color w:val="313131"/>
          <w:sz w:val="24"/>
          <w:szCs w:val="24"/>
          <w:lang w:eastAsia="en-AU"/>
        </w:rPr>
      </w:pPr>
      <w:r w:rsidRPr="00594C39">
        <w:rPr>
          <w:rFonts w:ascii="Arial" w:eastAsia="Times New Roman" w:hAnsi="Arial" w:cs="Arial"/>
          <w:b/>
          <w:bCs/>
          <w:i/>
          <w:iCs/>
          <w:color w:val="313131"/>
          <w:sz w:val="24"/>
          <w:szCs w:val="24"/>
          <w:lang w:eastAsia="en-AU"/>
        </w:rPr>
        <w:t>Chapter 5: Regulatory functions and outcomes</w:t>
      </w:r>
    </w:p>
    <w:p w14:paraId="37F45E71" w14:textId="77777777" w:rsidR="00723451" w:rsidRDefault="00723451" w:rsidP="00723451">
      <w:pPr>
        <w:shd w:val="clear" w:color="auto" w:fill="FFFFFF" w:themeFill="background1"/>
        <w:spacing w:before="120" w:after="120" w:line="240" w:lineRule="auto"/>
        <w:rPr>
          <w:rFonts w:ascii="Arial" w:eastAsia="Times New Roman" w:hAnsi="Arial" w:cs="Arial"/>
          <w:color w:val="313131"/>
          <w:sz w:val="24"/>
          <w:szCs w:val="24"/>
          <w:lang w:eastAsia="en-AU"/>
        </w:rPr>
      </w:pPr>
      <w:r>
        <w:rPr>
          <w:rFonts w:ascii="Arial" w:eastAsia="Times New Roman" w:hAnsi="Arial" w:cs="Arial"/>
          <w:color w:val="313131"/>
          <w:sz w:val="24"/>
          <w:szCs w:val="24"/>
          <w:lang w:eastAsia="en-AU"/>
        </w:rPr>
        <w:t>This Chapter assesses the Commission’s capability to deliver specific regulatory functions and makes recommendations to support it to achieve regulatory best practice.</w:t>
      </w:r>
    </w:p>
    <w:p w14:paraId="34D7D93D" w14:textId="1E26B030" w:rsidR="00723451" w:rsidRDefault="00723451" w:rsidP="00723451">
      <w:pPr>
        <w:shd w:val="clear" w:color="auto" w:fill="FFFFFF" w:themeFill="background1"/>
        <w:spacing w:before="120" w:after="120" w:line="240" w:lineRule="auto"/>
        <w:rPr>
          <w:rFonts w:ascii="Arial" w:hAnsi="Arial" w:cs="Arial"/>
          <w:b/>
          <w:bCs/>
          <w:sz w:val="24"/>
          <w:szCs w:val="24"/>
          <w:lang w:val="en-US"/>
        </w:rPr>
      </w:pPr>
      <w:r w:rsidRPr="00594C39">
        <w:rPr>
          <w:rFonts w:ascii="Arial" w:hAnsi="Arial" w:cs="Arial"/>
          <w:b/>
          <w:bCs/>
          <w:i/>
          <w:iCs/>
          <w:sz w:val="24"/>
          <w:szCs w:val="24"/>
          <w:lang w:val="en-US"/>
        </w:rPr>
        <w:t xml:space="preserve">Chapter 6: </w:t>
      </w:r>
      <w:r w:rsidR="003D44CB">
        <w:rPr>
          <w:rFonts w:ascii="Arial" w:hAnsi="Arial" w:cs="Arial"/>
          <w:b/>
          <w:bCs/>
          <w:i/>
          <w:iCs/>
          <w:sz w:val="24"/>
          <w:szCs w:val="24"/>
          <w:lang w:val="en-US"/>
        </w:rPr>
        <w:t>R</w:t>
      </w:r>
      <w:r w:rsidRPr="00594C39">
        <w:rPr>
          <w:rFonts w:ascii="Arial" w:hAnsi="Arial" w:cs="Arial"/>
          <w:b/>
          <w:bCs/>
          <w:i/>
          <w:iCs/>
          <w:sz w:val="24"/>
          <w:szCs w:val="24"/>
          <w:lang w:val="en-US"/>
        </w:rPr>
        <w:t>etaining the Commission in its current form</w:t>
      </w:r>
    </w:p>
    <w:p w14:paraId="57B5B7E0" w14:textId="0D59AAD1" w:rsidR="00723451" w:rsidRPr="00AC109A" w:rsidRDefault="00723451" w:rsidP="00723451">
      <w:pPr>
        <w:shd w:val="clear" w:color="auto" w:fill="FFFFFF" w:themeFill="background1"/>
        <w:spacing w:before="120" w:after="120" w:line="240" w:lineRule="auto"/>
        <w:rPr>
          <w:rFonts w:ascii="Arial" w:eastAsia="Times New Roman" w:hAnsi="Arial" w:cs="Arial"/>
          <w:color w:val="313131"/>
          <w:sz w:val="24"/>
          <w:szCs w:val="24"/>
          <w:lang w:eastAsia="en-AU"/>
        </w:rPr>
      </w:pPr>
      <w:r w:rsidRPr="00AC109A">
        <w:rPr>
          <w:rFonts w:ascii="Arial" w:hAnsi="Arial" w:cs="Arial"/>
          <w:sz w:val="24"/>
          <w:szCs w:val="24"/>
          <w:lang w:val="en-US"/>
        </w:rPr>
        <w:t xml:space="preserve">This </w:t>
      </w:r>
      <w:r w:rsidR="00CB0104">
        <w:rPr>
          <w:rFonts w:ascii="Arial" w:hAnsi="Arial" w:cs="Arial"/>
          <w:sz w:val="24"/>
          <w:szCs w:val="24"/>
          <w:lang w:val="en-US"/>
        </w:rPr>
        <w:t>C</w:t>
      </w:r>
      <w:r w:rsidRPr="00AC109A">
        <w:rPr>
          <w:rFonts w:ascii="Arial" w:hAnsi="Arial" w:cs="Arial"/>
          <w:sz w:val="24"/>
          <w:szCs w:val="24"/>
          <w:lang w:val="en-US"/>
        </w:rPr>
        <w:t>hapter argues to retain the Commission in its current form</w:t>
      </w:r>
      <w:r w:rsidRPr="00AC109A">
        <w:rPr>
          <w:rFonts w:ascii="Arial" w:eastAsia="Times New Roman" w:hAnsi="Arial" w:cs="Arial"/>
          <w:color w:val="313131"/>
          <w:sz w:val="24"/>
          <w:szCs w:val="24"/>
          <w:lang w:eastAsia="en-AU"/>
        </w:rPr>
        <w:t xml:space="preserve"> and proposes recommendations for the reform of the </w:t>
      </w:r>
      <w:r w:rsidRPr="00AC109A">
        <w:rPr>
          <w:rFonts w:ascii="Arial" w:hAnsi="Arial" w:cs="Arial"/>
          <w:sz w:val="24"/>
          <w:szCs w:val="24"/>
        </w:rPr>
        <w:t>Aged Care Quality and Safety Advisory Council</w:t>
      </w:r>
      <w:r>
        <w:rPr>
          <w:rFonts w:ascii="Arial" w:hAnsi="Arial" w:cs="Arial"/>
          <w:sz w:val="24"/>
          <w:szCs w:val="24"/>
        </w:rPr>
        <w:t>.</w:t>
      </w:r>
    </w:p>
    <w:p w14:paraId="715BE77C" w14:textId="77777777" w:rsidR="00723451" w:rsidRPr="00C96174" w:rsidRDefault="00723451" w:rsidP="00723451">
      <w:pPr>
        <w:shd w:val="clear" w:color="auto" w:fill="FFFFFF" w:themeFill="background1"/>
        <w:spacing w:before="240" w:after="0" w:line="240" w:lineRule="auto"/>
        <w:rPr>
          <w:rFonts w:ascii="Arial" w:eastAsia="Times New Roman" w:hAnsi="Arial" w:cs="Arial"/>
          <w:color w:val="000000" w:themeColor="text1"/>
          <w:sz w:val="24"/>
          <w:szCs w:val="24"/>
          <w:lang w:eastAsia="en-AU"/>
        </w:rPr>
      </w:pPr>
      <w:r w:rsidRPr="00C96174">
        <w:rPr>
          <w:rFonts w:ascii="Arial" w:eastAsia="Times New Roman" w:hAnsi="Arial" w:cs="Arial"/>
          <w:color w:val="000000" w:themeColor="text1"/>
          <w:sz w:val="24"/>
          <w:szCs w:val="24"/>
          <w:lang w:eastAsia="en-AU"/>
        </w:rPr>
        <w:t xml:space="preserve">In addition, the Report has </w:t>
      </w:r>
      <w:r>
        <w:rPr>
          <w:rFonts w:ascii="Arial" w:eastAsia="Times New Roman" w:hAnsi="Arial" w:cs="Arial"/>
          <w:color w:val="000000" w:themeColor="text1"/>
          <w:sz w:val="24"/>
          <w:szCs w:val="24"/>
          <w:lang w:eastAsia="en-AU"/>
        </w:rPr>
        <w:t>seven</w:t>
      </w:r>
      <w:r w:rsidRPr="00C96174">
        <w:rPr>
          <w:rFonts w:ascii="Arial" w:eastAsia="Times New Roman" w:hAnsi="Arial" w:cs="Arial"/>
          <w:color w:val="000000" w:themeColor="text1"/>
          <w:sz w:val="24"/>
          <w:szCs w:val="24"/>
          <w:lang w:eastAsia="en-AU"/>
        </w:rPr>
        <w:t xml:space="preserve"> Appendices:</w:t>
      </w:r>
    </w:p>
    <w:p w14:paraId="6DCC7B74" w14:textId="3A417337" w:rsidR="00723451" w:rsidRPr="000E7526" w:rsidRDefault="00723451" w:rsidP="00723451">
      <w:pPr>
        <w:numPr>
          <w:ilvl w:val="0"/>
          <w:numId w:val="1"/>
        </w:numPr>
        <w:shd w:val="clear" w:color="auto" w:fill="FFFFFF" w:themeFill="background1"/>
        <w:spacing w:before="120" w:after="120" w:line="240" w:lineRule="auto"/>
        <w:rPr>
          <w:rFonts w:ascii="Arial" w:eastAsia="Times New Roman" w:hAnsi="Arial" w:cs="Arial"/>
          <w:i/>
          <w:iCs/>
          <w:color w:val="000000" w:themeColor="text1"/>
          <w:sz w:val="24"/>
          <w:szCs w:val="24"/>
          <w:lang w:eastAsia="en-AU"/>
        </w:rPr>
      </w:pPr>
      <w:r w:rsidRPr="000E7526">
        <w:rPr>
          <w:rFonts w:ascii="Arial" w:eastAsia="Times New Roman" w:hAnsi="Arial" w:cs="Arial"/>
          <w:i/>
          <w:iCs/>
          <w:color w:val="000000" w:themeColor="text1"/>
          <w:sz w:val="24"/>
          <w:szCs w:val="24"/>
          <w:lang w:eastAsia="en-AU"/>
        </w:rPr>
        <w:t>Appendix A: </w:t>
      </w:r>
      <w:r>
        <w:rPr>
          <w:rFonts w:ascii="Arial" w:eastAsia="Times New Roman" w:hAnsi="Arial" w:cs="Arial"/>
          <w:i/>
          <w:iCs/>
          <w:color w:val="000000" w:themeColor="text1"/>
          <w:sz w:val="24"/>
          <w:szCs w:val="24"/>
          <w:lang w:eastAsia="en-AU"/>
        </w:rPr>
        <w:t xml:space="preserve">Review </w:t>
      </w:r>
      <w:r w:rsidRPr="000E7526">
        <w:rPr>
          <w:rFonts w:ascii="Arial" w:hAnsi="Arial" w:cs="Arial"/>
          <w:i/>
          <w:iCs/>
          <w:sz w:val="24"/>
          <w:szCs w:val="24"/>
        </w:rPr>
        <w:t xml:space="preserve">Terms of </w:t>
      </w:r>
      <w:r>
        <w:rPr>
          <w:rFonts w:ascii="Arial" w:hAnsi="Arial" w:cs="Arial"/>
          <w:i/>
          <w:iCs/>
          <w:sz w:val="24"/>
          <w:szCs w:val="24"/>
        </w:rPr>
        <w:t>R</w:t>
      </w:r>
      <w:r w:rsidRPr="000E7526">
        <w:rPr>
          <w:rFonts w:ascii="Arial" w:hAnsi="Arial" w:cs="Arial"/>
          <w:i/>
          <w:iCs/>
          <w:sz w:val="24"/>
          <w:szCs w:val="24"/>
        </w:rPr>
        <w:t>eference</w:t>
      </w:r>
      <w:r w:rsidRPr="000E7526">
        <w:rPr>
          <w:rFonts w:ascii="Arial" w:eastAsia="Times New Roman" w:hAnsi="Arial" w:cs="Arial"/>
          <w:i/>
          <w:iCs/>
          <w:color w:val="000000" w:themeColor="text1"/>
          <w:sz w:val="24"/>
          <w:szCs w:val="24"/>
          <w:lang w:eastAsia="en-AU"/>
        </w:rPr>
        <w:t>.</w:t>
      </w:r>
    </w:p>
    <w:p w14:paraId="58A8F146" w14:textId="713EDC4D" w:rsidR="00723451" w:rsidRPr="000E7526" w:rsidRDefault="00723451" w:rsidP="00723451">
      <w:pPr>
        <w:numPr>
          <w:ilvl w:val="0"/>
          <w:numId w:val="1"/>
        </w:numPr>
        <w:shd w:val="clear" w:color="auto" w:fill="FFFFFF" w:themeFill="background1"/>
        <w:spacing w:before="120" w:after="120" w:line="240" w:lineRule="auto"/>
        <w:ind w:left="714" w:hanging="357"/>
        <w:rPr>
          <w:rFonts w:ascii="Arial" w:eastAsia="Times New Roman" w:hAnsi="Arial" w:cs="Arial"/>
          <w:i/>
          <w:iCs/>
          <w:color w:val="000000" w:themeColor="text1"/>
          <w:sz w:val="24"/>
          <w:szCs w:val="24"/>
          <w:lang w:eastAsia="en-AU"/>
        </w:rPr>
      </w:pPr>
      <w:r w:rsidRPr="000E7526">
        <w:rPr>
          <w:rFonts w:ascii="Arial" w:eastAsia="Times New Roman" w:hAnsi="Arial" w:cs="Arial"/>
          <w:i/>
          <w:iCs/>
          <w:color w:val="000000" w:themeColor="text1"/>
          <w:sz w:val="24"/>
          <w:szCs w:val="24"/>
          <w:lang w:eastAsia="en-AU"/>
        </w:rPr>
        <w:t>Appendix B: </w:t>
      </w:r>
      <w:r w:rsidRPr="000E7526">
        <w:rPr>
          <w:rFonts w:ascii="Arial" w:hAnsi="Arial" w:cs="Arial"/>
          <w:i/>
          <w:iCs/>
          <w:sz w:val="24"/>
          <w:szCs w:val="24"/>
        </w:rPr>
        <w:t>Review consultations and public submission process</w:t>
      </w:r>
    </w:p>
    <w:p w14:paraId="643CE611" w14:textId="77777777" w:rsidR="00723451" w:rsidRPr="000E7526" w:rsidRDefault="00723451" w:rsidP="00723451">
      <w:pPr>
        <w:numPr>
          <w:ilvl w:val="0"/>
          <w:numId w:val="1"/>
        </w:numPr>
        <w:shd w:val="clear" w:color="auto" w:fill="FFFFFF" w:themeFill="background1"/>
        <w:spacing w:before="120" w:after="100" w:line="240" w:lineRule="auto"/>
        <w:rPr>
          <w:rFonts w:ascii="Arial" w:hAnsi="Arial" w:cs="Arial"/>
          <w:i/>
          <w:iCs/>
          <w:sz w:val="24"/>
          <w:szCs w:val="24"/>
        </w:rPr>
      </w:pPr>
      <w:r w:rsidRPr="000E7526">
        <w:rPr>
          <w:rFonts w:ascii="Arial" w:eastAsia="Times New Roman" w:hAnsi="Arial" w:cs="Arial"/>
          <w:i/>
          <w:iCs/>
          <w:color w:val="000000" w:themeColor="text1"/>
          <w:sz w:val="24"/>
          <w:szCs w:val="24"/>
          <w:lang w:eastAsia="en-AU"/>
        </w:rPr>
        <w:t>Appendix C: </w:t>
      </w:r>
      <w:r>
        <w:rPr>
          <w:rFonts w:ascii="Arial" w:hAnsi="Arial" w:cs="Arial"/>
          <w:i/>
          <w:iCs/>
          <w:sz w:val="24"/>
          <w:szCs w:val="24"/>
        </w:rPr>
        <w:t>Summary of Grosvenor Final Report</w:t>
      </w:r>
    </w:p>
    <w:p w14:paraId="0F52F9A3" w14:textId="77777777" w:rsidR="00723451" w:rsidRPr="000E7526" w:rsidRDefault="00723451" w:rsidP="00723451">
      <w:pPr>
        <w:numPr>
          <w:ilvl w:val="0"/>
          <w:numId w:val="1"/>
        </w:numPr>
        <w:shd w:val="clear" w:color="auto" w:fill="FFFFFF" w:themeFill="background1"/>
        <w:spacing w:before="120" w:after="100" w:line="240" w:lineRule="auto"/>
        <w:rPr>
          <w:rFonts w:ascii="Arial" w:hAnsi="Arial" w:cs="Arial"/>
          <w:i/>
          <w:iCs/>
          <w:sz w:val="24"/>
          <w:szCs w:val="24"/>
        </w:rPr>
      </w:pPr>
      <w:r w:rsidRPr="000E7526">
        <w:rPr>
          <w:rFonts w:ascii="Arial" w:eastAsia="Times New Roman" w:hAnsi="Arial" w:cs="Arial"/>
          <w:i/>
          <w:iCs/>
          <w:color w:val="000000" w:themeColor="text1"/>
          <w:sz w:val="24"/>
          <w:szCs w:val="24"/>
          <w:lang w:eastAsia="en-AU"/>
        </w:rPr>
        <w:lastRenderedPageBreak/>
        <w:t xml:space="preserve">Appendix D: </w:t>
      </w:r>
      <w:r w:rsidRPr="000E7526">
        <w:rPr>
          <w:rFonts w:ascii="Arial" w:hAnsi="Arial" w:cs="Arial"/>
          <w:i/>
          <w:iCs/>
          <w:sz w:val="24"/>
          <w:szCs w:val="24"/>
        </w:rPr>
        <w:t xml:space="preserve">Commission functions </w:t>
      </w:r>
      <w:proofErr w:type="gramStart"/>
      <w:r w:rsidRPr="000E7526">
        <w:rPr>
          <w:rFonts w:ascii="Arial" w:hAnsi="Arial" w:cs="Arial"/>
          <w:i/>
          <w:iCs/>
          <w:sz w:val="24"/>
          <w:szCs w:val="24"/>
        </w:rPr>
        <w:t>at</w:t>
      </w:r>
      <w:proofErr w:type="gramEnd"/>
      <w:r w:rsidRPr="000E7526">
        <w:rPr>
          <w:rFonts w:ascii="Arial" w:hAnsi="Arial" w:cs="Arial"/>
          <w:i/>
          <w:iCs/>
          <w:sz w:val="24"/>
          <w:szCs w:val="24"/>
        </w:rPr>
        <w:t xml:space="preserve"> March 2023</w:t>
      </w:r>
    </w:p>
    <w:p w14:paraId="7D3FA56C" w14:textId="77777777" w:rsidR="00723451" w:rsidRDefault="00723451" w:rsidP="00723451">
      <w:pPr>
        <w:numPr>
          <w:ilvl w:val="0"/>
          <w:numId w:val="1"/>
        </w:numPr>
        <w:shd w:val="clear" w:color="auto" w:fill="FFFFFF" w:themeFill="background1"/>
        <w:spacing w:before="120" w:after="120" w:line="240" w:lineRule="auto"/>
        <w:rPr>
          <w:rFonts w:ascii="Arial" w:hAnsi="Arial" w:cs="Arial"/>
          <w:i/>
          <w:iCs/>
          <w:sz w:val="24"/>
          <w:szCs w:val="24"/>
        </w:rPr>
      </w:pPr>
      <w:r>
        <w:rPr>
          <w:rFonts w:ascii="Arial" w:eastAsia="Times New Roman" w:hAnsi="Arial" w:cs="Arial"/>
          <w:i/>
          <w:iCs/>
          <w:color w:val="000000" w:themeColor="text1"/>
          <w:sz w:val="24"/>
          <w:szCs w:val="24"/>
          <w:lang w:eastAsia="en-AU"/>
        </w:rPr>
        <w:t>Appendix E:</w:t>
      </w:r>
      <w:r w:rsidRPr="008933AB">
        <w:t xml:space="preserve"> </w:t>
      </w:r>
      <w:r w:rsidRPr="00207FA2">
        <w:rPr>
          <w:rFonts w:ascii="Arial" w:hAnsi="Arial" w:cs="Arial"/>
          <w:i/>
          <w:iCs/>
          <w:sz w:val="24"/>
          <w:szCs w:val="24"/>
        </w:rPr>
        <w:t>Comparison of national regulators</w:t>
      </w:r>
    </w:p>
    <w:p w14:paraId="0DBA1DD1" w14:textId="77777777" w:rsidR="00723451" w:rsidRPr="00207FA2" w:rsidRDefault="00723451" w:rsidP="00723451">
      <w:pPr>
        <w:numPr>
          <w:ilvl w:val="0"/>
          <w:numId w:val="1"/>
        </w:numPr>
        <w:shd w:val="clear" w:color="auto" w:fill="FFFFFF" w:themeFill="background1"/>
        <w:spacing w:before="120" w:after="120" w:line="240" w:lineRule="auto"/>
        <w:rPr>
          <w:rFonts w:ascii="Arial" w:eastAsia="Times New Roman" w:hAnsi="Arial" w:cs="Arial"/>
          <w:i/>
          <w:iCs/>
          <w:color w:val="000000" w:themeColor="text1"/>
          <w:sz w:val="24"/>
          <w:szCs w:val="24"/>
          <w:lang w:eastAsia="en-AU"/>
        </w:rPr>
      </w:pPr>
      <w:r w:rsidRPr="00207FA2">
        <w:rPr>
          <w:rFonts w:ascii="Arial" w:eastAsia="Times New Roman" w:hAnsi="Arial" w:cs="Arial"/>
          <w:i/>
          <w:iCs/>
          <w:color w:val="000000" w:themeColor="text1"/>
          <w:sz w:val="24"/>
          <w:szCs w:val="24"/>
          <w:lang w:eastAsia="en-AU"/>
        </w:rPr>
        <w:t>Appendix F:</w:t>
      </w:r>
      <w:r w:rsidRPr="00207FA2">
        <w:rPr>
          <w:rFonts w:ascii="Arial" w:hAnsi="Arial" w:cs="Arial"/>
          <w:i/>
          <w:iCs/>
          <w:sz w:val="24"/>
          <w:szCs w:val="24"/>
        </w:rPr>
        <w:t xml:space="preserve"> </w:t>
      </w:r>
      <w:r w:rsidRPr="00207FA2">
        <w:rPr>
          <w:rFonts w:ascii="Arial" w:eastAsia="Times New Roman" w:hAnsi="Arial" w:cs="Arial"/>
          <w:i/>
          <w:iCs/>
          <w:color w:val="000000" w:themeColor="text1"/>
          <w:sz w:val="24"/>
          <w:szCs w:val="24"/>
          <w:lang w:eastAsia="en-AU"/>
        </w:rPr>
        <w:t>Comparison of international health and social care regulatory systems</w:t>
      </w:r>
    </w:p>
    <w:p w14:paraId="38169EE3" w14:textId="77777777" w:rsidR="00723451" w:rsidRPr="008933AB" w:rsidRDefault="00723451" w:rsidP="00723451">
      <w:pPr>
        <w:numPr>
          <w:ilvl w:val="0"/>
          <w:numId w:val="1"/>
        </w:numPr>
        <w:shd w:val="clear" w:color="auto" w:fill="FFFFFF" w:themeFill="background1"/>
        <w:spacing w:before="120" w:after="120" w:line="240" w:lineRule="auto"/>
        <w:rPr>
          <w:rFonts w:ascii="Arial" w:eastAsia="Times New Roman" w:hAnsi="Arial" w:cs="Arial"/>
          <w:color w:val="000000" w:themeColor="text1"/>
          <w:sz w:val="24"/>
          <w:szCs w:val="24"/>
          <w:lang w:eastAsia="en-AU"/>
        </w:rPr>
      </w:pPr>
      <w:r>
        <w:rPr>
          <w:rFonts w:ascii="Arial" w:eastAsia="Times New Roman" w:hAnsi="Arial" w:cs="Arial"/>
          <w:i/>
          <w:iCs/>
          <w:color w:val="000000" w:themeColor="text1"/>
          <w:sz w:val="24"/>
          <w:szCs w:val="24"/>
          <w:lang w:eastAsia="en-AU"/>
        </w:rPr>
        <w:t>Appendix G:</w:t>
      </w:r>
      <w:r>
        <w:rPr>
          <w:rFonts w:ascii="Arial" w:eastAsia="Times New Roman" w:hAnsi="Arial" w:cs="Arial"/>
          <w:color w:val="000000" w:themeColor="text1"/>
          <w:sz w:val="24"/>
          <w:szCs w:val="24"/>
          <w:lang w:eastAsia="en-AU"/>
        </w:rPr>
        <w:t xml:space="preserve"> </w:t>
      </w:r>
      <w:r w:rsidRPr="00E94269">
        <w:rPr>
          <w:rFonts w:ascii="Arial" w:eastAsia="Times New Roman" w:hAnsi="Arial" w:cs="Arial"/>
          <w:i/>
          <w:iCs/>
          <w:color w:val="000000" w:themeColor="text1"/>
          <w:sz w:val="24"/>
          <w:szCs w:val="24"/>
          <w:lang w:eastAsia="en-AU"/>
        </w:rPr>
        <w:t>Regulatory best practice principles and capabilities</w:t>
      </w:r>
    </w:p>
    <w:p w14:paraId="3555658A" w14:textId="6FE73A26" w:rsidR="003868A6" w:rsidRPr="001364C7" w:rsidRDefault="00723451" w:rsidP="001364C7">
      <w:pPr>
        <w:numPr>
          <w:ilvl w:val="0"/>
          <w:numId w:val="1"/>
        </w:numPr>
        <w:shd w:val="clear" w:color="auto" w:fill="FFFFFF" w:themeFill="background1"/>
        <w:spacing w:before="120" w:after="120" w:line="240" w:lineRule="auto"/>
        <w:ind w:left="714"/>
        <w:rPr>
          <w:rFonts w:ascii="Arial" w:eastAsia="Times New Roman" w:hAnsi="Arial" w:cs="Arial"/>
          <w:i/>
          <w:iCs/>
          <w:color w:val="000000" w:themeColor="text1"/>
          <w:sz w:val="24"/>
          <w:szCs w:val="24"/>
          <w:lang w:eastAsia="en-AU"/>
        </w:rPr>
      </w:pPr>
      <w:r w:rsidRPr="00C96174">
        <w:rPr>
          <w:rFonts w:ascii="Arial" w:eastAsia="Times New Roman" w:hAnsi="Arial" w:cs="Arial"/>
          <w:i/>
          <w:iCs/>
          <w:color w:val="000000" w:themeColor="text1"/>
          <w:sz w:val="24"/>
          <w:szCs w:val="24"/>
          <w:lang w:eastAsia="en-AU"/>
        </w:rPr>
        <w:t xml:space="preserve">Appendix </w:t>
      </w:r>
      <w:r>
        <w:rPr>
          <w:rFonts w:ascii="Arial" w:eastAsia="Times New Roman" w:hAnsi="Arial" w:cs="Arial"/>
          <w:i/>
          <w:iCs/>
          <w:color w:val="000000" w:themeColor="text1"/>
          <w:sz w:val="24"/>
          <w:szCs w:val="24"/>
          <w:lang w:eastAsia="en-AU"/>
        </w:rPr>
        <w:t>H</w:t>
      </w:r>
      <w:r w:rsidRPr="00C96174">
        <w:rPr>
          <w:rFonts w:ascii="Arial" w:eastAsia="Times New Roman" w:hAnsi="Arial" w:cs="Arial"/>
          <w:i/>
          <w:iCs/>
          <w:color w:val="000000" w:themeColor="text1"/>
          <w:sz w:val="24"/>
          <w:szCs w:val="24"/>
          <w:lang w:eastAsia="en-AU"/>
        </w:rPr>
        <w:t>:</w:t>
      </w:r>
      <w:r w:rsidRPr="00C96174">
        <w:rPr>
          <w:rFonts w:ascii="Arial" w:eastAsia="Times New Roman" w:hAnsi="Arial" w:cs="Arial"/>
          <w:color w:val="000000" w:themeColor="text1"/>
          <w:sz w:val="24"/>
          <w:szCs w:val="24"/>
          <w:lang w:eastAsia="en-AU"/>
        </w:rPr>
        <w:t> </w:t>
      </w:r>
      <w:r w:rsidRPr="00CB0104">
        <w:rPr>
          <w:rFonts w:ascii="Arial" w:eastAsia="Times New Roman" w:hAnsi="Arial" w:cs="Arial"/>
          <w:i/>
          <w:iCs/>
          <w:color w:val="000000" w:themeColor="text1"/>
          <w:sz w:val="24"/>
          <w:szCs w:val="24"/>
          <w:lang w:eastAsia="en-AU"/>
        </w:rPr>
        <w:t xml:space="preserve">Glossary </w:t>
      </w:r>
    </w:p>
    <w:p w14:paraId="103F4BD0" w14:textId="77777777" w:rsidR="005D7523" w:rsidRDefault="005D7523" w:rsidP="005D7523">
      <w:pPr>
        <w:rPr>
          <w:rFonts w:ascii="Arial" w:hAnsi="Arial" w:cs="Arial"/>
          <w:sz w:val="24"/>
          <w:szCs w:val="24"/>
        </w:rPr>
      </w:pPr>
      <w:r>
        <w:rPr>
          <w:rFonts w:ascii="Arial" w:hAnsi="Arial" w:cs="Arial"/>
          <w:sz w:val="24"/>
          <w:szCs w:val="24"/>
        </w:rPr>
        <w:br w:type="page"/>
      </w:r>
    </w:p>
    <w:p w14:paraId="7E56DDC0" w14:textId="631935E6" w:rsidR="00A52050" w:rsidRPr="000E132D" w:rsidRDefault="00D2238A" w:rsidP="000E132D">
      <w:pPr>
        <w:pStyle w:val="Heading3"/>
      </w:pPr>
      <w:bookmarkStart w:id="5" w:name="_Toc131163551"/>
      <w:r w:rsidRPr="000E132D">
        <w:lastRenderedPageBreak/>
        <w:t>CHAPTER</w:t>
      </w:r>
      <w:r w:rsidR="003120DB" w:rsidRPr="000E132D">
        <w:t xml:space="preserve"> </w:t>
      </w:r>
      <w:r w:rsidR="00BD17DE" w:rsidRPr="000E132D">
        <w:t xml:space="preserve">2: </w:t>
      </w:r>
      <w:r w:rsidR="003868A6" w:rsidRPr="000E132D">
        <w:t xml:space="preserve">REVIEW RECOMMENDATIONS AND </w:t>
      </w:r>
      <w:r w:rsidR="00AA70E9" w:rsidRPr="000E132D">
        <w:t>ACTION</w:t>
      </w:r>
      <w:r w:rsidR="00E42007" w:rsidRPr="000E132D">
        <w:t xml:space="preserve"> </w:t>
      </w:r>
      <w:r w:rsidR="003868A6" w:rsidRPr="000E132D">
        <w:t>PLAN</w:t>
      </w:r>
      <w:bookmarkEnd w:id="5"/>
    </w:p>
    <w:p w14:paraId="78481307" w14:textId="77777777" w:rsidR="000D658C" w:rsidRDefault="000D658C" w:rsidP="000D658C">
      <w:pPr>
        <w:tabs>
          <w:tab w:val="right" w:leader="dot" w:pos="9016"/>
        </w:tabs>
        <w:spacing w:before="240" w:after="240" w:line="240" w:lineRule="auto"/>
        <w:rPr>
          <w:rFonts w:ascii="Arial" w:hAnsi="Arial" w:cs="Arial"/>
          <w:b/>
          <w:bCs/>
          <w:sz w:val="28"/>
          <w:szCs w:val="28"/>
        </w:rPr>
      </w:pPr>
      <w:bookmarkStart w:id="6" w:name="_Hlk126476889"/>
      <w:r w:rsidRPr="00872986">
        <w:rPr>
          <w:rFonts w:ascii="Arial" w:hAnsi="Arial" w:cs="Arial"/>
          <w:b/>
          <w:bCs/>
          <w:sz w:val="28"/>
          <w:szCs w:val="28"/>
        </w:rPr>
        <w:t>2.1 Summary table of recommendations</w:t>
      </w:r>
    </w:p>
    <w:p w14:paraId="79396098" w14:textId="5E72A0FA" w:rsidR="00D620C6" w:rsidRDefault="00D620C6" w:rsidP="00B13F49">
      <w:pPr>
        <w:pStyle w:val="Default"/>
        <w:spacing w:before="120" w:after="120"/>
        <w:rPr>
          <w:rFonts w:ascii="Arial" w:hAnsi="Arial" w:cs="Arial"/>
        </w:rPr>
      </w:pPr>
      <w:r>
        <w:rPr>
          <w:rFonts w:ascii="Arial" w:hAnsi="Arial" w:cs="Arial"/>
        </w:rPr>
        <w:t xml:space="preserve">The recommendations included in </w:t>
      </w:r>
      <w:r w:rsidR="005D0AF3">
        <w:rPr>
          <w:rFonts w:ascii="Arial" w:hAnsi="Arial" w:cs="Arial"/>
        </w:rPr>
        <w:t>Table 1</w:t>
      </w:r>
      <w:r>
        <w:rPr>
          <w:rFonts w:ascii="Arial" w:hAnsi="Arial" w:cs="Arial"/>
        </w:rPr>
        <w:t xml:space="preserve"> are at a summary level. Where required, further detail is included under individual recommendations in the body of the report.</w:t>
      </w:r>
    </w:p>
    <w:p w14:paraId="6E967DFE" w14:textId="352D3F2F" w:rsidR="005F51FB" w:rsidRDefault="003D44CB" w:rsidP="00B13F49">
      <w:pPr>
        <w:pStyle w:val="Default"/>
        <w:spacing w:before="120" w:after="120"/>
        <w:rPr>
          <w:rFonts w:ascii="Arial" w:hAnsi="Arial" w:cs="Arial"/>
        </w:rPr>
      </w:pPr>
      <w:r>
        <w:rPr>
          <w:rFonts w:ascii="Arial" w:hAnsi="Arial" w:cs="Arial"/>
        </w:rPr>
        <w:t xml:space="preserve">In addition, the Review has provided a broad timeframe for implementation of each recommendation based on any necessary sequencing and according to its priority. </w:t>
      </w:r>
      <w:r w:rsidR="005F51FB">
        <w:rPr>
          <w:rFonts w:ascii="Arial" w:hAnsi="Arial" w:cs="Arial"/>
        </w:rPr>
        <w:t xml:space="preserve">The </w:t>
      </w:r>
      <w:r w:rsidR="00CB0104">
        <w:rPr>
          <w:rFonts w:ascii="Arial" w:hAnsi="Arial" w:cs="Arial"/>
        </w:rPr>
        <w:t>timeframes associated with each</w:t>
      </w:r>
      <w:r w:rsidR="00936D9A">
        <w:rPr>
          <w:rFonts w:ascii="Arial" w:hAnsi="Arial" w:cs="Arial"/>
        </w:rPr>
        <w:t xml:space="preserve"> </w:t>
      </w:r>
      <w:r w:rsidR="005F51FB">
        <w:rPr>
          <w:rFonts w:ascii="Arial" w:hAnsi="Arial" w:cs="Arial"/>
        </w:rPr>
        <w:t>priority are as follows:</w:t>
      </w:r>
    </w:p>
    <w:p w14:paraId="313080D6" w14:textId="422C39F6" w:rsidR="005F51FB" w:rsidRDefault="005F51FB" w:rsidP="005F51FB">
      <w:pPr>
        <w:pStyle w:val="ListParagraph"/>
        <w:numPr>
          <w:ilvl w:val="0"/>
          <w:numId w:val="19"/>
        </w:numPr>
        <w:spacing w:before="120" w:after="120" w:line="240" w:lineRule="auto"/>
        <w:ind w:left="357" w:hanging="357"/>
        <w:contextualSpacing w:val="0"/>
        <w:rPr>
          <w:rFonts w:ascii="Arial" w:hAnsi="Arial" w:cs="Arial"/>
          <w:sz w:val="24"/>
          <w:szCs w:val="24"/>
        </w:rPr>
      </w:pPr>
      <w:r w:rsidRPr="005F51FB">
        <w:rPr>
          <w:rFonts w:ascii="Arial" w:hAnsi="Arial" w:cs="Arial"/>
          <w:b/>
          <w:bCs/>
          <w:sz w:val="24"/>
          <w:szCs w:val="24"/>
        </w:rPr>
        <w:t>Priority 1:</w:t>
      </w:r>
      <w:r>
        <w:rPr>
          <w:rFonts w:ascii="Arial" w:hAnsi="Arial" w:cs="Arial"/>
          <w:sz w:val="24"/>
          <w:szCs w:val="24"/>
        </w:rPr>
        <w:t xml:space="preserve"> </w:t>
      </w:r>
      <w:r w:rsidR="00CB0104">
        <w:rPr>
          <w:rFonts w:ascii="Arial" w:hAnsi="Arial" w:cs="Arial"/>
          <w:sz w:val="24"/>
          <w:szCs w:val="24"/>
        </w:rPr>
        <w:t>to</w:t>
      </w:r>
      <w:r>
        <w:rPr>
          <w:rFonts w:ascii="Arial" w:hAnsi="Arial" w:cs="Arial"/>
          <w:sz w:val="24"/>
          <w:szCs w:val="24"/>
        </w:rPr>
        <w:t xml:space="preserve"> be progressed as soon as possible, and by no later than 30</w:t>
      </w:r>
      <w:r w:rsidR="00CB0104">
        <w:rPr>
          <w:rFonts w:ascii="Arial" w:hAnsi="Arial" w:cs="Arial"/>
          <w:sz w:val="24"/>
          <w:szCs w:val="24"/>
        </w:rPr>
        <w:t> </w:t>
      </w:r>
      <w:r>
        <w:rPr>
          <w:rFonts w:ascii="Arial" w:hAnsi="Arial" w:cs="Arial"/>
          <w:sz w:val="24"/>
          <w:szCs w:val="24"/>
        </w:rPr>
        <w:t>September 2023.</w:t>
      </w:r>
    </w:p>
    <w:p w14:paraId="3D825F20" w14:textId="38B9D97F" w:rsidR="005F51FB" w:rsidRDefault="005F51FB" w:rsidP="005F51FB">
      <w:pPr>
        <w:pStyle w:val="ListParagraph"/>
        <w:numPr>
          <w:ilvl w:val="0"/>
          <w:numId w:val="19"/>
        </w:numPr>
        <w:spacing w:before="120" w:after="120" w:line="240" w:lineRule="auto"/>
        <w:ind w:left="357" w:hanging="357"/>
        <w:contextualSpacing w:val="0"/>
        <w:rPr>
          <w:rFonts w:ascii="Arial" w:hAnsi="Arial" w:cs="Arial"/>
          <w:sz w:val="24"/>
          <w:szCs w:val="24"/>
        </w:rPr>
      </w:pPr>
      <w:r w:rsidRPr="005F51FB">
        <w:rPr>
          <w:rFonts w:ascii="Arial" w:hAnsi="Arial" w:cs="Arial"/>
          <w:b/>
          <w:bCs/>
          <w:sz w:val="24"/>
          <w:szCs w:val="24"/>
        </w:rPr>
        <w:t>Priority 2:</w:t>
      </w:r>
      <w:r>
        <w:rPr>
          <w:rFonts w:ascii="Arial" w:hAnsi="Arial" w:cs="Arial"/>
          <w:sz w:val="24"/>
          <w:szCs w:val="24"/>
        </w:rPr>
        <w:t xml:space="preserve"> </w:t>
      </w:r>
      <w:r w:rsidR="00CB0104">
        <w:rPr>
          <w:rFonts w:ascii="Arial" w:hAnsi="Arial" w:cs="Arial"/>
          <w:sz w:val="24"/>
          <w:szCs w:val="24"/>
        </w:rPr>
        <w:t>to</w:t>
      </w:r>
      <w:r>
        <w:rPr>
          <w:rFonts w:ascii="Arial" w:hAnsi="Arial" w:cs="Arial"/>
          <w:sz w:val="24"/>
          <w:szCs w:val="24"/>
        </w:rPr>
        <w:t xml:space="preserve"> be progressed as soon as possible and by no later than 31</w:t>
      </w:r>
      <w:r w:rsidR="00CB0104">
        <w:rPr>
          <w:rFonts w:ascii="Arial" w:hAnsi="Arial" w:cs="Arial"/>
          <w:sz w:val="24"/>
          <w:szCs w:val="24"/>
        </w:rPr>
        <w:t> </w:t>
      </w:r>
      <w:r>
        <w:rPr>
          <w:rFonts w:ascii="Arial" w:hAnsi="Arial" w:cs="Arial"/>
          <w:sz w:val="24"/>
          <w:szCs w:val="24"/>
        </w:rPr>
        <w:t>March</w:t>
      </w:r>
      <w:r w:rsidR="00CB0104">
        <w:rPr>
          <w:rFonts w:ascii="Arial" w:hAnsi="Arial" w:cs="Arial"/>
          <w:sz w:val="24"/>
          <w:szCs w:val="24"/>
        </w:rPr>
        <w:t> </w:t>
      </w:r>
      <w:r>
        <w:rPr>
          <w:rFonts w:ascii="Arial" w:hAnsi="Arial" w:cs="Arial"/>
          <w:sz w:val="24"/>
          <w:szCs w:val="24"/>
        </w:rPr>
        <w:t>2024.</w:t>
      </w:r>
    </w:p>
    <w:p w14:paraId="306CDD20" w14:textId="3DF1D509" w:rsidR="005F51FB" w:rsidRDefault="005F51FB" w:rsidP="005F51FB">
      <w:pPr>
        <w:pStyle w:val="ListParagraph"/>
        <w:numPr>
          <w:ilvl w:val="0"/>
          <w:numId w:val="19"/>
        </w:numPr>
        <w:spacing w:before="120" w:after="120" w:line="240" w:lineRule="auto"/>
        <w:ind w:left="357" w:hanging="357"/>
        <w:contextualSpacing w:val="0"/>
        <w:rPr>
          <w:rFonts w:ascii="Arial" w:hAnsi="Arial" w:cs="Arial"/>
          <w:sz w:val="24"/>
          <w:szCs w:val="24"/>
        </w:rPr>
      </w:pPr>
      <w:r w:rsidRPr="005F51FB">
        <w:rPr>
          <w:rFonts w:ascii="Arial" w:hAnsi="Arial" w:cs="Arial"/>
          <w:b/>
          <w:bCs/>
          <w:sz w:val="24"/>
          <w:szCs w:val="24"/>
        </w:rPr>
        <w:t>Priority 3:</w:t>
      </w:r>
      <w:r>
        <w:rPr>
          <w:rFonts w:ascii="Arial" w:hAnsi="Arial" w:cs="Arial"/>
          <w:sz w:val="24"/>
          <w:szCs w:val="24"/>
        </w:rPr>
        <w:t xml:space="preserve"> </w:t>
      </w:r>
      <w:r w:rsidR="00CB0104">
        <w:rPr>
          <w:rFonts w:ascii="Arial" w:hAnsi="Arial" w:cs="Arial"/>
          <w:sz w:val="24"/>
          <w:szCs w:val="24"/>
        </w:rPr>
        <w:t xml:space="preserve">to </w:t>
      </w:r>
      <w:r>
        <w:rPr>
          <w:rFonts w:ascii="Arial" w:hAnsi="Arial" w:cs="Arial"/>
          <w:sz w:val="24"/>
          <w:szCs w:val="24"/>
        </w:rPr>
        <w:t>be progressed in line with introduction of the ne</w:t>
      </w:r>
      <w:r w:rsidR="00CB0104">
        <w:rPr>
          <w:rFonts w:ascii="Arial" w:hAnsi="Arial" w:cs="Arial"/>
          <w:sz w:val="24"/>
          <w:szCs w:val="24"/>
        </w:rPr>
        <w:t>w</w:t>
      </w:r>
      <w:r>
        <w:rPr>
          <w:rFonts w:ascii="Arial" w:hAnsi="Arial" w:cs="Arial"/>
          <w:sz w:val="24"/>
          <w:szCs w:val="24"/>
        </w:rPr>
        <w:t xml:space="preserve"> Aged Care Act, expected to be operational from 1 July 2024.</w:t>
      </w:r>
    </w:p>
    <w:p w14:paraId="022299C1" w14:textId="0ECCE1EF" w:rsidR="00D620C6" w:rsidRPr="000E132D" w:rsidRDefault="001411E3" w:rsidP="000E132D">
      <w:pPr>
        <w:pStyle w:val="ListParagraph"/>
        <w:numPr>
          <w:ilvl w:val="0"/>
          <w:numId w:val="19"/>
        </w:numPr>
        <w:spacing w:before="120" w:after="120" w:line="480" w:lineRule="auto"/>
        <w:ind w:left="357" w:hanging="357"/>
        <w:contextualSpacing w:val="0"/>
        <w:rPr>
          <w:rFonts w:ascii="Arial" w:hAnsi="Arial" w:cs="Arial"/>
          <w:sz w:val="24"/>
          <w:szCs w:val="24"/>
        </w:rPr>
      </w:pPr>
      <w:r>
        <w:rPr>
          <w:rFonts w:ascii="Arial" w:hAnsi="Arial" w:cs="Arial"/>
          <w:b/>
          <w:bCs/>
          <w:sz w:val="24"/>
          <w:szCs w:val="24"/>
        </w:rPr>
        <w:t>Priority 4:</w:t>
      </w:r>
      <w:r>
        <w:rPr>
          <w:rFonts w:ascii="Arial" w:hAnsi="Arial" w:cs="Arial"/>
          <w:sz w:val="24"/>
          <w:szCs w:val="24"/>
        </w:rPr>
        <w:t xml:space="preserve"> to be progressed in 2025.</w:t>
      </w:r>
    </w:p>
    <w:p w14:paraId="50F2097F" w14:textId="01869982" w:rsidR="005D0AF3" w:rsidRPr="005D0AF3" w:rsidRDefault="005D0AF3" w:rsidP="005901E3">
      <w:pPr>
        <w:keepNext/>
        <w:spacing w:after="0"/>
        <w:rPr>
          <w:rFonts w:ascii="Arial" w:hAnsi="Arial" w:cs="Arial"/>
          <w:b/>
          <w:bCs/>
          <w:sz w:val="24"/>
          <w:szCs w:val="24"/>
        </w:rPr>
      </w:pPr>
      <w:bookmarkStart w:id="7" w:name="_Hlk130369906"/>
      <w:r w:rsidRPr="005D0AF3">
        <w:rPr>
          <w:rFonts w:ascii="Arial" w:hAnsi="Arial" w:cs="Arial"/>
          <w:b/>
          <w:bCs/>
          <w:sz w:val="24"/>
          <w:szCs w:val="24"/>
        </w:rPr>
        <w:t>Table 1: Summary of review recommendations</w:t>
      </w:r>
      <w:r w:rsidR="00DF365A">
        <w:rPr>
          <w:rFonts w:ascii="Arial" w:hAnsi="Arial" w:cs="Arial"/>
          <w:b/>
          <w:bCs/>
          <w:sz w:val="24"/>
          <w:szCs w:val="24"/>
        </w:rPr>
        <w:t xml:space="preserve"> </w:t>
      </w:r>
    </w:p>
    <w:tbl>
      <w:tblPr>
        <w:tblStyle w:val="TableGrid"/>
        <w:tblW w:w="5000" w:type="pct"/>
        <w:tblLook w:val="04A0" w:firstRow="1" w:lastRow="0" w:firstColumn="1" w:lastColumn="0" w:noHBand="0" w:noVBand="1"/>
      </w:tblPr>
      <w:tblGrid>
        <w:gridCol w:w="1123"/>
        <w:gridCol w:w="6769"/>
        <w:gridCol w:w="1124"/>
      </w:tblGrid>
      <w:tr w:rsidR="00027CEB" w:rsidRPr="00060835" w14:paraId="13758ABF" w14:textId="77777777" w:rsidTr="00632D2C">
        <w:trPr>
          <w:cantSplit/>
          <w:tblHeader/>
        </w:trPr>
        <w:tc>
          <w:tcPr>
            <w:tcW w:w="623" w:type="pct"/>
          </w:tcPr>
          <w:p w14:paraId="68BB8131" w14:textId="11D24050" w:rsidR="00027CEB" w:rsidRPr="006E6245" w:rsidRDefault="00027CEB" w:rsidP="008B0574">
            <w:pPr>
              <w:tabs>
                <w:tab w:val="right" w:leader="dot" w:pos="9016"/>
              </w:tabs>
              <w:spacing w:before="60" w:after="60"/>
              <w:jc w:val="center"/>
              <w:rPr>
                <w:rFonts w:ascii="Arial" w:hAnsi="Arial" w:cs="Arial"/>
                <w:b/>
                <w:bCs/>
                <w:sz w:val="24"/>
                <w:szCs w:val="24"/>
              </w:rPr>
            </w:pPr>
            <w:r w:rsidRPr="006E6245">
              <w:rPr>
                <w:rFonts w:ascii="Arial" w:hAnsi="Arial" w:cs="Arial"/>
                <w:b/>
                <w:bCs/>
                <w:sz w:val="24"/>
                <w:szCs w:val="24"/>
              </w:rPr>
              <w:t>Number</w:t>
            </w:r>
          </w:p>
        </w:tc>
        <w:tc>
          <w:tcPr>
            <w:tcW w:w="3754" w:type="pct"/>
          </w:tcPr>
          <w:p w14:paraId="7C582D82" w14:textId="1E985707" w:rsidR="00027CEB" w:rsidRPr="00060835" w:rsidRDefault="00027CEB" w:rsidP="008B0574">
            <w:pPr>
              <w:tabs>
                <w:tab w:val="right" w:leader="dot" w:pos="9016"/>
              </w:tabs>
              <w:spacing w:before="60" w:after="60"/>
              <w:jc w:val="center"/>
              <w:rPr>
                <w:rFonts w:ascii="Arial" w:hAnsi="Arial" w:cs="Arial"/>
                <w:b/>
                <w:bCs/>
                <w:sz w:val="24"/>
                <w:szCs w:val="24"/>
              </w:rPr>
            </w:pPr>
            <w:r w:rsidRPr="00060835">
              <w:rPr>
                <w:rFonts w:ascii="Arial" w:hAnsi="Arial" w:cs="Arial"/>
                <w:b/>
                <w:bCs/>
                <w:sz w:val="24"/>
                <w:szCs w:val="24"/>
              </w:rPr>
              <w:t>Recommendation</w:t>
            </w:r>
          </w:p>
        </w:tc>
        <w:tc>
          <w:tcPr>
            <w:tcW w:w="623" w:type="pct"/>
          </w:tcPr>
          <w:p w14:paraId="5DD6C5F7" w14:textId="2818E76A" w:rsidR="00027CEB" w:rsidRPr="00060835" w:rsidRDefault="00027CEB" w:rsidP="008B0574">
            <w:pPr>
              <w:tabs>
                <w:tab w:val="right" w:leader="dot" w:pos="9016"/>
              </w:tabs>
              <w:spacing w:before="60" w:after="60"/>
              <w:rPr>
                <w:rFonts w:ascii="Arial" w:hAnsi="Arial" w:cs="Arial"/>
                <w:b/>
                <w:bCs/>
                <w:sz w:val="24"/>
                <w:szCs w:val="24"/>
              </w:rPr>
            </w:pPr>
            <w:r>
              <w:rPr>
                <w:rFonts w:ascii="Arial" w:hAnsi="Arial" w:cs="Arial"/>
                <w:b/>
                <w:bCs/>
                <w:sz w:val="24"/>
                <w:szCs w:val="24"/>
              </w:rPr>
              <w:t>Priority</w:t>
            </w:r>
          </w:p>
        </w:tc>
      </w:tr>
      <w:tr w:rsidR="00027CEB" w:rsidRPr="00060835" w14:paraId="4A2CA4A3" w14:textId="77777777" w:rsidTr="00632D2C">
        <w:tc>
          <w:tcPr>
            <w:tcW w:w="623" w:type="pct"/>
          </w:tcPr>
          <w:p w14:paraId="1F587816" w14:textId="1695F866" w:rsidR="00027CEB" w:rsidRPr="006E6245" w:rsidRDefault="00027CEB" w:rsidP="008B0574">
            <w:pPr>
              <w:tabs>
                <w:tab w:val="right" w:leader="dot" w:pos="9016"/>
              </w:tabs>
              <w:spacing w:before="60" w:after="60"/>
              <w:jc w:val="center"/>
              <w:rPr>
                <w:rFonts w:ascii="Arial" w:hAnsi="Arial" w:cs="Arial"/>
                <w:b/>
                <w:bCs/>
                <w:sz w:val="24"/>
                <w:szCs w:val="24"/>
              </w:rPr>
            </w:pPr>
            <w:r w:rsidRPr="006E6245">
              <w:rPr>
                <w:rFonts w:ascii="Arial" w:hAnsi="Arial" w:cs="Arial"/>
                <w:b/>
                <w:bCs/>
                <w:sz w:val="24"/>
                <w:szCs w:val="24"/>
              </w:rPr>
              <w:t>2.1</w:t>
            </w:r>
          </w:p>
        </w:tc>
        <w:tc>
          <w:tcPr>
            <w:tcW w:w="3754" w:type="pct"/>
          </w:tcPr>
          <w:p w14:paraId="2003AE66" w14:textId="1ED198FD" w:rsidR="00027CEB" w:rsidRPr="00060835" w:rsidRDefault="00027CEB" w:rsidP="008B0574">
            <w:pPr>
              <w:pStyle w:val="Default"/>
              <w:spacing w:before="60" w:after="60"/>
              <w:rPr>
                <w:rFonts w:ascii="Arial" w:hAnsi="Arial" w:cs="Arial"/>
              </w:rPr>
            </w:pPr>
            <w:r w:rsidRPr="00155CBF">
              <w:rPr>
                <w:rFonts w:ascii="Arial" w:hAnsi="Arial" w:cs="Arial"/>
                <w:color w:val="auto"/>
              </w:rPr>
              <w:t>The Commission to form a senior level Steering Group to oversee implementation of an Action Plan based on the Review recommendations.</w:t>
            </w:r>
          </w:p>
        </w:tc>
        <w:tc>
          <w:tcPr>
            <w:tcW w:w="623" w:type="pct"/>
          </w:tcPr>
          <w:p w14:paraId="484640B1" w14:textId="530A69DF"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7983B6EE" w14:textId="77777777" w:rsidTr="00632D2C">
        <w:tc>
          <w:tcPr>
            <w:tcW w:w="623" w:type="pct"/>
          </w:tcPr>
          <w:p w14:paraId="42B654B8" w14:textId="1AAD7300" w:rsidR="00027CEB" w:rsidRPr="006E6245" w:rsidRDefault="00027CEB" w:rsidP="008B0574">
            <w:pPr>
              <w:tabs>
                <w:tab w:val="right" w:leader="dot" w:pos="9016"/>
              </w:tabs>
              <w:spacing w:before="60" w:after="60"/>
              <w:jc w:val="center"/>
              <w:rPr>
                <w:rFonts w:ascii="Arial" w:hAnsi="Arial" w:cs="Arial"/>
                <w:b/>
                <w:bCs/>
                <w:sz w:val="24"/>
                <w:szCs w:val="24"/>
              </w:rPr>
            </w:pPr>
            <w:r w:rsidRPr="006E6245">
              <w:rPr>
                <w:rFonts w:ascii="Arial" w:hAnsi="Arial" w:cs="Arial"/>
                <w:b/>
                <w:bCs/>
                <w:sz w:val="24"/>
                <w:szCs w:val="24"/>
              </w:rPr>
              <w:t>4.1</w:t>
            </w:r>
          </w:p>
        </w:tc>
        <w:tc>
          <w:tcPr>
            <w:tcW w:w="3754" w:type="pct"/>
          </w:tcPr>
          <w:p w14:paraId="67DCF507" w14:textId="3054D87A" w:rsidR="00027CEB" w:rsidRPr="00060835" w:rsidRDefault="00027CEB" w:rsidP="008B0574">
            <w:pPr>
              <w:spacing w:before="60" w:after="60"/>
              <w:textAlignment w:val="baseline"/>
              <w:rPr>
                <w:rFonts w:ascii="Arial" w:hAnsi="Arial" w:cs="Arial"/>
                <w:sz w:val="24"/>
                <w:szCs w:val="24"/>
              </w:rPr>
            </w:pPr>
            <w:r>
              <w:rPr>
                <w:rFonts w:ascii="Arial" w:hAnsi="Arial" w:cs="Arial"/>
                <w:sz w:val="24"/>
                <w:szCs w:val="24"/>
              </w:rPr>
              <w:t>The Commission to review and update its purpose, role and responsibilities statements, and review and update its website and other communication products to provide greater clarity about its place in the broader aged care system.</w:t>
            </w:r>
          </w:p>
        </w:tc>
        <w:tc>
          <w:tcPr>
            <w:tcW w:w="623" w:type="pct"/>
          </w:tcPr>
          <w:p w14:paraId="22B0F3BF" w14:textId="518C8220"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3</w:t>
            </w:r>
          </w:p>
        </w:tc>
      </w:tr>
      <w:tr w:rsidR="00027CEB" w:rsidRPr="00060835" w14:paraId="12201614" w14:textId="77777777" w:rsidTr="00632D2C">
        <w:tc>
          <w:tcPr>
            <w:tcW w:w="623" w:type="pct"/>
          </w:tcPr>
          <w:p w14:paraId="4D0DD2C7" w14:textId="1E7E4AD5" w:rsidR="00027CEB" w:rsidRPr="006E6245" w:rsidRDefault="00027CEB" w:rsidP="008B0574">
            <w:pPr>
              <w:tabs>
                <w:tab w:val="right" w:leader="dot" w:pos="9016"/>
              </w:tabs>
              <w:spacing w:before="60" w:after="60"/>
              <w:jc w:val="center"/>
              <w:rPr>
                <w:rFonts w:ascii="Arial" w:hAnsi="Arial" w:cs="Arial"/>
                <w:b/>
                <w:bCs/>
                <w:sz w:val="24"/>
                <w:szCs w:val="24"/>
              </w:rPr>
            </w:pPr>
            <w:r w:rsidRPr="006E6245">
              <w:rPr>
                <w:rFonts w:ascii="Arial" w:hAnsi="Arial" w:cs="Arial"/>
                <w:b/>
                <w:bCs/>
                <w:sz w:val="24"/>
                <w:szCs w:val="24"/>
              </w:rPr>
              <w:t>4.2</w:t>
            </w:r>
          </w:p>
        </w:tc>
        <w:tc>
          <w:tcPr>
            <w:tcW w:w="3754" w:type="pct"/>
          </w:tcPr>
          <w:p w14:paraId="265C021F" w14:textId="5B7465E0" w:rsidR="00027CEB" w:rsidRPr="00060835" w:rsidRDefault="00027CEB" w:rsidP="008B0574">
            <w:pPr>
              <w:spacing w:before="60" w:after="60"/>
              <w:rPr>
                <w:rFonts w:ascii="Arial" w:hAnsi="Arial" w:cs="Arial"/>
                <w:sz w:val="24"/>
                <w:szCs w:val="24"/>
              </w:rPr>
            </w:pPr>
            <w:r>
              <w:rPr>
                <w:rFonts w:ascii="Arial" w:hAnsi="Arial" w:cs="Arial"/>
                <w:sz w:val="24"/>
                <w:szCs w:val="24"/>
              </w:rPr>
              <w:t>The Department and the Commission to establish a joint strategic policy and operational committee</w:t>
            </w:r>
            <w:r w:rsidR="0073073B">
              <w:rPr>
                <w:rFonts w:ascii="Arial" w:hAnsi="Arial" w:cs="Arial"/>
                <w:sz w:val="24"/>
                <w:szCs w:val="24"/>
              </w:rPr>
              <w:t xml:space="preserve"> (Joint Strategic Committee</w:t>
            </w:r>
            <w:proofErr w:type="gramStart"/>
            <w:r w:rsidR="0073073B">
              <w:rPr>
                <w:rFonts w:ascii="Arial" w:hAnsi="Arial" w:cs="Arial"/>
                <w:sz w:val="24"/>
                <w:szCs w:val="24"/>
              </w:rPr>
              <w:t>)</w:t>
            </w:r>
            <w:r>
              <w:rPr>
                <w:rFonts w:ascii="Arial" w:hAnsi="Arial" w:cs="Arial"/>
                <w:sz w:val="24"/>
                <w:szCs w:val="24"/>
              </w:rPr>
              <w:t>, and</w:t>
            </w:r>
            <w:proofErr w:type="gramEnd"/>
            <w:r>
              <w:rPr>
                <w:rFonts w:ascii="Arial" w:hAnsi="Arial" w:cs="Arial"/>
                <w:sz w:val="24"/>
                <w:szCs w:val="24"/>
              </w:rPr>
              <w:t xml:space="preserve"> update their overarching MoU.</w:t>
            </w:r>
          </w:p>
        </w:tc>
        <w:tc>
          <w:tcPr>
            <w:tcW w:w="623" w:type="pct"/>
          </w:tcPr>
          <w:p w14:paraId="32CA3355" w14:textId="1668F7F8" w:rsidR="00027CEB" w:rsidRPr="00614198"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076EAA27" w14:textId="77777777" w:rsidTr="00632D2C">
        <w:tc>
          <w:tcPr>
            <w:tcW w:w="623" w:type="pct"/>
          </w:tcPr>
          <w:p w14:paraId="73FBBAB4" w14:textId="7DC0C1CE" w:rsidR="00027CEB" w:rsidRPr="006E6245" w:rsidRDefault="00027CEB" w:rsidP="008B0574">
            <w:pPr>
              <w:tabs>
                <w:tab w:val="right" w:leader="dot" w:pos="9016"/>
              </w:tabs>
              <w:spacing w:before="60" w:after="60"/>
              <w:jc w:val="center"/>
              <w:rPr>
                <w:rFonts w:ascii="Arial" w:hAnsi="Arial" w:cs="Arial"/>
                <w:b/>
                <w:bCs/>
                <w:sz w:val="24"/>
                <w:szCs w:val="24"/>
              </w:rPr>
            </w:pPr>
            <w:r w:rsidRPr="006E6245">
              <w:rPr>
                <w:rFonts w:ascii="Arial" w:hAnsi="Arial" w:cs="Arial"/>
                <w:b/>
                <w:bCs/>
                <w:sz w:val="24"/>
                <w:szCs w:val="24"/>
              </w:rPr>
              <w:t>4.3</w:t>
            </w:r>
          </w:p>
        </w:tc>
        <w:tc>
          <w:tcPr>
            <w:tcW w:w="3754" w:type="pct"/>
          </w:tcPr>
          <w:p w14:paraId="1B36897F" w14:textId="4EE4A58B" w:rsidR="00027CEB" w:rsidRPr="00060835" w:rsidRDefault="00027CEB" w:rsidP="008B0574">
            <w:pPr>
              <w:spacing w:before="60" w:after="60"/>
              <w:rPr>
                <w:rFonts w:ascii="Arial" w:hAnsi="Arial" w:cs="Arial"/>
                <w:sz w:val="24"/>
                <w:szCs w:val="24"/>
              </w:rPr>
            </w:pPr>
            <w:r>
              <w:rPr>
                <w:rFonts w:ascii="Arial" w:hAnsi="Arial" w:cs="Arial"/>
                <w:sz w:val="24"/>
                <w:szCs w:val="24"/>
              </w:rPr>
              <w:t xml:space="preserve">The Commission to strengthen its leadership by fully implementing a new </w:t>
            </w:r>
            <w:proofErr w:type="spellStart"/>
            <w:r>
              <w:rPr>
                <w:rFonts w:ascii="Arial" w:hAnsi="Arial" w:cs="Arial"/>
                <w:sz w:val="24"/>
                <w:szCs w:val="24"/>
              </w:rPr>
              <w:t>organisational</w:t>
            </w:r>
            <w:proofErr w:type="spellEnd"/>
            <w:r>
              <w:rPr>
                <w:rFonts w:ascii="Arial" w:hAnsi="Arial" w:cs="Arial"/>
                <w:sz w:val="24"/>
                <w:szCs w:val="24"/>
              </w:rPr>
              <w:t xml:space="preserve"> structure to better support the Commission’s purpose and outcomes.</w:t>
            </w:r>
          </w:p>
        </w:tc>
        <w:tc>
          <w:tcPr>
            <w:tcW w:w="623" w:type="pct"/>
          </w:tcPr>
          <w:p w14:paraId="16459B97" w14:textId="53FD9F9D"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1DAB68AC" w14:textId="77777777" w:rsidTr="00632D2C">
        <w:tc>
          <w:tcPr>
            <w:tcW w:w="623" w:type="pct"/>
          </w:tcPr>
          <w:p w14:paraId="3B8259C8" w14:textId="05D32A0F" w:rsidR="00027CEB" w:rsidRPr="006E6245" w:rsidRDefault="00027CEB" w:rsidP="008B0574">
            <w:pPr>
              <w:tabs>
                <w:tab w:val="right" w:leader="dot" w:pos="9016"/>
              </w:tabs>
              <w:spacing w:before="60" w:after="60"/>
              <w:jc w:val="center"/>
              <w:rPr>
                <w:rFonts w:ascii="Arial" w:hAnsi="Arial" w:cs="Arial"/>
                <w:b/>
                <w:bCs/>
                <w:sz w:val="24"/>
                <w:szCs w:val="24"/>
              </w:rPr>
            </w:pPr>
            <w:r w:rsidRPr="006E6245">
              <w:rPr>
                <w:rFonts w:ascii="Arial" w:hAnsi="Arial" w:cs="Arial"/>
                <w:b/>
                <w:bCs/>
                <w:sz w:val="24"/>
                <w:szCs w:val="24"/>
              </w:rPr>
              <w:t>4.4</w:t>
            </w:r>
          </w:p>
        </w:tc>
        <w:tc>
          <w:tcPr>
            <w:tcW w:w="3754" w:type="pct"/>
          </w:tcPr>
          <w:p w14:paraId="12BB2FAA" w14:textId="16351C65" w:rsidR="00027CEB" w:rsidRPr="002267B6" w:rsidRDefault="00027CEB" w:rsidP="008B0574">
            <w:pPr>
              <w:spacing w:before="60" w:after="60"/>
              <w:rPr>
                <w:rFonts w:ascii="Arial" w:hAnsi="Arial" w:cs="Arial"/>
                <w:sz w:val="24"/>
                <w:szCs w:val="24"/>
              </w:rPr>
            </w:pPr>
            <w:r>
              <w:rPr>
                <w:rFonts w:ascii="Arial" w:hAnsi="Arial" w:cs="Arial"/>
                <w:sz w:val="24"/>
                <w:szCs w:val="24"/>
              </w:rPr>
              <w:t xml:space="preserve">The Commission to implement a robust, </w:t>
            </w:r>
            <w:proofErr w:type="gramStart"/>
            <w:r>
              <w:rPr>
                <w:rFonts w:ascii="Arial" w:hAnsi="Arial" w:cs="Arial"/>
                <w:sz w:val="24"/>
                <w:szCs w:val="24"/>
              </w:rPr>
              <w:t>comprehensive</w:t>
            </w:r>
            <w:proofErr w:type="gramEnd"/>
            <w:r>
              <w:rPr>
                <w:rFonts w:ascii="Arial" w:hAnsi="Arial" w:cs="Arial"/>
                <w:sz w:val="24"/>
                <w:szCs w:val="24"/>
              </w:rPr>
              <w:t xml:space="preserve"> and transparent corporate governance framework and publish the framework on its Intranet.</w:t>
            </w:r>
          </w:p>
        </w:tc>
        <w:tc>
          <w:tcPr>
            <w:tcW w:w="623" w:type="pct"/>
          </w:tcPr>
          <w:p w14:paraId="322056B7" w14:textId="43E11E8E"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61095E6D" w14:textId="77777777" w:rsidTr="00632D2C">
        <w:tc>
          <w:tcPr>
            <w:tcW w:w="623" w:type="pct"/>
          </w:tcPr>
          <w:p w14:paraId="0351AFDD" w14:textId="5CA4D886" w:rsidR="00027CEB"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4.5</w:t>
            </w:r>
          </w:p>
        </w:tc>
        <w:tc>
          <w:tcPr>
            <w:tcW w:w="3754" w:type="pct"/>
          </w:tcPr>
          <w:p w14:paraId="6FD456BF" w14:textId="31CBD5B9" w:rsidR="00027CEB" w:rsidRPr="00D93A8E" w:rsidRDefault="00027CEB" w:rsidP="008B0574">
            <w:pPr>
              <w:spacing w:before="60" w:after="60"/>
              <w:rPr>
                <w:rFonts w:ascii="Arial" w:hAnsi="Arial" w:cs="Arial"/>
                <w:sz w:val="24"/>
                <w:szCs w:val="24"/>
              </w:rPr>
            </w:pPr>
            <w:r w:rsidRPr="00137601">
              <w:rPr>
                <w:rFonts w:ascii="Arial" w:hAnsi="Arial" w:cs="Arial"/>
                <w:color w:val="000000"/>
                <w:sz w:val="24"/>
                <w:szCs w:val="24"/>
                <w:shd w:val="clear" w:color="auto" w:fill="FFFFFF"/>
                <w:lang w:eastAsia="en-AU"/>
              </w:rPr>
              <w:t>The Commission</w:t>
            </w:r>
            <w:r>
              <w:rPr>
                <w:rFonts w:ascii="Arial" w:hAnsi="Arial" w:cs="Arial"/>
                <w:color w:val="000000"/>
                <w:sz w:val="24"/>
                <w:szCs w:val="24"/>
                <w:shd w:val="clear" w:color="auto" w:fill="FFFFFF"/>
                <w:lang w:eastAsia="en-AU"/>
              </w:rPr>
              <w:t xml:space="preserve"> to</w:t>
            </w:r>
            <w:r w:rsidRPr="00137601">
              <w:rPr>
                <w:rFonts w:ascii="Arial" w:hAnsi="Arial" w:cs="Arial"/>
                <w:color w:val="000000"/>
                <w:sz w:val="24"/>
                <w:szCs w:val="24"/>
                <w:shd w:val="clear" w:color="auto" w:fill="FFFFFF"/>
                <w:lang w:eastAsia="en-AU"/>
              </w:rPr>
              <w:t xml:space="preserve"> adopt open disclosure as part of its regulatory practice</w:t>
            </w:r>
            <w:r>
              <w:rPr>
                <w:rFonts w:ascii="Arial" w:hAnsi="Arial" w:cs="Arial"/>
                <w:color w:val="000000"/>
                <w:sz w:val="24"/>
                <w:szCs w:val="24"/>
                <w:shd w:val="clear" w:color="auto" w:fill="FFFFFF"/>
                <w:lang w:eastAsia="en-AU"/>
              </w:rPr>
              <w:t xml:space="preserve"> and </w:t>
            </w:r>
            <w:r w:rsidRPr="00137601">
              <w:rPr>
                <w:rFonts w:ascii="Arial" w:hAnsi="Arial" w:cs="Arial"/>
                <w:color w:val="000000"/>
                <w:sz w:val="24"/>
                <w:szCs w:val="24"/>
                <w:shd w:val="clear" w:color="auto" w:fill="FFFFFF"/>
                <w:lang w:eastAsia="en-AU"/>
              </w:rPr>
              <w:t>promote transparency about its practice within the sector</w:t>
            </w:r>
            <w:r>
              <w:rPr>
                <w:rFonts w:ascii="Arial" w:hAnsi="Arial" w:cs="Arial"/>
                <w:color w:val="000000"/>
                <w:sz w:val="24"/>
                <w:szCs w:val="24"/>
                <w:shd w:val="clear" w:color="auto" w:fill="FFFFFF"/>
                <w:lang w:eastAsia="en-AU"/>
              </w:rPr>
              <w:t xml:space="preserve"> and the community.</w:t>
            </w:r>
          </w:p>
        </w:tc>
        <w:tc>
          <w:tcPr>
            <w:tcW w:w="623" w:type="pct"/>
          </w:tcPr>
          <w:p w14:paraId="4010D6B3" w14:textId="2E5E033B" w:rsidR="00027CEB"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3</w:t>
            </w:r>
          </w:p>
        </w:tc>
      </w:tr>
      <w:tr w:rsidR="00027CEB" w:rsidRPr="00060835" w14:paraId="5881BDA0" w14:textId="77777777" w:rsidTr="00632D2C">
        <w:tc>
          <w:tcPr>
            <w:tcW w:w="623" w:type="pct"/>
          </w:tcPr>
          <w:p w14:paraId="715EC345" w14:textId="356F6E6E"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4.6</w:t>
            </w:r>
          </w:p>
        </w:tc>
        <w:tc>
          <w:tcPr>
            <w:tcW w:w="3754" w:type="pct"/>
          </w:tcPr>
          <w:p w14:paraId="5B76188A" w14:textId="6AABFD9E" w:rsidR="00027CEB" w:rsidRDefault="00027CEB" w:rsidP="008B0574">
            <w:pPr>
              <w:spacing w:before="60" w:after="60"/>
              <w:rPr>
                <w:rFonts w:ascii="Arial" w:hAnsi="Arial" w:cs="Arial"/>
                <w:sz w:val="24"/>
                <w:szCs w:val="24"/>
              </w:rPr>
            </w:pPr>
            <w:r w:rsidRPr="00D93A8E">
              <w:rPr>
                <w:rFonts w:ascii="Arial" w:hAnsi="Arial" w:cs="Arial"/>
                <w:sz w:val="24"/>
                <w:szCs w:val="24"/>
              </w:rPr>
              <w:t xml:space="preserve">The Commission </w:t>
            </w:r>
            <w:r>
              <w:rPr>
                <w:rFonts w:ascii="Arial" w:hAnsi="Arial" w:cs="Arial"/>
                <w:sz w:val="24"/>
                <w:szCs w:val="24"/>
              </w:rPr>
              <w:t>to</w:t>
            </w:r>
            <w:r w:rsidRPr="00D93A8E">
              <w:rPr>
                <w:rFonts w:ascii="Arial" w:hAnsi="Arial" w:cs="Arial"/>
                <w:sz w:val="24"/>
                <w:szCs w:val="24"/>
              </w:rPr>
              <w:t xml:space="preserve"> a</w:t>
            </w:r>
            <w:r w:rsidRPr="00D93A8E">
              <w:rPr>
                <w:rFonts w:ascii="Arial" w:hAnsi="Arial" w:cs="Arial"/>
                <w:color w:val="000000"/>
                <w:sz w:val="24"/>
                <w:szCs w:val="24"/>
                <w:shd w:val="clear" w:color="auto" w:fill="FFFFFF"/>
              </w:rPr>
              <w:t xml:space="preserve">ccelerate the development and implementation of </w:t>
            </w:r>
            <w:r>
              <w:rPr>
                <w:rFonts w:ascii="Arial" w:hAnsi="Arial" w:cs="Arial"/>
                <w:color w:val="000000"/>
                <w:sz w:val="24"/>
                <w:szCs w:val="24"/>
                <w:shd w:val="clear" w:color="auto" w:fill="FFFFFF"/>
              </w:rPr>
              <w:t>it</w:t>
            </w:r>
            <w:r w:rsidRPr="00D93A8E">
              <w:rPr>
                <w:rFonts w:ascii="Arial" w:hAnsi="Arial" w:cs="Arial"/>
                <w:color w:val="000000"/>
                <w:sz w:val="24"/>
                <w:szCs w:val="24"/>
                <w:shd w:val="clear" w:color="auto" w:fill="FFFFFF"/>
              </w:rPr>
              <w:t>s Diversity and Inclusion Strategy</w:t>
            </w:r>
            <w:r w:rsidR="00155CBF">
              <w:rPr>
                <w:rFonts w:ascii="Arial" w:hAnsi="Arial" w:cs="Arial"/>
                <w:color w:val="000000"/>
                <w:sz w:val="24"/>
                <w:szCs w:val="24"/>
                <w:shd w:val="clear" w:color="auto" w:fill="FFFFFF"/>
              </w:rPr>
              <w:t>.</w:t>
            </w:r>
          </w:p>
        </w:tc>
        <w:tc>
          <w:tcPr>
            <w:tcW w:w="623" w:type="pct"/>
          </w:tcPr>
          <w:p w14:paraId="5C984451" w14:textId="350FB094" w:rsidR="00027CEB"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20434A0D" w14:textId="77777777" w:rsidTr="00632D2C">
        <w:tc>
          <w:tcPr>
            <w:tcW w:w="623" w:type="pct"/>
          </w:tcPr>
          <w:p w14:paraId="3332ACA3" w14:textId="1636B669"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lastRenderedPageBreak/>
              <w:t>4.7</w:t>
            </w:r>
          </w:p>
        </w:tc>
        <w:tc>
          <w:tcPr>
            <w:tcW w:w="3754" w:type="pct"/>
          </w:tcPr>
          <w:p w14:paraId="3A15BCC3" w14:textId="632D8CB5" w:rsidR="00027CEB" w:rsidRDefault="00027CEB" w:rsidP="008B0574">
            <w:pPr>
              <w:spacing w:before="60" w:after="60"/>
              <w:rPr>
                <w:rFonts w:ascii="Arial" w:hAnsi="Arial" w:cs="Arial"/>
                <w:sz w:val="24"/>
                <w:szCs w:val="24"/>
              </w:rPr>
            </w:pPr>
            <w:r>
              <w:rPr>
                <w:rFonts w:ascii="Arial" w:hAnsi="Arial" w:cs="Arial"/>
                <w:sz w:val="24"/>
                <w:szCs w:val="24"/>
              </w:rPr>
              <w:t>The Commission to develop a Cultural Capability Framework in partnership with key stakeholders</w:t>
            </w:r>
            <w:r w:rsidR="00155CBF">
              <w:rPr>
                <w:rFonts w:ascii="Arial" w:hAnsi="Arial" w:cs="Arial"/>
                <w:sz w:val="24"/>
                <w:szCs w:val="24"/>
              </w:rPr>
              <w:t>.</w:t>
            </w:r>
          </w:p>
        </w:tc>
        <w:tc>
          <w:tcPr>
            <w:tcW w:w="623" w:type="pct"/>
          </w:tcPr>
          <w:p w14:paraId="6EF74C9E" w14:textId="69ACFB8C" w:rsidR="00027CEB"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027CEB" w:rsidRPr="00060835" w14:paraId="48B624BC" w14:textId="77777777" w:rsidTr="00632D2C">
        <w:tc>
          <w:tcPr>
            <w:tcW w:w="623" w:type="pct"/>
          </w:tcPr>
          <w:p w14:paraId="376868B4" w14:textId="4FA437A3" w:rsidR="00027CEB" w:rsidRPr="006E6245" w:rsidRDefault="00027CEB" w:rsidP="008B0574">
            <w:pPr>
              <w:tabs>
                <w:tab w:val="right" w:leader="dot" w:pos="9016"/>
              </w:tabs>
              <w:spacing w:before="60" w:after="60"/>
              <w:jc w:val="center"/>
              <w:rPr>
                <w:rFonts w:ascii="Arial" w:hAnsi="Arial" w:cs="Arial"/>
                <w:b/>
                <w:bCs/>
                <w:sz w:val="24"/>
                <w:szCs w:val="24"/>
              </w:rPr>
            </w:pPr>
            <w:r w:rsidRPr="006E6245">
              <w:rPr>
                <w:rFonts w:ascii="Arial" w:hAnsi="Arial" w:cs="Arial"/>
                <w:b/>
                <w:bCs/>
                <w:sz w:val="24"/>
                <w:szCs w:val="24"/>
              </w:rPr>
              <w:t>4.</w:t>
            </w:r>
            <w:r>
              <w:rPr>
                <w:rFonts w:ascii="Arial" w:hAnsi="Arial" w:cs="Arial"/>
                <w:b/>
                <w:bCs/>
                <w:sz w:val="24"/>
                <w:szCs w:val="24"/>
              </w:rPr>
              <w:t>8</w:t>
            </w:r>
          </w:p>
        </w:tc>
        <w:tc>
          <w:tcPr>
            <w:tcW w:w="3754" w:type="pct"/>
          </w:tcPr>
          <w:p w14:paraId="3B85A3C6" w14:textId="51DF8147" w:rsidR="00027CEB" w:rsidRPr="00060835" w:rsidRDefault="00027CEB" w:rsidP="008B0574">
            <w:pPr>
              <w:spacing w:before="60" w:after="60"/>
              <w:rPr>
                <w:rFonts w:ascii="Arial" w:hAnsi="Arial" w:cs="Arial"/>
                <w:sz w:val="24"/>
                <w:szCs w:val="24"/>
              </w:rPr>
            </w:pPr>
            <w:r>
              <w:rPr>
                <w:rFonts w:ascii="Arial" w:hAnsi="Arial" w:cs="Arial"/>
                <w:sz w:val="24"/>
                <w:szCs w:val="24"/>
              </w:rPr>
              <w:t xml:space="preserve">The Commission to develop a detailed, </w:t>
            </w:r>
            <w:proofErr w:type="gramStart"/>
            <w:r>
              <w:rPr>
                <w:rFonts w:ascii="Arial" w:hAnsi="Arial" w:cs="Arial"/>
                <w:sz w:val="24"/>
                <w:szCs w:val="24"/>
              </w:rPr>
              <w:t>holistic</w:t>
            </w:r>
            <w:proofErr w:type="gramEnd"/>
            <w:r>
              <w:rPr>
                <w:rFonts w:ascii="Arial" w:hAnsi="Arial" w:cs="Arial"/>
                <w:sz w:val="24"/>
                <w:szCs w:val="24"/>
              </w:rPr>
              <w:t xml:space="preserve"> and thorough Strategic Workforce Plan that identifies skills gaps and focusses on all aspects of the employee lifecycle, is a key priority of ELG, and is the principal focus of a new People and Culture Governance Committee.</w:t>
            </w:r>
          </w:p>
        </w:tc>
        <w:tc>
          <w:tcPr>
            <w:tcW w:w="623" w:type="pct"/>
          </w:tcPr>
          <w:p w14:paraId="10E8A95E" w14:textId="349BE55B" w:rsidR="00027CEB" w:rsidRPr="00060835" w:rsidRDefault="005901E3"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13A39871" w14:textId="77777777" w:rsidTr="00632D2C">
        <w:tc>
          <w:tcPr>
            <w:tcW w:w="623" w:type="pct"/>
          </w:tcPr>
          <w:p w14:paraId="052EB6C6" w14:textId="159F4935" w:rsidR="00027CEB"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4.9</w:t>
            </w:r>
          </w:p>
        </w:tc>
        <w:tc>
          <w:tcPr>
            <w:tcW w:w="3754" w:type="pct"/>
          </w:tcPr>
          <w:p w14:paraId="6C268A97" w14:textId="07888C10" w:rsidR="00027CEB" w:rsidRDefault="00027CEB" w:rsidP="009327BC">
            <w:pPr>
              <w:spacing w:before="60" w:after="60"/>
              <w:rPr>
                <w:rFonts w:ascii="Arial" w:hAnsi="Arial" w:cs="Arial"/>
                <w:sz w:val="24"/>
              </w:rPr>
            </w:pPr>
            <w:r w:rsidRPr="009327BC">
              <w:rPr>
                <w:rFonts w:ascii="Arial" w:hAnsi="Arial" w:cs="Arial"/>
                <w:sz w:val="24"/>
                <w:lang w:val="en-AU"/>
              </w:rPr>
              <w:t xml:space="preserve">The Commission to establish appropriately resourced ICT governance and delivery processes to provide greater strategy, design and implementation oversight over the Aged Care Reform program and internal Commission ICT work program. </w:t>
            </w:r>
          </w:p>
        </w:tc>
        <w:tc>
          <w:tcPr>
            <w:tcW w:w="623" w:type="pct"/>
          </w:tcPr>
          <w:p w14:paraId="1D9FB9B2" w14:textId="2A4CA0C8" w:rsidR="00027CEB"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0EB5A610" w14:textId="77777777" w:rsidTr="00632D2C">
        <w:tc>
          <w:tcPr>
            <w:tcW w:w="623" w:type="pct"/>
          </w:tcPr>
          <w:p w14:paraId="13A70F2E" w14:textId="0EDE3B1D"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4.10</w:t>
            </w:r>
          </w:p>
        </w:tc>
        <w:tc>
          <w:tcPr>
            <w:tcW w:w="3754" w:type="pct"/>
          </w:tcPr>
          <w:p w14:paraId="0AFE24E4" w14:textId="261F8A31" w:rsidR="00027CEB" w:rsidRDefault="00027CEB" w:rsidP="008B0574">
            <w:pPr>
              <w:spacing w:before="60" w:after="60"/>
              <w:rPr>
                <w:rFonts w:ascii="Arial" w:hAnsi="Arial" w:cs="Arial"/>
                <w:sz w:val="24"/>
                <w:szCs w:val="24"/>
              </w:rPr>
            </w:pPr>
            <w:r>
              <w:rPr>
                <w:rFonts w:ascii="Arial" w:hAnsi="Arial" w:cs="Arial"/>
                <w:sz w:val="24"/>
              </w:rPr>
              <w:t xml:space="preserve">The Commission to </w:t>
            </w:r>
            <w:r w:rsidRPr="00897148">
              <w:rPr>
                <w:rFonts w:ascii="Arial" w:hAnsi="Arial" w:cs="Arial"/>
                <w:sz w:val="24"/>
              </w:rPr>
              <w:t>accelerate its’ Cyber Security Uplift Program to adequately address or mitigate current cyber security risks</w:t>
            </w:r>
            <w:r w:rsidRPr="00B91BB9">
              <w:rPr>
                <w:rFonts w:ascii="Arial" w:hAnsi="Arial" w:cs="Arial"/>
                <w:sz w:val="24"/>
              </w:rPr>
              <w:t>, including</w:t>
            </w:r>
            <w:r>
              <w:rPr>
                <w:rFonts w:ascii="Arial" w:hAnsi="Arial" w:cs="Arial"/>
                <w:sz w:val="24"/>
              </w:rPr>
              <w:t xml:space="preserve"> further education and awareness for staff.</w:t>
            </w:r>
          </w:p>
        </w:tc>
        <w:tc>
          <w:tcPr>
            <w:tcW w:w="623" w:type="pct"/>
          </w:tcPr>
          <w:p w14:paraId="52D9F5C0" w14:textId="6421493D" w:rsidR="00027CEB"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02F289B4" w14:textId="77777777" w:rsidTr="00632D2C">
        <w:tc>
          <w:tcPr>
            <w:tcW w:w="623" w:type="pct"/>
          </w:tcPr>
          <w:p w14:paraId="4592CD35" w14:textId="3C0648C5"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4.11</w:t>
            </w:r>
          </w:p>
        </w:tc>
        <w:tc>
          <w:tcPr>
            <w:tcW w:w="3754" w:type="pct"/>
          </w:tcPr>
          <w:p w14:paraId="2BD73EA0" w14:textId="0185608C" w:rsidR="00027CEB" w:rsidRPr="003E029A" w:rsidRDefault="00027CEB" w:rsidP="008B0574">
            <w:pPr>
              <w:spacing w:before="60" w:after="60"/>
              <w:rPr>
                <w:rFonts w:ascii="Arial" w:eastAsia="Times New Roman" w:hAnsi="Arial" w:cs="Arial"/>
                <w:sz w:val="24"/>
                <w:szCs w:val="24"/>
              </w:rPr>
            </w:pPr>
            <w:r w:rsidRPr="003E029A">
              <w:rPr>
                <w:rFonts w:ascii="Arial" w:hAnsi="Arial" w:cs="Arial"/>
                <w:sz w:val="24"/>
              </w:rPr>
              <w:t xml:space="preserve">The Commission’s 2022-23 resourcing levels </w:t>
            </w:r>
            <w:r>
              <w:rPr>
                <w:rFonts w:ascii="Arial" w:hAnsi="Arial" w:cs="Arial"/>
                <w:sz w:val="24"/>
              </w:rPr>
              <w:t>to</w:t>
            </w:r>
            <w:r w:rsidRPr="003E029A">
              <w:rPr>
                <w:rFonts w:ascii="Arial" w:hAnsi="Arial" w:cs="Arial"/>
                <w:sz w:val="24"/>
              </w:rPr>
              <w:t xml:space="preserve"> be maintained through 2023-24.</w:t>
            </w:r>
          </w:p>
        </w:tc>
        <w:tc>
          <w:tcPr>
            <w:tcW w:w="623" w:type="pct"/>
          </w:tcPr>
          <w:p w14:paraId="7B8A47D4" w14:textId="6C0398A7"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47475FF0" w14:textId="77777777" w:rsidTr="00632D2C">
        <w:tc>
          <w:tcPr>
            <w:tcW w:w="623" w:type="pct"/>
          </w:tcPr>
          <w:p w14:paraId="40867FAB" w14:textId="3EE27BC4"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4.12</w:t>
            </w:r>
          </w:p>
        </w:tc>
        <w:tc>
          <w:tcPr>
            <w:tcW w:w="3754" w:type="pct"/>
          </w:tcPr>
          <w:p w14:paraId="02DC8B35" w14:textId="449C5A4B" w:rsidR="00027CEB" w:rsidRPr="003E029A" w:rsidRDefault="00027CEB" w:rsidP="008B0574">
            <w:pPr>
              <w:spacing w:before="60" w:after="60"/>
              <w:rPr>
                <w:rFonts w:ascii="Arial" w:hAnsi="Arial" w:cs="Arial"/>
                <w:b/>
                <w:bCs/>
                <w:sz w:val="24"/>
                <w:shd w:val="clear" w:color="auto" w:fill="FFFFFF"/>
              </w:rPr>
            </w:pPr>
            <w:r>
              <w:rPr>
                <w:rFonts w:ascii="Arial" w:hAnsi="Arial" w:cs="Arial"/>
                <w:sz w:val="24"/>
                <w:shd w:val="clear" w:color="auto" w:fill="FFFFFF"/>
              </w:rPr>
              <w:t xml:space="preserve">The Department to urgently consider </w:t>
            </w:r>
            <w:r w:rsidRPr="003E029A">
              <w:rPr>
                <w:rFonts w:ascii="Arial" w:hAnsi="Arial" w:cs="Arial"/>
                <w:sz w:val="24"/>
                <w:shd w:val="clear" w:color="auto" w:fill="FFFFFF"/>
              </w:rPr>
              <w:t xml:space="preserve">how </w:t>
            </w:r>
            <w:r>
              <w:rPr>
                <w:rFonts w:ascii="Arial" w:hAnsi="Arial" w:cs="Arial"/>
                <w:sz w:val="24"/>
                <w:shd w:val="clear" w:color="auto" w:fill="FFFFFF"/>
              </w:rPr>
              <w:t xml:space="preserve">the </w:t>
            </w:r>
            <w:r w:rsidRPr="003E029A">
              <w:rPr>
                <w:rFonts w:ascii="Arial" w:hAnsi="Arial" w:cs="Arial"/>
                <w:sz w:val="24"/>
                <w:shd w:val="clear" w:color="auto" w:fill="FFFFFF"/>
              </w:rPr>
              <w:t xml:space="preserve">recommendations of this review which have </w:t>
            </w:r>
            <w:r w:rsidRPr="003E029A">
              <w:rPr>
                <w:rFonts w:ascii="Arial" w:hAnsi="Arial" w:cs="Arial"/>
                <w:sz w:val="24"/>
              </w:rPr>
              <w:t>resourcing implications will be funded.</w:t>
            </w:r>
          </w:p>
        </w:tc>
        <w:tc>
          <w:tcPr>
            <w:tcW w:w="623" w:type="pct"/>
          </w:tcPr>
          <w:p w14:paraId="61D519B0" w14:textId="6104234C" w:rsidR="00027CEB"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109B02B1" w14:textId="77777777" w:rsidTr="00632D2C">
        <w:tc>
          <w:tcPr>
            <w:tcW w:w="623" w:type="pct"/>
          </w:tcPr>
          <w:p w14:paraId="5AEBD34E" w14:textId="15E49209"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4.13</w:t>
            </w:r>
          </w:p>
        </w:tc>
        <w:tc>
          <w:tcPr>
            <w:tcW w:w="3754" w:type="pct"/>
          </w:tcPr>
          <w:p w14:paraId="24164F00" w14:textId="7FAA9987" w:rsidR="00027CEB" w:rsidRPr="00912946" w:rsidRDefault="00027CEB" w:rsidP="008B0574">
            <w:pPr>
              <w:spacing w:before="60" w:after="60"/>
              <w:rPr>
                <w:rFonts w:ascii="Arial" w:eastAsia="Times New Roman" w:hAnsi="Arial" w:cs="Arial"/>
                <w:sz w:val="24"/>
                <w:szCs w:val="24"/>
              </w:rPr>
            </w:pPr>
            <w:r w:rsidRPr="00155CBF">
              <w:rPr>
                <w:rFonts w:ascii="Arial" w:hAnsi="Arial" w:cs="Arial"/>
                <w:sz w:val="24"/>
                <w:shd w:val="clear" w:color="auto" w:fill="FFFFFF"/>
              </w:rPr>
              <w:t xml:space="preserve">The Department, the </w:t>
            </w:r>
            <w:proofErr w:type="gramStart"/>
            <w:r w:rsidRPr="00155CBF">
              <w:rPr>
                <w:rFonts w:ascii="Arial" w:hAnsi="Arial" w:cs="Arial"/>
                <w:sz w:val="24"/>
                <w:shd w:val="clear" w:color="auto" w:fill="FFFFFF"/>
              </w:rPr>
              <w:t>Commission</w:t>
            </w:r>
            <w:proofErr w:type="gramEnd"/>
            <w:r w:rsidRPr="00155CBF">
              <w:rPr>
                <w:rFonts w:ascii="Arial" w:hAnsi="Arial" w:cs="Arial"/>
                <w:sz w:val="24"/>
                <w:shd w:val="clear" w:color="auto" w:fill="FFFFFF"/>
              </w:rPr>
              <w:t xml:space="preserve"> and the Department of Finance to undertake a joint project in 2023 to develop an appropriate and ongoing funding model. </w:t>
            </w:r>
          </w:p>
        </w:tc>
        <w:tc>
          <w:tcPr>
            <w:tcW w:w="623" w:type="pct"/>
          </w:tcPr>
          <w:p w14:paraId="06E1698D" w14:textId="76CAF259"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3106F414" w14:textId="77777777" w:rsidTr="00632D2C">
        <w:tc>
          <w:tcPr>
            <w:tcW w:w="623" w:type="pct"/>
          </w:tcPr>
          <w:p w14:paraId="473B9E8E" w14:textId="64B0DF05" w:rsidR="00027CEB"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4.14</w:t>
            </w:r>
          </w:p>
        </w:tc>
        <w:tc>
          <w:tcPr>
            <w:tcW w:w="3754" w:type="pct"/>
          </w:tcPr>
          <w:p w14:paraId="553E80D5" w14:textId="5171F462" w:rsidR="00027CEB" w:rsidRPr="00912946" w:rsidRDefault="00027CEB" w:rsidP="008B0574">
            <w:pPr>
              <w:tabs>
                <w:tab w:val="left" w:pos="720"/>
              </w:tabs>
              <w:spacing w:before="60" w:after="60"/>
              <w:rPr>
                <w:rFonts w:ascii="Arial" w:eastAsia="Times New Roman" w:hAnsi="Arial" w:cs="Arial"/>
                <w:sz w:val="24"/>
                <w:szCs w:val="24"/>
              </w:rPr>
            </w:pPr>
            <w:r w:rsidRPr="00502B9F">
              <w:rPr>
                <w:rFonts w:ascii="Arial" w:eastAsia="Times New Roman" w:hAnsi="Arial" w:cs="Arial"/>
                <w:sz w:val="24"/>
                <w:szCs w:val="24"/>
              </w:rPr>
              <w:t xml:space="preserve">The Commission </w:t>
            </w:r>
            <w:r>
              <w:rPr>
                <w:rFonts w:ascii="Arial" w:eastAsia="Times New Roman" w:hAnsi="Arial" w:cs="Arial"/>
                <w:sz w:val="24"/>
                <w:szCs w:val="24"/>
              </w:rPr>
              <w:t xml:space="preserve">to </w:t>
            </w:r>
            <w:r w:rsidR="00491515">
              <w:rPr>
                <w:rFonts w:ascii="Arial" w:eastAsia="Times New Roman" w:hAnsi="Arial" w:cs="Arial"/>
                <w:sz w:val="24"/>
                <w:szCs w:val="24"/>
              </w:rPr>
              <w:t>update its</w:t>
            </w:r>
            <w:r w:rsidRPr="00502B9F">
              <w:rPr>
                <w:rFonts w:ascii="Arial" w:eastAsia="Times New Roman" w:hAnsi="Arial" w:cs="Arial"/>
                <w:sz w:val="24"/>
                <w:szCs w:val="24"/>
              </w:rPr>
              <w:t xml:space="preserve"> Regulatory Strategy in consultation with all relevant stakeholders so that aged care providers, consumers and other interested parties can effectively contribute to the continuous improvement of aged care </w:t>
            </w:r>
            <w:proofErr w:type="gramStart"/>
            <w:r w:rsidRPr="00502B9F">
              <w:rPr>
                <w:rFonts w:ascii="Arial" w:eastAsia="Times New Roman" w:hAnsi="Arial" w:cs="Arial"/>
                <w:sz w:val="24"/>
                <w:szCs w:val="24"/>
              </w:rPr>
              <w:t>regulation</w:t>
            </w:r>
            <w:r>
              <w:rPr>
                <w:rFonts w:ascii="Arial" w:eastAsia="Times New Roman" w:hAnsi="Arial" w:cs="Arial"/>
                <w:sz w:val="24"/>
                <w:szCs w:val="24"/>
              </w:rPr>
              <w:t>,</w:t>
            </w:r>
            <w:r w:rsidRPr="00502B9F">
              <w:rPr>
                <w:rFonts w:ascii="Arial" w:eastAsia="Times New Roman" w:hAnsi="Arial" w:cs="Arial"/>
                <w:sz w:val="24"/>
                <w:szCs w:val="24"/>
              </w:rPr>
              <w:t xml:space="preserve"> and</w:t>
            </w:r>
            <w:proofErr w:type="gramEnd"/>
            <w:r w:rsidRPr="00502B9F">
              <w:rPr>
                <w:rFonts w:ascii="Arial" w:eastAsia="Times New Roman" w:hAnsi="Arial" w:cs="Arial"/>
                <w:sz w:val="24"/>
                <w:szCs w:val="24"/>
              </w:rPr>
              <w:t xml:space="preserve"> commit to regular review of the Strategy.</w:t>
            </w:r>
            <w:r>
              <w:rPr>
                <w:rFonts w:ascii="Arial" w:eastAsia="Times New Roman" w:hAnsi="Arial" w:cs="Arial"/>
                <w:sz w:val="24"/>
                <w:szCs w:val="24"/>
              </w:rPr>
              <w:t xml:space="preserve"> </w:t>
            </w:r>
          </w:p>
        </w:tc>
        <w:tc>
          <w:tcPr>
            <w:tcW w:w="623" w:type="pct"/>
          </w:tcPr>
          <w:p w14:paraId="59E13DA6" w14:textId="02C0CD62"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027CEB" w:rsidRPr="00060835" w14:paraId="5E9668E8" w14:textId="77777777" w:rsidTr="00632D2C">
        <w:tc>
          <w:tcPr>
            <w:tcW w:w="623" w:type="pct"/>
          </w:tcPr>
          <w:p w14:paraId="28F4DFC5" w14:textId="7C2B7E36" w:rsidR="00027CEB"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4.15</w:t>
            </w:r>
          </w:p>
        </w:tc>
        <w:tc>
          <w:tcPr>
            <w:tcW w:w="3754" w:type="pct"/>
          </w:tcPr>
          <w:p w14:paraId="5539481B" w14:textId="60B07275" w:rsidR="00027CEB" w:rsidRPr="00912946" w:rsidRDefault="00027CEB" w:rsidP="008B0574">
            <w:pPr>
              <w:tabs>
                <w:tab w:val="left" w:pos="720"/>
              </w:tabs>
              <w:spacing w:before="60" w:after="60"/>
              <w:rPr>
                <w:rFonts w:ascii="Arial" w:eastAsia="Times New Roman" w:hAnsi="Arial" w:cs="Arial"/>
                <w:sz w:val="24"/>
                <w:szCs w:val="24"/>
              </w:rPr>
            </w:pPr>
            <w:r w:rsidRPr="00912946">
              <w:rPr>
                <w:rFonts w:ascii="Arial" w:eastAsia="Times New Roman" w:hAnsi="Arial" w:cs="Arial"/>
                <w:sz w:val="24"/>
                <w:szCs w:val="24"/>
              </w:rPr>
              <w:t>The Commission</w:t>
            </w:r>
            <w:r>
              <w:rPr>
                <w:rFonts w:ascii="Arial" w:eastAsia="Times New Roman" w:hAnsi="Arial" w:cs="Arial"/>
                <w:sz w:val="24"/>
                <w:szCs w:val="24"/>
              </w:rPr>
              <w:t xml:space="preserve"> to</w:t>
            </w:r>
            <w:r w:rsidRPr="00912946">
              <w:rPr>
                <w:rFonts w:ascii="Arial" w:eastAsia="Times New Roman" w:hAnsi="Arial" w:cs="Arial"/>
                <w:sz w:val="24"/>
                <w:szCs w:val="24"/>
              </w:rPr>
              <w:t xml:space="preserve"> use a wider range of opportunities to </w:t>
            </w:r>
            <w:r>
              <w:rPr>
                <w:rFonts w:ascii="Arial" w:eastAsia="Times New Roman" w:hAnsi="Arial" w:cs="Arial"/>
                <w:sz w:val="24"/>
                <w:szCs w:val="24"/>
              </w:rPr>
              <w:t xml:space="preserve">actively </w:t>
            </w:r>
            <w:r w:rsidRPr="00912946">
              <w:rPr>
                <w:rFonts w:ascii="Arial" w:eastAsia="Times New Roman" w:hAnsi="Arial" w:cs="Arial"/>
                <w:sz w:val="24"/>
                <w:szCs w:val="24"/>
              </w:rPr>
              <w:t>communicate and promote its updated Regulatory Strategy</w:t>
            </w:r>
            <w:r>
              <w:rPr>
                <w:rFonts w:ascii="Arial" w:eastAsia="Times New Roman" w:hAnsi="Arial" w:cs="Arial"/>
                <w:sz w:val="24"/>
                <w:szCs w:val="24"/>
              </w:rPr>
              <w:t xml:space="preserve">, with a focus </w:t>
            </w:r>
            <w:r>
              <w:rPr>
                <w:rFonts w:ascii="Arial" w:eastAsia="Times New Roman" w:hAnsi="Arial" w:cs="Arial"/>
                <w:sz w:val="24"/>
                <w:szCs w:val="24"/>
                <w:lang w:eastAsia="en-AU"/>
              </w:rPr>
              <w:t>on ensuring</w:t>
            </w:r>
            <w:r>
              <w:rPr>
                <w:rFonts w:ascii="Arial" w:eastAsia="Times New Roman" w:hAnsi="Arial" w:cs="Arial"/>
                <w:sz w:val="24"/>
                <w:szCs w:val="24"/>
              </w:rPr>
              <w:t xml:space="preserve"> aged care consumers, providers and the wider community have a better understanding of the Commission’s regulatory practice and role in the aged care system.</w:t>
            </w:r>
          </w:p>
        </w:tc>
        <w:tc>
          <w:tcPr>
            <w:tcW w:w="623" w:type="pct"/>
          </w:tcPr>
          <w:p w14:paraId="11900EDA" w14:textId="3993D3E9"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027CEB" w:rsidRPr="00060835" w14:paraId="0016B6C0" w14:textId="77777777" w:rsidTr="00632D2C">
        <w:tc>
          <w:tcPr>
            <w:tcW w:w="623" w:type="pct"/>
          </w:tcPr>
          <w:p w14:paraId="1451DB68" w14:textId="2FA51073"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4.16</w:t>
            </w:r>
          </w:p>
        </w:tc>
        <w:tc>
          <w:tcPr>
            <w:tcW w:w="3754" w:type="pct"/>
          </w:tcPr>
          <w:p w14:paraId="235ADF14" w14:textId="43FACEAB" w:rsidR="00027CEB" w:rsidRPr="00912946" w:rsidRDefault="00027CEB" w:rsidP="008B0574">
            <w:pPr>
              <w:tabs>
                <w:tab w:val="left" w:pos="720"/>
              </w:tabs>
              <w:spacing w:before="60" w:after="60"/>
              <w:contextualSpacing/>
              <w:rPr>
                <w:rFonts w:ascii="Arial" w:eastAsia="Times New Roman" w:hAnsi="Arial" w:cs="Arial"/>
                <w:sz w:val="24"/>
                <w:szCs w:val="24"/>
              </w:rPr>
            </w:pPr>
            <w:r>
              <w:rPr>
                <w:rFonts w:ascii="Arial" w:hAnsi="Arial" w:cs="Arial"/>
                <w:sz w:val="24"/>
                <w:szCs w:val="24"/>
              </w:rPr>
              <w:t>The Commission to, in partnership with the Department, develop a strategic Data, Analytics and Risk Profiling Strategy, supported by the advice of a member of the Advisory Council with a data background, and with oversight by the Data and Intelligence Governance Committee</w:t>
            </w:r>
            <w:r w:rsidR="00D66AD4">
              <w:rPr>
                <w:rFonts w:ascii="Arial" w:hAnsi="Arial" w:cs="Arial"/>
                <w:sz w:val="24"/>
                <w:szCs w:val="24"/>
              </w:rPr>
              <w:t>.</w:t>
            </w:r>
          </w:p>
        </w:tc>
        <w:tc>
          <w:tcPr>
            <w:tcW w:w="623" w:type="pct"/>
          </w:tcPr>
          <w:p w14:paraId="702CC1E1" w14:textId="42D08BEC"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027CEB" w:rsidRPr="00060835" w14:paraId="451881C1" w14:textId="77777777" w:rsidTr="005901E3">
        <w:trPr>
          <w:cantSplit/>
        </w:trPr>
        <w:tc>
          <w:tcPr>
            <w:tcW w:w="623" w:type="pct"/>
          </w:tcPr>
          <w:p w14:paraId="0217BDED" w14:textId="38A70FD5"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lastRenderedPageBreak/>
              <w:t>4.17</w:t>
            </w:r>
          </w:p>
        </w:tc>
        <w:tc>
          <w:tcPr>
            <w:tcW w:w="3754" w:type="pct"/>
          </w:tcPr>
          <w:p w14:paraId="63DDEA89" w14:textId="352D3F2C" w:rsidR="00027CEB" w:rsidRPr="00912946" w:rsidRDefault="00027CEB" w:rsidP="008B0574">
            <w:pPr>
              <w:spacing w:before="60" w:after="60"/>
              <w:rPr>
                <w:rFonts w:ascii="Arial" w:eastAsia="Times New Roman" w:hAnsi="Arial" w:cs="Arial"/>
                <w:sz w:val="24"/>
                <w:szCs w:val="24"/>
              </w:rPr>
            </w:pPr>
            <w:r w:rsidRPr="000D073A">
              <w:rPr>
                <w:rFonts w:ascii="Arial" w:hAnsi="Arial" w:cs="Arial"/>
                <w:sz w:val="24"/>
                <w:szCs w:val="24"/>
              </w:rPr>
              <w:t xml:space="preserve">The Commission </w:t>
            </w:r>
            <w:r>
              <w:rPr>
                <w:rFonts w:ascii="Arial" w:hAnsi="Arial" w:cs="Arial"/>
                <w:sz w:val="24"/>
                <w:szCs w:val="24"/>
              </w:rPr>
              <w:t>to</w:t>
            </w:r>
            <w:r w:rsidRPr="000D073A">
              <w:rPr>
                <w:rFonts w:ascii="Arial" w:hAnsi="Arial" w:cs="Arial"/>
                <w:sz w:val="24"/>
                <w:szCs w:val="24"/>
              </w:rPr>
              <w:t xml:space="preserve"> develop a new, comprehensive communications and engagement strategy, including an external review of its current arrangements, and improved mechanisms and processes for communication and engagement with consumers from diverse backgrounds.</w:t>
            </w:r>
          </w:p>
        </w:tc>
        <w:tc>
          <w:tcPr>
            <w:tcW w:w="623" w:type="pct"/>
          </w:tcPr>
          <w:p w14:paraId="537B87E0" w14:textId="5594BA05"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B13F49" w:rsidRPr="00060835" w14:paraId="79E2ED57" w14:textId="77777777" w:rsidTr="00632D2C">
        <w:tc>
          <w:tcPr>
            <w:tcW w:w="623" w:type="pct"/>
          </w:tcPr>
          <w:p w14:paraId="6C79EB8A" w14:textId="05202CF4" w:rsidR="00B13F49"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5.1</w:t>
            </w:r>
          </w:p>
        </w:tc>
        <w:tc>
          <w:tcPr>
            <w:tcW w:w="3754" w:type="pct"/>
          </w:tcPr>
          <w:p w14:paraId="1C4DFCEE" w14:textId="687F69F3" w:rsidR="00B13F49" w:rsidRPr="00EB67F5" w:rsidRDefault="00B13F49" w:rsidP="008B0574">
            <w:pPr>
              <w:spacing w:before="60" w:after="60"/>
              <w:rPr>
                <w:rFonts w:ascii="Arial" w:eastAsia="Times New Roman" w:hAnsi="Arial" w:cs="Arial"/>
                <w:sz w:val="24"/>
                <w:szCs w:val="24"/>
              </w:rPr>
            </w:pPr>
            <w:r w:rsidRPr="005D0AF3">
              <w:rPr>
                <w:rFonts w:ascii="Arial" w:hAnsi="Arial" w:cs="Arial"/>
                <w:sz w:val="24"/>
                <w:szCs w:val="24"/>
              </w:rPr>
              <w:t xml:space="preserve">The Commission </w:t>
            </w:r>
            <w:r>
              <w:rPr>
                <w:rFonts w:ascii="Arial" w:hAnsi="Arial" w:cs="Arial"/>
                <w:sz w:val="24"/>
                <w:szCs w:val="24"/>
              </w:rPr>
              <w:t>to</w:t>
            </w:r>
            <w:r w:rsidRPr="005D0AF3">
              <w:rPr>
                <w:rFonts w:ascii="Arial" w:hAnsi="Arial" w:cs="Arial"/>
                <w:sz w:val="24"/>
                <w:szCs w:val="24"/>
              </w:rPr>
              <w:t xml:space="preserve"> </w:t>
            </w:r>
            <w:r w:rsidR="00AA4062">
              <w:rPr>
                <w:rFonts w:ascii="Arial" w:hAnsi="Arial" w:cs="Arial"/>
                <w:sz w:val="24"/>
                <w:szCs w:val="24"/>
              </w:rPr>
              <w:t xml:space="preserve">actively work towards having a significantly </w:t>
            </w:r>
            <w:r>
              <w:rPr>
                <w:rFonts w:ascii="Arial" w:hAnsi="Arial" w:cs="Arial"/>
                <w:sz w:val="24"/>
                <w:szCs w:val="24"/>
              </w:rPr>
              <w:t xml:space="preserve">higher proportion of </w:t>
            </w:r>
            <w:r w:rsidR="001A1291">
              <w:rPr>
                <w:rFonts w:ascii="Arial" w:hAnsi="Arial" w:cs="Arial"/>
                <w:sz w:val="24"/>
                <w:szCs w:val="24"/>
              </w:rPr>
              <w:t>accreditation site audits</w:t>
            </w:r>
            <w:r>
              <w:rPr>
                <w:rFonts w:ascii="Arial" w:hAnsi="Arial" w:cs="Arial"/>
                <w:sz w:val="24"/>
                <w:szCs w:val="24"/>
              </w:rPr>
              <w:t xml:space="preserve"> undertaken by its permanent quality assessor </w:t>
            </w:r>
            <w:proofErr w:type="gramStart"/>
            <w:r>
              <w:rPr>
                <w:rFonts w:ascii="Arial" w:hAnsi="Arial" w:cs="Arial"/>
                <w:sz w:val="24"/>
                <w:szCs w:val="24"/>
              </w:rPr>
              <w:t>workforce</w:t>
            </w:r>
            <w:r w:rsidR="00AA4062">
              <w:rPr>
                <w:rFonts w:ascii="Arial" w:hAnsi="Arial" w:cs="Arial"/>
                <w:sz w:val="24"/>
                <w:szCs w:val="24"/>
              </w:rPr>
              <w:t>, and</w:t>
            </w:r>
            <w:proofErr w:type="gramEnd"/>
            <w:r w:rsidR="00AA4062">
              <w:rPr>
                <w:rFonts w:ascii="Arial" w:hAnsi="Arial" w:cs="Arial"/>
                <w:sz w:val="24"/>
                <w:szCs w:val="24"/>
              </w:rPr>
              <w:t xml:space="preserve"> do so gradually </w:t>
            </w:r>
            <w:r>
              <w:rPr>
                <w:rFonts w:ascii="Arial" w:hAnsi="Arial" w:cs="Arial"/>
                <w:sz w:val="24"/>
                <w:szCs w:val="24"/>
              </w:rPr>
              <w:t>as deeds of offer with Third Party Provider suppliers are reviewed</w:t>
            </w:r>
            <w:r w:rsidRPr="005D0AF3">
              <w:rPr>
                <w:rFonts w:ascii="Arial" w:hAnsi="Arial" w:cs="Arial"/>
                <w:sz w:val="24"/>
                <w:szCs w:val="24"/>
              </w:rPr>
              <w:t>.</w:t>
            </w:r>
          </w:p>
        </w:tc>
        <w:tc>
          <w:tcPr>
            <w:tcW w:w="623" w:type="pct"/>
          </w:tcPr>
          <w:p w14:paraId="76ECEA3C" w14:textId="74CA1936" w:rsidR="00B13F49" w:rsidRDefault="00B13F49" w:rsidP="008B0574">
            <w:pPr>
              <w:tabs>
                <w:tab w:val="right" w:leader="dot" w:pos="9016"/>
              </w:tabs>
              <w:spacing w:before="60" w:after="60"/>
              <w:jc w:val="center"/>
              <w:rPr>
                <w:rFonts w:ascii="Arial" w:hAnsi="Arial" w:cs="Arial"/>
                <w:sz w:val="24"/>
                <w:szCs w:val="24"/>
              </w:rPr>
            </w:pPr>
            <w:r>
              <w:rPr>
                <w:rFonts w:ascii="Arial" w:hAnsi="Arial" w:cs="Arial"/>
                <w:sz w:val="24"/>
                <w:szCs w:val="24"/>
              </w:rPr>
              <w:t>Ongoing</w:t>
            </w:r>
          </w:p>
        </w:tc>
      </w:tr>
      <w:tr w:rsidR="00027CEB" w:rsidRPr="00060835" w14:paraId="35AE0D51" w14:textId="77777777" w:rsidTr="00632D2C">
        <w:tc>
          <w:tcPr>
            <w:tcW w:w="623" w:type="pct"/>
          </w:tcPr>
          <w:p w14:paraId="5DB0FDCA" w14:textId="4D41D37D"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5.2</w:t>
            </w:r>
          </w:p>
        </w:tc>
        <w:tc>
          <w:tcPr>
            <w:tcW w:w="3754" w:type="pct"/>
          </w:tcPr>
          <w:p w14:paraId="6A05091E" w14:textId="2EABA898" w:rsidR="00027CEB" w:rsidRPr="00912946" w:rsidRDefault="00027CEB" w:rsidP="008B0574">
            <w:pPr>
              <w:spacing w:before="60" w:after="60"/>
              <w:rPr>
                <w:rFonts w:ascii="Arial" w:eastAsia="Times New Roman" w:hAnsi="Arial" w:cs="Arial"/>
                <w:sz w:val="24"/>
                <w:szCs w:val="24"/>
              </w:rPr>
            </w:pPr>
            <w:r w:rsidRPr="00155CBF">
              <w:rPr>
                <w:rFonts w:ascii="Arial" w:eastAsia="Times New Roman" w:hAnsi="Arial" w:cs="Arial"/>
                <w:sz w:val="24"/>
                <w:szCs w:val="24"/>
              </w:rPr>
              <w:t>The Commission to implement the Quality Assurance Framework across all its regulatory functions and</w:t>
            </w:r>
            <w:r w:rsidRPr="00155CBF">
              <w:rPr>
                <w:rFonts w:ascii="Arial" w:eastAsia="Times New Roman" w:hAnsi="Arial" w:cs="Arial"/>
                <w:sz w:val="24"/>
                <w:szCs w:val="24"/>
                <w:lang w:eastAsia="en-AU"/>
              </w:rPr>
              <w:t xml:space="preserve"> ensure </w:t>
            </w:r>
            <w:r w:rsidRPr="00155CBF">
              <w:rPr>
                <w:rFonts w:ascii="Arial" w:eastAsia="Times New Roman" w:hAnsi="Arial" w:cs="Arial"/>
                <w:sz w:val="24"/>
                <w:szCs w:val="24"/>
              </w:rPr>
              <w:t>regular reporting of assurance activities and key findings on the Commission’s website to provide greater assurance to providers and consu</w:t>
            </w:r>
            <w:r w:rsidRPr="005E5436">
              <w:rPr>
                <w:rFonts w:ascii="Arial" w:eastAsia="Times New Roman" w:hAnsi="Arial" w:cs="Arial"/>
                <w:sz w:val="24"/>
                <w:szCs w:val="24"/>
              </w:rPr>
              <w:t xml:space="preserve">mers. </w:t>
            </w:r>
          </w:p>
        </w:tc>
        <w:tc>
          <w:tcPr>
            <w:tcW w:w="623" w:type="pct"/>
          </w:tcPr>
          <w:p w14:paraId="5E3BC2D3" w14:textId="45B13120"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6CCD8174" w14:textId="77777777" w:rsidTr="00632D2C">
        <w:tc>
          <w:tcPr>
            <w:tcW w:w="623" w:type="pct"/>
          </w:tcPr>
          <w:p w14:paraId="32E387F1" w14:textId="715B4922"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5.3</w:t>
            </w:r>
          </w:p>
        </w:tc>
        <w:tc>
          <w:tcPr>
            <w:tcW w:w="3754" w:type="pct"/>
          </w:tcPr>
          <w:p w14:paraId="5DE2EDC8" w14:textId="7D26B31F" w:rsidR="00027CEB" w:rsidRPr="00912946" w:rsidRDefault="00027CEB" w:rsidP="008B0574">
            <w:pPr>
              <w:spacing w:before="60" w:after="60"/>
              <w:rPr>
                <w:rFonts w:ascii="Arial" w:eastAsia="Times New Roman" w:hAnsi="Arial" w:cs="Arial"/>
                <w:sz w:val="24"/>
                <w:szCs w:val="24"/>
              </w:rPr>
            </w:pPr>
            <w:r w:rsidRPr="00155CBF">
              <w:rPr>
                <w:rFonts w:ascii="Arial" w:eastAsia="Times New Roman" w:hAnsi="Arial" w:cs="Arial"/>
                <w:sz w:val="24"/>
                <w:szCs w:val="24"/>
              </w:rPr>
              <w:t xml:space="preserve">The Commission to review the </w:t>
            </w:r>
            <w:r w:rsidRPr="00155CBF">
              <w:rPr>
                <w:rFonts w:ascii="Arial" w:hAnsi="Arial" w:cs="Arial"/>
                <w:sz w:val="24"/>
                <w:szCs w:val="24"/>
                <w:shd w:val="clear" w:color="auto" w:fill="FFFFFF"/>
              </w:rPr>
              <w:t xml:space="preserve">Quality Assessor Retention Project and urgently implement measures to retain assessment </w:t>
            </w:r>
            <w:proofErr w:type="gramStart"/>
            <w:r w:rsidRPr="00155CBF">
              <w:rPr>
                <w:rFonts w:ascii="Arial" w:hAnsi="Arial" w:cs="Arial"/>
                <w:sz w:val="24"/>
                <w:szCs w:val="24"/>
                <w:shd w:val="clear" w:color="auto" w:fill="FFFFFF"/>
              </w:rPr>
              <w:t>staff, and</w:t>
            </w:r>
            <w:proofErr w:type="gramEnd"/>
            <w:r w:rsidRPr="00155CBF">
              <w:rPr>
                <w:rFonts w:ascii="Arial" w:hAnsi="Arial" w:cs="Arial"/>
                <w:sz w:val="24"/>
                <w:szCs w:val="24"/>
                <w:shd w:val="clear" w:color="auto" w:fill="FFFFFF"/>
              </w:rPr>
              <w:t xml:space="preserve"> extend the project to consider and address retention issues in other parts of the Commission’s workforce. </w:t>
            </w:r>
          </w:p>
        </w:tc>
        <w:tc>
          <w:tcPr>
            <w:tcW w:w="623" w:type="pct"/>
          </w:tcPr>
          <w:p w14:paraId="65C90B90" w14:textId="39B67443"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32C1C9F6" w14:textId="77777777" w:rsidTr="00632D2C">
        <w:tc>
          <w:tcPr>
            <w:tcW w:w="623" w:type="pct"/>
          </w:tcPr>
          <w:p w14:paraId="5C5823F0" w14:textId="56119EAD"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5.4</w:t>
            </w:r>
          </w:p>
        </w:tc>
        <w:tc>
          <w:tcPr>
            <w:tcW w:w="3754" w:type="pct"/>
          </w:tcPr>
          <w:p w14:paraId="3C679C2F" w14:textId="1BB93EAD" w:rsidR="00027CEB" w:rsidRPr="00912946" w:rsidRDefault="00027CEB" w:rsidP="008B0574">
            <w:pPr>
              <w:spacing w:before="60" w:after="60"/>
              <w:rPr>
                <w:rFonts w:ascii="Arial" w:eastAsia="Times New Roman" w:hAnsi="Arial" w:cs="Arial"/>
                <w:sz w:val="24"/>
                <w:szCs w:val="24"/>
              </w:rPr>
            </w:pPr>
            <w:r w:rsidRPr="00EB67F5">
              <w:rPr>
                <w:rFonts w:ascii="Arial" w:hAnsi="Arial" w:cs="Arial"/>
                <w:sz w:val="24"/>
                <w:szCs w:val="24"/>
              </w:rPr>
              <w:t xml:space="preserve">The Commission and the Department </w:t>
            </w:r>
            <w:r>
              <w:rPr>
                <w:rFonts w:ascii="Arial" w:hAnsi="Arial" w:cs="Arial"/>
                <w:sz w:val="24"/>
                <w:szCs w:val="24"/>
              </w:rPr>
              <w:t>to</w:t>
            </w:r>
            <w:r w:rsidRPr="00EB67F5">
              <w:rPr>
                <w:rFonts w:ascii="Arial" w:hAnsi="Arial" w:cs="Arial"/>
                <w:sz w:val="24"/>
                <w:szCs w:val="24"/>
              </w:rPr>
              <w:t xml:space="preserve"> develop a new approach to the use of Exceptional Circumstances decisions and accreditation visits during crises and work together to substantially reduce the number of services covered by EC decisions, by December 2023. Progress </w:t>
            </w:r>
            <w:r w:rsidR="00491515">
              <w:rPr>
                <w:rFonts w:ascii="Arial" w:hAnsi="Arial" w:cs="Arial"/>
                <w:sz w:val="24"/>
                <w:szCs w:val="24"/>
              </w:rPr>
              <w:t>to</w:t>
            </w:r>
            <w:r w:rsidR="00491515" w:rsidRPr="00EB67F5">
              <w:rPr>
                <w:rFonts w:ascii="Arial" w:hAnsi="Arial" w:cs="Arial"/>
                <w:sz w:val="24"/>
                <w:szCs w:val="24"/>
              </w:rPr>
              <w:t xml:space="preserve"> </w:t>
            </w:r>
            <w:r w:rsidRPr="00EB67F5">
              <w:rPr>
                <w:rFonts w:ascii="Arial" w:hAnsi="Arial" w:cs="Arial"/>
                <w:sz w:val="24"/>
                <w:szCs w:val="24"/>
              </w:rPr>
              <w:t>be reported to the Joint Strategic Committee.</w:t>
            </w:r>
          </w:p>
        </w:tc>
        <w:tc>
          <w:tcPr>
            <w:tcW w:w="623" w:type="pct"/>
          </w:tcPr>
          <w:p w14:paraId="6DDF836C" w14:textId="27970DCD"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027CEB" w:rsidRPr="00060835" w14:paraId="5DF5DFB3" w14:textId="77777777" w:rsidTr="00632D2C">
        <w:tc>
          <w:tcPr>
            <w:tcW w:w="623" w:type="pct"/>
          </w:tcPr>
          <w:p w14:paraId="25AAF68B" w14:textId="7D014077"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5.5</w:t>
            </w:r>
          </w:p>
        </w:tc>
        <w:tc>
          <w:tcPr>
            <w:tcW w:w="3754" w:type="pct"/>
          </w:tcPr>
          <w:p w14:paraId="2AC0F842" w14:textId="11E31306" w:rsidR="00027CEB" w:rsidRPr="00912946" w:rsidRDefault="00027CEB" w:rsidP="008B0574">
            <w:pPr>
              <w:spacing w:before="60" w:after="60"/>
              <w:rPr>
                <w:rFonts w:ascii="Arial" w:eastAsia="Times New Roman" w:hAnsi="Arial" w:cs="Arial"/>
                <w:sz w:val="24"/>
                <w:szCs w:val="24"/>
              </w:rPr>
            </w:pPr>
            <w:r w:rsidRPr="001A7218">
              <w:rPr>
                <w:rFonts w:ascii="Arial" w:eastAsia="Times New Roman" w:hAnsi="Arial" w:cs="Arial"/>
                <w:color w:val="313131"/>
                <w:sz w:val="24"/>
                <w:szCs w:val="24"/>
                <w:lang w:eastAsia="en-AU"/>
              </w:rPr>
              <w:t xml:space="preserve">The Commission </w:t>
            </w:r>
            <w:r>
              <w:rPr>
                <w:rFonts w:ascii="Arial" w:eastAsia="Times New Roman" w:hAnsi="Arial" w:cs="Arial"/>
                <w:color w:val="313131"/>
                <w:sz w:val="24"/>
                <w:szCs w:val="24"/>
                <w:lang w:eastAsia="en-AU"/>
              </w:rPr>
              <w:t>to</w:t>
            </w:r>
            <w:r w:rsidRPr="001A7218">
              <w:rPr>
                <w:rFonts w:ascii="Arial" w:eastAsia="Times New Roman" w:hAnsi="Arial" w:cs="Arial"/>
                <w:color w:val="313131"/>
                <w:sz w:val="24"/>
                <w:szCs w:val="24"/>
                <w:lang w:eastAsia="en-AU"/>
              </w:rPr>
              <w:t xml:space="preserve"> embed </w:t>
            </w:r>
            <w:r w:rsidR="00701DF9">
              <w:rPr>
                <w:rFonts w:ascii="Arial" w:eastAsia="Times New Roman" w:hAnsi="Arial" w:cs="Arial"/>
                <w:color w:val="313131"/>
                <w:sz w:val="24"/>
                <w:szCs w:val="24"/>
                <w:lang w:eastAsia="en-AU"/>
              </w:rPr>
              <w:t xml:space="preserve">in policy </w:t>
            </w:r>
            <w:r w:rsidRPr="001A7218">
              <w:rPr>
                <w:rFonts w:ascii="Arial" w:eastAsia="Times New Roman" w:hAnsi="Arial" w:cs="Arial"/>
                <w:color w:val="313131"/>
                <w:sz w:val="24"/>
                <w:szCs w:val="24"/>
                <w:lang w:eastAsia="en-AU"/>
              </w:rPr>
              <w:t xml:space="preserve">the right to seek a review of decisions preceding a formal compliance decision </w:t>
            </w:r>
            <w:proofErr w:type="gramStart"/>
            <w:r w:rsidRPr="001A7218">
              <w:rPr>
                <w:rFonts w:ascii="Arial" w:eastAsia="Times New Roman" w:hAnsi="Arial" w:cs="Arial"/>
                <w:color w:val="313131"/>
                <w:sz w:val="24"/>
                <w:szCs w:val="24"/>
                <w:lang w:eastAsia="en-AU"/>
              </w:rPr>
              <w:t>in order to</w:t>
            </w:r>
            <w:proofErr w:type="gramEnd"/>
            <w:r w:rsidRPr="001A7218">
              <w:rPr>
                <w:rFonts w:ascii="Arial" w:eastAsia="Times New Roman" w:hAnsi="Arial" w:cs="Arial"/>
                <w:color w:val="313131"/>
                <w:sz w:val="24"/>
                <w:szCs w:val="24"/>
                <w:lang w:eastAsia="en-AU"/>
              </w:rPr>
              <w:t xml:space="preserve"> strengthen procedural fairness</w:t>
            </w:r>
            <w:r w:rsidR="00701DF9">
              <w:rPr>
                <w:rFonts w:ascii="Arial" w:eastAsia="Times New Roman" w:hAnsi="Arial" w:cs="Arial"/>
                <w:color w:val="313131"/>
                <w:sz w:val="24"/>
                <w:szCs w:val="24"/>
                <w:lang w:eastAsia="en-AU"/>
              </w:rPr>
              <w:t xml:space="preserve"> and actively promote this by improving the transparency and communication of decision review arrangements. Reviews must be undertaken by </w:t>
            </w:r>
            <w:r w:rsidRPr="001A7218">
              <w:rPr>
                <w:rFonts w:ascii="Arial" w:eastAsia="Times New Roman" w:hAnsi="Arial" w:cs="Arial"/>
                <w:color w:val="313131"/>
                <w:sz w:val="24"/>
                <w:szCs w:val="24"/>
                <w:lang w:eastAsia="en-AU"/>
              </w:rPr>
              <w:t xml:space="preserve">separate reviewers </w:t>
            </w:r>
            <w:r>
              <w:rPr>
                <w:rFonts w:ascii="Arial" w:eastAsia="Times New Roman" w:hAnsi="Arial" w:cs="Arial"/>
                <w:color w:val="313131"/>
                <w:sz w:val="24"/>
                <w:szCs w:val="24"/>
                <w:lang w:eastAsia="en-AU"/>
              </w:rPr>
              <w:t>(</w:t>
            </w:r>
            <w:proofErr w:type="spellStart"/>
            <w:r w:rsidRPr="001A7218">
              <w:rPr>
                <w:rFonts w:ascii="Arial" w:eastAsia="Times New Roman" w:hAnsi="Arial" w:cs="Arial"/>
                <w:color w:val="313131"/>
                <w:sz w:val="24"/>
                <w:szCs w:val="24"/>
                <w:lang w:eastAsia="en-AU"/>
              </w:rPr>
              <w:t>Authorised</w:t>
            </w:r>
            <w:proofErr w:type="spellEnd"/>
            <w:r w:rsidRPr="001A7218">
              <w:rPr>
                <w:rFonts w:ascii="Arial" w:eastAsia="Times New Roman" w:hAnsi="Arial" w:cs="Arial"/>
                <w:color w:val="313131"/>
                <w:sz w:val="24"/>
                <w:szCs w:val="24"/>
                <w:lang w:eastAsia="en-AU"/>
              </w:rPr>
              <w:t xml:space="preserve"> Review Officers</w:t>
            </w:r>
            <w:r>
              <w:rPr>
                <w:rFonts w:ascii="Arial" w:eastAsia="Times New Roman" w:hAnsi="Arial" w:cs="Arial"/>
                <w:color w:val="313131"/>
                <w:sz w:val="24"/>
                <w:szCs w:val="24"/>
                <w:lang w:eastAsia="en-AU"/>
              </w:rPr>
              <w:t>)</w:t>
            </w:r>
            <w:r w:rsidRPr="001A7218">
              <w:rPr>
                <w:rFonts w:ascii="Arial" w:eastAsia="Times New Roman" w:hAnsi="Arial" w:cs="Arial"/>
                <w:color w:val="313131"/>
                <w:sz w:val="24"/>
                <w:szCs w:val="24"/>
                <w:lang w:eastAsia="en-AU"/>
              </w:rPr>
              <w:t xml:space="preserve">. </w:t>
            </w:r>
          </w:p>
        </w:tc>
        <w:tc>
          <w:tcPr>
            <w:tcW w:w="623" w:type="pct"/>
          </w:tcPr>
          <w:p w14:paraId="4800B393" w14:textId="6CE2299A"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3</w:t>
            </w:r>
          </w:p>
        </w:tc>
      </w:tr>
      <w:tr w:rsidR="00027CEB" w:rsidRPr="00060835" w14:paraId="4B2BB312" w14:textId="77777777" w:rsidTr="00632D2C">
        <w:tc>
          <w:tcPr>
            <w:tcW w:w="623" w:type="pct"/>
          </w:tcPr>
          <w:p w14:paraId="09448406" w14:textId="59ABC658"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5.6</w:t>
            </w:r>
          </w:p>
        </w:tc>
        <w:tc>
          <w:tcPr>
            <w:tcW w:w="3754" w:type="pct"/>
          </w:tcPr>
          <w:p w14:paraId="24897DB3" w14:textId="2DE51050" w:rsidR="00027CEB" w:rsidRPr="00912946" w:rsidRDefault="00027CEB" w:rsidP="008B0574">
            <w:pPr>
              <w:spacing w:before="60" w:after="60"/>
              <w:rPr>
                <w:rFonts w:ascii="Arial" w:eastAsia="Times New Roman" w:hAnsi="Arial" w:cs="Arial"/>
                <w:sz w:val="24"/>
                <w:szCs w:val="24"/>
              </w:rPr>
            </w:pPr>
            <w:r w:rsidRPr="001A7218">
              <w:rPr>
                <w:rFonts w:ascii="Arial" w:eastAsia="Times New Roman" w:hAnsi="Arial" w:cs="Arial"/>
                <w:color w:val="313131"/>
                <w:sz w:val="24"/>
                <w:szCs w:val="24"/>
                <w:lang w:eastAsia="en-AU"/>
              </w:rPr>
              <w:t xml:space="preserve">The Department </w:t>
            </w:r>
            <w:r>
              <w:rPr>
                <w:rFonts w:ascii="Arial" w:eastAsia="Times New Roman" w:hAnsi="Arial" w:cs="Arial"/>
                <w:color w:val="313131"/>
                <w:sz w:val="24"/>
                <w:szCs w:val="24"/>
                <w:lang w:eastAsia="en-AU"/>
              </w:rPr>
              <w:t>to</w:t>
            </w:r>
            <w:r w:rsidRPr="001A7218">
              <w:rPr>
                <w:rFonts w:ascii="Arial" w:eastAsia="Times New Roman" w:hAnsi="Arial" w:cs="Arial"/>
                <w:color w:val="313131"/>
                <w:sz w:val="24"/>
                <w:szCs w:val="24"/>
                <w:lang w:eastAsia="en-AU"/>
              </w:rPr>
              <w:t xml:space="preserve"> consider </w:t>
            </w:r>
            <w:r>
              <w:rPr>
                <w:rFonts w:ascii="Arial" w:eastAsia="Times New Roman" w:hAnsi="Arial" w:cs="Arial"/>
                <w:color w:val="313131"/>
                <w:sz w:val="24"/>
                <w:szCs w:val="24"/>
                <w:lang w:eastAsia="en-AU"/>
              </w:rPr>
              <w:t>expanding the range of</w:t>
            </w:r>
            <w:r w:rsidRPr="001A7218">
              <w:rPr>
                <w:rFonts w:ascii="Arial" w:eastAsia="Times New Roman" w:hAnsi="Arial" w:cs="Arial"/>
                <w:color w:val="313131"/>
                <w:sz w:val="24"/>
                <w:szCs w:val="24"/>
                <w:lang w:eastAsia="en-AU"/>
              </w:rPr>
              <w:t xml:space="preserve"> reviewable decisions under the new Aged Care Act.</w:t>
            </w:r>
          </w:p>
        </w:tc>
        <w:tc>
          <w:tcPr>
            <w:tcW w:w="623" w:type="pct"/>
          </w:tcPr>
          <w:p w14:paraId="49A7F340" w14:textId="4F5D84ED" w:rsidR="00027CEB" w:rsidRPr="00060835" w:rsidRDefault="00155CBF" w:rsidP="008B0574">
            <w:pPr>
              <w:tabs>
                <w:tab w:val="right" w:leader="dot" w:pos="9016"/>
              </w:tabs>
              <w:spacing w:before="60" w:after="60"/>
              <w:jc w:val="center"/>
              <w:rPr>
                <w:rFonts w:ascii="Arial" w:hAnsi="Arial" w:cs="Arial"/>
                <w:sz w:val="24"/>
                <w:szCs w:val="24"/>
              </w:rPr>
            </w:pPr>
            <w:r>
              <w:rPr>
                <w:rFonts w:ascii="Arial" w:hAnsi="Arial" w:cs="Arial"/>
                <w:sz w:val="24"/>
                <w:szCs w:val="24"/>
              </w:rPr>
              <w:t>3</w:t>
            </w:r>
          </w:p>
        </w:tc>
      </w:tr>
      <w:tr w:rsidR="00027CEB" w:rsidRPr="00060835" w14:paraId="13E4C392" w14:textId="77777777" w:rsidTr="00632D2C">
        <w:tc>
          <w:tcPr>
            <w:tcW w:w="623" w:type="pct"/>
          </w:tcPr>
          <w:p w14:paraId="11CC5B43" w14:textId="47AF8795"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5.7</w:t>
            </w:r>
          </w:p>
        </w:tc>
        <w:tc>
          <w:tcPr>
            <w:tcW w:w="3754" w:type="pct"/>
          </w:tcPr>
          <w:p w14:paraId="67D5CE76" w14:textId="76DACA49" w:rsidR="00027CEB" w:rsidRPr="00912946" w:rsidRDefault="00027CEB" w:rsidP="008B0574">
            <w:pPr>
              <w:spacing w:before="60" w:after="60"/>
              <w:rPr>
                <w:rFonts w:ascii="Arial" w:eastAsia="Times New Roman" w:hAnsi="Arial" w:cs="Arial"/>
                <w:sz w:val="24"/>
                <w:szCs w:val="24"/>
              </w:rPr>
            </w:pPr>
            <w:r w:rsidRPr="001A7218">
              <w:rPr>
                <w:rFonts w:ascii="Arial" w:hAnsi="Arial" w:cs="Arial"/>
                <w:sz w:val="24"/>
                <w:szCs w:val="24"/>
                <w:shd w:val="clear" w:color="auto" w:fill="FFFFFF"/>
              </w:rPr>
              <w:t xml:space="preserve">The Aged Care Complaints Commissioner </w:t>
            </w:r>
            <w:r>
              <w:rPr>
                <w:rFonts w:ascii="Arial" w:hAnsi="Arial" w:cs="Arial"/>
                <w:sz w:val="24"/>
                <w:szCs w:val="24"/>
                <w:shd w:val="clear" w:color="auto" w:fill="FFFFFF"/>
              </w:rPr>
              <w:t>to</w:t>
            </w:r>
            <w:r w:rsidRPr="001A7218">
              <w:rPr>
                <w:rFonts w:ascii="Arial" w:hAnsi="Arial" w:cs="Arial"/>
                <w:sz w:val="24"/>
                <w:szCs w:val="24"/>
                <w:shd w:val="clear" w:color="auto" w:fill="FFFFFF"/>
              </w:rPr>
              <w:t xml:space="preserve"> deliver an enhanced complaints management system which ensures timely responses, is transparent and accountable, integrates information, and </w:t>
            </w:r>
            <w:r w:rsidRPr="001A7218">
              <w:rPr>
                <w:rFonts w:ascii="Arial" w:hAnsi="Arial" w:cs="Arial"/>
                <w:sz w:val="24"/>
                <w:szCs w:val="24"/>
              </w:rPr>
              <w:t>promotes open disclosure and supports the sector to use complaints to inform continuous improvement.</w:t>
            </w:r>
          </w:p>
        </w:tc>
        <w:tc>
          <w:tcPr>
            <w:tcW w:w="623" w:type="pct"/>
          </w:tcPr>
          <w:p w14:paraId="105E7CC1" w14:textId="5AA76A78"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027CEB" w:rsidRPr="00060835" w14:paraId="2D8755DC" w14:textId="77777777" w:rsidTr="00632D2C">
        <w:tc>
          <w:tcPr>
            <w:tcW w:w="623" w:type="pct"/>
          </w:tcPr>
          <w:p w14:paraId="17BB1E73" w14:textId="33F133A6"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5.8</w:t>
            </w:r>
          </w:p>
        </w:tc>
        <w:tc>
          <w:tcPr>
            <w:tcW w:w="3754" w:type="pct"/>
          </w:tcPr>
          <w:p w14:paraId="008BCE70" w14:textId="051B444F" w:rsidR="00027CEB" w:rsidRPr="00912946" w:rsidRDefault="00027CEB" w:rsidP="008B0574">
            <w:pPr>
              <w:spacing w:before="60" w:after="60"/>
              <w:rPr>
                <w:rFonts w:ascii="Arial" w:eastAsia="Times New Roman" w:hAnsi="Arial" w:cs="Arial"/>
                <w:sz w:val="24"/>
                <w:szCs w:val="24"/>
              </w:rPr>
            </w:pPr>
            <w:r w:rsidRPr="001A7218">
              <w:rPr>
                <w:rFonts w:ascii="Arial" w:hAnsi="Arial" w:cs="Arial"/>
                <w:sz w:val="24"/>
                <w:szCs w:val="24"/>
              </w:rPr>
              <w:t xml:space="preserve">The </w:t>
            </w:r>
            <w:r>
              <w:rPr>
                <w:rFonts w:ascii="Arial" w:hAnsi="Arial" w:cs="Arial"/>
                <w:sz w:val="24"/>
                <w:szCs w:val="24"/>
              </w:rPr>
              <w:t>Aged Care Complaints</w:t>
            </w:r>
            <w:r w:rsidRPr="001A7218">
              <w:rPr>
                <w:rFonts w:ascii="Arial" w:hAnsi="Arial" w:cs="Arial"/>
                <w:sz w:val="24"/>
                <w:szCs w:val="24"/>
              </w:rPr>
              <w:t xml:space="preserve"> Commissioner </w:t>
            </w:r>
            <w:r>
              <w:rPr>
                <w:rFonts w:ascii="Arial" w:hAnsi="Arial" w:cs="Arial"/>
                <w:sz w:val="24"/>
                <w:szCs w:val="24"/>
              </w:rPr>
              <w:t>to</w:t>
            </w:r>
            <w:r w:rsidRPr="001A7218">
              <w:rPr>
                <w:rFonts w:ascii="Arial" w:hAnsi="Arial" w:cs="Arial"/>
                <w:sz w:val="24"/>
                <w:szCs w:val="24"/>
              </w:rPr>
              <w:t xml:space="preserve"> </w:t>
            </w:r>
            <w:proofErr w:type="spellStart"/>
            <w:r w:rsidRPr="001A7218">
              <w:rPr>
                <w:rFonts w:ascii="Arial" w:hAnsi="Arial" w:cs="Arial"/>
                <w:sz w:val="24"/>
                <w:szCs w:val="24"/>
              </w:rPr>
              <w:t>prioritise</w:t>
            </w:r>
            <w:proofErr w:type="spellEnd"/>
            <w:r w:rsidRPr="001A7218">
              <w:rPr>
                <w:rFonts w:ascii="Arial" w:hAnsi="Arial" w:cs="Arial"/>
                <w:sz w:val="24"/>
                <w:szCs w:val="24"/>
              </w:rPr>
              <w:t xml:space="preserve"> a </w:t>
            </w:r>
            <w:r w:rsidR="00491515">
              <w:rPr>
                <w:rFonts w:ascii="Arial" w:hAnsi="Arial" w:cs="Arial"/>
                <w:sz w:val="24"/>
                <w:szCs w:val="24"/>
              </w:rPr>
              <w:t xml:space="preserve">thoroughgoing </w:t>
            </w:r>
            <w:r w:rsidRPr="001A7218">
              <w:rPr>
                <w:rFonts w:ascii="Arial" w:hAnsi="Arial" w:cs="Arial"/>
                <w:sz w:val="24"/>
                <w:szCs w:val="24"/>
              </w:rPr>
              <w:t>review of the revised operating model for SIRS to determine whether it is effective in managing the high volume of notifications and identifying and addressing risks associated with serious incidents.</w:t>
            </w:r>
            <w:r w:rsidRPr="00E66BF3">
              <w:rPr>
                <w:rFonts w:ascii="Arial" w:hAnsi="Arial" w:cs="Arial"/>
                <w:sz w:val="24"/>
                <w:szCs w:val="24"/>
              </w:rPr>
              <w:t xml:space="preserve"> </w:t>
            </w:r>
          </w:p>
        </w:tc>
        <w:tc>
          <w:tcPr>
            <w:tcW w:w="623" w:type="pct"/>
          </w:tcPr>
          <w:p w14:paraId="0E7B5C0F" w14:textId="63AC6FC8"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B13F49" w:rsidRPr="00060835" w14:paraId="53FCD978" w14:textId="77777777" w:rsidTr="00632D2C">
        <w:tc>
          <w:tcPr>
            <w:tcW w:w="623" w:type="pct"/>
          </w:tcPr>
          <w:p w14:paraId="6509F9D6" w14:textId="2C07D23A" w:rsidR="00B13F49"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lastRenderedPageBreak/>
              <w:t>5.9</w:t>
            </w:r>
          </w:p>
        </w:tc>
        <w:tc>
          <w:tcPr>
            <w:tcW w:w="3754" w:type="pct"/>
          </w:tcPr>
          <w:p w14:paraId="4AC27A35" w14:textId="2CA63BFB" w:rsidR="00B13F49" w:rsidRPr="00232621" w:rsidRDefault="00B13F49" w:rsidP="00B13F49">
            <w:pPr>
              <w:spacing w:before="120" w:after="120"/>
              <w:rPr>
                <w:rFonts w:ascii="Arial" w:hAnsi="Arial" w:cs="Arial"/>
                <w:sz w:val="24"/>
                <w:szCs w:val="24"/>
              </w:rPr>
            </w:pPr>
            <w:r w:rsidRPr="005D0AF3">
              <w:rPr>
                <w:rFonts w:ascii="Arial" w:hAnsi="Arial" w:cs="Arial"/>
                <w:sz w:val="24"/>
                <w:szCs w:val="24"/>
              </w:rPr>
              <w:t xml:space="preserve">The </w:t>
            </w:r>
            <w:r>
              <w:rPr>
                <w:rFonts w:ascii="Arial" w:hAnsi="Arial" w:cs="Arial"/>
                <w:sz w:val="24"/>
                <w:szCs w:val="24"/>
              </w:rPr>
              <w:t xml:space="preserve">Commission to fully integrate its financial and prudential regulatory functions into existing functions to support its implementation of a more sophisticated risk-based approach </w:t>
            </w:r>
            <w:proofErr w:type="gramStart"/>
            <w:r>
              <w:rPr>
                <w:rFonts w:ascii="Arial" w:hAnsi="Arial" w:cs="Arial"/>
                <w:sz w:val="24"/>
                <w:szCs w:val="24"/>
              </w:rPr>
              <w:t>through the use of</w:t>
            </w:r>
            <w:proofErr w:type="gramEnd"/>
            <w:r>
              <w:rPr>
                <w:rFonts w:ascii="Arial" w:hAnsi="Arial" w:cs="Arial"/>
                <w:sz w:val="24"/>
                <w:szCs w:val="24"/>
              </w:rPr>
              <w:t xml:space="preserve"> data analytics.</w:t>
            </w:r>
          </w:p>
        </w:tc>
        <w:tc>
          <w:tcPr>
            <w:tcW w:w="623" w:type="pct"/>
          </w:tcPr>
          <w:p w14:paraId="21D71993" w14:textId="08361D2A" w:rsidR="00B13F49" w:rsidRDefault="00B13F49"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B13F49" w:rsidRPr="00060835" w14:paraId="22DFBEC5" w14:textId="77777777" w:rsidTr="00632D2C">
        <w:tc>
          <w:tcPr>
            <w:tcW w:w="623" w:type="pct"/>
          </w:tcPr>
          <w:p w14:paraId="7A14DE1C" w14:textId="1DB5FB79" w:rsidR="00B13F49"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5.10</w:t>
            </w:r>
          </w:p>
        </w:tc>
        <w:tc>
          <w:tcPr>
            <w:tcW w:w="3754" w:type="pct"/>
          </w:tcPr>
          <w:p w14:paraId="0D99E03F" w14:textId="21000B22" w:rsidR="00B13F49" w:rsidRPr="00232621" w:rsidRDefault="00B13F49" w:rsidP="00B13F49">
            <w:pPr>
              <w:spacing w:before="120" w:after="120"/>
              <w:rPr>
                <w:rFonts w:ascii="Arial" w:hAnsi="Arial" w:cs="Arial"/>
                <w:sz w:val="24"/>
                <w:szCs w:val="24"/>
              </w:rPr>
            </w:pPr>
            <w:r w:rsidRPr="005D0AF3">
              <w:rPr>
                <w:rFonts w:ascii="Arial" w:hAnsi="Arial" w:cs="Arial"/>
                <w:sz w:val="24"/>
                <w:szCs w:val="24"/>
              </w:rPr>
              <w:t xml:space="preserve">The </w:t>
            </w:r>
            <w:r>
              <w:rPr>
                <w:rFonts w:ascii="Arial" w:hAnsi="Arial" w:cs="Arial"/>
                <w:sz w:val="24"/>
                <w:szCs w:val="24"/>
              </w:rPr>
              <w:t xml:space="preserve">Commission to </w:t>
            </w:r>
            <w:r>
              <w:rPr>
                <w:rFonts w:ascii="Arial" w:eastAsia="Times New Roman" w:hAnsi="Arial" w:cs="Arial"/>
                <w:sz w:val="24"/>
                <w:szCs w:val="24"/>
              </w:rPr>
              <w:t xml:space="preserve">pilot </w:t>
            </w:r>
            <w:r w:rsidRPr="00AB02B7">
              <w:rPr>
                <w:rFonts w:ascii="Arial" w:eastAsia="Times New Roman" w:hAnsi="Arial" w:cs="Arial"/>
                <w:sz w:val="24"/>
                <w:szCs w:val="24"/>
              </w:rPr>
              <w:t>a</w:t>
            </w:r>
            <w:r w:rsidR="00AA4062">
              <w:rPr>
                <w:rFonts w:ascii="Arial" w:eastAsia="Times New Roman" w:hAnsi="Arial" w:cs="Arial"/>
                <w:sz w:val="24"/>
                <w:szCs w:val="24"/>
              </w:rPr>
              <w:t xml:space="preserve"> Clinical Advice</w:t>
            </w:r>
            <w:r w:rsidRPr="00AB02B7">
              <w:rPr>
                <w:rFonts w:ascii="Arial" w:eastAsia="Times New Roman" w:hAnsi="Arial" w:cs="Arial"/>
                <w:sz w:val="24"/>
                <w:szCs w:val="24"/>
              </w:rPr>
              <w:t xml:space="preserve"> ‘hub and spokes’ model where</w:t>
            </w:r>
            <w:r>
              <w:rPr>
                <w:rFonts w:ascii="Arial" w:eastAsia="Times New Roman" w:hAnsi="Arial" w:cs="Arial"/>
                <w:sz w:val="24"/>
                <w:szCs w:val="24"/>
              </w:rPr>
              <w:t xml:space="preserve"> some</w:t>
            </w:r>
            <w:r w:rsidRPr="00AB02B7">
              <w:rPr>
                <w:rFonts w:ascii="Arial" w:eastAsia="Times New Roman" w:hAnsi="Arial" w:cs="Arial"/>
                <w:sz w:val="24"/>
                <w:szCs w:val="24"/>
              </w:rPr>
              <w:t xml:space="preserve"> </w:t>
            </w:r>
            <w:r>
              <w:rPr>
                <w:rFonts w:ascii="Arial" w:eastAsia="Times New Roman" w:hAnsi="Arial" w:cs="Arial"/>
                <w:sz w:val="24"/>
                <w:szCs w:val="24"/>
              </w:rPr>
              <w:t>clinicians</w:t>
            </w:r>
            <w:r w:rsidRPr="00AB02B7">
              <w:rPr>
                <w:rFonts w:ascii="Arial" w:eastAsia="Times New Roman" w:hAnsi="Arial" w:cs="Arial"/>
                <w:sz w:val="24"/>
                <w:szCs w:val="24"/>
              </w:rPr>
              <w:t xml:space="preserve"> are </w:t>
            </w:r>
            <w:r w:rsidR="00AA4062">
              <w:rPr>
                <w:rFonts w:ascii="Arial" w:eastAsia="Times New Roman" w:hAnsi="Arial" w:cs="Arial"/>
                <w:sz w:val="24"/>
                <w:szCs w:val="24"/>
              </w:rPr>
              <w:t>embedded</w:t>
            </w:r>
            <w:r w:rsidRPr="00AB02B7">
              <w:rPr>
                <w:rFonts w:ascii="Arial" w:eastAsia="Times New Roman" w:hAnsi="Arial" w:cs="Arial"/>
                <w:sz w:val="24"/>
                <w:szCs w:val="24"/>
              </w:rPr>
              <w:t xml:space="preserve"> in </w:t>
            </w:r>
            <w:r>
              <w:rPr>
                <w:rFonts w:ascii="Arial" w:eastAsia="Times New Roman" w:hAnsi="Arial" w:cs="Arial"/>
                <w:sz w:val="24"/>
                <w:szCs w:val="24"/>
              </w:rPr>
              <w:t xml:space="preserve">regulatory </w:t>
            </w:r>
            <w:r w:rsidRPr="00AB02B7">
              <w:rPr>
                <w:rFonts w:ascii="Arial" w:eastAsia="Times New Roman" w:hAnsi="Arial" w:cs="Arial"/>
                <w:sz w:val="24"/>
                <w:szCs w:val="24"/>
              </w:rPr>
              <w:t xml:space="preserve">areas </w:t>
            </w:r>
            <w:r>
              <w:rPr>
                <w:rFonts w:ascii="Arial" w:eastAsia="Times New Roman" w:hAnsi="Arial" w:cs="Arial"/>
                <w:sz w:val="24"/>
                <w:szCs w:val="24"/>
              </w:rPr>
              <w:t xml:space="preserve">to </w:t>
            </w:r>
            <w:r w:rsidRPr="00AB02B7">
              <w:rPr>
                <w:rFonts w:ascii="Arial" w:eastAsia="Times New Roman" w:hAnsi="Arial" w:cs="Arial"/>
                <w:sz w:val="24"/>
                <w:szCs w:val="24"/>
              </w:rPr>
              <w:t>bolster clinical expertise and</w:t>
            </w:r>
            <w:r>
              <w:rPr>
                <w:rFonts w:ascii="Arial" w:eastAsia="Times New Roman" w:hAnsi="Arial" w:cs="Arial"/>
                <w:sz w:val="24"/>
                <w:szCs w:val="24"/>
              </w:rPr>
              <w:t xml:space="preserve"> </w:t>
            </w:r>
            <w:r w:rsidRPr="00AB02B7">
              <w:rPr>
                <w:rFonts w:ascii="Arial" w:eastAsia="Times New Roman" w:hAnsi="Arial" w:cs="Arial"/>
                <w:sz w:val="24"/>
                <w:szCs w:val="24"/>
              </w:rPr>
              <w:t>shape the advice provided.</w:t>
            </w:r>
          </w:p>
        </w:tc>
        <w:tc>
          <w:tcPr>
            <w:tcW w:w="623" w:type="pct"/>
          </w:tcPr>
          <w:p w14:paraId="633C7EF7" w14:textId="4E5B813D" w:rsidR="00B13F49" w:rsidRDefault="00E4677F" w:rsidP="008B0574">
            <w:pPr>
              <w:tabs>
                <w:tab w:val="right" w:leader="dot" w:pos="9016"/>
              </w:tabs>
              <w:spacing w:before="60" w:after="60"/>
              <w:jc w:val="center"/>
              <w:rPr>
                <w:rFonts w:ascii="Arial" w:hAnsi="Arial" w:cs="Arial"/>
                <w:sz w:val="24"/>
                <w:szCs w:val="24"/>
              </w:rPr>
            </w:pPr>
            <w:r>
              <w:rPr>
                <w:rFonts w:ascii="Arial" w:hAnsi="Arial" w:cs="Arial"/>
                <w:sz w:val="24"/>
                <w:szCs w:val="24"/>
              </w:rPr>
              <w:t>2</w:t>
            </w:r>
          </w:p>
        </w:tc>
      </w:tr>
      <w:tr w:rsidR="00027CEB" w:rsidRPr="00060835" w14:paraId="108B924F" w14:textId="77777777" w:rsidTr="00632D2C">
        <w:tc>
          <w:tcPr>
            <w:tcW w:w="623" w:type="pct"/>
          </w:tcPr>
          <w:p w14:paraId="37D217C5" w14:textId="47573CF3" w:rsidR="00027CEB" w:rsidRPr="006E6245" w:rsidRDefault="00B13F49"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5.11</w:t>
            </w:r>
          </w:p>
        </w:tc>
        <w:tc>
          <w:tcPr>
            <w:tcW w:w="3754" w:type="pct"/>
          </w:tcPr>
          <w:p w14:paraId="11E6B0F8" w14:textId="0FEA3578" w:rsidR="00027CEB" w:rsidRPr="00060835" w:rsidRDefault="00027CEB" w:rsidP="008B0574">
            <w:pPr>
              <w:spacing w:before="60" w:after="60"/>
              <w:rPr>
                <w:rFonts w:ascii="Arial" w:hAnsi="Arial" w:cs="Arial"/>
                <w:sz w:val="24"/>
                <w:szCs w:val="24"/>
              </w:rPr>
            </w:pPr>
            <w:r w:rsidRPr="00232621">
              <w:rPr>
                <w:rFonts w:ascii="Arial" w:hAnsi="Arial" w:cs="Arial"/>
                <w:sz w:val="24"/>
                <w:szCs w:val="24"/>
              </w:rPr>
              <w:t xml:space="preserve">No new functions </w:t>
            </w:r>
            <w:r>
              <w:rPr>
                <w:rFonts w:ascii="Arial" w:hAnsi="Arial" w:cs="Arial"/>
                <w:sz w:val="24"/>
                <w:szCs w:val="24"/>
              </w:rPr>
              <w:t>to</w:t>
            </w:r>
            <w:r w:rsidRPr="00232621">
              <w:rPr>
                <w:rFonts w:ascii="Arial" w:hAnsi="Arial" w:cs="Arial"/>
                <w:sz w:val="24"/>
                <w:szCs w:val="24"/>
              </w:rPr>
              <w:t xml:space="preserve"> be added to the Commission before the commencement of the new Aged Care Act.</w:t>
            </w:r>
          </w:p>
        </w:tc>
        <w:tc>
          <w:tcPr>
            <w:tcW w:w="623" w:type="pct"/>
          </w:tcPr>
          <w:p w14:paraId="5A1FC9BF" w14:textId="77A3B399"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373617EE" w14:textId="77777777" w:rsidTr="00632D2C">
        <w:tc>
          <w:tcPr>
            <w:tcW w:w="623" w:type="pct"/>
          </w:tcPr>
          <w:p w14:paraId="00B424A0" w14:textId="27AC47B2"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6.1</w:t>
            </w:r>
          </w:p>
        </w:tc>
        <w:tc>
          <w:tcPr>
            <w:tcW w:w="3754" w:type="pct"/>
          </w:tcPr>
          <w:p w14:paraId="19EDC07B" w14:textId="3519CF3D" w:rsidR="00027CEB" w:rsidRPr="003E029A" w:rsidRDefault="00027CEB" w:rsidP="008B0574">
            <w:pPr>
              <w:spacing w:before="60" w:after="60"/>
              <w:rPr>
                <w:rFonts w:ascii="Arial" w:hAnsi="Arial" w:cs="Arial"/>
                <w:sz w:val="24"/>
                <w:szCs w:val="24"/>
              </w:rPr>
            </w:pPr>
            <w:r>
              <w:rPr>
                <w:rFonts w:ascii="Arial" w:hAnsi="Arial" w:cs="Arial"/>
                <w:sz w:val="24"/>
                <w:szCs w:val="24"/>
              </w:rPr>
              <w:t>The</w:t>
            </w:r>
            <w:r w:rsidRPr="003E029A">
              <w:rPr>
                <w:rFonts w:ascii="Arial" w:hAnsi="Arial" w:cs="Arial"/>
                <w:sz w:val="24"/>
                <w:szCs w:val="24"/>
              </w:rPr>
              <w:t xml:space="preserve"> Commission </w:t>
            </w:r>
            <w:r>
              <w:rPr>
                <w:rFonts w:ascii="Arial" w:hAnsi="Arial" w:cs="Arial"/>
                <w:sz w:val="24"/>
                <w:szCs w:val="24"/>
              </w:rPr>
              <w:t xml:space="preserve">to be retained </w:t>
            </w:r>
            <w:r w:rsidRPr="003E029A">
              <w:rPr>
                <w:rFonts w:ascii="Arial" w:hAnsi="Arial" w:cs="Arial"/>
                <w:sz w:val="24"/>
                <w:szCs w:val="24"/>
              </w:rPr>
              <w:t xml:space="preserve">in its current form. </w:t>
            </w:r>
          </w:p>
        </w:tc>
        <w:tc>
          <w:tcPr>
            <w:tcW w:w="623" w:type="pct"/>
          </w:tcPr>
          <w:p w14:paraId="50FDE48F" w14:textId="5E2DEA85"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59A4C8EF" w14:textId="77777777" w:rsidTr="00632D2C">
        <w:tc>
          <w:tcPr>
            <w:tcW w:w="623" w:type="pct"/>
          </w:tcPr>
          <w:p w14:paraId="7AAE0B17" w14:textId="1D057925"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6.2</w:t>
            </w:r>
          </w:p>
        </w:tc>
        <w:tc>
          <w:tcPr>
            <w:tcW w:w="3754" w:type="pct"/>
          </w:tcPr>
          <w:p w14:paraId="01EC6533" w14:textId="78CA015A" w:rsidR="00027CEB" w:rsidRPr="003E029A" w:rsidRDefault="00027CEB" w:rsidP="008B0574">
            <w:pPr>
              <w:spacing w:before="60" w:after="60" w:line="252" w:lineRule="auto"/>
              <w:textAlignment w:val="baseline"/>
              <w:rPr>
                <w:rFonts w:ascii="Arial" w:hAnsi="Arial" w:cs="Arial"/>
                <w:sz w:val="24"/>
                <w:szCs w:val="24"/>
              </w:rPr>
            </w:pPr>
            <w:r>
              <w:rPr>
                <w:rFonts w:ascii="Arial" w:eastAsia="Times New Roman" w:hAnsi="Arial" w:cs="Arial"/>
                <w:sz w:val="24"/>
                <w:szCs w:val="24"/>
              </w:rPr>
              <w:t>T</w:t>
            </w:r>
            <w:r w:rsidRPr="003E029A">
              <w:rPr>
                <w:rFonts w:ascii="Arial" w:eastAsia="Times New Roman" w:hAnsi="Arial" w:cs="Arial"/>
                <w:sz w:val="24"/>
                <w:szCs w:val="24"/>
              </w:rPr>
              <w:t xml:space="preserve">he </w:t>
            </w:r>
            <w:r w:rsidRPr="003E029A">
              <w:rPr>
                <w:rFonts w:ascii="Arial" w:hAnsi="Arial" w:cs="Arial"/>
                <w:color w:val="000000" w:themeColor="text1"/>
                <w:sz w:val="24"/>
                <w:szCs w:val="24"/>
              </w:rPr>
              <w:t xml:space="preserve">Aged Care Quality and Safety </w:t>
            </w:r>
            <w:r w:rsidRPr="003E029A">
              <w:rPr>
                <w:rFonts w:ascii="Arial" w:hAnsi="Arial" w:cs="Arial"/>
                <w:color w:val="000000"/>
                <w:sz w:val="24"/>
                <w:szCs w:val="24"/>
                <w:shd w:val="clear" w:color="auto" w:fill="FFFFFF"/>
              </w:rPr>
              <w:t xml:space="preserve">Advisory Council </w:t>
            </w:r>
            <w:r w:rsidRPr="003E029A">
              <w:rPr>
                <w:rFonts w:ascii="Arial" w:eastAsia="Times New Roman" w:hAnsi="Arial" w:cs="Arial"/>
                <w:sz w:val="24"/>
                <w:szCs w:val="24"/>
              </w:rPr>
              <w:t xml:space="preserve">to </w:t>
            </w:r>
            <w:r>
              <w:rPr>
                <w:rFonts w:ascii="Arial" w:eastAsia="Times New Roman" w:hAnsi="Arial" w:cs="Arial"/>
                <w:sz w:val="24"/>
                <w:szCs w:val="24"/>
              </w:rPr>
              <w:t xml:space="preserve">be strengthened to </w:t>
            </w:r>
            <w:r w:rsidRPr="003E029A">
              <w:rPr>
                <w:rFonts w:ascii="Arial" w:eastAsia="Times New Roman" w:hAnsi="Arial" w:cs="Arial"/>
                <w:sz w:val="24"/>
                <w:szCs w:val="24"/>
              </w:rPr>
              <w:t>provide stronger independence</w:t>
            </w:r>
            <w:r>
              <w:rPr>
                <w:rFonts w:ascii="Arial" w:eastAsia="Times New Roman" w:hAnsi="Arial" w:cs="Arial"/>
                <w:sz w:val="24"/>
                <w:szCs w:val="24"/>
              </w:rPr>
              <w:t xml:space="preserve">, </w:t>
            </w:r>
            <w:proofErr w:type="gramStart"/>
            <w:r w:rsidRPr="003E029A">
              <w:rPr>
                <w:rFonts w:ascii="Arial" w:eastAsia="Times New Roman" w:hAnsi="Arial" w:cs="Arial"/>
                <w:sz w:val="24"/>
                <w:szCs w:val="24"/>
              </w:rPr>
              <w:t>accountability</w:t>
            </w:r>
            <w:proofErr w:type="gramEnd"/>
            <w:r>
              <w:rPr>
                <w:rFonts w:ascii="Arial" w:eastAsia="Times New Roman" w:hAnsi="Arial" w:cs="Arial"/>
                <w:sz w:val="24"/>
                <w:szCs w:val="24"/>
              </w:rPr>
              <w:t xml:space="preserve"> and oversight</w:t>
            </w:r>
            <w:r w:rsidRPr="003E029A">
              <w:rPr>
                <w:rFonts w:ascii="Arial" w:eastAsia="Times New Roman" w:hAnsi="Arial" w:cs="Arial"/>
                <w:sz w:val="24"/>
                <w:szCs w:val="24"/>
              </w:rPr>
              <w:t>.</w:t>
            </w:r>
          </w:p>
        </w:tc>
        <w:tc>
          <w:tcPr>
            <w:tcW w:w="623" w:type="pct"/>
          </w:tcPr>
          <w:p w14:paraId="64F3021C" w14:textId="228AC690"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1</w:t>
            </w:r>
          </w:p>
        </w:tc>
      </w:tr>
      <w:tr w:rsidR="00027CEB" w:rsidRPr="00060835" w14:paraId="4335C029" w14:textId="77777777" w:rsidTr="00632D2C">
        <w:tc>
          <w:tcPr>
            <w:tcW w:w="623" w:type="pct"/>
          </w:tcPr>
          <w:p w14:paraId="548B557B" w14:textId="3DF60F6C" w:rsidR="00027CEB" w:rsidRPr="006E6245" w:rsidRDefault="00027CEB" w:rsidP="008B0574">
            <w:pPr>
              <w:tabs>
                <w:tab w:val="right" w:leader="dot" w:pos="9016"/>
              </w:tabs>
              <w:spacing w:before="60" w:after="60"/>
              <w:jc w:val="center"/>
              <w:rPr>
                <w:rFonts w:ascii="Arial" w:hAnsi="Arial" w:cs="Arial"/>
                <w:b/>
                <w:bCs/>
                <w:sz w:val="24"/>
                <w:szCs w:val="24"/>
              </w:rPr>
            </w:pPr>
            <w:r>
              <w:rPr>
                <w:rFonts w:ascii="Arial" w:hAnsi="Arial" w:cs="Arial"/>
                <w:b/>
                <w:bCs/>
                <w:sz w:val="24"/>
                <w:szCs w:val="24"/>
              </w:rPr>
              <w:t>6.3</w:t>
            </w:r>
          </w:p>
        </w:tc>
        <w:tc>
          <w:tcPr>
            <w:tcW w:w="3754" w:type="pct"/>
          </w:tcPr>
          <w:p w14:paraId="005B234F" w14:textId="603EA1A6" w:rsidR="00027CEB" w:rsidRPr="003E029A" w:rsidRDefault="00027CEB" w:rsidP="008B0574">
            <w:pPr>
              <w:spacing w:before="60" w:after="60"/>
              <w:rPr>
                <w:rFonts w:ascii="Arial" w:hAnsi="Arial" w:cs="Arial"/>
                <w:sz w:val="24"/>
                <w:szCs w:val="24"/>
              </w:rPr>
            </w:pPr>
            <w:r w:rsidRPr="003E029A">
              <w:rPr>
                <w:rFonts w:ascii="Arial" w:hAnsi="Arial" w:cs="Arial"/>
                <w:sz w:val="24"/>
                <w:szCs w:val="24"/>
              </w:rPr>
              <w:t xml:space="preserve">The Inspector-General for Aged Care </w:t>
            </w:r>
            <w:r>
              <w:rPr>
                <w:rFonts w:ascii="Arial" w:hAnsi="Arial" w:cs="Arial"/>
                <w:sz w:val="24"/>
                <w:szCs w:val="24"/>
              </w:rPr>
              <w:t xml:space="preserve">to </w:t>
            </w:r>
            <w:r w:rsidRPr="003E029A">
              <w:rPr>
                <w:rFonts w:ascii="Arial" w:hAnsi="Arial" w:cs="Arial"/>
                <w:sz w:val="24"/>
                <w:szCs w:val="24"/>
              </w:rPr>
              <w:t xml:space="preserve">undertake a review in 2025 to assess progress on implementing the recommendations of this </w:t>
            </w:r>
            <w:r>
              <w:rPr>
                <w:rFonts w:ascii="Arial" w:hAnsi="Arial" w:cs="Arial"/>
                <w:sz w:val="24"/>
                <w:szCs w:val="24"/>
              </w:rPr>
              <w:t>R</w:t>
            </w:r>
            <w:r w:rsidRPr="003E029A">
              <w:rPr>
                <w:rFonts w:ascii="Arial" w:hAnsi="Arial" w:cs="Arial"/>
                <w:sz w:val="24"/>
                <w:szCs w:val="24"/>
              </w:rPr>
              <w:t>eview, and to consider whether there is merit in abolishing the Commission and forming a new Authority and governing board.</w:t>
            </w:r>
          </w:p>
        </w:tc>
        <w:tc>
          <w:tcPr>
            <w:tcW w:w="623" w:type="pct"/>
          </w:tcPr>
          <w:p w14:paraId="43663616" w14:textId="094F243B" w:rsidR="00027CEB" w:rsidRPr="00060835" w:rsidRDefault="00027CEB" w:rsidP="008B0574">
            <w:pPr>
              <w:tabs>
                <w:tab w:val="right" w:leader="dot" w:pos="9016"/>
              </w:tabs>
              <w:spacing w:before="60" w:after="60"/>
              <w:jc w:val="center"/>
              <w:rPr>
                <w:rFonts w:ascii="Arial" w:hAnsi="Arial" w:cs="Arial"/>
                <w:sz w:val="24"/>
                <w:szCs w:val="24"/>
              </w:rPr>
            </w:pPr>
            <w:r>
              <w:rPr>
                <w:rFonts w:ascii="Arial" w:hAnsi="Arial" w:cs="Arial"/>
                <w:sz w:val="24"/>
                <w:szCs w:val="24"/>
              </w:rPr>
              <w:t>4</w:t>
            </w:r>
          </w:p>
        </w:tc>
      </w:tr>
    </w:tbl>
    <w:bookmarkEnd w:id="6"/>
    <w:bookmarkEnd w:id="7"/>
    <w:p w14:paraId="79536993" w14:textId="2DB046A2" w:rsidR="00B96EB6" w:rsidRDefault="009A3906" w:rsidP="001364C7">
      <w:pPr>
        <w:spacing w:before="360" w:after="0" w:line="240" w:lineRule="auto"/>
        <w:rPr>
          <w:rFonts w:ascii="Times New Roman" w:hAnsi="Times New Roman" w:cs="Times New Roman"/>
          <w:sz w:val="24"/>
          <w:szCs w:val="24"/>
          <w:lang w:eastAsia="en-AU"/>
        </w:rPr>
      </w:pPr>
      <w:r w:rsidRPr="00872986">
        <w:rPr>
          <w:rFonts w:ascii="Arial" w:hAnsi="Arial" w:cs="Arial"/>
          <w:b/>
          <w:bCs/>
          <w:sz w:val="28"/>
          <w:szCs w:val="28"/>
        </w:rPr>
        <w:t xml:space="preserve">2.2 </w:t>
      </w:r>
      <w:r w:rsidR="00B96EB6">
        <w:rPr>
          <w:rFonts w:ascii="Arial" w:hAnsi="Arial" w:cs="Arial"/>
          <w:b/>
          <w:bCs/>
          <w:sz w:val="28"/>
          <w:szCs w:val="28"/>
        </w:rPr>
        <w:t>Action plan</w:t>
      </w:r>
      <w:r w:rsidR="00B96EB6">
        <w:rPr>
          <w:rFonts w:ascii="Times New Roman" w:hAnsi="Times New Roman" w:cs="Times New Roman"/>
          <w:sz w:val="24"/>
          <w:szCs w:val="24"/>
          <w:lang w:eastAsia="en-AU"/>
        </w:rPr>
        <w:t xml:space="preserve"> </w:t>
      </w:r>
    </w:p>
    <w:p w14:paraId="16FD9087" w14:textId="11E6CABC" w:rsidR="00E4281E" w:rsidRPr="00E4281E" w:rsidRDefault="008916C8" w:rsidP="00E4281E">
      <w:pPr>
        <w:pStyle w:val="Default"/>
        <w:spacing w:before="120" w:after="120"/>
        <w:rPr>
          <w:rFonts w:ascii="Arial" w:hAnsi="Arial" w:cs="Arial"/>
        </w:rPr>
      </w:pPr>
      <w:r w:rsidRPr="00E4281E">
        <w:rPr>
          <w:rFonts w:ascii="Arial" w:hAnsi="Arial" w:cs="Arial"/>
        </w:rPr>
        <w:t>The Review reco</w:t>
      </w:r>
      <w:r w:rsidR="00E4281E" w:rsidRPr="00E4281E">
        <w:rPr>
          <w:rFonts w:ascii="Arial" w:hAnsi="Arial" w:cs="Arial"/>
        </w:rPr>
        <w:t xml:space="preserve">mmendations summarised in Table </w:t>
      </w:r>
      <w:r w:rsidR="005D0AF3">
        <w:rPr>
          <w:rFonts w:ascii="Arial" w:hAnsi="Arial" w:cs="Arial"/>
        </w:rPr>
        <w:t xml:space="preserve">1 </w:t>
      </w:r>
      <w:r w:rsidR="00E4281E" w:rsidRPr="00E4281E">
        <w:rPr>
          <w:rFonts w:ascii="Arial" w:hAnsi="Arial" w:cs="Arial"/>
        </w:rPr>
        <w:t xml:space="preserve">above are designed to be implemented in total to </w:t>
      </w:r>
      <w:r w:rsidRPr="00E4281E">
        <w:rPr>
          <w:rFonts w:ascii="Arial" w:hAnsi="Arial" w:cs="Arial"/>
        </w:rPr>
        <w:t xml:space="preserve">enable the Commission to </w:t>
      </w:r>
      <w:r w:rsidR="00E4281E" w:rsidRPr="00E4281E">
        <w:rPr>
          <w:rFonts w:ascii="Arial" w:hAnsi="Arial" w:cs="Arial"/>
        </w:rPr>
        <w:t>obtain</w:t>
      </w:r>
      <w:r w:rsidRPr="00E4281E">
        <w:rPr>
          <w:rFonts w:ascii="Arial" w:hAnsi="Arial" w:cs="Arial"/>
        </w:rPr>
        <w:t xml:space="preserve"> the capability uplift </w:t>
      </w:r>
      <w:r w:rsidR="00E4281E">
        <w:rPr>
          <w:rFonts w:ascii="Arial" w:hAnsi="Arial" w:cs="Arial"/>
        </w:rPr>
        <w:t>it requires</w:t>
      </w:r>
      <w:r w:rsidRPr="00E4281E">
        <w:rPr>
          <w:rFonts w:ascii="Arial" w:hAnsi="Arial" w:cs="Arial"/>
        </w:rPr>
        <w:t xml:space="preserve"> to a</w:t>
      </w:r>
      <w:r w:rsidR="00E4281E" w:rsidRPr="00E4281E">
        <w:rPr>
          <w:rFonts w:ascii="Arial" w:hAnsi="Arial" w:cs="Arial"/>
        </w:rPr>
        <w:t>chieve its goal of world class, best practice regulation.</w:t>
      </w:r>
    </w:p>
    <w:p w14:paraId="0D355EEF" w14:textId="0AF98020" w:rsidR="00E4281E" w:rsidRDefault="00E4281E" w:rsidP="00E4281E">
      <w:pPr>
        <w:pStyle w:val="Default"/>
        <w:spacing w:before="120" w:after="120"/>
        <w:rPr>
          <w:rFonts w:ascii="Arial" w:hAnsi="Arial" w:cs="Arial"/>
        </w:rPr>
      </w:pPr>
      <w:r>
        <w:rPr>
          <w:rFonts w:ascii="Arial" w:hAnsi="Arial" w:cs="Arial"/>
        </w:rPr>
        <w:t xml:space="preserve">The recommendations have been </w:t>
      </w:r>
      <w:r w:rsidR="001411E3">
        <w:rPr>
          <w:rFonts w:ascii="Arial" w:hAnsi="Arial" w:cs="Arial"/>
        </w:rPr>
        <w:t xml:space="preserve">prioritised </w:t>
      </w:r>
      <w:r>
        <w:rPr>
          <w:rFonts w:ascii="Arial" w:hAnsi="Arial" w:cs="Arial"/>
        </w:rPr>
        <w:t>to precede or align with the implementation of the new Aged Care Act in July 2024.</w:t>
      </w:r>
    </w:p>
    <w:p w14:paraId="66EB24B5" w14:textId="40718326" w:rsidR="00E4281E" w:rsidRDefault="00E4281E" w:rsidP="00E4281E">
      <w:pPr>
        <w:pStyle w:val="Default"/>
        <w:spacing w:before="120" w:after="120"/>
        <w:rPr>
          <w:rFonts w:ascii="Arial" w:hAnsi="Arial" w:cs="Arial"/>
        </w:rPr>
      </w:pPr>
      <w:r>
        <w:rPr>
          <w:rFonts w:ascii="Arial" w:hAnsi="Arial" w:cs="Arial"/>
        </w:rPr>
        <w:t xml:space="preserve">The Commission should establish an </w:t>
      </w:r>
      <w:r w:rsidR="00D319C2">
        <w:rPr>
          <w:rFonts w:ascii="Arial" w:hAnsi="Arial" w:cs="Arial"/>
        </w:rPr>
        <w:t>A</w:t>
      </w:r>
      <w:r>
        <w:rPr>
          <w:rFonts w:ascii="Arial" w:hAnsi="Arial" w:cs="Arial"/>
        </w:rPr>
        <w:t xml:space="preserve">ction </w:t>
      </w:r>
      <w:r w:rsidR="00D319C2">
        <w:rPr>
          <w:rFonts w:ascii="Arial" w:hAnsi="Arial" w:cs="Arial"/>
        </w:rPr>
        <w:t>P</w:t>
      </w:r>
      <w:r>
        <w:rPr>
          <w:rFonts w:ascii="Arial" w:hAnsi="Arial" w:cs="Arial"/>
        </w:rPr>
        <w:t xml:space="preserve">lan for implementation of the recommendations, in consultation with other parties </w:t>
      </w:r>
      <w:r w:rsidR="00F325B3">
        <w:rPr>
          <w:rFonts w:ascii="Arial" w:hAnsi="Arial" w:cs="Arial"/>
        </w:rPr>
        <w:t>as</w:t>
      </w:r>
      <w:r>
        <w:rPr>
          <w:rFonts w:ascii="Arial" w:hAnsi="Arial" w:cs="Arial"/>
        </w:rPr>
        <w:t xml:space="preserve"> required</w:t>
      </w:r>
      <w:r w:rsidR="00D319C2">
        <w:rPr>
          <w:rFonts w:ascii="Arial" w:hAnsi="Arial" w:cs="Arial"/>
        </w:rPr>
        <w:t>, by 1 July 2023</w:t>
      </w:r>
      <w:r>
        <w:rPr>
          <w:rFonts w:ascii="Arial" w:hAnsi="Arial" w:cs="Arial"/>
        </w:rPr>
        <w:t xml:space="preserve">. </w:t>
      </w:r>
    </w:p>
    <w:p w14:paraId="45DCBF15" w14:textId="68AB5F5D" w:rsidR="00E4281E" w:rsidRDefault="00E4281E" w:rsidP="00E4281E">
      <w:pPr>
        <w:pStyle w:val="Default"/>
        <w:spacing w:before="120" w:after="120"/>
        <w:rPr>
          <w:rFonts w:ascii="Arial" w:hAnsi="Arial" w:cs="Arial"/>
        </w:rPr>
      </w:pPr>
      <w:r>
        <w:rPr>
          <w:rFonts w:ascii="Arial" w:hAnsi="Arial" w:cs="Arial"/>
        </w:rPr>
        <w:t xml:space="preserve">Implementation of the Review recommendations should be overseen by </w:t>
      </w:r>
      <w:r w:rsidR="00145B80">
        <w:rPr>
          <w:rFonts w:ascii="Arial" w:hAnsi="Arial" w:cs="Arial"/>
        </w:rPr>
        <w:t xml:space="preserve">a </w:t>
      </w:r>
      <w:r>
        <w:rPr>
          <w:rFonts w:ascii="Arial" w:hAnsi="Arial" w:cs="Arial"/>
        </w:rPr>
        <w:t>senior level Steering Group</w:t>
      </w:r>
      <w:r w:rsidR="00F325B3">
        <w:rPr>
          <w:rFonts w:ascii="Arial" w:hAnsi="Arial" w:cs="Arial"/>
        </w:rPr>
        <w:t>.</w:t>
      </w:r>
    </w:p>
    <w:p w14:paraId="1672AAAF" w14:textId="0A13B236" w:rsidR="004F2274" w:rsidRPr="00EB4C10" w:rsidRDefault="00E4281E" w:rsidP="00E4281E">
      <w:pPr>
        <w:pStyle w:val="Default"/>
        <w:spacing w:before="120" w:after="120"/>
        <w:rPr>
          <w:rFonts w:ascii="Arial" w:hAnsi="Arial" w:cs="Arial"/>
        </w:rPr>
      </w:pPr>
      <w:r w:rsidRPr="00EB4C10">
        <w:rPr>
          <w:rFonts w:ascii="Arial" w:hAnsi="Arial" w:cs="Arial"/>
          <w:b/>
          <w:bCs/>
        </w:rPr>
        <w:t>Recommendation 2.1</w:t>
      </w:r>
      <w:r w:rsidRPr="00EB4C10">
        <w:rPr>
          <w:rFonts w:ascii="Arial" w:hAnsi="Arial" w:cs="Arial"/>
        </w:rPr>
        <w:t xml:space="preserve">: </w:t>
      </w:r>
      <w:r w:rsidR="00C11C80">
        <w:rPr>
          <w:rFonts w:ascii="Arial" w:hAnsi="Arial" w:cs="Arial"/>
        </w:rPr>
        <w:t>The Commission to form a senior level Steering Group to oversee implementation of an Action Plan based on the Review recommendations</w:t>
      </w:r>
      <w:r w:rsidR="004F2274" w:rsidRPr="00EB4C10">
        <w:rPr>
          <w:rFonts w:ascii="Arial" w:hAnsi="Arial" w:cs="Arial"/>
        </w:rPr>
        <w:t>.</w:t>
      </w:r>
    </w:p>
    <w:p w14:paraId="66DCFB25" w14:textId="23032902" w:rsidR="00E4281E" w:rsidRPr="00EB4C10" w:rsidRDefault="004F2274" w:rsidP="001750D5">
      <w:pPr>
        <w:pStyle w:val="Default"/>
        <w:numPr>
          <w:ilvl w:val="0"/>
          <w:numId w:val="95"/>
        </w:numPr>
        <w:spacing w:before="120" w:after="120"/>
        <w:rPr>
          <w:rFonts w:ascii="Arial" w:hAnsi="Arial" w:cs="Arial"/>
        </w:rPr>
      </w:pPr>
      <w:r w:rsidRPr="00EB4C10">
        <w:rPr>
          <w:rFonts w:ascii="Arial" w:hAnsi="Arial" w:cs="Arial"/>
        </w:rPr>
        <w:t xml:space="preserve">Membership of the Steering Group should include </w:t>
      </w:r>
      <w:r w:rsidR="00F325B3" w:rsidRPr="00EB4C10">
        <w:rPr>
          <w:rFonts w:ascii="Arial" w:hAnsi="Arial" w:cs="Arial"/>
        </w:rPr>
        <w:t xml:space="preserve">the Commissioner, the Department’s Deputy Secretary </w:t>
      </w:r>
      <w:r w:rsidR="00A7521C">
        <w:rPr>
          <w:rFonts w:ascii="Arial" w:hAnsi="Arial" w:cs="Arial"/>
        </w:rPr>
        <w:t xml:space="preserve">of </w:t>
      </w:r>
      <w:r w:rsidR="00F325B3" w:rsidRPr="00EB4C10">
        <w:rPr>
          <w:rFonts w:ascii="Arial" w:hAnsi="Arial" w:cs="Arial"/>
        </w:rPr>
        <w:t>Ageing and Aged Care, a member of the Aged Care Quality and Safety Advisory Council, and the Inspector-General of Aged Care.</w:t>
      </w:r>
    </w:p>
    <w:p w14:paraId="4510F4C2" w14:textId="7EA4FBD9" w:rsidR="00D319C2" w:rsidRDefault="00D319C2" w:rsidP="001750D5">
      <w:pPr>
        <w:pStyle w:val="Default"/>
        <w:numPr>
          <w:ilvl w:val="0"/>
          <w:numId w:val="95"/>
        </w:numPr>
        <w:spacing w:before="120" w:after="120"/>
        <w:rPr>
          <w:rFonts w:ascii="Arial" w:hAnsi="Arial" w:cs="Arial"/>
        </w:rPr>
      </w:pPr>
      <w:r w:rsidRPr="00EB4C10">
        <w:rPr>
          <w:rFonts w:ascii="Arial" w:hAnsi="Arial" w:cs="Arial"/>
        </w:rPr>
        <w:t>The Steering Group should be established by 1 July 2023.</w:t>
      </w:r>
    </w:p>
    <w:p w14:paraId="2DC3A71D" w14:textId="77777777" w:rsidR="00476704" w:rsidRPr="00156E97" w:rsidRDefault="00476704" w:rsidP="00156E97">
      <w:pPr>
        <w:pStyle w:val="Default"/>
        <w:spacing w:before="120" w:after="120"/>
        <w:ind w:left="360"/>
        <w:rPr>
          <w:rFonts w:ascii="Arial" w:hAnsi="Arial" w:cs="Arial"/>
        </w:rPr>
      </w:pPr>
      <w:r>
        <w:br w:type="page"/>
      </w:r>
    </w:p>
    <w:p w14:paraId="4663665E" w14:textId="6F641EDF" w:rsidR="0083436D" w:rsidRPr="000E132D" w:rsidRDefault="00D2238A" w:rsidP="000E132D">
      <w:pPr>
        <w:pStyle w:val="Heading3"/>
      </w:pPr>
      <w:bookmarkStart w:id="8" w:name="_Toc131163552"/>
      <w:r w:rsidRPr="000E132D">
        <w:lastRenderedPageBreak/>
        <w:t>CHAPTER</w:t>
      </w:r>
      <w:r w:rsidR="003120DB" w:rsidRPr="000E132D">
        <w:t xml:space="preserve"> </w:t>
      </w:r>
      <w:r w:rsidR="00BD17DE" w:rsidRPr="000E132D">
        <w:t xml:space="preserve">3: </w:t>
      </w:r>
      <w:r w:rsidR="00A52050" w:rsidRPr="000E132D">
        <w:t>CONTEXT</w:t>
      </w:r>
      <w:bookmarkEnd w:id="8"/>
    </w:p>
    <w:p w14:paraId="0A892BE6" w14:textId="77777777" w:rsidR="00E92F6C" w:rsidRPr="00BE3BCE" w:rsidRDefault="00E92F6C" w:rsidP="00E92F6C">
      <w:pPr>
        <w:tabs>
          <w:tab w:val="right" w:leader="dot" w:pos="9016"/>
        </w:tabs>
        <w:spacing w:before="240" w:after="120" w:line="240" w:lineRule="auto"/>
        <w:rPr>
          <w:rFonts w:ascii="Arial" w:hAnsi="Arial" w:cs="Arial"/>
          <w:b/>
          <w:bCs/>
          <w:sz w:val="28"/>
          <w:szCs w:val="28"/>
        </w:rPr>
      </w:pPr>
      <w:r w:rsidRPr="00BE3BCE">
        <w:rPr>
          <w:rFonts w:ascii="Arial" w:hAnsi="Arial" w:cs="Arial"/>
          <w:b/>
          <w:bCs/>
          <w:sz w:val="28"/>
          <w:szCs w:val="28"/>
        </w:rPr>
        <w:t xml:space="preserve">3.1 Commission history </w:t>
      </w:r>
    </w:p>
    <w:p w14:paraId="4B65BAF8" w14:textId="77777777"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The Aged Care Quality and Safety Commission (the Commission) was established on 1 January 2019, bringing together the functions of the Australian Aged Care Quality Agency and the Aged Care Complaints Commissioner and creating a single point of contact for aged care consumers and providers in relation to quality of care and regulation.</w:t>
      </w:r>
    </w:p>
    <w:p w14:paraId="18C2A093" w14:textId="77777777"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 xml:space="preserve">Additional aged care regulatory functions were transferred to the Commission from the then Department of Health on 1 January 2020 – resulting in the Commission becoming the end-to-end regulator for aged care. </w:t>
      </w:r>
    </w:p>
    <w:p w14:paraId="7D96F121" w14:textId="6CC635C2"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 xml:space="preserve">The Commission’s functions continue to expand as reforms from the Royal Commission are progressively implemented. New functions for the Commission </w:t>
      </w:r>
      <w:r w:rsidR="009A5450">
        <w:rPr>
          <w:rFonts w:ascii="Arial" w:hAnsi="Arial" w:cs="Arial"/>
          <w:sz w:val="24"/>
          <w:szCs w:val="24"/>
        </w:rPr>
        <w:t xml:space="preserve">in the 2022-23 financial year to date </w:t>
      </w:r>
      <w:r w:rsidRPr="00BE3BCE">
        <w:rPr>
          <w:rFonts w:ascii="Arial" w:hAnsi="Arial" w:cs="Arial"/>
          <w:sz w:val="24"/>
          <w:szCs w:val="24"/>
        </w:rPr>
        <w:t>include</w:t>
      </w:r>
      <w:r w:rsidR="0000193C">
        <w:rPr>
          <w:rFonts w:ascii="Arial" w:hAnsi="Arial" w:cs="Arial"/>
          <w:sz w:val="24"/>
          <w:szCs w:val="24"/>
        </w:rPr>
        <w:t xml:space="preserve"> regulating</w:t>
      </w:r>
      <w:r w:rsidRPr="00BE3BCE">
        <w:rPr>
          <w:rFonts w:ascii="Arial" w:hAnsi="Arial" w:cs="Arial"/>
          <w:sz w:val="24"/>
          <w:szCs w:val="24"/>
        </w:rPr>
        <w:t>:</w:t>
      </w:r>
    </w:p>
    <w:p w14:paraId="22AD7501" w14:textId="4EB768D8" w:rsidR="00E92F6C" w:rsidRPr="00BE3BCE" w:rsidRDefault="00A7521C" w:rsidP="001750D5">
      <w:pPr>
        <w:numPr>
          <w:ilvl w:val="1"/>
          <w:numId w:val="94"/>
        </w:numPr>
        <w:spacing w:before="120" w:after="120" w:line="240" w:lineRule="auto"/>
        <w:ind w:left="720"/>
        <w:rPr>
          <w:rFonts w:ascii="Arial" w:hAnsi="Arial" w:cs="Arial"/>
          <w:sz w:val="24"/>
          <w:szCs w:val="24"/>
        </w:rPr>
      </w:pPr>
      <w:r>
        <w:rPr>
          <w:rFonts w:ascii="Arial" w:hAnsi="Arial" w:cs="Arial"/>
          <w:sz w:val="24"/>
          <w:szCs w:val="24"/>
        </w:rPr>
        <w:t>new f</w:t>
      </w:r>
      <w:r w:rsidR="00E92F6C" w:rsidRPr="00BE3BCE">
        <w:rPr>
          <w:rFonts w:ascii="Arial" w:hAnsi="Arial" w:cs="Arial"/>
          <w:sz w:val="24"/>
          <w:szCs w:val="24"/>
        </w:rPr>
        <w:t>inancial reporting requirement</w:t>
      </w:r>
      <w:r w:rsidR="00CB0104">
        <w:rPr>
          <w:rFonts w:ascii="Arial" w:hAnsi="Arial" w:cs="Arial"/>
          <w:sz w:val="24"/>
          <w:szCs w:val="24"/>
        </w:rPr>
        <w:t>s</w:t>
      </w:r>
      <w:r w:rsidR="00E92F6C" w:rsidRPr="00BE3BCE">
        <w:rPr>
          <w:rFonts w:ascii="Arial" w:hAnsi="Arial" w:cs="Arial"/>
          <w:sz w:val="24"/>
          <w:szCs w:val="24"/>
        </w:rPr>
        <w:t xml:space="preserve"> </w:t>
      </w:r>
      <w:r w:rsidR="00027CEB">
        <w:rPr>
          <w:rFonts w:ascii="Arial" w:hAnsi="Arial" w:cs="Arial"/>
          <w:sz w:val="24"/>
          <w:szCs w:val="24"/>
        </w:rPr>
        <w:t xml:space="preserve">for providers </w:t>
      </w:r>
      <w:r w:rsidR="00E92F6C" w:rsidRPr="00BE3BCE">
        <w:rPr>
          <w:rFonts w:ascii="Arial" w:hAnsi="Arial" w:cs="Arial"/>
          <w:sz w:val="24"/>
          <w:szCs w:val="24"/>
        </w:rPr>
        <w:t>(July 2022).</w:t>
      </w:r>
    </w:p>
    <w:p w14:paraId="736E5E22" w14:textId="6FD0F523" w:rsidR="00E92F6C" w:rsidRPr="00BE3BCE" w:rsidRDefault="00A7521C" w:rsidP="001750D5">
      <w:pPr>
        <w:numPr>
          <w:ilvl w:val="1"/>
          <w:numId w:val="94"/>
        </w:numPr>
        <w:spacing w:before="120" w:after="120" w:line="240" w:lineRule="auto"/>
        <w:ind w:left="720"/>
        <w:rPr>
          <w:rFonts w:ascii="Arial" w:hAnsi="Arial" w:cs="Arial"/>
          <w:sz w:val="24"/>
          <w:szCs w:val="24"/>
        </w:rPr>
      </w:pPr>
      <w:r>
        <w:rPr>
          <w:rFonts w:ascii="Arial" w:hAnsi="Arial" w:cs="Arial"/>
          <w:sz w:val="24"/>
          <w:szCs w:val="24"/>
        </w:rPr>
        <w:t xml:space="preserve">the expansion of </w:t>
      </w:r>
      <w:r w:rsidR="00145B80">
        <w:rPr>
          <w:rFonts w:ascii="Arial" w:hAnsi="Arial" w:cs="Arial"/>
          <w:sz w:val="24"/>
          <w:szCs w:val="24"/>
        </w:rPr>
        <w:t>the Serious Incident Re</w:t>
      </w:r>
      <w:r w:rsidR="009A5450">
        <w:rPr>
          <w:rFonts w:ascii="Arial" w:hAnsi="Arial" w:cs="Arial"/>
          <w:sz w:val="24"/>
          <w:szCs w:val="24"/>
        </w:rPr>
        <w:t>sponse Sc</w:t>
      </w:r>
      <w:r w:rsidR="00145B80">
        <w:rPr>
          <w:rFonts w:ascii="Arial" w:hAnsi="Arial" w:cs="Arial"/>
          <w:sz w:val="24"/>
          <w:szCs w:val="24"/>
        </w:rPr>
        <w:t>heme</w:t>
      </w:r>
      <w:r w:rsidR="009A5450">
        <w:rPr>
          <w:rFonts w:ascii="Arial" w:hAnsi="Arial" w:cs="Arial"/>
          <w:sz w:val="24"/>
          <w:szCs w:val="24"/>
        </w:rPr>
        <w:t xml:space="preserve"> (</w:t>
      </w:r>
      <w:r w:rsidR="00E92F6C" w:rsidRPr="00BE3BCE">
        <w:rPr>
          <w:rFonts w:ascii="Arial" w:hAnsi="Arial" w:cs="Arial"/>
          <w:sz w:val="24"/>
          <w:szCs w:val="24"/>
        </w:rPr>
        <w:t>SIRS</w:t>
      </w:r>
      <w:r w:rsidR="009A5450">
        <w:rPr>
          <w:rFonts w:ascii="Arial" w:hAnsi="Arial" w:cs="Arial"/>
          <w:sz w:val="24"/>
          <w:szCs w:val="24"/>
        </w:rPr>
        <w:t>)</w:t>
      </w:r>
      <w:r w:rsidR="00E92F6C" w:rsidRPr="00BE3BCE">
        <w:rPr>
          <w:rFonts w:ascii="Arial" w:hAnsi="Arial" w:cs="Arial"/>
          <w:sz w:val="24"/>
          <w:szCs w:val="24"/>
        </w:rPr>
        <w:t xml:space="preserve"> </w:t>
      </w:r>
      <w:r w:rsidR="0000193C">
        <w:rPr>
          <w:rFonts w:ascii="Arial" w:hAnsi="Arial" w:cs="Arial"/>
          <w:sz w:val="24"/>
          <w:szCs w:val="24"/>
        </w:rPr>
        <w:t>into</w:t>
      </w:r>
      <w:r w:rsidR="00E92F6C" w:rsidRPr="00BE3BCE">
        <w:rPr>
          <w:rFonts w:ascii="Arial" w:hAnsi="Arial" w:cs="Arial"/>
          <w:sz w:val="24"/>
          <w:szCs w:val="24"/>
        </w:rPr>
        <w:t xml:space="preserve"> in-home services</w:t>
      </w:r>
      <w:bookmarkStart w:id="9" w:name="_Hlk129336795"/>
      <w:r w:rsidR="00E92F6C" w:rsidRPr="00BE3BCE">
        <w:rPr>
          <w:rFonts w:ascii="Arial" w:hAnsi="Arial" w:cs="Arial"/>
          <w:sz w:val="24"/>
          <w:szCs w:val="24"/>
        </w:rPr>
        <w:t xml:space="preserve"> (December 2022)</w:t>
      </w:r>
      <w:bookmarkEnd w:id="9"/>
    </w:p>
    <w:p w14:paraId="6C1E3616" w14:textId="7FD277F8" w:rsidR="00E92F6C" w:rsidRPr="00BE3BCE" w:rsidRDefault="00A7521C" w:rsidP="001750D5">
      <w:pPr>
        <w:numPr>
          <w:ilvl w:val="1"/>
          <w:numId w:val="94"/>
        </w:numPr>
        <w:spacing w:before="120" w:after="120" w:line="240" w:lineRule="auto"/>
        <w:ind w:left="720"/>
        <w:rPr>
          <w:rFonts w:ascii="Arial" w:hAnsi="Arial" w:cs="Arial"/>
          <w:sz w:val="24"/>
          <w:szCs w:val="24"/>
        </w:rPr>
      </w:pPr>
      <w:r>
        <w:rPr>
          <w:rFonts w:ascii="Arial" w:hAnsi="Arial" w:cs="Arial"/>
          <w:sz w:val="24"/>
          <w:szCs w:val="24"/>
        </w:rPr>
        <w:t xml:space="preserve">a new </w:t>
      </w:r>
      <w:r w:rsidR="00E92F6C" w:rsidRPr="00BE3BCE">
        <w:rPr>
          <w:rFonts w:ascii="Arial" w:hAnsi="Arial" w:cs="Arial"/>
          <w:sz w:val="24"/>
          <w:szCs w:val="24"/>
        </w:rPr>
        <w:t>Code of Conduct for aged care providers and workers (December 2022)</w:t>
      </w:r>
    </w:p>
    <w:p w14:paraId="5E0DCE05" w14:textId="3E560A15" w:rsidR="00E92F6C" w:rsidRPr="00BE3BCE" w:rsidRDefault="00A7521C" w:rsidP="001750D5">
      <w:pPr>
        <w:numPr>
          <w:ilvl w:val="1"/>
          <w:numId w:val="94"/>
        </w:numPr>
        <w:spacing w:before="120" w:after="120" w:line="240" w:lineRule="auto"/>
        <w:ind w:left="720"/>
        <w:rPr>
          <w:rFonts w:ascii="Arial" w:hAnsi="Arial" w:cs="Arial"/>
          <w:sz w:val="24"/>
          <w:szCs w:val="24"/>
        </w:rPr>
      </w:pPr>
      <w:r>
        <w:rPr>
          <w:rFonts w:ascii="Arial" w:hAnsi="Arial" w:cs="Arial"/>
          <w:sz w:val="24"/>
          <w:szCs w:val="24"/>
        </w:rPr>
        <w:t>s</w:t>
      </w:r>
      <w:r w:rsidR="00E92F6C" w:rsidRPr="00BE3BCE">
        <w:rPr>
          <w:rFonts w:ascii="Arial" w:hAnsi="Arial" w:cs="Arial"/>
          <w:sz w:val="24"/>
          <w:szCs w:val="24"/>
        </w:rPr>
        <w:t>trengthen</w:t>
      </w:r>
      <w:r>
        <w:rPr>
          <w:rFonts w:ascii="Arial" w:hAnsi="Arial" w:cs="Arial"/>
          <w:sz w:val="24"/>
          <w:szCs w:val="24"/>
        </w:rPr>
        <w:t>ed</w:t>
      </w:r>
      <w:r w:rsidR="00E92F6C" w:rsidRPr="00BE3BCE">
        <w:rPr>
          <w:rFonts w:ascii="Arial" w:hAnsi="Arial" w:cs="Arial"/>
          <w:sz w:val="24"/>
          <w:szCs w:val="24"/>
        </w:rPr>
        <w:t xml:space="preserve"> provider governance arrangements (December 2022)</w:t>
      </w:r>
    </w:p>
    <w:p w14:paraId="52A58289" w14:textId="14CFB121" w:rsidR="00E92F6C" w:rsidRPr="00BE3BCE" w:rsidRDefault="00E92F6C" w:rsidP="001750D5">
      <w:pPr>
        <w:numPr>
          <w:ilvl w:val="1"/>
          <w:numId w:val="94"/>
        </w:numPr>
        <w:spacing w:before="120" w:after="120" w:line="240" w:lineRule="auto"/>
        <w:ind w:left="720"/>
        <w:rPr>
          <w:rFonts w:ascii="Arial" w:hAnsi="Arial" w:cs="Arial"/>
          <w:sz w:val="24"/>
          <w:szCs w:val="24"/>
        </w:rPr>
      </w:pPr>
      <w:r w:rsidRPr="00BE3BCE">
        <w:rPr>
          <w:rFonts w:ascii="Arial" w:hAnsi="Arial" w:cs="Arial"/>
          <w:sz w:val="24"/>
          <w:szCs w:val="24"/>
        </w:rPr>
        <w:t>transition care services (December 2022)</w:t>
      </w:r>
      <w:r w:rsidR="00155CBF">
        <w:rPr>
          <w:rFonts w:ascii="Arial" w:hAnsi="Arial" w:cs="Arial"/>
          <w:sz w:val="24"/>
          <w:szCs w:val="24"/>
        </w:rPr>
        <w:t>, and</w:t>
      </w:r>
    </w:p>
    <w:p w14:paraId="00D07C3B" w14:textId="41B808E8" w:rsidR="00E92F6C" w:rsidRPr="00701DF9" w:rsidRDefault="00A7521C" w:rsidP="00526E5B">
      <w:pPr>
        <w:numPr>
          <w:ilvl w:val="1"/>
          <w:numId w:val="94"/>
        </w:numPr>
        <w:spacing w:before="120" w:after="120" w:line="240" w:lineRule="auto"/>
        <w:ind w:left="720"/>
        <w:rPr>
          <w:rFonts w:ascii="Arial" w:hAnsi="Arial" w:cs="Arial"/>
          <w:sz w:val="24"/>
          <w:szCs w:val="24"/>
        </w:rPr>
      </w:pPr>
      <w:r w:rsidRPr="00155CBF">
        <w:rPr>
          <w:rFonts w:ascii="Arial" w:hAnsi="Arial" w:cs="Arial"/>
          <w:sz w:val="24"/>
          <w:szCs w:val="24"/>
        </w:rPr>
        <w:t xml:space="preserve">new caps on </w:t>
      </w:r>
      <w:r w:rsidR="00E92F6C" w:rsidRPr="00526E5B">
        <w:rPr>
          <w:rFonts w:ascii="Arial" w:hAnsi="Arial" w:cs="Arial"/>
          <w:sz w:val="24"/>
          <w:szCs w:val="24"/>
        </w:rPr>
        <w:t>administration changes included by providers in home care package costs (January 2023).</w:t>
      </w:r>
    </w:p>
    <w:p w14:paraId="593A9CFA" w14:textId="3F324452" w:rsidR="00E92F6C" w:rsidRPr="00BE3BCE" w:rsidRDefault="00E92F6C" w:rsidP="00E92F6C">
      <w:pPr>
        <w:spacing w:before="120" w:after="120" w:line="240" w:lineRule="auto"/>
        <w:rPr>
          <w:rFonts w:ascii="Arial" w:hAnsi="Arial" w:cs="Arial"/>
          <w:sz w:val="24"/>
          <w:szCs w:val="24"/>
        </w:rPr>
      </w:pPr>
      <w:r w:rsidRPr="00BD6D37">
        <w:rPr>
          <w:rFonts w:ascii="Arial" w:hAnsi="Arial" w:cs="Arial"/>
          <w:sz w:val="24"/>
          <w:szCs w:val="24"/>
        </w:rPr>
        <w:t xml:space="preserve">A full list and timeline of </w:t>
      </w:r>
      <w:r w:rsidR="00D2233E" w:rsidRPr="00BD6D37">
        <w:rPr>
          <w:rFonts w:ascii="Arial" w:hAnsi="Arial" w:cs="Arial"/>
          <w:sz w:val="24"/>
          <w:szCs w:val="24"/>
        </w:rPr>
        <w:t xml:space="preserve">foundational and new </w:t>
      </w:r>
      <w:r w:rsidRPr="00BD6D37">
        <w:rPr>
          <w:rFonts w:ascii="Arial" w:hAnsi="Arial" w:cs="Arial"/>
          <w:sz w:val="24"/>
          <w:szCs w:val="24"/>
        </w:rPr>
        <w:t xml:space="preserve">Commission functions is </w:t>
      </w:r>
      <w:r w:rsidR="009A5450" w:rsidRPr="00BD6D37">
        <w:rPr>
          <w:rFonts w:ascii="Arial" w:hAnsi="Arial" w:cs="Arial"/>
          <w:sz w:val="24"/>
          <w:szCs w:val="24"/>
        </w:rPr>
        <w:t xml:space="preserve">at </w:t>
      </w:r>
      <w:r w:rsidR="00987DE8">
        <w:rPr>
          <w:rFonts w:ascii="Arial" w:hAnsi="Arial" w:cs="Arial"/>
          <w:sz w:val="24"/>
          <w:szCs w:val="24"/>
        </w:rPr>
        <w:t>Section</w:t>
      </w:r>
      <w:r w:rsidR="00987DE8" w:rsidRPr="00BD6D37">
        <w:rPr>
          <w:rFonts w:ascii="Arial" w:hAnsi="Arial" w:cs="Arial"/>
          <w:sz w:val="24"/>
          <w:szCs w:val="24"/>
        </w:rPr>
        <w:t> </w:t>
      </w:r>
      <w:r w:rsidR="009A5450" w:rsidRPr="00BD6D37">
        <w:rPr>
          <w:rFonts w:ascii="Arial" w:hAnsi="Arial" w:cs="Arial"/>
          <w:sz w:val="24"/>
          <w:szCs w:val="24"/>
        </w:rPr>
        <w:t>5.5.</w:t>
      </w:r>
    </w:p>
    <w:p w14:paraId="38A50FD8" w14:textId="07D75F8D" w:rsidR="00E92F6C" w:rsidRPr="00BE3BCE" w:rsidRDefault="00E92F6C" w:rsidP="00D64117">
      <w:pPr>
        <w:spacing w:after="0" w:line="240" w:lineRule="auto"/>
        <w:rPr>
          <w:rFonts w:ascii="Arial" w:hAnsi="Arial" w:cs="Arial"/>
          <w:sz w:val="24"/>
          <w:szCs w:val="24"/>
        </w:rPr>
      </w:pPr>
      <w:r w:rsidRPr="00BE3BCE">
        <w:rPr>
          <w:rFonts w:ascii="Arial" w:hAnsi="Arial" w:cs="Arial"/>
          <w:sz w:val="24"/>
          <w:szCs w:val="24"/>
        </w:rPr>
        <w:t>The Commission’s workforce and budget have grown substantially since establishment to support this expansion in functions. In 2019-20 the Commission</w:t>
      </w:r>
      <w:r w:rsidR="00FA718A">
        <w:rPr>
          <w:rFonts w:ascii="Arial" w:hAnsi="Arial" w:cs="Arial"/>
          <w:sz w:val="24"/>
          <w:szCs w:val="24"/>
        </w:rPr>
        <w:t>’</w:t>
      </w:r>
      <w:r w:rsidRPr="00BE3BCE">
        <w:rPr>
          <w:rFonts w:ascii="Arial" w:hAnsi="Arial" w:cs="Arial"/>
          <w:sz w:val="24"/>
          <w:szCs w:val="24"/>
        </w:rPr>
        <w:t>s estimated annual budget and staff count was $106.4 million</w:t>
      </w:r>
      <w:r w:rsidR="009E53EE" w:rsidRPr="00BE3BCE">
        <w:rPr>
          <w:rFonts w:ascii="Arial" w:hAnsi="Arial" w:cs="Arial"/>
          <w:sz w:val="24"/>
          <w:szCs w:val="24"/>
          <w:vertAlign w:val="superscript"/>
        </w:rPr>
        <w:footnoteReference w:id="2"/>
      </w:r>
      <w:r w:rsidRPr="00BE3BCE">
        <w:rPr>
          <w:rFonts w:ascii="Arial" w:hAnsi="Arial" w:cs="Arial"/>
          <w:sz w:val="24"/>
          <w:szCs w:val="24"/>
        </w:rPr>
        <w:t xml:space="preserve"> and 430 staff while in 2022-23 the Commission’s estimated annual budget and staff count (at the time of the </w:t>
      </w:r>
      <w:r w:rsidR="00D20410">
        <w:rPr>
          <w:rFonts w:ascii="Arial" w:hAnsi="Arial" w:cs="Arial"/>
          <w:sz w:val="24"/>
          <w:szCs w:val="24"/>
        </w:rPr>
        <w:t>R</w:t>
      </w:r>
      <w:r w:rsidRPr="00BE3BCE">
        <w:rPr>
          <w:rFonts w:ascii="Arial" w:hAnsi="Arial" w:cs="Arial"/>
          <w:sz w:val="24"/>
          <w:szCs w:val="24"/>
        </w:rPr>
        <w:t>eview) is $329.0 million</w:t>
      </w:r>
      <w:r w:rsidR="009E53EE" w:rsidRPr="00BE3BCE">
        <w:rPr>
          <w:vertAlign w:val="superscript"/>
        </w:rPr>
        <w:footnoteReference w:id="3"/>
      </w:r>
      <w:r w:rsidR="00D66AD4">
        <w:rPr>
          <w:rFonts w:ascii="Arial" w:hAnsi="Arial" w:cs="Arial"/>
          <w:sz w:val="24"/>
          <w:szCs w:val="24"/>
        </w:rPr>
        <w:t>)</w:t>
      </w:r>
      <w:r w:rsidRPr="00BE3BCE">
        <w:rPr>
          <w:rFonts w:ascii="Arial" w:hAnsi="Arial" w:cs="Arial"/>
          <w:sz w:val="24"/>
          <w:szCs w:val="24"/>
        </w:rPr>
        <w:t xml:space="preserve"> and 1,423.9 staff</w:t>
      </w:r>
      <w:r w:rsidR="00AF5A6D">
        <w:rPr>
          <w:rStyle w:val="FootnoteReference"/>
          <w:rFonts w:ascii="Arial" w:hAnsi="Arial" w:cs="Arial"/>
          <w:sz w:val="24"/>
          <w:szCs w:val="24"/>
        </w:rPr>
        <w:footnoteReference w:id="4"/>
      </w:r>
      <w:r w:rsidR="00D64117">
        <w:rPr>
          <w:rFonts w:ascii="Arial" w:hAnsi="Arial" w:cs="Arial"/>
          <w:sz w:val="24"/>
          <w:szCs w:val="24"/>
        </w:rPr>
        <w:t>.</w:t>
      </w:r>
      <w:r w:rsidR="00AF5A6D">
        <w:rPr>
          <w:rFonts w:ascii="Times New Roman" w:hAnsi="Times New Roman" w:cs="Times New Roman"/>
          <w:sz w:val="24"/>
          <w:szCs w:val="24"/>
          <w:lang w:eastAsia="en-AU"/>
        </w:rPr>
        <w:t xml:space="preserve"> </w:t>
      </w:r>
      <w:r w:rsidRPr="00BE3BCE">
        <w:rPr>
          <w:rFonts w:ascii="Arial" w:hAnsi="Arial" w:cs="Arial"/>
          <w:sz w:val="24"/>
          <w:szCs w:val="24"/>
        </w:rPr>
        <w:t>This represents an annual budget increase of 210</w:t>
      </w:r>
      <w:r w:rsidR="00C30229">
        <w:rPr>
          <w:rFonts w:ascii="Arial" w:hAnsi="Arial" w:cs="Arial"/>
          <w:sz w:val="24"/>
          <w:szCs w:val="24"/>
        </w:rPr>
        <w:t xml:space="preserve"> per cent</w:t>
      </w:r>
      <w:r w:rsidRPr="00BE3BCE">
        <w:rPr>
          <w:rFonts w:ascii="Arial" w:hAnsi="Arial" w:cs="Arial"/>
          <w:sz w:val="24"/>
          <w:szCs w:val="24"/>
        </w:rPr>
        <w:t xml:space="preserve"> over four years and a staffing increase of 230</w:t>
      </w:r>
      <w:r w:rsidR="00C30229">
        <w:rPr>
          <w:rFonts w:ascii="Arial" w:hAnsi="Arial" w:cs="Arial"/>
          <w:sz w:val="24"/>
          <w:szCs w:val="24"/>
        </w:rPr>
        <w:t xml:space="preserve"> per cent</w:t>
      </w:r>
      <w:r w:rsidRPr="00BE3BCE">
        <w:rPr>
          <w:rFonts w:ascii="Arial" w:hAnsi="Arial" w:cs="Arial"/>
          <w:sz w:val="24"/>
          <w:szCs w:val="24"/>
        </w:rPr>
        <w:t xml:space="preserve"> over the same period.</w:t>
      </w:r>
    </w:p>
    <w:p w14:paraId="2F5D9B6D" w14:textId="77777777" w:rsidR="00E92F6C" w:rsidRPr="00BE3BCE" w:rsidRDefault="00E92F6C" w:rsidP="00E92F6C">
      <w:pPr>
        <w:tabs>
          <w:tab w:val="right" w:leader="dot" w:pos="9016"/>
        </w:tabs>
        <w:spacing w:before="240" w:after="120" w:line="240" w:lineRule="auto"/>
        <w:rPr>
          <w:rFonts w:ascii="Arial" w:hAnsi="Arial" w:cs="Arial"/>
          <w:b/>
          <w:bCs/>
          <w:sz w:val="28"/>
          <w:szCs w:val="28"/>
        </w:rPr>
      </w:pPr>
      <w:r w:rsidRPr="00BE3BCE">
        <w:rPr>
          <w:rFonts w:ascii="Arial" w:hAnsi="Arial" w:cs="Arial"/>
          <w:b/>
          <w:bCs/>
          <w:color w:val="000000"/>
          <w:sz w:val="28"/>
          <w:szCs w:val="28"/>
          <w:shd w:val="clear" w:color="auto" w:fill="FFFFFF"/>
        </w:rPr>
        <w:t xml:space="preserve">3.2 </w:t>
      </w:r>
      <w:r w:rsidRPr="00BE3BCE">
        <w:rPr>
          <w:rFonts w:ascii="Arial" w:hAnsi="Arial" w:cs="Arial"/>
          <w:b/>
          <w:bCs/>
          <w:sz w:val="28"/>
          <w:szCs w:val="28"/>
        </w:rPr>
        <w:t>Purpose and Vision</w:t>
      </w:r>
    </w:p>
    <w:p w14:paraId="352062CA" w14:textId="77777777" w:rsidR="00E92F6C" w:rsidRPr="00BE3BCE" w:rsidRDefault="00E92F6C" w:rsidP="00E92F6C">
      <w:pPr>
        <w:tabs>
          <w:tab w:val="right" w:leader="dot" w:pos="9016"/>
        </w:tabs>
        <w:spacing w:after="100" w:line="240" w:lineRule="auto"/>
        <w:rPr>
          <w:rFonts w:ascii="Arial" w:hAnsi="Arial" w:cs="Arial"/>
          <w:sz w:val="24"/>
          <w:szCs w:val="24"/>
        </w:rPr>
      </w:pPr>
      <w:r w:rsidRPr="00BE3BCE">
        <w:rPr>
          <w:rFonts w:ascii="Arial" w:hAnsi="Arial" w:cs="Arial"/>
          <w:sz w:val="24"/>
          <w:szCs w:val="24"/>
        </w:rPr>
        <w:t xml:space="preserve">The Commission’s purpose is to protect and enhance the safety, health, </w:t>
      </w:r>
      <w:proofErr w:type="gramStart"/>
      <w:r w:rsidRPr="00BE3BCE">
        <w:rPr>
          <w:rFonts w:ascii="Arial" w:hAnsi="Arial" w:cs="Arial"/>
          <w:sz w:val="24"/>
          <w:szCs w:val="24"/>
        </w:rPr>
        <w:t>well-being</w:t>
      </w:r>
      <w:proofErr w:type="gramEnd"/>
      <w:r w:rsidRPr="00BE3BCE">
        <w:rPr>
          <w:rFonts w:ascii="Arial" w:hAnsi="Arial" w:cs="Arial"/>
          <w:sz w:val="24"/>
          <w:szCs w:val="24"/>
        </w:rPr>
        <w:t xml:space="preserve"> and quality of life of aged care consumers; promote confidence and trust in the provision of aged care and promote engagement with consumers about the quality of care and services.</w:t>
      </w:r>
    </w:p>
    <w:p w14:paraId="367AB015" w14:textId="1BC16293" w:rsidR="00E92F6C" w:rsidRPr="00BE3BCE" w:rsidRDefault="00E92F6C" w:rsidP="00E92F6C">
      <w:pPr>
        <w:tabs>
          <w:tab w:val="right" w:leader="dot" w:pos="9016"/>
        </w:tabs>
        <w:spacing w:after="100" w:line="240" w:lineRule="auto"/>
        <w:rPr>
          <w:rFonts w:ascii="Arial" w:hAnsi="Arial" w:cs="Arial"/>
          <w:sz w:val="24"/>
          <w:szCs w:val="24"/>
        </w:rPr>
      </w:pPr>
      <w:r w:rsidRPr="00BE3BCE">
        <w:rPr>
          <w:rFonts w:ascii="Arial" w:hAnsi="Arial" w:cs="Arial"/>
          <w:sz w:val="24"/>
          <w:szCs w:val="24"/>
        </w:rPr>
        <w:lastRenderedPageBreak/>
        <w:t>The Commission’s vision is that</w:t>
      </w:r>
      <w:r w:rsidR="00FE585F">
        <w:rPr>
          <w:rFonts w:ascii="Arial" w:hAnsi="Arial" w:cs="Arial"/>
          <w:sz w:val="24"/>
          <w:szCs w:val="24"/>
        </w:rPr>
        <w:t>:</w:t>
      </w:r>
    </w:p>
    <w:p w14:paraId="1BC1E129" w14:textId="48A556A2" w:rsidR="00E92F6C" w:rsidRPr="00B35BA3" w:rsidRDefault="00E92F6C" w:rsidP="00E92F6C">
      <w:pPr>
        <w:tabs>
          <w:tab w:val="right" w:leader="dot" w:pos="9016"/>
        </w:tabs>
        <w:spacing w:after="100" w:line="240" w:lineRule="auto"/>
        <w:ind w:left="720"/>
        <w:rPr>
          <w:rFonts w:ascii="Arial" w:hAnsi="Arial" w:cs="Arial"/>
          <w:sz w:val="24"/>
          <w:szCs w:val="24"/>
        </w:rPr>
      </w:pPr>
      <w:r w:rsidRPr="00B35BA3">
        <w:rPr>
          <w:rFonts w:ascii="Arial" w:hAnsi="Arial" w:cs="Arial"/>
          <w:sz w:val="24"/>
          <w:szCs w:val="24"/>
        </w:rPr>
        <w:t>“</w:t>
      </w:r>
      <w:r w:rsidR="00C30229">
        <w:rPr>
          <w:rFonts w:ascii="Arial" w:hAnsi="Arial" w:cs="Arial"/>
          <w:sz w:val="24"/>
          <w:szCs w:val="24"/>
        </w:rPr>
        <w:t xml:space="preserve">… </w:t>
      </w:r>
      <w:r w:rsidRPr="00B35BA3">
        <w:rPr>
          <w:rFonts w:ascii="Arial" w:hAnsi="Arial" w:cs="Arial"/>
          <w:i/>
          <w:iCs/>
          <w:sz w:val="24"/>
          <w:szCs w:val="24"/>
        </w:rPr>
        <w:t xml:space="preserve">older Australians trust and have confidence that aged care services protect and enhance their safety, health, </w:t>
      </w:r>
      <w:proofErr w:type="gramStart"/>
      <w:r w:rsidRPr="00B35BA3">
        <w:rPr>
          <w:rFonts w:ascii="Arial" w:hAnsi="Arial" w:cs="Arial"/>
          <w:i/>
          <w:iCs/>
          <w:sz w:val="24"/>
          <w:szCs w:val="24"/>
        </w:rPr>
        <w:t>well-being</w:t>
      </w:r>
      <w:proofErr w:type="gramEnd"/>
      <w:r w:rsidRPr="00B35BA3">
        <w:rPr>
          <w:rFonts w:ascii="Arial" w:hAnsi="Arial" w:cs="Arial"/>
          <w:i/>
          <w:iCs/>
          <w:sz w:val="24"/>
          <w:szCs w:val="24"/>
        </w:rPr>
        <w:t xml:space="preserve"> and quality of life”</w:t>
      </w:r>
      <w:r w:rsidRPr="00B35BA3">
        <w:rPr>
          <w:rFonts w:ascii="Arial" w:hAnsi="Arial" w:cs="Arial"/>
          <w:sz w:val="24"/>
          <w:szCs w:val="24"/>
        </w:rPr>
        <w:t>.</w:t>
      </w:r>
      <w:r w:rsidR="009E53EE" w:rsidRPr="00B35BA3">
        <w:rPr>
          <w:rFonts w:ascii="Arial" w:hAnsi="Arial" w:cs="Arial"/>
          <w:sz w:val="24"/>
          <w:szCs w:val="24"/>
          <w:vertAlign w:val="superscript"/>
        </w:rPr>
        <w:footnoteReference w:id="5"/>
      </w:r>
    </w:p>
    <w:p w14:paraId="223BB885" w14:textId="58D1CFC1" w:rsidR="00E92F6C" w:rsidRPr="00BE3BCE" w:rsidRDefault="00E92F6C" w:rsidP="00E92F6C">
      <w:pPr>
        <w:tabs>
          <w:tab w:val="right" w:leader="dot" w:pos="9016"/>
        </w:tabs>
        <w:spacing w:before="240" w:after="120" w:line="240" w:lineRule="auto"/>
        <w:rPr>
          <w:rFonts w:ascii="Arial" w:hAnsi="Arial" w:cs="Arial"/>
          <w:b/>
          <w:bCs/>
          <w:sz w:val="28"/>
          <w:szCs w:val="28"/>
        </w:rPr>
      </w:pPr>
      <w:r w:rsidRPr="00BE3BCE">
        <w:rPr>
          <w:rFonts w:ascii="Arial" w:hAnsi="Arial" w:cs="Arial"/>
          <w:b/>
          <w:bCs/>
          <w:sz w:val="28"/>
          <w:szCs w:val="28"/>
        </w:rPr>
        <w:t>3.</w:t>
      </w:r>
      <w:r>
        <w:rPr>
          <w:rFonts w:ascii="Arial" w:hAnsi="Arial" w:cs="Arial"/>
          <w:b/>
          <w:bCs/>
          <w:sz w:val="28"/>
          <w:szCs w:val="28"/>
        </w:rPr>
        <w:t>3</w:t>
      </w:r>
      <w:r w:rsidRPr="00BE3BCE">
        <w:rPr>
          <w:rFonts w:ascii="Arial" w:hAnsi="Arial" w:cs="Arial"/>
          <w:b/>
          <w:bCs/>
          <w:sz w:val="28"/>
          <w:szCs w:val="28"/>
        </w:rPr>
        <w:t xml:space="preserve"> Legislative framework </w:t>
      </w:r>
    </w:p>
    <w:p w14:paraId="682296B6" w14:textId="3F8A1446" w:rsidR="00E92F6C" w:rsidRPr="00BE3BCE" w:rsidRDefault="00E92F6C" w:rsidP="00E92F6C">
      <w:pPr>
        <w:shd w:val="clear" w:color="auto" w:fill="FFFFFF"/>
        <w:spacing w:before="120" w:after="120" w:line="240" w:lineRule="auto"/>
        <w:rPr>
          <w:rFonts w:ascii="Arial" w:hAnsi="Arial" w:cs="Arial"/>
          <w:sz w:val="24"/>
          <w:szCs w:val="24"/>
        </w:rPr>
      </w:pPr>
      <w:r w:rsidRPr="00BE3BCE">
        <w:rPr>
          <w:rFonts w:ascii="Arial" w:hAnsi="Arial" w:cs="Arial"/>
          <w:sz w:val="24"/>
          <w:szCs w:val="24"/>
        </w:rPr>
        <w:t xml:space="preserve">The Commission works within a complex legislative framework, </w:t>
      </w:r>
      <w:r w:rsidR="00155CBF">
        <w:rPr>
          <w:rFonts w:ascii="Arial" w:hAnsi="Arial" w:cs="Arial"/>
          <w:sz w:val="24"/>
          <w:szCs w:val="24"/>
        </w:rPr>
        <w:t>including</w:t>
      </w:r>
      <w:r w:rsidRPr="00BE3BCE">
        <w:rPr>
          <w:rFonts w:ascii="Arial" w:hAnsi="Arial" w:cs="Arial"/>
          <w:sz w:val="24"/>
          <w:szCs w:val="24"/>
        </w:rPr>
        <w:t xml:space="preserve"> the </w:t>
      </w:r>
      <w:r w:rsidRPr="00BE3BCE">
        <w:rPr>
          <w:rFonts w:ascii="Arial" w:hAnsi="Arial" w:cs="Arial"/>
          <w:i/>
          <w:iCs/>
          <w:sz w:val="24"/>
          <w:szCs w:val="24"/>
        </w:rPr>
        <w:t xml:space="preserve">Aged Care Quality and Safety Commission Act 2018 </w:t>
      </w:r>
      <w:r w:rsidRPr="00BE3BCE">
        <w:rPr>
          <w:rFonts w:ascii="Arial" w:hAnsi="Arial" w:cs="Arial"/>
          <w:sz w:val="24"/>
          <w:szCs w:val="24"/>
        </w:rPr>
        <w:t>(the Commission Act), the Aged Care Quality and Safety Commission Rules 2018 (the Commission Rules), t</w:t>
      </w:r>
      <w:r w:rsidRPr="00BE3BCE">
        <w:rPr>
          <w:rFonts w:ascii="Arial" w:eastAsia="Times New Roman" w:hAnsi="Arial" w:cs="Arial"/>
          <w:color w:val="313131"/>
          <w:sz w:val="24"/>
          <w:szCs w:val="24"/>
          <w:lang w:eastAsia="en-AU"/>
        </w:rPr>
        <w:t xml:space="preserve">he </w:t>
      </w:r>
      <w:r w:rsidRPr="00BE3BCE">
        <w:rPr>
          <w:rFonts w:ascii="Arial" w:hAnsi="Arial" w:cs="Arial"/>
          <w:i/>
          <w:iCs/>
          <w:sz w:val="24"/>
          <w:szCs w:val="24"/>
        </w:rPr>
        <w:t>Aged Care Act 1997 </w:t>
      </w:r>
      <w:r w:rsidRPr="00BE3BCE">
        <w:rPr>
          <w:rFonts w:ascii="Arial" w:hAnsi="Arial" w:cs="Arial"/>
          <w:sz w:val="24"/>
          <w:szCs w:val="24"/>
        </w:rPr>
        <w:t>(the</w:t>
      </w:r>
      <w:r w:rsidRPr="00BE3BCE">
        <w:rPr>
          <w:rFonts w:ascii="Arial" w:eastAsia="Times New Roman" w:hAnsi="Arial" w:cs="Arial"/>
          <w:color w:val="313131"/>
          <w:sz w:val="24"/>
          <w:szCs w:val="24"/>
          <w:lang w:eastAsia="en-AU"/>
        </w:rPr>
        <w:t xml:space="preserve"> </w:t>
      </w:r>
      <w:r w:rsidRPr="00BE3BCE">
        <w:rPr>
          <w:rFonts w:ascii="Arial" w:hAnsi="Arial" w:cs="Arial"/>
          <w:sz w:val="24"/>
          <w:szCs w:val="24"/>
        </w:rPr>
        <w:t xml:space="preserve">Aged Care Act) and </w:t>
      </w:r>
      <w:r w:rsidR="00155CBF">
        <w:rPr>
          <w:rFonts w:ascii="Arial" w:hAnsi="Arial" w:cs="Arial"/>
          <w:sz w:val="24"/>
          <w:szCs w:val="24"/>
        </w:rPr>
        <w:t>various subordinate legislation</w:t>
      </w:r>
      <w:r w:rsidRPr="00BE3BCE">
        <w:rPr>
          <w:rFonts w:ascii="Arial" w:hAnsi="Arial" w:cs="Arial"/>
          <w:sz w:val="24"/>
          <w:szCs w:val="24"/>
        </w:rPr>
        <w:t xml:space="preserve">. </w:t>
      </w:r>
    </w:p>
    <w:p w14:paraId="11FCC080" w14:textId="2F3898A6" w:rsidR="00E92F6C" w:rsidRPr="00BE3BCE" w:rsidRDefault="00E92F6C" w:rsidP="00E92F6C">
      <w:pPr>
        <w:shd w:val="clear" w:color="auto" w:fill="FFFFFF"/>
        <w:spacing w:before="120" w:after="120" w:line="240" w:lineRule="auto"/>
        <w:rPr>
          <w:rFonts w:ascii="Arial" w:hAnsi="Arial" w:cs="Arial"/>
          <w:sz w:val="24"/>
          <w:szCs w:val="24"/>
        </w:rPr>
      </w:pPr>
      <w:r w:rsidRPr="00BE3BCE">
        <w:rPr>
          <w:rFonts w:ascii="Arial" w:hAnsi="Arial" w:cs="Arial"/>
          <w:sz w:val="24"/>
          <w:szCs w:val="24"/>
        </w:rPr>
        <w:t xml:space="preserve">The Commission Act sets out the Commission’s functions and powers, while the Commission Rules </w:t>
      </w:r>
      <w:r w:rsidR="00155CBF">
        <w:rPr>
          <w:rFonts w:ascii="Arial" w:hAnsi="Arial" w:cs="Arial"/>
          <w:sz w:val="24"/>
          <w:szCs w:val="24"/>
        </w:rPr>
        <w:t>provide further details on the legal framework in which the Commission operates, including</w:t>
      </w:r>
      <w:r w:rsidRPr="00BE3BCE">
        <w:rPr>
          <w:rFonts w:ascii="Arial" w:hAnsi="Arial" w:cs="Arial"/>
          <w:sz w:val="24"/>
          <w:szCs w:val="24"/>
        </w:rPr>
        <w:t xml:space="preserve"> the processes which support the Commission to undertake its functions and exercise its powers.</w:t>
      </w:r>
    </w:p>
    <w:p w14:paraId="2871B60F" w14:textId="41E969CB" w:rsidR="00E92F6C" w:rsidRDefault="00E92F6C" w:rsidP="00E92F6C">
      <w:pPr>
        <w:shd w:val="clear" w:color="auto" w:fill="FFFFFF"/>
        <w:spacing w:before="120" w:after="120" w:line="240" w:lineRule="auto"/>
        <w:rPr>
          <w:rFonts w:ascii="Arial" w:eastAsia="Times New Roman" w:hAnsi="Arial" w:cs="Arial"/>
          <w:color w:val="313131"/>
          <w:sz w:val="24"/>
          <w:szCs w:val="24"/>
          <w:lang w:eastAsia="en-AU"/>
        </w:rPr>
      </w:pPr>
      <w:r w:rsidRPr="00BE3BCE">
        <w:rPr>
          <w:rFonts w:ascii="Arial" w:eastAsia="Times New Roman" w:hAnsi="Arial" w:cs="Arial"/>
          <w:color w:val="313131"/>
          <w:sz w:val="24"/>
          <w:szCs w:val="24"/>
          <w:lang w:eastAsia="en-AU"/>
        </w:rPr>
        <w:t xml:space="preserve">The </w:t>
      </w:r>
      <w:r w:rsidRPr="00BE3BCE">
        <w:rPr>
          <w:rFonts w:ascii="Arial" w:hAnsi="Arial" w:cs="Arial"/>
          <w:sz w:val="24"/>
          <w:szCs w:val="24"/>
        </w:rPr>
        <w:t xml:space="preserve">Aged Care Act is the overarching </w:t>
      </w:r>
      <w:r w:rsidR="00155CBF">
        <w:rPr>
          <w:rFonts w:ascii="Arial" w:hAnsi="Arial" w:cs="Arial"/>
          <w:sz w:val="24"/>
          <w:szCs w:val="24"/>
        </w:rPr>
        <w:t xml:space="preserve">primary </w:t>
      </w:r>
      <w:r w:rsidRPr="00BE3BCE">
        <w:rPr>
          <w:rFonts w:ascii="Arial" w:hAnsi="Arial" w:cs="Arial"/>
          <w:sz w:val="24"/>
          <w:szCs w:val="24"/>
        </w:rPr>
        <w:t xml:space="preserve">legislation that outlines the obligations and responsibilities </w:t>
      </w:r>
      <w:r w:rsidR="00155CBF">
        <w:rPr>
          <w:rFonts w:ascii="Arial" w:hAnsi="Arial" w:cs="Arial"/>
          <w:sz w:val="24"/>
          <w:szCs w:val="24"/>
        </w:rPr>
        <w:t xml:space="preserve">of approved </w:t>
      </w:r>
      <w:r w:rsidRPr="00BE3BCE">
        <w:rPr>
          <w:rFonts w:ascii="Arial" w:hAnsi="Arial" w:cs="Arial"/>
          <w:sz w:val="24"/>
          <w:szCs w:val="24"/>
        </w:rPr>
        <w:t>aged</w:t>
      </w:r>
      <w:r w:rsidRPr="00BE3BCE">
        <w:rPr>
          <w:rFonts w:ascii="Arial" w:eastAsia="Times New Roman" w:hAnsi="Arial" w:cs="Arial"/>
          <w:color w:val="313131"/>
          <w:sz w:val="24"/>
          <w:szCs w:val="24"/>
          <w:lang w:eastAsia="en-AU"/>
        </w:rPr>
        <w:t xml:space="preserve"> care providers. </w:t>
      </w:r>
      <w:proofErr w:type="gramStart"/>
      <w:r w:rsidR="00155CBF">
        <w:rPr>
          <w:rFonts w:ascii="Arial" w:eastAsia="Times New Roman" w:hAnsi="Arial" w:cs="Arial"/>
          <w:color w:val="313131"/>
          <w:sz w:val="24"/>
          <w:szCs w:val="24"/>
          <w:lang w:eastAsia="en-AU"/>
        </w:rPr>
        <w:t>In particular, Chapter</w:t>
      </w:r>
      <w:proofErr w:type="gramEnd"/>
      <w:r w:rsidR="00155CBF">
        <w:rPr>
          <w:rFonts w:ascii="Arial" w:eastAsia="Times New Roman" w:hAnsi="Arial" w:cs="Arial"/>
          <w:color w:val="313131"/>
          <w:sz w:val="24"/>
          <w:szCs w:val="24"/>
          <w:lang w:eastAsia="en-AU"/>
        </w:rPr>
        <w:t xml:space="preserve"> 4 </w:t>
      </w:r>
      <w:r w:rsidR="00D66AD4">
        <w:rPr>
          <w:rFonts w:ascii="Arial" w:eastAsia="Times New Roman" w:hAnsi="Arial" w:cs="Arial"/>
          <w:color w:val="313131"/>
          <w:sz w:val="24"/>
          <w:szCs w:val="24"/>
          <w:lang w:eastAsia="en-AU"/>
        </w:rPr>
        <w:t xml:space="preserve">of the Act </w:t>
      </w:r>
      <w:r w:rsidR="00155CBF">
        <w:rPr>
          <w:rFonts w:ascii="Arial" w:eastAsia="Times New Roman" w:hAnsi="Arial" w:cs="Arial"/>
          <w:color w:val="313131"/>
          <w:sz w:val="24"/>
          <w:szCs w:val="24"/>
          <w:lang w:eastAsia="en-AU"/>
        </w:rPr>
        <w:t xml:space="preserve">sets out responsibilities of approved providers relating to the quality of care they provide, user rights for people to whom care is provided and accountability for the care that is provided and suitability of key personnel. </w:t>
      </w:r>
      <w:r w:rsidR="00D66AD4">
        <w:rPr>
          <w:rFonts w:ascii="Arial" w:eastAsia="Times New Roman" w:hAnsi="Arial" w:cs="Arial"/>
          <w:color w:val="313131"/>
          <w:sz w:val="24"/>
          <w:szCs w:val="24"/>
          <w:lang w:eastAsia="en-AU"/>
        </w:rPr>
        <w:t>The Act</w:t>
      </w:r>
      <w:r w:rsidRPr="00BE3BCE">
        <w:rPr>
          <w:rFonts w:ascii="Arial" w:eastAsia="Times New Roman" w:hAnsi="Arial" w:cs="Arial"/>
          <w:color w:val="313131"/>
          <w:sz w:val="24"/>
          <w:szCs w:val="24"/>
          <w:lang w:eastAsia="en-AU"/>
        </w:rPr>
        <w:t xml:space="preserve"> is supported by a large body of subordinate legislation. </w:t>
      </w:r>
      <w:r w:rsidRPr="00BE3BCE">
        <w:rPr>
          <w:rFonts w:ascii="Arial" w:hAnsi="Arial" w:cs="Arial"/>
          <w:sz w:val="24"/>
          <w:szCs w:val="24"/>
        </w:rPr>
        <w:t>Responsibilities relating to Commission functions are included in six sets of principles (</w:t>
      </w:r>
      <w:r w:rsidR="00155CBF">
        <w:rPr>
          <w:rFonts w:ascii="Arial" w:hAnsi="Arial" w:cs="Arial"/>
          <w:sz w:val="24"/>
          <w:szCs w:val="24"/>
        </w:rPr>
        <w:t>Accountability Principles 2014</w:t>
      </w:r>
      <w:r w:rsidR="00D66AD4">
        <w:rPr>
          <w:rFonts w:ascii="Arial" w:hAnsi="Arial" w:cs="Arial"/>
          <w:sz w:val="24"/>
          <w:szCs w:val="24"/>
        </w:rPr>
        <w:t>;</w:t>
      </w:r>
      <w:r w:rsidR="00155CBF">
        <w:rPr>
          <w:rFonts w:ascii="Arial" w:hAnsi="Arial" w:cs="Arial"/>
          <w:sz w:val="24"/>
          <w:szCs w:val="24"/>
        </w:rPr>
        <w:t xml:space="preserve"> </w:t>
      </w:r>
      <w:r w:rsidRPr="00BE3BCE">
        <w:rPr>
          <w:rFonts w:ascii="Arial" w:hAnsi="Arial" w:cs="Arial"/>
          <w:sz w:val="24"/>
          <w:szCs w:val="24"/>
        </w:rPr>
        <w:t>Information Principles 2014; Quality of Care Principles 2014 (including the Accreditation Standards); Records Principles 2014; Sanctions Principles 2014; User Rights Principles 2014).</w:t>
      </w:r>
      <w:r w:rsidR="009E53EE" w:rsidRPr="00BE3BCE">
        <w:rPr>
          <w:rFonts w:ascii="Arial" w:eastAsia="Times New Roman" w:hAnsi="Arial" w:cs="Arial"/>
          <w:color w:val="313131"/>
          <w:sz w:val="24"/>
          <w:szCs w:val="24"/>
          <w:vertAlign w:val="superscript"/>
          <w:lang w:eastAsia="en-AU"/>
        </w:rPr>
        <w:footnoteReference w:id="6"/>
      </w:r>
    </w:p>
    <w:p w14:paraId="2D6222D6" w14:textId="41B72877" w:rsidR="00E92F6C" w:rsidRPr="00BE3BCE" w:rsidRDefault="00E92F6C" w:rsidP="00E92F6C">
      <w:pPr>
        <w:spacing w:before="240" w:after="120" w:line="240" w:lineRule="auto"/>
        <w:rPr>
          <w:rFonts w:ascii="Arial" w:hAnsi="Arial" w:cs="Arial"/>
          <w:b/>
          <w:bCs/>
          <w:sz w:val="28"/>
          <w:szCs w:val="28"/>
        </w:rPr>
      </w:pPr>
      <w:r w:rsidRPr="00BE3BCE">
        <w:rPr>
          <w:rFonts w:ascii="Arial" w:hAnsi="Arial" w:cs="Arial"/>
          <w:b/>
          <w:bCs/>
          <w:sz w:val="28"/>
          <w:szCs w:val="28"/>
        </w:rPr>
        <w:t>3.</w:t>
      </w:r>
      <w:r>
        <w:rPr>
          <w:rFonts w:ascii="Arial" w:hAnsi="Arial" w:cs="Arial"/>
          <w:b/>
          <w:bCs/>
          <w:sz w:val="28"/>
          <w:szCs w:val="28"/>
        </w:rPr>
        <w:t>4</w:t>
      </w:r>
      <w:r w:rsidRPr="00BE3BCE">
        <w:rPr>
          <w:rFonts w:ascii="Arial" w:hAnsi="Arial" w:cs="Arial"/>
          <w:b/>
          <w:bCs/>
          <w:sz w:val="28"/>
          <w:szCs w:val="28"/>
        </w:rPr>
        <w:t xml:space="preserve"> Powers</w:t>
      </w:r>
    </w:p>
    <w:p w14:paraId="4971E4C2" w14:textId="1984FC95" w:rsidR="00E92F6C" w:rsidRPr="00A7521C" w:rsidRDefault="00E92F6C" w:rsidP="00A7521C">
      <w:pPr>
        <w:spacing w:before="120" w:after="120" w:line="240" w:lineRule="auto"/>
        <w:rPr>
          <w:rFonts w:ascii="Arial" w:eastAsia="Times New Roman" w:hAnsi="Arial" w:cs="Arial"/>
          <w:sz w:val="24"/>
          <w:szCs w:val="24"/>
          <w:lang w:eastAsia="en-AU"/>
        </w:rPr>
      </w:pPr>
      <w:r w:rsidRPr="00BE3BCE">
        <w:rPr>
          <w:rFonts w:ascii="Arial" w:eastAsia="Times New Roman" w:hAnsi="Arial" w:cs="Arial"/>
          <w:sz w:val="24"/>
          <w:szCs w:val="24"/>
          <w:lang w:eastAsia="en-AU"/>
        </w:rPr>
        <w:t xml:space="preserve">The Commission has a range of </w:t>
      </w:r>
      <w:r w:rsidR="00155CBF">
        <w:rPr>
          <w:rFonts w:ascii="Arial" w:eastAsia="Times New Roman" w:hAnsi="Arial" w:cs="Arial"/>
          <w:sz w:val="24"/>
          <w:szCs w:val="24"/>
          <w:lang w:eastAsia="en-AU"/>
        </w:rPr>
        <w:t xml:space="preserve">regulatory and enforcement </w:t>
      </w:r>
      <w:r w:rsidRPr="00BE3BCE">
        <w:rPr>
          <w:rFonts w:ascii="Arial" w:eastAsia="Times New Roman" w:hAnsi="Arial" w:cs="Arial"/>
          <w:sz w:val="24"/>
          <w:szCs w:val="24"/>
          <w:lang w:eastAsia="en-AU"/>
        </w:rPr>
        <w:t xml:space="preserve">powers under the Commission Act and </w:t>
      </w:r>
      <w:r w:rsidR="00155CBF">
        <w:rPr>
          <w:rFonts w:ascii="Arial" w:eastAsia="Times New Roman" w:hAnsi="Arial" w:cs="Arial"/>
          <w:sz w:val="24"/>
          <w:szCs w:val="24"/>
          <w:lang w:eastAsia="en-AU"/>
        </w:rPr>
        <w:t xml:space="preserve">the </w:t>
      </w:r>
      <w:r w:rsidRPr="00BE3BCE">
        <w:rPr>
          <w:rFonts w:ascii="Arial" w:eastAsia="Times New Roman" w:hAnsi="Arial" w:cs="Arial"/>
          <w:sz w:val="24"/>
          <w:szCs w:val="24"/>
          <w:lang w:eastAsia="en-AU"/>
        </w:rPr>
        <w:t>Aged Care Act</w:t>
      </w:r>
      <w:r w:rsidR="00155CBF">
        <w:rPr>
          <w:rFonts w:ascii="Arial" w:eastAsia="Times New Roman" w:hAnsi="Arial" w:cs="Arial"/>
          <w:sz w:val="24"/>
          <w:szCs w:val="24"/>
          <w:lang w:eastAsia="en-AU"/>
        </w:rPr>
        <w:t xml:space="preserve">, which trigger the use of </w:t>
      </w:r>
      <w:proofErr w:type="gramStart"/>
      <w:r w:rsidR="00155CBF">
        <w:rPr>
          <w:rFonts w:ascii="Arial" w:eastAsia="Times New Roman" w:hAnsi="Arial" w:cs="Arial"/>
          <w:sz w:val="24"/>
          <w:szCs w:val="24"/>
          <w:lang w:eastAsia="en-AU"/>
        </w:rPr>
        <w:t>particular enforcement</w:t>
      </w:r>
      <w:proofErr w:type="gramEnd"/>
      <w:r w:rsidR="00155CBF">
        <w:rPr>
          <w:rFonts w:ascii="Arial" w:eastAsia="Times New Roman" w:hAnsi="Arial" w:cs="Arial"/>
          <w:sz w:val="24"/>
          <w:szCs w:val="24"/>
          <w:lang w:eastAsia="en-AU"/>
        </w:rPr>
        <w:t xml:space="preserve"> powers outlined in the </w:t>
      </w:r>
      <w:r w:rsidR="00155CBF" w:rsidRPr="00155CBF">
        <w:rPr>
          <w:rFonts w:ascii="Arial" w:eastAsia="Times New Roman" w:hAnsi="Arial" w:cs="Arial"/>
          <w:i/>
          <w:iCs/>
          <w:sz w:val="24"/>
          <w:szCs w:val="24"/>
          <w:lang w:eastAsia="en-AU"/>
        </w:rPr>
        <w:t>Regulatory Powers (Standard Provisions) Act 2014</w:t>
      </w:r>
      <w:r w:rsidR="00155CBF">
        <w:rPr>
          <w:rFonts w:ascii="Arial" w:eastAsia="Times New Roman" w:hAnsi="Arial" w:cs="Arial"/>
          <w:sz w:val="24"/>
          <w:szCs w:val="24"/>
          <w:lang w:eastAsia="en-AU"/>
        </w:rPr>
        <w:t xml:space="preserve"> in relation to certain obligations</w:t>
      </w:r>
      <w:r w:rsidRPr="00BE3BCE">
        <w:rPr>
          <w:rFonts w:ascii="Arial" w:eastAsia="Times New Roman" w:hAnsi="Arial" w:cs="Arial"/>
          <w:sz w:val="24"/>
          <w:szCs w:val="24"/>
          <w:lang w:eastAsia="en-AU"/>
        </w:rPr>
        <w:t>. They include</w:t>
      </w:r>
      <w:r w:rsidR="00A7521C">
        <w:rPr>
          <w:rFonts w:ascii="Arial" w:eastAsia="Times New Roman" w:hAnsi="Arial" w:cs="Arial"/>
          <w:sz w:val="24"/>
          <w:szCs w:val="24"/>
          <w:lang w:eastAsia="en-AU"/>
        </w:rPr>
        <w:t xml:space="preserve"> monitoring powers, investigation powers, civil penalties, infringement notices, enforceable undertakings, </w:t>
      </w:r>
      <w:r w:rsidR="00155CBF">
        <w:rPr>
          <w:rFonts w:ascii="Arial" w:eastAsia="Times New Roman" w:hAnsi="Arial" w:cs="Arial"/>
          <w:sz w:val="24"/>
          <w:szCs w:val="24"/>
          <w:lang w:eastAsia="en-AU"/>
        </w:rPr>
        <w:t xml:space="preserve">and </w:t>
      </w:r>
      <w:r w:rsidR="00A7521C">
        <w:rPr>
          <w:rFonts w:ascii="Arial" w:eastAsia="Times New Roman" w:hAnsi="Arial" w:cs="Arial"/>
          <w:sz w:val="24"/>
          <w:szCs w:val="24"/>
          <w:lang w:eastAsia="en-AU"/>
        </w:rPr>
        <w:t>injunctions.</w:t>
      </w:r>
      <w:r w:rsidR="009E53EE" w:rsidRPr="00BE3BCE">
        <w:rPr>
          <w:rFonts w:ascii="Arial" w:hAnsi="Arial" w:cs="Arial"/>
          <w:sz w:val="24"/>
          <w:szCs w:val="24"/>
          <w:vertAlign w:val="superscript"/>
        </w:rPr>
        <w:footnoteReference w:id="7"/>
      </w:r>
    </w:p>
    <w:p w14:paraId="77E798F7" w14:textId="2D76F459" w:rsidR="00E92F6C" w:rsidRPr="00BE3BCE" w:rsidRDefault="00E92F6C" w:rsidP="00E92F6C">
      <w:pPr>
        <w:tabs>
          <w:tab w:val="right" w:leader="dot" w:pos="9016"/>
        </w:tabs>
        <w:spacing w:before="240" w:after="120" w:line="240" w:lineRule="auto"/>
        <w:rPr>
          <w:rFonts w:ascii="Arial" w:hAnsi="Arial" w:cs="Arial"/>
          <w:b/>
          <w:bCs/>
          <w:sz w:val="28"/>
          <w:szCs w:val="28"/>
        </w:rPr>
      </w:pPr>
      <w:r w:rsidRPr="00BE3BCE">
        <w:rPr>
          <w:rFonts w:ascii="Arial" w:hAnsi="Arial" w:cs="Arial"/>
          <w:b/>
          <w:bCs/>
          <w:sz w:val="28"/>
          <w:szCs w:val="28"/>
        </w:rPr>
        <w:t>3.</w:t>
      </w:r>
      <w:r>
        <w:rPr>
          <w:rFonts w:ascii="Arial" w:hAnsi="Arial" w:cs="Arial"/>
          <w:b/>
          <w:bCs/>
          <w:sz w:val="28"/>
          <w:szCs w:val="28"/>
        </w:rPr>
        <w:t>5</w:t>
      </w:r>
      <w:r w:rsidRPr="00BE3BCE">
        <w:rPr>
          <w:rFonts w:ascii="Arial" w:hAnsi="Arial" w:cs="Arial"/>
          <w:b/>
          <w:bCs/>
          <w:sz w:val="28"/>
          <w:szCs w:val="28"/>
        </w:rPr>
        <w:t xml:space="preserve"> Role and functions</w:t>
      </w:r>
    </w:p>
    <w:p w14:paraId="0AE428FB" w14:textId="77777777" w:rsidR="00E92F6C" w:rsidRPr="00BE3BCE" w:rsidRDefault="00E92F6C" w:rsidP="000F56E2">
      <w:pPr>
        <w:tabs>
          <w:tab w:val="right" w:leader="dot" w:pos="9016"/>
        </w:tabs>
        <w:spacing w:before="120" w:after="120" w:line="240" w:lineRule="auto"/>
        <w:contextualSpacing/>
        <w:rPr>
          <w:rFonts w:ascii="Arial" w:hAnsi="Arial" w:cs="Arial"/>
          <w:sz w:val="24"/>
          <w:szCs w:val="24"/>
        </w:rPr>
      </w:pPr>
      <w:r w:rsidRPr="00BE3BCE">
        <w:rPr>
          <w:rFonts w:ascii="Arial" w:hAnsi="Arial" w:cs="Arial"/>
          <w:sz w:val="24"/>
          <w:szCs w:val="24"/>
        </w:rPr>
        <w:t>The Commission is the national regulator for Australian Government subsidised aged care, with oversight of:</w:t>
      </w:r>
    </w:p>
    <w:p w14:paraId="6E04D25D" w14:textId="77777777" w:rsidR="00E92F6C" w:rsidRPr="00BE3BCE" w:rsidRDefault="00E92F6C" w:rsidP="001750D5">
      <w:pPr>
        <w:numPr>
          <w:ilvl w:val="0"/>
          <w:numId w:val="13"/>
        </w:numPr>
        <w:tabs>
          <w:tab w:val="right" w:leader="dot" w:pos="9016"/>
        </w:tabs>
        <w:spacing w:before="120" w:after="120" w:line="240" w:lineRule="auto"/>
        <w:rPr>
          <w:rFonts w:ascii="Arial" w:hAnsi="Arial" w:cs="Arial"/>
          <w:sz w:val="24"/>
          <w:szCs w:val="24"/>
        </w:rPr>
      </w:pPr>
      <w:r w:rsidRPr="00BE3BCE">
        <w:rPr>
          <w:rFonts w:ascii="Arial" w:hAnsi="Arial" w:cs="Arial"/>
          <w:sz w:val="24"/>
          <w:szCs w:val="24"/>
        </w:rPr>
        <w:t>approved providers of residential aged care, home care and flexible care services through which short-term restorative care (STRC) is provided in a residential or home care setting</w:t>
      </w:r>
    </w:p>
    <w:p w14:paraId="4A0727EE" w14:textId="77777777" w:rsidR="00E92F6C" w:rsidRPr="00BE3BCE" w:rsidRDefault="00E92F6C" w:rsidP="001750D5">
      <w:pPr>
        <w:numPr>
          <w:ilvl w:val="0"/>
          <w:numId w:val="13"/>
        </w:numPr>
        <w:tabs>
          <w:tab w:val="right" w:leader="dot" w:pos="9016"/>
        </w:tabs>
        <w:spacing w:before="120" w:after="120" w:line="240" w:lineRule="auto"/>
        <w:rPr>
          <w:rFonts w:ascii="Arial" w:hAnsi="Arial" w:cs="Arial"/>
          <w:sz w:val="24"/>
          <w:szCs w:val="24"/>
        </w:rPr>
      </w:pPr>
      <w:r w:rsidRPr="00BE3BCE">
        <w:rPr>
          <w:rFonts w:ascii="Arial" w:hAnsi="Arial" w:cs="Arial"/>
          <w:sz w:val="24"/>
          <w:szCs w:val="24"/>
        </w:rPr>
        <w:t>providers of Australian Government-funded aged care services, including the National Aboriginal and Torres Strait Islander Flexible Aged Care Program (NATSIFAC) and Commonwealth Home Support Program (CHSP), and</w:t>
      </w:r>
    </w:p>
    <w:p w14:paraId="0F93AFE7" w14:textId="448780D4" w:rsidR="00E92F6C" w:rsidRPr="00BE3BCE" w:rsidRDefault="00E92F6C" w:rsidP="001750D5">
      <w:pPr>
        <w:numPr>
          <w:ilvl w:val="0"/>
          <w:numId w:val="13"/>
        </w:numPr>
        <w:tabs>
          <w:tab w:val="right" w:leader="dot" w:pos="9016"/>
        </w:tabs>
        <w:spacing w:before="120" w:after="120" w:line="240" w:lineRule="auto"/>
        <w:rPr>
          <w:rFonts w:ascii="Arial" w:hAnsi="Arial" w:cs="Arial"/>
          <w:sz w:val="24"/>
          <w:szCs w:val="24"/>
        </w:rPr>
      </w:pPr>
      <w:r w:rsidRPr="00BE3BCE">
        <w:rPr>
          <w:rFonts w:ascii="Arial" w:hAnsi="Arial" w:cs="Arial"/>
          <w:sz w:val="24"/>
          <w:szCs w:val="24"/>
        </w:rPr>
        <w:lastRenderedPageBreak/>
        <w:t>providers under the Transition Care, Multi-purpose services and Innovative care programs.</w:t>
      </w:r>
      <w:r w:rsidR="009E53EE" w:rsidRPr="00BE3BCE">
        <w:rPr>
          <w:rFonts w:ascii="Arial" w:hAnsi="Arial" w:cs="Arial"/>
          <w:sz w:val="24"/>
          <w:szCs w:val="24"/>
          <w:vertAlign w:val="superscript"/>
        </w:rPr>
        <w:footnoteReference w:id="8"/>
      </w:r>
    </w:p>
    <w:p w14:paraId="2FCFED9C" w14:textId="150DE2A3"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The Commission Act sets out an expansive set of functions</w:t>
      </w:r>
      <w:r w:rsidR="000F56E2">
        <w:rPr>
          <w:rFonts w:ascii="Arial" w:hAnsi="Arial" w:cs="Arial"/>
          <w:sz w:val="24"/>
          <w:szCs w:val="24"/>
        </w:rPr>
        <w:t>, summarised as follows</w:t>
      </w:r>
      <w:r w:rsidRPr="00BE3BCE">
        <w:rPr>
          <w:rFonts w:ascii="Arial" w:hAnsi="Arial" w:cs="Arial"/>
          <w:sz w:val="24"/>
          <w:szCs w:val="24"/>
        </w:rPr>
        <w:t xml:space="preserve">: </w:t>
      </w:r>
    </w:p>
    <w:p w14:paraId="56DB5875" w14:textId="631867F5"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p</w:t>
      </w:r>
      <w:r w:rsidR="00E92F6C" w:rsidRPr="00BE3BCE">
        <w:rPr>
          <w:rFonts w:ascii="Arial" w:hAnsi="Arial" w:cs="Arial"/>
          <w:sz w:val="24"/>
          <w:szCs w:val="24"/>
        </w:rPr>
        <w:t xml:space="preserve">rotect and enhance the safety, health, </w:t>
      </w:r>
      <w:proofErr w:type="gramStart"/>
      <w:r w:rsidR="00E92F6C" w:rsidRPr="00BE3BCE">
        <w:rPr>
          <w:rFonts w:ascii="Arial" w:hAnsi="Arial" w:cs="Arial"/>
          <w:sz w:val="24"/>
          <w:szCs w:val="24"/>
        </w:rPr>
        <w:t>wellbeing</w:t>
      </w:r>
      <w:proofErr w:type="gramEnd"/>
      <w:r w:rsidR="00E92F6C" w:rsidRPr="00BE3BCE">
        <w:rPr>
          <w:rFonts w:ascii="Arial" w:hAnsi="Arial" w:cs="Arial"/>
          <w:sz w:val="24"/>
          <w:szCs w:val="24"/>
        </w:rPr>
        <w:t xml:space="preserve"> and quality of life of aged care consumers</w:t>
      </w:r>
    </w:p>
    <w:p w14:paraId="37DD51BA" w14:textId="18AF0244"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p</w:t>
      </w:r>
      <w:r w:rsidR="00E92F6C" w:rsidRPr="00BE3BCE">
        <w:rPr>
          <w:rFonts w:ascii="Arial" w:hAnsi="Arial" w:cs="Arial"/>
          <w:sz w:val="24"/>
          <w:szCs w:val="24"/>
        </w:rPr>
        <w:t>romote the provision of quality care and services by approved providers of aged care services, and service providers of Australian Government-funded aged care services</w:t>
      </w:r>
    </w:p>
    <w:p w14:paraId="40952283" w14:textId="0D150344"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a</w:t>
      </w:r>
      <w:r w:rsidR="00E92F6C" w:rsidRPr="00BE3BCE">
        <w:rPr>
          <w:rFonts w:ascii="Arial" w:hAnsi="Arial" w:cs="Arial"/>
          <w:sz w:val="24"/>
          <w:szCs w:val="24"/>
        </w:rPr>
        <w:t xml:space="preserve">pprove </w:t>
      </w:r>
      <w:r w:rsidR="00E92F6C">
        <w:rPr>
          <w:rFonts w:ascii="Arial" w:hAnsi="Arial" w:cs="Arial"/>
          <w:sz w:val="24"/>
          <w:szCs w:val="24"/>
        </w:rPr>
        <w:t>pr</w:t>
      </w:r>
      <w:r w:rsidR="00E92F6C" w:rsidRPr="00BE3BCE">
        <w:rPr>
          <w:rFonts w:ascii="Arial" w:hAnsi="Arial" w:cs="Arial"/>
          <w:sz w:val="24"/>
          <w:szCs w:val="24"/>
        </w:rPr>
        <w:t>oviders of aged care</w:t>
      </w:r>
    </w:p>
    <w:p w14:paraId="3459E28B" w14:textId="5E1843B3"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d</w:t>
      </w:r>
      <w:r w:rsidR="00E92F6C" w:rsidRPr="00BE3BCE">
        <w:rPr>
          <w:rFonts w:ascii="Arial" w:hAnsi="Arial" w:cs="Arial"/>
          <w:sz w:val="24"/>
          <w:szCs w:val="24"/>
        </w:rPr>
        <w:t>evelop, in consultation with aged care consumers and their representatives, best practice models for the engagement of providers with their aged care consumers and promoting those models to providers</w:t>
      </w:r>
    </w:p>
    <w:p w14:paraId="7754B7FF" w14:textId="270D0602"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r</w:t>
      </w:r>
      <w:r w:rsidR="00E92F6C" w:rsidRPr="00BE3BCE">
        <w:rPr>
          <w:rFonts w:ascii="Arial" w:hAnsi="Arial" w:cs="Arial"/>
          <w:sz w:val="24"/>
          <w:szCs w:val="24"/>
        </w:rPr>
        <w:t>egulate aged care services according to the Rules by accrediting, conducting quality reviews, monitoring the quality of care and services, and registering quality assessors</w:t>
      </w:r>
    </w:p>
    <w:p w14:paraId="0823B91C" w14:textId="19A1449E"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e</w:t>
      </w:r>
      <w:r w:rsidR="00E92F6C" w:rsidRPr="00BE3BCE">
        <w:rPr>
          <w:rFonts w:ascii="Arial" w:hAnsi="Arial" w:cs="Arial"/>
          <w:sz w:val="24"/>
          <w:szCs w:val="24"/>
        </w:rPr>
        <w:t>nsure compliance by approved providers with their aged care responsibilities</w:t>
      </w:r>
    </w:p>
    <w:p w14:paraId="5D812A3B" w14:textId="632EE568"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d</w:t>
      </w:r>
      <w:r w:rsidR="00E92F6C" w:rsidRPr="00BE3BCE">
        <w:rPr>
          <w:rFonts w:ascii="Arial" w:hAnsi="Arial" w:cs="Arial"/>
          <w:sz w:val="24"/>
          <w:szCs w:val="24"/>
        </w:rPr>
        <w:t>eal with complaints made, or information given to the Commissioner, in accordance with the Rules about an approved provider’s responsibilities under the Aged Care Act or funding agreement</w:t>
      </w:r>
    </w:p>
    <w:p w14:paraId="3F3E0914" w14:textId="1155FB80" w:rsidR="00E92F6C" w:rsidRPr="00BE3BCE"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i</w:t>
      </w:r>
      <w:r w:rsidR="00E92F6C" w:rsidRPr="00BE3BCE">
        <w:rPr>
          <w:rFonts w:ascii="Arial" w:hAnsi="Arial" w:cs="Arial"/>
          <w:sz w:val="24"/>
          <w:szCs w:val="24"/>
        </w:rPr>
        <w:t xml:space="preserve">mpose sanctions on approved providers and lift sanctions, and </w:t>
      </w:r>
    </w:p>
    <w:p w14:paraId="49EF1078" w14:textId="1D660E73" w:rsidR="00E92F6C" w:rsidRDefault="000F56E2" w:rsidP="001750D5">
      <w:pPr>
        <w:numPr>
          <w:ilvl w:val="0"/>
          <w:numId w:val="13"/>
        </w:numPr>
        <w:tabs>
          <w:tab w:val="right" w:leader="dot" w:pos="9016"/>
        </w:tabs>
        <w:spacing w:before="120" w:after="120" w:line="240" w:lineRule="auto"/>
        <w:rPr>
          <w:rFonts w:ascii="Arial" w:hAnsi="Arial" w:cs="Arial"/>
          <w:sz w:val="24"/>
          <w:szCs w:val="24"/>
        </w:rPr>
      </w:pPr>
      <w:r>
        <w:rPr>
          <w:rFonts w:ascii="Arial" w:hAnsi="Arial" w:cs="Arial"/>
          <w:sz w:val="24"/>
          <w:szCs w:val="24"/>
        </w:rPr>
        <w:t>p</w:t>
      </w:r>
      <w:r w:rsidR="00E92F6C" w:rsidRPr="00BE3BCE">
        <w:rPr>
          <w:rFonts w:ascii="Arial" w:hAnsi="Arial" w:cs="Arial"/>
          <w:sz w:val="24"/>
          <w:szCs w:val="24"/>
        </w:rPr>
        <w:t>rovide education and information about its functions to aged care consumers and their representatives, aged care providers and the public.</w:t>
      </w:r>
      <w:r w:rsidR="009E53EE" w:rsidRPr="00BE3BCE">
        <w:rPr>
          <w:rFonts w:ascii="Arial" w:hAnsi="Arial" w:cs="Arial"/>
          <w:sz w:val="24"/>
          <w:szCs w:val="24"/>
          <w:vertAlign w:val="superscript"/>
        </w:rPr>
        <w:footnoteReference w:id="9"/>
      </w:r>
    </w:p>
    <w:p w14:paraId="2A701526" w14:textId="1A6BB1E4" w:rsidR="000F56E2" w:rsidRPr="00BE3BCE" w:rsidRDefault="000F56E2" w:rsidP="000F56E2">
      <w:pPr>
        <w:tabs>
          <w:tab w:val="right" w:leader="dot" w:pos="9016"/>
        </w:tabs>
        <w:spacing w:before="120" w:after="120" w:line="240" w:lineRule="auto"/>
        <w:rPr>
          <w:rFonts w:ascii="Arial" w:hAnsi="Arial" w:cs="Arial"/>
          <w:sz w:val="24"/>
          <w:szCs w:val="24"/>
        </w:rPr>
      </w:pPr>
      <w:r>
        <w:rPr>
          <w:rFonts w:ascii="Arial" w:hAnsi="Arial" w:cs="Arial"/>
          <w:sz w:val="24"/>
          <w:szCs w:val="24"/>
        </w:rPr>
        <w:t>A more detailed list of the Commission’s functions is at Appendix D.</w:t>
      </w:r>
    </w:p>
    <w:p w14:paraId="7FC4A345" w14:textId="77777777" w:rsidR="00E92F6C" w:rsidRPr="00BE3BCE" w:rsidRDefault="00E92F6C" w:rsidP="00E92F6C">
      <w:pPr>
        <w:tabs>
          <w:tab w:val="right" w:leader="dot" w:pos="9016"/>
        </w:tabs>
        <w:spacing w:before="240" w:after="120" w:line="240" w:lineRule="auto"/>
        <w:rPr>
          <w:rFonts w:ascii="Arial" w:hAnsi="Arial" w:cs="Arial"/>
          <w:b/>
          <w:bCs/>
          <w:sz w:val="28"/>
          <w:szCs w:val="28"/>
        </w:rPr>
      </w:pPr>
      <w:r w:rsidRPr="00BE3BCE">
        <w:rPr>
          <w:rFonts w:ascii="Arial" w:hAnsi="Arial" w:cs="Arial"/>
          <w:b/>
          <w:bCs/>
          <w:sz w:val="28"/>
          <w:szCs w:val="28"/>
        </w:rPr>
        <w:t>3.6 Stakeholders</w:t>
      </w:r>
    </w:p>
    <w:p w14:paraId="35B890D1" w14:textId="04EFE8F5"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 xml:space="preserve">The Commission has a broad range of stakeholders, including aged care consumers, their </w:t>
      </w:r>
      <w:r>
        <w:rPr>
          <w:rFonts w:ascii="Arial" w:hAnsi="Arial" w:cs="Arial"/>
          <w:sz w:val="24"/>
          <w:szCs w:val="24"/>
        </w:rPr>
        <w:t xml:space="preserve">families and </w:t>
      </w:r>
      <w:r w:rsidRPr="00BE3BCE">
        <w:rPr>
          <w:rFonts w:ascii="Arial" w:hAnsi="Arial" w:cs="Arial"/>
          <w:sz w:val="24"/>
          <w:szCs w:val="24"/>
        </w:rPr>
        <w:t xml:space="preserve">friends; aged care providers; consumer and provider peak bodies; Australian Government </w:t>
      </w:r>
      <w:r w:rsidR="004556FC">
        <w:rPr>
          <w:rFonts w:ascii="Arial" w:hAnsi="Arial" w:cs="Arial"/>
          <w:sz w:val="24"/>
          <w:szCs w:val="24"/>
        </w:rPr>
        <w:t>m</w:t>
      </w:r>
      <w:r w:rsidRPr="00BE3BCE">
        <w:rPr>
          <w:rFonts w:ascii="Arial" w:hAnsi="Arial" w:cs="Arial"/>
          <w:sz w:val="24"/>
          <w:szCs w:val="24"/>
        </w:rPr>
        <w:t>inisters</w:t>
      </w:r>
      <w:r w:rsidR="00D66AD4">
        <w:rPr>
          <w:rFonts w:ascii="Arial" w:hAnsi="Arial" w:cs="Arial"/>
          <w:sz w:val="24"/>
          <w:szCs w:val="24"/>
        </w:rPr>
        <w:t>;</w:t>
      </w:r>
      <w:r w:rsidRPr="00BE3BCE">
        <w:rPr>
          <w:rFonts w:ascii="Arial" w:hAnsi="Arial" w:cs="Arial"/>
          <w:sz w:val="24"/>
          <w:szCs w:val="24"/>
        </w:rPr>
        <w:t xml:space="preserve"> </w:t>
      </w:r>
      <w:r w:rsidR="00155CBF">
        <w:rPr>
          <w:rFonts w:ascii="Arial" w:hAnsi="Arial" w:cs="Arial"/>
          <w:sz w:val="24"/>
          <w:szCs w:val="24"/>
        </w:rPr>
        <w:t xml:space="preserve">other regulators including the </w:t>
      </w:r>
      <w:r w:rsidR="00526E5B">
        <w:rPr>
          <w:rFonts w:ascii="Arial" w:hAnsi="Arial" w:cs="Arial"/>
          <w:sz w:val="24"/>
          <w:szCs w:val="24"/>
        </w:rPr>
        <w:t>Australian Health Practitioner Regulation Agency, the Australian Commission on Safety and Quality in Health Care, and the NDIS Quality and Safeguards Commission (NDIS Commission)</w:t>
      </w:r>
      <w:r w:rsidR="00D66AD4">
        <w:rPr>
          <w:rFonts w:ascii="Arial" w:hAnsi="Arial" w:cs="Arial"/>
          <w:sz w:val="24"/>
          <w:szCs w:val="24"/>
        </w:rPr>
        <w:t xml:space="preserve">; </w:t>
      </w:r>
      <w:r w:rsidRPr="00BE3BCE">
        <w:rPr>
          <w:rFonts w:ascii="Arial" w:hAnsi="Arial" w:cs="Arial"/>
          <w:sz w:val="24"/>
          <w:szCs w:val="24"/>
        </w:rPr>
        <w:t>Australian Government</w:t>
      </w:r>
      <w:r w:rsidR="0081133B">
        <w:rPr>
          <w:rFonts w:ascii="Arial" w:hAnsi="Arial" w:cs="Arial"/>
          <w:sz w:val="24"/>
          <w:szCs w:val="24"/>
        </w:rPr>
        <w:t xml:space="preserve"> and </w:t>
      </w:r>
      <w:r w:rsidRPr="00BE3BCE">
        <w:rPr>
          <w:rFonts w:ascii="Arial" w:hAnsi="Arial" w:cs="Arial"/>
          <w:sz w:val="24"/>
          <w:szCs w:val="24"/>
        </w:rPr>
        <w:t>state and territory public health departments and entities; health practitioner groups</w:t>
      </w:r>
      <w:r w:rsidR="0081133B">
        <w:rPr>
          <w:rFonts w:ascii="Arial" w:hAnsi="Arial" w:cs="Arial"/>
          <w:sz w:val="24"/>
          <w:szCs w:val="24"/>
        </w:rPr>
        <w:t>;</w:t>
      </w:r>
      <w:r w:rsidRPr="00BE3BCE">
        <w:rPr>
          <w:rFonts w:ascii="Arial" w:hAnsi="Arial" w:cs="Arial"/>
          <w:sz w:val="24"/>
          <w:szCs w:val="24"/>
        </w:rPr>
        <w:t xml:space="preserve"> and researchers and universities.</w:t>
      </w:r>
    </w:p>
    <w:p w14:paraId="6E9D28BA" w14:textId="4DCADA89" w:rsidR="00D64117" w:rsidRPr="000E0448" w:rsidRDefault="00E92F6C" w:rsidP="000E0448">
      <w:pPr>
        <w:spacing w:before="120" w:after="120" w:line="240" w:lineRule="auto"/>
        <w:rPr>
          <w:rFonts w:ascii="Arial" w:hAnsi="Arial" w:cs="Arial"/>
          <w:sz w:val="24"/>
          <w:szCs w:val="24"/>
        </w:rPr>
      </w:pPr>
      <w:r w:rsidRPr="00BE3BCE">
        <w:rPr>
          <w:rFonts w:ascii="Arial" w:hAnsi="Arial" w:cs="Arial"/>
          <w:sz w:val="24"/>
          <w:szCs w:val="24"/>
        </w:rPr>
        <w:t>The Commission engages with several aged care advisory and consultative forums</w:t>
      </w:r>
      <w:r w:rsidR="004556FC">
        <w:rPr>
          <w:rFonts w:ascii="Arial" w:hAnsi="Arial" w:cs="Arial"/>
          <w:sz w:val="24"/>
          <w:szCs w:val="24"/>
        </w:rPr>
        <w:t xml:space="preserve">. It also </w:t>
      </w:r>
      <w:r w:rsidR="0081133B">
        <w:rPr>
          <w:rFonts w:ascii="Arial" w:hAnsi="Arial" w:cs="Arial"/>
          <w:sz w:val="24"/>
          <w:szCs w:val="24"/>
        </w:rPr>
        <w:t xml:space="preserve">takes advice from </w:t>
      </w:r>
      <w:r w:rsidRPr="00BE3BCE">
        <w:rPr>
          <w:rFonts w:ascii="Arial" w:hAnsi="Arial" w:cs="Arial"/>
          <w:sz w:val="24"/>
          <w:szCs w:val="24"/>
        </w:rPr>
        <w:t xml:space="preserve">the Aged Care Quality and Safety Advisory </w:t>
      </w:r>
      <w:proofErr w:type="gramStart"/>
      <w:r w:rsidRPr="00BE3BCE">
        <w:rPr>
          <w:rFonts w:ascii="Arial" w:hAnsi="Arial" w:cs="Arial"/>
          <w:sz w:val="24"/>
          <w:szCs w:val="24"/>
        </w:rPr>
        <w:t>Council</w:t>
      </w:r>
      <w:r w:rsidR="0081133B">
        <w:rPr>
          <w:rFonts w:ascii="Arial" w:hAnsi="Arial" w:cs="Arial"/>
          <w:sz w:val="24"/>
          <w:szCs w:val="24"/>
        </w:rPr>
        <w:t>,</w:t>
      </w:r>
      <w:r w:rsidRPr="00BE3BCE">
        <w:rPr>
          <w:rFonts w:ascii="Arial" w:hAnsi="Arial" w:cs="Arial"/>
          <w:sz w:val="24"/>
          <w:szCs w:val="24"/>
        </w:rPr>
        <w:t xml:space="preserve"> and</w:t>
      </w:r>
      <w:proofErr w:type="gramEnd"/>
      <w:r w:rsidRPr="00BE3BCE">
        <w:rPr>
          <w:rFonts w:ascii="Arial" w:hAnsi="Arial" w:cs="Arial"/>
          <w:sz w:val="24"/>
          <w:szCs w:val="24"/>
        </w:rPr>
        <w:t xml:space="preserve"> </w:t>
      </w:r>
      <w:r w:rsidR="0081133B">
        <w:rPr>
          <w:rFonts w:ascii="Arial" w:hAnsi="Arial" w:cs="Arial"/>
          <w:sz w:val="24"/>
          <w:szCs w:val="24"/>
        </w:rPr>
        <w:t xml:space="preserve">consults with </w:t>
      </w:r>
      <w:r w:rsidRPr="00BE3BCE">
        <w:rPr>
          <w:rFonts w:ascii="Arial" w:hAnsi="Arial" w:cs="Arial"/>
          <w:sz w:val="24"/>
          <w:szCs w:val="24"/>
        </w:rPr>
        <w:t>the Commission’s Consultative Forum and Consumers and Families Panel.</w:t>
      </w:r>
    </w:p>
    <w:p w14:paraId="689D2233" w14:textId="64F037E5" w:rsidR="00E92F6C" w:rsidRPr="00BE3BCE" w:rsidRDefault="00E92F6C" w:rsidP="00D66AD4">
      <w:pPr>
        <w:keepNext/>
        <w:spacing w:before="240" w:after="120" w:line="240" w:lineRule="auto"/>
        <w:rPr>
          <w:rFonts w:ascii="Arial" w:hAnsi="Arial" w:cs="Arial"/>
          <w:b/>
          <w:bCs/>
          <w:sz w:val="28"/>
          <w:szCs w:val="28"/>
        </w:rPr>
      </w:pPr>
      <w:r w:rsidRPr="00BE3BCE">
        <w:rPr>
          <w:rFonts w:ascii="Arial" w:hAnsi="Arial" w:cs="Arial"/>
          <w:b/>
          <w:bCs/>
          <w:sz w:val="28"/>
          <w:szCs w:val="28"/>
        </w:rPr>
        <w:lastRenderedPageBreak/>
        <w:t>3.7 Workforce</w:t>
      </w:r>
    </w:p>
    <w:p w14:paraId="6F35FBBB" w14:textId="5FD2BA67"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 xml:space="preserve">The Commission workforce totals 1423.9 staff of which 1150.2 are </w:t>
      </w:r>
      <w:r w:rsidR="00EF150C">
        <w:rPr>
          <w:rFonts w:ascii="Arial" w:hAnsi="Arial" w:cs="Arial"/>
          <w:sz w:val="24"/>
          <w:szCs w:val="24"/>
        </w:rPr>
        <w:t>Australian Public Service (</w:t>
      </w:r>
      <w:r w:rsidRPr="00BE3BCE">
        <w:rPr>
          <w:rFonts w:ascii="Arial" w:hAnsi="Arial" w:cs="Arial"/>
          <w:sz w:val="24"/>
          <w:szCs w:val="24"/>
        </w:rPr>
        <w:t>APS</w:t>
      </w:r>
      <w:r w:rsidR="00EF150C">
        <w:rPr>
          <w:rFonts w:ascii="Arial" w:hAnsi="Arial" w:cs="Arial"/>
          <w:sz w:val="24"/>
          <w:szCs w:val="24"/>
        </w:rPr>
        <w:t>)</w:t>
      </w:r>
      <w:r w:rsidRPr="00BE3BCE">
        <w:rPr>
          <w:rFonts w:ascii="Arial" w:hAnsi="Arial" w:cs="Arial"/>
          <w:sz w:val="24"/>
          <w:szCs w:val="24"/>
        </w:rPr>
        <w:t xml:space="preserve"> employees and 273.7 are contract staff.</w:t>
      </w:r>
      <w:r w:rsidR="0081133B">
        <w:rPr>
          <w:rStyle w:val="FootnoteReference"/>
          <w:rFonts w:ascii="Arial" w:hAnsi="Arial" w:cs="Arial"/>
          <w:sz w:val="24"/>
          <w:szCs w:val="24"/>
        </w:rPr>
        <w:footnoteReference w:id="10"/>
      </w:r>
      <w:r w:rsidRPr="00BE3BCE">
        <w:rPr>
          <w:rFonts w:ascii="Arial" w:hAnsi="Arial" w:cs="Arial"/>
          <w:sz w:val="24"/>
          <w:szCs w:val="24"/>
        </w:rPr>
        <w:t xml:space="preserve"> </w:t>
      </w:r>
    </w:p>
    <w:p w14:paraId="050722C8" w14:textId="2324642F"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 xml:space="preserve">This number excludes the Third-Party Provider arrangement which has been developed to deliver a supplementary Quality Assessor workforce (see </w:t>
      </w:r>
      <w:r w:rsidR="00987DE8">
        <w:rPr>
          <w:rFonts w:ascii="Arial" w:hAnsi="Arial" w:cs="Arial"/>
          <w:sz w:val="24"/>
          <w:szCs w:val="24"/>
        </w:rPr>
        <w:t>Section</w:t>
      </w:r>
      <w:r w:rsidR="00987DE8" w:rsidRPr="00BE3BCE">
        <w:rPr>
          <w:rFonts w:ascii="Arial" w:hAnsi="Arial" w:cs="Arial"/>
          <w:sz w:val="24"/>
          <w:szCs w:val="24"/>
        </w:rPr>
        <w:t xml:space="preserve"> </w:t>
      </w:r>
      <w:r w:rsidRPr="00BE3BCE">
        <w:rPr>
          <w:rFonts w:ascii="Arial" w:hAnsi="Arial" w:cs="Arial"/>
          <w:sz w:val="24"/>
          <w:szCs w:val="24"/>
        </w:rPr>
        <w:t>5.</w:t>
      </w:r>
      <w:r w:rsidR="00CB0104">
        <w:rPr>
          <w:rFonts w:ascii="Arial" w:hAnsi="Arial" w:cs="Arial"/>
          <w:sz w:val="24"/>
          <w:szCs w:val="24"/>
        </w:rPr>
        <w:t>1</w:t>
      </w:r>
      <w:r w:rsidRPr="00BE3BCE">
        <w:rPr>
          <w:rFonts w:ascii="Arial" w:hAnsi="Arial" w:cs="Arial"/>
          <w:sz w:val="24"/>
          <w:szCs w:val="24"/>
        </w:rPr>
        <w:t>). There are currently 173 registered Quality Assessors provided under the contract arrangements with the T</w:t>
      </w:r>
      <w:r w:rsidR="00781A59">
        <w:rPr>
          <w:rFonts w:ascii="Arial" w:hAnsi="Arial" w:cs="Arial"/>
          <w:sz w:val="24"/>
          <w:szCs w:val="24"/>
        </w:rPr>
        <w:t>hird</w:t>
      </w:r>
      <w:r w:rsidR="0081133B">
        <w:rPr>
          <w:rFonts w:ascii="Arial" w:hAnsi="Arial" w:cs="Arial"/>
          <w:sz w:val="24"/>
          <w:szCs w:val="24"/>
        </w:rPr>
        <w:t>-</w:t>
      </w:r>
      <w:r w:rsidR="00781A59">
        <w:rPr>
          <w:rFonts w:ascii="Arial" w:hAnsi="Arial" w:cs="Arial"/>
          <w:sz w:val="24"/>
          <w:szCs w:val="24"/>
        </w:rPr>
        <w:t>Party Provider</w:t>
      </w:r>
      <w:r w:rsidRPr="00BE3BCE">
        <w:rPr>
          <w:rFonts w:ascii="Arial" w:hAnsi="Arial" w:cs="Arial"/>
          <w:sz w:val="24"/>
          <w:szCs w:val="24"/>
        </w:rPr>
        <w:t xml:space="preserve"> suppliers.</w:t>
      </w:r>
    </w:p>
    <w:p w14:paraId="7DCE1138" w14:textId="10EBD4C8" w:rsidR="00E92F6C" w:rsidRPr="00BE3BCE" w:rsidRDefault="00E92F6C" w:rsidP="00E92F6C">
      <w:pPr>
        <w:spacing w:before="240" w:after="120" w:line="240" w:lineRule="auto"/>
        <w:rPr>
          <w:rFonts w:ascii="Arial" w:hAnsi="Arial" w:cs="Arial"/>
          <w:b/>
          <w:bCs/>
          <w:color w:val="000000"/>
          <w:sz w:val="28"/>
          <w:szCs w:val="28"/>
          <w:shd w:val="clear" w:color="auto" w:fill="FFFFFF"/>
        </w:rPr>
      </w:pPr>
      <w:r w:rsidRPr="00BE3BCE">
        <w:rPr>
          <w:rFonts w:ascii="Arial" w:hAnsi="Arial" w:cs="Arial"/>
          <w:b/>
          <w:bCs/>
          <w:color w:val="000000"/>
          <w:sz w:val="28"/>
          <w:szCs w:val="28"/>
          <w:shd w:val="clear" w:color="auto" w:fill="FFFFFF"/>
        </w:rPr>
        <w:t xml:space="preserve">3.8 </w:t>
      </w:r>
      <w:r>
        <w:rPr>
          <w:rFonts w:ascii="Arial" w:hAnsi="Arial" w:cs="Arial"/>
          <w:b/>
          <w:bCs/>
          <w:color w:val="000000"/>
          <w:sz w:val="28"/>
          <w:szCs w:val="28"/>
          <w:shd w:val="clear" w:color="auto" w:fill="FFFFFF"/>
        </w:rPr>
        <w:t>O</w:t>
      </w:r>
      <w:r w:rsidRPr="00BE3BCE">
        <w:rPr>
          <w:rFonts w:ascii="Arial" w:hAnsi="Arial" w:cs="Arial"/>
          <w:b/>
          <w:bCs/>
          <w:color w:val="000000"/>
          <w:sz w:val="28"/>
          <w:szCs w:val="28"/>
          <w:shd w:val="clear" w:color="auto" w:fill="FFFFFF"/>
        </w:rPr>
        <w:t xml:space="preserve">perating environment </w:t>
      </w:r>
    </w:p>
    <w:p w14:paraId="657784E2" w14:textId="637D45BF" w:rsidR="00E92F6C" w:rsidRPr="00BE3BCE" w:rsidRDefault="00E92F6C" w:rsidP="00E92F6C">
      <w:pPr>
        <w:spacing w:line="240" w:lineRule="auto"/>
        <w:rPr>
          <w:rFonts w:ascii="Arial" w:hAnsi="Arial" w:cs="Arial"/>
          <w:color w:val="000000"/>
          <w:sz w:val="24"/>
          <w:szCs w:val="24"/>
          <w:shd w:val="clear" w:color="auto" w:fill="FFFFFF"/>
        </w:rPr>
      </w:pPr>
      <w:r w:rsidRPr="00BE3BCE">
        <w:rPr>
          <w:rFonts w:ascii="Arial" w:hAnsi="Arial" w:cs="Arial"/>
          <w:color w:val="000000"/>
          <w:sz w:val="24"/>
          <w:szCs w:val="24"/>
          <w:shd w:val="clear" w:color="auto" w:fill="FFFFFF"/>
        </w:rPr>
        <w:t xml:space="preserve">Since its inception the Commission has experienced substantial change in its regulatory roles and responsibilities, including in relation to functions transferred from the Department, and significant reforms arising from the recommendations of the Royal Commission. </w:t>
      </w:r>
    </w:p>
    <w:p w14:paraId="3531AF8A" w14:textId="77777777" w:rsidR="00E92F6C" w:rsidRPr="00BE3BCE" w:rsidRDefault="00E92F6C" w:rsidP="00E92F6C">
      <w:pPr>
        <w:spacing w:line="240" w:lineRule="auto"/>
        <w:rPr>
          <w:rFonts w:ascii="Arial" w:hAnsi="Arial" w:cs="Arial"/>
          <w:color w:val="000000"/>
          <w:sz w:val="24"/>
          <w:szCs w:val="24"/>
          <w:shd w:val="clear" w:color="auto" w:fill="FFFFFF"/>
        </w:rPr>
      </w:pPr>
      <w:r w:rsidRPr="00BE3BCE">
        <w:rPr>
          <w:rFonts w:ascii="Arial" w:hAnsi="Arial" w:cs="Arial"/>
          <w:color w:val="000000"/>
          <w:sz w:val="24"/>
          <w:szCs w:val="24"/>
          <w:shd w:val="clear" w:color="auto" w:fill="FFFFFF"/>
        </w:rPr>
        <w:t xml:space="preserve">The Commission has faced </w:t>
      </w:r>
      <w:proofErr w:type="gramStart"/>
      <w:r w:rsidRPr="00BE3BCE">
        <w:rPr>
          <w:rFonts w:ascii="Arial" w:hAnsi="Arial" w:cs="Arial"/>
          <w:color w:val="000000"/>
          <w:sz w:val="24"/>
          <w:szCs w:val="24"/>
          <w:shd w:val="clear" w:color="auto" w:fill="FFFFFF"/>
        </w:rPr>
        <w:t>particular challenges</w:t>
      </w:r>
      <w:proofErr w:type="gramEnd"/>
      <w:r w:rsidRPr="00BE3BCE">
        <w:rPr>
          <w:rFonts w:ascii="Arial" w:hAnsi="Arial" w:cs="Arial"/>
          <w:color w:val="000000"/>
          <w:sz w:val="24"/>
          <w:szCs w:val="24"/>
          <w:shd w:val="clear" w:color="auto" w:fill="FFFFFF"/>
        </w:rPr>
        <w:t xml:space="preserve"> in relation to the COVID-19 pandemic, including COVID-19 outbreaks in residential aged care and home care settings leading to restrictions on site visits to aged care services to carry out its regulatory monitoring.</w:t>
      </w:r>
    </w:p>
    <w:p w14:paraId="4E280804" w14:textId="3E69C2F6" w:rsidR="00E92F6C" w:rsidRPr="00BE3BCE" w:rsidRDefault="00E92F6C" w:rsidP="00E92F6C">
      <w:pPr>
        <w:spacing w:line="240" w:lineRule="auto"/>
        <w:rPr>
          <w:rFonts w:ascii="Arial" w:hAnsi="Arial" w:cs="Arial"/>
          <w:color w:val="000000"/>
          <w:sz w:val="24"/>
          <w:szCs w:val="24"/>
          <w:shd w:val="clear" w:color="auto" w:fill="FFFFFF"/>
        </w:rPr>
      </w:pPr>
      <w:r w:rsidRPr="00BE3BCE">
        <w:rPr>
          <w:rFonts w:ascii="Arial" w:hAnsi="Arial" w:cs="Arial"/>
          <w:color w:val="000000"/>
          <w:sz w:val="24"/>
          <w:szCs w:val="24"/>
          <w:shd w:val="clear" w:color="auto" w:fill="FFFFFF"/>
        </w:rPr>
        <w:t xml:space="preserve">The Commission also faces considerable ongoing challenges in both recruiting and retaining staff in the context of workforce shortages across the aged care sector. </w:t>
      </w:r>
    </w:p>
    <w:p w14:paraId="70C854D8" w14:textId="77777777" w:rsidR="00E92F6C" w:rsidRPr="00BE3BCE" w:rsidRDefault="00E92F6C" w:rsidP="00E92F6C">
      <w:pPr>
        <w:spacing w:line="240" w:lineRule="auto"/>
        <w:rPr>
          <w:rFonts w:ascii="Arial" w:hAnsi="Arial" w:cs="Arial"/>
          <w:color w:val="000000"/>
          <w:sz w:val="24"/>
          <w:szCs w:val="24"/>
          <w:shd w:val="clear" w:color="auto" w:fill="FFFFFF"/>
        </w:rPr>
      </w:pPr>
      <w:r w:rsidRPr="00BE3BCE">
        <w:rPr>
          <w:rFonts w:ascii="Arial" w:hAnsi="Arial" w:cs="Arial"/>
          <w:color w:val="000000"/>
          <w:sz w:val="24"/>
          <w:szCs w:val="24"/>
          <w:shd w:val="clear" w:color="auto" w:fill="FFFFFF"/>
        </w:rPr>
        <w:t xml:space="preserve">While operating in this challenging and complex environment, the Commission has also achieved a great deal since 2019 in establishing itself, managing change, and delivering substantively expanded roles and responsibilities. </w:t>
      </w:r>
    </w:p>
    <w:p w14:paraId="7732A6E4" w14:textId="20B501CD" w:rsidR="00E92F6C" w:rsidRPr="00BE3BCE" w:rsidRDefault="00E92F6C" w:rsidP="00E92F6C">
      <w:pPr>
        <w:spacing w:before="240" w:after="120" w:line="240" w:lineRule="auto"/>
        <w:rPr>
          <w:rFonts w:ascii="Arial" w:hAnsi="Arial" w:cs="Arial"/>
          <w:b/>
          <w:bCs/>
          <w:sz w:val="28"/>
          <w:szCs w:val="28"/>
        </w:rPr>
      </w:pPr>
      <w:r w:rsidRPr="00BE3BCE">
        <w:rPr>
          <w:rFonts w:ascii="Arial" w:hAnsi="Arial" w:cs="Arial"/>
          <w:b/>
          <w:bCs/>
          <w:sz w:val="28"/>
          <w:szCs w:val="28"/>
        </w:rPr>
        <w:t xml:space="preserve">3.9 </w:t>
      </w:r>
      <w:r w:rsidR="0000193C">
        <w:rPr>
          <w:rFonts w:ascii="Arial" w:hAnsi="Arial" w:cs="Arial"/>
          <w:b/>
          <w:bCs/>
          <w:sz w:val="28"/>
          <w:szCs w:val="28"/>
        </w:rPr>
        <w:t>Strategic priorities and regulatory approach</w:t>
      </w:r>
    </w:p>
    <w:p w14:paraId="6D395E21" w14:textId="5B92CAFD" w:rsidR="00E92F6C" w:rsidRPr="00BE3BCE" w:rsidRDefault="00E92F6C" w:rsidP="00E92F6C">
      <w:pPr>
        <w:spacing w:before="240" w:after="120" w:line="240" w:lineRule="auto"/>
        <w:rPr>
          <w:rFonts w:ascii="Arial" w:hAnsi="Arial" w:cs="Arial"/>
          <w:sz w:val="24"/>
          <w:szCs w:val="24"/>
        </w:rPr>
      </w:pPr>
      <w:r w:rsidRPr="00BE3BCE">
        <w:rPr>
          <w:rFonts w:ascii="Arial" w:hAnsi="Arial" w:cs="Arial"/>
          <w:sz w:val="24"/>
          <w:szCs w:val="24"/>
        </w:rPr>
        <w:t xml:space="preserve">Understanding how the Commission delivers its functions was a key focus of the </w:t>
      </w:r>
      <w:r w:rsidR="00D20410">
        <w:rPr>
          <w:rFonts w:ascii="Arial" w:hAnsi="Arial" w:cs="Arial"/>
          <w:sz w:val="24"/>
          <w:szCs w:val="24"/>
        </w:rPr>
        <w:t>R</w:t>
      </w:r>
      <w:r w:rsidRPr="00BE3BCE">
        <w:rPr>
          <w:rFonts w:ascii="Arial" w:hAnsi="Arial" w:cs="Arial"/>
          <w:sz w:val="24"/>
          <w:szCs w:val="24"/>
        </w:rPr>
        <w:t xml:space="preserve">eview. </w:t>
      </w:r>
      <w:r w:rsidR="00027CEB">
        <w:rPr>
          <w:rFonts w:ascii="Arial" w:hAnsi="Arial" w:cs="Arial"/>
          <w:sz w:val="24"/>
          <w:szCs w:val="24"/>
        </w:rPr>
        <w:t>This section</w:t>
      </w:r>
      <w:r w:rsidR="0000193C" w:rsidRPr="00BE3BCE">
        <w:rPr>
          <w:rFonts w:ascii="Arial" w:hAnsi="Arial" w:cs="Arial"/>
          <w:sz w:val="24"/>
          <w:szCs w:val="24"/>
        </w:rPr>
        <w:t xml:space="preserve"> </w:t>
      </w:r>
      <w:r w:rsidRPr="00BE3BCE">
        <w:rPr>
          <w:rFonts w:ascii="Arial" w:hAnsi="Arial" w:cs="Arial"/>
          <w:sz w:val="24"/>
          <w:szCs w:val="24"/>
        </w:rPr>
        <w:t xml:space="preserve">presents a high-level overview by outlining the Commission’s strategic priorities and regulatory </w:t>
      </w:r>
      <w:proofErr w:type="gramStart"/>
      <w:r w:rsidRPr="00BE3BCE">
        <w:rPr>
          <w:rFonts w:ascii="Arial" w:hAnsi="Arial" w:cs="Arial"/>
          <w:sz w:val="24"/>
          <w:szCs w:val="24"/>
        </w:rPr>
        <w:t>approach</w:t>
      </w:r>
      <w:r w:rsidR="00027CEB">
        <w:rPr>
          <w:rFonts w:ascii="Arial" w:hAnsi="Arial" w:cs="Arial"/>
          <w:sz w:val="24"/>
          <w:szCs w:val="24"/>
        </w:rPr>
        <w:t>,</w:t>
      </w:r>
      <w:r w:rsidRPr="00BE3BCE">
        <w:rPr>
          <w:rFonts w:ascii="Arial" w:hAnsi="Arial" w:cs="Arial"/>
          <w:sz w:val="24"/>
          <w:szCs w:val="24"/>
        </w:rPr>
        <w:t xml:space="preserve"> and</w:t>
      </w:r>
      <w:proofErr w:type="gramEnd"/>
      <w:r w:rsidR="0000193C">
        <w:rPr>
          <w:rFonts w:ascii="Arial" w:hAnsi="Arial" w:cs="Arial"/>
          <w:sz w:val="24"/>
          <w:szCs w:val="24"/>
        </w:rPr>
        <w:t xml:space="preserve"> is complemented </w:t>
      </w:r>
      <w:r w:rsidR="00027CEB">
        <w:rPr>
          <w:rFonts w:ascii="Arial" w:hAnsi="Arial" w:cs="Arial"/>
          <w:sz w:val="24"/>
          <w:szCs w:val="24"/>
        </w:rPr>
        <w:t>in the next section</w:t>
      </w:r>
      <w:r w:rsidR="0000193C">
        <w:rPr>
          <w:rFonts w:ascii="Arial" w:hAnsi="Arial" w:cs="Arial"/>
          <w:sz w:val="24"/>
          <w:szCs w:val="24"/>
        </w:rPr>
        <w:t xml:space="preserve"> </w:t>
      </w:r>
      <w:r w:rsidR="00027CEB">
        <w:rPr>
          <w:rFonts w:ascii="Arial" w:hAnsi="Arial" w:cs="Arial"/>
          <w:sz w:val="24"/>
          <w:szCs w:val="24"/>
        </w:rPr>
        <w:t>by a summary of how the Commission’s performed</w:t>
      </w:r>
      <w:r w:rsidRPr="00BE3BCE">
        <w:rPr>
          <w:rFonts w:ascii="Arial" w:hAnsi="Arial" w:cs="Arial"/>
          <w:sz w:val="24"/>
          <w:szCs w:val="24"/>
        </w:rPr>
        <w:t xml:space="preserve"> against </w:t>
      </w:r>
      <w:r w:rsidR="00027CEB">
        <w:rPr>
          <w:rFonts w:ascii="Arial" w:hAnsi="Arial" w:cs="Arial"/>
          <w:sz w:val="24"/>
          <w:szCs w:val="24"/>
        </w:rPr>
        <w:t xml:space="preserve">its </w:t>
      </w:r>
      <w:r w:rsidRPr="00BE3BCE">
        <w:rPr>
          <w:rFonts w:ascii="Arial" w:hAnsi="Arial" w:cs="Arial"/>
          <w:sz w:val="24"/>
          <w:szCs w:val="24"/>
        </w:rPr>
        <w:t xml:space="preserve">public performance measures. More detailed commentary on performance against </w:t>
      </w:r>
      <w:proofErr w:type="gramStart"/>
      <w:r w:rsidRPr="00BE3BCE">
        <w:rPr>
          <w:rFonts w:ascii="Arial" w:hAnsi="Arial" w:cs="Arial"/>
          <w:sz w:val="24"/>
          <w:szCs w:val="24"/>
        </w:rPr>
        <w:t>particular functions</w:t>
      </w:r>
      <w:proofErr w:type="gramEnd"/>
      <w:r w:rsidRPr="00BE3BCE">
        <w:rPr>
          <w:rFonts w:ascii="Arial" w:hAnsi="Arial" w:cs="Arial"/>
          <w:sz w:val="24"/>
          <w:szCs w:val="24"/>
        </w:rPr>
        <w:t xml:space="preserve"> and areas where improvement may be required is included in </w:t>
      </w:r>
      <w:r w:rsidR="003120DB">
        <w:rPr>
          <w:rFonts w:ascii="Arial" w:hAnsi="Arial" w:cs="Arial"/>
          <w:sz w:val="24"/>
          <w:szCs w:val="24"/>
        </w:rPr>
        <w:t>C</w:t>
      </w:r>
      <w:r w:rsidR="00FA718A">
        <w:rPr>
          <w:rFonts w:ascii="Arial" w:hAnsi="Arial" w:cs="Arial"/>
          <w:sz w:val="24"/>
          <w:szCs w:val="24"/>
        </w:rPr>
        <w:t>hapters 4 and 5</w:t>
      </w:r>
      <w:r w:rsidRPr="00BE3BCE">
        <w:rPr>
          <w:rFonts w:ascii="Arial" w:hAnsi="Arial" w:cs="Arial"/>
          <w:sz w:val="24"/>
          <w:szCs w:val="24"/>
        </w:rPr>
        <w:t xml:space="preserve">. </w:t>
      </w:r>
    </w:p>
    <w:p w14:paraId="4CDD0801" w14:textId="77777777" w:rsidR="00E92F6C" w:rsidRPr="00E92F6C" w:rsidRDefault="00E92F6C" w:rsidP="00E92F6C">
      <w:pPr>
        <w:spacing w:before="240" w:after="120" w:line="240" w:lineRule="auto"/>
        <w:rPr>
          <w:rFonts w:ascii="Arial" w:hAnsi="Arial" w:cs="Arial"/>
          <w:b/>
          <w:bCs/>
          <w:sz w:val="24"/>
          <w:szCs w:val="24"/>
        </w:rPr>
      </w:pPr>
      <w:r w:rsidRPr="00E92F6C">
        <w:rPr>
          <w:rFonts w:ascii="Arial" w:hAnsi="Arial" w:cs="Arial"/>
          <w:b/>
          <w:bCs/>
          <w:sz w:val="24"/>
          <w:szCs w:val="24"/>
        </w:rPr>
        <w:t xml:space="preserve">3.9.1 Strategic priorities and regulatory approach </w:t>
      </w:r>
    </w:p>
    <w:p w14:paraId="5688FD7B" w14:textId="1E304DED" w:rsidR="00E92F6C" w:rsidRPr="00BE3BCE" w:rsidRDefault="00E92F6C" w:rsidP="00E92F6C">
      <w:pPr>
        <w:spacing w:before="120" w:after="120" w:line="240" w:lineRule="auto"/>
        <w:rPr>
          <w:rFonts w:ascii="Arial" w:hAnsi="Arial" w:cs="Arial"/>
          <w:sz w:val="24"/>
          <w:szCs w:val="24"/>
        </w:rPr>
      </w:pPr>
      <w:r w:rsidRPr="00BE3BCE">
        <w:rPr>
          <w:rFonts w:ascii="Arial" w:hAnsi="Arial" w:cs="Arial"/>
          <w:sz w:val="24"/>
          <w:szCs w:val="24"/>
        </w:rPr>
        <w:t>The Commission’s 2022-23 Corporate Plan defines four strategic priorities, which it states shape its behaviour, underpins its decision making and actions and ensure</w:t>
      </w:r>
      <w:r w:rsidR="00CB0104">
        <w:rPr>
          <w:rFonts w:ascii="Arial" w:hAnsi="Arial" w:cs="Arial"/>
          <w:sz w:val="24"/>
          <w:szCs w:val="24"/>
        </w:rPr>
        <w:t>s</w:t>
      </w:r>
      <w:r w:rsidRPr="00BE3BCE">
        <w:rPr>
          <w:rFonts w:ascii="Arial" w:hAnsi="Arial" w:cs="Arial"/>
          <w:sz w:val="24"/>
          <w:szCs w:val="24"/>
        </w:rPr>
        <w:t xml:space="preserve"> it places the wellbeing of aged care consumers at the centre of everything it does</w:t>
      </w:r>
      <w:r w:rsidR="000F56E2">
        <w:rPr>
          <w:rFonts w:ascii="Arial" w:hAnsi="Arial" w:cs="Arial"/>
          <w:sz w:val="24"/>
          <w:szCs w:val="24"/>
        </w:rPr>
        <w:t>:</w:t>
      </w:r>
      <w:r w:rsidRPr="00BE3BCE">
        <w:rPr>
          <w:rFonts w:ascii="Arial" w:hAnsi="Arial" w:cs="Arial"/>
          <w:sz w:val="24"/>
          <w:szCs w:val="24"/>
        </w:rPr>
        <w:t xml:space="preserve"> </w:t>
      </w:r>
    </w:p>
    <w:p w14:paraId="60713FD5" w14:textId="4B49B158" w:rsidR="00E92F6C" w:rsidRPr="00BE3BCE" w:rsidRDefault="00027CEB" w:rsidP="001750D5">
      <w:pPr>
        <w:numPr>
          <w:ilvl w:val="0"/>
          <w:numId w:val="2"/>
        </w:numPr>
        <w:spacing w:before="120" w:after="120" w:line="240" w:lineRule="auto"/>
        <w:rPr>
          <w:rFonts w:ascii="Arial" w:hAnsi="Arial" w:cs="Arial"/>
          <w:sz w:val="24"/>
          <w:szCs w:val="24"/>
        </w:rPr>
      </w:pPr>
      <w:r>
        <w:rPr>
          <w:rFonts w:ascii="Arial" w:hAnsi="Arial" w:cs="Arial"/>
          <w:sz w:val="24"/>
          <w:szCs w:val="24"/>
        </w:rPr>
        <w:t>“</w:t>
      </w:r>
      <w:r w:rsidR="00E92F6C" w:rsidRPr="00BE3BCE">
        <w:rPr>
          <w:rFonts w:ascii="Arial" w:hAnsi="Arial" w:cs="Arial"/>
          <w:sz w:val="24"/>
          <w:szCs w:val="24"/>
        </w:rPr>
        <w:t xml:space="preserve">We </w:t>
      </w:r>
      <w:proofErr w:type="gramStart"/>
      <w:r w:rsidR="00E92F6C" w:rsidRPr="00BE3BCE">
        <w:rPr>
          <w:rFonts w:ascii="Arial" w:hAnsi="Arial" w:cs="Arial"/>
          <w:sz w:val="24"/>
          <w:szCs w:val="24"/>
        </w:rPr>
        <w:t>place consumers at the centre at all times</w:t>
      </w:r>
      <w:proofErr w:type="gramEnd"/>
      <w:r w:rsidR="00C30229">
        <w:rPr>
          <w:rFonts w:ascii="Arial" w:hAnsi="Arial" w:cs="Arial"/>
          <w:sz w:val="24"/>
          <w:szCs w:val="24"/>
        </w:rPr>
        <w:t>.</w:t>
      </w:r>
    </w:p>
    <w:p w14:paraId="73AABAA6" w14:textId="4B6A188F" w:rsidR="00E92F6C" w:rsidRPr="00BE3BCE" w:rsidRDefault="00E92F6C" w:rsidP="001750D5">
      <w:pPr>
        <w:numPr>
          <w:ilvl w:val="0"/>
          <w:numId w:val="2"/>
        </w:numPr>
        <w:spacing w:before="120" w:after="120" w:line="240" w:lineRule="auto"/>
        <w:rPr>
          <w:rFonts w:ascii="Arial" w:hAnsi="Arial" w:cs="Arial"/>
          <w:sz w:val="24"/>
          <w:szCs w:val="24"/>
        </w:rPr>
      </w:pPr>
      <w:r w:rsidRPr="00BE3BCE">
        <w:rPr>
          <w:rFonts w:ascii="Arial" w:hAnsi="Arial" w:cs="Arial"/>
          <w:sz w:val="24"/>
          <w:szCs w:val="24"/>
        </w:rPr>
        <w:t xml:space="preserve">We are an effective, </w:t>
      </w:r>
      <w:proofErr w:type="gramStart"/>
      <w:r w:rsidRPr="00BE3BCE">
        <w:rPr>
          <w:rFonts w:ascii="Arial" w:hAnsi="Arial" w:cs="Arial"/>
          <w:sz w:val="24"/>
          <w:szCs w:val="24"/>
        </w:rPr>
        <w:t>capable</w:t>
      </w:r>
      <w:proofErr w:type="gramEnd"/>
      <w:r w:rsidRPr="00BE3BCE">
        <w:rPr>
          <w:rFonts w:ascii="Arial" w:hAnsi="Arial" w:cs="Arial"/>
          <w:sz w:val="24"/>
          <w:szCs w:val="24"/>
        </w:rPr>
        <w:t xml:space="preserve"> and accountable regulator</w:t>
      </w:r>
      <w:r w:rsidR="00C30229">
        <w:rPr>
          <w:rFonts w:ascii="Arial" w:hAnsi="Arial" w:cs="Arial"/>
          <w:sz w:val="24"/>
          <w:szCs w:val="24"/>
        </w:rPr>
        <w:t>.</w:t>
      </w:r>
    </w:p>
    <w:p w14:paraId="77C75E33" w14:textId="77777777" w:rsidR="00E92F6C" w:rsidRPr="00BE3BCE" w:rsidRDefault="00E92F6C" w:rsidP="001750D5">
      <w:pPr>
        <w:numPr>
          <w:ilvl w:val="0"/>
          <w:numId w:val="2"/>
        </w:numPr>
        <w:spacing w:before="120" w:after="120" w:line="240" w:lineRule="auto"/>
        <w:rPr>
          <w:rFonts w:ascii="Arial" w:hAnsi="Arial" w:cs="Arial"/>
          <w:sz w:val="24"/>
          <w:szCs w:val="24"/>
        </w:rPr>
      </w:pPr>
      <w:r w:rsidRPr="00BE3BCE">
        <w:rPr>
          <w:rFonts w:ascii="Arial" w:hAnsi="Arial" w:cs="Arial"/>
          <w:sz w:val="24"/>
          <w:szCs w:val="24"/>
        </w:rPr>
        <w:t xml:space="preserve">We contribute to improvements in sector performance, the safety and quality of aged care, and consumer experiences of care. </w:t>
      </w:r>
    </w:p>
    <w:p w14:paraId="3675B9F2" w14:textId="2033FBCE" w:rsidR="00E92F6C" w:rsidRPr="00BE3BCE" w:rsidRDefault="00E92F6C" w:rsidP="001750D5">
      <w:pPr>
        <w:numPr>
          <w:ilvl w:val="0"/>
          <w:numId w:val="2"/>
        </w:numPr>
        <w:spacing w:before="120" w:after="120" w:line="240" w:lineRule="auto"/>
        <w:rPr>
          <w:rFonts w:ascii="Arial" w:hAnsi="Arial" w:cs="Arial"/>
          <w:sz w:val="24"/>
          <w:szCs w:val="24"/>
        </w:rPr>
      </w:pPr>
      <w:r w:rsidRPr="00BE3BCE">
        <w:rPr>
          <w:rFonts w:ascii="Arial" w:hAnsi="Arial" w:cs="Arial"/>
          <w:sz w:val="24"/>
          <w:szCs w:val="24"/>
        </w:rPr>
        <w:t>We advance intelligence-led, risk-based proportionate regulation</w:t>
      </w:r>
      <w:r w:rsidR="00C30229">
        <w:rPr>
          <w:rFonts w:ascii="Arial" w:hAnsi="Arial" w:cs="Arial"/>
          <w:sz w:val="24"/>
          <w:szCs w:val="24"/>
        </w:rPr>
        <w:t>.</w:t>
      </w:r>
      <w:r w:rsidR="00027CEB">
        <w:rPr>
          <w:rFonts w:ascii="Arial" w:hAnsi="Arial" w:cs="Arial"/>
          <w:sz w:val="24"/>
          <w:szCs w:val="24"/>
        </w:rPr>
        <w:t>”</w:t>
      </w:r>
      <w:r w:rsidR="009E53EE" w:rsidRPr="00BE3BCE">
        <w:rPr>
          <w:rFonts w:ascii="Arial" w:hAnsi="Arial" w:cs="Arial"/>
          <w:sz w:val="24"/>
          <w:szCs w:val="24"/>
          <w:vertAlign w:val="superscript"/>
        </w:rPr>
        <w:footnoteReference w:id="11"/>
      </w:r>
    </w:p>
    <w:p w14:paraId="4B32F867" w14:textId="236B0DA4" w:rsidR="00632D2C" w:rsidRDefault="00E92F6C" w:rsidP="00E75FBE">
      <w:pPr>
        <w:spacing w:before="120" w:after="120" w:line="240" w:lineRule="auto"/>
        <w:rPr>
          <w:rFonts w:ascii="Arial" w:hAnsi="Arial" w:cs="Arial"/>
          <w:sz w:val="24"/>
          <w:szCs w:val="24"/>
        </w:rPr>
      </w:pPr>
      <w:r w:rsidRPr="00BE3BCE">
        <w:rPr>
          <w:rFonts w:ascii="Arial" w:hAnsi="Arial" w:cs="Arial"/>
          <w:sz w:val="24"/>
          <w:szCs w:val="24"/>
        </w:rPr>
        <w:lastRenderedPageBreak/>
        <w:t xml:space="preserve">The Corporate Plan also outlines the Commission’s regulatory approach by way of reference to its Regulatory Strategy, Regulatory Operating model and compliance and enforcement approach. </w:t>
      </w:r>
    </w:p>
    <w:p w14:paraId="79E8010F" w14:textId="36147E03" w:rsidR="00E92F6C" w:rsidRDefault="00E92F6C" w:rsidP="00E92F6C">
      <w:pPr>
        <w:spacing w:before="120" w:after="120" w:line="240" w:lineRule="auto"/>
        <w:rPr>
          <w:rFonts w:ascii="Arial" w:hAnsi="Arial" w:cs="Arial"/>
          <w:i/>
          <w:iCs/>
          <w:sz w:val="24"/>
          <w:szCs w:val="24"/>
        </w:rPr>
      </w:pPr>
      <w:r w:rsidRPr="00C30229">
        <w:rPr>
          <w:rFonts w:ascii="Arial" w:hAnsi="Arial" w:cs="Arial"/>
          <w:sz w:val="24"/>
          <w:szCs w:val="24"/>
        </w:rPr>
        <w:t>The Commission’s Regulatory Strategy is described as providing</w:t>
      </w:r>
      <w:r w:rsidRPr="00C30229">
        <w:rPr>
          <w:rFonts w:ascii="Arial" w:hAnsi="Arial" w:cs="Arial"/>
          <w:i/>
          <w:iCs/>
          <w:sz w:val="24"/>
          <w:szCs w:val="24"/>
        </w:rPr>
        <w:t xml:space="preserve"> “clarity and transparency about the Commission’s approach to regulation</w:t>
      </w:r>
      <w:r w:rsidRPr="00C30229">
        <w:rPr>
          <w:rFonts w:ascii="Arial" w:hAnsi="Arial" w:cs="Arial"/>
          <w:sz w:val="24"/>
          <w:szCs w:val="24"/>
        </w:rPr>
        <w:t>”</w:t>
      </w:r>
      <w:r w:rsidR="009E53EE" w:rsidRPr="00C30229">
        <w:rPr>
          <w:rFonts w:ascii="Arial" w:hAnsi="Arial" w:cs="Arial"/>
          <w:sz w:val="24"/>
          <w:szCs w:val="24"/>
          <w:vertAlign w:val="superscript"/>
        </w:rPr>
        <w:footnoteReference w:id="12"/>
      </w:r>
      <w:r w:rsidRPr="00C30229">
        <w:rPr>
          <w:rFonts w:ascii="Arial" w:hAnsi="Arial" w:cs="Arial"/>
          <w:sz w:val="24"/>
          <w:szCs w:val="24"/>
        </w:rPr>
        <w:t xml:space="preserve">. The Strategy outlines how the Commission seeks to empower and engage consumers, regulate providers, </w:t>
      </w:r>
      <w:proofErr w:type="gramStart"/>
      <w:r w:rsidRPr="00C30229">
        <w:rPr>
          <w:rFonts w:ascii="Arial" w:hAnsi="Arial" w:cs="Arial"/>
          <w:sz w:val="24"/>
          <w:szCs w:val="24"/>
        </w:rPr>
        <w:t>detect</w:t>
      </w:r>
      <w:proofErr w:type="gramEnd"/>
      <w:r w:rsidRPr="00C30229">
        <w:rPr>
          <w:rFonts w:ascii="Arial" w:hAnsi="Arial" w:cs="Arial"/>
          <w:sz w:val="24"/>
          <w:szCs w:val="24"/>
        </w:rPr>
        <w:t xml:space="preserve"> and mitigate risk and contribute to building sector capability</w:t>
      </w:r>
      <w:r w:rsidR="009E53EE" w:rsidRPr="00C30229">
        <w:rPr>
          <w:rFonts w:ascii="Arial" w:hAnsi="Arial" w:cs="Arial"/>
          <w:sz w:val="24"/>
          <w:szCs w:val="24"/>
          <w:vertAlign w:val="superscript"/>
        </w:rPr>
        <w:footnoteReference w:id="13"/>
      </w:r>
      <w:r w:rsidR="009E53EE">
        <w:rPr>
          <w:rFonts w:ascii="Arial" w:hAnsi="Arial" w:cs="Arial"/>
          <w:sz w:val="24"/>
          <w:szCs w:val="24"/>
        </w:rPr>
        <w:t xml:space="preserve"> </w:t>
      </w:r>
      <w:r w:rsidRPr="00C30229">
        <w:rPr>
          <w:rFonts w:ascii="Arial" w:hAnsi="Arial" w:cs="Arial"/>
          <w:sz w:val="24"/>
          <w:szCs w:val="24"/>
        </w:rPr>
        <w:t xml:space="preserve">and presents the Commission’s regulatory approach as a pyramid which has </w:t>
      </w:r>
      <w:r w:rsidRPr="00C30229">
        <w:rPr>
          <w:rFonts w:ascii="Arial" w:hAnsi="Arial" w:cs="Arial"/>
          <w:i/>
          <w:iCs/>
          <w:sz w:val="24"/>
          <w:szCs w:val="24"/>
        </w:rPr>
        <w:t xml:space="preserve">“cooperative and persuasive approaches at its base and more targeted and interventionist regulatory tools at the top, in response to potential or actual risk of harm to consumers.” </w:t>
      </w:r>
    </w:p>
    <w:p w14:paraId="12BF39D0" w14:textId="77777777" w:rsidR="00CB0104" w:rsidRPr="00AB19BC" w:rsidRDefault="00CB0104" w:rsidP="000A3399">
      <w:pPr>
        <w:keepNext/>
        <w:spacing w:before="240" w:after="120" w:line="240" w:lineRule="auto"/>
        <w:rPr>
          <w:rFonts w:ascii="Arial" w:hAnsi="Arial" w:cs="Arial"/>
          <w:b/>
          <w:bCs/>
          <w:sz w:val="24"/>
          <w:szCs w:val="24"/>
        </w:rPr>
      </w:pPr>
      <w:r w:rsidRPr="00AB19BC">
        <w:rPr>
          <w:rFonts w:ascii="Arial" w:hAnsi="Arial" w:cs="Arial"/>
          <w:b/>
          <w:bCs/>
          <w:sz w:val="24"/>
          <w:szCs w:val="24"/>
        </w:rPr>
        <w:t xml:space="preserve">Figure </w:t>
      </w:r>
      <w:r>
        <w:rPr>
          <w:rFonts w:ascii="Arial" w:hAnsi="Arial" w:cs="Arial"/>
          <w:b/>
          <w:bCs/>
          <w:sz w:val="24"/>
          <w:szCs w:val="24"/>
        </w:rPr>
        <w:t>2</w:t>
      </w:r>
      <w:r w:rsidRPr="00AB19BC">
        <w:rPr>
          <w:rFonts w:ascii="Arial" w:hAnsi="Arial" w:cs="Arial"/>
          <w:b/>
          <w:bCs/>
          <w:sz w:val="24"/>
          <w:szCs w:val="24"/>
        </w:rPr>
        <w:t>: The Commission’s Regulatory Pyramid.</w:t>
      </w:r>
    </w:p>
    <w:p w14:paraId="3456A810" w14:textId="77777777" w:rsidR="00CB0104" w:rsidRDefault="00CB0104" w:rsidP="00E92F6C">
      <w:pPr>
        <w:spacing w:line="240" w:lineRule="auto"/>
        <w:rPr>
          <w:rFonts w:ascii="Arial" w:hAnsi="Arial" w:cs="Arial"/>
          <w:sz w:val="24"/>
          <w:szCs w:val="24"/>
        </w:rPr>
      </w:pPr>
      <w:r w:rsidRPr="009D5F3B">
        <w:rPr>
          <w:rFonts w:ascii="Arial" w:hAnsi="Arial" w:cs="Arial"/>
          <w:noProof/>
          <w:sz w:val="24"/>
          <w:szCs w:val="24"/>
        </w:rPr>
        <w:drawing>
          <wp:inline distT="0" distB="0" distL="0" distR="0" wp14:anchorId="05F4848E" wp14:editId="500ABEED">
            <wp:extent cx="5731510" cy="3663039"/>
            <wp:effectExtent l="0" t="0" r="2540" b="0"/>
            <wp:docPr id="3" name="Picture 2" descr="Regulatory pyramid">
              <a:extLst xmlns:a="http://schemas.openxmlformats.org/drawingml/2006/main">
                <a:ext uri="{FF2B5EF4-FFF2-40B4-BE49-F238E27FC236}">
                  <a16:creationId xmlns:a16="http://schemas.microsoft.com/office/drawing/2014/main" id="{CBDD6EA4-8A84-1F5D-2F60-DDE2A9FF384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Regulatory pyramid">
                      <a:extLst>
                        <a:ext uri="{FF2B5EF4-FFF2-40B4-BE49-F238E27FC236}">
                          <a16:creationId xmlns:a16="http://schemas.microsoft.com/office/drawing/2014/main" id="{CBDD6EA4-8A84-1F5D-2F60-DDE2A9FF384F}"/>
                        </a:ext>
                      </a:extLst>
                    </pic:cNvPr>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31510" cy="3663039"/>
                    </a:xfrm>
                    <a:prstGeom prst="rect">
                      <a:avLst/>
                    </a:prstGeom>
                  </pic:spPr>
                </pic:pic>
              </a:graphicData>
            </a:graphic>
          </wp:inline>
        </w:drawing>
      </w:r>
    </w:p>
    <w:p w14:paraId="7F1BA96A" w14:textId="77777777" w:rsidR="00CB0104" w:rsidRDefault="00CB0104" w:rsidP="00E92F6C">
      <w:pPr>
        <w:spacing w:line="240" w:lineRule="auto"/>
        <w:rPr>
          <w:rFonts w:ascii="Arial" w:hAnsi="Arial" w:cs="Arial"/>
          <w:sz w:val="24"/>
          <w:szCs w:val="24"/>
        </w:rPr>
      </w:pPr>
    </w:p>
    <w:p w14:paraId="3C8D2453" w14:textId="11A41622" w:rsidR="00E92F6C" w:rsidRPr="00BE3BCE" w:rsidRDefault="00E92F6C" w:rsidP="00E92F6C">
      <w:pPr>
        <w:spacing w:line="240" w:lineRule="auto"/>
        <w:rPr>
          <w:rFonts w:ascii="Arial" w:hAnsi="Arial" w:cs="Arial"/>
          <w:sz w:val="24"/>
          <w:szCs w:val="24"/>
        </w:rPr>
      </w:pPr>
      <w:r w:rsidRPr="00C30229">
        <w:rPr>
          <w:rFonts w:ascii="Arial" w:hAnsi="Arial" w:cs="Arial"/>
          <w:sz w:val="24"/>
          <w:szCs w:val="24"/>
        </w:rPr>
        <w:t xml:space="preserve">The Commission’s Regulatory Operating Model </w:t>
      </w:r>
      <w:r w:rsidR="0081133B">
        <w:rPr>
          <w:rFonts w:ascii="Arial" w:hAnsi="Arial" w:cs="Arial"/>
          <w:sz w:val="24"/>
          <w:szCs w:val="24"/>
        </w:rPr>
        <w:t>that</w:t>
      </w:r>
      <w:r w:rsidRPr="00C30229">
        <w:rPr>
          <w:rFonts w:ascii="Arial" w:hAnsi="Arial" w:cs="Arial"/>
          <w:sz w:val="24"/>
          <w:szCs w:val="24"/>
        </w:rPr>
        <w:t xml:space="preserve"> underpins this approach is described as “</w:t>
      </w:r>
      <w:r w:rsidRPr="00C30229">
        <w:rPr>
          <w:rFonts w:ascii="Arial" w:hAnsi="Arial" w:cs="Arial"/>
          <w:i/>
          <w:iCs/>
          <w:sz w:val="24"/>
          <w:szCs w:val="24"/>
        </w:rPr>
        <w:t>an intelligence-led, risk-based and proportionate approach to regulation”</w:t>
      </w:r>
      <w:r w:rsidRPr="00C30229">
        <w:rPr>
          <w:rFonts w:ascii="Arial" w:hAnsi="Arial" w:cs="Arial"/>
          <w:sz w:val="24"/>
          <w:szCs w:val="24"/>
        </w:rPr>
        <w:t xml:space="preserve">, which aims to ensure activity is focused on areas of greatest risk and informed by a wide range of </w:t>
      </w:r>
      <w:r w:rsidRPr="00BE3BCE">
        <w:rPr>
          <w:rFonts w:ascii="Arial" w:hAnsi="Arial" w:cs="Arial"/>
          <w:sz w:val="24"/>
          <w:szCs w:val="24"/>
        </w:rPr>
        <w:t>intelligence and data. Data analytics is highlighted as a key enabler to identifying and responding to sector wide trends and to improving sector performance through education and information which encourages behavioural change and investment in activities that improve capability.</w:t>
      </w:r>
      <w:r w:rsidRPr="00BE3BCE">
        <w:rPr>
          <w:rFonts w:ascii="Arial" w:hAnsi="Arial" w:cs="Arial"/>
          <w:sz w:val="24"/>
          <w:szCs w:val="24"/>
          <w:vertAlign w:val="superscript"/>
        </w:rPr>
        <w:t xml:space="preserve"> </w:t>
      </w:r>
      <w:r w:rsidR="009E53EE" w:rsidRPr="00BE3BCE">
        <w:rPr>
          <w:rFonts w:ascii="Arial" w:hAnsi="Arial" w:cs="Arial"/>
          <w:sz w:val="24"/>
          <w:szCs w:val="24"/>
          <w:vertAlign w:val="superscript"/>
        </w:rPr>
        <w:footnoteReference w:id="14"/>
      </w:r>
    </w:p>
    <w:p w14:paraId="0DB74EB6" w14:textId="5A1E8026" w:rsidR="00E92F6C" w:rsidRDefault="00E92F6C" w:rsidP="000A3399">
      <w:pPr>
        <w:keepNext/>
        <w:spacing w:before="240" w:after="120" w:line="240" w:lineRule="auto"/>
        <w:rPr>
          <w:rFonts w:ascii="Arial" w:hAnsi="Arial" w:cs="Arial"/>
          <w:b/>
          <w:bCs/>
          <w:sz w:val="24"/>
          <w:szCs w:val="24"/>
        </w:rPr>
      </w:pPr>
      <w:r w:rsidRPr="00AB19BC">
        <w:rPr>
          <w:rFonts w:ascii="Arial" w:hAnsi="Arial" w:cs="Arial"/>
          <w:b/>
          <w:bCs/>
          <w:sz w:val="24"/>
          <w:szCs w:val="24"/>
        </w:rPr>
        <w:lastRenderedPageBreak/>
        <w:t xml:space="preserve">Figure </w:t>
      </w:r>
      <w:r w:rsidR="00496A8A">
        <w:rPr>
          <w:rFonts w:ascii="Arial" w:hAnsi="Arial" w:cs="Arial"/>
          <w:b/>
          <w:bCs/>
          <w:sz w:val="24"/>
          <w:szCs w:val="24"/>
        </w:rPr>
        <w:t>3</w:t>
      </w:r>
      <w:r w:rsidRPr="00AB19BC">
        <w:rPr>
          <w:rFonts w:ascii="Arial" w:hAnsi="Arial" w:cs="Arial"/>
          <w:b/>
          <w:bCs/>
          <w:sz w:val="24"/>
          <w:szCs w:val="24"/>
        </w:rPr>
        <w:t xml:space="preserve">: The Commission’s Regulatory Operating Model </w:t>
      </w:r>
    </w:p>
    <w:p w14:paraId="5F271515" w14:textId="3755B0B5" w:rsidR="00E4677F" w:rsidRDefault="00591F66" w:rsidP="00E92F6C">
      <w:pPr>
        <w:spacing w:before="240" w:after="120" w:line="240" w:lineRule="auto"/>
        <w:rPr>
          <w:rFonts w:ascii="Arial" w:hAnsi="Arial" w:cs="Arial"/>
          <w:b/>
          <w:bCs/>
          <w:sz w:val="24"/>
          <w:szCs w:val="24"/>
        </w:rPr>
      </w:pPr>
      <w:r>
        <w:rPr>
          <w:noProof/>
        </w:rPr>
        <w:drawing>
          <wp:inline distT="0" distB="0" distL="0" distR="0" wp14:anchorId="6D68EF49" wp14:editId="4E50DD22">
            <wp:extent cx="5731510" cy="2647060"/>
            <wp:effectExtent l="0" t="0" r="2540" b="127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rotWithShape="1">
                    <a:blip r:embed="rId17"/>
                    <a:srcRect l="949" b="2277"/>
                    <a:stretch/>
                  </pic:blipFill>
                  <pic:spPr bwMode="auto">
                    <a:xfrm>
                      <a:off x="0" y="0"/>
                      <a:ext cx="5731510" cy="2647060"/>
                    </a:xfrm>
                    <a:prstGeom prst="rect">
                      <a:avLst/>
                    </a:prstGeom>
                    <a:ln>
                      <a:noFill/>
                    </a:ln>
                    <a:extLst>
                      <a:ext uri="{53640926-AAD7-44D8-BBD7-CCE9431645EC}">
                        <a14:shadowObscured xmlns:a14="http://schemas.microsoft.com/office/drawing/2010/main"/>
                      </a:ext>
                    </a:extLst>
                  </pic:spPr>
                </pic:pic>
              </a:graphicData>
            </a:graphic>
          </wp:inline>
        </w:drawing>
      </w:r>
    </w:p>
    <w:p w14:paraId="31977D9C" w14:textId="0FE2F00C" w:rsidR="00E92F6C" w:rsidRPr="00BE3BCE" w:rsidRDefault="00E92F6C" w:rsidP="00E92F6C">
      <w:pPr>
        <w:spacing w:before="240" w:after="120" w:line="240" w:lineRule="auto"/>
        <w:rPr>
          <w:rFonts w:ascii="Arial" w:hAnsi="Arial" w:cs="Arial"/>
          <w:sz w:val="24"/>
          <w:szCs w:val="24"/>
        </w:rPr>
      </w:pPr>
      <w:r w:rsidRPr="00BE3BCE">
        <w:rPr>
          <w:rFonts w:ascii="Arial" w:hAnsi="Arial" w:cs="Arial"/>
          <w:sz w:val="24"/>
          <w:szCs w:val="24"/>
        </w:rPr>
        <w:t xml:space="preserve">Compliance and enforcement </w:t>
      </w:r>
      <w:r w:rsidR="00B437BD">
        <w:rPr>
          <w:rFonts w:ascii="Arial" w:hAnsi="Arial" w:cs="Arial"/>
          <w:sz w:val="24"/>
          <w:szCs w:val="24"/>
        </w:rPr>
        <w:t>are a</w:t>
      </w:r>
      <w:r w:rsidRPr="00BE3BCE">
        <w:rPr>
          <w:rFonts w:ascii="Arial" w:hAnsi="Arial" w:cs="Arial"/>
          <w:sz w:val="24"/>
          <w:szCs w:val="24"/>
        </w:rPr>
        <w:t xml:space="preserve"> key element of this model. The Commission states it takes a risk-based, proportionate approach to managing non-compliance, which is informed by the provider’s history and the consequence of harm to the safety, health, </w:t>
      </w:r>
      <w:proofErr w:type="gramStart"/>
      <w:r w:rsidRPr="00BE3BCE">
        <w:rPr>
          <w:rFonts w:ascii="Arial" w:hAnsi="Arial" w:cs="Arial"/>
          <w:sz w:val="24"/>
          <w:szCs w:val="24"/>
        </w:rPr>
        <w:t>wellbeing</w:t>
      </w:r>
      <w:proofErr w:type="gramEnd"/>
      <w:r w:rsidRPr="00BE3BCE">
        <w:rPr>
          <w:rFonts w:ascii="Arial" w:hAnsi="Arial" w:cs="Arial"/>
          <w:sz w:val="24"/>
          <w:szCs w:val="24"/>
        </w:rPr>
        <w:t xml:space="preserve"> and quality of life of consumers. Depending on the circumstances, the Commission may respond to non-compliance through administrative or enforcement actions. </w:t>
      </w:r>
    </w:p>
    <w:p w14:paraId="2CD75C28" w14:textId="77777777" w:rsidR="0000193C" w:rsidRDefault="0000193C" w:rsidP="0000193C">
      <w:pPr>
        <w:spacing w:before="240" w:after="120" w:line="240" w:lineRule="auto"/>
        <w:rPr>
          <w:rFonts w:ascii="Arial" w:hAnsi="Arial" w:cs="Arial"/>
          <w:b/>
          <w:bCs/>
          <w:sz w:val="24"/>
          <w:szCs w:val="24"/>
        </w:rPr>
      </w:pPr>
      <w:r>
        <w:rPr>
          <w:rFonts w:ascii="Arial" w:hAnsi="Arial" w:cs="Arial"/>
          <w:b/>
          <w:bCs/>
          <w:sz w:val="24"/>
          <w:szCs w:val="24"/>
        </w:rPr>
        <w:t>3.9 2 Status of strategic documents</w:t>
      </w:r>
    </w:p>
    <w:p w14:paraId="7D3C3575" w14:textId="09DBD254" w:rsidR="006246AC" w:rsidRDefault="0000193C" w:rsidP="0000193C">
      <w:pPr>
        <w:spacing w:before="240" w:after="120" w:line="240" w:lineRule="auto"/>
        <w:rPr>
          <w:rFonts w:ascii="Arial" w:hAnsi="Arial" w:cs="Arial"/>
          <w:sz w:val="24"/>
          <w:szCs w:val="24"/>
        </w:rPr>
      </w:pPr>
      <w:r w:rsidRPr="004A2232">
        <w:rPr>
          <w:rFonts w:ascii="Arial" w:hAnsi="Arial" w:cs="Arial"/>
          <w:sz w:val="24"/>
          <w:szCs w:val="24"/>
        </w:rPr>
        <w:t xml:space="preserve">As </w:t>
      </w:r>
      <w:r>
        <w:rPr>
          <w:rFonts w:ascii="Arial" w:hAnsi="Arial" w:cs="Arial"/>
          <w:sz w:val="24"/>
          <w:szCs w:val="24"/>
        </w:rPr>
        <w:t xml:space="preserve">noted in Chapter 1, the Commission is developing a suite of material to support its goal of becoming a best practice regulator and </w:t>
      </w:r>
      <w:r w:rsidR="006246AC">
        <w:rPr>
          <w:rFonts w:ascii="Arial" w:hAnsi="Arial" w:cs="Arial"/>
          <w:sz w:val="24"/>
          <w:szCs w:val="24"/>
        </w:rPr>
        <w:t>enable</w:t>
      </w:r>
      <w:r>
        <w:rPr>
          <w:rFonts w:ascii="Arial" w:hAnsi="Arial" w:cs="Arial"/>
          <w:sz w:val="24"/>
          <w:szCs w:val="24"/>
        </w:rPr>
        <w:t xml:space="preserve"> the capability uplift identified in the Grosvenor review. Many of these documents are referenced throughout this report. A list of these documents and their status is included in </w:t>
      </w:r>
      <w:r w:rsidR="0062635C">
        <w:rPr>
          <w:rFonts w:ascii="Arial" w:hAnsi="Arial" w:cs="Arial"/>
          <w:sz w:val="24"/>
          <w:szCs w:val="24"/>
        </w:rPr>
        <w:t>Table 2</w:t>
      </w:r>
      <w:r>
        <w:rPr>
          <w:rFonts w:ascii="Arial" w:hAnsi="Arial" w:cs="Arial"/>
          <w:sz w:val="24"/>
          <w:szCs w:val="24"/>
        </w:rPr>
        <w:t xml:space="preserve">. </w:t>
      </w:r>
    </w:p>
    <w:p w14:paraId="1BB1E465" w14:textId="73143A63" w:rsidR="00E52A5A" w:rsidRPr="006B1F32" w:rsidRDefault="0000193C" w:rsidP="000A3399">
      <w:pPr>
        <w:keepNext/>
        <w:spacing w:before="240" w:after="120" w:line="240" w:lineRule="auto"/>
        <w:rPr>
          <w:rFonts w:ascii="Arial" w:hAnsi="Arial" w:cs="Arial"/>
          <w:b/>
          <w:bCs/>
          <w:sz w:val="24"/>
          <w:szCs w:val="24"/>
        </w:rPr>
      </w:pPr>
      <w:r w:rsidRPr="006B1F32">
        <w:rPr>
          <w:rFonts w:ascii="Arial" w:hAnsi="Arial" w:cs="Arial"/>
          <w:b/>
          <w:bCs/>
          <w:sz w:val="24"/>
          <w:szCs w:val="24"/>
        </w:rPr>
        <w:t xml:space="preserve">Table 2: </w:t>
      </w:r>
      <w:r>
        <w:rPr>
          <w:rFonts w:ascii="Arial" w:hAnsi="Arial" w:cs="Arial"/>
          <w:b/>
          <w:bCs/>
          <w:sz w:val="24"/>
          <w:szCs w:val="24"/>
        </w:rPr>
        <w:t>S</w:t>
      </w:r>
      <w:r w:rsidRPr="006B1F32">
        <w:rPr>
          <w:rFonts w:ascii="Arial" w:hAnsi="Arial" w:cs="Arial"/>
          <w:b/>
          <w:bCs/>
          <w:sz w:val="24"/>
          <w:szCs w:val="24"/>
        </w:rPr>
        <w:t>trategies, plans and frameworks referred to in the Review</w:t>
      </w:r>
    </w:p>
    <w:tbl>
      <w:tblPr>
        <w:tblStyle w:val="TableGrid"/>
        <w:tblW w:w="5000" w:type="pct"/>
        <w:tblLook w:val="04A0" w:firstRow="1" w:lastRow="0" w:firstColumn="1" w:lastColumn="0" w:noHBand="0" w:noVBand="1"/>
      </w:tblPr>
      <w:tblGrid>
        <w:gridCol w:w="4313"/>
        <w:gridCol w:w="4703"/>
      </w:tblGrid>
      <w:tr w:rsidR="0000193C" w:rsidRPr="006246AC" w14:paraId="60C28566" w14:textId="77777777" w:rsidTr="0062635C">
        <w:trPr>
          <w:cantSplit/>
          <w:tblHeader/>
        </w:trPr>
        <w:tc>
          <w:tcPr>
            <w:tcW w:w="2392" w:type="pct"/>
            <w:shd w:val="clear" w:color="auto" w:fill="B4C6E7" w:themeFill="accent1" w:themeFillTint="66"/>
          </w:tcPr>
          <w:p w14:paraId="14CD44C6" w14:textId="77777777" w:rsidR="0000193C" w:rsidRPr="006246AC" w:rsidRDefault="0000193C" w:rsidP="00632D2C">
            <w:pPr>
              <w:spacing w:before="40" w:after="40"/>
              <w:jc w:val="center"/>
              <w:rPr>
                <w:rFonts w:ascii="Arial" w:hAnsi="Arial" w:cs="Arial"/>
                <w:b/>
                <w:bCs/>
                <w:sz w:val="20"/>
                <w:szCs w:val="20"/>
              </w:rPr>
            </w:pPr>
            <w:r w:rsidRPr="006246AC">
              <w:rPr>
                <w:rFonts w:ascii="Arial" w:hAnsi="Arial" w:cs="Arial"/>
                <w:b/>
                <w:bCs/>
                <w:sz w:val="20"/>
                <w:szCs w:val="20"/>
              </w:rPr>
              <w:t>Name</w:t>
            </w:r>
          </w:p>
        </w:tc>
        <w:tc>
          <w:tcPr>
            <w:tcW w:w="2608" w:type="pct"/>
            <w:shd w:val="clear" w:color="auto" w:fill="B4C6E7" w:themeFill="accent1" w:themeFillTint="66"/>
          </w:tcPr>
          <w:p w14:paraId="21D418A7" w14:textId="77777777" w:rsidR="0000193C" w:rsidRPr="006246AC" w:rsidRDefault="0000193C" w:rsidP="00632D2C">
            <w:pPr>
              <w:spacing w:before="40" w:after="40"/>
              <w:jc w:val="center"/>
              <w:rPr>
                <w:rFonts w:ascii="Arial" w:hAnsi="Arial" w:cs="Arial"/>
                <w:b/>
                <w:bCs/>
                <w:sz w:val="20"/>
                <w:szCs w:val="20"/>
              </w:rPr>
            </w:pPr>
            <w:r w:rsidRPr="006246AC">
              <w:rPr>
                <w:rFonts w:ascii="Arial" w:hAnsi="Arial" w:cs="Arial"/>
                <w:b/>
                <w:bCs/>
                <w:sz w:val="20"/>
                <w:szCs w:val="20"/>
              </w:rPr>
              <w:t>Status</w:t>
            </w:r>
          </w:p>
        </w:tc>
      </w:tr>
      <w:tr w:rsidR="0000193C" w:rsidRPr="006246AC" w14:paraId="4341E26F" w14:textId="77777777" w:rsidTr="0062635C">
        <w:trPr>
          <w:trHeight w:val="441"/>
        </w:trPr>
        <w:tc>
          <w:tcPr>
            <w:tcW w:w="2392" w:type="pct"/>
            <w:shd w:val="clear" w:color="auto" w:fill="auto"/>
          </w:tcPr>
          <w:p w14:paraId="218485E1"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Compliance and Enforcement policy (July 2021)</w:t>
            </w:r>
          </w:p>
        </w:tc>
        <w:tc>
          <w:tcPr>
            <w:tcW w:w="2608" w:type="pct"/>
            <w:shd w:val="clear" w:color="auto" w:fill="auto"/>
          </w:tcPr>
          <w:p w14:paraId="7410CAD2" w14:textId="739130F2"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Being updated to </w:t>
            </w:r>
            <w:r w:rsidR="006246AC" w:rsidRPr="006246AC">
              <w:rPr>
                <w:rFonts w:ascii="Arial" w:hAnsi="Arial" w:cs="Arial"/>
                <w:sz w:val="20"/>
                <w:szCs w:val="20"/>
              </w:rPr>
              <w:t xml:space="preserve">reflect </w:t>
            </w:r>
            <w:r w:rsidRPr="006246AC">
              <w:rPr>
                <w:rFonts w:ascii="Arial" w:hAnsi="Arial" w:cs="Arial"/>
                <w:sz w:val="20"/>
                <w:szCs w:val="20"/>
              </w:rPr>
              <w:t>recent legislative changes.</w:t>
            </w:r>
          </w:p>
        </w:tc>
      </w:tr>
      <w:tr w:rsidR="0000193C" w:rsidRPr="006246AC" w14:paraId="62E28F71" w14:textId="77777777" w:rsidTr="0062635C">
        <w:tc>
          <w:tcPr>
            <w:tcW w:w="2392" w:type="pct"/>
            <w:shd w:val="clear" w:color="auto" w:fill="auto"/>
          </w:tcPr>
          <w:p w14:paraId="519897D0"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Regulatory Strategy (1 January 2020) </w:t>
            </w:r>
          </w:p>
        </w:tc>
        <w:tc>
          <w:tcPr>
            <w:tcW w:w="2608" w:type="pct"/>
            <w:shd w:val="clear" w:color="auto" w:fill="auto"/>
          </w:tcPr>
          <w:p w14:paraId="6604D815"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Being updated. Will include new ‘regulatory diamond’</w:t>
            </w:r>
          </w:p>
        </w:tc>
      </w:tr>
      <w:tr w:rsidR="0000193C" w:rsidRPr="006246AC" w14:paraId="693B91D4" w14:textId="77777777" w:rsidTr="0062635C">
        <w:tc>
          <w:tcPr>
            <w:tcW w:w="2392" w:type="pct"/>
            <w:shd w:val="clear" w:color="auto" w:fill="auto"/>
          </w:tcPr>
          <w:p w14:paraId="28A5DEE2" w14:textId="785BD366"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Regulatory operating model – expanded to include new provider responsibilities e.g., Code of Conduct, SIRS in home care, governance obligations, 24/7 RN residential requirements and provider reporting </w:t>
            </w:r>
          </w:p>
        </w:tc>
        <w:tc>
          <w:tcPr>
            <w:tcW w:w="2608" w:type="pct"/>
            <w:shd w:val="clear" w:color="auto" w:fill="auto"/>
          </w:tcPr>
          <w:p w14:paraId="7E644F1A"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Current – noting some reforms don’t commence until July 2023.</w:t>
            </w:r>
          </w:p>
        </w:tc>
      </w:tr>
      <w:tr w:rsidR="0000193C" w:rsidRPr="006246AC" w14:paraId="604A6464" w14:textId="77777777" w:rsidTr="0062635C">
        <w:tc>
          <w:tcPr>
            <w:tcW w:w="2392" w:type="pct"/>
            <w:shd w:val="clear" w:color="auto" w:fill="auto"/>
          </w:tcPr>
          <w:p w14:paraId="2D5655BF"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SIRS – High level Function based Operating Model</w:t>
            </w:r>
          </w:p>
        </w:tc>
        <w:tc>
          <w:tcPr>
            <w:tcW w:w="2608" w:type="pct"/>
            <w:shd w:val="clear" w:color="auto" w:fill="auto"/>
          </w:tcPr>
          <w:p w14:paraId="64245128"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Current </w:t>
            </w:r>
          </w:p>
        </w:tc>
      </w:tr>
      <w:tr w:rsidR="0000193C" w:rsidRPr="006246AC" w14:paraId="355ABE78" w14:textId="77777777" w:rsidTr="0062635C">
        <w:tc>
          <w:tcPr>
            <w:tcW w:w="2392" w:type="pct"/>
            <w:shd w:val="clear" w:color="auto" w:fill="auto"/>
          </w:tcPr>
          <w:p w14:paraId="20FA29A5"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SIRS Home Services</w:t>
            </w:r>
          </w:p>
          <w:p w14:paraId="381C6633" w14:textId="77777777" w:rsidR="0000193C" w:rsidRPr="006246AC" w:rsidRDefault="0000193C" w:rsidP="00632D2C">
            <w:pPr>
              <w:pStyle w:val="ListParagraph"/>
              <w:numPr>
                <w:ilvl w:val="0"/>
                <w:numId w:val="107"/>
              </w:numPr>
              <w:spacing w:before="40" w:after="40"/>
              <w:rPr>
                <w:rFonts w:ascii="Arial" w:hAnsi="Arial" w:cs="Arial"/>
                <w:sz w:val="20"/>
                <w:szCs w:val="20"/>
              </w:rPr>
            </w:pPr>
            <w:r w:rsidRPr="006246AC">
              <w:rPr>
                <w:rFonts w:ascii="Arial" w:hAnsi="Arial" w:cs="Arial"/>
                <w:sz w:val="20"/>
                <w:szCs w:val="20"/>
              </w:rPr>
              <w:t>Revised operating and resourcing model</w:t>
            </w:r>
          </w:p>
          <w:p w14:paraId="34898267" w14:textId="77777777" w:rsidR="0000193C" w:rsidRPr="006246AC" w:rsidRDefault="0000193C" w:rsidP="00632D2C">
            <w:pPr>
              <w:pStyle w:val="ListParagraph"/>
              <w:numPr>
                <w:ilvl w:val="0"/>
                <w:numId w:val="107"/>
              </w:numPr>
              <w:spacing w:before="40" w:after="40"/>
              <w:rPr>
                <w:rFonts w:ascii="Arial" w:hAnsi="Arial" w:cs="Arial"/>
                <w:sz w:val="20"/>
                <w:szCs w:val="20"/>
              </w:rPr>
            </w:pPr>
            <w:r w:rsidRPr="006246AC">
              <w:rPr>
                <w:rFonts w:ascii="Arial" w:hAnsi="Arial" w:cs="Arial"/>
                <w:sz w:val="20"/>
                <w:szCs w:val="20"/>
              </w:rPr>
              <w:t xml:space="preserve">Framework to assist providers to understand harm and impact </w:t>
            </w:r>
          </w:p>
          <w:p w14:paraId="1A5C7506" w14:textId="77777777" w:rsidR="0000193C" w:rsidRPr="006246AC" w:rsidRDefault="0000193C" w:rsidP="00632D2C">
            <w:pPr>
              <w:pStyle w:val="ListParagraph"/>
              <w:numPr>
                <w:ilvl w:val="0"/>
                <w:numId w:val="107"/>
              </w:numPr>
              <w:spacing w:before="40" w:after="40"/>
              <w:rPr>
                <w:rFonts w:ascii="Arial" w:hAnsi="Arial" w:cs="Arial"/>
                <w:sz w:val="20"/>
                <w:szCs w:val="20"/>
              </w:rPr>
            </w:pPr>
            <w:r w:rsidRPr="006246AC">
              <w:rPr>
                <w:rFonts w:ascii="Arial" w:hAnsi="Arial" w:cs="Arial"/>
                <w:sz w:val="20"/>
                <w:szCs w:val="20"/>
              </w:rPr>
              <w:lastRenderedPageBreak/>
              <w:t>Patient Safety Incident Response Framework (PSIRF)</w:t>
            </w:r>
          </w:p>
        </w:tc>
        <w:tc>
          <w:tcPr>
            <w:tcW w:w="2608" w:type="pct"/>
            <w:shd w:val="clear" w:color="auto" w:fill="auto"/>
          </w:tcPr>
          <w:p w14:paraId="68022538" w14:textId="44DAE4DE" w:rsidR="0000193C" w:rsidRPr="006246AC" w:rsidRDefault="0000193C" w:rsidP="00632D2C">
            <w:pPr>
              <w:spacing w:before="40" w:after="40"/>
              <w:rPr>
                <w:rFonts w:ascii="Arial" w:hAnsi="Arial" w:cs="Arial"/>
                <w:sz w:val="20"/>
                <w:szCs w:val="20"/>
              </w:rPr>
            </w:pPr>
            <w:r w:rsidRPr="006246AC">
              <w:rPr>
                <w:rFonts w:ascii="Arial" w:hAnsi="Arial" w:cs="Arial"/>
                <w:sz w:val="20"/>
                <w:szCs w:val="20"/>
              </w:rPr>
              <w:lastRenderedPageBreak/>
              <w:t xml:space="preserve">In development. </w:t>
            </w:r>
            <w:r w:rsidR="00AF5A6D">
              <w:rPr>
                <w:rFonts w:ascii="Arial" w:hAnsi="Arial" w:cs="Arial"/>
                <w:sz w:val="20"/>
                <w:szCs w:val="20"/>
              </w:rPr>
              <w:t>To be implemented between January and June 2023.</w:t>
            </w:r>
            <w:r w:rsidRPr="006246AC">
              <w:rPr>
                <w:rFonts w:ascii="Arial" w:hAnsi="Arial" w:cs="Arial"/>
                <w:sz w:val="20"/>
                <w:szCs w:val="20"/>
              </w:rPr>
              <w:t xml:space="preserve"> </w:t>
            </w:r>
          </w:p>
        </w:tc>
      </w:tr>
      <w:tr w:rsidR="0000193C" w:rsidRPr="006246AC" w14:paraId="2C0EB118" w14:textId="77777777" w:rsidTr="0062635C">
        <w:tc>
          <w:tcPr>
            <w:tcW w:w="2392" w:type="pct"/>
            <w:shd w:val="clear" w:color="auto" w:fill="auto"/>
          </w:tcPr>
          <w:p w14:paraId="7549D55C"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Compliance Business Improvement Project</w:t>
            </w:r>
          </w:p>
          <w:p w14:paraId="2C8B2D79" w14:textId="77777777" w:rsidR="0000193C" w:rsidRPr="006246AC" w:rsidRDefault="0000193C" w:rsidP="00632D2C">
            <w:pPr>
              <w:pStyle w:val="ListParagraph"/>
              <w:numPr>
                <w:ilvl w:val="0"/>
                <w:numId w:val="108"/>
              </w:numPr>
              <w:spacing w:before="40" w:after="40"/>
              <w:rPr>
                <w:rFonts w:ascii="Arial" w:hAnsi="Arial" w:cs="Arial"/>
                <w:sz w:val="20"/>
                <w:szCs w:val="20"/>
              </w:rPr>
            </w:pPr>
            <w:r w:rsidRPr="006246AC">
              <w:rPr>
                <w:rFonts w:ascii="Arial" w:hAnsi="Arial" w:cs="Arial"/>
                <w:sz w:val="20"/>
                <w:szCs w:val="20"/>
              </w:rPr>
              <w:t>Operating model developed by KPMG</w:t>
            </w:r>
          </w:p>
          <w:p w14:paraId="725C48F4" w14:textId="77777777" w:rsidR="0000193C" w:rsidRPr="006246AC" w:rsidRDefault="0000193C" w:rsidP="00632D2C">
            <w:pPr>
              <w:pStyle w:val="ListParagraph"/>
              <w:numPr>
                <w:ilvl w:val="0"/>
                <w:numId w:val="108"/>
              </w:numPr>
              <w:spacing w:before="40" w:after="40"/>
              <w:rPr>
                <w:rFonts w:ascii="Arial" w:hAnsi="Arial" w:cs="Arial"/>
                <w:sz w:val="20"/>
                <w:szCs w:val="20"/>
              </w:rPr>
            </w:pPr>
            <w:r w:rsidRPr="006246AC">
              <w:rPr>
                <w:rFonts w:ascii="Arial" w:hAnsi="Arial" w:cs="Arial"/>
                <w:sz w:val="20"/>
                <w:szCs w:val="20"/>
              </w:rPr>
              <w:t xml:space="preserve">National case allocation process </w:t>
            </w:r>
          </w:p>
          <w:p w14:paraId="5967BC37" w14:textId="77777777" w:rsidR="0000193C" w:rsidRPr="006246AC" w:rsidRDefault="0000193C" w:rsidP="00632D2C">
            <w:pPr>
              <w:pStyle w:val="ListParagraph"/>
              <w:numPr>
                <w:ilvl w:val="0"/>
                <w:numId w:val="108"/>
              </w:numPr>
              <w:spacing w:before="40" w:after="40"/>
              <w:rPr>
                <w:rFonts w:ascii="Arial" w:hAnsi="Arial" w:cs="Arial"/>
                <w:sz w:val="20"/>
                <w:szCs w:val="20"/>
              </w:rPr>
            </w:pPr>
            <w:r w:rsidRPr="006246AC">
              <w:rPr>
                <w:rFonts w:ascii="Arial" w:hAnsi="Arial" w:cs="Arial"/>
                <w:sz w:val="20"/>
                <w:szCs w:val="20"/>
              </w:rPr>
              <w:t>Compliance Manual</w:t>
            </w:r>
          </w:p>
          <w:p w14:paraId="7BAC6251" w14:textId="77777777" w:rsidR="0000193C" w:rsidRPr="006246AC" w:rsidRDefault="0000193C" w:rsidP="00632D2C">
            <w:pPr>
              <w:pStyle w:val="ListParagraph"/>
              <w:numPr>
                <w:ilvl w:val="0"/>
                <w:numId w:val="108"/>
              </w:numPr>
              <w:spacing w:before="40" w:after="40"/>
              <w:rPr>
                <w:rFonts w:ascii="Arial" w:hAnsi="Arial" w:cs="Arial"/>
                <w:sz w:val="20"/>
                <w:szCs w:val="20"/>
              </w:rPr>
            </w:pPr>
            <w:r w:rsidRPr="006246AC">
              <w:rPr>
                <w:rFonts w:ascii="Arial" w:hAnsi="Arial" w:cs="Arial"/>
                <w:sz w:val="20"/>
                <w:szCs w:val="20"/>
              </w:rPr>
              <w:t>Uplift work management practices</w:t>
            </w:r>
          </w:p>
        </w:tc>
        <w:tc>
          <w:tcPr>
            <w:tcW w:w="2608" w:type="pct"/>
            <w:shd w:val="clear" w:color="auto" w:fill="auto"/>
          </w:tcPr>
          <w:p w14:paraId="1F44C38D" w14:textId="1FF24C21"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Current. Implementation commenced October 2022. Operating model reform expanded from original work to incorporate end to end regulatory design principles, new national </w:t>
            </w:r>
            <w:proofErr w:type="gramStart"/>
            <w:r w:rsidRPr="006246AC">
              <w:rPr>
                <w:rFonts w:ascii="Arial" w:hAnsi="Arial" w:cs="Arial"/>
                <w:sz w:val="20"/>
                <w:szCs w:val="20"/>
              </w:rPr>
              <w:t>structure</w:t>
            </w:r>
            <w:proofErr w:type="gramEnd"/>
            <w:r w:rsidRPr="006246AC">
              <w:rPr>
                <w:rFonts w:ascii="Arial" w:hAnsi="Arial" w:cs="Arial"/>
                <w:sz w:val="20"/>
                <w:szCs w:val="20"/>
              </w:rPr>
              <w:t xml:space="preserve"> and national case allocation / workflow. Detailed program of work developed to support structure, process and people change and capability uplift. External consultancy is onboard. The development of instructional material such as compliance manuals forms part of the program of work. </w:t>
            </w:r>
          </w:p>
        </w:tc>
      </w:tr>
      <w:tr w:rsidR="0000193C" w:rsidRPr="006246AC" w14:paraId="5A9B27CB" w14:textId="77777777" w:rsidTr="0062635C">
        <w:tc>
          <w:tcPr>
            <w:tcW w:w="2392" w:type="pct"/>
            <w:shd w:val="clear" w:color="auto" w:fill="auto"/>
          </w:tcPr>
          <w:p w14:paraId="4AACBA63"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Financial and Prudential Regulatory Strategy</w:t>
            </w:r>
          </w:p>
          <w:p w14:paraId="5F774B8B" w14:textId="77777777" w:rsidR="0000193C" w:rsidRPr="006246AC" w:rsidRDefault="0000193C" w:rsidP="00632D2C">
            <w:pPr>
              <w:pStyle w:val="ListParagraph"/>
              <w:numPr>
                <w:ilvl w:val="0"/>
                <w:numId w:val="109"/>
              </w:numPr>
              <w:spacing w:before="40" w:after="40"/>
              <w:rPr>
                <w:rFonts w:ascii="Arial" w:hAnsi="Arial" w:cs="Arial"/>
                <w:sz w:val="20"/>
                <w:szCs w:val="20"/>
              </w:rPr>
            </w:pPr>
            <w:r w:rsidRPr="006246AC">
              <w:rPr>
                <w:rFonts w:ascii="Arial" w:hAnsi="Arial" w:cs="Arial"/>
                <w:sz w:val="20"/>
                <w:szCs w:val="20"/>
              </w:rPr>
              <w:t>Market segmentation Joint Operating model</w:t>
            </w:r>
          </w:p>
          <w:p w14:paraId="7E99FCB1" w14:textId="77777777" w:rsidR="0000193C" w:rsidRPr="006246AC" w:rsidRDefault="0000193C" w:rsidP="00632D2C">
            <w:pPr>
              <w:pStyle w:val="ListParagraph"/>
              <w:numPr>
                <w:ilvl w:val="0"/>
                <w:numId w:val="109"/>
              </w:numPr>
              <w:spacing w:before="40" w:after="40"/>
              <w:rPr>
                <w:rFonts w:ascii="Arial" w:hAnsi="Arial" w:cs="Arial"/>
                <w:sz w:val="20"/>
                <w:szCs w:val="20"/>
              </w:rPr>
            </w:pPr>
            <w:r w:rsidRPr="006246AC">
              <w:rPr>
                <w:rFonts w:ascii="Arial" w:hAnsi="Arial" w:cs="Arial"/>
                <w:sz w:val="20"/>
                <w:szCs w:val="20"/>
              </w:rPr>
              <w:t>Provider triage function operating model</w:t>
            </w:r>
          </w:p>
          <w:p w14:paraId="74801366" w14:textId="77777777" w:rsidR="0000193C" w:rsidRPr="006246AC" w:rsidRDefault="0000193C" w:rsidP="00632D2C">
            <w:pPr>
              <w:pStyle w:val="ListParagraph"/>
              <w:numPr>
                <w:ilvl w:val="0"/>
                <w:numId w:val="109"/>
              </w:numPr>
              <w:spacing w:before="40" w:after="40"/>
              <w:rPr>
                <w:rFonts w:ascii="Arial" w:hAnsi="Arial" w:cs="Arial"/>
                <w:sz w:val="20"/>
                <w:szCs w:val="20"/>
              </w:rPr>
            </w:pPr>
            <w:r w:rsidRPr="006246AC">
              <w:rPr>
                <w:rFonts w:ascii="Arial" w:hAnsi="Arial" w:cs="Arial"/>
                <w:sz w:val="20"/>
                <w:szCs w:val="20"/>
              </w:rPr>
              <w:t>Commission financial and prudential operating model</w:t>
            </w:r>
          </w:p>
        </w:tc>
        <w:tc>
          <w:tcPr>
            <w:tcW w:w="2608" w:type="pct"/>
            <w:shd w:val="clear" w:color="auto" w:fill="auto"/>
          </w:tcPr>
          <w:p w14:paraId="70752F0E" w14:textId="28AB566C"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The Commission and Department are scenario testing the joint operating model. This includes the development of principles to support referral of decisions to the Department.</w:t>
            </w:r>
            <w:r w:rsidR="0047063C">
              <w:rPr>
                <w:rFonts w:ascii="Arial" w:hAnsi="Arial" w:cs="Arial"/>
                <w:sz w:val="20"/>
                <w:szCs w:val="20"/>
              </w:rPr>
              <w:t xml:space="preserve"> </w:t>
            </w:r>
            <w:r w:rsidRPr="006246AC">
              <w:rPr>
                <w:rFonts w:ascii="Arial" w:hAnsi="Arial" w:cs="Arial"/>
                <w:sz w:val="20"/>
                <w:szCs w:val="20"/>
              </w:rPr>
              <w:t>Implementation of the Commission’s financial and prudential operating model is underway. Recruitment to support the operating model is on foot, with a phased approach planned over 2022/23.</w:t>
            </w:r>
          </w:p>
        </w:tc>
      </w:tr>
      <w:tr w:rsidR="0000193C" w:rsidRPr="006246AC" w14:paraId="773086C4" w14:textId="77777777" w:rsidTr="0062635C">
        <w:tc>
          <w:tcPr>
            <w:tcW w:w="2392" w:type="pct"/>
            <w:shd w:val="clear" w:color="auto" w:fill="auto"/>
          </w:tcPr>
          <w:p w14:paraId="0D526C64"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Enterprise performance framework </w:t>
            </w:r>
          </w:p>
        </w:tc>
        <w:tc>
          <w:tcPr>
            <w:tcW w:w="2608" w:type="pct"/>
            <w:shd w:val="clear" w:color="auto" w:fill="auto"/>
          </w:tcPr>
          <w:p w14:paraId="2E150368"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Current - </w:t>
            </w:r>
            <w:proofErr w:type="spellStart"/>
            <w:r w:rsidRPr="006246AC">
              <w:rPr>
                <w:rFonts w:ascii="Arial" w:hAnsi="Arial" w:cs="Arial"/>
                <w:sz w:val="20"/>
                <w:szCs w:val="20"/>
              </w:rPr>
              <w:t>finalised</w:t>
            </w:r>
            <w:proofErr w:type="spellEnd"/>
            <w:r w:rsidRPr="006246AC">
              <w:rPr>
                <w:rFonts w:ascii="Arial" w:hAnsi="Arial" w:cs="Arial"/>
                <w:sz w:val="20"/>
                <w:szCs w:val="20"/>
              </w:rPr>
              <w:t xml:space="preserve"> and endorsed April 2022</w:t>
            </w:r>
          </w:p>
        </w:tc>
      </w:tr>
      <w:tr w:rsidR="0000193C" w:rsidRPr="006246AC" w14:paraId="02F1B51D" w14:textId="77777777" w:rsidTr="0062635C">
        <w:tc>
          <w:tcPr>
            <w:tcW w:w="2392" w:type="pct"/>
            <w:shd w:val="clear" w:color="auto" w:fill="auto"/>
          </w:tcPr>
          <w:p w14:paraId="1BAF132D"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Risk and Audit Committee Charter</w:t>
            </w:r>
          </w:p>
        </w:tc>
        <w:tc>
          <w:tcPr>
            <w:tcW w:w="2608" w:type="pct"/>
            <w:shd w:val="clear" w:color="auto" w:fill="auto"/>
          </w:tcPr>
          <w:p w14:paraId="267F767F"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Current </w:t>
            </w:r>
          </w:p>
        </w:tc>
      </w:tr>
      <w:tr w:rsidR="0000193C" w:rsidRPr="006246AC" w14:paraId="57B5F515" w14:textId="77777777" w:rsidTr="0062635C">
        <w:tc>
          <w:tcPr>
            <w:tcW w:w="2392" w:type="pct"/>
            <w:shd w:val="clear" w:color="auto" w:fill="auto"/>
          </w:tcPr>
          <w:p w14:paraId="0DBDDE3F"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Internal audit charter, </w:t>
            </w:r>
            <w:proofErr w:type="gramStart"/>
            <w:r w:rsidRPr="006246AC">
              <w:rPr>
                <w:rFonts w:ascii="Arial" w:hAnsi="Arial" w:cs="Arial"/>
                <w:sz w:val="20"/>
                <w:szCs w:val="20"/>
              </w:rPr>
              <w:t>strategy</w:t>
            </w:r>
            <w:proofErr w:type="gramEnd"/>
            <w:r w:rsidRPr="006246AC">
              <w:rPr>
                <w:rFonts w:ascii="Arial" w:hAnsi="Arial" w:cs="Arial"/>
                <w:sz w:val="20"/>
                <w:szCs w:val="20"/>
              </w:rPr>
              <w:t xml:space="preserve"> and annual internal audit plan</w:t>
            </w:r>
          </w:p>
        </w:tc>
        <w:tc>
          <w:tcPr>
            <w:tcW w:w="2608" w:type="pct"/>
            <w:shd w:val="clear" w:color="auto" w:fill="auto"/>
          </w:tcPr>
          <w:p w14:paraId="4803E005"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140F3F84" w14:textId="77777777" w:rsidTr="0062635C">
        <w:tc>
          <w:tcPr>
            <w:tcW w:w="2392" w:type="pct"/>
            <w:shd w:val="clear" w:color="auto" w:fill="auto"/>
          </w:tcPr>
          <w:p w14:paraId="7A881B97"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Internal audit guidance </w:t>
            </w:r>
          </w:p>
        </w:tc>
        <w:tc>
          <w:tcPr>
            <w:tcW w:w="2608" w:type="pct"/>
            <w:shd w:val="clear" w:color="auto" w:fill="auto"/>
          </w:tcPr>
          <w:p w14:paraId="52975E73"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w:t>
            </w:r>
          </w:p>
        </w:tc>
      </w:tr>
      <w:tr w:rsidR="0000193C" w:rsidRPr="006246AC" w14:paraId="57C7203B" w14:textId="77777777" w:rsidTr="0062635C">
        <w:tc>
          <w:tcPr>
            <w:tcW w:w="2392" w:type="pct"/>
            <w:shd w:val="clear" w:color="auto" w:fill="auto"/>
          </w:tcPr>
          <w:p w14:paraId="28046759"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Capability uplift program</w:t>
            </w:r>
          </w:p>
        </w:tc>
        <w:tc>
          <w:tcPr>
            <w:tcW w:w="2608" w:type="pct"/>
            <w:shd w:val="clear" w:color="auto" w:fill="auto"/>
          </w:tcPr>
          <w:p w14:paraId="4BFD843E"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Ongoing</w:t>
            </w:r>
          </w:p>
        </w:tc>
      </w:tr>
      <w:tr w:rsidR="0000193C" w:rsidRPr="006246AC" w14:paraId="630D42B5" w14:textId="77777777" w:rsidTr="0062635C">
        <w:tc>
          <w:tcPr>
            <w:tcW w:w="2392" w:type="pct"/>
            <w:shd w:val="clear" w:color="auto" w:fill="auto"/>
          </w:tcPr>
          <w:p w14:paraId="0D2C4BE2"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People Strategy 2021-23</w:t>
            </w:r>
          </w:p>
        </w:tc>
        <w:tc>
          <w:tcPr>
            <w:tcW w:w="2608" w:type="pct"/>
            <w:shd w:val="clear" w:color="auto" w:fill="auto"/>
          </w:tcPr>
          <w:p w14:paraId="7767C569"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302A3370" w14:textId="77777777" w:rsidTr="0062635C">
        <w:tc>
          <w:tcPr>
            <w:tcW w:w="2392" w:type="pct"/>
            <w:shd w:val="clear" w:color="auto" w:fill="auto"/>
          </w:tcPr>
          <w:p w14:paraId="0EC4F372"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Enterprise Performance Framework 2022-23</w:t>
            </w:r>
          </w:p>
        </w:tc>
        <w:tc>
          <w:tcPr>
            <w:tcW w:w="2608" w:type="pct"/>
            <w:shd w:val="clear" w:color="auto" w:fill="auto"/>
          </w:tcPr>
          <w:p w14:paraId="34BC2026"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451892E9" w14:textId="77777777" w:rsidTr="0062635C">
        <w:tc>
          <w:tcPr>
            <w:tcW w:w="2392" w:type="pct"/>
            <w:shd w:val="clear" w:color="auto" w:fill="auto"/>
          </w:tcPr>
          <w:p w14:paraId="5E041D29"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Security Plan 2021-2024</w:t>
            </w:r>
          </w:p>
        </w:tc>
        <w:tc>
          <w:tcPr>
            <w:tcW w:w="2608" w:type="pct"/>
            <w:shd w:val="clear" w:color="auto" w:fill="auto"/>
          </w:tcPr>
          <w:p w14:paraId="5EDFA70D"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4C8E6B6C" w14:textId="77777777" w:rsidTr="0062635C">
        <w:tc>
          <w:tcPr>
            <w:tcW w:w="2392" w:type="pct"/>
            <w:shd w:val="clear" w:color="auto" w:fill="auto"/>
          </w:tcPr>
          <w:p w14:paraId="5AC8D1C7"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Fraud Control Plan 2021-2023</w:t>
            </w:r>
          </w:p>
        </w:tc>
        <w:tc>
          <w:tcPr>
            <w:tcW w:w="2608" w:type="pct"/>
            <w:shd w:val="clear" w:color="auto" w:fill="auto"/>
          </w:tcPr>
          <w:p w14:paraId="6524B707"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26C1ADB0" w14:textId="77777777" w:rsidTr="0062635C">
        <w:tc>
          <w:tcPr>
            <w:tcW w:w="2392" w:type="pct"/>
            <w:shd w:val="clear" w:color="auto" w:fill="auto"/>
          </w:tcPr>
          <w:p w14:paraId="0EBBECF2"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FOI protocols</w:t>
            </w:r>
          </w:p>
        </w:tc>
        <w:tc>
          <w:tcPr>
            <w:tcW w:w="2608" w:type="pct"/>
            <w:shd w:val="clear" w:color="auto" w:fill="auto"/>
          </w:tcPr>
          <w:p w14:paraId="5A7DCA2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71A0BF83" w14:textId="77777777" w:rsidTr="0062635C">
        <w:tc>
          <w:tcPr>
            <w:tcW w:w="2392" w:type="pct"/>
            <w:shd w:val="clear" w:color="auto" w:fill="auto"/>
          </w:tcPr>
          <w:p w14:paraId="6F30F926"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ICT governance</w:t>
            </w:r>
          </w:p>
        </w:tc>
        <w:tc>
          <w:tcPr>
            <w:tcW w:w="2608" w:type="pct"/>
            <w:shd w:val="clear" w:color="auto" w:fill="auto"/>
          </w:tcPr>
          <w:p w14:paraId="44D31A32" w14:textId="6802DE2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In progress – Change Advisory Board established Interim Architecture </w:t>
            </w:r>
            <w:r w:rsidR="006246AC">
              <w:rPr>
                <w:rFonts w:ascii="Arial" w:hAnsi="Arial" w:cs="Arial"/>
                <w:sz w:val="20"/>
                <w:szCs w:val="20"/>
              </w:rPr>
              <w:t>R</w:t>
            </w:r>
            <w:r w:rsidRPr="006246AC">
              <w:rPr>
                <w:rFonts w:ascii="Arial" w:hAnsi="Arial" w:cs="Arial"/>
                <w:sz w:val="20"/>
                <w:szCs w:val="20"/>
              </w:rPr>
              <w:t>eview Board and Architecture Solutions Board endorsed.</w:t>
            </w:r>
          </w:p>
        </w:tc>
      </w:tr>
      <w:tr w:rsidR="0000193C" w:rsidRPr="006246AC" w14:paraId="693ED8F9" w14:textId="77777777" w:rsidTr="0062635C">
        <w:tc>
          <w:tcPr>
            <w:tcW w:w="2392" w:type="pct"/>
            <w:shd w:val="clear" w:color="auto" w:fill="auto"/>
          </w:tcPr>
          <w:p w14:paraId="3EDFEC24"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Project Governance</w:t>
            </w:r>
          </w:p>
        </w:tc>
        <w:tc>
          <w:tcPr>
            <w:tcW w:w="2608" w:type="pct"/>
            <w:shd w:val="clear" w:color="auto" w:fill="auto"/>
          </w:tcPr>
          <w:p w14:paraId="2F72FC1E"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65152B75" w14:textId="77777777" w:rsidTr="0062635C">
        <w:tc>
          <w:tcPr>
            <w:tcW w:w="2392" w:type="pct"/>
            <w:shd w:val="clear" w:color="auto" w:fill="auto"/>
          </w:tcPr>
          <w:p w14:paraId="2B16ACA3"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Learning and Development Strategy 2022-23</w:t>
            </w:r>
          </w:p>
        </w:tc>
        <w:tc>
          <w:tcPr>
            <w:tcW w:w="2608" w:type="pct"/>
            <w:shd w:val="clear" w:color="auto" w:fill="auto"/>
          </w:tcPr>
          <w:p w14:paraId="1FE9BD70"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03481688" w14:textId="77777777" w:rsidTr="0062635C">
        <w:tc>
          <w:tcPr>
            <w:tcW w:w="2392" w:type="pct"/>
            <w:shd w:val="clear" w:color="auto" w:fill="auto"/>
          </w:tcPr>
          <w:p w14:paraId="78310310"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Wellbeing Plan 2022-24</w:t>
            </w:r>
          </w:p>
        </w:tc>
        <w:tc>
          <w:tcPr>
            <w:tcW w:w="2608" w:type="pct"/>
            <w:shd w:val="clear" w:color="auto" w:fill="auto"/>
          </w:tcPr>
          <w:p w14:paraId="0B4F7BA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66033D86" w14:textId="77777777" w:rsidTr="0062635C">
        <w:tc>
          <w:tcPr>
            <w:tcW w:w="2392" w:type="pct"/>
            <w:shd w:val="clear" w:color="auto" w:fill="auto"/>
          </w:tcPr>
          <w:p w14:paraId="7F9516DA"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Performance Development approach</w:t>
            </w:r>
          </w:p>
        </w:tc>
        <w:tc>
          <w:tcPr>
            <w:tcW w:w="2608" w:type="pct"/>
            <w:shd w:val="clear" w:color="auto" w:fill="auto"/>
          </w:tcPr>
          <w:p w14:paraId="159A92ED"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1D887086" w14:textId="77777777" w:rsidTr="0062635C">
        <w:tc>
          <w:tcPr>
            <w:tcW w:w="2392" w:type="pct"/>
            <w:shd w:val="clear" w:color="auto" w:fill="auto"/>
          </w:tcPr>
          <w:p w14:paraId="255C3D0F"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Accountable Authority Instructions</w:t>
            </w:r>
          </w:p>
        </w:tc>
        <w:tc>
          <w:tcPr>
            <w:tcW w:w="2608" w:type="pct"/>
            <w:shd w:val="clear" w:color="auto" w:fill="auto"/>
          </w:tcPr>
          <w:p w14:paraId="5E9F3A32"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 – to be reviewed concurrently with Corporate Governance Framework, Administrative Policy Framework and Delegations.</w:t>
            </w:r>
          </w:p>
        </w:tc>
      </w:tr>
      <w:tr w:rsidR="0000193C" w:rsidRPr="006246AC" w14:paraId="066A5744" w14:textId="77777777" w:rsidTr="0062635C">
        <w:tc>
          <w:tcPr>
            <w:tcW w:w="2392" w:type="pct"/>
            <w:shd w:val="clear" w:color="auto" w:fill="auto"/>
          </w:tcPr>
          <w:p w14:paraId="16518EC9"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Enterprise Risk Management Framework</w:t>
            </w:r>
          </w:p>
        </w:tc>
        <w:tc>
          <w:tcPr>
            <w:tcW w:w="2608" w:type="pct"/>
            <w:shd w:val="clear" w:color="auto" w:fill="auto"/>
          </w:tcPr>
          <w:p w14:paraId="51DF8125"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16D87FC9" w14:textId="77777777" w:rsidTr="0062635C">
        <w:tc>
          <w:tcPr>
            <w:tcW w:w="2392" w:type="pct"/>
            <w:shd w:val="clear" w:color="auto" w:fill="auto"/>
          </w:tcPr>
          <w:p w14:paraId="38A2719E"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Comprehensive Internal Audit work program 2022-23</w:t>
            </w:r>
          </w:p>
        </w:tc>
        <w:tc>
          <w:tcPr>
            <w:tcW w:w="2608" w:type="pct"/>
            <w:shd w:val="clear" w:color="auto" w:fill="auto"/>
          </w:tcPr>
          <w:p w14:paraId="4AED90CA"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Current </w:t>
            </w:r>
          </w:p>
        </w:tc>
      </w:tr>
      <w:tr w:rsidR="0000193C" w:rsidRPr="006246AC" w14:paraId="10282C87" w14:textId="77777777" w:rsidTr="0062635C">
        <w:tc>
          <w:tcPr>
            <w:tcW w:w="2392" w:type="pct"/>
            <w:shd w:val="clear" w:color="auto" w:fill="auto"/>
          </w:tcPr>
          <w:p w14:paraId="0AAAF2CD"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Privacy Framework</w:t>
            </w:r>
          </w:p>
        </w:tc>
        <w:tc>
          <w:tcPr>
            <w:tcW w:w="2608" w:type="pct"/>
            <w:shd w:val="clear" w:color="auto" w:fill="auto"/>
          </w:tcPr>
          <w:p w14:paraId="5B315F77"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36DB1706" w14:textId="77777777" w:rsidTr="0062635C">
        <w:tc>
          <w:tcPr>
            <w:tcW w:w="2392" w:type="pct"/>
            <w:shd w:val="clear" w:color="auto" w:fill="auto"/>
          </w:tcPr>
          <w:p w14:paraId="7040F7C7"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t>Corporate Digital Toolkit</w:t>
            </w:r>
          </w:p>
        </w:tc>
        <w:tc>
          <w:tcPr>
            <w:tcW w:w="2608" w:type="pct"/>
            <w:shd w:val="clear" w:color="auto" w:fill="auto"/>
          </w:tcPr>
          <w:p w14:paraId="076E8B1A"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Living document – updated continuously as required by business areas.</w:t>
            </w:r>
          </w:p>
        </w:tc>
      </w:tr>
      <w:tr w:rsidR="0000193C" w:rsidRPr="006246AC" w14:paraId="331550C7" w14:textId="77777777" w:rsidTr="0062635C">
        <w:tc>
          <w:tcPr>
            <w:tcW w:w="2392" w:type="pct"/>
            <w:shd w:val="clear" w:color="auto" w:fill="auto"/>
          </w:tcPr>
          <w:p w14:paraId="0E0F0BF6" w14:textId="77777777" w:rsidR="0000193C" w:rsidRPr="006246AC" w:rsidRDefault="0000193C" w:rsidP="00632D2C">
            <w:pPr>
              <w:spacing w:before="40" w:after="40"/>
              <w:rPr>
                <w:rFonts w:ascii="Arial" w:hAnsi="Arial" w:cs="Arial"/>
                <w:b/>
                <w:bCs/>
                <w:sz w:val="20"/>
                <w:szCs w:val="20"/>
              </w:rPr>
            </w:pPr>
            <w:r w:rsidRPr="006246AC">
              <w:rPr>
                <w:rFonts w:ascii="Arial" w:hAnsi="Arial" w:cs="Arial"/>
                <w:sz w:val="20"/>
                <w:szCs w:val="20"/>
              </w:rPr>
              <w:lastRenderedPageBreak/>
              <w:t>Staff Capability Framework</w:t>
            </w:r>
          </w:p>
        </w:tc>
        <w:tc>
          <w:tcPr>
            <w:tcW w:w="2608" w:type="pct"/>
            <w:shd w:val="clear" w:color="auto" w:fill="auto"/>
          </w:tcPr>
          <w:p w14:paraId="724A9A7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In development. </w:t>
            </w:r>
          </w:p>
        </w:tc>
      </w:tr>
      <w:tr w:rsidR="0000193C" w:rsidRPr="006246AC" w14:paraId="434B1C70" w14:textId="77777777" w:rsidTr="0062635C">
        <w:trPr>
          <w:trHeight w:val="91"/>
        </w:trPr>
        <w:tc>
          <w:tcPr>
            <w:tcW w:w="2392" w:type="pct"/>
            <w:shd w:val="clear" w:color="auto" w:fill="auto"/>
          </w:tcPr>
          <w:p w14:paraId="53C8B1F1"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Legislative Compliance Framework</w:t>
            </w:r>
          </w:p>
        </w:tc>
        <w:tc>
          <w:tcPr>
            <w:tcW w:w="2608" w:type="pct"/>
            <w:shd w:val="clear" w:color="auto" w:fill="auto"/>
          </w:tcPr>
          <w:p w14:paraId="555F479C"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Framework in final phase of sign off. Will be circulated to responsible officers by 30 April 2023.</w:t>
            </w:r>
          </w:p>
        </w:tc>
      </w:tr>
      <w:tr w:rsidR="0000193C" w:rsidRPr="006246AC" w14:paraId="63238D34" w14:textId="77777777" w:rsidTr="0062635C">
        <w:tc>
          <w:tcPr>
            <w:tcW w:w="2392" w:type="pct"/>
            <w:shd w:val="clear" w:color="auto" w:fill="auto"/>
          </w:tcPr>
          <w:p w14:paraId="338EDCB0"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Corporate governance structure</w:t>
            </w:r>
          </w:p>
        </w:tc>
        <w:tc>
          <w:tcPr>
            <w:tcW w:w="2608" w:type="pct"/>
            <w:shd w:val="clear" w:color="auto" w:fill="auto"/>
          </w:tcPr>
          <w:p w14:paraId="0AB52A47"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 6 to 8 months</w:t>
            </w:r>
          </w:p>
        </w:tc>
      </w:tr>
      <w:tr w:rsidR="0000193C" w:rsidRPr="006246AC" w14:paraId="127DB14E" w14:textId="77777777" w:rsidTr="0062635C">
        <w:tc>
          <w:tcPr>
            <w:tcW w:w="2392" w:type="pct"/>
            <w:shd w:val="clear" w:color="auto" w:fill="auto"/>
          </w:tcPr>
          <w:p w14:paraId="65ECF28F"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Administrative Policy Framework</w:t>
            </w:r>
          </w:p>
        </w:tc>
        <w:tc>
          <w:tcPr>
            <w:tcW w:w="2608" w:type="pct"/>
            <w:shd w:val="clear" w:color="auto" w:fill="auto"/>
          </w:tcPr>
          <w:p w14:paraId="4E223CA7"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 6 to 12 months</w:t>
            </w:r>
          </w:p>
        </w:tc>
      </w:tr>
      <w:tr w:rsidR="0000193C" w:rsidRPr="006246AC" w14:paraId="7BA13730" w14:textId="77777777" w:rsidTr="0062635C">
        <w:tc>
          <w:tcPr>
            <w:tcW w:w="2392" w:type="pct"/>
            <w:shd w:val="clear" w:color="auto" w:fill="auto"/>
          </w:tcPr>
          <w:p w14:paraId="7B07C09E"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Assurance Frameworks</w:t>
            </w:r>
          </w:p>
        </w:tc>
        <w:tc>
          <w:tcPr>
            <w:tcW w:w="2608" w:type="pct"/>
            <w:shd w:val="clear" w:color="auto" w:fill="auto"/>
          </w:tcPr>
          <w:p w14:paraId="737571F2"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 early work being revisited. Implementation early 2023-24.</w:t>
            </w:r>
          </w:p>
        </w:tc>
      </w:tr>
      <w:tr w:rsidR="0000193C" w:rsidRPr="006246AC" w14:paraId="049224DE" w14:textId="77777777" w:rsidTr="0062635C">
        <w:tc>
          <w:tcPr>
            <w:tcW w:w="2392" w:type="pct"/>
            <w:shd w:val="clear" w:color="auto" w:fill="auto"/>
          </w:tcPr>
          <w:p w14:paraId="72CF2A64"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Integrity Framework</w:t>
            </w:r>
          </w:p>
        </w:tc>
        <w:tc>
          <w:tcPr>
            <w:tcW w:w="2608" w:type="pct"/>
            <w:shd w:val="clear" w:color="auto" w:fill="auto"/>
          </w:tcPr>
          <w:p w14:paraId="109A2535"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 implementation 2023-24.</w:t>
            </w:r>
          </w:p>
        </w:tc>
      </w:tr>
      <w:tr w:rsidR="0000193C" w:rsidRPr="006246AC" w14:paraId="555A0949" w14:textId="77777777" w:rsidTr="0062635C">
        <w:tc>
          <w:tcPr>
            <w:tcW w:w="2392" w:type="pct"/>
            <w:shd w:val="clear" w:color="auto" w:fill="auto"/>
          </w:tcPr>
          <w:p w14:paraId="759D1E7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Business Continuity Planning</w:t>
            </w:r>
          </w:p>
        </w:tc>
        <w:tc>
          <w:tcPr>
            <w:tcW w:w="2608" w:type="pct"/>
            <w:shd w:val="clear" w:color="auto" w:fill="auto"/>
          </w:tcPr>
          <w:p w14:paraId="27A7399D"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 implementation 2023-24.</w:t>
            </w:r>
          </w:p>
        </w:tc>
      </w:tr>
      <w:tr w:rsidR="0000193C" w:rsidRPr="006246AC" w14:paraId="3F9206FC" w14:textId="77777777" w:rsidTr="0062635C">
        <w:tc>
          <w:tcPr>
            <w:tcW w:w="2392" w:type="pct"/>
            <w:shd w:val="clear" w:color="auto" w:fill="auto"/>
          </w:tcPr>
          <w:p w14:paraId="7A2319C5"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Change Management Framework</w:t>
            </w:r>
          </w:p>
        </w:tc>
        <w:tc>
          <w:tcPr>
            <w:tcW w:w="2608" w:type="pct"/>
            <w:shd w:val="clear" w:color="auto" w:fill="auto"/>
          </w:tcPr>
          <w:p w14:paraId="2FA09C1E" w14:textId="66D78B4E"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 framework developed an approved 2022. Supporting artefact</w:t>
            </w:r>
            <w:r w:rsidR="006246AC">
              <w:rPr>
                <w:rFonts w:ascii="Arial" w:hAnsi="Arial" w:cs="Arial"/>
                <w:sz w:val="20"/>
                <w:szCs w:val="20"/>
              </w:rPr>
              <w:t>s</w:t>
            </w:r>
            <w:r w:rsidRPr="006246AC">
              <w:rPr>
                <w:rFonts w:ascii="Arial" w:hAnsi="Arial" w:cs="Arial"/>
                <w:sz w:val="20"/>
                <w:szCs w:val="20"/>
              </w:rPr>
              <w:t xml:space="preserve"> and documentation launched. Community of Practice established.</w:t>
            </w:r>
          </w:p>
        </w:tc>
      </w:tr>
      <w:tr w:rsidR="0000193C" w:rsidRPr="006246AC" w14:paraId="4E736160" w14:textId="77777777" w:rsidTr="0062635C">
        <w:tc>
          <w:tcPr>
            <w:tcW w:w="2392" w:type="pct"/>
            <w:shd w:val="clear" w:color="auto" w:fill="auto"/>
          </w:tcPr>
          <w:p w14:paraId="6022D473"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Consumer engagement plan – May 2022</w:t>
            </w:r>
          </w:p>
        </w:tc>
        <w:tc>
          <w:tcPr>
            <w:tcW w:w="2608" w:type="pct"/>
            <w:shd w:val="clear" w:color="auto" w:fill="auto"/>
          </w:tcPr>
          <w:p w14:paraId="333D36FD"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 Living document – current version dated December 2022</w:t>
            </w:r>
          </w:p>
        </w:tc>
      </w:tr>
      <w:tr w:rsidR="0000193C" w:rsidRPr="006246AC" w14:paraId="038E9357" w14:textId="77777777" w:rsidTr="0062635C">
        <w:tc>
          <w:tcPr>
            <w:tcW w:w="2392" w:type="pct"/>
            <w:shd w:val="clear" w:color="auto" w:fill="auto"/>
          </w:tcPr>
          <w:p w14:paraId="3B6B7512" w14:textId="5CB6C3A6" w:rsidR="0000193C" w:rsidRPr="006246AC" w:rsidRDefault="00AF5A6D" w:rsidP="00632D2C">
            <w:pPr>
              <w:spacing w:before="40" w:after="40"/>
              <w:rPr>
                <w:rFonts w:ascii="Arial" w:hAnsi="Arial" w:cs="Arial"/>
                <w:sz w:val="20"/>
                <w:szCs w:val="20"/>
              </w:rPr>
            </w:pPr>
            <w:r>
              <w:rPr>
                <w:rFonts w:ascii="Arial" w:hAnsi="Arial" w:cs="Arial"/>
                <w:sz w:val="20"/>
                <w:szCs w:val="20"/>
              </w:rPr>
              <w:t xml:space="preserve">Data and </w:t>
            </w:r>
            <w:r w:rsidR="0000193C" w:rsidRPr="006246AC">
              <w:rPr>
                <w:rFonts w:ascii="Arial" w:hAnsi="Arial" w:cs="Arial"/>
                <w:sz w:val="20"/>
                <w:szCs w:val="20"/>
              </w:rPr>
              <w:t xml:space="preserve">Intelligence Capability Framework </w:t>
            </w:r>
          </w:p>
        </w:tc>
        <w:tc>
          <w:tcPr>
            <w:tcW w:w="2608" w:type="pct"/>
            <w:shd w:val="clear" w:color="auto" w:fill="auto"/>
          </w:tcPr>
          <w:p w14:paraId="2476FB2C" w14:textId="2C99CA09"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 Work commenc</w:t>
            </w:r>
            <w:r w:rsidR="00AF5A6D">
              <w:rPr>
                <w:rFonts w:ascii="Arial" w:hAnsi="Arial" w:cs="Arial"/>
                <w:sz w:val="20"/>
                <w:szCs w:val="20"/>
              </w:rPr>
              <w:t>ed</w:t>
            </w:r>
            <w:r w:rsidRPr="006246AC">
              <w:rPr>
                <w:rFonts w:ascii="Arial" w:hAnsi="Arial" w:cs="Arial"/>
                <w:sz w:val="20"/>
                <w:szCs w:val="20"/>
              </w:rPr>
              <w:t xml:space="preserve"> March 2023.</w:t>
            </w:r>
          </w:p>
        </w:tc>
      </w:tr>
      <w:tr w:rsidR="0000193C" w:rsidRPr="006246AC" w14:paraId="75DBD338" w14:textId="77777777" w:rsidTr="0062635C">
        <w:tc>
          <w:tcPr>
            <w:tcW w:w="2392" w:type="pct"/>
            <w:shd w:val="clear" w:color="auto" w:fill="auto"/>
          </w:tcPr>
          <w:p w14:paraId="0FB7279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Digital Strategy 2022-2025</w:t>
            </w:r>
          </w:p>
        </w:tc>
        <w:tc>
          <w:tcPr>
            <w:tcW w:w="2608" w:type="pct"/>
            <w:shd w:val="clear" w:color="auto" w:fill="auto"/>
          </w:tcPr>
          <w:p w14:paraId="0077253A"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 xml:space="preserve">Current </w:t>
            </w:r>
          </w:p>
        </w:tc>
      </w:tr>
      <w:tr w:rsidR="0000193C" w:rsidRPr="006246AC" w14:paraId="10319D02" w14:textId="77777777" w:rsidTr="0062635C">
        <w:tc>
          <w:tcPr>
            <w:tcW w:w="2392" w:type="pct"/>
            <w:shd w:val="clear" w:color="auto" w:fill="auto"/>
          </w:tcPr>
          <w:p w14:paraId="0D43118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Data Management Framework</w:t>
            </w:r>
          </w:p>
        </w:tc>
        <w:tc>
          <w:tcPr>
            <w:tcW w:w="2608" w:type="pct"/>
            <w:shd w:val="clear" w:color="auto" w:fill="auto"/>
          </w:tcPr>
          <w:p w14:paraId="6104CCCC"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w:t>
            </w:r>
          </w:p>
        </w:tc>
      </w:tr>
      <w:tr w:rsidR="0000193C" w:rsidRPr="006246AC" w14:paraId="6967C452" w14:textId="77777777" w:rsidTr="0062635C">
        <w:tc>
          <w:tcPr>
            <w:tcW w:w="2392" w:type="pct"/>
            <w:shd w:val="clear" w:color="auto" w:fill="auto"/>
          </w:tcPr>
          <w:p w14:paraId="5A61029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Actionable intelligence tool</w:t>
            </w:r>
          </w:p>
        </w:tc>
        <w:tc>
          <w:tcPr>
            <w:tcW w:w="2608" w:type="pct"/>
            <w:shd w:val="clear" w:color="auto" w:fill="auto"/>
          </w:tcPr>
          <w:p w14:paraId="56ADECF1"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w:t>
            </w:r>
          </w:p>
        </w:tc>
      </w:tr>
      <w:tr w:rsidR="0000193C" w:rsidRPr="006246AC" w14:paraId="5E24AA61" w14:textId="77777777" w:rsidTr="0062635C">
        <w:tc>
          <w:tcPr>
            <w:tcW w:w="2392" w:type="pct"/>
            <w:shd w:val="clear" w:color="auto" w:fill="auto"/>
          </w:tcPr>
          <w:p w14:paraId="4CE377C6"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Clinical Advisor capability and competency framework and tools</w:t>
            </w:r>
          </w:p>
        </w:tc>
        <w:tc>
          <w:tcPr>
            <w:tcW w:w="2608" w:type="pct"/>
            <w:shd w:val="clear" w:color="auto" w:fill="auto"/>
          </w:tcPr>
          <w:p w14:paraId="4D76B5AE"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Current</w:t>
            </w:r>
          </w:p>
        </w:tc>
      </w:tr>
      <w:tr w:rsidR="0000193C" w:rsidRPr="006246AC" w14:paraId="43FA6FEB" w14:textId="77777777" w:rsidTr="0062635C">
        <w:tc>
          <w:tcPr>
            <w:tcW w:w="2392" w:type="pct"/>
            <w:shd w:val="clear" w:color="auto" w:fill="auto"/>
          </w:tcPr>
          <w:p w14:paraId="3FA920BB"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Clinical Governance Framework</w:t>
            </w:r>
          </w:p>
        </w:tc>
        <w:tc>
          <w:tcPr>
            <w:tcW w:w="2608" w:type="pct"/>
            <w:shd w:val="clear" w:color="auto" w:fill="auto"/>
          </w:tcPr>
          <w:p w14:paraId="56598970" w14:textId="77777777" w:rsidR="0000193C" w:rsidRPr="006246AC" w:rsidRDefault="0000193C" w:rsidP="00632D2C">
            <w:pPr>
              <w:spacing w:before="40" w:after="40"/>
              <w:rPr>
                <w:rFonts w:ascii="Arial" w:hAnsi="Arial" w:cs="Arial"/>
                <w:sz w:val="20"/>
                <w:szCs w:val="20"/>
              </w:rPr>
            </w:pPr>
            <w:r w:rsidRPr="006246AC">
              <w:rPr>
                <w:rFonts w:ascii="Arial" w:hAnsi="Arial" w:cs="Arial"/>
                <w:sz w:val="20"/>
                <w:szCs w:val="20"/>
              </w:rPr>
              <w:t>In development</w:t>
            </w:r>
          </w:p>
        </w:tc>
      </w:tr>
    </w:tbl>
    <w:p w14:paraId="31E55FDF" w14:textId="77777777" w:rsidR="000A3399" w:rsidRPr="000A3399" w:rsidRDefault="000A3399" w:rsidP="0000193C">
      <w:pPr>
        <w:spacing w:before="240" w:after="120" w:line="240" w:lineRule="auto"/>
        <w:rPr>
          <w:rFonts w:ascii="Arial" w:hAnsi="Arial" w:cs="Arial"/>
          <w:sz w:val="24"/>
          <w:szCs w:val="24"/>
        </w:rPr>
      </w:pPr>
    </w:p>
    <w:p w14:paraId="075CF579" w14:textId="44BD6C02" w:rsidR="0062635C" w:rsidRPr="0062635C" w:rsidRDefault="0062635C" w:rsidP="0000193C">
      <w:pPr>
        <w:spacing w:before="240" w:after="120" w:line="240" w:lineRule="auto"/>
        <w:rPr>
          <w:rFonts w:ascii="Arial" w:hAnsi="Arial" w:cs="Arial"/>
          <w:b/>
          <w:bCs/>
          <w:sz w:val="28"/>
          <w:szCs w:val="28"/>
        </w:rPr>
      </w:pPr>
      <w:r w:rsidRPr="0062635C">
        <w:rPr>
          <w:rFonts w:ascii="Arial" w:hAnsi="Arial" w:cs="Arial"/>
          <w:b/>
          <w:bCs/>
          <w:sz w:val="28"/>
          <w:szCs w:val="28"/>
        </w:rPr>
        <w:t>3.10 Regulatory performance</w:t>
      </w:r>
    </w:p>
    <w:p w14:paraId="1BBA9833" w14:textId="39C212B5" w:rsidR="00E92F6C" w:rsidRPr="00E92F6C" w:rsidRDefault="00E92F6C" w:rsidP="00E92F6C">
      <w:pPr>
        <w:spacing w:before="240" w:after="120" w:line="240" w:lineRule="auto"/>
        <w:rPr>
          <w:rFonts w:ascii="Arial" w:hAnsi="Arial" w:cs="Arial"/>
          <w:b/>
          <w:bCs/>
          <w:sz w:val="24"/>
          <w:szCs w:val="24"/>
        </w:rPr>
      </w:pPr>
      <w:r w:rsidRPr="00E92F6C">
        <w:rPr>
          <w:rFonts w:ascii="Arial" w:hAnsi="Arial" w:cs="Arial"/>
          <w:b/>
          <w:bCs/>
          <w:sz w:val="24"/>
          <w:szCs w:val="24"/>
        </w:rPr>
        <w:t>3.</w:t>
      </w:r>
      <w:r w:rsidR="0062635C">
        <w:rPr>
          <w:rFonts w:ascii="Arial" w:hAnsi="Arial" w:cs="Arial"/>
          <w:b/>
          <w:bCs/>
          <w:sz w:val="24"/>
          <w:szCs w:val="24"/>
        </w:rPr>
        <w:t>10.1</w:t>
      </w:r>
      <w:r w:rsidRPr="00E92F6C">
        <w:rPr>
          <w:rFonts w:ascii="Arial" w:hAnsi="Arial" w:cs="Arial"/>
          <w:b/>
          <w:bCs/>
          <w:sz w:val="24"/>
          <w:szCs w:val="24"/>
        </w:rPr>
        <w:t xml:space="preserve"> Performance reporting – Portfolio Budget Statements</w:t>
      </w:r>
      <w:r w:rsidR="009E53EE" w:rsidRPr="00E92F6C">
        <w:rPr>
          <w:rFonts w:ascii="Arial" w:hAnsi="Arial" w:cs="Arial"/>
          <w:b/>
          <w:bCs/>
          <w:sz w:val="24"/>
          <w:szCs w:val="24"/>
          <w:vertAlign w:val="superscript"/>
        </w:rPr>
        <w:footnoteReference w:id="15"/>
      </w:r>
    </w:p>
    <w:p w14:paraId="606D9DCA" w14:textId="373812D7" w:rsidR="00E92F6C" w:rsidRPr="00BE3BCE" w:rsidRDefault="00E92F6C" w:rsidP="00E92F6C">
      <w:pPr>
        <w:spacing w:before="240" w:after="120" w:line="240" w:lineRule="auto"/>
        <w:rPr>
          <w:rFonts w:ascii="Arial" w:hAnsi="Arial" w:cs="Arial"/>
          <w:sz w:val="24"/>
          <w:szCs w:val="24"/>
        </w:rPr>
      </w:pPr>
      <w:r w:rsidRPr="00BE3BCE">
        <w:rPr>
          <w:rFonts w:ascii="Arial" w:hAnsi="Arial" w:cs="Arial"/>
          <w:sz w:val="24"/>
          <w:szCs w:val="24"/>
        </w:rPr>
        <w:t xml:space="preserve">Reporting </w:t>
      </w:r>
      <w:r w:rsidR="00027CEB">
        <w:rPr>
          <w:rFonts w:ascii="Arial" w:hAnsi="Arial" w:cs="Arial"/>
          <w:sz w:val="24"/>
          <w:szCs w:val="24"/>
        </w:rPr>
        <w:t xml:space="preserve">actual performance </w:t>
      </w:r>
      <w:r w:rsidRPr="00BE3BCE">
        <w:rPr>
          <w:rFonts w:ascii="Arial" w:hAnsi="Arial" w:cs="Arial"/>
          <w:sz w:val="24"/>
          <w:szCs w:val="24"/>
        </w:rPr>
        <w:t>against</w:t>
      </w:r>
      <w:r w:rsidR="00027CEB">
        <w:rPr>
          <w:rFonts w:ascii="Arial" w:hAnsi="Arial" w:cs="Arial"/>
          <w:sz w:val="24"/>
          <w:szCs w:val="24"/>
        </w:rPr>
        <w:t xml:space="preserve"> the performance targets set down in</w:t>
      </w:r>
      <w:r w:rsidRPr="00BE3BCE">
        <w:rPr>
          <w:rFonts w:ascii="Arial" w:hAnsi="Arial" w:cs="Arial"/>
          <w:sz w:val="24"/>
          <w:szCs w:val="24"/>
        </w:rPr>
        <w:t xml:space="preserve"> Portfolio Budget Statements (PBS) is one way of measuring the Commission’s effectiveness. The Commission’s PBS </w:t>
      </w:r>
      <w:proofErr w:type="gramStart"/>
      <w:r w:rsidRPr="00BE3BCE">
        <w:rPr>
          <w:rFonts w:ascii="Arial" w:hAnsi="Arial" w:cs="Arial"/>
          <w:sz w:val="24"/>
          <w:szCs w:val="24"/>
        </w:rPr>
        <w:t>measures</w:t>
      </w:r>
      <w:proofErr w:type="gramEnd"/>
      <w:r w:rsidRPr="00BE3BCE">
        <w:rPr>
          <w:rFonts w:ascii="Arial" w:hAnsi="Arial" w:cs="Arial"/>
          <w:sz w:val="24"/>
          <w:szCs w:val="24"/>
        </w:rPr>
        <w:t xml:space="preserve"> </w:t>
      </w:r>
      <w:r w:rsidR="00A80879">
        <w:rPr>
          <w:rFonts w:ascii="Arial" w:hAnsi="Arial" w:cs="Arial"/>
          <w:sz w:val="24"/>
          <w:szCs w:val="24"/>
        </w:rPr>
        <w:t xml:space="preserve">and targets </w:t>
      </w:r>
      <w:r w:rsidRPr="00BE3BCE">
        <w:rPr>
          <w:rFonts w:ascii="Arial" w:hAnsi="Arial" w:cs="Arial"/>
          <w:sz w:val="24"/>
          <w:szCs w:val="24"/>
        </w:rPr>
        <w:t>have remained largely the same since its establishment in 2019. Three measures are identified:</w:t>
      </w:r>
    </w:p>
    <w:p w14:paraId="684B303D" w14:textId="77777777" w:rsidR="00E92F6C" w:rsidRPr="00BE3BCE" w:rsidRDefault="00E92F6C" w:rsidP="001750D5">
      <w:pPr>
        <w:numPr>
          <w:ilvl w:val="0"/>
          <w:numId w:val="14"/>
        </w:numPr>
        <w:spacing w:before="120" w:after="120" w:line="240" w:lineRule="auto"/>
        <w:rPr>
          <w:rFonts w:ascii="Arial" w:hAnsi="Arial" w:cs="Arial"/>
          <w:sz w:val="24"/>
          <w:szCs w:val="24"/>
        </w:rPr>
      </w:pPr>
      <w:r w:rsidRPr="00BE3BCE">
        <w:rPr>
          <w:rFonts w:ascii="Arial" w:hAnsi="Arial" w:cs="Arial"/>
          <w:sz w:val="24"/>
          <w:szCs w:val="24"/>
        </w:rPr>
        <w:t>Monitoring aged care service provider compliance with the aged care standards, by conducting a specified number of site audits for residential services, quality reviews for home care services and assessment contacts across all services.</w:t>
      </w:r>
    </w:p>
    <w:p w14:paraId="2786768B" w14:textId="2447489D" w:rsidR="00E92F6C" w:rsidRDefault="00E92F6C" w:rsidP="001750D5">
      <w:pPr>
        <w:numPr>
          <w:ilvl w:val="1"/>
          <w:numId w:val="5"/>
        </w:numPr>
        <w:spacing w:before="120" w:after="240" w:line="240" w:lineRule="auto"/>
        <w:ind w:left="851" w:hanging="567"/>
        <w:rPr>
          <w:rFonts w:ascii="Arial" w:hAnsi="Arial" w:cs="Arial"/>
          <w:sz w:val="24"/>
          <w:szCs w:val="24"/>
        </w:rPr>
      </w:pPr>
      <w:r w:rsidRPr="00BE3BCE">
        <w:rPr>
          <w:rFonts w:ascii="Arial" w:hAnsi="Arial" w:cs="Arial"/>
          <w:sz w:val="24"/>
          <w:szCs w:val="24"/>
        </w:rPr>
        <w:t>It is difficult to confidently compare the Commission’s performance commentary against the PBS</w:t>
      </w:r>
      <w:r w:rsidR="00A80879">
        <w:rPr>
          <w:rFonts w:ascii="Arial" w:hAnsi="Arial" w:cs="Arial"/>
          <w:sz w:val="24"/>
          <w:szCs w:val="24"/>
        </w:rPr>
        <w:t xml:space="preserve"> </w:t>
      </w:r>
      <w:r w:rsidR="00A23E95">
        <w:rPr>
          <w:rFonts w:ascii="Arial" w:hAnsi="Arial" w:cs="Arial"/>
          <w:sz w:val="24"/>
          <w:szCs w:val="24"/>
        </w:rPr>
        <w:t>estimated/expected results</w:t>
      </w:r>
      <w:r w:rsidRPr="00BE3BCE">
        <w:rPr>
          <w:rFonts w:ascii="Arial" w:hAnsi="Arial" w:cs="Arial"/>
          <w:sz w:val="24"/>
          <w:szCs w:val="24"/>
        </w:rPr>
        <w:t>. While the</w:t>
      </w:r>
      <w:r w:rsidR="00A80879">
        <w:rPr>
          <w:rFonts w:ascii="Arial" w:hAnsi="Arial" w:cs="Arial"/>
          <w:sz w:val="24"/>
          <w:szCs w:val="24"/>
        </w:rPr>
        <w:t xml:space="preserve">re are </w:t>
      </w:r>
      <w:r w:rsidRPr="00BE3BCE">
        <w:rPr>
          <w:rFonts w:ascii="Arial" w:hAnsi="Arial" w:cs="Arial"/>
          <w:sz w:val="24"/>
          <w:szCs w:val="24"/>
        </w:rPr>
        <w:t xml:space="preserve">separate targets for the three types of activity, the Commission states the measure has been met but does not </w:t>
      </w:r>
      <w:r w:rsidR="00A23E95">
        <w:rPr>
          <w:rFonts w:ascii="Arial" w:hAnsi="Arial" w:cs="Arial"/>
          <w:sz w:val="24"/>
          <w:szCs w:val="24"/>
        </w:rPr>
        <w:t xml:space="preserve">consistently and </w:t>
      </w:r>
      <w:r w:rsidRPr="00BE3BCE">
        <w:rPr>
          <w:rFonts w:ascii="Arial" w:hAnsi="Arial" w:cs="Arial"/>
          <w:sz w:val="24"/>
          <w:szCs w:val="24"/>
        </w:rPr>
        <w:t xml:space="preserve">clearly report against each </w:t>
      </w:r>
      <w:r w:rsidR="00A23E95">
        <w:rPr>
          <w:rFonts w:ascii="Arial" w:hAnsi="Arial" w:cs="Arial"/>
          <w:sz w:val="24"/>
          <w:szCs w:val="24"/>
        </w:rPr>
        <w:t xml:space="preserve">activity </w:t>
      </w:r>
      <w:r w:rsidR="00156E97">
        <w:rPr>
          <w:rFonts w:ascii="Arial" w:hAnsi="Arial" w:cs="Arial"/>
          <w:sz w:val="24"/>
          <w:szCs w:val="24"/>
        </w:rPr>
        <w:t xml:space="preserve">(see Table </w:t>
      </w:r>
      <w:r w:rsidR="00786D55">
        <w:rPr>
          <w:rFonts w:ascii="Arial" w:hAnsi="Arial" w:cs="Arial"/>
          <w:sz w:val="24"/>
          <w:szCs w:val="24"/>
        </w:rPr>
        <w:t>3</w:t>
      </w:r>
      <w:r w:rsidR="00156E97">
        <w:rPr>
          <w:rFonts w:ascii="Arial" w:hAnsi="Arial" w:cs="Arial"/>
          <w:sz w:val="24"/>
          <w:szCs w:val="24"/>
        </w:rPr>
        <w:t>)</w:t>
      </w:r>
      <w:r w:rsidRPr="00BE3BCE">
        <w:rPr>
          <w:rFonts w:ascii="Arial" w:hAnsi="Arial" w:cs="Arial"/>
          <w:sz w:val="24"/>
          <w:szCs w:val="24"/>
        </w:rPr>
        <w:t xml:space="preserve">. </w:t>
      </w:r>
    </w:p>
    <w:p w14:paraId="78266355" w14:textId="5DB972FE" w:rsidR="00AF5A6D" w:rsidRDefault="00476704" w:rsidP="00B02548">
      <w:pPr>
        <w:keepNext/>
        <w:spacing w:after="240" w:line="240" w:lineRule="auto"/>
        <w:rPr>
          <w:rFonts w:ascii="Times New Roman" w:hAnsi="Times New Roman" w:cs="Times New Roman"/>
          <w:sz w:val="24"/>
          <w:szCs w:val="24"/>
          <w:lang w:eastAsia="en-AU"/>
        </w:rPr>
      </w:pPr>
      <w:r w:rsidRPr="00156E97">
        <w:rPr>
          <w:rFonts w:ascii="Arial" w:hAnsi="Arial" w:cs="Arial"/>
          <w:b/>
          <w:bCs/>
          <w:sz w:val="24"/>
          <w:szCs w:val="24"/>
        </w:rPr>
        <w:lastRenderedPageBreak/>
        <w:t xml:space="preserve">Table </w:t>
      </w:r>
      <w:r w:rsidR="00786D55">
        <w:rPr>
          <w:rFonts w:ascii="Arial" w:hAnsi="Arial" w:cs="Arial"/>
          <w:b/>
          <w:bCs/>
          <w:sz w:val="24"/>
          <w:szCs w:val="24"/>
        </w:rPr>
        <w:t>3</w:t>
      </w:r>
      <w:r w:rsidRPr="00156E97">
        <w:rPr>
          <w:rFonts w:ascii="Arial" w:hAnsi="Arial" w:cs="Arial"/>
          <w:b/>
          <w:bCs/>
          <w:sz w:val="24"/>
          <w:szCs w:val="24"/>
        </w:rPr>
        <w:t xml:space="preserve">: </w:t>
      </w:r>
      <w:r w:rsidR="00156E97" w:rsidRPr="00156E97">
        <w:rPr>
          <w:rFonts w:ascii="Arial" w:hAnsi="Arial" w:cs="Arial"/>
          <w:b/>
          <w:bCs/>
          <w:sz w:val="24"/>
          <w:szCs w:val="24"/>
        </w:rPr>
        <w:t xml:space="preserve">Reporting against PBS </w:t>
      </w:r>
      <w:r w:rsidR="00A23E95">
        <w:rPr>
          <w:rFonts w:ascii="Arial" w:hAnsi="Arial" w:cs="Arial"/>
          <w:b/>
          <w:bCs/>
          <w:sz w:val="24"/>
          <w:szCs w:val="24"/>
        </w:rPr>
        <w:t>measure: Monitor aged care service provider’s compliance with the aged care standards</w:t>
      </w:r>
      <w:r w:rsidR="00AF5A6D">
        <w:rPr>
          <w:rFonts w:ascii="Times New Roman" w:hAnsi="Times New Roman" w:cs="Times New Roman"/>
          <w:sz w:val="24"/>
          <w:szCs w:val="24"/>
          <w:lang w:eastAsia="en-AU"/>
        </w:rPr>
        <w:t xml:space="preserve"> </w:t>
      </w:r>
    </w:p>
    <w:tbl>
      <w:tblPr>
        <w:tblStyle w:val="TableGrid"/>
        <w:tblW w:w="9776" w:type="dxa"/>
        <w:tblLook w:val="04A0" w:firstRow="1" w:lastRow="0" w:firstColumn="1" w:lastColumn="0" w:noHBand="0" w:noVBand="1"/>
      </w:tblPr>
      <w:tblGrid>
        <w:gridCol w:w="1129"/>
        <w:gridCol w:w="3686"/>
        <w:gridCol w:w="4961"/>
      </w:tblGrid>
      <w:tr w:rsidR="00EF093A" w:rsidRPr="0021112F" w14:paraId="483A6FE3" w14:textId="77777777" w:rsidTr="0024199A">
        <w:trPr>
          <w:cantSplit/>
          <w:tblHeader/>
        </w:trPr>
        <w:tc>
          <w:tcPr>
            <w:tcW w:w="1129" w:type="dxa"/>
            <w:shd w:val="clear" w:color="auto" w:fill="D9E2F3" w:themeFill="accent1" w:themeFillTint="33"/>
          </w:tcPr>
          <w:p w14:paraId="7500F27A" w14:textId="77777777" w:rsidR="00EF093A" w:rsidRPr="0021112F" w:rsidRDefault="00EF093A" w:rsidP="00FA3266">
            <w:pPr>
              <w:rPr>
                <w:rFonts w:ascii="Arial" w:hAnsi="Arial" w:cs="Arial"/>
                <w:b/>
                <w:bCs/>
                <w:sz w:val="20"/>
                <w:szCs w:val="20"/>
                <w:lang w:eastAsia="en-AU"/>
              </w:rPr>
            </w:pPr>
            <w:bookmarkStart w:id="10" w:name="_Hlk130991300"/>
          </w:p>
        </w:tc>
        <w:tc>
          <w:tcPr>
            <w:tcW w:w="3686" w:type="dxa"/>
            <w:shd w:val="clear" w:color="auto" w:fill="D9E2F3" w:themeFill="accent1" w:themeFillTint="33"/>
          </w:tcPr>
          <w:p w14:paraId="40631C92" w14:textId="77777777" w:rsidR="00EF093A" w:rsidRPr="0021112F" w:rsidRDefault="00EF093A" w:rsidP="00FA3266">
            <w:pPr>
              <w:rPr>
                <w:rFonts w:ascii="Arial" w:hAnsi="Arial" w:cs="Arial"/>
                <w:b/>
                <w:bCs/>
                <w:sz w:val="20"/>
                <w:szCs w:val="20"/>
                <w:lang w:eastAsia="en-AU"/>
              </w:rPr>
            </w:pPr>
            <w:r w:rsidRPr="0021112F">
              <w:rPr>
                <w:rFonts w:ascii="Arial" w:hAnsi="Arial" w:cs="Arial"/>
                <w:b/>
                <w:bCs/>
                <w:sz w:val="20"/>
                <w:szCs w:val="20"/>
                <w:lang w:eastAsia="en-AU"/>
              </w:rPr>
              <w:t>PBS Estimated/ Expected result</w:t>
            </w:r>
          </w:p>
          <w:p w14:paraId="354BD665" w14:textId="77777777" w:rsidR="00EF093A" w:rsidRPr="0021112F" w:rsidRDefault="00EF093A" w:rsidP="00FA3266">
            <w:pPr>
              <w:rPr>
                <w:rFonts w:ascii="Arial" w:hAnsi="Arial" w:cs="Arial"/>
                <w:b/>
                <w:bCs/>
                <w:sz w:val="20"/>
                <w:szCs w:val="20"/>
                <w:lang w:eastAsia="en-AU"/>
              </w:rPr>
            </w:pPr>
          </w:p>
          <w:p w14:paraId="396CB3DD" w14:textId="77777777" w:rsidR="00EF093A" w:rsidRPr="0021112F" w:rsidRDefault="00EF093A" w:rsidP="00FA3266">
            <w:pPr>
              <w:rPr>
                <w:rFonts w:ascii="Arial" w:hAnsi="Arial" w:cs="Arial"/>
                <w:b/>
                <w:bCs/>
                <w:sz w:val="20"/>
                <w:szCs w:val="20"/>
                <w:lang w:eastAsia="en-AU"/>
              </w:rPr>
            </w:pPr>
          </w:p>
        </w:tc>
        <w:tc>
          <w:tcPr>
            <w:tcW w:w="4961" w:type="dxa"/>
            <w:shd w:val="clear" w:color="auto" w:fill="D9E2F3" w:themeFill="accent1" w:themeFillTint="33"/>
          </w:tcPr>
          <w:p w14:paraId="1A3CF097" w14:textId="77777777" w:rsidR="00EF093A" w:rsidRPr="0021112F" w:rsidRDefault="00EF093A" w:rsidP="00FA3266">
            <w:pPr>
              <w:rPr>
                <w:rFonts w:ascii="Arial" w:hAnsi="Arial" w:cs="Arial"/>
                <w:b/>
                <w:bCs/>
                <w:sz w:val="20"/>
                <w:szCs w:val="20"/>
                <w:lang w:eastAsia="en-AU"/>
              </w:rPr>
            </w:pPr>
            <w:r w:rsidRPr="0021112F">
              <w:rPr>
                <w:rFonts w:ascii="Arial" w:hAnsi="Arial" w:cs="Arial"/>
                <w:b/>
                <w:bCs/>
                <w:sz w:val="20"/>
                <w:szCs w:val="20"/>
                <w:lang w:eastAsia="en-AU"/>
              </w:rPr>
              <w:t>Commission Outcome</w:t>
            </w:r>
          </w:p>
          <w:p w14:paraId="2EE69963" w14:textId="77777777" w:rsidR="00EF093A" w:rsidRPr="0021112F" w:rsidRDefault="00EF093A" w:rsidP="00FA3266">
            <w:pPr>
              <w:rPr>
                <w:rFonts w:ascii="Arial" w:hAnsi="Arial" w:cs="Arial"/>
                <w:b/>
                <w:bCs/>
                <w:sz w:val="20"/>
                <w:szCs w:val="20"/>
                <w:lang w:eastAsia="en-AU"/>
              </w:rPr>
            </w:pPr>
          </w:p>
          <w:p w14:paraId="5F973E35" w14:textId="77777777" w:rsidR="00EF093A" w:rsidRPr="0021112F" w:rsidRDefault="00EF093A" w:rsidP="00FA3266">
            <w:pPr>
              <w:rPr>
                <w:rFonts w:ascii="Arial" w:hAnsi="Arial" w:cs="Arial"/>
                <w:i/>
                <w:iCs/>
                <w:sz w:val="20"/>
                <w:szCs w:val="20"/>
                <w:lang w:eastAsia="en-AU"/>
              </w:rPr>
            </w:pPr>
          </w:p>
        </w:tc>
      </w:tr>
      <w:tr w:rsidR="00EF093A" w:rsidRPr="0021112F" w14:paraId="324572B1" w14:textId="77777777" w:rsidTr="00FA3266">
        <w:tc>
          <w:tcPr>
            <w:tcW w:w="1129" w:type="dxa"/>
            <w:shd w:val="clear" w:color="auto" w:fill="D9E2F3" w:themeFill="accent1" w:themeFillTint="33"/>
          </w:tcPr>
          <w:p w14:paraId="04E3423E" w14:textId="77777777" w:rsidR="00EF093A" w:rsidRPr="0021112F" w:rsidRDefault="00EF093A" w:rsidP="00FA3266">
            <w:pPr>
              <w:rPr>
                <w:rFonts w:ascii="Arial" w:hAnsi="Arial" w:cs="Arial"/>
                <w:b/>
                <w:bCs/>
                <w:sz w:val="20"/>
                <w:szCs w:val="20"/>
                <w:lang w:eastAsia="en-AU"/>
              </w:rPr>
            </w:pPr>
            <w:r w:rsidRPr="0021112F">
              <w:rPr>
                <w:rFonts w:ascii="Arial" w:hAnsi="Arial" w:cs="Arial"/>
                <w:b/>
                <w:bCs/>
                <w:sz w:val="20"/>
                <w:szCs w:val="20"/>
                <w:lang w:eastAsia="en-AU"/>
              </w:rPr>
              <w:t>2020-21</w:t>
            </w:r>
          </w:p>
        </w:tc>
        <w:tc>
          <w:tcPr>
            <w:tcW w:w="3686" w:type="dxa"/>
          </w:tcPr>
          <w:p w14:paraId="1D70F1C8" w14:textId="77777777" w:rsidR="00EF093A" w:rsidRPr="0021112F" w:rsidRDefault="00EF093A" w:rsidP="00FA3266">
            <w:pPr>
              <w:rPr>
                <w:rFonts w:ascii="Arial" w:hAnsi="Arial" w:cs="Arial"/>
                <w:sz w:val="20"/>
                <w:szCs w:val="20"/>
              </w:rPr>
            </w:pPr>
            <w:r w:rsidRPr="0021112F">
              <w:rPr>
                <w:rFonts w:ascii="Arial" w:hAnsi="Arial" w:cs="Arial"/>
                <w:sz w:val="20"/>
                <w:szCs w:val="20"/>
              </w:rPr>
              <w:t>The Commission:</w:t>
            </w:r>
          </w:p>
          <w:p w14:paraId="10F85469" w14:textId="77777777" w:rsidR="00EF093A" w:rsidRPr="0021112F" w:rsidRDefault="00EF093A" w:rsidP="00EF093A">
            <w:pPr>
              <w:numPr>
                <w:ilvl w:val="0"/>
                <w:numId w:val="2"/>
              </w:numPr>
              <w:rPr>
                <w:rFonts w:ascii="Arial" w:hAnsi="Arial" w:cs="Arial"/>
                <w:sz w:val="20"/>
                <w:szCs w:val="20"/>
              </w:rPr>
            </w:pPr>
            <w:r w:rsidRPr="0021112F">
              <w:rPr>
                <w:rFonts w:ascii="Arial" w:hAnsi="Arial" w:cs="Arial"/>
                <w:sz w:val="20"/>
                <w:szCs w:val="20"/>
              </w:rPr>
              <w:t>anticipates conducting over 400 site audits for residential care services and 50 quality audits for home care providers, and</w:t>
            </w:r>
          </w:p>
          <w:p w14:paraId="21CAEFF3" w14:textId="77777777" w:rsidR="00EF093A" w:rsidRDefault="00EF093A" w:rsidP="00EF093A">
            <w:pPr>
              <w:numPr>
                <w:ilvl w:val="0"/>
                <w:numId w:val="2"/>
              </w:numPr>
              <w:rPr>
                <w:rFonts w:ascii="Arial" w:hAnsi="Arial" w:cs="Arial"/>
                <w:sz w:val="20"/>
                <w:szCs w:val="20"/>
              </w:rPr>
            </w:pPr>
            <w:r w:rsidRPr="0021112F">
              <w:rPr>
                <w:rFonts w:ascii="Arial" w:hAnsi="Arial" w:cs="Arial"/>
                <w:sz w:val="20"/>
                <w:szCs w:val="20"/>
              </w:rPr>
              <w:t>expects to complete over 10,000 assessment contacts across all services, inclusive of unannounced infection control spot checks in response to the COVID-19 pandemic.</w:t>
            </w:r>
          </w:p>
          <w:p w14:paraId="016412C6" w14:textId="77777777" w:rsidR="00EF093A" w:rsidRDefault="00EF093A" w:rsidP="00FA3266">
            <w:pPr>
              <w:ind w:left="360"/>
              <w:rPr>
                <w:rFonts w:ascii="Arial" w:hAnsi="Arial" w:cs="Arial"/>
                <w:sz w:val="20"/>
                <w:szCs w:val="20"/>
              </w:rPr>
            </w:pPr>
          </w:p>
          <w:p w14:paraId="7730F311" w14:textId="77777777" w:rsidR="00EF093A" w:rsidRPr="0021112F" w:rsidRDefault="00EF093A" w:rsidP="00FA3266">
            <w:pPr>
              <w:rPr>
                <w:rFonts w:ascii="Arial" w:hAnsi="Arial" w:cs="Arial"/>
                <w:sz w:val="20"/>
                <w:szCs w:val="20"/>
              </w:rPr>
            </w:pPr>
            <w:r w:rsidRPr="0021112F">
              <w:rPr>
                <w:rFonts w:ascii="Arial" w:hAnsi="Arial" w:cs="Arial"/>
                <w:i/>
                <w:iCs/>
                <w:sz w:val="20"/>
                <w:szCs w:val="20"/>
                <w:lang w:eastAsia="en-AU"/>
              </w:rPr>
              <w:t xml:space="preserve">ACQSC Portfolio Budget Statements 2020-21 </w:t>
            </w:r>
          </w:p>
        </w:tc>
        <w:tc>
          <w:tcPr>
            <w:tcW w:w="4961" w:type="dxa"/>
          </w:tcPr>
          <w:p w14:paraId="2BE9DBC6" w14:textId="77777777" w:rsidR="00EF093A" w:rsidRPr="0021112F" w:rsidRDefault="00EF093A" w:rsidP="00FA3266">
            <w:pPr>
              <w:rPr>
                <w:rFonts w:ascii="Arial" w:hAnsi="Arial" w:cs="Arial"/>
                <w:sz w:val="20"/>
                <w:szCs w:val="20"/>
              </w:rPr>
            </w:pPr>
            <w:r w:rsidRPr="0021112F">
              <w:rPr>
                <w:rFonts w:ascii="Arial" w:hAnsi="Arial" w:cs="Arial"/>
                <w:sz w:val="20"/>
                <w:szCs w:val="20"/>
              </w:rPr>
              <w:t>Reporting appears linked to performance measure 6 (Evidence of effective monitoring and assessment of providers’ compliance with aged care (Quality and Prudential) standards) in the Annual Report, which states the Commission conducted:</w:t>
            </w:r>
          </w:p>
          <w:p w14:paraId="45A0FF0A" w14:textId="77777777" w:rsidR="00EF093A" w:rsidRPr="0021112F" w:rsidRDefault="00EF093A" w:rsidP="00EF093A">
            <w:pPr>
              <w:numPr>
                <w:ilvl w:val="0"/>
                <w:numId w:val="2"/>
              </w:numPr>
              <w:rPr>
                <w:rFonts w:ascii="Arial" w:hAnsi="Arial" w:cs="Arial"/>
                <w:sz w:val="20"/>
                <w:szCs w:val="20"/>
              </w:rPr>
            </w:pPr>
            <w:r w:rsidRPr="0021112F">
              <w:rPr>
                <w:rFonts w:ascii="Arial" w:hAnsi="Arial" w:cs="Arial"/>
                <w:sz w:val="20"/>
                <w:szCs w:val="20"/>
              </w:rPr>
              <w:t>3,663 more site visits and 9,379 more non-site activities than in 2019 – 13,042 regulatory activities in total</w:t>
            </w:r>
          </w:p>
          <w:p w14:paraId="4C6500BE" w14:textId="77777777" w:rsidR="00EF093A" w:rsidRPr="0021112F" w:rsidRDefault="00EF093A" w:rsidP="00EF093A">
            <w:pPr>
              <w:numPr>
                <w:ilvl w:val="0"/>
                <w:numId w:val="2"/>
              </w:numPr>
              <w:rPr>
                <w:rFonts w:ascii="Arial" w:hAnsi="Arial" w:cs="Arial"/>
                <w:sz w:val="20"/>
                <w:szCs w:val="20"/>
              </w:rPr>
            </w:pPr>
            <w:r w:rsidRPr="0021112F">
              <w:rPr>
                <w:rFonts w:ascii="Arial" w:hAnsi="Arial" w:cs="Arial"/>
                <w:sz w:val="20"/>
                <w:szCs w:val="20"/>
              </w:rPr>
              <w:t>1,579 more site visits and 2,287 more non-site activities than in 2019–20</w:t>
            </w:r>
          </w:p>
          <w:p w14:paraId="59DA5842" w14:textId="77777777" w:rsidR="00EF093A" w:rsidRPr="0021112F" w:rsidRDefault="00EF093A" w:rsidP="00EF093A">
            <w:pPr>
              <w:numPr>
                <w:ilvl w:val="0"/>
                <w:numId w:val="2"/>
              </w:numPr>
              <w:rPr>
                <w:rFonts w:ascii="Arial" w:hAnsi="Arial" w:cs="Arial"/>
                <w:sz w:val="20"/>
                <w:szCs w:val="20"/>
                <w:lang w:eastAsia="en-AU"/>
              </w:rPr>
            </w:pPr>
            <w:r w:rsidRPr="0021112F">
              <w:rPr>
                <w:rFonts w:ascii="Arial" w:hAnsi="Arial" w:cs="Arial"/>
                <w:sz w:val="20"/>
                <w:szCs w:val="20"/>
              </w:rPr>
              <w:t>visited 1,121 more services than in 2019–20 (2,501 compared with 1,380 in 2019–20), primarily in the residential sector.</w:t>
            </w:r>
          </w:p>
          <w:p w14:paraId="2878B0A6" w14:textId="77777777" w:rsidR="00EF093A" w:rsidRPr="0021112F" w:rsidRDefault="00EF093A" w:rsidP="00FA3266">
            <w:pPr>
              <w:rPr>
                <w:rFonts w:ascii="Arial" w:hAnsi="Arial" w:cs="Arial"/>
                <w:sz w:val="20"/>
                <w:szCs w:val="20"/>
                <w:lang w:eastAsia="en-AU"/>
              </w:rPr>
            </w:pPr>
          </w:p>
          <w:p w14:paraId="391D8D86" w14:textId="77777777" w:rsidR="00EF093A" w:rsidRPr="0021112F" w:rsidRDefault="00024728" w:rsidP="00FA3266">
            <w:pPr>
              <w:rPr>
                <w:rFonts w:ascii="Arial" w:hAnsi="Arial" w:cs="Arial"/>
                <w:i/>
                <w:iCs/>
                <w:sz w:val="20"/>
                <w:szCs w:val="20"/>
              </w:rPr>
            </w:pPr>
            <w:hyperlink r:id="rId18" w:history="1">
              <w:r w:rsidR="00EF093A" w:rsidRPr="0021112F">
                <w:rPr>
                  <w:rStyle w:val="Hyperlink"/>
                  <w:rFonts w:ascii="Arial" w:hAnsi="Arial" w:cs="Arial"/>
                  <w:i/>
                  <w:iCs/>
                  <w:sz w:val="20"/>
                  <w:szCs w:val="20"/>
                </w:rPr>
                <w:t>Annual Report 2020-21, p. 97</w:t>
              </w:r>
            </w:hyperlink>
          </w:p>
          <w:p w14:paraId="3DCB1084" w14:textId="77777777" w:rsidR="00EF093A" w:rsidRPr="0021112F" w:rsidRDefault="00EF093A" w:rsidP="00FA3266">
            <w:pPr>
              <w:rPr>
                <w:rFonts w:ascii="Arial" w:hAnsi="Arial" w:cs="Arial"/>
                <w:sz w:val="20"/>
                <w:szCs w:val="20"/>
              </w:rPr>
            </w:pPr>
          </w:p>
        </w:tc>
      </w:tr>
      <w:tr w:rsidR="00EF093A" w:rsidRPr="0021112F" w14:paraId="53B8E6FC" w14:textId="77777777" w:rsidTr="00FA3266">
        <w:trPr>
          <w:trHeight w:val="3447"/>
        </w:trPr>
        <w:tc>
          <w:tcPr>
            <w:tcW w:w="1129" w:type="dxa"/>
            <w:shd w:val="clear" w:color="auto" w:fill="D9E2F3" w:themeFill="accent1" w:themeFillTint="33"/>
          </w:tcPr>
          <w:p w14:paraId="2D4DC8DE" w14:textId="77777777" w:rsidR="00EF093A" w:rsidRPr="0021112F" w:rsidRDefault="00EF093A" w:rsidP="00FA3266">
            <w:pPr>
              <w:rPr>
                <w:rFonts w:ascii="Arial" w:hAnsi="Arial" w:cs="Arial"/>
                <w:b/>
                <w:bCs/>
                <w:sz w:val="20"/>
                <w:szCs w:val="20"/>
                <w:lang w:eastAsia="en-AU"/>
              </w:rPr>
            </w:pPr>
            <w:r w:rsidRPr="0021112F">
              <w:rPr>
                <w:rFonts w:ascii="Arial" w:hAnsi="Arial" w:cs="Arial"/>
                <w:b/>
                <w:bCs/>
                <w:sz w:val="20"/>
                <w:szCs w:val="20"/>
                <w:lang w:eastAsia="en-AU"/>
              </w:rPr>
              <w:t>2021-22</w:t>
            </w:r>
          </w:p>
        </w:tc>
        <w:tc>
          <w:tcPr>
            <w:tcW w:w="3686" w:type="dxa"/>
          </w:tcPr>
          <w:p w14:paraId="1C1FBAF3" w14:textId="77777777" w:rsidR="00EF093A" w:rsidRPr="0021112F" w:rsidRDefault="00EF093A" w:rsidP="00FA3266">
            <w:pPr>
              <w:rPr>
                <w:rFonts w:ascii="Arial" w:hAnsi="Arial" w:cs="Arial"/>
                <w:sz w:val="20"/>
                <w:szCs w:val="20"/>
              </w:rPr>
            </w:pPr>
            <w:r w:rsidRPr="0021112F">
              <w:rPr>
                <w:rFonts w:ascii="Arial" w:hAnsi="Arial" w:cs="Arial"/>
                <w:sz w:val="20"/>
                <w:szCs w:val="20"/>
                <w:lang w:eastAsia="en-AU"/>
              </w:rPr>
              <w:t>The Commission</w:t>
            </w:r>
            <w:r w:rsidRPr="0021112F">
              <w:rPr>
                <w:rFonts w:ascii="Arial" w:hAnsi="Arial" w:cs="Arial"/>
                <w:sz w:val="20"/>
                <w:szCs w:val="20"/>
              </w:rPr>
              <w:t>:</w:t>
            </w:r>
          </w:p>
          <w:p w14:paraId="0853CF00" w14:textId="77777777" w:rsidR="00EF093A" w:rsidRPr="0021112F" w:rsidRDefault="00EF093A" w:rsidP="00EF093A">
            <w:pPr>
              <w:numPr>
                <w:ilvl w:val="0"/>
                <w:numId w:val="2"/>
              </w:numPr>
              <w:rPr>
                <w:rFonts w:ascii="Arial" w:hAnsi="Arial" w:cs="Arial"/>
                <w:sz w:val="20"/>
                <w:szCs w:val="20"/>
              </w:rPr>
            </w:pPr>
            <w:r w:rsidRPr="0021112F">
              <w:rPr>
                <w:rFonts w:ascii="Arial" w:hAnsi="Arial" w:cs="Arial"/>
                <w:sz w:val="20"/>
                <w:szCs w:val="20"/>
              </w:rPr>
              <w:t>anticipates conducting over 900 site audits on residential aged care services and</w:t>
            </w:r>
            <w:r>
              <w:rPr>
                <w:rFonts w:ascii="Arial" w:hAnsi="Arial" w:cs="Arial"/>
                <w:sz w:val="20"/>
                <w:szCs w:val="20"/>
              </w:rPr>
              <w:t xml:space="preserve"> </w:t>
            </w:r>
            <w:r w:rsidRPr="0021112F">
              <w:rPr>
                <w:rFonts w:ascii="Arial" w:hAnsi="Arial" w:cs="Arial"/>
                <w:sz w:val="20"/>
                <w:szCs w:val="20"/>
              </w:rPr>
              <w:t xml:space="preserve">400 quality audits on home service providers, and </w:t>
            </w:r>
          </w:p>
          <w:p w14:paraId="1238FADC" w14:textId="77777777" w:rsidR="00EF093A" w:rsidRDefault="00EF093A" w:rsidP="00EF093A">
            <w:pPr>
              <w:numPr>
                <w:ilvl w:val="0"/>
                <w:numId w:val="2"/>
              </w:numPr>
              <w:rPr>
                <w:rFonts w:ascii="Arial" w:hAnsi="Arial" w:cs="Arial"/>
                <w:sz w:val="20"/>
                <w:szCs w:val="20"/>
                <w:lang w:eastAsia="en-AU"/>
              </w:rPr>
            </w:pPr>
            <w:r w:rsidRPr="0021112F">
              <w:rPr>
                <w:rFonts w:ascii="Arial" w:hAnsi="Arial" w:cs="Arial"/>
                <w:sz w:val="20"/>
                <w:szCs w:val="20"/>
              </w:rPr>
              <w:t>expects to complete over 2,500 assessment contacts (both on and off-site) to support continuous improvement of the sector, which includes the completion of unannounced infection control spot check visits in line with the Commission’s response to the COVID-19 pandemic.</w:t>
            </w:r>
          </w:p>
          <w:p w14:paraId="2EFC84D1" w14:textId="77777777" w:rsidR="00EF093A" w:rsidRDefault="00EF093A" w:rsidP="00FA3266">
            <w:pPr>
              <w:rPr>
                <w:rFonts w:ascii="Arial" w:hAnsi="Arial" w:cs="Arial"/>
                <w:i/>
                <w:iCs/>
                <w:sz w:val="20"/>
                <w:szCs w:val="20"/>
                <w:lang w:eastAsia="en-AU"/>
              </w:rPr>
            </w:pPr>
          </w:p>
          <w:p w14:paraId="288016ED" w14:textId="77777777" w:rsidR="00EF093A" w:rsidRPr="0021112F" w:rsidRDefault="00EF093A" w:rsidP="00FA3266">
            <w:pPr>
              <w:rPr>
                <w:rFonts w:ascii="Arial" w:hAnsi="Arial" w:cs="Arial"/>
                <w:sz w:val="20"/>
                <w:szCs w:val="20"/>
                <w:lang w:eastAsia="en-AU"/>
              </w:rPr>
            </w:pPr>
            <w:r w:rsidRPr="0021112F">
              <w:rPr>
                <w:rFonts w:ascii="Arial" w:hAnsi="Arial" w:cs="Arial"/>
                <w:i/>
                <w:iCs/>
                <w:sz w:val="20"/>
                <w:szCs w:val="20"/>
                <w:lang w:eastAsia="en-AU"/>
              </w:rPr>
              <w:t>ACQSC Portfolio Budget Statements 2020-21</w:t>
            </w:r>
          </w:p>
        </w:tc>
        <w:tc>
          <w:tcPr>
            <w:tcW w:w="4961" w:type="dxa"/>
          </w:tcPr>
          <w:p w14:paraId="54FC4322" w14:textId="77777777" w:rsidR="00EF093A" w:rsidRPr="0021112F" w:rsidRDefault="00EF093A" w:rsidP="00FA3266">
            <w:pPr>
              <w:rPr>
                <w:rFonts w:ascii="Arial" w:hAnsi="Arial" w:cs="Arial"/>
                <w:sz w:val="20"/>
                <w:szCs w:val="20"/>
              </w:rPr>
            </w:pPr>
            <w:r w:rsidRPr="0021112F">
              <w:rPr>
                <w:rFonts w:ascii="Arial" w:hAnsi="Arial" w:cs="Arial"/>
                <w:sz w:val="20"/>
                <w:szCs w:val="20"/>
              </w:rPr>
              <w:t>The Commission’s Annual report states this measure was met, with the Commission conducting:</w:t>
            </w:r>
          </w:p>
          <w:p w14:paraId="6CA862AA" w14:textId="77777777" w:rsidR="00EF093A" w:rsidRPr="0021112F" w:rsidRDefault="00EF093A" w:rsidP="00EF093A">
            <w:pPr>
              <w:pStyle w:val="ListParagraph"/>
              <w:numPr>
                <w:ilvl w:val="0"/>
                <w:numId w:val="115"/>
              </w:numPr>
              <w:rPr>
                <w:rFonts w:ascii="Arial" w:hAnsi="Arial" w:cs="Arial"/>
                <w:sz w:val="20"/>
                <w:szCs w:val="20"/>
              </w:rPr>
            </w:pPr>
            <w:r w:rsidRPr="0021112F">
              <w:rPr>
                <w:rFonts w:ascii="Arial" w:hAnsi="Arial" w:cs="Arial"/>
                <w:sz w:val="20"/>
                <w:szCs w:val="20"/>
              </w:rPr>
              <w:t>710 site audits with residential aged care services completed in 2021–22</w:t>
            </w:r>
            <w:r>
              <w:rPr>
                <w:rFonts w:ascii="Arial" w:hAnsi="Arial" w:cs="Arial"/>
                <w:sz w:val="20"/>
                <w:szCs w:val="20"/>
              </w:rPr>
              <w:t xml:space="preserve"> and </w:t>
            </w:r>
          </w:p>
          <w:p w14:paraId="12DE0281" w14:textId="77777777" w:rsidR="00EF093A" w:rsidRPr="0021112F" w:rsidRDefault="00EF093A" w:rsidP="00EF093A">
            <w:pPr>
              <w:pStyle w:val="ListParagraph"/>
              <w:numPr>
                <w:ilvl w:val="0"/>
                <w:numId w:val="115"/>
              </w:numPr>
              <w:rPr>
                <w:rFonts w:ascii="Arial" w:hAnsi="Arial" w:cs="Arial"/>
                <w:sz w:val="20"/>
                <w:szCs w:val="20"/>
              </w:rPr>
            </w:pPr>
            <w:r w:rsidRPr="0021112F">
              <w:rPr>
                <w:rFonts w:ascii="Arial" w:hAnsi="Arial" w:cs="Arial"/>
                <w:sz w:val="20"/>
                <w:szCs w:val="20"/>
              </w:rPr>
              <w:t>188 quality audits with home services completed in 2021–22.</w:t>
            </w:r>
          </w:p>
          <w:p w14:paraId="6A12D452" w14:textId="77777777" w:rsidR="00EF093A" w:rsidRPr="0021112F" w:rsidRDefault="00EF093A" w:rsidP="00FA3266">
            <w:pPr>
              <w:rPr>
                <w:rFonts w:ascii="Arial" w:hAnsi="Arial" w:cs="Arial"/>
                <w:sz w:val="20"/>
                <w:szCs w:val="20"/>
              </w:rPr>
            </w:pPr>
          </w:p>
          <w:p w14:paraId="6F68363D" w14:textId="20E85E93" w:rsidR="00EF093A" w:rsidRPr="0021112F" w:rsidRDefault="00EF093A" w:rsidP="00FA3266">
            <w:pPr>
              <w:rPr>
                <w:rFonts w:ascii="Arial" w:hAnsi="Arial" w:cs="Arial"/>
                <w:sz w:val="20"/>
                <w:szCs w:val="20"/>
              </w:rPr>
            </w:pPr>
            <w:r w:rsidRPr="0021112F">
              <w:rPr>
                <w:rFonts w:ascii="Arial" w:hAnsi="Arial" w:cs="Arial"/>
                <w:sz w:val="20"/>
                <w:szCs w:val="20"/>
              </w:rPr>
              <w:t>Further reporting is included under performance measure 10 (Monitor aged care provider quality and safety performance (including with the Aged Care Quality Standards) in the Annual Report, which states the Commission completed 8,459 assessment contacts, three and a half times the target of 2,257. Th</w:t>
            </w:r>
            <w:r>
              <w:rPr>
                <w:rFonts w:ascii="Arial" w:hAnsi="Arial" w:cs="Arial"/>
                <w:sz w:val="20"/>
                <w:szCs w:val="20"/>
              </w:rPr>
              <w:t xml:space="preserve">is is attributed </w:t>
            </w:r>
            <w:r w:rsidRPr="0021112F">
              <w:rPr>
                <w:rFonts w:ascii="Arial" w:hAnsi="Arial" w:cs="Arial"/>
                <w:sz w:val="20"/>
                <w:szCs w:val="20"/>
              </w:rPr>
              <w:t xml:space="preserve">in part to restrictions on onsite visits arising from the pandemic and several natural disasters. Several specifically targeted assessment contact programs were delivered </w:t>
            </w:r>
            <w:proofErr w:type="gramStart"/>
            <w:r w:rsidRPr="0021112F">
              <w:rPr>
                <w:rFonts w:ascii="Arial" w:hAnsi="Arial" w:cs="Arial"/>
                <w:sz w:val="20"/>
                <w:szCs w:val="20"/>
              </w:rPr>
              <w:t>e.g.</w:t>
            </w:r>
            <w:proofErr w:type="gramEnd"/>
            <w:r w:rsidRPr="0021112F">
              <w:rPr>
                <w:rFonts w:ascii="Arial" w:hAnsi="Arial" w:cs="Arial"/>
                <w:sz w:val="20"/>
                <w:szCs w:val="20"/>
              </w:rPr>
              <w:t xml:space="preserve"> 500 phone-based assessment contacts to services in flood risk areas to monitor care and services and ensure that emergency management plans were in place and activated where required.</w:t>
            </w:r>
          </w:p>
          <w:p w14:paraId="0BF5A3F2" w14:textId="77777777" w:rsidR="00EF093A" w:rsidRPr="0021112F" w:rsidRDefault="00EF093A" w:rsidP="00FA3266">
            <w:pPr>
              <w:rPr>
                <w:rFonts w:ascii="Arial" w:hAnsi="Arial" w:cs="Arial"/>
                <w:sz w:val="20"/>
                <w:szCs w:val="20"/>
              </w:rPr>
            </w:pPr>
          </w:p>
          <w:p w14:paraId="699F3009" w14:textId="77777777" w:rsidR="00EF093A" w:rsidRPr="0021112F" w:rsidRDefault="00024728" w:rsidP="00FA3266">
            <w:pPr>
              <w:rPr>
                <w:rFonts w:ascii="Arial" w:hAnsi="Arial" w:cs="Arial"/>
                <w:i/>
                <w:iCs/>
                <w:sz w:val="20"/>
                <w:szCs w:val="20"/>
              </w:rPr>
            </w:pPr>
            <w:hyperlink r:id="rId19" w:history="1">
              <w:r w:rsidR="00EF093A" w:rsidRPr="0021112F">
                <w:rPr>
                  <w:rStyle w:val="Hyperlink"/>
                  <w:rFonts w:ascii="Arial" w:hAnsi="Arial" w:cs="Arial"/>
                  <w:i/>
                  <w:iCs/>
                  <w:sz w:val="20"/>
                  <w:szCs w:val="20"/>
                </w:rPr>
                <w:t>Annual Report 2021-22, p. 109-110 and 92</w:t>
              </w:r>
            </w:hyperlink>
          </w:p>
          <w:p w14:paraId="1B02C128" w14:textId="77777777" w:rsidR="00EF093A" w:rsidRPr="0021112F" w:rsidRDefault="00EF093A" w:rsidP="00FA3266">
            <w:pPr>
              <w:rPr>
                <w:rFonts w:ascii="Arial" w:hAnsi="Arial" w:cs="Arial"/>
                <w:b/>
                <w:bCs/>
                <w:i/>
                <w:iCs/>
                <w:sz w:val="20"/>
                <w:szCs w:val="20"/>
              </w:rPr>
            </w:pPr>
          </w:p>
        </w:tc>
      </w:tr>
    </w:tbl>
    <w:bookmarkEnd w:id="10"/>
    <w:p w14:paraId="1063B54A" w14:textId="77777777" w:rsidR="00E92F6C" w:rsidRPr="00BE3BCE" w:rsidRDefault="00E92F6C" w:rsidP="001750D5">
      <w:pPr>
        <w:numPr>
          <w:ilvl w:val="0"/>
          <w:numId w:val="14"/>
        </w:numPr>
        <w:spacing w:before="240" w:after="120" w:line="240" w:lineRule="auto"/>
        <w:ind w:left="357" w:hanging="357"/>
        <w:rPr>
          <w:rFonts w:ascii="Arial" w:hAnsi="Arial" w:cs="Arial"/>
          <w:sz w:val="24"/>
          <w:szCs w:val="24"/>
        </w:rPr>
      </w:pPr>
      <w:r w:rsidRPr="00BE3BCE">
        <w:rPr>
          <w:rFonts w:ascii="Arial" w:hAnsi="Arial" w:cs="Arial"/>
          <w:sz w:val="24"/>
          <w:szCs w:val="24"/>
        </w:rPr>
        <w:t xml:space="preserve">Resolving 80 per cent of complaints abouts service providers within 60 days. </w:t>
      </w:r>
    </w:p>
    <w:p w14:paraId="5E4F74E7" w14:textId="650AEBF0" w:rsidR="00BD3DBA" w:rsidRDefault="00E92F6C" w:rsidP="001750D5">
      <w:pPr>
        <w:numPr>
          <w:ilvl w:val="1"/>
          <w:numId w:val="5"/>
        </w:numPr>
        <w:spacing w:before="120" w:after="120" w:line="240" w:lineRule="auto"/>
        <w:ind w:left="851" w:hanging="425"/>
        <w:rPr>
          <w:rFonts w:ascii="Arial" w:hAnsi="Arial" w:cs="Arial"/>
          <w:sz w:val="24"/>
          <w:szCs w:val="24"/>
        </w:rPr>
      </w:pPr>
      <w:r w:rsidRPr="00BE3BCE">
        <w:rPr>
          <w:rFonts w:ascii="Arial" w:hAnsi="Arial" w:cs="Arial"/>
          <w:sz w:val="24"/>
          <w:szCs w:val="24"/>
        </w:rPr>
        <w:t xml:space="preserve">The Commission has yet to meet this target. </w:t>
      </w:r>
      <w:r w:rsidR="00BD3DBA">
        <w:rPr>
          <w:rFonts w:ascii="Arial" w:hAnsi="Arial" w:cs="Arial"/>
          <w:sz w:val="24"/>
          <w:szCs w:val="24"/>
        </w:rPr>
        <w:t>Of the complaints resolved in each year, t</w:t>
      </w:r>
      <w:r w:rsidRPr="00BE3BCE">
        <w:rPr>
          <w:rFonts w:ascii="Arial" w:hAnsi="Arial" w:cs="Arial"/>
          <w:sz w:val="24"/>
          <w:szCs w:val="24"/>
        </w:rPr>
        <w:t>he percentage of complaints resolved within 60 days has decreased from 75 per cent in 2019-20, to 67.6</w:t>
      </w:r>
      <w:r w:rsidR="0081133B">
        <w:rPr>
          <w:rFonts w:ascii="Arial" w:hAnsi="Arial" w:cs="Arial"/>
          <w:sz w:val="24"/>
          <w:szCs w:val="24"/>
        </w:rPr>
        <w:t> </w:t>
      </w:r>
      <w:r w:rsidRPr="00BE3BCE">
        <w:rPr>
          <w:rFonts w:ascii="Arial" w:hAnsi="Arial" w:cs="Arial"/>
          <w:sz w:val="24"/>
          <w:szCs w:val="24"/>
        </w:rPr>
        <w:t>per cent in 2020-21 and 67.3</w:t>
      </w:r>
      <w:r w:rsidR="0047063C">
        <w:rPr>
          <w:rFonts w:ascii="Arial" w:hAnsi="Arial" w:cs="Arial"/>
          <w:sz w:val="24"/>
          <w:szCs w:val="24"/>
        </w:rPr>
        <w:t> </w:t>
      </w:r>
      <w:r w:rsidR="00C30229">
        <w:rPr>
          <w:rFonts w:ascii="Arial" w:hAnsi="Arial" w:cs="Arial"/>
          <w:sz w:val="24"/>
          <w:szCs w:val="24"/>
        </w:rPr>
        <w:t>per</w:t>
      </w:r>
      <w:r w:rsidR="0047063C">
        <w:rPr>
          <w:rFonts w:ascii="Arial" w:hAnsi="Arial" w:cs="Arial"/>
          <w:sz w:val="24"/>
          <w:szCs w:val="24"/>
        </w:rPr>
        <w:t xml:space="preserve"> </w:t>
      </w:r>
      <w:r w:rsidR="00C30229">
        <w:rPr>
          <w:rFonts w:ascii="Arial" w:hAnsi="Arial" w:cs="Arial"/>
          <w:sz w:val="24"/>
          <w:szCs w:val="24"/>
        </w:rPr>
        <w:t>cent</w:t>
      </w:r>
      <w:r w:rsidRPr="00BE3BCE">
        <w:rPr>
          <w:rFonts w:ascii="Arial" w:hAnsi="Arial" w:cs="Arial"/>
          <w:sz w:val="24"/>
          <w:szCs w:val="24"/>
        </w:rPr>
        <w:t xml:space="preserve"> in 2021-22. This is attributed to </w:t>
      </w:r>
      <w:r w:rsidR="00B437BD">
        <w:rPr>
          <w:rFonts w:ascii="Arial" w:hAnsi="Arial" w:cs="Arial"/>
          <w:sz w:val="24"/>
          <w:szCs w:val="24"/>
        </w:rPr>
        <w:t xml:space="preserve">an </w:t>
      </w:r>
      <w:r w:rsidRPr="00BE3BCE">
        <w:rPr>
          <w:rFonts w:ascii="Arial" w:hAnsi="Arial" w:cs="Arial"/>
          <w:sz w:val="24"/>
          <w:szCs w:val="24"/>
        </w:rPr>
        <w:t xml:space="preserve">increase in complaint numbers and complexity and a surge in complaints arising from COVID-19. </w:t>
      </w:r>
    </w:p>
    <w:p w14:paraId="5C2E994B" w14:textId="232A8E87" w:rsidR="00E92F6C" w:rsidRPr="00BE3BCE" w:rsidRDefault="00E92F6C" w:rsidP="00B02548">
      <w:pPr>
        <w:keepLines/>
        <w:numPr>
          <w:ilvl w:val="1"/>
          <w:numId w:val="5"/>
        </w:numPr>
        <w:spacing w:before="120" w:after="120" w:line="240" w:lineRule="auto"/>
        <w:ind w:left="850" w:hanging="425"/>
        <w:rPr>
          <w:rFonts w:ascii="Arial" w:hAnsi="Arial" w:cs="Arial"/>
          <w:sz w:val="24"/>
          <w:szCs w:val="24"/>
        </w:rPr>
      </w:pPr>
      <w:r w:rsidRPr="00BE3BCE">
        <w:rPr>
          <w:rFonts w:ascii="Arial" w:hAnsi="Arial" w:cs="Arial"/>
          <w:sz w:val="24"/>
          <w:szCs w:val="24"/>
        </w:rPr>
        <w:lastRenderedPageBreak/>
        <w:t xml:space="preserve">The Commission refers to improved productivity, </w:t>
      </w:r>
      <w:r w:rsidR="00B437BD">
        <w:rPr>
          <w:rFonts w:ascii="Arial" w:hAnsi="Arial" w:cs="Arial"/>
          <w:sz w:val="24"/>
          <w:szCs w:val="24"/>
        </w:rPr>
        <w:t xml:space="preserve">as </w:t>
      </w:r>
      <w:r w:rsidRPr="00BE3BCE">
        <w:rPr>
          <w:rFonts w:ascii="Arial" w:hAnsi="Arial" w:cs="Arial"/>
          <w:sz w:val="24"/>
          <w:szCs w:val="24"/>
        </w:rPr>
        <w:t xml:space="preserve">evidenced by the total number of complaints resolved </w:t>
      </w:r>
      <w:r w:rsidR="00BD3DBA">
        <w:rPr>
          <w:rFonts w:ascii="Arial" w:hAnsi="Arial" w:cs="Arial"/>
          <w:sz w:val="24"/>
          <w:szCs w:val="24"/>
        </w:rPr>
        <w:t xml:space="preserve">each year </w:t>
      </w:r>
      <w:r w:rsidRPr="00BE3BCE">
        <w:rPr>
          <w:rFonts w:ascii="Arial" w:hAnsi="Arial" w:cs="Arial"/>
          <w:sz w:val="24"/>
          <w:szCs w:val="24"/>
        </w:rPr>
        <w:t>increasing</w:t>
      </w:r>
      <w:r w:rsidR="00987DE8">
        <w:rPr>
          <w:rFonts w:ascii="Arial" w:hAnsi="Arial" w:cs="Arial"/>
          <w:sz w:val="24"/>
          <w:szCs w:val="24"/>
        </w:rPr>
        <w:t>,</w:t>
      </w:r>
      <w:r w:rsidRPr="00BE3BCE">
        <w:rPr>
          <w:rFonts w:ascii="Arial" w:hAnsi="Arial" w:cs="Arial"/>
          <w:sz w:val="24"/>
          <w:szCs w:val="24"/>
        </w:rPr>
        <w:t xml:space="preserve"> </w:t>
      </w:r>
      <w:r w:rsidR="00BD3DBA">
        <w:rPr>
          <w:rFonts w:ascii="Arial" w:hAnsi="Arial" w:cs="Arial"/>
          <w:sz w:val="24"/>
          <w:szCs w:val="24"/>
        </w:rPr>
        <w:t>from 8,081 in 2019-20 to 9,19</w:t>
      </w:r>
      <w:r w:rsidR="00E75FBE">
        <w:rPr>
          <w:rFonts w:ascii="Arial" w:hAnsi="Arial" w:cs="Arial"/>
          <w:sz w:val="24"/>
          <w:szCs w:val="24"/>
        </w:rPr>
        <w:t>6</w:t>
      </w:r>
      <w:r w:rsidR="00BD3DBA">
        <w:rPr>
          <w:rFonts w:ascii="Arial" w:hAnsi="Arial" w:cs="Arial"/>
          <w:sz w:val="24"/>
          <w:szCs w:val="24"/>
        </w:rPr>
        <w:t xml:space="preserve"> in 2020-21 (a</w:t>
      </w:r>
      <w:r w:rsidRPr="00BE3BCE">
        <w:rPr>
          <w:rFonts w:ascii="Arial" w:hAnsi="Arial" w:cs="Arial"/>
          <w:sz w:val="24"/>
          <w:szCs w:val="24"/>
        </w:rPr>
        <w:t xml:space="preserve"> 14</w:t>
      </w:r>
      <w:r w:rsidR="0081133B">
        <w:rPr>
          <w:rFonts w:ascii="Arial" w:hAnsi="Arial" w:cs="Arial"/>
          <w:sz w:val="24"/>
          <w:szCs w:val="24"/>
        </w:rPr>
        <w:t> </w:t>
      </w:r>
      <w:r w:rsidRPr="00BE3BCE">
        <w:rPr>
          <w:rFonts w:ascii="Arial" w:hAnsi="Arial" w:cs="Arial"/>
          <w:sz w:val="24"/>
          <w:szCs w:val="24"/>
        </w:rPr>
        <w:t>per</w:t>
      </w:r>
      <w:r w:rsidR="0081133B">
        <w:rPr>
          <w:rFonts w:ascii="Arial" w:hAnsi="Arial" w:cs="Arial"/>
          <w:sz w:val="24"/>
          <w:szCs w:val="24"/>
        </w:rPr>
        <w:t> </w:t>
      </w:r>
      <w:r w:rsidRPr="00BE3BCE">
        <w:rPr>
          <w:rFonts w:ascii="Arial" w:hAnsi="Arial" w:cs="Arial"/>
          <w:sz w:val="24"/>
          <w:szCs w:val="24"/>
        </w:rPr>
        <w:t xml:space="preserve">cent </w:t>
      </w:r>
      <w:r w:rsidR="00987DE8">
        <w:rPr>
          <w:rFonts w:ascii="Arial" w:hAnsi="Arial" w:cs="Arial"/>
          <w:sz w:val="24"/>
          <w:szCs w:val="24"/>
        </w:rPr>
        <w:t xml:space="preserve">increase) and to 9,469 in 2021-22 (a 3 per cent increase in comparison with complaints resolved </w:t>
      </w:r>
      <w:r w:rsidRPr="00BE3BCE">
        <w:rPr>
          <w:rFonts w:ascii="Arial" w:hAnsi="Arial" w:cs="Arial"/>
          <w:sz w:val="24"/>
          <w:szCs w:val="24"/>
        </w:rPr>
        <w:t>in 2020</w:t>
      </w:r>
      <w:r w:rsidRPr="00BE3BCE">
        <w:rPr>
          <w:rFonts w:ascii="Arial" w:hAnsi="Arial" w:cs="Arial"/>
          <w:sz w:val="24"/>
          <w:szCs w:val="24"/>
        </w:rPr>
        <w:noBreakHyphen/>
        <w:t>21</w:t>
      </w:r>
      <w:r w:rsidR="00987DE8">
        <w:rPr>
          <w:rFonts w:ascii="Arial" w:hAnsi="Arial" w:cs="Arial"/>
          <w:sz w:val="24"/>
          <w:szCs w:val="24"/>
        </w:rPr>
        <w:t>).</w:t>
      </w:r>
    </w:p>
    <w:p w14:paraId="02BBC20B" w14:textId="05B6DF79" w:rsidR="00E92F6C" w:rsidRPr="00BE3BCE" w:rsidRDefault="00E92F6C" w:rsidP="001750D5">
      <w:pPr>
        <w:numPr>
          <w:ilvl w:val="0"/>
          <w:numId w:val="14"/>
        </w:numPr>
        <w:spacing w:before="120" w:after="120" w:line="240" w:lineRule="auto"/>
        <w:rPr>
          <w:rFonts w:ascii="Arial" w:hAnsi="Arial" w:cs="Arial"/>
          <w:sz w:val="24"/>
          <w:szCs w:val="24"/>
        </w:rPr>
      </w:pPr>
      <w:r w:rsidRPr="00BE3BCE">
        <w:rPr>
          <w:rFonts w:ascii="Arial" w:hAnsi="Arial" w:cs="Arial"/>
          <w:sz w:val="24"/>
          <w:szCs w:val="24"/>
        </w:rPr>
        <w:t>Taking appropriate regulatory action to protect consumers and address provider non-compliance by issuing notices of direction, notices of non-compliance, notices to agree and sanctions.</w:t>
      </w:r>
    </w:p>
    <w:p w14:paraId="42C99592" w14:textId="682DBDD7" w:rsidR="00EF093A" w:rsidRDefault="00E92F6C" w:rsidP="00EF093A">
      <w:pPr>
        <w:rPr>
          <w:rFonts w:ascii="Arial" w:hAnsi="Arial" w:cs="Arial"/>
          <w:b/>
          <w:bCs/>
          <w:sz w:val="24"/>
          <w:szCs w:val="24"/>
        </w:rPr>
      </w:pPr>
      <w:r w:rsidRPr="00BE3BCE">
        <w:rPr>
          <w:rFonts w:ascii="Arial" w:hAnsi="Arial" w:cs="Arial"/>
          <w:sz w:val="24"/>
          <w:szCs w:val="24"/>
        </w:rPr>
        <w:t>The PBS does not set numerical targets for this measure, which is appropriate given it would imply there is a known level of non-compliance.</w:t>
      </w:r>
    </w:p>
    <w:p w14:paraId="123C1A1E" w14:textId="6354AEFA" w:rsidR="00E92F6C" w:rsidRPr="00E92F6C" w:rsidRDefault="00E92F6C" w:rsidP="00EF093A">
      <w:pPr>
        <w:rPr>
          <w:rFonts w:ascii="Arial" w:hAnsi="Arial" w:cs="Arial"/>
          <w:b/>
          <w:bCs/>
          <w:sz w:val="24"/>
          <w:szCs w:val="24"/>
        </w:rPr>
      </w:pPr>
      <w:r w:rsidRPr="00E92F6C">
        <w:rPr>
          <w:rFonts w:ascii="Arial" w:hAnsi="Arial" w:cs="Arial"/>
          <w:b/>
          <w:bCs/>
          <w:sz w:val="24"/>
          <w:szCs w:val="24"/>
        </w:rPr>
        <w:t>3.</w:t>
      </w:r>
      <w:r w:rsidR="00280B5E">
        <w:rPr>
          <w:rFonts w:ascii="Arial" w:hAnsi="Arial" w:cs="Arial"/>
          <w:b/>
          <w:bCs/>
          <w:sz w:val="24"/>
          <w:szCs w:val="24"/>
        </w:rPr>
        <w:t>10.2</w:t>
      </w:r>
      <w:r w:rsidRPr="00E92F6C">
        <w:rPr>
          <w:rFonts w:ascii="Arial" w:hAnsi="Arial" w:cs="Arial"/>
          <w:b/>
          <w:bCs/>
          <w:sz w:val="24"/>
          <w:szCs w:val="24"/>
        </w:rPr>
        <w:t xml:space="preserve"> Performance reporting – internal performance measures </w:t>
      </w:r>
    </w:p>
    <w:p w14:paraId="26C2AA85" w14:textId="03B1885F" w:rsidR="00E92F6C" w:rsidRPr="00BE3BCE" w:rsidRDefault="00E92F6C" w:rsidP="00E92F6C">
      <w:pPr>
        <w:spacing w:before="240" w:after="120" w:line="240" w:lineRule="auto"/>
        <w:rPr>
          <w:rFonts w:ascii="Arial" w:hAnsi="Arial" w:cs="Arial"/>
          <w:sz w:val="24"/>
          <w:szCs w:val="24"/>
        </w:rPr>
      </w:pPr>
      <w:r w:rsidRPr="00BE3BCE">
        <w:rPr>
          <w:rFonts w:ascii="Arial" w:hAnsi="Arial" w:cs="Arial"/>
          <w:sz w:val="24"/>
          <w:szCs w:val="24"/>
        </w:rPr>
        <w:t>The Commission’s Annual Reports include annual performance statements which define and report on internal priorities and performance measures. This is a useful adjunct as the PBS measures continue to focus heavily on “countable” regulatory activities, which</w:t>
      </w:r>
      <w:r w:rsidR="002C0437">
        <w:rPr>
          <w:rFonts w:ascii="Arial" w:hAnsi="Arial" w:cs="Arial"/>
          <w:sz w:val="24"/>
          <w:szCs w:val="24"/>
        </w:rPr>
        <w:t>,</w:t>
      </w:r>
      <w:r w:rsidRPr="00BE3BCE">
        <w:rPr>
          <w:rFonts w:ascii="Arial" w:hAnsi="Arial" w:cs="Arial"/>
          <w:sz w:val="24"/>
          <w:szCs w:val="24"/>
        </w:rPr>
        <w:t xml:space="preserve"> arguably do not reflect o</w:t>
      </w:r>
      <w:r w:rsidR="00B437BD">
        <w:rPr>
          <w:rFonts w:ascii="Arial" w:hAnsi="Arial" w:cs="Arial"/>
          <w:sz w:val="24"/>
          <w:szCs w:val="24"/>
        </w:rPr>
        <w:t>r</w:t>
      </w:r>
      <w:r w:rsidRPr="00BE3BCE">
        <w:rPr>
          <w:rFonts w:ascii="Arial" w:hAnsi="Arial" w:cs="Arial"/>
          <w:sz w:val="24"/>
          <w:szCs w:val="24"/>
        </w:rPr>
        <w:t xml:space="preserve"> support a risk-based approach to regulation. For example, there is little focus on education and consumer engagement activities and outcomes, or on initiatives that promote sector capability uplift. </w:t>
      </w:r>
    </w:p>
    <w:p w14:paraId="15147DF2" w14:textId="230E6651" w:rsidR="00E92F6C" w:rsidRPr="00BE3BCE" w:rsidRDefault="00E92F6C" w:rsidP="00E92F6C">
      <w:pPr>
        <w:spacing w:before="240" w:after="120" w:line="240" w:lineRule="auto"/>
        <w:rPr>
          <w:rFonts w:ascii="Arial" w:hAnsi="Arial" w:cs="Arial"/>
          <w:sz w:val="24"/>
          <w:szCs w:val="24"/>
        </w:rPr>
      </w:pPr>
      <w:r w:rsidRPr="00BE3BCE">
        <w:rPr>
          <w:rFonts w:ascii="Arial" w:hAnsi="Arial" w:cs="Arial"/>
          <w:sz w:val="24"/>
          <w:szCs w:val="24"/>
        </w:rPr>
        <w:t xml:space="preserve">The Commission’s internal performance measures also evolve over time, reflecting its transition from a newly formed entity in 2019 to an independent end-to-end regulator with expanding functions in 2020-21. Table </w:t>
      </w:r>
      <w:r w:rsidR="00786D55">
        <w:rPr>
          <w:rFonts w:ascii="Arial" w:hAnsi="Arial" w:cs="Arial"/>
          <w:sz w:val="24"/>
          <w:szCs w:val="24"/>
        </w:rPr>
        <w:t>4</w:t>
      </w:r>
      <w:r w:rsidRPr="00BE3BCE">
        <w:rPr>
          <w:rFonts w:ascii="Arial" w:hAnsi="Arial" w:cs="Arial"/>
          <w:sz w:val="24"/>
          <w:szCs w:val="24"/>
        </w:rPr>
        <w:t xml:space="preserve"> shows the number of performance measures and the available levels of achievement in each year.</w:t>
      </w:r>
    </w:p>
    <w:p w14:paraId="4E306748" w14:textId="663610D6" w:rsidR="00E92F6C" w:rsidRPr="005D0AF3" w:rsidRDefault="00E92F6C" w:rsidP="00B02548">
      <w:pPr>
        <w:keepNext/>
        <w:spacing w:before="240" w:after="120" w:line="240" w:lineRule="auto"/>
        <w:rPr>
          <w:rFonts w:ascii="Arial" w:hAnsi="Arial" w:cs="Arial"/>
          <w:sz w:val="24"/>
          <w:szCs w:val="24"/>
        </w:rPr>
      </w:pPr>
      <w:r w:rsidRPr="005D0AF3">
        <w:rPr>
          <w:rFonts w:ascii="Arial" w:hAnsi="Arial" w:cs="Arial"/>
          <w:b/>
          <w:bCs/>
          <w:sz w:val="24"/>
          <w:szCs w:val="24"/>
          <w:lang w:eastAsia="en-AU"/>
        </w:rPr>
        <w:t xml:space="preserve">Table </w:t>
      </w:r>
      <w:r w:rsidR="00786D55">
        <w:rPr>
          <w:rFonts w:ascii="Arial" w:hAnsi="Arial" w:cs="Arial"/>
          <w:b/>
          <w:bCs/>
          <w:sz w:val="24"/>
          <w:szCs w:val="24"/>
          <w:lang w:eastAsia="en-AU"/>
        </w:rPr>
        <w:t>4</w:t>
      </w:r>
      <w:r w:rsidRPr="005D0AF3">
        <w:rPr>
          <w:rFonts w:ascii="Arial" w:hAnsi="Arial" w:cs="Arial"/>
          <w:b/>
          <w:bCs/>
          <w:sz w:val="24"/>
          <w:szCs w:val="24"/>
          <w:lang w:eastAsia="en-AU"/>
        </w:rPr>
        <w:t>: N</w:t>
      </w:r>
      <w:r w:rsidRPr="005D0AF3">
        <w:rPr>
          <w:rFonts w:ascii="Arial" w:hAnsi="Arial" w:cs="Arial"/>
          <w:b/>
          <w:bCs/>
          <w:sz w:val="24"/>
          <w:szCs w:val="24"/>
        </w:rPr>
        <w:t>umber of performance measures and levels of achievement, 2019-20 to 2022-23</w:t>
      </w:r>
    </w:p>
    <w:tbl>
      <w:tblPr>
        <w:tblStyle w:val="TableGrid"/>
        <w:tblW w:w="9634" w:type="dxa"/>
        <w:tblLook w:val="04A0" w:firstRow="1" w:lastRow="0" w:firstColumn="1" w:lastColumn="0" w:noHBand="0" w:noVBand="1"/>
      </w:tblPr>
      <w:tblGrid>
        <w:gridCol w:w="1838"/>
        <w:gridCol w:w="1949"/>
        <w:gridCol w:w="1949"/>
        <w:gridCol w:w="1949"/>
        <w:gridCol w:w="1949"/>
      </w:tblGrid>
      <w:tr w:rsidR="00E92F6C" w:rsidRPr="00BE3BCE" w14:paraId="1C49A02B" w14:textId="77777777" w:rsidTr="001C0208">
        <w:tc>
          <w:tcPr>
            <w:tcW w:w="1838" w:type="dxa"/>
            <w:shd w:val="clear" w:color="auto" w:fill="D9E2F3" w:themeFill="accent1" w:themeFillTint="33"/>
          </w:tcPr>
          <w:p w14:paraId="31F7221A" w14:textId="77777777" w:rsidR="00E92F6C" w:rsidRPr="00BE3BCE" w:rsidRDefault="00E92F6C" w:rsidP="00B02548">
            <w:pPr>
              <w:rPr>
                <w:rFonts w:ascii="Arial" w:hAnsi="Arial" w:cs="Arial"/>
                <w:b/>
                <w:bCs/>
                <w:sz w:val="20"/>
                <w:szCs w:val="20"/>
              </w:rPr>
            </w:pPr>
          </w:p>
        </w:tc>
        <w:tc>
          <w:tcPr>
            <w:tcW w:w="1949" w:type="dxa"/>
            <w:shd w:val="clear" w:color="auto" w:fill="D9E2F3" w:themeFill="accent1" w:themeFillTint="33"/>
          </w:tcPr>
          <w:p w14:paraId="70E41D54" w14:textId="77777777" w:rsidR="00E92F6C" w:rsidRPr="00BE3BCE" w:rsidRDefault="00E92F6C" w:rsidP="00B02548">
            <w:pPr>
              <w:jc w:val="center"/>
              <w:rPr>
                <w:rFonts w:ascii="Arial" w:hAnsi="Arial" w:cs="Arial"/>
                <w:b/>
                <w:bCs/>
                <w:sz w:val="20"/>
                <w:szCs w:val="20"/>
              </w:rPr>
            </w:pPr>
            <w:r w:rsidRPr="00BE3BCE">
              <w:rPr>
                <w:rFonts w:ascii="Arial" w:hAnsi="Arial" w:cs="Arial"/>
                <w:b/>
                <w:bCs/>
                <w:sz w:val="20"/>
                <w:szCs w:val="20"/>
                <w:lang w:eastAsia="en-AU"/>
              </w:rPr>
              <w:t>2019-20</w:t>
            </w:r>
          </w:p>
        </w:tc>
        <w:tc>
          <w:tcPr>
            <w:tcW w:w="1949" w:type="dxa"/>
            <w:shd w:val="clear" w:color="auto" w:fill="D9E2F3" w:themeFill="accent1" w:themeFillTint="33"/>
          </w:tcPr>
          <w:p w14:paraId="7A461034" w14:textId="77777777" w:rsidR="00E92F6C" w:rsidRPr="00BE3BCE" w:rsidRDefault="00E92F6C" w:rsidP="00B02548">
            <w:pPr>
              <w:jc w:val="center"/>
              <w:rPr>
                <w:rFonts w:ascii="Arial" w:hAnsi="Arial" w:cs="Arial"/>
                <w:b/>
                <w:bCs/>
                <w:sz w:val="20"/>
                <w:szCs w:val="20"/>
              </w:rPr>
            </w:pPr>
            <w:r w:rsidRPr="00BE3BCE">
              <w:rPr>
                <w:rFonts w:ascii="Arial" w:hAnsi="Arial" w:cs="Arial"/>
                <w:b/>
                <w:bCs/>
                <w:sz w:val="20"/>
                <w:szCs w:val="20"/>
                <w:lang w:eastAsia="en-AU"/>
              </w:rPr>
              <w:t>2020-21</w:t>
            </w:r>
          </w:p>
        </w:tc>
        <w:tc>
          <w:tcPr>
            <w:tcW w:w="1949" w:type="dxa"/>
            <w:shd w:val="clear" w:color="auto" w:fill="D9E2F3" w:themeFill="accent1" w:themeFillTint="33"/>
          </w:tcPr>
          <w:p w14:paraId="6CE8A249" w14:textId="77777777" w:rsidR="00E92F6C" w:rsidRPr="00BE3BCE" w:rsidRDefault="00E92F6C" w:rsidP="00B02548">
            <w:pPr>
              <w:jc w:val="center"/>
              <w:rPr>
                <w:rFonts w:ascii="Arial" w:hAnsi="Arial" w:cs="Arial"/>
                <w:b/>
                <w:bCs/>
                <w:sz w:val="20"/>
                <w:szCs w:val="20"/>
              </w:rPr>
            </w:pPr>
            <w:r w:rsidRPr="00BE3BCE">
              <w:rPr>
                <w:rFonts w:ascii="Arial" w:hAnsi="Arial" w:cs="Arial"/>
                <w:b/>
                <w:bCs/>
                <w:sz w:val="20"/>
                <w:szCs w:val="20"/>
                <w:lang w:eastAsia="en-AU"/>
              </w:rPr>
              <w:t>2021–22</w:t>
            </w:r>
          </w:p>
        </w:tc>
        <w:tc>
          <w:tcPr>
            <w:tcW w:w="1949" w:type="dxa"/>
            <w:shd w:val="clear" w:color="auto" w:fill="D9E2F3" w:themeFill="accent1" w:themeFillTint="33"/>
          </w:tcPr>
          <w:p w14:paraId="33A6AD0D" w14:textId="77777777" w:rsidR="00E92F6C" w:rsidRPr="00BE3BCE" w:rsidRDefault="00E92F6C" w:rsidP="00B02548">
            <w:pPr>
              <w:jc w:val="center"/>
              <w:rPr>
                <w:rFonts w:ascii="Arial" w:hAnsi="Arial" w:cs="Arial"/>
                <w:b/>
                <w:bCs/>
                <w:sz w:val="20"/>
                <w:szCs w:val="20"/>
              </w:rPr>
            </w:pPr>
            <w:r w:rsidRPr="00BE3BCE">
              <w:rPr>
                <w:rFonts w:ascii="Arial" w:hAnsi="Arial" w:cs="Arial"/>
                <w:b/>
                <w:bCs/>
                <w:sz w:val="20"/>
                <w:szCs w:val="20"/>
                <w:lang w:eastAsia="en-AU"/>
              </w:rPr>
              <w:t>2022-23</w:t>
            </w:r>
          </w:p>
        </w:tc>
      </w:tr>
      <w:tr w:rsidR="00E92F6C" w:rsidRPr="00BE3BCE" w14:paraId="6B832856" w14:textId="77777777" w:rsidTr="001C0208">
        <w:tc>
          <w:tcPr>
            <w:tcW w:w="1838" w:type="dxa"/>
            <w:shd w:val="clear" w:color="auto" w:fill="D9E2F3" w:themeFill="accent1" w:themeFillTint="33"/>
          </w:tcPr>
          <w:p w14:paraId="4F92604C" w14:textId="77777777" w:rsidR="00E92F6C" w:rsidRPr="00BE3BCE" w:rsidRDefault="00E92F6C" w:rsidP="00B02548">
            <w:pPr>
              <w:rPr>
                <w:rFonts w:ascii="Arial" w:hAnsi="Arial" w:cs="Arial"/>
                <w:b/>
                <w:bCs/>
                <w:sz w:val="20"/>
                <w:szCs w:val="20"/>
              </w:rPr>
            </w:pPr>
            <w:r w:rsidRPr="00BE3BCE">
              <w:rPr>
                <w:rFonts w:ascii="Arial" w:hAnsi="Arial" w:cs="Arial"/>
                <w:b/>
                <w:bCs/>
                <w:sz w:val="20"/>
                <w:szCs w:val="20"/>
              </w:rPr>
              <w:t>No. priority areas</w:t>
            </w:r>
          </w:p>
        </w:tc>
        <w:tc>
          <w:tcPr>
            <w:tcW w:w="1949" w:type="dxa"/>
          </w:tcPr>
          <w:p w14:paraId="3D8512CF"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6</w:t>
            </w:r>
          </w:p>
        </w:tc>
        <w:tc>
          <w:tcPr>
            <w:tcW w:w="1949" w:type="dxa"/>
          </w:tcPr>
          <w:p w14:paraId="352F68D0"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4</w:t>
            </w:r>
          </w:p>
        </w:tc>
        <w:tc>
          <w:tcPr>
            <w:tcW w:w="1949" w:type="dxa"/>
          </w:tcPr>
          <w:p w14:paraId="76D4D6B1"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5</w:t>
            </w:r>
          </w:p>
        </w:tc>
        <w:tc>
          <w:tcPr>
            <w:tcW w:w="1949" w:type="dxa"/>
          </w:tcPr>
          <w:p w14:paraId="5E3D2A0D"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3</w:t>
            </w:r>
          </w:p>
        </w:tc>
      </w:tr>
      <w:tr w:rsidR="00E92F6C" w:rsidRPr="00BE3BCE" w14:paraId="69686F41" w14:textId="77777777" w:rsidTr="001C0208">
        <w:trPr>
          <w:trHeight w:val="662"/>
        </w:trPr>
        <w:tc>
          <w:tcPr>
            <w:tcW w:w="1838" w:type="dxa"/>
            <w:shd w:val="clear" w:color="auto" w:fill="D9E2F3" w:themeFill="accent1" w:themeFillTint="33"/>
          </w:tcPr>
          <w:p w14:paraId="21AF4F80" w14:textId="77777777" w:rsidR="00E92F6C" w:rsidRPr="00BE3BCE" w:rsidRDefault="00E92F6C" w:rsidP="00B02548">
            <w:pPr>
              <w:rPr>
                <w:rFonts w:ascii="Arial" w:hAnsi="Arial" w:cs="Arial"/>
                <w:b/>
                <w:bCs/>
                <w:sz w:val="20"/>
                <w:szCs w:val="20"/>
              </w:rPr>
            </w:pPr>
            <w:r w:rsidRPr="00BE3BCE">
              <w:rPr>
                <w:rFonts w:ascii="Arial" w:hAnsi="Arial" w:cs="Arial"/>
                <w:b/>
                <w:bCs/>
                <w:sz w:val="20"/>
                <w:szCs w:val="20"/>
              </w:rPr>
              <w:t xml:space="preserve">No. performance measures </w:t>
            </w:r>
          </w:p>
        </w:tc>
        <w:tc>
          <w:tcPr>
            <w:tcW w:w="1949" w:type="dxa"/>
          </w:tcPr>
          <w:p w14:paraId="5D899679"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39</w:t>
            </w:r>
          </w:p>
        </w:tc>
        <w:tc>
          <w:tcPr>
            <w:tcW w:w="1949" w:type="dxa"/>
          </w:tcPr>
          <w:p w14:paraId="025E89E9"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24</w:t>
            </w:r>
          </w:p>
        </w:tc>
        <w:tc>
          <w:tcPr>
            <w:tcW w:w="1949" w:type="dxa"/>
          </w:tcPr>
          <w:p w14:paraId="7FDD5CF9"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16</w:t>
            </w:r>
          </w:p>
        </w:tc>
        <w:tc>
          <w:tcPr>
            <w:tcW w:w="1949" w:type="dxa"/>
          </w:tcPr>
          <w:p w14:paraId="6A44B88A" w14:textId="77777777" w:rsidR="00E92F6C" w:rsidRPr="00BE3BCE" w:rsidRDefault="00E92F6C" w:rsidP="00B02548">
            <w:pPr>
              <w:jc w:val="center"/>
              <w:rPr>
                <w:rFonts w:ascii="Arial" w:hAnsi="Arial" w:cs="Arial"/>
                <w:sz w:val="20"/>
                <w:szCs w:val="20"/>
              </w:rPr>
            </w:pPr>
            <w:r w:rsidRPr="00BE3BCE">
              <w:rPr>
                <w:rFonts w:ascii="Arial" w:hAnsi="Arial" w:cs="Arial"/>
                <w:sz w:val="20"/>
                <w:szCs w:val="20"/>
              </w:rPr>
              <w:t>14</w:t>
            </w:r>
          </w:p>
        </w:tc>
      </w:tr>
      <w:tr w:rsidR="00E92F6C" w:rsidRPr="00BE3BCE" w14:paraId="688BB9DB" w14:textId="77777777" w:rsidTr="001C0208">
        <w:tc>
          <w:tcPr>
            <w:tcW w:w="1838" w:type="dxa"/>
            <w:shd w:val="clear" w:color="auto" w:fill="D9E2F3" w:themeFill="accent1" w:themeFillTint="33"/>
          </w:tcPr>
          <w:p w14:paraId="66810ABF" w14:textId="77777777" w:rsidR="00E92F6C" w:rsidRPr="00BE3BCE" w:rsidRDefault="00E92F6C" w:rsidP="00B02548">
            <w:pPr>
              <w:rPr>
                <w:rFonts w:ascii="Arial" w:hAnsi="Arial" w:cs="Arial"/>
                <w:b/>
                <w:bCs/>
                <w:sz w:val="20"/>
                <w:szCs w:val="20"/>
              </w:rPr>
            </w:pPr>
            <w:r w:rsidRPr="00BE3BCE">
              <w:rPr>
                <w:rFonts w:ascii="Arial" w:hAnsi="Arial" w:cs="Arial"/>
                <w:b/>
                <w:bCs/>
                <w:sz w:val="20"/>
                <w:szCs w:val="20"/>
              </w:rPr>
              <w:t>Status of performance measures</w:t>
            </w:r>
          </w:p>
        </w:tc>
        <w:tc>
          <w:tcPr>
            <w:tcW w:w="1949" w:type="dxa"/>
          </w:tcPr>
          <w:p w14:paraId="7F861E12" w14:textId="2572F9BC"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2</w:t>
            </w:r>
            <w:r w:rsidR="00E75FBE">
              <w:rPr>
                <w:rFonts w:ascii="Arial" w:hAnsi="Arial" w:cs="Arial"/>
                <w:sz w:val="20"/>
                <w:szCs w:val="20"/>
              </w:rPr>
              <w:t>7</w:t>
            </w:r>
            <w:r w:rsidRPr="00BE3BCE">
              <w:rPr>
                <w:rFonts w:ascii="Arial" w:hAnsi="Arial" w:cs="Arial"/>
                <w:sz w:val="20"/>
                <w:szCs w:val="20"/>
              </w:rPr>
              <w:t xml:space="preserve"> achieved</w:t>
            </w:r>
          </w:p>
          <w:p w14:paraId="573C8CD4" w14:textId="77777777"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10 partially achieved</w:t>
            </w:r>
          </w:p>
          <w:p w14:paraId="48F37742" w14:textId="46E36615" w:rsidR="00E92F6C" w:rsidRPr="00BE3BCE" w:rsidRDefault="00E75FBE" w:rsidP="00B02548">
            <w:pPr>
              <w:numPr>
                <w:ilvl w:val="0"/>
                <w:numId w:val="2"/>
              </w:numPr>
              <w:rPr>
                <w:rFonts w:ascii="Arial" w:hAnsi="Arial" w:cs="Arial"/>
                <w:sz w:val="20"/>
                <w:szCs w:val="20"/>
              </w:rPr>
            </w:pPr>
            <w:r>
              <w:rPr>
                <w:rFonts w:ascii="Arial" w:hAnsi="Arial" w:cs="Arial"/>
                <w:sz w:val="20"/>
                <w:szCs w:val="20"/>
              </w:rPr>
              <w:t>2</w:t>
            </w:r>
            <w:r w:rsidR="00E92F6C" w:rsidRPr="00BE3BCE">
              <w:rPr>
                <w:rFonts w:ascii="Arial" w:hAnsi="Arial" w:cs="Arial"/>
                <w:sz w:val="20"/>
                <w:szCs w:val="20"/>
              </w:rPr>
              <w:t xml:space="preserve"> not achieved</w:t>
            </w:r>
          </w:p>
        </w:tc>
        <w:tc>
          <w:tcPr>
            <w:tcW w:w="1949" w:type="dxa"/>
          </w:tcPr>
          <w:p w14:paraId="3F32FB70" w14:textId="1CD003BB"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1</w:t>
            </w:r>
            <w:r w:rsidR="00E75FBE">
              <w:rPr>
                <w:rFonts w:ascii="Arial" w:hAnsi="Arial" w:cs="Arial"/>
                <w:sz w:val="20"/>
                <w:szCs w:val="20"/>
              </w:rPr>
              <w:t>3</w:t>
            </w:r>
            <w:r w:rsidRPr="00BE3BCE">
              <w:rPr>
                <w:rFonts w:ascii="Arial" w:hAnsi="Arial" w:cs="Arial"/>
                <w:sz w:val="20"/>
                <w:szCs w:val="20"/>
              </w:rPr>
              <w:t xml:space="preserve"> met</w:t>
            </w:r>
          </w:p>
          <w:p w14:paraId="21E4D713" w14:textId="732BD713"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1</w:t>
            </w:r>
            <w:r w:rsidR="00E75FBE">
              <w:rPr>
                <w:rFonts w:ascii="Arial" w:hAnsi="Arial" w:cs="Arial"/>
                <w:sz w:val="20"/>
                <w:szCs w:val="20"/>
              </w:rPr>
              <w:t>0</w:t>
            </w:r>
            <w:r w:rsidRPr="00BE3BCE">
              <w:rPr>
                <w:rFonts w:ascii="Arial" w:hAnsi="Arial" w:cs="Arial"/>
                <w:sz w:val="20"/>
                <w:szCs w:val="20"/>
              </w:rPr>
              <w:t xml:space="preserve"> partially met </w:t>
            </w:r>
          </w:p>
          <w:p w14:paraId="631BB025" w14:textId="77777777"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1 not met</w:t>
            </w:r>
          </w:p>
        </w:tc>
        <w:tc>
          <w:tcPr>
            <w:tcW w:w="1949" w:type="dxa"/>
          </w:tcPr>
          <w:p w14:paraId="384156C8" w14:textId="77777777"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10 met</w:t>
            </w:r>
          </w:p>
          <w:p w14:paraId="3DAAFA3E" w14:textId="77777777"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5 partially met</w:t>
            </w:r>
          </w:p>
          <w:p w14:paraId="634EF037" w14:textId="77777777"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1 not met</w:t>
            </w:r>
          </w:p>
        </w:tc>
        <w:tc>
          <w:tcPr>
            <w:tcW w:w="1949" w:type="dxa"/>
          </w:tcPr>
          <w:p w14:paraId="66626A0F" w14:textId="77777777" w:rsidR="00E92F6C" w:rsidRPr="00BE3BCE" w:rsidRDefault="00E92F6C" w:rsidP="00B02548">
            <w:pPr>
              <w:numPr>
                <w:ilvl w:val="0"/>
                <w:numId w:val="2"/>
              </w:numPr>
              <w:rPr>
                <w:rFonts w:ascii="Arial" w:hAnsi="Arial" w:cs="Arial"/>
                <w:sz w:val="20"/>
                <w:szCs w:val="20"/>
              </w:rPr>
            </w:pPr>
            <w:r w:rsidRPr="00BE3BCE">
              <w:rPr>
                <w:rFonts w:ascii="Arial" w:hAnsi="Arial" w:cs="Arial"/>
                <w:sz w:val="20"/>
                <w:szCs w:val="20"/>
              </w:rPr>
              <w:t>Available when 2022-23 Annual Report published</w:t>
            </w:r>
          </w:p>
        </w:tc>
      </w:tr>
    </w:tbl>
    <w:p w14:paraId="536602CA" w14:textId="41FA7962" w:rsidR="00E92F6C" w:rsidRPr="00BE3BCE" w:rsidRDefault="00E92F6C" w:rsidP="00E92F6C">
      <w:pPr>
        <w:spacing w:before="240" w:after="120" w:line="240" w:lineRule="auto"/>
        <w:rPr>
          <w:rFonts w:ascii="Arial" w:hAnsi="Arial" w:cs="Arial"/>
          <w:sz w:val="24"/>
          <w:szCs w:val="24"/>
        </w:rPr>
      </w:pPr>
      <w:r w:rsidRPr="00BE3BCE">
        <w:rPr>
          <w:rFonts w:ascii="Arial" w:hAnsi="Arial" w:cs="Arial"/>
          <w:sz w:val="24"/>
          <w:szCs w:val="24"/>
        </w:rPr>
        <w:t xml:space="preserve">Current priorities and performance measures, as outlined in Table </w:t>
      </w:r>
      <w:r w:rsidR="00786D55">
        <w:rPr>
          <w:rFonts w:ascii="Arial" w:hAnsi="Arial" w:cs="Arial"/>
          <w:sz w:val="24"/>
          <w:szCs w:val="24"/>
        </w:rPr>
        <w:t>5</w:t>
      </w:r>
      <w:r w:rsidRPr="00BE3BCE">
        <w:rPr>
          <w:rFonts w:ascii="Arial" w:hAnsi="Arial" w:cs="Arial"/>
          <w:sz w:val="24"/>
          <w:szCs w:val="24"/>
        </w:rPr>
        <w:t xml:space="preserve"> below, reflect the Commission’s growing maturity and stated commitment to using data and intelligence to continue to improve its ability to:</w:t>
      </w:r>
    </w:p>
    <w:p w14:paraId="0B85DF5F" w14:textId="77777777" w:rsidR="00E92F6C" w:rsidRPr="00BE3BCE" w:rsidRDefault="00E92F6C" w:rsidP="001750D5">
      <w:pPr>
        <w:numPr>
          <w:ilvl w:val="0"/>
          <w:numId w:val="6"/>
        </w:numPr>
        <w:spacing w:before="120" w:after="120" w:line="240" w:lineRule="auto"/>
        <w:rPr>
          <w:rFonts w:ascii="Arial" w:hAnsi="Arial" w:cs="Arial"/>
          <w:sz w:val="24"/>
          <w:szCs w:val="24"/>
        </w:rPr>
      </w:pPr>
      <w:r w:rsidRPr="00BE3BCE">
        <w:rPr>
          <w:rFonts w:ascii="Arial" w:hAnsi="Arial" w:cs="Arial"/>
          <w:sz w:val="24"/>
          <w:szCs w:val="24"/>
        </w:rPr>
        <w:t>make informed, risk-</w:t>
      </w:r>
      <w:proofErr w:type="gramStart"/>
      <w:r w:rsidRPr="00BE3BCE">
        <w:rPr>
          <w:rFonts w:ascii="Arial" w:hAnsi="Arial" w:cs="Arial"/>
          <w:sz w:val="24"/>
          <w:szCs w:val="24"/>
        </w:rPr>
        <w:t>based</w:t>
      </w:r>
      <w:proofErr w:type="gramEnd"/>
      <w:r w:rsidRPr="00BE3BCE">
        <w:rPr>
          <w:rFonts w:ascii="Arial" w:hAnsi="Arial" w:cs="Arial"/>
          <w:sz w:val="24"/>
          <w:szCs w:val="24"/>
        </w:rPr>
        <w:t xml:space="preserve"> and proportionate decisions</w:t>
      </w:r>
    </w:p>
    <w:p w14:paraId="29D6E6C7" w14:textId="77777777" w:rsidR="00E92F6C" w:rsidRPr="00BE3BCE" w:rsidRDefault="00E92F6C" w:rsidP="001750D5">
      <w:pPr>
        <w:numPr>
          <w:ilvl w:val="0"/>
          <w:numId w:val="6"/>
        </w:numPr>
        <w:spacing w:before="120" w:after="120" w:line="240" w:lineRule="auto"/>
        <w:rPr>
          <w:rFonts w:ascii="Arial" w:hAnsi="Arial" w:cs="Arial"/>
          <w:sz w:val="24"/>
          <w:szCs w:val="24"/>
        </w:rPr>
      </w:pPr>
      <w:r w:rsidRPr="00BE3BCE">
        <w:rPr>
          <w:rFonts w:ascii="Arial" w:hAnsi="Arial" w:cs="Arial"/>
          <w:sz w:val="24"/>
          <w:szCs w:val="24"/>
        </w:rPr>
        <w:t>build internal capability and capacity</w:t>
      </w:r>
    </w:p>
    <w:p w14:paraId="34601AAA" w14:textId="77777777" w:rsidR="00E92F6C" w:rsidRPr="00BE3BCE" w:rsidRDefault="00E92F6C" w:rsidP="001750D5">
      <w:pPr>
        <w:numPr>
          <w:ilvl w:val="0"/>
          <w:numId w:val="6"/>
        </w:numPr>
        <w:spacing w:before="120" w:after="120" w:line="240" w:lineRule="auto"/>
        <w:rPr>
          <w:rFonts w:ascii="Arial" w:hAnsi="Arial" w:cs="Arial"/>
          <w:sz w:val="24"/>
          <w:szCs w:val="24"/>
        </w:rPr>
      </w:pPr>
      <w:r w:rsidRPr="00BE3BCE">
        <w:rPr>
          <w:rFonts w:ascii="Arial" w:hAnsi="Arial" w:cs="Arial"/>
          <w:sz w:val="24"/>
          <w:szCs w:val="24"/>
        </w:rPr>
        <w:t>inform and educate</w:t>
      </w:r>
    </w:p>
    <w:p w14:paraId="65EBB257" w14:textId="77777777" w:rsidR="00E92F6C" w:rsidRPr="00BE3BCE" w:rsidRDefault="00E92F6C" w:rsidP="001750D5">
      <w:pPr>
        <w:numPr>
          <w:ilvl w:val="0"/>
          <w:numId w:val="6"/>
        </w:numPr>
        <w:spacing w:before="120" w:after="120" w:line="240" w:lineRule="auto"/>
        <w:rPr>
          <w:rFonts w:ascii="Arial" w:hAnsi="Arial" w:cs="Arial"/>
          <w:sz w:val="24"/>
          <w:szCs w:val="24"/>
        </w:rPr>
      </w:pPr>
      <w:r w:rsidRPr="00BE3BCE">
        <w:rPr>
          <w:rFonts w:ascii="Arial" w:hAnsi="Arial" w:cs="Arial"/>
          <w:sz w:val="24"/>
          <w:szCs w:val="24"/>
        </w:rPr>
        <w:t>help drive increased trust in the aged care system, and</w:t>
      </w:r>
    </w:p>
    <w:p w14:paraId="1E25917E" w14:textId="6F45058D" w:rsidR="00E92F6C" w:rsidRPr="00BE3BCE" w:rsidRDefault="00E92F6C" w:rsidP="001750D5">
      <w:pPr>
        <w:numPr>
          <w:ilvl w:val="0"/>
          <w:numId w:val="6"/>
        </w:numPr>
        <w:spacing w:before="120" w:after="120" w:line="240" w:lineRule="auto"/>
        <w:rPr>
          <w:rFonts w:ascii="Arial" w:hAnsi="Arial" w:cs="Arial"/>
          <w:sz w:val="24"/>
          <w:szCs w:val="24"/>
        </w:rPr>
      </w:pPr>
      <w:r w:rsidRPr="00BE3BCE">
        <w:rPr>
          <w:rFonts w:ascii="Arial" w:hAnsi="Arial" w:cs="Arial"/>
          <w:sz w:val="24"/>
          <w:szCs w:val="24"/>
        </w:rPr>
        <w:t>deliver the government’s reform agenda.</w:t>
      </w:r>
      <w:r w:rsidR="009E53EE" w:rsidRPr="00BE3BCE">
        <w:rPr>
          <w:rFonts w:ascii="Arial" w:hAnsi="Arial" w:cs="Arial"/>
          <w:sz w:val="24"/>
          <w:szCs w:val="24"/>
          <w:vertAlign w:val="superscript"/>
        </w:rPr>
        <w:footnoteReference w:id="16"/>
      </w:r>
    </w:p>
    <w:p w14:paraId="224B591B" w14:textId="69F9F115" w:rsidR="00E92F6C" w:rsidRPr="005D0AF3" w:rsidRDefault="00E92F6C" w:rsidP="00B02548">
      <w:pPr>
        <w:keepNext/>
        <w:rPr>
          <w:rFonts w:ascii="Arial" w:hAnsi="Arial" w:cs="Arial"/>
          <w:sz w:val="24"/>
          <w:szCs w:val="24"/>
        </w:rPr>
      </w:pPr>
      <w:r w:rsidRPr="005D0AF3">
        <w:rPr>
          <w:rFonts w:ascii="Arial" w:hAnsi="Arial" w:cs="Arial"/>
          <w:b/>
          <w:bCs/>
          <w:sz w:val="24"/>
          <w:szCs w:val="24"/>
        </w:rPr>
        <w:lastRenderedPageBreak/>
        <w:t xml:space="preserve">Table </w:t>
      </w:r>
      <w:r w:rsidR="00786D55">
        <w:rPr>
          <w:rFonts w:ascii="Arial" w:hAnsi="Arial" w:cs="Arial"/>
          <w:b/>
          <w:bCs/>
          <w:sz w:val="24"/>
          <w:szCs w:val="24"/>
        </w:rPr>
        <w:t>5</w:t>
      </w:r>
      <w:r w:rsidRPr="005D0AF3">
        <w:rPr>
          <w:rFonts w:ascii="Arial" w:hAnsi="Arial" w:cs="Arial"/>
          <w:b/>
          <w:bCs/>
          <w:sz w:val="24"/>
          <w:szCs w:val="24"/>
        </w:rPr>
        <w:t>: Key activities and internal performance measures 2022-23</w:t>
      </w:r>
    </w:p>
    <w:tbl>
      <w:tblPr>
        <w:tblStyle w:val="TableGrid"/>
        <w:tblW w:w="9776" w:type="dxa"/>
        <w:tblLook w:val="04A0" w:firstRow="1" w:lastRow="0" w:firstColumn="1" w:lastColumn="0" w:noHBand="0" w:noVBand="1"/>
      </w:tblPr>
      <w:tblGrid>
        <w:gridCol w:w="3964"/>
        <w:gridCol w:w="5812"/>
      </w:tblGrid>
      <w:tr w:rsidR="00E92F6C" w:rsidRPr="00BE3BCE" w14:paraId="561314B1" w14:textId="77777777" w:rsidTr="006246AC">
        <w:trPr>
          <w:cantSplit/>
          <w:tblHeader/>
        </w:trPr>
        <w:tc>
          <w:tcPr>
            <w:tcW w:w="3964" w:type="dxa"/>
            <w:shd w:val="clear" w:color="auto" w:fill="D9E2F3" w:themeFill="accent1" w:themeFillTint="33"/>
          </w:tcPr>
          <w:p w14:paraId="3FA61B7A" w14:textId="77777777" w:rsidR="00E92F6C" w:rsidRPr="00BE3BCE" w:rsidRDefault="00E92F6C" w:rsidP="001C0208">
            <w:pPr>
              <w:spacing w:before="120" w:after="120"/>
              <w:rPr>
                <w:rFonts w:ascii="Arial" w:hAnsi="Arial" w:cs="Arial"/>
                <w:b/>
                <w:bCs/>
                <w:sz w:val="20"/>
                <w:szCs w:val="20"/>
              </w:rPr>
            </w:pPr>
            <w:r w:rsidRPr="00BE3BCE">
              <w:rPr>
                <w:rFonts w:ascii="Arial" w:hAnsi="Arial" w:cs="Arial"/>
                <w:b/>
                <w:bCs/>
                <w:sz w:val="20"/>
                <w:szCs w:val="20"/>
              </w:rPr>
              <w:t>Key activity</w:t>
            </w:r>
          </w:p>
        </w:tc>
        <w:tc>
          <w:tcPr>
            <w:tcW w:w="5812" w:type="dxa"/>
            <w:shd w:val="clear" w:color="auto" w:fill="D9E2F3" w:themeFill="accent1" w:themeFillTint="33"/>
          </w:tcPr>
          <w:p w14:paraId="6278F9C6" w14:textId="77777777" w:rsidR="00E92F6C" w:rsidRPr="00BE3BCE" w:rsidRDefault="00E92F6C" w:rsidP="001C0208">
            <w:pPr>
              <w:spacing w:before="120" w:after="120"/>
              <w:rPr>
                <w:rFonts w:ascii="Arial" w:hAnsi="Arial" w:cs="Arial"/>
                <w:b/>
                <w:bCs/>
                <w:sz w:val="20"/>
                <w:szCs w:val="20"/>
              </w:rPr>
            </w:pPr>
            <w:r w:rsidRPr="00BE3BCE">
              <w:rPr>
                <w:rFonts w:ascii="Arial" w:hAnsi="Arial" w:cs="Arial"/>
                <w:b/>
                <w:bCs/>
                <w:sz w:val="20"/>
                <w:szCs w:val="20"/>
              </w:rPr>
              <w:t>Performance measure</w:t>
            </w:r>
          </w:p>
        </w:tc>
      </w:tr>
      <w:tr w:rsidR="00E92F6C" w:rsidRPr="00BE3BCE" w14:paraId="7A5F1EB4" w14:textId="77777777" w:rsidTr="001C0208">
        <w:tc>
          <w:tcPr>
            <w:tcW w:w="3964" w:type="dxa"/>
            <w:shd w:val="clear" w:color="auto" w:fill="auto"/>
          </w:tcPr>
          <w:p w14:paraId="350DBC7E" w14:textId="77777777" w:rsidR="00E92F6C" w:rsidRPr="00BE3BCE" w:rsidRDefault="00E92F6C" w:rsidP="001750D5">
            <w:pPr>
              <w:numPr>
                <w:ilvl w:val="0"/>
                <w:numId w:val="15"/>
              </w:numPr>
              <w:spacing w:before="120" w:after="120"/>
              <w:contextualSpacing/>
              <w:rPr>
                <w:rFonts w:ascii="Arial" w:hAnsi="Arial" w:cs="Arial"/>
                <w:sz w:val="20"/>
                <w:szCs w:val="20"/>
              </w:rPr>
            </w:pPr>
            <w:r w:rsidRPr="00BE3BCE">
              <w:rPr>
                <w:rFonts w:ascii="Arial" w:hAnsi="Arial" w:cs="Arial"/>
                <w:sz w:val="20"/>
                <w:szCs w:val="20"/>
              </w:rPr>
              <w:t>Protect the safety, health, wellbeing, and quality of life of aged care consumers through our regulatory activities and decisions.</w:t>
            </w:r>
          </w:p>
        </w:tc>
        <w:tc>
          <w:tcPr>
            <w:tcW w:w="5812" w:type="dxa"/>
            <w:shd w:val="clear" w:color="auto" w:fill="auto"/>
          </w:tcPr>
          <w:p w14:paraId="6B0500B7" w14:textId="76081576" w:rsidR="00E92F6C" w:rsidRPr="00BE3BCE" w:rsidRDefault="00E92F6C" w:rsidP="001C0208">
            <w:pPr>
              <w:spacing w:before="120" w:after="120"/>
              <w:rPr>
                <w:rFonts w:ascii="Arial" w:hAnsi="Arial" w:cs="Arial"/>
                <w:sz w:val="20"/>
                <w:szCs w:val="20"/>
              </w:rPr>
            </w:pPr>
            <w:r w:rsidRPr="00BE3BCE">
              <w:rPr>
                <w:rFonts w:ascii="Arial" w:hAnsi="Arial" w:cs="Arial"/>
                <w:sz w:val="20"/>
                <w:szCs w:val="20"/>
              </w:rPr>
              <w:t>1-5 Reflect current PBS measures</w:t>
            </w:r>
            <w:r w:rsidR="006246AC">
              <w:rPr>
                <w:rFonts w:ascii="Arial" w:hAnsi="Arial" w:cs="Arial"/>
                <w:sz w:val="20"/>
                <w:szCs w:val="20"/>
              </w:rPr>
              <w:t>.</w:t>
            </w:r>
          </w:p>
          <w:p w14:paraId="39F96F9B"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Monitor and take appropriate action in response to providers with potential or actual non-compliance with financial and prudential responsibilities including the Prudential Standards.</w:t>
            </w:r>
          </w:p>
          <w:p w14:paraId="313B625A"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Improve the use of intelligence and enhance our risk-profiling and assessment to effectively target our regulatory responses.</w:t>
            </w:r>
          </w:p>
          <w:p w14:paraId="4E38F6C1" w14:textId="77777777" w:rsidR="00E92F6C" w:rsidRPr="00BE3BCE" w:rsidRDefault="00E92F6C" w:rsidP="001C0208">
            <w:pPr>
              <w:spacing w:before="120" w:after="120"/>
              <w:contextualSpacing/>
              <w:rPr>
                <w:rFonts w:ascii="Arial" w:hAnsi="Arial" w:cs="Arial"/>
                <w:sz w:val="20"/>
                <w:szCs w:val="20"/>
              </w:rPr>
            </w:pPr>
          </w:p>
        </w:tc>
      </w:tr>
      <w:tr w:rsidR="00E92F6C" w:rsidRPr="00BE3BCE" w14:paraId="626B4043" w14:textId="77777777" w:rsidTr="001C0208">
        <w:tc>
          <w:tcPr>
            <w:tcW w:w="3964" w:type="dxa"/>
            <w:shd w:val="clear" w:color="auto" w:fill="auto"/>
          </w:tcPr>
          <w:p w14:paraId="2E29E25E" w14:textId="77777777" w:rsidR="00E92F6C" w:rsidRPr="00BE3BCE" w:rsidRDefault="00E92F6C" w:rsidP="001750D5">
            <w:pPr>
              <w:numPr>
                <w:ilvl w:val="0"/>
                <w:numId w:val="15"/>
              </w:numPr>
              <w:spacing w:before="120" w:after="120"/>
              <w:contextualSpacing/>
              <w:rPr>
                <w:rFonts w:ascii="Arial" w:hAnsi="Arial" w:cs="Arial"/>
                <w:sz w:val="20"/>
                <w:szCs w:val="20"/>
              </w:rPr>
            </w:pPr>
            <w:r w:rsidRPr="00BE3BCE">
              <w:rPr>
                <w:rFonts w:ascii="Arial" w:hAnsi="Arial" w:cs="Arial"/>
                <w:sz w:val="20"/>
                <w:szCs w:val="20"/>
              </w:rPr>
              <w:t xml:space="preserve">Contribute to enhancing confidence and trust in the aged care system, empowering </w:t>
            </w:r>
            <w:proofErr w:type="gramStart"/>
            <w:r w:rsidRPr="00BE3BCE">
              <w:rPr>
                <w:rFonts w:ascii="Arial" w:hAnsi="Arial" w:cs="Arial"/>
                <w:sz w:val="20"/>
                <w:szCs w:val="20"/>
              </w:rPr>
              <w:t>consumers</w:t>
            </w:r>
            <w:proofErr w:type="gramEnd"/>
            <w:r w:rsidRPr="00BE3BCE">
              <w:rPr>
                <w:rFonts w:ascii="Arial" w:hAnsi="Arial" w:cs="Arial"/>
                <w:sz w:val="20"/>
                <w:szCs w:val="20"/>
              </w:rPr>
              <w:t xml:space="preserve"> and promoting best practice service provision through engagement, information and education.</w:t>
            </w:r>
          </w:p>
        </w:tc>
        <w:tc>
          <w:tcPr>
            <w:tcW w:w="5812" w:type="dxa"/>
          </w:tcPr>
          <w:p w14:paraId="17DDF71C"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Consumer feedback and engagement is used to inform the design and focus of our activities.</w:t>
            </w:r>
          </w:p>
          <w:p w14:paraId="395DA12C"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Promote best practice and support quality use of medicines through stakeholder engagement, including extending pharmacy outreach activities to more aged care services.</w:t>
            </w:r>
          </w:p>
          <w:p w14:paraId="57FCF112"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 xml:space="preserve">Underpin the Commission’s activities with focused communications, </w:t>
            </w:r>
            <w:proofErr w:type="gramStart"/>
            <w:r w:rsidRPr="00BE3BCE">
              <w:rPr>
                <w:rFonts w:ascii="Arial" w:hAnsi="Arial" w:cs="Arial"/>
                <w:sz w:val="20"/>
                <w:szCs w:val="20"/>
              </w:rPr>
              <w:t>information</w:t>
            </w:r>
            <w:proofErr w:type="gramEnd"/>
            <w:r w:rsidRPr="00BE3BCE">
              <w:rPr>
                <w:rFonts w:ascii="Arial" w:hAnsi="Arial" w:cs="Arial"/>
                <w:sz w:val="20"/>
                <w:szCs w:val="20"/>
              </w:rPr>
              <w:t xml:space="preserve"> and education to support capability uplift and </w:t>
            </w:r>
            <w:proofErr w:type="spellStart"/>
            <w:r w:rsidRPr="00BE3BCE">
              <w:rPr>
                <w:rFonts w:ascii="Arial" w:hAnsi="Arial" w:cs="Arial"/>
                <w:sz w:val="20"/>
                <w:szCs w:val="20"/>
              </w:rPr>
              <w:t>behavioural</w:t>
            </w:r>
            <w:proofErr w:type="spellEnd"/>
            <w:r w:rsidRPr="00BE3BCE">
              <w:rPr>
                <w:rFonts w:ascii="Arial" w:hAnsi="Arial" w:cs="Arial"/>
                <w:sz w:val="20"/>
                <w:szCs w:val="20"/>
              </w:rPr>
              <w:t xml:space="preserve"> change in the sector.</w:t>
            </w:r>
          </w:p>
          <w:p w14:paraId="1DB92272" w14:textId="77777777" w:rsidR="00E92F6C" w:rsidRPr="00BE3BCE" w:rsidRDefault="00E92F6C" w:rsidP="001C0208">
            <w:pPr>
              <w:spacing w:before="120" w:after="120"/>
              <w:contextualSpacing/>
              <w:rPr>
                <w:rFonts w:ascii="Arial" w:hAnsi="Arial" w:cs="Arial"/>
                <w:sz w:val="20"/>
                <w:szCs w:val="20"/>
              </w:rPr>
            </w:pPr>
          </w:p>
        </w:tc>
      </w:tr>
      <w:tr w:rsidR="00E92F6C" w:rsidRPr="00BE3BCE" w14:paraId="50C599DB" w14:textId="77777777" w:rsidTr="001C0208">
        <w:tc>
          <w:tcPr>
            <w:tcW w:w="3964" w:type="dxa"/>
            <w:shd w:val="clear" w:color="auto" w:fill="auto"/>
          </w:tcPr>
          <w:p w14:paraId="478D23CE" w14:textId="77777777" w:rsidR="00E92F6C" w:rsidRPr="00BE3BCE" w:rsidRDefault="00E92F6C" w:rsidP="001750D5">
            <w:pPr>
              <w:numPr>
                <w:ilvl w:val="0"/>
                <w:numId w:val="15"/>
              </w:numPr>
              <w:spacing w:before="120" w:after="120"/>
              <w:contextualSpacing/>
              <w:rPr>
                <w:rFonts w:ascii="Arial" w:hAnsi="Arial" w:cs="Arial"/>
                <w:sz w:val="20"/>
                <w:szCs w:val="20"/>
              </w:rPr>
            </w:pPr>
            <w:r w:rsidRPr="00BE3BCE">
              <w:rPr>
                <w:rFonts w:ascii="Arial" w:hAnsi="Arial" w:cs="Arial"/>
                <w:sz w:val="20"/>
                <w:szCs w:val="20"/>
              </w:rPr>
              <w:t>Contribute to aged care reform through our regulatory activities, including the quality and safety, sector workforce, and governance in aged care.</w:t>
            </w:r>
          </w:p>
        </w:tc>
        <w:tc>
          <w:tcPr>
            <w:tcW w:w="5812" w:type="dxa"/>
          </w:tcPr>
          <w:p w14:paraId="0CA36B08"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Expand the Serious Incident Response Scheme (SIRS) and quality indicator program into home care.</w:t>
            </w:r>
          </w:p>
          <w:p w14:paraId="744DD989"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 xml:space="preserve">Build </w:t>
            </w:r>
            <w:proofErr w:type="spellStart"/>
            <w:r w:rsidRPr="00BE3BCE">
              <w:rPr>
                <w:rFonts w:ascii="Arial" w:hAnsi="Arial" w:cs="Arial"/>
                <w:sz w:val="20"/>
                <w:szCs w:val="20"/>
              </w:rPr>
              <w:t>organisational</w:t>
            </w:r>
            <w:proofErr w:type="spellEnd"/>
            <w:r w:rsidRPr="00BE3BCE">
              <w:rPr>
                <w:rFonts w:ascii="Arial" w:hAnsi="Arial" w:cs="Arial"/>
                <w:sz w:val="20"/>
                <w:szCs w:val="20"/>
              </w:rPr>
              <w:t xml:space="preserve"> and clinical governance capability of leaders and governing bodies of Commonwealth </w:t>
            </w:r>
            <w:proofErr w:type="spellStart"/>
            <w:r w:rsidRPr="00BE3BCE">
              <w:rPr>
                <w:rFonts w:ascii="Arial" w:hAnsi="Arial" w:cs="Arial"/>
                <w:sz w:val="20"/>
                <w:szCs w:val="20"/>
              </w:rPr>
              <w:t>subsidised</w:t>
            </w:r>
            <w:proofErr w:type="spellEnd"/>
            <w:r w:rsidRPr="00BE3BCE">
              <w:rPr>
                <w:rFonts w:ascii="Arial" w:hAnsi="Arial" w:cs="Arial"/>
                <w:sz w:val="20"/>
                <w:szCs w:val="20"/>
              </w:rPr>
              <w:t xml:space="preserve"> residential and home care providers through targeted education and engagement.</w:t>
            </w:r>
          </w:p>
          <w:p w14:paraId="699F4F7C"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 xml:space="preserve">Deliver a campaign on </w:t>
            </w:r>
            <w:proofErr w:type="spellStart"/>
            <w:r w:rsidRPr="00BE3BCE">
              <w:rPr>
                <w:rFonts w:ascii="Arial" w:hAnsi="Arial" w:cs="Arial"/>
                <w:sz w:val="20"/>
                <w:szCs w:val="20"/>
              </w:rPr>
              <w:t>minimising</w:t>
            </w:r>
            <w:proofErr w:type="spellEnd"/>
            <w:r w:rsidRPr="00BE3BCE">
              <w:rPr>
                <w:rFonts w:ascii="Arial" w:hAnsi="Arial" w:cs="Arial"/>
                <w:sz w:val="20"/>
                <w:szCs w:val="20"/>
              </w:rPr>
              <w:t xml:space="preserve"> restrictive practices including </w:t>
            </w:r>
            <w:proofErr w:type="spellStart"/>
            <w:r w:rsidRPr="00BE3BCE">
              <w:rPr>
                <w:rFonts w:ascii="Arial" w:hAnsi="Arial" w:cs="Arial"/>
                <w:sz w:val="20"/>
                <w:szCs w:val="20"/>
              </w:rPr>
              <w:t>behaviour</w:t>
            </w:r>
            <w:proofErr w:type="spellEnd"/>
            <w:r w:rsidRPr="00BE3BCE">
              <w:rPr>
                <w:rFonts w:ascii="Arial" w:hAnsi="Arial" w:cs="Arial"/>
                <w:sz w:val="20"/>
                <w:szCs w:val="20"/>
              </w:rPr>
              <w:t xml:space="preserve"> support</w:t>
            </w:r>
          </w:p>
          <w:p w14:paraId="1FB9257C" w14:textId="77777777" w:rsidR="00E92F6C" w:rsidRPr="00BE3BCE" w:rsidRDefault="00E92F6C" w:rsidP="001750D5">
            <w:pPr>
              <w:numPr>
                <w:ilvl w:val="0"/>
                <w:numId w:val="16"/>
              </w:numPr>
              <w:spacing w:before="120" w:after="120"/>
              <w:contextualSpacing/>
              <w:rPr>
                <w:rFonts w:ascii="Arial" w:hAnsi="Arial" w:cs="Arial"/>
                <w:sz w:val="20"/>
                <w:szCs w:val="20"/>
              </w:rPr>
            </w:pPr>
            <w:r w:rsidRPr="00BE3BCE">
              <w:rPr>
                <w:rFonts w:ascii="Arial" w:hAnsi="Arial" w:cs="Arial"/>
                <w:sz w:val="20"/>
                <w:szCs w:val="20"/>
              </w:rPr>
              <w:t>Establish regulatory arrangements for new Code of Conduct.</w:t>
            </w:r>
          </w:p>
          <w:p w14:paraId="1CDFCCEE" w14:textId="77777777" w:rsidR="00E92F6C" w:rsidRPr="00BE3BCE" w:rsidRDefault="00E92F6C" w:rsidP="001C0208">
            <w:pPr>
              <w:spacing w:before="120" w:after="120"/>
              <w:contextualSpacing/>
              <w:rPr>
                <w:rFonts w:ascii="Arial" w:hAnsi="Arial" w:cs="Arial"/>
                <w:sz w:val="20"/>
                <w:szCs w:val="20"/>
              </w:rPr>
            </w:pPr>
          </w:p>
        </w:tc>
      </w:tr>
    </w:tbl>
    <w:p w14:paraId="47AC46C4" w14:textId="7B7F3D95" w:rsidR="00E92F6C" w:rsidRPr="00BE3BCE" w:rsidRDefault="00E92F6C" w:rsidP="001364C7">
      <w:pPr>
        <w:spacing w:before="480" w:after="120" w:line="240" w:lineRule="auto"/>
        <w:rPr>
          <w:szCs w:val="28"/>
        </w:rPr>
      </w:pPr>
      <w:r w:rsidRPr="00BE3BCE">
        <w:rPr>
          <w:rFonts w:ascii="Arial" w:hAnsi="Arial" w:cs="Arial"/>
          <w:b/>
          <w:bCs/>
          <w:sz w:val="28"/>
          <w:szCs w:val="28"/>
        </w:rPr>
        <w:t>3.</w:t>
      </w:r>
      <w:r w:rsidR="00280B5E">
        <w:rPr>
          <w:rFonts w:ascii="Arial" w:hAnsi="Arial" w:cs="Arial"/>
          <w:b/>
          <w:bCs/>
          <w:sz w:val="28"/>
          <w:szCs w:val="28"/>
        </w:rPr>
        <w:t>11</w:t>
      </w:r>
      <w:r w:rsidR="00280B5E" w:rsidRPr="00BE3BCE">
        <w:rPr>
          <w:rFonts w:ascii="Arial" w:hAnsi="Arial" w:cs="Arial"/>
          <w:b/>
          <w:bCs/>
          <w:sz w:val="28"/>
          <w:szCs w:val="28"/>
        </w:rPr>
        <w:t xml:space="preserve"> </w:t>
      </w:r>
      <w:r w:rsidRPr="00BE3BCE">
        <w:rPr>
          <w:rFonts w:ascii="Arial" w:hAnsi="Arial" w:cs="Arial"/>
          <w:b/>
          <w:bCs/>
          <w:sz w:val="28"/>
          <w:szCs w:val="28"/>
        </w:rPr>
        <w:t>Barriers and challenges</w:t>
      </w:r>
    </w:p>
    <w:p w14:paraId="3723AFBC" w14:textId="0A0F268F" w:rsidR="00E92F6C" w:rsidRPr="00BE3BCE" w:rsidRDefault="00E92F6C" w:rsidP="00E92F6C">
      <w:pPr>
        <w:widowControl w:val="0"/>
        <w:autoSpaceDE w:val="0"/>
        <w:autoSpaceDN w:val="0"/>
        <w:spacing w:before="12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 xml:space="preserve">The Commission highlighted several </w:t>
      </w:r>
      <w:r>
        <w:rPr>
          <w:rFonts w:ascii="Arial" w:eastAsia="Proxima Nova" w:hAnsi="Arial" w:cs="Arial"/>
          <w:sz w:val="24"/>
          <w:szCs w:val="24"/>
          <w:lang w:val="en-US"/>
        </w:rPr>
        <w:t xml:space="preserve">barriers and </w:t>
      </w:r>
      <w:r w:rsidRPr="00BE3BCE">
        <w:rPr>
          <w:rFonts w:ascii="Arial" w:eastAsia="Proxima Nova" w:hAnsi="Arial" w:cs="Arial"/>
          <w:sz w:val="24"/>
          <w:szCs w:val="24"/>
          <w:lang w:val="en-US"/>
        </w:rPr>
        <w:t>challenges to the effective delivery of its functions</w:t>
      </w:r>
      <w:r w:rsidR="00126523">
        <w:rPr>
          <w:rFonts w:ascii="Arial" w:eastAsia="Proxima Nova" w:hAnsi="Arial" w:cs="Arial"/>
          <w:sz w:val="24"/>
          <w:szCs w:val="24"/>
          <w:lang w:val="en-US"/>
        </w:rPr>
        <w:t>.</w:t>
      </w:r>
    </w:p>
    <w:p w14:paraId="6F1993AA" w14:textId="77777777" w:rsidR="00E92F6C" w:rsidRPr="00BE3BCE" w:rsidRDefault="00E92F6C"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The different needs and expectations of the diverse range of people receiving aged care.</w:t>
      </w:r>
    </w:p>
    <w:p w14:paraId="4342CED4" w14:textId="77777777" w:rsidR="00E92F6C" w:rsidRPr="00BE3BCE" w:rsidRDefault="00E92F6C"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 xml:space="preserve">An aged care sector with marked differences in </w:t>
      </w:r>
      <w:proofErr w:type="spellStart"/>
      <w:r w:rsidRPr="00BE3BCE">
        <w:rPr>
          <w:rFonts w:ascii="Arial" w:eastAsia="Proxima Nova" w:hAnsi="Arial" w:cs="Arial"/>
          <w:sz w:val="24"/>
          <w:szCs w:val="24"/>
          <w:lang w:val="en-US"/>
        </w:rPr>
        <w:t>organisational</w:t>
      </w:r>
      <w:proofErr w:type="spellEnd"/>
      <w:r w:rsidRPr="00BE3BCE">
        <w:rPr>
          <w:rFonts w:ascii="Arial" w:eastAsia="Proxima Nova" w:hAnsi="Arial" w:cs="Arial"/>
          <w:sz w:val="24"/>
          <w:szCs w:val="24"/>
          <w:lang w:val="en-US"/>
        </w:rPr>
        <w:t xml:space="preserve"> characteristics and capability, which is under pressure to deliver services in a time of substantial reform, heightened public distrust and fiscal challenges.</w:t>
      </w:r>
    </w:p>
    <w:p w14:paraId="75056E68" w14:textId="7525883C" w:rsidR="00E92F6C" w:rsidRPr="00BE3BCE" w:rsidRDefault="00E92F6C"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Delivering regulatory activity during the COVID-19 pandemic, where outbreaks and public health restrictions impact the Commission’s capacity to undertake site-based assessments and deliver the accreditation program.</w:t>
      </w:r>
    </w:p>
    <w:p w14:paraId="6C69925A" w14:textId="0246E756" w:rsidR="00E92F6C" w:rsidRPr="00BE3BCE" w:rsidRDefault="00E92F6C"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Substantial change in the Commission’s roles and responsibilities since its establishment in 2019, including in relation to functions transferred from the Department and reforms arising from recommendations of the Royal Commission.</w:t>
      </w:r>
    </w:p>
    <w:p w14:paraId="2920693A" w14:textId="77777777" w:rsidR="00E92F6C" w:rsidRPr="00BE3BCE" w:rsidRDefault="00E92F6C"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 xml:space="preserve">Managing the rapid growth associated with expanded functions and powers and </w:t>
      </w:r>
      <w:r w:rsidRPr="00BE3BCE">
        <w:rPr>
          <w:rFonts w:ascii="Arial" w:eastAsia="Proxima Nova" w:hAnsi="Arial" w:cs="Arial"/>
          <w:sz w:val="24"/>
          <w:szCs w:val="24"/>
          <w:lang w:val="en-US"/>
        </w:rPr>
        <w:lastRenderedPageBreak/>
        <w:t>the impact legacy issues (including budget baselines, staff capacity and capability and ICT capability) have had on the Commission’s ability to “scale up”.</w:t>
      </w:r>
    </w:p>
    <w:p w14:paraId="5B71AA83" w14:textId="45F2DFC5" w:rsidR="00E92F6C" w:rsidRPr="00BE3BCE" w:rsidRDefault="00E92F6C" w:rsidP="001750D5">
      <w:pPr>
        <w:widowControl w:val="0"/>
        <w:numPr>
          <w:ilvl w:val="0"/>
          <w:numId w:val="5"/>
        </w:numPr>
        <w:autoSpaceDE w:val="0"/>
        <w:autoSpaceDN w:val="0"/>
        <w:spacing w:before="120" w:after="120" w:line="240" w:lineRule="auto"/>
        <w:rPr>
          <w:rFonts w:ascii="Arial" w:hAnsi="Arial" w:cs="Arial"/>
          <w:sz w:val="24"/>
          <w:szCs w:val="24"/>
        </w:rPr>
      </w:pPr>
      <w:r w:rsidRPr="00BE3BCE">
        <w:rPr>
          <w:rFonts w:ascii="Arial" w:eastAsia="Proxima Nova" w:hAnsi="Arial" w:cs="Arial"/>
          <w:sz w:val="24"/>
          <w:szCs w:val="24"/>
          <w:lang w:val="en-US"/>
        </w:rPr>
        <w:t>Antiquated aged care legislation which does not support risk-based regulation.</w:t>
      </w:r>
      <w:r w:rsidR="009E53EE" w:rsidRPr="00BE3BCE">
        <w:rPr>
          <w:rFonts w:ascii="Arial" w:eastAsia="Proxima Nova" w:hAnsi="Arial" w:cs="Arial"/>
          <w:sz w:val="24"/>
          <w:szCs w:val="24"/>
          <w:vertAlign w:val="superscript"/>
          <w:lang w:val="en-US"/>
        </w:rPr>
        <w:footnoteReference w:id="17"/>
      </w:r>
    </w:p>
    <w:p w14:paraId="32A758A1" w14:textId="117F51A0" w:rsidR="00E92F6C" w:rsidRPr="00BE3BCE" w:rsidRDefault="00E92F6C" w:rsidP="001750D5">
      <w:pPr>
        <w:widowControl w:val="0"/>
        <w:numPr>
          <w:ilvl w:val="0"/>
          <w:numId w:val="5"/>
        </w:numPr>
        <w:autoSpaceDE w:val="0"/>
        <w:autoSpaceDN w:val="0"/>
        <w:spacing w:before="120" w:after="120" w:line="240" w:lineRule="auto"/>
        <w:rPr>
          <w:rFonts w:ascii="Arial" w:hAnsi="Arial" w:cs="Arial"/>
          <w:sz w:val="24"/>
          <w:szCs w:val="24"/>
        </w:rPr>
      </w:pPr>
      <w:r w:rsidRPr="00BE3BCE">
        <w:rPr>
          <w:rFonts w:ascii="Arial" w:eastAsia="Proxima Nova" w:hAnsi="Arial" w:cs="Arial"/>
          <w:sz w:val="24"/>
          <w:szCs w:val="24"/>
          <w:lang w:val="en-US"/>
        </w:rPr>
        <w:t>ICT system development and data integrity, useability, and maturity issues, which constrain how well the Commission can use data and intelligence to make evidence-based decisions and drive a risk-based approach to regulation</w:t>
      </w:r>
      <w:r w:rsidRPr="00BE3BCE">
        <w:rPr>
          <w:rFonts w:ascii="Arial" w:hAnsi="Arial" w:cs="Arial"/>
          <w:sz w:val="24"/>
          <w:szCs w:val="24"/>
        </w:rPr>
        <w:t>.</w:t>
      </w:r>
      <w:r w:rsidR="006F7AA2" w:rsidRPr="00BE3BCE">
        <w:rPr>
          <w:rFonts w:ascii="Arial" w:hAnsi="Arial" w:cs="Arial"/>
          <w:sz w:val="24"/>
          <w:szCs w:val="24"/>
          <w:vertAlign w:val="superscript"/>
        </w:rPr>
        <w:footnoteReference w:id="18"/>
      </w:r>
    </w:p>
    <w:p w14:paraId="06ED29D2" w14:textId="632451B7" w:rsidR="00E92F6C" w:rsidRPr="00BE3BCE" w:rsidRDefault="00E92F6C" w:rsidP="00E92F6C">
      <w:pPr>
        <w:widowControl w:val="0"/>
        <w:autoSpaceDE w:val="0"/>
        <w:autoSpaceDN w:val="0"/>
        <w:spacing w:before="24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Feedback from the Commission, the Department and the sector indicates that the current legislative framework does, in part, restrict the Commission’s ability to be a modern, best practice regulator.</w:t>
      </w:r>
    </w:p>
    <w:p w14:paraId="536A16C2" w14:textId="77777777" w:rsidR="00E92F6C" w:rsidRPr="00BE3BCE" w:rsidRDefault="00E92F6C" w:rsidP="001750D5">
      <w:pPr>
        <w:widowControl w:val="0"/>
        <w:numPr>
          <w:ilvl w:val="0"/>
          <w:numId w:val="12"/>
        </w:numPr>
        <w:autoSpaceDE w:val="0"/>
        <w:autoSpaceDN w:val="0"/>
        <w:spacing w:before="109" w:after="0" w:line="240" w:lineRule="auto"/>
        <w:rPr>
          <w:rFonts w:ascii="Arial" w:eastAsia="Proxima Nova" w:hAnsi="Arial" w:cs="Proxima Nova"/>
          <w:bCs/>
          <w:sz w:val="24"/>
          <w:szCs w:val="24"/>
          <w:lang w:val="en-GB"/>
        </w:rPr>
      </w:pPr>
      <w:r w:rsidRPr="00BE3BCE">
        <w:rPr>
          <w:rFonts w:ascii="Arial" w:eastAsia="Proxima Nova" w:hAnsi="Arial" w:cs="Proxima Nova"/>
          <w:sz w:val="24"/>
          <w:szCs w:val="24"/>
          <w:lang w:val="en-GB"/>
        </w:rPr>
        <w:t>The current framework is provider-centric and transactional, focusing on compliance with audits rather than encouraging a culture of care and improving older people’s quality of life.</w:t>
      </w:r>
    </w:p>
    <w:p w14:paraId="27F7F688" w14:textId="2D3E6B74" w:rsidR="00E92F6C" w:rsidRPr="00BE3BCE" w:rsidRDefault="00E92F6C" w:rsidP="001750D5">
      <w:pPr>
        <w:widowControl w:val="0"/>
        <w:numPr>
          <w:ilvl w:val="0"/>
          <w:numId w:val="12"/>
        </w:numPr>
        <w:autoSpaceDE w:val="0"/>
        <w:autoSpaceDN w:val="0"/>
        <w:spacing w:before="120" w:after="120" w:line="240" w:lineRule="auto"/>
        <w:ind w:left="357" w:hanging="357"/>
        <w:rPr>
          <w:rFonts w:ascii="Arial" w:hAnsi="Arial" w:cs="Arial"/>
          <w:sz w:val="24"/>
          <w:szCs w:val="24"/>
        </w:rPr>
      </w:pPr>
      <w:r w:rsidRPr="00BE3BCE">
        <w:rPr>
          <w:rFonts w:ascii="Arial" w:hAnsi="Arial" w:cs="Arial"/>
          <w:sz w:val="24"/>
          <w:szCs w:val="24"/>
        </w:rPr>
        <w:t>The legislation sets out similar pre-market entry requirements, with some differentiation for residential and home care</w:t>
      </w:r>
      <w:r w:rsidR="00B437BD">
        <w:rPr>
          <w:rFonts w:ascii="Arial" w:hAnsi="Arial" w:cs="Arial"/>
          <w:sz w:val="24"/>
          <w:szCs w:val="24"/>
        </w:rPr>
        <w:t>,</w:t>
      </w:r>
      <w:r w:rsidRPr="00BE3BCE">
        <w:rPr>
          <w:rFonts w:ascii="Arial" w:hAnsi="Arial" w:cs="Arial"/>
          <w:sz w:val="24"/>
          <w:szCs w:val="24"/>
        </w:rPr>
        <w:t xml:space="preserve"> but no differentiation between providers delivering different types of in-home care. This means the Commission screens all providers in the same way, regardless of the services provided, and then relies on post market assessment to identify issues in delivery. This places unnecessary burden on providers and creates complexity for the Commission as it can</w:t>
      </w:r>
      <w:r>
        <w:rPr>
          <w:rFonts w:ascii="Arial" w:hAnsi="Arial" w:cs="Arial"/>
          <w:sz w:val="24"/>
          <w:szCs w:val="24"/>
        </w:rPr>
        <w:t>no</w:t>
      </w:r>
      <w:r w:rsidRPr="00BE3BCE">
        <w:rPr>
          <w:rFonts w:ascii="Arial" w:hAnsi="Arial" w:cs="Arial"/>
          <w:sz w:val="24"/>
          <w:szCs w:val="24"/>
        </w:rPr>
        <w:t>t differentiate providers based on the risk associated with the services they deliver.</w:t>
      </w:r>
    </w:p>
    <w:p w14:paraId="6EB98204" w14:textId="4EAD1775" w:rsidR="00E92F6C" w:rsidRPr="00BE3BCE" w:rsidRDefault="00E92F6C" w:rsidP="001750D5">
      <w:pPr>
        <w:widowControl w:val="0"/>
        <w:numPr>
          <w:ilvl w:val="0"/>
          <w:numId w:val="12"/>
        </w:numPr>
        <w:autoSpaceDE w:val="0"/>
        <w:autoSpaceDN w:val="0"/>
        <w:spacing w:before="109" w:after="0" w:line="240" w:lineRule="auto"/>
        <w:rPr>
          <w:rFonts w:ascii="Arial" w:eastAsia="Proxima Nova" w:hAnsi="Arial" w:cs="Proxima Nova"/>
          <w:sz w:val="24"/>
          <w:szCs w:val="24"/>
          <w:lang w:val="en-GB"/>
        </w:rPr>
      </w:pPr>
      <w:r w:rsidRPr="00BE3BCE">
        <w:rPr>
          <w:rFonts w:ascii="Arial" w:eastAsia="Proxima Nova" w:hAnsi="Arial" w:cs="Proxima Nova"/>
          <w:sz w:val="24"/>
          <w:szCs w:val="24"/>
          <w:lang w:val="en-GB"/>
        </w:rPr>
        <w:t xml:space="preserve">There are 300 plus provider responsibilities under the legislation. Having such </w:t>
      </w:r>
      <w:proofErr w:type="gramStart"/>
      <w:r w:rsidRPr="00BE3BCE">
        <w:rPr>
          <w:rFonts w:ascii="Arial" w:eastAsia="Proxima Nova" w:hAnsi="Arial" w:cs="Proxima Nova"/>
          <w:sz w:val="24"/>
          <w:szCs w:val="24"/>
          <w:lang w:val="en-GB"/>
        </w:rPr>
        <w:t>a large number of</w:t>
      </w:r>
      <w:proofErr w:type="gramEnd"/>
      <w:r w:rsidRPr="00BE3BCE">
        <w:rPr>
          <w:rFonts w:ascii="Arial" w:eastAsia="Proxima Nova" w:hAnsi="Arial" w:cs="Proxima Nova"/>
          <w:sz w:val="24"/>
          <w:szCs w:val="24"/>
          <w:lang w:val="en-GB"/>
        </w:rPr>
        <w:t xml:space="preserve"> responsibilities creates challenges in terms of provider compliance, communicating risk and priorities, identifying which responsibilities have been breached or which to pursue, and under which pathway.</w:t>
      </w:r>
    </w:p>
    <w:p w14:paraId="5DBDBFA6" w14:textId="6ACD6D9D" w:rsidR="00E92F6C" w:rsidRPr="00BE3BCE" w:rsidRDefault="00E92F6C" w:rsidP="001750D5">
      <w:pPr>
        <w:widowControl w:val="0"/>
        <w:numPr>
          <w:ilvl w:val="0"/>
          <w:numId w:val="12"/>
        </w:numPr>
        <w:autoSpaceDE w:val="0"/>
        <w:autoSpaceDN w:val="0"/>
        <w:spacing w:before="109" w:after="0" w:line="240" w:lineRule="auto"/>
        <w:rPr>
          <w:rFonts w:ascii="Arial" w:eastAsia="Proxima Nova" w:hAnsi="Arial" w:cs="Proxima Nova"/>
          <w:bCs/>
          <w:color w:val="44546A" w:themeColor="text2"/>
          <w:sz w:val="24"/>
          <w:szCs w:val="24"/>
          <w:lang w:val="en-GB"/>
        </w:rPr>
      </w:pPr>
      <w:r w:rsidRPr="00BE3BCE">
        <w:rPr>
          <w:rFonts w:ascii="Arial" w:eastAsia="Proxima Nova" w:hAnsi="Arial" w:cs="Proxima Nova"/>
          <w:sz w:val="24"/>
          <w:szCs w:val="24"/>
          <w:lang w:val="en-GB"/>
        </w:rPr>
        <w:t>Provider responsibilities are often duplicated across legislation. As new responsibilities</w:t>
      </w:r>
      <w:r w:rsidRPr="00BE3BCE">
        <w:rPr>
          <w:rFonts w:ascii="Arial" w:hAnsi="Arial" w:cs="Arial"/>
          <w:sz w:val="24"/>
          <w:szCs w:val="24"/>
        </w:rPr>
        <w:t xml:space="preserve"> are introduced, or the focus of </w:t>
      </w:r>
      <w:proofErr w:type="gramStart"/>
      <w:r w:rsidRPr="00BE3BCE">
        <w:rPr>
          <w:rFonts w:ascii="Arial" w:hAnsi="Arial" w:cs="Arial"/>
          <w:sz w:val="24"/>
          <w:szCs w:val="24"/>
        </w:rPr>
        <w:t>particular areas</w:t>
      </w:r>
      <w:proofErr w:type="gramEnd"/>
      <w:r w:rsidRPr="00BE3BCE">
        <w:rPr>
          <w:rFonts w:ascii="Arial" w:hAnsi="Arial" w:cs="Arial"/>
          <w:sz w:val="24"/>
          <w:szCs w:val="24"/>
        </w:rPr>
        <w:t xml:space="preserve"> of concern result in additional responsibilities being added to the legislation, there is increasing overlap with existing responsibilities. There is also some inconsistency between the responsibilities, which sends mixed messages to providers. This creates challenges for the Commission when undertaking performance assessments, seeking to educate providers and create a coherent </w:t>
      </w:r>
      <w:r w:rsidR="00126523">
        <w:rPr>
          <w:rFonts w:ascii="Arial" w:hAnsi="Arial" w:cs="Arial"/>
          <w:sz w:val="24"/>
          <w:szCs w:val="24"/>
        </w:rPr>
        <w:t xml:space="preserve">regulatory </w:t>
      </w:r>
      <w:r w:rsidRPr="00BE3BCE">
        <w:rPr>
          <w:rFonts w:ascii="Arial" w:hAnsi="Arial" w:cs="Arial"/>
          <w:sz w:val="24"/>
          <w:szCs w:val="24"/>
        </w:rPr>
        <w:t>narrative</w:t>
      </w:r>
      <w:r w:rsidR="00126523">
        <w:rPr>
          <w:rFonts w:ascii="Arial" w:hAnsi="Arial" w:cs="Arial"/>
          <w:sz w:val="24"/>
          <w:szCs w:val="24"/>
        </w:rPr>
        <w:t>.</w:t>
      </w:r>
    </w:p>
    <w:p w14:paraId="12DF1B1C" w14:textId="7DEA84A8" w:rsidR="00EF093A" w:rsidRPr="00EF093A" w:rsidRDefault="00E92F6C" w:rsidP="00EF093A">
      <w:pPr>
        <w:widowControl w:val="0"/>
        <w:numPr>
          <w:ilvl w:val="0"/>
          <w:numId w:val="12"/>
        </w:numPr>
        <w:autoSpaceDE w:val="0"/>
        <w:autoSpaceDN w:val="0"/>
        <w:spacing w:before="120" w:after="120" w:line="240" w:lineRule="auto"/>
        <w:ind w:left="357" w:hanging="357"/>
        <w:rPr>
          <w:rFonts w:ascii="Arial" w:eastAsia="Proxima Nova" w:hAnsi="Arial" w:cs="Proxima Nova"/>
          <w:bCs/>
          <w:color w:val="44546A" w:themeColor="text2"/>
          <w:sz w:val="24"/>
          <w:szCs w:val="24"/>
          <w:lang w:val="en-GB"/>
        </w:rPr>
      </w:pPr>
      <w:r w:rsidRPr="00BE3BCE">
        <w:rPr>
          <w:rFonts w:ascii="Arial" w:hAnsi="Arial" w:cs="Arial"/>
          <w:sz w:val="24"/>
          <w:szCs w:val="24"/>
        </w:rPr>
        <w:t xml:space="preserve">Providers delivering similar services are regulated differently. The Commonwealth Home Support </w:t>
      </w:r>
      <w:r w:rsidR="00E75FBE">
        <w:rPr>
          <w:rFonts w:ascii="Arial" w:hAnsi="Arial" w:cs="Arial"/>
          <w:sz w:val="24"/>
          <w:szCs w:val="24"/>
        </w:rPr>
        <w:t>P</w:t>
      </w:r>
      <w:r w:rsidRPr="00BE3BCE">
        <w:rPr>
          <w:rFonts w:ascii="Arial" w:hAnsi="Arial" w:cs="Arial"/>
          <w:sz w:val="24"/>
          <w:szCs w:val="24"/>
        </w:rPr>
        <w:t xml:space="preserve">rogram (CHSP) is delivered by service providers who are regulated under a grant agreement with the Department while home care providers are approved providers regulated under the Act. This causes additional complexity when providers deliver care under both systems and compliance action needs to be taken by separate bodies </w:t>
      </w:r>
      <w:proofErr w:type="gramStart"/>
      <w:r w:rsidRPr="00BE3BCE">
        <w:rPr>
          <w:rFonts w:ascii="Arial" w:hAnsi="Arial" w:cs="Arial"/>
          <w:sz w:val="24"/>
          <w:szCs w:val="24"/>
        </w:rPr>
        <w:t>i.e.</w:t>
      </w:r>
      <w:proofErr w:type="gramEnd"/>
      <w:r w:rsidRPr="00BE3BCE">
        <w:rPr>
          <w:rFonts w:ascii="Arial" w:hAnsi="Arial" w:cs="Arial"/>
          <w:sz w:val="24"/>
          <w:szCs w:val="24"/>
        </w:rPr>
        <w:t xml:space="preserve"> the Commission in relation to home care and the Department in relation to CHSP. </w:t>
      </w:r>
    </w:p>
    <w:p w14:paraId="440A52F9" w14:textId="42CECEC4" w:rsidR="00E92F6C" w:rsidRPr="00BE3BCE" w:rsidRDefault="00E92F6C" w:rsidP="00B02548">
      <w:pPr>
        <w:keepLines/>
        <w:widowControl w:val="0"/>
        <w:numPr>
          <w:ilvl w:val="0"/>
          <w:numId w:val="12"/>
        </w:numPr>
        <w:autoSpaceDE w:val="0"/>
        <w:autoSpaceDN w:val="0"/>
        <w:spacing w:before="120" w:after="120" w:line="240" w:lineRule="auto"/>
        <w:ind w:left="357" w:hanging="357"/>
        <w:rPr>
          <w:rFonts w:ascii="Arial" w:eastAsia="Proxima Nova" w:hAnsi="Arial" w:cs="Proxima Nova"/>
          <w:bCs/>
          <w:color w:val="44546A" w:themeColor="text2"/>
          <w:sz w:val="24"/>
          <w:szCs w:val="24"/>
          <w:lang w:val="en-GB"/>
        </w:rPr>
      </w:pPr>
      <w:r w:rsidRPr="00BE3BCE">
        <w:rPr>
          <w:rFonts w:ascii="Arial" w:hAnsi="Arial" w:cs="Arial"/>
          <w:sz w:val="24"/>
          <w:szCs w:val="24"/>
        </w:rPr>
        <w:lastRenderedPageBreak/>
        <w:t xml:space="preserve">The legislation prescribes many different monitoring pathways and enforcement actions that can only be taken in certain circumstances. This creates complexity and confusion particularly where the Commission must align </w:t>
      </w:r>
      <w:proofErr w:type="gramStart"/>
      <w:r w:rsidRPr="00BE3BCE">
        <w:rPr>
          <w:rFonts w:ascii="Arial" w:hAnsi="Arial" w:cs="Arial"/>
          <w:sz w:val="24"/>
          <w:szCs w:val="24"/>
        </w:rPr>
        <w:t>particular monitoring</w:t>
      </w:r>
      <w:proofErr w:type="gramEnd"/>
      <w:r w:rsidRPr="00BE3BCE">
        <w:rPr>
          <w:rFonts w:ascii="Arial" w:hAnsi="Arial" w:cs="Arial"/>
          <w:sz w:val="24"/>
          <w:szCs w:val="24"/>
        </w:rPr>
        <w:t xml:space="preserve"> activity or enforcement actions with specific breaches of responsibilities. It also means enforcement actions cannot always be applied flexibly, in proportion to the nature of the risk to be addressed. Further, criminal offences only attach to a few matters, limiting the extent to which the Commission can pursue more serious matters, which reduces their deterrence</w:t>
      </w:r>
      <w:r w:rsidRPr="00BE3BCE">
        <w:rPr>
          <w:rFonts w:ascii="Arial" w:eastAsia="Proxima Nova" w:hAnsi="Arial" w:cs="Proxima Nova"/>
          <w:sz w:val="24"/>
          <w:szCs w:val="24"/>
          <w:lang w:val="en-GB"/>
        </w:rPr>
        <w:t xml:space="preserve"> effect</w:t>
      </w:r>
      <w:r w:rsidRPr="00BE3BCE">
        <w:rPr>
          <w:rFonts w:ascii="Arial" w:eastAsia="Proxima Nova" w:hAnsi="Arial" w:cs="Proxima Nova"/>
          <w:color w:val="44546A" w:themeColor="text2"/>
          <w:sz w:val="24"/>
          <w:szCs w:val="24"/>
          <w:lang w:val="en-GB"/>
        </w:rPr>
        <w:t>.</w:t>
      </w:r>
      <w:r w:rsidR="006F7AA2" w:rsidRPr="00BE3BCE">
        <w:rPr>
          <w:rFonts w:ascii="Arial" w:eastAsia="Proxima Nova" w:hAnsi="Arial" w:cs="Proxima Nova"/>
          <w:color w:val="44546A" w:themeColor="text2"/>
          <w:sz w:val="24"/>
          <w:szCs w:val="24"/>
          <w:vertAlign w:val="superscript"/>
          <w:lang w:val="en-GB"/>
        </w:rPr>
        <w:footnoteReference w:id="19"/>
      </w:r>
    </w:p>
    <w:p w14:paraId="5B1DF7BE" w14:textId="7251E49D" w:rsidR="00E92F6C" w:rsidRPr="00BE3BCE" w:rsidRDefault="00E92F6C" w:rsidP="00E92F6C">
      <w:pPr>
        <w:widowControl w:val="0"/>
        <w:autoSpaceDE w:val="0"/>
        <w:autoSpaceDN w:val="0"/>
        <w:spacing w:before="120" w:after="120" w:line="240" w:lineRule="auto"/>
        <w:rPr>
          <w:rFonts w:ascii="Arial" w:eastAsia="Proxima Nova" w:hAnsi="Arial" w:cs="Arial"/>
          <w:sz w:val="24"/>
          <w:szCs w:val="24"/>
          <w:lang w:val="en-US"/>
        </w:rPr>
      </w:pPr>
      <w:r w:rsidRPr="00BE3BCE">
        <w:rPr>
          <w:rFonts w:ascii="Arial" w:eastAsia="Proxima Nova" w:hAnsi="Arial" w:cs="Arial"/>
          <w:sz w:val="24"/>
          <w:szCs w:val="24"/>
          <w:lang w:val="en-US"/>
        </w:rPr>
        <w:t>The Department advises the new Aged Care Act and regulatory model, which are expected to come into force in mid-2024, will</w:t>
      </w:r>
      <w:r w:rsidR="00E64EB0">
        <w:rPr>
          <w:rFonts w:ascii="Arial" w:eastAsia="Proxima Nova" w:hAnsi="Arial" w:cs="Arial"/>
          <w:sz w:val="24"/>
          <w:szCs w:val="24"/>
          <w:lang w:val="en-US"/>
        </w:rPr>
        <w:t xml:space="preserve"> aim to </w:t>
      </w:r>
      <w:r w:rsidRPr="00BE3BCE">
        <w:rPr>
          <w:rFonts w:ascii="Arial" w:eastAsia="Proxima Nova" w:hAnsi="Arial" w:cs="Arial"/>
          <w:sz w:val="24"/>
          <w:szCs w:val="24"/>
          <w:lang w:val="en-US"/>
        </w:rPr>
        <w:t>address these constraints. The new Act is fundamental to ensuring the Commission can operate as a contemporary, risk-based regulator. It must clearly define the Commission’s roles and responsibilities and support the Commission to perform these effectively by enabling it to calibrate its powers to ensure it gets the balance right between safeguarding the welfare and rights of aged care consumers and taking a proportionate approach to the regulation of aged care providers.</w:t>
      </w:r>
    </w:p>
    <w:p w14:paraId="77524DB7" w14:textId="292E14CA" w:rsidR="002E1A05" w:rsidRPr="00BE3BCE" w:rsidRDefault="002C0437" w:rsidP="002E1A05">
      <w:pPr>
        <w:widowControl w:val="0"/>
        <w:autoSpaceDE w:val="0"/>
        <w:autoSpaceDN w:val="0"/>
        <w:spacing w:before="240" w:after="120" w:line="240" w:lineRule="auto"/>
        <w:rPr>
          <w:rFonts w:ascii="Arial" w:eastAsia="Proxima Nova" w:hAnsi="Arial" w:cs="Arial"/>
          <w:sz w:val="24"/>
          <w:szCs w:val="24"/>
          <w:lang w:val="en-US"/>
        </w:rPr>
      </w:pPr>
      <w:r>
        <w:rPr>
          <w:rFonts w:ascii="Arial" w:eastAsia="Proxima Nova" w:hAnsi="Arial" w:cs="Arial"/>
          <w:sz w:val="24"/>
          <w:szCs w:val="24"/>
          <w:lang w:val="en-US"/>
        </w:rPr>
        <w:t>However, the legal framework is not the only issue that impacts on the Commission’s performance. Other key</w:t>
      </w:r>
      <w:r w:rsidR="002E1A05" w:rsidRPr="00BE3BCE">
        <w:rPr>
          <w:rFonts w:ascii="Arial" w:eastAsia="Proxima Nova" w:hAnsi="Arial" w:cs="Arial"/>
          <w:sz w:val="24"/>
          <w:szCs w:val="24"/>
          <w:lang w:val="en-US"/>
        </w:rPr>
        <w:t xml:space="preserve"> challenges</w:t>
      </w:r>
      <w:r>
        <w:rPr>
          <w:rFonts w:ascii="Arial" w:eastAsia="Proxima Nova" w:hAnsi="Arial" w:cs="Arial"/>
          <w:sz w:val="24"/>
          <w:szCs w:val="24"/>
          <w:lang w:val="en-US"/>
        </w:rPr>
        <w:t xml:space="preserve"> follow</w:t>
      </w:r>
      <w:r w:rsidR="00126523">
        <w:rPr>
          <w:rFonts w:ascii="Arial" w:eastAsia="Proxima Nova" w:hAnsi="Arial" w:cs="Arial"/>
          <w:sz w:val="24"/>
          <w:szCs w:val="24"/>
          <w:lang w:val="en-US"/>
        </w:rPr>
        <w:t>.</w:t>
      </w:r>
    </w:p>
    <w:p w14:paraId="09F93D9E" w14:textId="4EA15669" w:rsidR="00E75FBE" w:rsidRDefault="00126523" w:rsidP="00E75FBE">
      <w:pPr>
        <w:spacing w:after="0" w:line="240" w:lineRule="auto"/>
        <w:rPr>
          <w:rFonts w:ascii="Times New Roman" w:hAnsi="Times New Roman" w:cs="Times New Roman"/>
          <w:sz w:val="24"/>
          <w:szCs w:val="24"/>
          <w:lang w:eastAsia="en-AU"/>
        </w:rPr>
      </w:pPr>
      <w:r>
        <w:rPr>
          <w:rFonts w:ascii="Arial" w:eastAsia="Proxima Nova" w:hAnsi="Arial" w:cs="Arial"/>
          <w:sz w:val="24"/>
          <w:szCs w:val="24"/>
          <w:lang w:val="en-US"/>
        </w:rPr>
        <w:t>S</w:t>
      </w:r>
      <w:r w:rsidR="002E1A05" w:rsidRPr="00BE3BCE">
        <w:rPr>
          <w:rFonts w:ascii="Arial" w:eastAsia="Proxima Nova" w:hAnsi="Arial" w:cs="Arial"/>
          <w:sz w:val="24"/>
          <w:szCs w:val="24"/>
          <w:lang w:val="en-US"/>
        </w:rPr>
        <w:t xml:space="preserve">ignificant issues attracting and retaining a skilled workforce across both regulatory and corporate functions, with an overall </w:t>
      </w:r>
      <w:r w:rsidR="000F56E2">
        <w:rPr>
          <w:rFonts w:ascii="Arial" w:eastAsia="Proxima Nova" w:hAnsi="Arial" w:cs="Arial"/>
          <w:sz w:val="24"/>
          <w:szCs w:val="24"/>
          <w:lang w:val="en-US"/>
        </w:rPr>
        <w:t xml:space="preserve">staff </w:t>
      </w:r>
      <w:r w:rsidR="002E1A05" w:rsidRPr="00BE3BCE">
        <w:rPr>
          <w:rFonts w:ascii="Arial" w:eastAsia="Proxima Nova" w:hAnsi="Arial" w:cs="Arial"/>
          <w:sz w:val="24"/>
          <w:szCs w:val="24"/>
          <w:lang w:val="en-US"/>
        </w:rPr>
        <w:t xml:space="preserve">vacancy rate across the Commission of </w:t>
      </w:r>
      <w:r w:rsidR="00491515">
        <w:rPr>
          <w:rFonts w:ascii="Arial" w:eastAsia="Proxima Nova" w:hAnsi="Arial" w:cs="Arial"/>
          <w:sz w:val="24"/>
          <w:szCs w:val="24"/>
          <w:lang w:val="en-US"/>
        </w:rPr>
        <w:t xml:space="preserve">25 </w:t>
      </w:r>
      <w:r w:rsidR="00C30229">
        <w:rPr>
          <w:rFonts w:ascii="Arial" w:eastAsia="Proxima Nova" w:hAnsi="Arial" w:cs="Arial"/>
          <w:sz w:val="24"/>
          <w:szCs w:val="24"/>
          <w:lang w:val="en-US"/>
        </w:rPr>
        <w:t>per cent</w:t>
      </w:r>
      <w:r w:rsidR="002E1A05" w:rsidRPr="00BE3BCE">
        <w:rPr>
          <w:rFonts w:ascii="Arial" w:eastAsia="Proxima Nova" w:hAnsi="Arial" w:cs="Arial"/>
          <w:sz w:val="24"/>
          <w:szCs w:val="24"/>
          <w:lang w:val="en-US"/>
        </w:rPr>
        <w:t xml:space="preserve"> and </w:t>
      </w:r>
      <w:r w:rsidR="00B02548">
        <w:rPr>
          <w:rFonts w:ascii="Arial" w:eastAsia="Proxima Nova" w:hAnsi="Arial" w:cs="Arial"/>
          <w:sz w:val="24"/>
          <w:szCs w:val="24"/>
          <w:lang w:val="en-US"/>
        </w:rPr>
        <w:t xml:space="preserve">a </w:t>
      </w:r>
      <w:r w:rsidR="002E1A05" w:rsidRPr="00BE3BCE">
        <w:rPr>
          <w:rFonts w:ascii="Arial" w:eastAsia="Proxima Nova" w:hAnsi="Arial" w:cs="Arial"/>
          <w:sz w:val="24"/>
          <w:szCs w:val="24"/>
          <w:lang w:val="en-US"/>
        </w:rPr>
        <w:t xml:space="preserve">vacancy rate as high as </w:t>
      </w:r>
      <w:r w:rsidR="00E75FBE">
        <w:rPr>
          <w:rFonts w:ascii="Arial" w:eastAsia="Proxima Nova" w:hAnsi="Arial" w:cs="Arial"/>
          <w:sz w:val="24"/>
          <w:szCs w:val="24"/>
          <w:lang w:val="en-US"/>
        </w:rPr>
        <w:t xml:space="preserve">34 </w:t>
      </w:r>
      <w:r w:rsidR="00C30229">
        <w:rPr>
          <w:rFonts w:ascii="Arial" w:eastAsia="Proxima Nova" w:hAnsi="Arial" w:cs="Arial"/>
          <w:sz w:val="24"/>
          <w:szCs w:val="24"/>
          <w:lang w:val="en-US"/>
        </w:rPr>
        <w:t>per cent</w:t>
      </w:r>
      <w:r w:rsidR="002E1A05" w:rsidRPr="00BE3BCE">
        <w:rPr>
          <w:rFonts w:ascii="Arial" w:eastAsia="Proxima Nova" w:hAnsi="Arial" w:cs="Arial"/>
          <w:sz w:val="24"/>
          <w:szCs w:val="24"/>
          <w:lang w:val="en-US"/>
        </w:rPr>
        <w:t xml:space="preserve"> in the Corporate Services Group</w:t>
      </w:r>
      <w:r w:rsidR="00B02548">
        <w:rPr>
          <w:rFonts w:ascii="Arial" w:eastAsia="Proxima Nova" w:hAnsi="Arial" w:cs="Arial"/>
          <w:sz w:val="24"/>
          <w:szCs w:val="24"/>
          <w:lang w:val="en-US"/>
        </w:rPr>
        <w:t>.</w:t>
      </w:r>
      <w:r w:rsidR="00E75FBE">
        <w:rPr>
          <w:rStyle w:val="FootnoteReference"/>
          <w:rFonts w:ascii="Arial" w:eastAsia="Proxima Nova" w:hAnsi="Arial" w:cs="Arial"/>
          <w:sz w:val="24"/>
          <w:szCs w:val="24"/>
          <w:lang w:val="en-US"/>
        </w:rPr>
        <w:footnoteReference w:id="20"/>
      </w:r>
      <w:r w:rsidR="00E75FBE">
        <w:rPr>
          <w:rFonts w:ascii="Times New Roman" w:hAnsi="Times New Roman" w:cs="Times New Roman"/>
          <w:sz w:val="24"/>
          <w:szCs w:val="24"/>
          <w:lang w:eastAsia="en-AU"/>
        </w:rPr>
        <w:t xml:space="preserve"> </w:t>
      </w:r>
    </w:p>
    <w:p w14:paraId="5D308983" w14:textId="404FAF6F" w:rsidR="002E1A05" w:rsidRPr="00BE3BCE" w:rsidRDefault="00126523"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Pr>
          <w:rFonts w:ascii="Arial" w:eastAsia="Proxima Nova" w:hAnsi="Arial" w:cs="Arial"/>
          <w:sz w:val="24"/>
          <w:szCs w:val="24"/>
          <w:lang w:val="en-US"/>
        </w:rPr>
        <w:t>T</w:t>
      </w:r>
      <w:r w:rsidR="002E1A05">
        <w:rPr>
          <w:rFonts w:ascii="Arial" w:eastAsia="Proxima Nova" w:hAnsi="Arial" w:cs="Arial"/>
          <w:sz w:val="24"/>
          <w:szCs w:val="24"/>
          <w:lang w:val="en-US"/>
        </w:rPr>
        <w:t>he c</w:t>
      </w:r>
      <w:r w:rsidR="002E1A05" w:rsidRPr="00BE3BCE">
        <w:rPr>
          <w:rFonts w:ascii="Arial" w:eastAsia="Proxima Nova" w:hAnsi="Arial" w:cs="Arial"/>
          <w:sz w:val="24"/>
          <w:szCs w:val="24"/>
          <w:lang w:val="en-US"/>
        </w:rPr>
        <w:t xml:space="preserve">apability of the leadership team to work together to embed and </w:t>
      </w:r>
      <w:r w:rsidR="002E1A05">
        <w:rPr>
          <w:rFonts w:ascii="Arial" w:eastAsia="Proxima Nova" w:hAnsi="Arial" w:cs="Arial"/>
          <w:sz w:val="24"/>
          <w:szCs w:val="24"/>
          <w:lang w:val="en-US"/>
        </w:rPr>
        <w:t>model</w:t>
      </w:r>
      <w:r w:rsidR="002E1A05" w:rsidRPr="00BE3BCE">
        <w:rPr>
          <w:rFonts w:ascii="Arial" w:eastAsia="Proxima Nova" w:hAnsi="Arial" w:cs="Arial"/>
          <w:sz w:val="24"/>
          <w:szCs w:val="24"/>
          <w:lang w:val="en-US"/>
        </w:rPr>
        <w:t xml:space="preserve"> an internal culture that demonstrates the behavior and practices required of a best practice regulator</w:t>
      </w:r>
      <w:r>
        <w:rPr>
          <w:rFonts w:ascii="Arial" w:eastAsia="Proxima Nova" w:hAnsi="Arial" w:cs="Arial"/>
          <w:sz w:val="24"/>
          <w:szCs w:val="24"/>
          <w:lang w:val="en-US"/>
        </w:rPr>
        <w:t>.</w:t>
      </w:r>
    </w:p>
    <w:p w14:paraId="2A18454D" w14:textId="187CCCC6" w:rsidR="002E1A05" w:rsidRDefault="00126523"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Pr>
          <w:rFonts w:ascii="Arial" w:eastAsia="Proxima Nova" w:hAnsi="Arial" w:cs="Arial"/>
          <w:sz w:val="24"/>
          <w:szCs w:val="24"/>
          <w:lang w:val="en-US"/>
        </w:rPr>
        <w:t>T</w:t>
      </w:r>
      <w:r w:rsidR="002E1A05">
        <w:rPr>
          <w:rFonts w:ascii="Arial" w:eastAsia="Proxima Nova" w:hAnsi="Arial" w:cs="Arial"/>
          <w:sz w:val="24"/>
          <w:szCs w:val="24"/>
          <w:lang w:val="en-US"/>
        </w:rPr>
        <w:t>he c</w:t>
      </w:r>
      <w:r w:rsidR="002E1A05" w:rsidRPr="00BE3BCE">
        <w:rPr>
          <w:rFonts w:ascii="Arial" w:eastAsia="Proxima Nova" w:hAnsi="Arial" w:cs="Arial"/>
          <w:sz w:val="24"/>
          <w:szCs w:val="24"/>
          <w:lang w:val="en-US"/>
        </w:rPr>
        <w:t>onfidence of the leadership team to promote the work of the Commission and proactively manage public perceptions of the performance of the regulator and the quality of care provided in the sector.</w:t>
      </w:r>
    </w:p>
    <w:p w14:paraId="06C87AF6" w14:textId="52AC3417" w:rsidR="002C0437" w:rsidRPr="00BE3BCE" w:rsidRDefault="002C0437" w:rsidP="002C0437">
      <w:pPr>
        <w:widowControl w:val="0"/>
        <w:autoSpaceDE w:val="0"/>
        <w:autoSpaceDN w:val="0"/>
        <w:spacing w:before="120" w:after="120" w:line="240" w:lineRule="auto"/>
        <w:rPr>
          <w:rFonts w:ascii="Arial" w:eastAsia="Proxima Nova" w:hAnsi="Arial" w:cs="Arial"/>
          <w:sz w:val="24"/>
          <w:szCs w:val="24"/>
          <w:lang w:val="en-US"/>
        </w:rPr>
      </w:pPr>
      <w:r>
        <w:rPr>
          <w:rFonts w:ascii="Arial" w:eastAsia="Proxima Nova" w:hAnsi="Arial" w:cs="Arial"/>
          <w:sz w:val="24"/>
          <w:szCs w:val="24"/>
          <w:lang w:val="en-US"/>
        </w:rPr>
        <w:t>These are considered further in subsequent chapters.</w:t>
      </w:r>
    </w:p>
    <w:p w14:paraId="5167C757" w14:textId="25216D56" w:rsidR="009C7555" w:rsidRDefault="009C7555">
      <w:pPr>
        <w:rPr>
          <w:rFonts w:ascii="Arial" w:eastAsiaTheme="minorEastAsia" w:hAnsi="Arial" w:cs="Arial"/>
          <w:color w:val="000000"/>
          <w:sz w:val="24"/>
          <w:szCs w:val="24"/>
          <w:highlight w:val="yellow"/>
          <w:shd w:val="clear" w:color="auto" w:fill="FFFFFF"/>
          <w:lang w:eastAsia="en-AU"/>
        </w:rPr>
      </w:pPr>
      <w:r>
        <w:rPr>
          <w:rFonts w:ascii="Arial" w:eastAsiaTheme="minorEastAsia" w:hAnsi="Arial" w:cs="Arial"/>
          <w:color w:val="000000"/>
          <w:sz w:val="24"/>
          <w:szCs w:val="24"/>
          <w:highlight w:val="yellow"/>
          <w:shd w:val="clear" w:color="auto" w:fill="FFFFFF"/>
          <w:lang w:eastAsia="en-AU"/>
        </w:rPr>
        <w:br w:type="page"/>
      </w:r>
    </w:p>
    <w:p w14:paraId="3F2E0993" w14:textId="6FD89974" w:rsidR="00971969" w:rsidRPr="000E132D" w:rsidRDefault="00D2238A" w:rsidP="000E132D">
      <w:pPr>
        <w:pStyle w:val="Heading3"/>
      </w:pPr>
      <w:bookmarkStart w:id="11" w:name="_Toc122525161"/>
      <w:bookmarkStart w:id="12" w:name="_Toc131163553"/>
      <w:r w:rsidRPr="000E132D">
        <w:lastRenderedPageBreak/>
        <w:t>CHAPTER</w:t>
      </w:r>
      <w:r w:rsidR="003120DB" w:rsidRPr="000E132D">
        <w:t xml:space="preserve"> </w:t>
      </w:r>
      <w:r w:rsidR="002E1A05" w:rsidRPr="000E132D">
        <w:t>4</w:t>
      </w:r>
      <w:r w:rsidR="009A4169" w:rsidRPr="000E132D">
        <w:t>: TOWARDS A CONTEMPORARY, HIGH PERFORMING</w:t>
      </w:r>
      <w:r w:rsidR="006D6D72" w:rsidRPr="000E132D">
        <w:t>,</w:t>
      </w:r>
      <w:r w:rsidR="009A4169" w:rsidRPr="000E132D">
        <w:t xml:space="preserve"> RISK</w:t>
      </w:r>
      <w:r w:rsidR="006D16F9" w:rsidRPr="000E132D">
        <w:noBreakHyphen/>
      </w:r>
      <w:r w:rsidR="009A4169" w:rsidRPr="000E132D">
        <w:t>BASED REGULATOR</w:t>
      </w:r>
      <w:bookmarkEnd w:id="12"/>
    </w:p>
    <w:p w14:paraId="61E7CFB6" w14:textId="5D2818AA" w:rsidR="00B05540" w:rsidRDefault="00B05540" w:rsidP="00B05540">
      <w:pPr>
        <w:rPr>
          <w:rFonts w:ascii="Arial" w:hAnsi="Arial" w:cs="Arial"/>
          <w:sz w:val="24"/>
          <w:szCs w:val="24"/>
        </w:rPr>
      </w:pPr>
      <w:r>
        <w:rPr>
          <w:rFonts w:ascii="Arial" w:hAnsi="Arial" w:cs="Arial"/>
          <w:sz w:val="24"/>
          <w:szCs w:val="24"/>
        </w:rPr>
        <w:t xml:space="preserve">This </w:t>
      </w:r>
      <w:r w:rsidR="006246AC">
        <w:rPr>
          <w:rFonts w:ascii="Arial" w:hAnsi="Arial" w:cs="Arial"/>
          <w:sz w:val="24"/>
          <w:szCs w:val="24"/>
        </w:rPr>
        <w:t>C</w:t>
      </w:r>
      <w:r w:rsidR="003120DB">
        <w:rPr>
          <w:rFonts w:ascii="Arial" w:hAnsi="Arial" w:cs="Arial"/>
          <w:sz w:val="24"/>
          <w:szCs w:val="24"/>
        </w:rPr>
        <w:t>hapter</w:t>
      </w:r>
      <w:r>
        <w:rPr>
          <w:rFonts w:ascii="Arial" w:hAnsi="Arial" w:cs="Arial"/>
          <w:sz w:val="24"/>
          <w:szCs w:val="24"/>
        </w:rPr>
        <w:t xml:space="preserve"> summarises the key enablers that I consider critical for the Commission to </w:t>
      </w:r>
      <w:r w:rsidR="006246AC">
        <w:rPr>
          <w:rFonts w:ascii="Arial" w:hAnsi="Arial" w:cs="Arial"/>
          <w:sz w:val="24"/>
          <w:szCs w:val="24"/>
        </w:rPr>
        <w:t>be</w:t>
      </w:r>
      <w:r>
        <w:rPr>
          <w:rFonts w:ascii="Arial" w:hAnsi="Arial" w:cs="Arial"/>
          <w:sz w:val="24"/>
          <w:szCs w:val="24"/>
        </w:rPr>
        <w:t xml:space="preserve"> a high performing risk-based regulator and sets out what success looks like for each enabler. It then assesses the Commission’s performance and makes recommendations about changes that will be required to lift the capability of the Commission to achieve best practice in each of these elements.</w:t>
      </w:r>
    </w:p>
    <w:p w14:paraId="77566B36" w14:textId="77777777" w:rsidR="002E1A05" w:rsidRPr="002E1A05" w:rsidRDefault="002E1A05" w:rsidP="00B05540">
      <w:pPr>
        <w:spacing w:before="120" w:after="120" w:line="240" w:lineRule="auto"/>
        <w:rPr>
          <w:rFonts w:ascii="Arial" w:hAnsi="Arial" w:cs="Arial"/>
          <w:i/>
          <w:iCs/>
          <w:sz w:val="24"/>
          <w:szCs w:val="24"/>
        </w:rPr>
      </w:pPr>
      <w:r w:rsidRPr="002E1A05">
        <w:rPr>
          <w:rFonts w:ascii="Arial" w:hAnsi="Arial" w:cs="Arial"/>
          <w:i/>
          <w:iCs/>
          <w:sz w:val="24"/>
          <w:szCs w:val="24"/>
        </w:rPr>
        <w:t>Background</w:t>
      </w:r>
    </w:p>
    <w:p w14:paraId="4CFBE00F" w14:textId="67E054D5" w:rsidR="0096466A" w:rsidRDefault="00B437BD" w:rsidP="0096466A">
      <w:pPr>
        <w:spacing w:before="120" w:after="120" w:line="240" w:lineRule="auto"/>
        <w:rPr>
          <w:rFonts w:ascii="Arial" w:hAnsi="Arial" w:cs="Arial"/>
          <w:sz w:val="24"/>
          <w:szCs w:val="24"/>
        </w:rPr>
      </w:pPr>
      <w:r>
        <w:rPr>
          <w:rFonts w:ascii="Arial" w:hAnsi="Arial" w:cs="Arial"/>
          <w:sz w:val="24"/>
          <w:szCs w:val="24"/>
        </w:rPr>
        <w:t>R</w:t>
      </w:r>
      <w:r w:rsidR="0096466A">
        <w:rPr>
          <w:rFonts w:ascii="Arial" w:hAnsi="Arial" w:cs="Arial"/>
          <w:sz w:val="24"/>
          <w:szCs w:val="24"/>
        </w:rPr>
        <w:t xml:space="preserve">egulatory approaches, both nationally and internationally, </w:t>
      </w:r>
      <w:r>
        <w:rPr>
          <w:rFonts w:ascii="Arial" w:hAnsi="Arial" w:cs="Arial"/>
          <w:sz w:val="24"/>
          <w:szCs w:val="24"/>
        </w:rPr>
        <w:t>are</w:t>
      </w:r>
      <w:r w:rsidR="0096466A">
        <w:rPr>
          <w:rFonts w:ascii="Arial" w:hAnsi="Arial" w:cs="Arial"/>
          <w:sz w:val="24"/>
          <w:szCs w:val="24"/>
        </w:rPr>
        <w:t xml:space="preserve"> shifting from a strong enforcement focus towards changing the behaviours of sectors or industries</w:t>
      </w:r>
      <w:r w:rsidR="006F7AA2">
        <w:rPr>
          <w:rStyle w:val="FootnoteReference"/>
          <w:rFonts w:ascii="Arial" w:hAnsi="Arial" w:cs="Arial"/>
          <w:sz w:val="24"/>
          <w:szCs w:val="24"/>
        </w:rPr>
        <w:footnoteReference w:id="21"/>
      </w:r>
      <w:r w:rsidR="00156E97">
        <w:rPr>
          <w:rFonts w:ascii="Arial" w:hAnsi="Arial" w:cs="Arial"/>
          <w:sz w:val="24"/>
          <w:szCs w:val="24"/>
        </w:rPr>
        <w:t>.</w:t>
      </w:r>
      <w:r w:rsidR="0096466A">
        <w:rPr>
          <w:rFonts w:ascii="Arial" w:hAnsi="Arial" w:cs="Arial"/>
          <w:sz w:val="24"/>
          <w:szCs w:val="24"/>
        </w:rPr>
        <w:t xml:space="preserve"> Regulation therefore extends beyond compliance and enforcement to </w:t>
      </w:r>
      <w:r w:rsidR="003F5CF5">
        <w:rPr>
          <w:rFonts w:ascii="Arial" w:hAnsi="Arial" w:cs="Arial"/>
          <w:sz w:val="24"/>
          <w:szCs w:val="24"/>
        </w:rPr>
        <w:t xml:space="preserve">continuous improvement </w:t>
      </w:r>
      <w:r w:rsidR="0096466A">
        <w:rPr>
          <w:rFonts w:ascii="Arial" w:hAnsi="Arial" w:cs="Arial"/>
          <w:sz w:val="24"/>
          <w:szCs w:val="24"/>
        </w:rPr>
        <w:t>activities such as education, information</w:t>
      </w:r>
      <w:r>
        <w:rPr>
          <w:rFonts w:ascii="Arial" w:hAnsi="Arial" w:cs="Arial"/>
          <w:sz w:val="24"/>
          <w:szCs w:val="24"/>
        </w:rPr>
        <w:t>,</w:t>
      </w:r>
      <w:r w:rsidR="0096466A">
        <w:rPr>
          <w:rFonts w:ascii="Arial" w:hAnsi="Arial" w:cs="Arial"/>
          <w:sz w:val="24"/>
          <w:szCs w:val="24"/>
        </w:rPr>
        <w:t xml:space="preserve"> and incentives, which encourage and support providers to deliver better quality services and activities. It seeks to motivate providers, empower consumers, and is strongly underpinned by data analysis which provides an understanding of risk, and therefore guides and targets the range of tools at a regulators disposal to achieve behavioural change. As outlined </w:t>
      </w:r>
      <w:r w:rsidR="0096466A" w:rsidRPr="005C39F0">
        <w:rPr>
          <w:rFonts w:ascii="Arial" w:hAnsi="Arial" w:cs="Arial"/>
          <w:sz w:val="24"/>
          <w:szCs w:val="24"/>
        </w:rPr>
        <w:t xml:space="preserve">in </w:t>
      </w:r>
      <w:r w:rsidR="002C0437">
        <w:rPr>
          <w:rFonts w:ascii="Arial" w:hAnsi="Arial" w:cs="Arial"/>
          <w:sz w:val="24"/>
          <w:szCs w:val="24"/>
        </w:rPr>
        <w:t>Section</w:t>
      </w:r>
      <w:r w:rsidR="002C0437" w:rsidRPr="005C39F0">
        <w:rPr>
          <w:rFonts w:ascii="Arial" w:hAnsi="Arial" w:cs="Arial"/>
          <w:sz w:val="24"/>
          <w:szCs w:val="24"/>
        </w:rPr>
        <w:t xml:space="preserve"> </w:t>
      </w:r>
      <w:r w:rsidR="0096466A" w:rsidRPr="005C39F0">
        <w:rPr>
          <w:rFonts w:ascii="Arial" w:hAnsi="Arial" w:cs="Arial"/>
          <w:sz w:val="24"/>
          <w:szCs w:val="24"/>
        </w:rPr>
        <w:t>3</w:t>
      </w:r>
      <w:r w:rsidR="005C39F0" w:rsidRPr="005C39F0">
        <w:rPr>
          <w:rFonts w:ascii="Arial" w:hAnsi="Arial" w:cs="Arial"/>
          <w:sz w:val="24"/>
          <w:szCs w:val="24"/>
        </w:rPr>
        <w:t>.</w:t>
      </w:r>
      <w:r w:rsidR="005C39F0">
        <w:rPr>
          <w:rFonts w:ascii="Arial" w:hAnsi="Arial" w:cs="Arial"/>
          <w:sz w:val="24"/>
          <w:szCs w:val="24"/>
        </w:rPr>
        <w:t>9</w:t>
      </w:r>
      <w:r w:rsidR="0096466A">
        <w:rPr>
          <w:rFonts w:ascii="Arial" w:hAnsi="Arial" w:cs="Arial"/>
          <w:sz w:val="24"/>
          <w:szCs w:val="24"/>
        </w:rPr>
        <w:t>, the Commission has in place a Regulatory Operating Model which exhibits these features.</w:t>
      </w:r>
    </w:p>
    <w:p w14:paraId="75CF76BD" w14:textId="1879363E" w:rsidR="0096466A" w:rsidRDefault="0096466A" w:rsidP="0096466A">
      <w:pPr>
        <w:spacing w:before="120" w:after="120" w:line="240" w:lineRule="auto"/>
        <w:rPr>
          <w:rFonts w:ascii="Arial" w:hAnsi="Arial" w:cs="Arial"/>
          <w:sz w:val="24"/>
          <w:szCs w:val="24"/>
        </w:rPr>
      </w:pPr>
      <w:r>
        <w:rPr>
          <w:rFonts w:ascii="Arial" w:hAnsi="Arial" w:cs="Arial"/>
          <w:sz w:val="24"/>
          <w:szCs w:val="24"/>
        </w:rPr>
        <w:t xml:space="preserve">Going forward, new arrangements are to be put in place. A key development from mid-2024 will be a new Aged Care Act </w:t>
      </w:r>
      <w:r w:rsidR="00B437BD">
        <w:rPr>
          <w:rFonts w:ascii="Arial" w:hAnsi="Arial" w:cs="Arial"/>
          <w:sz w:val="24"/>
          <w:szCs w:val="24"/>
        </w:rPr>
        <w:t xml:space="preserve">and a new </w:t>
      </w:r>
      <w:r>
        <w:rPr>
          <w:rFonts w:ascii="Arial" w:hAnsi="Arial" w:cs="Arial"/>
          <w:sz w:val="24"/>
          <w:szCs w:val="24"/>
        </w:rPr>
        <w:t xml:space="preserve">Regulatory </w:t>
      </w:r>
      <w:r w:rsidR="00B437BD">
        <w:rPr>
          <w:rFonts w:ascii="Arial" w:hAnsi="Arial" w:cs="Arial"/>
          <w:sz w:val="24"/>
          <w:szCs w:val="24"/>
        </w:rPr>
        <w:t>Model</w:t>
      </w:r>
      <w:r>
        <w:rPr>
          <w:rFonts w:ascii="Arial" w:hAnsi="Arial" w:cs="Arial"/>
          <w:sz w:val="24"/>
          <w:szCs w:val="24"/>
        </w:rPr>
        <w:t xml:space="preserve"> </w:t>
      </w:r>
      <w:r w:rsidR="00526E5B">
        <w:rPr>
          <w:rFonts w:ascii="Arial" w:hAnsi="Arial" w:cs="Arial"/>
          <w:sz w:val="24"/>
          <w:szCs w:val="24"/>
        </w:rPr>
        <w:t xml:space="preserve">that </w:t>
      </w:r>
      <w:r>
        <w:rPr>
          <w:rFonts w:ascii="Arial" w:hAnsi="Arial" w:cs="Arial"/>
          <w:sz w:val="24"/>
          <w:szCs w:val="24"/>
        </w:rPr>
        <w:t>will underpin the new Act. The most recent Department</w:t>
      </w:r>
      <w:r w:rsidR="003F5CF5">
        <w:rPr>
          <w:rFonts w:ascii="Arial" w:hAnsi="Arial" w:cs="Arial"/>
          <w:sz w:val="24"/>
          <w:szCs w:val="24"/>
        </w:rPr>
        <w:t xml:space="preserve">al </w:t>
      </w:r>
      <w:r>
        <w:rPr>
          <w:rFonts w:ascii="Arial" w:hAnsi="Arial" w:cs="Arial"/>
          <w:sz w:val="24"/>
          <w:szCs w:val="24"/>
        </w:rPr>
        <w:t>public consultation paper</w:t>
      </w:r>
      <w:r w:rsidR="006F7AA2">
        <w:rPr>
          <w:rStyle w:val="FootnoteReference"/>
          <w:rFonts w:ascii="Arial" w:hAnsi="Arial" w:cs="Arial"/>
          <w:sz w:val="24"/>
          <w:szCs w:val="24"/>
        </w:rPr>
        <w:footnoteReference w:id="22"/>
      </w:r>
      <w:r>
        <w:rPr>
          <w:rFonts w:ascii="Arial" w:hAnsi="Arial" w:cs="Arial"/>
          <w:sz w:val="24"/>
          <w:szCs w:val="24"/>
        </w:rPr>
        <w:t xml:space="preserve"> notes that the new model will</w:t>
      </w:r>
    </w:p>
    <w:p w14:paraId="330B21F4" w14:textId="0506B9A0" w:rsidR="0096466A" w:rsidRPr="00D93A8E" w:rsidRDefault="0096466A" w:rsidP="0096466A">
      <w:pPr>
        <w:spacing w:before="120" w:after="120" w:line="240" w:lineRule="auto"/>
        <w:ind w:left="720"/>
        <w:rPr>
          <w:rFonts w:ascii="Arial" w:hAnsi="Arial" w:cs="Arial"/>
          <w:i/>
          <w:iCs/>
          <w:sz w:val="24"/>
          <w:szCs w:val="24"/>
        </w:rPr>
      </w:pPr>
      <w:r w:rsidRPr="00D93A8E">
        <w:rPr>
          <w:rFonts w:ascii="Arial" w:hAnsi="Arial" w:cs="Arial"/>
          <w:i/>
          <w:iCs/>
          <w:sz w:val="24"/>
          <w:szCs w:val="24"/>
        </w:rPr>
        <w:t>“</w:t>
      </w:r>
      <w:proofErr w:type="gramStart"/>
      <w:r w:rsidRPr="00D93A8E">
        <w:rPr>
          <w:rFonts w:ascii="Arial" w:hAnsi="Arial" w:cs="Arial"/>
          <w:i/>
          <w:iCs/>
          <w:sz w:val="24"/>
          <w:szCs w:val="24"/>
        </w:rPr>
        <w:t>place</w:t>
      </w:r>
      <w:proofErr w:type="gramEnd"/>
      <w:r w:rsidRPr="00D93A8E">
        <w:rPr>
          <w:rFonts w:ascii="Arial" w:hAnsi="Arial" w:cs="Arial"/>
          <w:i/>
          <w:iCs/>
          <w:sz w:val="24"/>
          <w:szCs w:val="24"/>
        </w:rPr>
        <w:t xml:space="preserve"> older people in Australia (older people) at the front and centre of regulation. It will increase protections for older people and empower them to exercise their rights in the context of </w:t>
      </w:r>
      <w:r w:rsidR="002C0437">
        <w:rPr>
          <w:rFonts w:ascii="Arial" w:hAnsi="Arial" w:cs="Arial"/>
          <w:i/>
          <w:iCs/>
          <w:sz w:val="24"/>
          <w:szCs w:val="24"/>
        </w:rPr>
        <w:t xml:space="preserve">a </w:t>
      </w:r>
      <w:r w:rsidRPr="00D93A8E">
        <w:rPr>
          <w:rFonts w:ascii="Arial" w:hAnsi="Arial" w:cs="Arial"/>
          <w:i/>
          <w:iCs/>
          <w:sz w:val="24"/>
          <w:szCs w:val="24"/>
        </w:rPr>
        <w:t xml:space="preserve">reformed and improved aged care system. These rights are expected to be outlined in a Statement of Rights to be included in the new Act. Importantly, pathways will also be made available for older people and their representatives to seek resolution of concerns about the standard of care provided to them – with strong action able to be taken by the Regulator where providers have done the wrong thing. </w:t>
      </w:r>
    </w:p>
    <w:p w14:paraId="39D7C327" w14:textId="5D7FBC70" w:rsidR="0096466A" w:rsidRPr="00D93A8E" w:rsidRDefault="0096466A" w:rsidP="0096466A">
      <w:pPr>
        <w:spacing w:before="120" w:after="120" w:line="240" w:lineRule="auto"/>
        <w:ind w:left="720"/>
        <w:rPr>
          <w:rFonts w:ascii="Arial" w:hAnsi="Arial" w:cs="Arial"/>
          <w:i/>
          <w:iCs/>
          <w:sz w:val="24"/>
          <w:szCs w:val="24"/>
        </w:rPr>
      </w:pPr>
      <w:r w:rsidRPr="00D93A8E">
        <w:rPr>
          <w:rFonts w:ascii="Arial" w:hAnsi="Arial" w:cs="Arial"/>
          <w:i/>
          <w:iCs/>
          <w:sz w:val="24"/>
          <w:szCs w:val="24"/>
        </w:rPr>
        <w:t>Under the new model, regulation will be proportionate to risk and support continuous improvement in the sector. The new model’s four foundations build an approach that is:</w:t>
      </w:r>
    </w:p>
    <w:p w14:paraId="25667F91" w14:textId="5DED86FB" w:rsidR="0096466A" w:rsidRPr="00D93A8E" w:rsidRDefault="003F5CF5" w:rsidP="001750D5">
      <w:pPr>
        <w:widowControl w:val="0"/>
        <w:numPr>
          <w:ilvl w:val="0"/>
          <w:numId w:val="5"/>
        </w:numPr>
        <w:autoSpaceDE w:val="0"/>
        <w:autoSpaceDN w:val="0"/>
        <w:spacing w:before="120" w:after="120" w:line="240" w:lineRule="auto"/>
        <w:ind w:left="1080"/>
        <w:rPr>
          <w:rFonts w:ascii="Arial" w:eastAsia="Proxima Nova" w:hAnsi="Arial" w:cs="Arial"/>
          <w:i/>
          <w:iCs/>
          <w:sz w:val="24"/>
          <w:szCs w:val="24"/>
          <w:lang w:val="en-US"/>
        </w:rPr>
      </w:pPr>
      <w:r>
        <w:rPr>
          <w:rFonts w:ascii="Arial" w:eastAsia="Proxima Nova" w:hAnsi="Arial" w:cs="Arial"/>
          <w:i/>
          <w:iCs/>
          <w:sz w:val="24"/>
          <w:szCs w:val="24"/>
          <w:lang w:val="en-US"/>
        </w:rPr>
        <w:t>r</w:t>
      </w:r>
      <w:r w:rsidR="0096466A" w:rsidRPr="00D93A8E">
        <w:rPr>
          <w:rFonts w:ascii="Arial" w:eastAsia="Proxima Nova" w:hAnsi="Arial" w:cs="Arial"/>
          <w:i/>
          <w:iCs/>
          <w:sz w:val="24"/>
          <w:szCs w:val="24"/>
          <w:lang w:val="en-US"/>
        </w:rPr>
        <w:t>ights based</w:t>
      </w:r>
    </w:p>
    <w:p w14:paraId="6838B3B1" w14:textId="10705DBC" w:rsidR="0096466A" w:rsidRPr="00D93A8E" w:rsidRDefault="003F5CF5" w:rsidP="001750D5">
      <w:pPr>
        <w:widowControl w:val="0"/>
        <w:numPr>
          <w:ilvl w:val="0"/>
          <w:numId w:val="5"/>
        </w:numPr>
        <w:autoSpaceDE w:val="0"/>
        <w:autoSpaceDN w:val="0"/>
        <w:spacing w:before="120" w:after="120" w:line="240" w:lineRule="auto"/>
        <w:ind w:left="1080"/>
        <w:rPr>
          <w:rFonts w:ascii="Arial" w:eastAsia="Proxima Nova" w:hAnsi="Arial" w:cs="Arial"/>
          <w:i/>
          <w:iCs/>
          <w:sz w:val="24"/>
          <w:szCs w:val="24"/>
          <w:lang w:val="en-US"/>
        </w:rPr>
      </w:pPr>
      <w:r>
        <w:rPr>
          <w:rFonts w:ascii="Arial" w:eastAsia="Proxima Nova" w:hAnsi="Arial" w:cs="Arial"/>
          <w:i/>
          <w:iCs/>
          <w:sz w:val="24"/>
          <w:szCs w:val="24"/>
          <w:lang w:val="en-US"/>
        </w:rPr>
        <w:t>p</w:t>
      </w:r>
      <w:r w:rsidR="0096466A" w:rsidRPr="00D93A8E">
        <w:rPr>
          <w:rFonts w:ascii="Arial" w:eastAsia="Proxima Nova" w:hAnsi="Arial" w:cs="Arial"/>
          <w:i/>
          <w:iCs/>
          <w:sz w:val="24"/>
          <w:szCs w:val="24"/>
          <w:lang w:val="en-US"/>
        </w:rPr>
        <w:t>erson-</w:t>
      </w:r>
      <w:proofErr w:type="spellStart"/>
      <w:r w:rsidR="0096466A" w:rsidRPr="00D93A8E">
        <w:rPr>
          <w:rFonts w:ascii="Arial" w:eastAsia="Proxima Nova" w:hAnsi="Arial" w:cs="Arial"/>
          <w:i/>
          <w:iCs/>
          <w:sz w:val="24"/>
          <w:szCs w:val="24"/>
          <w:lang w:val="en-US"/>
        </w:rPr>
        <w:t>centred</w:t>
      </w:r>
      <w:proofErr w:type="spellEnd"/>
    </w:p>
    <w:p w14:paraId="62527B38" w14:textId="140712D4" w:rsidR="0096466A" w:rsidRPr="00D93A8E" w:rsidRDefault="003F5CF5" w:rsidP="001750D5">
      <w:pPr>
        <w:widowControl w:val="0"/>
        <w:numPr>
          <w:ilvl w:val="0"/>
          <w:numId w:val="5"/>
        </w:numPr>
        <w:autoSpaceDE w:val="0"/>
        <w:autoSpaceDN w:val="0"/>
        <w:spacing w:before="120" w:after="120" w:line="240" w:lineRule="auto"/>
        <w:ind w:left="1080"/>
        <w:rPr>
          <w:rFonts w:ascii="Arial" w:eastAsia="Proxima Nova" w:hAnsi="Arial" w:cs="Arial"/>
          <w:i/>
          <w:iCs/>
          <w:sz w:val="24"/>
          <w:szCs w:val="24"/>
          <w:lang w:val="en-US"/>
        </w:rPr>
      </w:pPr>
      <w:r>
        <w:rPr>
          <w:rFonts w:ascii="Arial" w:eastAsia="Proxima Nova" w:hAnsi="Arial" w:cs="Arial"/>
          <w:i/>
          <w:iCs/>
          <w:sz w:val="24"/>
          <w:szCs w:val="24"/>
          <w:lang w:val="en-US"/>
        </w:rPr>
        <w:t>r</w:t>
      </w:r>
      <w:r w:rsidR="0096466A" w:rsidRPr="00D93A8E">
        <w:rPr>
          <w:rFonts w:ascii="Arial" w:eastAsia="Proxima Nova" w:hAnsi="Arial" w:cs="Arial"/>
          <w:i/>
          <w:iCs/>
          <w:sz w:val="24"/>
          <w:szCs w:val="24"/>
          <w:lang w:val="en-US"/>
        </w:rPr>
        <w:t>isk-proportionate</w:t>
      </w:r>
      <w:r>
        <w:rPr>
          <w:rFonts w:ascii="Arial" w:eastAsia="Proxima Nova" w:hAnsi="Arial" w:cs="Arial"/>
          <w:i/>
          <w:iCs/>
          <w:sz w:val="24"/>
          <w:szCs w:val="24"/>
          <w:lang w:val="en-US"/>
        </w:rPr>
        <w:t>, and</w:t>
      </w:r>
    </w:p>
    <w:p w14:paraId="114DFF18" w14:textId="1FFD1D84" w:rsidR="0096466A" w:rsidRPr="00D93A8E" w:rsidRDefault="003F5CF5" w:rsidP="001750D5">
      <w:pPr>
        <w:widowControl w:val="0"/>
        <w:numPr>
          <w:ilvl w:val="0"/>
          <w:numId w:val="5"/>
        </w:numPr>
        <w:autoSpaceDE w:val="0"/>
        <w:autoSpaceDN w:val="0"/>
        <w:spacing w:before="120" w:after="120" w:line="240" w:lineRule="auto"/>
        <w:ind w:left="1080"/>
        <w:rPr>
          <w:rFonts w:ascii="Arial" w:eastAsia="Proxima Nova" w:hAnsi="Arial" w:cs="Arial"/>
          <w:i/>
          <w:iCs/>
          <w:sz w:val="24"/>
          <w:szCs w:val="24"/>
          <w:lang w:val="en-US"/>
        </w:rPr>
      </w:pPr>
      <w:r>
        <w:rPr>
          <w:rFonts w:ascii="Arial" w:eastAsia="Proxima Nova" w:hAnsi="Arial" w:cs="Arial"/>
          <w:i/>
          <w:iCs/>
          <w:sz w:val="24"/>
          <w:szCs w:val="24"/>
          <w:lang w:val="en-US"/>
        </w:rPr>
        <w:t>f</w:t>
      </w:r>
      <w:r w:rsidR="0096466A" w:rsidRPr="00D93A8E">
        <w:rPr>
          <w:rFonts w:ascii="Arial" w:eastAsia="Proxima Nova" w:hAnsi="Arial" w:cs="Arial"/>
          <w:i/>
          <w:iCs/>
          <w:sz w:val="24"/>
          <w:szCs w:val="24"/>
          <w:lang w:val="en-US"/>
        </w:rPr>
        <w:t xml:space="preserve">ocused on </w:t>
      </w:r>
      <w:proofErr w:type="gramStart"/>
      <w:r w:rsidR="0096466A" w:rsidRPr="00D93A8E">
        <w:rPr>
          <w:rFonts w:ascii="Arial" w:eastAsia="Proxima Nova" w:hAnsi="Arial" w:cs="Arial"/>
          <w:i/>
          <w:iCs/>
          <w:sz w:val="24"/>
          <w:szCs w:val="24"/>
          <w:lang w:val="en-US"/>
        </w:rPr>
        <w:t>continuous-improvement</w:t>
      </w:r>
      <w:proofErr w:type="gramEnd"/>
      <w:r w:rsidR="0096466A" w:rsidRPr="00D93A8E">
        <w:rPr>
          <w:rFonts w:ascii="Arial" w:eastAsia="Proxima Nova" w:hAnsi="Arial" w:cs="Arial"/>
          <w:i/>
          <w:iCs/>
          <w:sz w:val="24"/>
          <w:szCs w:val="24"/>
          <w:lang w:val="en-US"/>
        </w:rPr>
        <w:t>.”</w:t>
      </w:r>
    </w:p>
    <w:p w14:paraId="1AC2C8B2" w14:textId="24236C36" w:rsidR="00650F8D" w:rsidRPr="00650F8D" w:rsidRDefault="00650F8D" w:rsidP="00650F8D">
      <w:pPr>
        <w:spacing w:before="120" w:after="120" w:line="240" w:lineRule="auto"/>
        <w:rPr>
          <w:rFonts w:ascii="Arial" w:hAnsi="Arial" w:cs="Arial"/>
          <w:sz w:val="24"/>
          <w:szCs w:val="24"/>
        </w:rPr>
      </w:pPr>
      <w:r w:rsidRPr="00650F8D">
        <w:rPr>
          <w:rFonts w:ascii="Arial" w:hAnsi="Arial" w:cs="Arial"/>
          <w:sz w:val="24"/>
          <w:szCs w:val="24"/>
        </w:rPr>
        <w:lastRenderedPageBreak/>
        <w:t xml:space="preserve">In </w:t>
      </w:r>
      <w:r w:rsidR="000B04F5">
        <w:rPr>
          <w:rFonts w:ascii="Arial" w:hAnsi="Arial" w:cs="Arial"/>
          <w:sz w:val="24"/>
          <w:szCs w:val="24"/>
        </w:rPr>
        <w:t xml:space="preserve">anticipation of these reforms, </w:t>
      </w:r>
      <w:r w:rsidRPr="00650F8D">
        <w:rPr>
          <w:rFonts w:ascii="Arial" w:hAnsi="Arial" w:cs="Arial"/>
          <w:sz w:val="24"/>
          <w:szCs w:val="24"/>
        </w:rPr>
        <w:t>the Commission is developing a new Regulatory Strategy and Operating Model, which illustrate</w:t>
      </w:r>
      <w:r w:rsidR="002C0437">
        <w:rPr>
          <w:rFonts w:ascii="Arial" w:hAnsi="Arial" w:cs="Arial"/>
          <w:sz w:val="24"/>
          <w:szCs w:val="24"/>
        </w:rPr>
        <w:t>s</w:t>
      </w:r>
      <w:r w:rsidRPr="00650F8D">
        <w:rPr>
          <w:rFonts w:ascii="Arial" w:hAnsi="Arial" w:cs="Arial"/>
          <w:sz w:val="24"/>
          <w:szCs w:val="24"/>
        </w:rPr>
        <w:t xml:space="preserve"> the spectrum of activities from enforcement to provider support and motivation, and ongoing continuous improvement. This is discussed further at </w:t>
      </w:r>
      <w:r w:rsidR="002C0437">
        <w:rPr>
          <w:rFonts w:ascii="Arial" w:hAnsi="Arial" w:cs="Arial"/>
          <w:sz w:val="24"/>
          <w:szCs w:val="24"/>
        </w:rPr>
        <w:t>Section</w:t>
      </w:r>
      <w:r w:rsidR="002C0437" w:rsidRPr="005C39F0">
        <w:rPr>
          <w:rFonts w:ascii="Arial" w:hAnsi="Arial" w:cs="Arial"/>
          <w:sz w:val="24"/>
          <w:szCs w:val="24"/>
        </w:rPr>
        <w:t xml:space="preserve"> </w:t>
      </w:r>
      <w:r w:rsidRPr="005C39F0">
        <w:rPr>
          <w:rFonts w:ascii="Arial" w:hAnsi="Arial" w:cs="Arial"/>
          <w:sz w:val="24"/>
          <w:szCs w:val="24"/>
        </w:rPr>
        <w:t>4.9.</w:t>
      </w:r>
    </w:p>
    <w:p w14:paraId="1D819B70" w14:textId="664716D6" w:rsidR="00B05540" w:rsidRDefault="00B05540" w:rsidP="00B05540">
      <w:pPr>
        <w:spacing w:before="120" w:after="120" w:line="240" w:lineRule="auto"/>
        <w:rPr>
          <w:rFonts w:ascii="Arial" w:hAnsi="Arial" w:cs="Arial"/>
          <w:sz w:val="24"/>
          <w:szCs w:val="24"/>
        </w:rPr>
      </w:pPr>
      <w:r>
        <w:rPr>
          <w:rFonts w:ascii="Arial" w:hAnsi="Arial" w:cs="Arial"/>
          <w:sz w:val="24"/>
          <w:szCs w:val="24"/>
        </w:rPr>
        <w:t xml:space="preserve">I strongly support the new approaches. In my view, they do not imply a weakening of focus on addressing non-compliance or </w:t>
      </w:r>
      <w:r w:rsidR="000B04F5">
        <w:rPr>
          <w:rFonts w:ascii="Arial" w:hAnsi="Arial" w:cs="Arial"/>
          <w:sz w:val="24"/>
          <w:szCs w:val="24"/>
        </w:rPr>
        <w:t xml:space="preserve">prevent the Commission from </w:t>
      </w:r>
      <w:r>
        <w:rPr>
          <w:rFonts w:ascii="Arial" w:hAnsi="Arial" w:cs="Arial"/>
          <w:sz w:val="24"/>
          <w:szCs w:val="24"/>
        </w:rPr>
        <w:t xml:space="preserve">using a range of enforcement actions to ensure that the safety of older people is paramount. What they do, however, is enable a focus more widely on lifting the performance and quality of the sector, and guide with a high level of precision the full suite of activities that are needed to achieve sector improvement. </w:t>
      </w:r>
    </w:p>
    <w:p w14:paraId="1034DF66" w14:textId="77777777" w:rsidR="00B05540" w:rsidRDefault="00B05540" w:rsidP="00B05540">
      <w:pPr>
        <w:rPr>
          <w:rFonts w:ascii="Arial" w:hAnsi="Arial" w:cs="Arial"/>
          <w:i/>
          <w:iCs/>
          <w:sz w:val="24"/>
          <w:szCs w:val="24"/>
        </w:rPr>
      </w:pPr>
      <w:r>
        <w:rPr>
          <w:rFonts w:ascii="Arial" w:hAnsi="Arial" w:cs="Arial"/>
          <w:i/>
          <w:iCs/>
          <w:sz w:val="24"/>
          <w:szCs w:val="24"/>
        </w:rPr>
        <w:t xml:space="preserve">What enablers are required for the Commission to be a high performing, risk-based regulator? </w:t>
      </w:r>
    </w:p>
    <w:p w14:paraId="576AF903" w14:textId="13913A4F" w:rsidR="00B05540" w:rsidRDefault="006246AC" w:rsidP="00B05540">
      <w:pPr>
        <w:rPr>
          <w:rFonts w:ascii="Arial" w:hAnsi="Arial" w:cs="Arial"/>
          <w:sz w:val="24"/>
          <w:szCs w:val="24"/>
        </w:rPr>
      </w:pPr>
      <w:r>
        <w:rPr>
          <w:rFonts w:ascii="Arial" w:hAnsi="Arial" w:cs="Arial"/>
          <w:sz w:val="24"/>
          <w:szCs w:val="24"/>
        </w:rPr>
        <w:t>A</w:t>
      </w:r>
      <w:r w:rsidR="00B05540">
        <w:rPr>
          <w:rFonts w:ascii="Arial" w:hAnsi="Arial" w:cs="Arial"/>
          <w:sz w:val="24"/>
          <w:szCs w:val="24"/>
        </w:rPr>
        <w:t xml:space="preserve"> range of enablers or elements are required</w:t>
      </w:r>
      <w:r>
        <w:rPr>
          <w:rFonts w:ascii="Arial" w:hAnsi="Arial" w:cs="Arial"/>
          <w:sz w:val="24"/>
          <w:szCs w:val="24"/>
        </w:rPr>
        <w:t xml:space="preserve"> for the Commission to be a high performing, risk-based regulator</w:t>
      </w:r>
      <w:r w:rsidR="00B05540">
        <w:rPr>
          <w:rFonts w:ascii="Arial" w:hAnsi="Arial" w:cs="Arial"/>
          <w:sz w:val="24"/>
          <w:szCs w:val="24"/>
        </w:rPr>
        <w:t xml:space="preserve">. </w:t>
      </w:r>
    </w:p>
    <w:p w14:paraId="3DDFC154" w14:textId="3EB1949E" w:rsidR="00B05540" w:rsidRDefault="00B05540" w:rsidP="00B05540">
      <w:pPr>
        <w:rPr>
          <w:rFonts w:ascii="Arial" w:hAnsi="Arial" w:cs="Arial"/>
          <w:sz w:val="24"/>
          <w:szCs w:val="24"/>
        </w:rPr>
      </w:pPr>
      <w:r>
        <w:rPr>
          <w:rFonts w:ascii="Arial" w:hAnsi="Arial" w:cs="Arial"/>
          <w:sz w:val="24"/>
          <w:szCs w:val="24"/>
        </w:rPr>
        <w:t>In identifying these enablers, I have considered national and international best practice principles, including those in the Australian Government’s Regulator Performance Guide</w:t>
      </w:r>
      <w:r w:rsidR="006F7AA2">
        <w:rPr>
          <w:rStyle w:val="FootnoteReference"/>
          <w:rFonts w:ascii="Arial" w:hAnsi="Arial" w:cs="Arial"/>
          <w:sz w:val="24"/>
          <w:szCs w:val="24"/>
        </w:rPr>
        <w:footnoteReference w:id="23"/>
      </w:r>
      <w:r w:rsidR="003C0D37">
        <w:rPr>
          <w:rFonts w:ascii="Arial" w:hAnsi="Arial" w:cs="Arial"/>
          <w:sz w:val="24"/>
          <w:szCs w:val="24"/>
        </w:rPr>
        <w:t xml:space="preserve">, which </w:t>
      </w:r>
      <w:r>
        <w:rPr>
          <w:rFonts w:ascii="Arial" w:hAnsi="Arial" w:cs="Arial"/>
          <w:sz w:val="24"/>
          <w:szCs w:val="24"/>
        </w:rPr>
        <w:t>the Commission is required to report against, the OECD Best Practice Principles on the Governance of Regulators</w:t>
      </w:r>
      <w:r w:rsidR="006F7AA2">
        <w:rPr>
          <w:rStyle w:val="FootnoteReference"/>
          <w:rFonts w:ascii="Arial" w:hAnsi="Arial" w:cs="Arial"/>
          <w:sz w:val="24"/>
          <w:szCs w:val="24"/>
        </w:rPr>
        <w:footnoteReference w:id="24"/>
      </w:r>
      <w:r>
        <w:rPr>
          <w:rFonts w:ascii="Arial" w:hAnsi="Arial" w:cs="Arial"/>
          <w:sz w:val="24"/>
          <w:szCs w:val="24"/>
        </w:rPr>
        <w:t>, and the best practice principles identified in the Grosvenor report</w:t>
      </w:r>
      <w:r w:rsidR="006F7AA2">
        <w:rPr>
          <w:rStyle w:val="FootnoteReference"/>
          <w:rFonts w:ascii="Arial" w:hAnsi="Arial" w:cs="Arial"/>
          <w:sz w:val="24"/>
          <w:szCs w:val="24"/>
        </w:rPr>
        <w:footnoteReference w:id="25"/>
      </w:r>
      <w:r>
        <w:rPr>
          <w:rFonts w:ascii="Arial" w:hAnsi="Arial" w:cs="Arial"/>
          <w:sz w:val="24"/>
          <w:szCs w:val="24"/>
        </w:rPr>
        <w:t>. There are, unsurprisingly, some overlapping principles. I</w:t>
      </w:r>
      <w:r w:rsidR="00880964">
        <w:rPr>
          <w:rFonts w:ascii="Arial" w:hAnsi="Arial" w:cs="Arial"/>
          <w:sz w:val="24"/>
          <w:szCs w:val="24"/>
        </w:rPr>
        <w:t> </w:t>
      </w:r>
      <w:r>
        <w:rPr>
          <w:rFonts w:ascii="Arial" w:hAnsi="Arial" w:cs="Arial"/>
          <w:sz w:val="24"/>
          <w:szCs w:val="24"/>
        </w:rPr>
        <w:t>have therefore chosen a suite of enablers – organisational and regulatory – that I</w:t>
      </w:r>
      <w:r w:rsidR="00880964">
        <w:rPr>
          <w:rFonts w:ascii="Arial" w:hAnsi="Arial" w:cs="Arial"/>
          <w:sz w:val="24"/>
          <w:szCs w:val="24"/>
        </w:rPr>
        <w:t> </w:t>
      </w:r>
      <w:r>
        <w:rPr>
          <w:rFonts w:ascii="Arial" w:hAnsi="Arial" w:cs="Arial"/>
          <w:sz w:val="24"/>
          <w:szCs w:val="24"/>
        </w:rPr>
        <w:t>consider most pertinent to the performance and roles of the Commission. The enablers are:</w:t>
      </w:r>
    </w:p>
    <w:p w14:paraId="4C089A2B" w14:textId="77777777" w:rsidR="00B05540" w:rsidRDefault="00B05540" w:rsidP="00B05540">
      <w:pPr>
        <w:rPr>
          <w:rFonts w:ascii="Arial" w:hAnsi="Arial" w:cs="Arial"/>
          <w:sz w:val="24"/>
          <w:szCs w:val="24"/>
        </w:rPr>
      </w:pPr>
      <w:r>
        <w:rPr>
          <w:rFonts w:ascii="Arial" w:hAnsi="Arial" w:cs="Arial"/>
          <w:sz w:val="24"/>
          <w:szCs w:val="24"/>
        </w:rPr>
        <w:t>Organisational:</w:t>
      </w:r>
    </w:p>
    <w:p w14:paraId="010F379F"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Clear purpose and clarity of role</w:t>
      </w:r>
    </w:p>
    <w:p w14:paraId="3FD573A0" w14:textId="187BD8E6"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 xml:space="preserve">Strategic and visible leadership, appropriate supporting </w:t>
      </w:r>
      <w:proofErr w:type="gramStart"/>
      <w:r w:rsidRPr="009449D9">
        <w:rPr>
          <w:rFonts w:ascii="Arial" w:eastAsia="Proxima Nova" w:hAnsi="Arial" w:cs="Arial"/>
          <w:sz w:val="24"/>
          <w:szCs w:val="24"/>
          <w:lang w:val="en-US"/>
        </w:rPr>
        <w:t>structure</w:t>
      </w:r>
      <w:proofErr w:type="gramEnd"/>
      <w:r w:rsidRPr="009449D9">
        <w:rPr>
          <w:rFonts w:ascii="Arial" w:eastAsia="Proxima Nova" w:hAnsi="Arial" w:cs="Arial"/>
          <w:sz w:val="24"/>
          <w:szCs w:val="24"/>
          <w:lang w:val="en-US"/>
        </w:rPr>
        <w:t xml:space="preserve"> and culture</w:t>
      </w:r>
    </w:p>
    <w:p w14:paraId="7AC1A90C"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Good internal governance</w:t>
      </w:r>
    </w:p>
    <w:p w14:paraId="727F3A8D"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Accountability and transparency</w:t>
      </w:r>
    </w:p>
    <w:p w14:paraId="15F6238B"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Capable people</w:t>
      </w:r>
    </w:p>
    <w:p w14:paraId="1EBE49C4"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ICT and data systems</w:t>
      </w:r>
    </w:p>
    <w:p w14:paraId="05209583" w14:textId="6CFCE3E5" w:rsidR="00B05540"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Trust and Reputation</w:t>
      </w:r>
      <w:r w:rsidR="00E64EB0">
        <w:rPr>
          <w:rFonts w:ascii="Arial" w:eastAsia="Proxima Nova" w:hAnsi="Arial" w:cs="Arial"/>
          <w:sz w:val="24"/>
          <w:szCs w:val="24"/>
          <w:lang w:val="en-US"/>
        </w:rPr>
        <w:t xml:space="preserve">, and a focus on </w:t>
      </w:r>
      <w:proofErr w:type="spellStart"/>
      <w:r w:rsidR="00E64EB0">
        <w:rPr>
          <w:rFonts w:ascii="Arial" w:eastAsia="Proxima Nova" w:hAnsi="Arial" w:cs="Arial"/>
          <w:sz w:val="24"/>
          <w:szCs w:val="24"/>
          <w:lang w:val="en-US"/>
        </w:rPr>
        <w:t>organi</w:t>
      </w:r>
      <w:r w:rsidR="00386957">
        <w:rPr>
          <w:rFonts w:ascii="Arial" w:eastAsia="Proxima Nova" w:hAnsi="Arial" w:cs="Arial"/>
          <w:sz w:val="24"/>
          <w:szCs w:val="24"/>
          <w:lang w:val="en-US"/>
        </w:rPr>
        <w:t>s</w:t>
      </w:r>
      <w:r w:rsidR="00E64EB0">
        <w:rPr>
          <w:rFonts w:ascii="Arial" w:eastAsia="Proxima Nova" w:hAnsi="Arial" w:cs="Arial"/>
          <w:sz w:val="24"/>
          <w:szCs w:val="24"/>
          <w:lang w:val="en-US"/>
        </w:rPr>
        <w:t>ational</w:t>
      </w:r>
      <w:proofErr w:type="spellEnd"/>
      <w:r w:rsidR="00E64EB0">
        <w:rPr>
          <w:rFonts w:ascii="Arial" w:eastAsia="Proxima Nova" w:hAnsi="Arial" w:cs="Arial"/>
          <w:sz w:val="24"/>
          <w:szCs w:val="24"/>
          <w:lang w:val="en-US"/>
        </w:rPr>
        <w:t xml:space="preserve"> continuous improvement</w:t>
      </w:r>
    </w:p>
    <w:p w14:paraId="51C82C49" w14:textId="15D270F2" w:rsidR="00386957" w:rsidRPr="009449D9" w:rsidRDefault="00386957"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Pr>
          <w:rFonts w:ascii="Arial" w:eastAsia="Proxima Nova" w:hAnsi="Arial" w:cs="Arial"/>
          <w:sz w:val="24"/>
          <w:szCs w:val="24"/>
          <w:lang w:val="en-US"/>
        </w:rPr>
        <w:t>Resourcing</w:t>
      </w:r>
    </w:p>
    <w:p w14:paraId="4E1463A2" w14:textId="5DCB17DC" w:rsidR="00B05540" w:rsidRDefault="00B05540" w:rsidP="00B05540">
      <w:pPr>
        <w:rPr>
          <w:rFonts w:ascii="Arial" w:hAnsi="Arial" w:cs="Arial"/>
          <w:sz w:val="24"/>
          <w:szCs w:val="24"/>
        </w:rPr>
      </w:pPr>
      <w:r>
        <w:rPr>
          <w:rFonts w:ascii="Arial" w:hAnsi="Arial" w:cs="Arial"/>
          <w:sz w:val="24"/>
          <w:szCs w:val="24"/>
        </w:rPr>
        <w:t>Regulatory:</w:t>
      </w:r>
    </w:p>
    <w:p w14:paraId="7F3F1BA9"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Regulatory strategy and operating model</w:t>
      </w:r>
    </w:p>
    <w:p w14:paraId="33150C1F"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Risk based and data-driven</w:t>
      </w:r>
    </w:p>
    <w:p w14:paraId="497EC020" w14:textId="77777777"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Cultural capability, and ability to deliver for diverse groups</w:t>
      </w:r>
    </w:p>
    <w:p w14:paraId="1991DDA7" w14:textId="62755268" w:rsidR="00B05540" w:rsidRPr="009449D9" w:rsidRDefault="00B0554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9449D9">
        <w:rPr>
          <w:rFonts w:ascii="Arial" w:eastAsia="Proxima Nova" w:hAnsi="Arial" w:cs="Arial"/>
          <w:sz w:val="24"/>
          <w:szCs w:val="24"/>
          <w:lang w:val="en-US"/>
        </w:rPr>
        <w:t>Effective engagement and communications</w:t>
      </w:r>
    </w:p>
    <w:p w14:paraId="0BF10A1E" w14:textId="14954803" w:rsidR="00B05540" w:rsidRDefault="00B05540" w:rsidP="00B05540">
      <w:pPr>
        <w:rPr>
          <w:rFonts w:ascii="Arial" w:hAnsi="Arial" w:cs="Arial"/>
          <w:sz w:val="24"/>
          <w:szCs w:val="24"/>
        </w:rPr>
      </w:pPr>
      <w:r>
        <w:rPr>
          <w:rFonts w:ascii="Arial" w:hAnsi="Arial" w:cs="Arial"/>
          <w:sz w:val="24"/>
          <w:szCs w:val="24"/>
        </w:rPr>
        <w:lastRenderedPageBreak/>
        <w:t xml:space="preserve">No one enabler is sufficient to being a good regulator – all are required, and they each overlap and </w:t>
      </w:r>
      <w:r w:rsidR="00880964">
        <w:rPr>
          <w:rFonts w:ascii="Arial" w:hAnsi="Arial" w:cs="Arial"/>
          <w:sz w:val="24"/>
          <w:szCs w:val="24"/>
        </w:rPr>
        <w:t xml:space="preserve">are </w:t>
      </w:r>
      <w:r>
        <w:rPr>
          <w:rFonts w:ascii="Arial" w:hAnsi="Arial" w:cs="Arial"/>
          <w:sz w:val="24"/>
          <w:szCs w:val="24"/>
        </w:rPr>
        <w:t>interrelated and</w:t>
      </w:r>
      <w:proofErr w:type="gramStart"/>
      <w:r>
        <w:rPr>
          <w:rFonts w:ascii="Arial" w:hAnsi="Arial" w:cs="Arial"/>
          <w:sz w:val="24"/>
          <w:szCs w:val="24"/>
        </w:rPr>
        <w:t>, as a whole, provide</w:t>
      </w:r>
      <w:proofErr w:type="gramEnd"/>
      <w:r>
        <w:rPr>
          <w:rFonts w:ascii="Arial" w:hAnsi="Arial" w:cs="Arial"/>
          <w:sz w:val="24"/>
          <w:szCs w:val="24"/>
        </w:rPr>
        <w:t xml:space="preserve"> the foundations for a modern, best practice regulator.</w:t>
      </w:r>
    </w:p>
    <w:p w14:paraId="17FC6EDF" w14:textId="3DB2C133" w:rsidR="003C0D37" w:rsidRDefault="003C0D37" w:rsidP="001364C7">
      <w:pPr>
        <w:spacing w:after="360"/>
        <w:rPr>
          <w:rFonts w:ascii="Arial" w:hAnsi="Arial" w:cs="Arial"/>
          <w:sz w:val="24"/>
          <w:szCs w:val="24"/>
        </w:rPr>
      </w:pPr>
      <w:r>
        <w:rPr>
          <w:rFonts w:ascii="Arial" w:hAnsi="Arial" w:cs="Arial"/>
          <w:sz w:val="24"/>
          <w:szCs w:val="24"/>
        </w:rPr>
        <w:t xml:space="preserve">My assessment of </w:t>
      </w:r>
      <w:r w:rsidR="006246AC">
        <w:rPr>
          <w:rFonts w:ascii="Arial" w:hAnsi="Arial" w:cs="Arial"/>
          <w:sz w:val="24"/>
          <w:szCs w:val="24"/>
        </w:rPr>
        <w:t>the Commission’s</w:t>
      </w:r>
      <w:r>
        <w:rPr>
          <w:rFonts w:ascii="Arial" w:hAnsi="Arial" w:cs="Arial"/>
          <w:sz w:val="24"/>
          <w:szCs w:val="24"/>
        </w:rPr>
        <w:t xml:space="preserve"> current performance and recommendations against each of these enablers follows.</w:t>
      </w:r>
    </w:p>
    <w:p w14:paraId="354355A5" w14:textId="69DE2658" w:rsidR="002929B1" w:rsidRPr="00A00298" w:rsidRDefault="00A2358A" w:rsidP="00A00298">
      <w:pPr>
        <w:rPr>
          <w:rFonts w:ascii="Arial" w:hAnsi="Arial" w:cs="Arial"/>
          <w:b/>
          <w:bCs/>
          <w:sz w:val="28"/>
          <w:szCs w:val="28"/>
        </w:rPr>
      </w:pPr>
      <w:r w:rsidRPr="00A00298">
        <w:rPr>
          <w:rFonts w:ascii="Arial" w:hAnsi="Arial" w:cs="Arial"/>
          <w:b/>
          <w:bCs/>
          <w:sz w:val="28"/>
          <w:szCs w:val="28"/>
        </w:rPr>
        <w:t>4</w:t>
      </w:r>
      <w:r w:rsidR="00F54A39" w:rsidRPr="00A00298">
        <w:rPr>
          <w:rFonts w:ascii="Arial" w:hAnsi="Arial" w:cs="Arial"/>
          <w:b/>
          <w:bCs/>
          <w:sz w:val="28"/>
          <w:szCs w:val="28"/>
        </w:rPr>
        <w:t xml:space="preserve">.1 </w:t>
      </w:r>
      <w:r w:rsidR="009449D9" w:rsidRPr="00A00298">
        <w:rPr>
          <w:rFonts w:ascii="Arial" w:hAnsi="Arial" w:cs="Arial"/>
          <w:b/>
          <w:bCs/>
          <w:sz w:val="28"/>
          <w:szCs w:val="28"/>
        </w:rPr>
        <w:t>C</w:t>
      </w:r>
      <w:r w:rsidR="00F54A39" w:rsidRPr="00A00298">
        <w:rPr>
          <w:rFonts w:ascii="Arial" w:hAnsi="Arial" w:cs="Arial"/>
          <w:b/>
          <w:bCs/>
          <w:sz w:val="28"/>
          <w:szCs w:val="28"/>
        </w:rPr>
        <w:t>lear purpose and clarity of roles</w:t>
      </w:r>
    </w:p>
    <w:p w14:paraId="716015D0" w14:textId="77777777" w:rsidR="00A23A1D" w:rsidRPr="00A23A1D" w:rsidRDefault="00A23A1D" w:rsidP="00B02A38">
      <w:pPr>
        <w:pStyle w:val="paragraph"/>
        <w:spacing w:before="120" w:beforeAutospacing="0" w:after="120" w:afterAutospacing="0"/>
        <w:textAlignment w:val="baseline"/>
        <w:rPr>
          <w:rFonts w:ascii="Arial" w:hAnsi="Arial" w:cs="Arial"/>
          <w:i/>
          <w:iCs/>
        </w:rPr>
      </w:pPr>
      <w:r w:rsidRPr="00A23A1D">
        <w:rPr>
          <w:rFonts w:ascii="Arial" w:hAnsi="Arial" w:cs="Arial"/>
          <w:i/>
          <w:iCs/>
        </w:rPr>
        <w:t>Best practice</w:t>
      </w:r>
    </w:p>
    <w:p w14:paraId="005E5FF1" w14:textId="1BCA8266" w:rsidR="00B02A38" w:rsidRDefault="00B02A38" w:rsidP="00B02A38">
      <w:pPr>
        <w:pStyle w:val="paragraph"/>
        <w:spacing w:before="120" w:beforeAutospacing="0" w:after="120" w:afterAutospacing="0"/>
        <w:textAlignment w:val="baseline"/>
        <w:rPr>
          <w:rFonts w:ascii="Arial" w:hAnsi="Arial" w:cs="Arial"/>
        </w:rPr>
      </w:pPr>
      <w:r>
        <w:rPr>
          <w:rFonts w:ascii="Arial" w:hAnsi="Arial" w:cs="Arial"/>
        </w:rPr>
        <w:t xml:space="preserve">An effective regulator must have a clearly articulated purpose, with clear and linked functions and mechanisms to co-ordinate with other relevant bodies to achieve desired regulatory outcomes. </w:t>
      </w:r>
    </w:p>
    <w:p w14:paraId="3F934D6F" w14:textId="086CFD71" w:rsidR="00B02A38" w:rsidRDefault="00B02A38" w:rsidP="00B02A38">
      <w:pPr>
        <w:spacing w:before="120" w:after="120" w:line="240" w:lineRule="auto"/>
        <w:rPr>
          <w:rFonts w:ascii="Arial" w:hAnsi="Arial" w:cs="Arial"/>
          <w:sz w:val="24"/>
          <w:szCs w:val="24"/>
        </w:rPr>
      </w:pPr>
      <w:r>
        <w:rPr>
          <w:rFonts w:ascii="Arial" w:hAnsi="Arial" w:cs="Arial"/>
          <w:sz w:val="24"/>
          <w:szCs w:val="24"/>
        </w:rPr>
        <w:t>Role clarity is essential for the regulator to understand and fulfill its role effectively. Roles should be well communicated and understood by providers and consumers.</w:t>
      </w:r>
    </w:p>
    <w:p w14:paraId="110E6D9A" w14:textId="1ABE7F8F" w:rsidR="00B02A38" w:rsidRDefault="00B02A38" w:rsidP="00B02A38">
      <w:pPr>
        <w:spacing w:before="120" w:after="120" w:line="240" w:lineRule="auto"/>
        <w:rPr>
          <w:rFonts w:ascii="Arial" w:hAnsi="Arial" w:cs="Arial"/>
          <w:sz w:val="24"/>
          <w:szCs w:val="24"/>
        </w:rPr>
      </w:pPr>
      <w:proofErr w:type="gramStart"/>
      <w:r>
        <w:rPr>
          <w:rFonts w:ascii="Arial" w:hAnsi="Arial" w:cs="Arial"/>
          <w:sz w:val="24"/>
          <w:szCs w:val="24"/>
        </w:rPr>
        <w:t>In order to</w:t>
      </w:r>
      <w:proofErr w:type="gramEnd"/>
      <w:r>
        <w:rPr>
          <w:rFonts w:ascii="Arial" w:hAnsi="Arial" w:cs="Arial"/>
          <w:sz w:val="24"/>
          <w:szCs w:val="24"/>
        </w:rPr>
        <w:t xml:space="preserve"> function well together, a policy </w:t>
      </w:r>
      <w:r w:rsidR="00A23A1D">
        <w:rPr>
          <w:rFonts w:ascii="Arial" w:hAnsi="Arial" w:cs="Arial"/>
          <w:sz w:val="24"/>
          <w:szCs w:val="24"/>
        </w:rPr>
        <w:t>D</w:t>
      </w:r>
      <w:r>
        <w:rPr>
          <w:rFonts w:ascii="Arial" w:hAnsi="Arial" w:cs="Arial"/>
          <w:sz w:val="24"/>
          <w:szCs w:val="24"/>
        </w:rPr>
        <w:t xml:space="preserve">epartment and a delivery agency need to have a mature, contemporary, robust and transparent framework for engagement that is based on trust and respect for their respective roles </w:t>
      </w:r>
      <w:r w:rsidR="003C0D37">
        <w:rPr>
          <w:rFonts w:ascii="Arial" w:hAnsi="Arial" w:cs="Arial"/>
          <w:sz w:val="24"/>
          <w:szCs w:val="24"/>
        </w:rPr>
        <w:t>and</w:t>
      </w:r>
      <w:r>
        <w:rPr>
          <w:rFonts w:ascii="Arial" w:hAnsi="Arial" w:cs="Arial"/>
          <w:sz w:val="24"/>
          <w:szCs w:val="24"/>
        </w:rPr>
        <w:t xml:space="preserve"> shared objectives. The framework should support regular strategic and operational engagement and collaboration, information, risk analysis and data sharing, and escalation and issues resolution </w:t>
      </w:r>
      <w:r w:rsidR="003F5CF5">
        <w:rPr>
          <w:rFonts w:ascii="Arial" w:hAnsi="Arial" w:cs="Arial"/>
          <w:sz w:val="24"/>
          <w:szCs w:val="24"/>
        </w:rPr>
        <w:t>arrangements</w:t>
      </w:r>
      <w:r>
        <w:rPr>
          <w:rFonts w:ascii="Arial" w:hAnsi="Arial" w:cs="Arial"/>
          <w:sz w:val="24"/>
          <w:szCs w:val="24"/>
        </w:rPr>
        <w:t>.</w:t>
      </w:r>
    </w:p>
    <w:p w14:paraId="2364AD11" w14:textId="77777777" w:rsidR="00B02A38" w:rsidRDefault="00B02A38" w:rsidP="00B02A38">
      <w:pPr>
        <w:spacing w:before="100" w:beforeAutospacing="1" w:after="100" w:afterAutospacing="1" w:line="240" w:lineRule="auto"/>
        <w:textAlignment w:val="baseline"/>
        <w:rPr>
          <w:rFonts w:ascii="Arial" w:hAnsi="Arial" w:cs="Arial"/>
          <w:i/>
          <w:iCs/>
          <w:color w:val="000000"/>
          <w:sz w:val="24"/>
          <w:szCs w:val="24"/>
        </w:rPr>
      </w:pPr>
      <w:r>
        <w:rPr>
          <w:rFonts w:ascii="Arial" w:hAnsi="Arial" w:cs="Arial"/>
          <w:i/>
          <w:iCs/>
          <w:color w:val="000000"/>
          <w:sz w:val="24"/>
          <w:szCs w:val="24"/>
        </w:rPr>
        <w:t>What the Commission does now</w:t>
      </w:r>
    </w:p>
    <w:p w14:paraId="68501BF2" w14:textId="582AEFF5" w:rsidR="00B02A38" w:rsidRDefault="00B02A38" w:rsidP="00B02A38">
      <w:pPr>
        <w:spacing w:before="120" w:after="120" w:line="240" w:lineRule="auto"/>
        <w:textAlignment w:val="baseline"/>
        <w:rPr>
          <w:rFonts w:ascii="Arial" w:hAnsi="Arial" w:cs="Arial"/>
          <w:color w:val="000000"/>
          <w:sz w:val="24"/>
          <w:szCs w:val="24"/>
        </w:rPr>
      </w:pPr>
      <w:r>
        <w:rPr>
          <w:rFonts w:ascii="Arial" w:hAnsi="Arial" w:cs="Arial"/>
          <w:color w:val="000000"/>
          <w:sz w:val="24"/>
          <w:szCs w:val="24"/>
        </w:rPr>
        <w:t>Through</w:t>
      </w:r>
      <w:r w:rsidR="003C0D37">
        <w:rPr>
          <w:rFonts w:ascii="Arial" w:hAnsi="Arial" w:cs="Arial"/>
          <w:color w:val="000000"/>
          <w:sz w:val="24"/>
          <w:szCs w:val="24"/>
        </w:rPr>
        <w:t xml:space="preserve">out the Review, staff </w:t>
      </w:r>
      <w:r>
        <w:rPr>
          <w:rFonts w:ascii="Arial" w:hAnsi="Arial" w:cs="Arial"/>
          <w:color w:val="000000"/>
          <w:sz w:val="24"/>
          <w:szCs w:val="24"/>
        </w:rPr>
        <w:t xml:space="preserve">at all levels demonstrated their understanding of the </w:t>
      </w:r>
      <w:r w:rsidR="00BF56B4">
        <w:rPr>
          <w:rFonts w:ascii="Arial" w:hAnsi="Arial" w:cs="Arial"/>
          <w:color w:val="000000"/>
          <w:sz w:val="24"/>
          <w:szCs w:val="24"/>
        </w:rPr>
        <w:t xml:space="preserve">Commission’s </w:t>
      </w:r>
      <w:r w:rsidR="00D14F3C">
        <w:rPr>
          <w:rFonts w:ascii="Arial" w:hAnsi="Arial" w:cs="Arial"/>
          <w:color w:val="000000"/>
          <w:sz w:val="24"/>
          <w:szCs w:val="24"/>
        </w:rPr>
        <w:t xml:space="preserve">stated high-level </w:t>
      </w:r>
      <w:r w:rsidR="00BF56B4">
        <w:rPr>
          <w:rFonts w:ascii="Arial" w:hAnsi="Arial" w:cs="Arial"/>
          <w:color w:val="000000"/>
          <w:sz w:val="24"/>
          <w:szCs w:val="24"/>
        </w:rPr>
        <w:t>purpose and role</w:t>
      </w:r>
      <w:r>
        <w:rPr>
          <w:rFonts w:ascii="Arial" w:hAnsi="Arial" w:cs="Arial"/>
          <w:color w:val="000000"/>
          <w:sz w:val="24"/>
          <w:szCs w:val="24"/>
        </w:rPr>
        <w:t xml:space="preserve">. A strong theme that emerged from staff consultations was the commitment of staff to </w:t>
      </w:r>
      <w:r w:rsidR="003C0D37">
        <w:rPr>
          <w:rFonts w:ascii="Arial" w:hAnsi="Arial" w:cs="Arial"/>
          <w:color w:val="000000"/>
          <w:sz w:val="24"/>
          <w:szCs w:val="24"/>
        </w:rPr>
        <w:t xml:space="preserve">protecting and enhancing the safety health, </w:t>
      </w:r>
      <w:proofErr w:type="gramStart"/>
      <w:r w:rsidR="003C0D37">
        <w:rPr>
          <w:rFonts w:ascii="Arial" w:hAnsi="Arial" w:cs="Arial"/>
          <w:color w:val="000000"/>
          <w:sz w:val="24"/>
          <w:szCs w:val="24"/>
        </w:rPr>
        <w:t>well-being</w:t>
      </w:r>
      <w:proofErr w:type="gramEnd"/>
      <w:r w:rsidR="003C0D37">
        <w:rPr>
          <w:rFonts w:ascii="Arial" w:hAnsi="Arial" w:cs="Arial"/>
          <w:color w:val="000000"/>
          <w:sz w:val="24"/>
          <w:szCs w:val="24"/>
        </w:rPr>
        <w:t xml:space="preserve"> and quality of life of aged care consumers. </w:t>
      </w:r>
      <w:r w:rsidR="00D14F3C">
        <w:rPr>
          <w:rFonts w:ascii="Arial" w:hAnsi="Arial" w:cs="Arial"/>
          <w:color w:val="000000"/>
          <w:sz w:val="24"/>
          <w:szCs w:val="24"/>
        </w:rPr>
        <w:t xml:space="preserve">However, as discussed throughout this report, there are indications that there can be a lack of clarity within the Commission about its role, for example, in relation to regulatory posture and across ‘siloed’ functions. </w:t>
      </w:r>
    </w:p>
    <w:p w14:paraId="644D0AA6" w14:textId="76B6056A" w:rsidR="00B02A38" w:rsidRDefault="00B02A38" w:rsidP="00B02A38">
      <w:pPr>
        <w:spacing w:before="120" w:after="120" w:line="240" w:lineRule="auto"/>
        <w:textAlignment w:val="baseline"/>
        <w:rPr>
          <w:rFonts w:ascii="Arial" w:hAnsi="Arial" w:cs="Arial"/>
          <w:sz w:val="24"/>
          <w:szCs w:val="24"/>
        </w:rPr>
      </w:pPr>
      <w:r>
        <w:rPr>
          <w:rFonts w:ascii="Arial" w:hAnsi="Arial" w:cs="Arial"/>
          <w:sz w:val="24"/>
          <w:szCs w:val="24"/>
        </w:rPr>
        <w:t xml:space="preserve">There appears to be </w:t>
      </w:r>
      <w:r w:rsidR="000B04F5">
        <w:rPr>
          <w:rFonts w:ascii="Arial" w:hAnsi="Arial" w:cs="Arial"/>
          <w:sz w:val="24"/>
          <w:szCs w:val="24"/>
        </w:rPr>
        <w:t>minimal</w:t>
      </w:r>
      <w:r>
        <w:rPr>
          <w:rFonts w:ascii="Arial" w:hAnsi="Arial" w:cs="Arial"/>
          <w:sz w:val="24"/>
          <w:szCs w:val="24"/>
        </w:rPr>
        <w:t xml:space="preserve"> ambiguity about the respective roles of the Commission and other regulators that interact with the aged care sector, including the Australian Commission on Quality and Safety in Health Care and the NDIS Commission. Each agency has demonstrated a clear understanding of respective roles and boundaries, and the Commission has well established and collaborative working relationships with </w:t>
      </w:r>
      <w:r w:rsidR="003C0D37">
        <w:rPr>
          <w:rFonts w:ascii="Arial" w:hAnsi="Arial" w:cs="Arial"/>
          <w:sz w:val="24"/>
          <w:szCs w:val="24"/>
        </w:rPr>
        <w:t>these</w:t>
      </w:r>
      <w:r>
        <w:rPr>
          <w:rFonts w:ascii="Arial" w:hAnsi="Arial" w:cs="Arial"/>
          <w:sz w:val="24"/>
          <w:szCs w:val="24"/>
        </w:rPr>
        <w:t xml:space="preserve"> agencies.</w:t>
      </w:r>
    </w:p>
    <w:p w14:paraId="7A9E662E" w14:textId="7DFB1E9E" w:rsidR="00B02A38" w:rsidRDefault="00B02A38" w:rsidP="00B02A38">
      <w:pPr>
        <w:spacing w:before="120" w:after="120" w:line="240" w:lineRule="auto"/>
        <w:textAlignment w:val="baseline"/>
        <w:rPr>
          <w:rFonts w:ascii="Arial" w:hAnsi="Arial" w:cs="Arial"/>
          <w:color w:val="000000"/>
          <w:sz w:val="24"/>
          <w:szCs w:val="24"/>
        </w:rPr>
      </w:pPr>
      <w:r w:rsidRPr="000B04F5">
        <w:rPr>
          <w:rFonts w:ascii="Arial" w:hAnsi="Arial" w:cs="Arial"/>
          <w:color w:val="000000"/>
          <w:sz w:val="24"/>
          <w:szCs w:val="24"/>
        </w:rPr>
        <w:t xml:space="preserve">Feedback from a range of individuals and groups consulted during the </w:t>
      </w:r>
      <w:r w:rsidR="00D20410">
        <w:rPr>
          <w:rFonts w:ascii="Arial" w:hAnsi="Arial" w:cs="Arial"/>
          <w:color w:val="000000"/>
          <w:sz w:val="24"/>
          <w:szCs w:val="24"/>
        </w:rPr>
        <w:t>R</w:t>
      </w:r>
      <w:r w:rsidRPr="000B04F5">
        <w:rPr>
          <w:rFonts w:ascii="Arial" w:hAnsi="Arial" w:cs="Arial"/>
          <w:color w:val="000000"/>
          <w:sz w:val="24"/>
          <w:szCs w:val="24"/>
        </w:rPr>
        <w:t xml:space="preserve">eview indicates that there continues to be some confusion among consumers, providers and the community about the purpose and role of the Commission. Many consumers or their representatives advised that often consumers do not understand what the Commission does including in relation to assisting consumers, </w:t>
      </w:r>
      <w:proofErr w:type="gramStart"/>
      <w:r w:rsidRPr="000B04F5">
        <w:rPr>
          <w:rFonts w:ascii="Arial" w:hAnsi="Arial" w:cs="Arial"/>
          <w:color w:val="000000"/>
          <w:sz w:val="24"/>
          <w:szCs w:val="24"/>
        </w:rPr>
        <w:t>e</w:t>
      </w:r>
      <w:r w:rsidR="003C0D37">
        <w:rPr>
          <w:rFonts w:ascii="Arial" w:hAnsi="Arial" w:cs="Arial"/>
          <w:color w:val="000000"/>
          <w:sz w:val="24"/>
          <w:szCs w:val="24"/>
        </w:rPr>
        <w:t>.</w:t>
      </w:r>
      <w:r w:rsidRPr="000B04F5">
        <w:rPr>
          <w:rFonts w:ascii="Arial" w:hAnsi="Arial" w:cs="Arial"/>
          <w:color w:val="000000"/>
          <w:sz w:val="24"/>
          <w:szCs w:val="24"/>
        </w:rPr>
        <w:t>g.</w:t>
      </w:r>
      <w:proofErr w:type="gramEnd"/>
      <w:r w:rsidRPr="000B04F5">
        <w:rPr>
          <w:rFonts w:ascii="Arial" w:hAnsi="Arial" w:cs="Arial"/>
          <w:color w:val="000000"/>
          <w:sz w:val="24"/>
          <w:szCs w:val="24"/>
        </w:rPr>
        <w:t xml:space="preserve"> through complaints handling. Providers and peak bodies generally had a good understanding of the Commission’s functions, although some providers noted a lack of clarity around whether the Commission or the Department was responsible for information provision and education.</w:t>
      </w:r>
      <w:r w:rsidR="000B04F5">
        <w:rPr>
          <w:rFonts w:ascii="Arial" w:hAnsi="Arial" w:cs="Arial"/>
          <w:color w:val="000000"/>
          <w:sz w:val="24"/>
          <w:szCs w:val="24"/>
        </w:rPr>
        <w:t xml:space="preserve"> Communications and engagement are discussed in more detail in </w:t>
      </w:r>
      <w:r w:rsidR="002C0437">
        <w:rPr>
          <w:rFonts w:ascii="Arial" w:hAnsi="Arial" w:cs="Arial"/>
          <w:color w:val="000000"/>
          <w:sz w:val="24"/>
          <w:szCs w:val="24"/>
        </w:rPr>
        <w:t xml:space="preserve">Section </w:t>
      </w:r>
      <w:r w:rsidR="000B04F5">
        <w:rPr>
          <w:rFonts w:ascii="Arial" w:hAnsi="Arial" w:cs="Arial"/>
          <w:color w:val="000000"/>
          <w:sz w:val="24"/>
          <w:szCs w:val="24"/>
        </w:rPr>
        <w:t>4.11.</w:t>
      </w:r>
    </w:p>
    <w:p w14:paraId="5BB2EB7E" w14:textId="7DA277CE" w:rsidR="00B02A38" w:rsidRDefault="00E64EB0" w:rsidP="00B02A38">
      <w:pPr>
        <w:spacing w:before="240" w:after="120" w:line="240" w:lineRule="auto"/>
        <w:textAlignment w:val="baseline"/>
        <w:rPr>
          <w:rFonts w:ascii="Arial" w:hAnsi="Arial" w:cs="Arial"/>
          <w:color w:val="000000"/>
          <w:sz w:val="24"/>
          <w:szCs w:val="24"/>
        </w:rPr>
      </w:pPr>
      <w:r>
        <w:rPr>
          <w:rFonts w:ascii="Arial" w:hAnsi="Arial" w:cs="Arial"/>
          <w:color w:val="000000"/>
          <w:sz w:val="24"/>
          <w:szCs w:val="24"/>
        </w:rPr>
        <w:lastRenderedPageBreak/>
        <w:t>Significantly, i</w:t>
      </w:r>
      <w:r w:rsidR="00B02A38">
        <w:rPr>
          <w:rFonts w:ascii="Arial" w:hAnsi="Arial" w:cs="Arial"/>
          <w:color w:val="000000"/>
          <w:sz w:val="24"/>
          <w:szCs w:val="24"/>
        </w:rPr>
        <w:t>t was apparent that the relations</w:t>
      </w:r>
      <w:r w:rsidR="003C0D37">
        <w:rPr>
          <w:rFonts w:ascii="Arial" w:hAnsi="Arial" w:cs="Arial"/>
          <w:color w:val="000000"/>
          <w:sz w:val="24"/>
          <w:szCs w:val="24"/>
        </w:rPr>
        <w:t>hip</w:t>
      </w:r>
      <w:r w:rsidR="00B02A38">
        <w:rPr>
          <w:rFonts w:ascii="Arial" w:hAnsi="Arial" w:cs="Arial"/>
          <w:color w:val="000000"/>
          <w:sz w:val="24"/>
          <w:szCs w:val="24"/>
        </w:rPr>
        <w:t xml:space="preserve"> between the Commission and the </w:t>
      </w:r>
      <w:r w:rsidR="00A23A1D">
        <w:rPr>
          <w:rFonts w:ascii="Arial" w:hAnsi="Arial" w:cs="Arial"/>
          <w:color w:val="000000"/>
          <w:sz w:val="24"/>
          <w:szCs w:val="24"/>
        </w:rPr>
        <w:t>D</w:t>
      </w:r>
      <w:r w:rsidR="00B02A38">
        <w:rPr>
          <w:rFonts w:ascii="Arial" w:hAnsi="Arial" w:cs="Arial"/>
          <w:color w:val="000000"/>
          <w:sz w:val="24"/>
          <w:szCs w:val="24"/>
        </w:rPr>
        <w:t xml:space="preserve">epartment could be enhanced. There were signs of miscommunication, misunderstanding of each other’s roles, differing views about priorities, and no clear mechanism for escalation of key issues. </w:t>
      </w:r>
      <w:r w:rsidR="00B02A38">
        <w:rPr>
          <w:rFonts w:ascii="Arial" w:hAnsi="Arial" w:cs="Arial"/>
          <w:sz w:val="24"/>
          <w:szCs w:val="24"/>
        </w:rPr>
        <w:t>The current Memorandum of Understanding (MoU) between the Commission and the Department has not been updated since it was established in April 2019</w:t>
      </w:r>
      <w:r w:rsidR="003C0D37">
        <w:rPr>
          <w:rFonts w:ascii="Arial" w:hAnsi="Arial" w:cs="Arial"/>
          <w:sz w:val="24"/>
          <w:szCs w:val="24"/>
        </w:rPr>
        <w:t xml:space="preserve"> and do</w:t>
      </w:r>
      <w:r w:rsidR="00B02A38">
        <w:rPr>
          <w:rFonts w:ascii="Arial" w:hAnsi="Arial" w:cs="Arial"/>
          <w:sz w:val="24"/>
          <w:szCs w:val="24"/>
        </w:rPr>
        <w:t xml:space="preserve">es not appear to be assisting either party to work collaboratively or to clearly understand, respect, and trust the role boundaries (policy and delivery) for each organisation. </w:t>
      </w:r>
    </w:p>
    <w:p w14:paraId="7A012759" w14:textId="003B4870" w:rsidR="00B02A38" w:rsidRDefault="00B02A38" w:rsidP="00B02A38">
      <w:pPr>
        <w:spacing w:before="240" w:after="120" w:line="240" w:lineRule="auto"/>
        <w:textAlignment w:val="baseline"/>
        <w:rPr>
          <w:rFonts w:ascii="Arial" w:hAnsi="Arial" w:cs="Arial"/>
          <w:i/>
          <w:iCs/>
          <w:color w:val="000000"/>
          <w:sz w:val="24"/>
          <w:szCs w:val="24"/>
        </w:rPr>
      </w:pPr>
      <w:r>
        <w:rPr>
          <w:rFonts w:ascii="Arial" w:hAnsi="Arial" w:cs="Arial"/>
          <w:i/>
          <w:iCs/>
          <w:color w:val="000000"/>
          <w:sz w:val="24"/>
          <w:szCs w:val="24"/>
        </w:rPr>
        <w:t xml:space="preserve">What the Commission and </w:t>
      </w:r>
      <w:r w:rsidR="00D33D59">
        <w:rPr>
          <w:rFonts w:ascii="Arial" w:hAnsi="Arial" w:cs="Arial"/>
          <w:i/>
          <w:iCs/>
          <w:color w:val="000000"/>
          <w:sz w:val="24"/>
          <w:szCs w:val="24"/>
        </w:rPr>
        <w:t xml:space="preserve">the </w:t>
      </w:r>
      <w:r w:rsidR="00A23A1D">
        <w:rPr>
          <w:rFonts w:ascii="Arial" w:hAnsi="Arial" w:cs="Arial"/>
          <w:i/>
          <w:iCs/>
          <w:color w:val="000000"/>
          <w:sz w:val="24"/>
          <w:szCs w:val="24"/>
        </w:rPr>
        <w:t>D</w:t>
      </w:r>
      <w:r>
        <w:rPr>
          <w:rFonts w:ascii="Arial" w:hAnsi="Arial" w:cs="Arial"/>
          <w:i/>
          <w:iCs/>
          <w:color w:val="000000"/>
          <w:sz w:val="24"/>
          <w:szCs w:val="24"/>
        </w:rPr>
        <w:t>epartment need to do</w:t>
      </w:r>
    </w:p>
    <w:p w14:paraId="194F74B9" w14:textId="3FFAB762" w:rsidR="00B02A38" w:rsidRDefault="00B02A38" w:rsidP="00B02A38">
      <w:pPr>
        <w:spacing w:before="120" w:after="120" w:line="240" w:lineRule="auto"/>
        <w:textAlignment w:val="baseline"/>
        <w:rPr>
          <w:rFonts w:ascii="Arial" w:hAnsi="Arial" w:cs="Arial"/>
          <w:color w:val="000000"/>
          <w:sz w:val="24"/>
          <w:szCs w:val="24"/>
        </w:rPr>
      </w:pPr>
      <w:r>
        <w:rPr>
          <w:rFonts w:ascii="Arial" w:hAnsi="Arial" w:cs="Arial"/>
          <w:color w:val="000000"/>
          <w:sz w:val="24"/>
          <w:szCs w:val="24"/>
        </w:rPr>
        <w:t xml:space="preserve">The Commission can improve understanding of its role and functions by reviewing and updating its </w:t>
      </w:r>
      <w:r w:rsidR="003C0D37">
        <w:rPr>
          <w:rFonts w:ascii="Arial" w:hAnsi="Arial" w:cs="Arial"/>
          <w:color w:val="000000"/>
          <w:sz w:val="24"/>
          <w:szCs w:val="24"/>
        </w:rPr>
        <w:t xml:space="preserve">website </w:t>
      </w:r>
      <w:r>
        <w:rPr>
          <w:rFonts w:ascii="Arial" w:hAnsi="Arial" w:cs="Arial"/>
          <w:color w:val="000000"/>
          <w:sz w:val="24"/>
          <w:szCs w:val="24"/>
        </w:rPr>
        <w:t xml:space="preserve">and other communication products to describe its role and functions </w:t>
      </w:r>
      <w:r w:rsidR="006246AC">
        <w:rPr>
          <w:rFonts w:ascii="Arial" w:hAnsi="Arial" w:cs="Arial"/>
          <w:color w:val="000000"/>
          <w:sz w:val="24"/>
          <w:szCs w:val="24"/>
        </w:rPr>
        <w:t xml:space="preserve">more clearly </w:t>
      </w:r>
      <w:r>
        <w:rPr>
          <w:rFonts w:ascii="Arial" w:hAnsi="Arial" w:cs="Arial"/>
          <w:color w:val="000000"/>
          <w:sz w:val="24"/>
          <w:szCs w:val="24"/>
        </w:rPr>
        <w:t>and, importantly, distinguish its role from those of others in the sector</w:t>
      </w:r>
      <w:r w:rsidR="00E64EB0">
        <w:rPr>
          <w:rFonts w:ascii="Arial" w:hAnsi="Arial" w:cs="Arial"/>
          <w:color w:val="000000"/>
          <w:sz w:val="24"/>
          <w:szCs w:val="24"/>
        </w:rPr>
        <w:t>, including the new Inspector</w:t>
      </w:r>
      <w:r w:rsidR="00526E5B">
        <w:rPr>
          <w:rFonts w:ascii="Arial" w:hAnsi="Arial" w:cs="Arial"/>
          <w:color w:val="000000"/>
          <w:sz w:val="24"/>
          <w:szCs w:val="24"/>
        </w:rPr>
        <w:t>-</w:t>
      </w:r>
      <w:r w:rsidR="00E64EB0">
        <w:rPr>
          <w:rFonts w:ascii="Arial" w:hAnsi="Arial" w:cs="Arial"/>
          <w:color w:val="000000"/>
          <w:sz w:val="24"/>
          <w:szCs w:val="24"/>
        </w:rPr>
        <w:t>General of Aged Care</w:t>
      </w:r>
      <w:r>
        <w:rPr>
          <w:rFonts w:ascii="Arial" w:hAnsi="Arial" w:cs="Arial"/>
          <w:color w:val="000000"/>
          <w:sz w:val="24"/>
          <w:szCs w:val="24"/>
        </w:rPr>
        <w:t>. This information will help stakeholders to have a better understanding of the Commission and help them navigate the broader aged care system.</w:t>
      </w:r>
      <w:r w:rsidR="00E64EB0">
        <w:rPr>
          <w:rFonts w:ascii="Arial" w:hAnsi="Arial" w:cs="Arial"/>
          <w:color w:val="000000"/>
          <w:sz w:val="24"/>
          <w:szCs w:val="24"/>
        </w:rPr>
        <w:t xml:space="preserve"> </w:t>
      </w:r>
      <w:r w:rsidR="002449D9" w:rsidRPr="002449D9">
        <w:rPr>
          <w:rFonts w:ascii="Arial" w:hAnsi="Arial" w:cs="Arial"/>
          <w:color w:val="000000"/>
          <w:sz w:val="24"/>
          <w:szCs w:val="24"/>
        </w:rPr>
        <w:t xml:space="preserve">The Commission </w:t>
      </w:r>
      <w:r w:rsidR="002C0437">
        <w:rPr>
          <w:rFonts w:ascii="Arial" w:hAnsi="Arial" w:cs="Arial"/>
          <w:color w:val="000000"/>
          <w:sz w:val="24"/>
          <w:szCs w:val="24"/>
        </w:rPr>
        <w:t>should</w:t>
      </w:r>
      <w:r w:rsidR="002449D9" w:rsidRPr="002449D9">
        <w:rPr>
          <w:rFonts w:ascii="Arial" w:hAnsi="Arial" w:cs="Arial"/>
          <w:color w:val="000000"/>
          <w:sz w:val="24"/>
          <w:szCs w:val="24"/>
        </w:rPr>
        <w:t xml:space="preserve"> look to the Unit</w:t>
      </w:r>
      <w:r w:rsidR="002C0437">
        <w:rPr>
          <w:rFonts w:ascii="Arial" w:hAnsi="Arial" w:cs="Arial"/>
          <w:color w:val="000000"/>
          <w:sz w:val="24"/>
          <w:szCs w:val="24"/>
        </w:rPr>
        <w:t>ed</w:t>
      </w:r>
      <w:r w:rsidR="002449D9" w:rsidRPr="002449D9">
        <w:rPr>
          <w:rFonts w:ascii="Arial" w:hAnsi="Arial" w:cs="Arial"/>
          <w:color w:val="000000"/>
          <w:sz w:val="24"/>
          <w:szCs w:val="24"/>
        </w:rPr>
        <w:t xml:space="preserve"> Kingdom’s Care Quality Commission website</w:t>
      </w:r>
      <w:r w:rsidR="006F7AA2">
        <w:rPr>
          <w:rStyle w:val="FootnoteReference"/>
          <w:rFonts w:ascii="Arial" w:hAnsi="Arial" w:cs="Arial"/>
          <w:color w:val="000000"/>
          <w:sz w:val="24"/>
          <w:szCs w:val="24"/>
        </w:rPr>
        <w:footnoteReference w:id="26"/>
      </w:r>
      <w:r w:rsidR="002449D9" w:rsidRPr="002449D9">
        <w:rPr>
          <w:rFonts w:ascii="Arial" w:hAnsi="Arial" w:cs="Arial"/>
          <w:color w:val="000000"/>
          <w:sz w:val="24"/>
          <w:szCs w:val="24"/>
        </w:rPr>
        <w:t xml:space="preserve"> as an exemplar.</w:t>
      </w:r>
      <w:r w:rsidR="002449D9">
        <w:rPr>
          <w:rFonts w:ascii="Arial" w:hAnsi="Arial" w:cs="Arial"/>
          <w:color w:val="000000"/>
          <w:sz w:val="24"/>
          <w:szCs w:val="24"/>
        </w:rPr>
        <w:t xml:space="preserve"> </w:t>
      </w:r>
      <w:r w:rsidR="00E64EB0">
        <w:rPr>
          <w:rFonts w:ascii="Arial" w:hAnsi="Arial" w:cs="Arial"/>
          <w:color w:val="000000"/>
          <w:sz w:val="24"/>
          <w:szCs w:val="24"/>
        </w:rPr>
        <w:t>Th</w:t>
      </w:r>
      <w:r w:rsidR="00FA6484">
        <w:rPr>
          <w:rFonts w:ascii="Arial" w:hAnsi="Arial" w:cs="Arial"/>
          <w:color w:val="000000"/>
          <w:sz w:val="24"/>
          <w:szCs w:val="24"/>
        </w:rPr>
        <w:t xml:space="preserve">e Commission </w:t>
      </w:r>
      <w:r w:rsidR="002C0437">
        <w:rPr>
          <w:rFonts w:ascii="Arial" w:hAnsi="Arial" w:cs="Arial"/>
          <w:color w:val="000000"/>
          <w:sz w:val="24"/>
          <w:szCs w:val="24"/>
        </w:rPr>
        <w:t xml:space="preserve">should </w:t>
      </w:r>
      <w:r w:rsidR="002449D9">
        <w:rPr>
          <w:rFonts w:ascii="Arial" w:hAnsi="Arial" w:cs="Arial"/>
          <w:color w:val="000000"/>
          <w:sz w:val="24"/>
          <w:szCs w:val="24"/>
        </w:rPr>
        <w:t xml:space="preserve">also </w:t>
      </w:r>
      <w:r w:rsidR="002C0437">
        <w:rPr>
          <w:rFonts w:ascii="Arial" w:hAnsi="Arial" w:cs="Arial"/>
          <w:color w:val="000000"/>
          <w:sz w:val="24"/>
          <w:szCs w:val="24"/>
        </w:rPr>
        <w:t xml:space="preserve">undertake </w:t>
      </w:r>
      <w:r w:rsidR="00FA6484">
        <w:rPr>
          <w:rFonts w:ascii="Arial" w:hAnsi="Arial" w:cs="Arial"/>
          <w:color w:val="000000"/>
          <w:sz w:val="24"/>
          <w:szCs w:val="24"/>
        </w:rPr>
        <w:t>a co-</w:t>
      </w:r>
      <w:r w:rsidR="00E64EB0">
        <w:rPr>
          <w:rFonts w:ascii="Arial" w:hAnsi="Arial" w:cs="Arial"/>
          <w:color w:val="000000"/>
          <w:sz w:val="24"/>
          <w:szCs w:val="24"/>
        </w:rPr>
        <w:t>design process with key stakeholders.</w:t>
      </w:r>
    </w:p>
    <w:p w14:paraId="6DDF389A" w14:textId="1059F875" w:rsidR="00B02A38" w:rsidRDefault="00B02A38" w:rsidP="00B02A38">
      <w:pPr>
        <w:spacing w:before="120" w:after="120" w:line="240" w:lineRule="auto"/>
        <w:rPr>
          <w:rFonts w:ascii="Arial" w:hAnsi="Arial" w:cs="Arial"/>
          <w:sz w:val="24"/>
          <w:szCs w:val="24"/>
        </w:rPr>
      </w:pPr>
      <w:r>
        <w:rPr>
          <w:rFonts w:ascii="Arial" w:hAnsi="Arial" w:cs="Arial"/>
          <w:sz w:val="24"/>
          <w:szCs w:val="24"/>
        </w:rPr>
        <w:t>Strategic engagement between the Commission and the Department should be formalised into systematic arrangements to support regular joint committee meetings between the Commissioner and the Deputy Secretary, Ageing and Aged Care, and relevant sen</w:t>
      </w:r>
      <w:r w:rsidR="003F5CF5">
        <w:rPr>
          <w:rFonts w:ascii="Arial" w:hAnsi="Arial" w:cs="Arial"/>
          <w:sz w:val="24"/>
          <w:szCs w:val="24"/>
        </w:rPr>
        <w:t>i</w:t>
      </w:r>
      <w:r>
        <w:rPr>
          <w:rFonts w:ascii="Arial" w:hAnsi="Arial" w:cs="Arial"/>
          <w:sz w:val="24"/>
          <w:szCs w:val="24"/>
        </w:rPr>
        <w:t xml:space="preserve">or staff. The </w:t>
      </w:r>
      <w:r w:rsidR="0073073B">
        <w:rPr>
          <w:rFonts w:ascii="Arial" w:hAnsi="Arial" w:cs="Arial"/>
          <w:sz w:val="24"/>
          <w:szCs w:val="24"/>
        </w:rPr>
        <w:t>Joint Strategic C</w:t>
      </w:r>
      <w:r>
        <w:rPr>
          <w:rFonts w:ascii="Arial" w:hAnsi="Arial" w:cs="Arial"/>
          <w:sz w:val="24"/>
          <w:szCs w:val="24"/>
        </w:rPr>
        <w:t xml:space="preserve">ommittee should address priorities, emerging risks and challenges, resourcing </w:t>
      </w:r>
      <w:r w:rsidR="006246AC">
        <w:rPr>
          <w:rFonts w:ascii="Arial" w:hAnsi="Arial" w:cs="Arial"/>
          <w:sz w:val="24"/>
          <w:szCs w:val="24"/>
        </w:rPr>
        <w:t>(</w:t>
      </w:r>
      <w:r>
        <w:rPr>
          <w:rFonts w:ascii="Arial" w:hAnsi="Arial" w:cs="Arial"/>
          <w:sz w:val="24"/>
          <w:szCs w:val="24"/>
        </w:rPr>
        <w:t>including new policy proposals</w:t>
      </w:r>
      <w:r w:rsidR="00FD14B4">
        <w:rPr>
          <w:rFonts w:ascii="Arial" w:hAnsi="Arial" w:cs="Arial"/>
          <w:sz w:val="24"/>
          <w:szCs w:val="24"/>
        </w:rPr>
        <w:t>)</w:t>
      </w:r>
      <w:r>
        <w:rPr>
          <w:rFonts w:ascii="Arial" w:hAnsi="Arial" w:cs="Arial"/>
          <w:sz w:val="24"/>
          <w:szCs w:val="24"/>
        </w:rPr>
        <w:t>, roles and responsibilities (</w:t>
      </w:r>
      <w:r w:rsidR="002449D9">
        <w:rPr>
          <w:rFonts w:ascii="Arial" w:hAnsi="Arial" w:cs="Arial"/>
          <w:sz w:val="24"/>
          <w:szCs w:val="24"/>
        </w:rPr>
        <w:t xml:space="preserve">particularly in relation to </w:t>
      </w:r>
      <w:r>
        <w:rPr>
          <w:rFonts w:ascii="Arial" w:hAnsi="Arial" w:cs="Arial"/>
          <w:sz w:val="24"/>
          <w:szCs w:val="24"/>
        </w:rPr>
        <w:t>stewardship and provider education)</w:t>
      </w:r>
      <w:r w:rsidR="00FA6484">
        <w:rPr>
          <w:rFonts w:ascii="Arial" w:hAnsi="Arial" w:cs="Arial"/>
          <w:sz w:val="24"/>
          <w:szCs w:val="24"/>
        </w:rPr>
        <w:t>,</w:t>
      </w:r>
      <w:r w:rsidR="00E64EB0">
        <w:rPr>
          <w:rFonts w:ascii="Arial" w:hAnsi="Arial" w:cs="Arial"/>
          <w:sz w:val="24"/>
          <w:szCs w:val="24"/>
        </w:rPr>
        <w:t xml:space="preserve"> provide </w:t>
      </w:r>
      <w:r>
        <w:rPr>
          <w:rFonts w:ascii="Arial" w:hAnsi="Arial" w:cs="Arial"/>
          <w:sz w:val="24"/>
          <w:szCs w:val="24"/>
        </w:rPr>
        <w:t>resolution of issues</w:t>
      </w:r>
      <w:r w:rsidR="008B0574">
        <w:rPr>
          <w:rFonts w:ascii="Arial" w:hAnsi="Arial" w:cs="Arial"/>
          <w:sz w:val="24"/>
          <w:szCs w:val="24"/>
        </w:rPr>
        <w:t xml:space="preserve"> (such as the regulation of Infection Prevention and Control)</w:t>
      </w:r>
      <w:r w:rsidR="00E64EB0">
        <w:rPr>
          <w:rFonts w:ascii="Arial" w:hAnsi="Arial" w:cs="Arial"/>
          <w:sz w:val="24"/>
          <w:szCs w:val="24"/>
        </w:rPr>
        <w:t>, and commission joint projects, such as data sharing.</w:t>
      </w:r>
    </w:p>
    <w:p w14:paraId="26E6CBD6" w14:textId="701477CF"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A </w:t>
      </w:r>
      <w:r w:rsidR="00E64EB0">
        <w:rPr>
          <w:rFonts w:ascii="Arial" w:hAnsi="Arial" w:cs="Arial"/>
          <w:sz w:val="24"/>
          <w:szCs w:val="24"/>
        </w:rPr>
        <w:t>critical</w:t>
      </w:r>
      <w:r>
        <w:rPr>
          <w:rFonts w:ascii="Arial" w:hAnsi="Arial" w:cs="Arial"/>
          <w:sz w:val="24"/>
          <w:szCs w:val="24"/>
        </w:rPr>
        <w:t xml:space="preserve"> piece of work </w:t>
      </w:r>
      <w:r w:rsidR="00E64EB0">
        <w:rPr>
          <w:rFonts w:ascii="Arial" w:hAnsi="Arial" w:cs="Arial"/>
          <w:sz w:val="24"/>
          <w:szCs w:val="24"/>
        </w:rPr>
        <w:t>is</w:t>
      </w:r>
      <w:r>
        <w:rPr>
          <w:rFonts w:ascii="Arial" w:hAnsi="Arial" w:cs="Arial"/>
          <w:sz w:val="24"/>
          <w:szCs w:val="24"/>
        </w:rPr>
        <w:t xml:space="preserve"> to update the </w:t>
      </w:r>
      <w:r w:rsidR="00D33D59">
        <w:rPr>
          <w:rFonts w:ascii="Arial" w:hAnsi="Arial" w:cs="Arial"/>
          <w:sz w:val="24"/>
          <w:szCs w:val="24"/>
        </w:rPr>
        <w:t xml:space="preserve">overarching </w:t>
      </w:r>
      <w:r>
        <w:rPr>
          <w:rFonts w:ascii="Arial" w:hAnsi="Arial" w:cs="Arial"/>
          <w:sz w:val="24"/>
          <w:szCs w:val="24"/>
        </w:rPr>
        <w:t xml:space="preserve">MoU </w:t>
      </w:r>
      <w:r w:rsidR="00D33D59">
        <w:rPr>
          <w:rFonts w:ascii="Arial" w:hAnsi="Arial" w:cs="Arial"/>
          <w:sz w:val="24"/>
          <w:szCs w:val="24"/>
        </w:rPr>
        <w:t xml:space="preserve">between the Commission and the Department </w:t>
      </w:r>
      <w:r>
        <w:rPr>
          <w:rFonts w:ascii="Arial" w:hAnsi="Arial" w:cs="Arial"/>
          <w:sz w:val="24"/>
          <w:szCs w:val="24"/>
        </w:rPr>
        <w:t xml:space="preserve">to include clear role clarification, collaborative strategic and operational working arrangements, escalation points and resolution processes. </w:t>
      </w:r>
    </w:p>
    <w:p w14:paraId="7F26A435" w14:textId="1263E028" w:rsidR="00B02A38" w:rsidRPr="00EB4C10" w:rsidRDefault="00B02A38" w:rsidP="00B02548">
      <w:pPr>
        <w:spacing w:before="120" w:after="120" w:line="240" w:lineRule="auto"/>
        <w:textAlignment w:val="baseline"/>
        <w:rPr>
          <w:rFonts w:ascii="Arial" w:hAnsi="Arial" w:cs="Arial"/>
          <w:sz w:val="24"/>
          <w:szCs w:val="24"/>
        </w:rPr>
      </w:pPr>
      <w:r w:rsidRPr="00EB4C10">
        <w:rPr>
          <w:rFonts w:ascii="Arial" w:hAnsi="Arial" w:cs="Arial"/>
          <w:b/>
          <w:bCs/>
          <w:sz w:val="24"/>
          <w:szCs w:val="24"/>
        </w:rPr>
        <w:t xml:space="preserve">Recommendation </w:t>
      </w:r>
      <w:r w:rsidR="00321162" w:rsidRPr="00EB4C10">
        <w:rPr>
          <w:rFonts w:ascii="Arial" w:hAnsi="Arial" w:cs="Arial"/>
          <w:b/>
          <w:bCs/>
          <w:sz w:val="24"/>
          <w:szCs w:val="24"/>
        </w:rPr>
        <w:t>4</w:t>
      </w:r>
      <w:r w:rsidRPr="00EB4C10">
        <w:rPr>
          <w:rFonts w:ascii="Arial" w:hAnsi="Arial" w:cs="Arial"/>
          <w:b/>
          <w:bCs/>
          <w:sz w:val="24"/>
          <w:szCs w:val="24"/>
        </w:rPr>
        <w:t xml:space="preserve">.1: </w:t>
      </w:r>
      <w:r w:rsidRPr="00EB4C10">
        <w:rPr>
          <w:rFonts w:ascii="Arial" w:hAnsi="Arial" w:cs="Arial"/>
          <w:sz w:val="24"/>
          <w:szCs w:val="24"/>
        </w:rPr>
        <w:t xml:space="preserve">The Commission </w:t>
      </w:r>
      <w:r w:rsidR="00C11C80">
        <w:rPr>
          <w:rFonts w:ascii="Arial" w:hAnsi="Arial" w:cs="Arial"/>
          <w:sz w:val="24"/>
          <w:szCs w:val="24"/>
        </w:rPr>
        <w:t>to</w:t>
      </w:r>
      <w:r w:rsidRPr="00EB4C10">
        <w:rPr>
          <w:rFonts w:ascii="Arial" w:hAnsi="Arial" w:cs="Arial"/>
          <w:sz w:val="24"/>
          <w:szCs w:val="24"/>
        </w:rPr>
        <w:t xml:space="preserve"> review and update its purpose, role and responsibilities statements, and review and update its website and other communication products to provide greater clarity about its place in the broader aged care system. </w:t>
      </w:r>
    </w:p>
    <w:p w14:paraId="1A2F1DBE" w14:textId="0FB536ED" w:rsidR="00806632" w:rsidRPr="00806632" w:rsidRDefault="00806632" w:rsidP="001750D5">
      <w:pPr>
        <w:widowControl w:val="0"/>
        <w:numPr>
          <w:ilvl w:val="0"/>
          <w:numId w:val="5"/>
        </w:numPr>
        <w:autoSpaceDE w:val="0"/>
        <w:autoSpaceDN w:val="0"/>
        <w:spacing w:before="120" w:after="120" w:line="240" w:lineRule="auto"/>
        <w:rPr>
          <w:rFonts w:ascii="Arial" w:hAnsi="Arial" w:cs="Arial"/>
          <w:sz w:val="24"/>
          <w:szCs w:val="24"/>
          <w:lang w:eastAsia="en-AU"/>
        </w:rPr>
      </w:pPr>
      <w:r w:rsidRPr="00806632">
        <w:rPr>
          <w:rFonts w:ascii="Arial" w:hAnsi="Arial" w:cs="Arial"/>
          <w:sz w:val="24"/>
          <w:szCs w:val="24"/>
          <w:lang w:eastAsia="en-AU"/>
        </w:rPr>
        <w:t xml:space="preserve">The changes should be incorporated into the proposed new Communications and Engagement Strategy (see </w:t>
      </w:r>
      <w:r w:rsidR="00987DE8">
        <w:rPr>
          <w:rFonts w:ascii="Arial" w:hAnsi="Arial" w:cs="Arial"/>
          <w:sz w:val="24"/>
          <w:szCs w:val="24"/>
          <w:lang w:eastAsia="en-AU"/>
        </w:rPr>
        <w:t>Section</w:t>
      </w:r>
      <w:r w:rsidR="00987DE8" w:rsidRPr="00806632">
        <w:rPr>
          <w:rFonts w:ascii="Arial" w:hAnsi="Arial" w:cs="Arial"/>
          <w:sz w:val="24"/>
          <w:szCs w:val="24"/>
          <w:lang w:eastAsia="en-AU"/>
        </w:rPr>
        <w:t xml:space="preserve"> </w:t>
      </w:r>
      <w:r w:rsidRPr="00806632">
        <w:rPr>
          <w:rFonts w:ascii="Arial" w:hAnsi="Arial" w:cs="Arial"/>
          <w:sz w:val="24"/>
          <w:szCs w:val="24"/>
          <w:lang w:eastAsia="en-AU"/>
        </w:rPr>
        <w:t>4.11 and Recommendation 4.14).</w:t>
      </w:r>
    </w:p>
    <w:p w14:paraId="51E1DC37" w14:textId="23CA1A5B" w:rsidR="00D33D59" w:rsidRDefault="00D33D59" w:rsidP="001750D5">
      <w:pPr>
        <w:widowControl w:val="0"/>
        <w:numPr>
          <w:ilvl w:val="0"/>
          <w:numId w:val="5"/>
        </w:numPr>
        <w:autoSpaceDE w:val="0"/>
        <w:autoSpaceDN w:val="0"/>
        <w:spacing w:before="120" w:after="120" w:line="240" w:lineRule="auto"/>
        <w:rPr>
          <w:rFonts w:ascii="Arial" w:hAnsi="Arial" w:cs="Arial"/>
          <w:sz w:val="24"/>
          <w:szCs w:val="24"/>
          <w:lang w:eastAsia="en-AU"/>
        </w:rPr>
      </w:pPr>
      <w:r w:rsidRPr="00EB4C10">
        <w:rPr>
          <w:rFonts w:ascii="Arial" w:hAnsi="Arial" w:cs="Arial"/>
          <w:sz w:val="24"/>
          <w:szCs w:val="24"/>
          <w:lang w:eastAsia="en-AU"/>
        </w:rPr>
        <w:t>The changes should align with the introduction of the new Aged Care Act which will require extensive website and communication product updates, scheduled for 1 July 2024.</w:t>
      </w:r>
    </w:p>
    <w:p w14:paraId="087692CC" w14:textId="76AC4D1C" w:rsidR="00B02A38" w:rsidRPr="00EB4C10" w:rsidRDefault="00B02A38" w:rsidP="00B02A38">
      <w:pPr>
        <w:spacing w:before="120" w:after="120" w:line="240" w:lineRule="auto"/>
        <w:rPr>
          <w:rFonts w:ascii="Arial" w:hAnsi="Arial" w:cs="Arial"/>
          <w:sz w:val="24"/>
          <w:szCs w:val="24"/>
        </w:rPr>
      </w:pPr>
      <w:r w:rsidRPr="00EB4C10">
        <w:rPr>
          <w:rFonts w:ascii="Arial" w:hAnsi="Arial" w:cs="Arial"/>
          <w:b/>
          <w:bCs/>
          <w:sz w:val="24"/>
          <w:szCs w:val="24"/>
        </w:rPr>
        <w:t xml:space="preserve">Recommendation </w:t>
      </w:r>
      <w:r w:rsidR="00321162" w:rsidRPr="00EB4C10">
        <w:rPr>
          <w:rFonts w:ascii="Arial" w:hAnsi="Arial" w:cs="Arial"/>
          <w:b/>
          <w:bCs/>
          <w:sz w:val="24"/>
          <w:szCs w:val="24"/>
        </w:rPr>
        <w:t>4</w:t>
      </w:r>
      <w:r w:rsidRPr="00EB4C10">
        <w:rPr>
          <w:rFonts w:ascii="Arial" w:hAnsi="Arial" w:cs="Arial"/>
          <w:b/>
          <w:bCs/>
          <w:sz w:val="24"/>
          <w:szCs w:val="24"/>
        </w:rPr>
        <w:t>.2:</w:t>
      </w:r>
      <w:r w:rsidRPr="00EB4C10">
        <w:rPr>
          <w:rFonts w:ascii="Arial" w:hAnsi="Arial" w:cs="Arial"/>
          <w:sz w:val="24"/>
          <w:szCs w:val="24"/>
        </w:rPr>
        <w:t xml:space="preserve"> The </w:t>
      </w:r>
      <w:r w:rsidR="000B04F5">
        <w:rPr>
          <w:rFonts w:ascii="Arial" w:hAnsi="Arial" w:cs="Arial"/>
          <w:sz w:val="24"/>
          <w:szCs w:val="24"/>
        </w:rPr>
        <w:t>Department and the Commission</w:t>
      </w:r>
      <w:r w:rsidRPr="00EB4C10">
        <w:rPr>
          <w:rFonts w:ascii="Arial" w:hAnsi="Arial" w:cs="Arial"/>
          <w:sz w:val="24"/>
          <w:szCs w:val="24"/>
        </w:rPr>
        <w:t xml:space="preserve"> </w:t>
      </w:r>
      <w:r w:rsidR="00C11C80">
        <w:rPr>
          <w:rFonts w:ascii="Arial" w:hAnsi="Arial" w:cs="Arial"/>
          <w:sz w:val="24"/>
          <w:szCs w:val="24"/>
        </w:rPr>
        <w:t>to</w:t>
      </w:r>
      <w:r w:rsidR="00D33D59" w:rsidRPr="00EB4C10">
        <w:rPr>
          <w:rFonts w:ascii="Arial" w:hAnsi="Arial" w:cs="Arial"/>
          <w:sz w:val="24"/>
          <w:szCs w:val="24"/>
        </w:rPr>
        <w:t xml:space="preserve"> </w:t>
      </w:r>
      <w:r w:rsidRPr="00EB4C10">
        <w:rPr>
          <w:rFonts w:ascii="Arial" w:hAnsi="Arial" w:cs="Arial"/>
          <w:sz w:val="24"/>
          <w:szCs w:val="24"/>
        </w:rPr>
        <w:t xml:space="preserve">establish a joint strategic policy and operational committee </w:t>
      </w:r>
      <w:r w:rsidR="0073073B">
        <w:rPr>
          <w:rFonts w:ascii="Arial" w:hAnsi="Arial" w:cs="Arial"/>
          <w:sz w:val="24"/>
          <w:szCs w:val="24"/>
        </w:rPr>
        <w:t xml:space="preserve">(Joint Strategic Committee) </w:t>
      </w:r>
      <w:r w:rsidRPr="00EB4C10">
        <w:rPr>
          <w:rFonts w:ascii="Arial" w:hAnsi="Arial" w:cs="Arial"/>
          <w:sz w:val="24"/>
          <w:szCs w:val="24"/>
        </w:rPr>
        <w:t>and update the</w:t>
      </w:r>
      <w:r w:rsidR="00D33D59" w:rsidRPr="00EB4C10">
        <w:rPr>
          <w:rFonts w:ascii="Arial" w:hAnsi="Arial" w:cs="Arial"/>
          <w:sz w:val="24"/>
          <w:szCs w:val="24"/>
        </w:rPr>
        <w:t>ir overarching MoU</w:t>
      </w:r>
      <w:r w:rsidRPr="00EB4C10">
        <w:rPr>
          <w:rFonts w:ascii="Arial" w:hAnsi="Arial" w:cs="Arial"/>
          <w:sz w:val="24"/>
          <w:szCs w:val="24"/>
        </w:rPr>
        <w:t xml:space="preserve">. </w:t>
      </w:r>
    </w:p>
    <w:p w14:paraId="289A6739" w14:textId="3B164817" w:rsidR="00D33D59" w:rsidRPr="00EB4C10" w:rsidRDefault="00D33D59" w:rsidP="001750D5">
      <w:pPr>
        <w:widowControl w:val="0"/>
        <w:numPr>
          <w:ilvl w:val="0"/>
          <w:numId w:val="5"/>
        </w:numPr>
        <w:autoSpaceDE w:val="0"/>
        <w:autoSpaceDN w:val="0"/>
        <w:spacing w:before="120" w:after="120" w:line="240" w:lineRule="auto"/>
        <w:rPr>
          <w:rFonts w:ascii="Arial" w:hAnsi="Arial" w:cs="Arial"/>
          <w:sz w:val="24"/>
          <w:szCs w:val="24"/>
        </w:rPr>
      </w:pPr>
      <w:r w:rsidRPr="00EB4C10">
        <w:rPr>
          <w:rFonts w:ascii="Arial" w:hAnsi="Arial" w:cs="Arial"/>
          <w:sz w:val="24"/>
          <w:szCs w:val="24"/>
        </w:rPr>
        <w:t xml:space="preserve">The </w:t>
      </w:r>
      <w:r w:rsidR="0073073B">
        <w:rPr>
          <w:rFonts w:ascii="Arial" w:hAnsi="Arial" w:cs="Arial"/>
          <w:sz w:val="24"/>
          <w:szCs w:val="24"/>
        </w:rPr>
        <w:t>J</w:t>
      </w:r>
      <w:r w:rsidRPr="00EB4C10">
        <w:rPr>
          <w:rFonts w:ascii="Arial" w:hAnsi="Arial" w:cs="Arial"/>
          <w:sz w:val="24"/>
          <w:szCs w:val="24"/>
        </w:rPr>
        <w:t xml:space="preserve">oint </w:t>
      </w:r>
      <w:r w:rsidR="0073073B">
        <w:rPr>
          <w:rFonts w:ascii="Arial" w:hAnsi="Arial" w:cs="Arial"/>
          <w:sz w:val="24"/>
          <w:szCs w:val="24"/>
        </w:rPr>
        <w:t>Strategic C</w:t>
      </w:r>
      <w:r w:rsidRPr="00EB4C10">
        <w:rPr>
          <w:rFonts w:ascii="Arial" w:hAnsi="Arial" w:cs="Arial"/>
          <w:sz w:val="24"/>
          <w:szCs w:val="24"/>
        </w:rPr>
        <w:t>ommittee should be established by 1 July 2023</w:t>
      </w:r>
      <w:r w:rsidR="00806632">
        <w:rPr>
          <w:rFonts w:ascii="Arial" w:hAnsi="Arial" w:cs="Arial"/>
          <w:sz w:val="24"/>
          <w:szCs w:val="24"/>
        </w:rPr>
        <w:t xml:space="preserve"> and should meet at least quarterly</w:t>
      </w:r>
      <w:r w:rsidRPr="00EB4C10">
        <w:rPr>
          <w:rFonts w:ascii="Arial" w:hAnsi="Arial" w:cs="Arial"/>
          <w:sz w:val="24"/>
          <w:szCs w:val="24"/>
        </w:rPr>
        <w:t>.</w:t>
      </w:r>
    </w:p>
    <w:p w14:paraId="6BCA5FBE" w14:textId="2D0AE331" w:rsidR="00D33D59" w:rsidRPr="00EB4C10" w:rsidRDefault="00D33D59" w:rsidP="001750D5">
      <w:pPr>
        <w:widowControl w:val="0"/>
        <w:numPr>
          <w:ilvl w:val="0"/>
          <w:numId w:val="5"/>
        </w:numPr>
        <w:autoSpaceDE w:val="0"/>
        <w:autoSpaceDN w:val="0"/>
        <w:spacing w:before="120" w:after="120" w:line="240" w:lineRule="auto"/>
        <w:rPr>
          <w:rFonts w:ascii="Arial" w:hAnsi="Arial" w:cs="Arial"/>
          <w:sz w:val="24"/>
          <w:szCs w:val="24"/>
        </w:rPr>
      </w:pPr>
      <w:r w:rsidRPr="00EB4C10">
        <w:rPr>
          <w:rFonts w:ascii="Arial" w:hAnsi="Arial" w:cs="Arial"/>
          <w:sz w:val="24"/>
          <w:szCs w:val="24"/>
        </w:rPr>
        <w:t>The MoU should be updated by 30 September 2023.</w:t>
      </w:r>
    </w:p>
    <w:p w14:paraId="52E285A7" w14:textId="27F54655" w:rsidR="00B02A38" w:rsidRPr="00A00298" w:rsidRDefault="00A2358A" w:rsidP="00A00298">
      <w:pPr>
        <w:rPr>
          <w:rFonts w:ascii="Arial" w:hAnsi="Arial" w:cs="Arial"/>
          <w:b/>
          <w:bCs/>
          <w:sz w:val="28"/>
          <w:szCs w:val="28"/>
        </w:rPr>
      </w:pPr>
      <w:bookmarkStart w:id="13" w:name="_Toc128641750"/>
      <w:bookmarkStart w:id="14" w:name="_Hlk128579690"/>
      <w:r w:rsidRPr="00A00298">
        <w:rPr>
          <w:rFonts w:ascii="Arial" w:hAnsi="Arial" w:cs="Arial"/>
          <w:b/>
          <w:bCs/>
          <w:sz w:val="28"/>
          <w:szCs w:val="28"/>
        </w:rPr>
        <w:lastRenderedPageBreak/>
        <w:t>4</w:t>
      </w:r>
      <w:r w:rsidR="00B02A38" w:rsidRPr="00A00298">
        <w:rPr>
          <w:rFonts w:ascii="Arial" w:hAnsi="Arial" w:cs="Arial"/>
          <w:b/>
          <w:bCs/>
          <w:sz w:val="28"/>
          <w:szCs w:val="28"/>
        </w:rPr>
        <w:t>.</w:t>
      </w:r>
      <w:r w:rsidR="009449D9" w:rsidRPr="00A00298">
        <w:rPr>
          <w:rFonts w:ascii="Arial" w:hAnsi="Arial" w:cs="Arial"/>
          <w:b/>
          <w:bCs/>
          <w:sz w:val="28"/>
          <w:szCs w:val="28"/>
        </w:rPr>
        <w:t>2</w:t>
      </w:r>
      <w:r w:rsidR="00B02A38" w:rsidRPr="00A00298">
        <w:rPr>
          <w:rFonts w:ascii="Arial" w:hAnsi="Arial" w:cs="Arial"/>
          <w:b/>
          <w:bCs/>
          <w:sz w:val="28"/>
          <w:szCs w:val="28"/>
        </w:rPr>
        <w:t xml:space="preserve"> Strategic, visible leadership, </w:t>
      </w:r>
      <w:r w:rsidR="00386957" w:rsidRPr="00A00298">
        <w:rPr>
          <w:rFonts w:ascii="Arial" w:hAnsi="Arial" w:cs="Arial"/>
          <w:b/>
          <w:bCs/>
          <w:sz w:val="28"/>
          <w:szCs w:val="28"/>
        </w:rPr>
        <w:t xml:space="preserve">and </w:t>
      </w:r>
      <w:r w:rsidR="00B02A38" w:rsidRPr="00A00298">
        <w:rPr>
          <w:rFonts w:ascii="Arial" w:hAnsi="Arial" w:cs="Arial"/>
          <w:b/>
          <w:bCs/>
          <w:sz w:val="28"/>
          <w:szCs w:val="28"/>
        </w:rPr>
        <w:t>supportive organisational structure and culture</w:t>
      </w:r>
      <w:bookmarkEnd w:id="13"/>
    </w:p>
    <w:p w14:paraId="572E2764" w14:textId="31C22595" w:rsidR="00B02A38" w:rsidRDefault="00B02A38" w:rsidP="00B02A38">
      <w:pPr>
        <w:spacing w:before="120" w:after="120" w:line="240" w:lineRule="auto"/>
        <w:rPr>
          <w:rFonts w:ascii="Arial" w:hAnsi="Arial" w:cs="Arial"/>
          <w:sz w:val="24"/>
          <w:szCs w:val="24"/>
        </w:rPr>
      </w:pPr>
      <w:r>
        <w:rPr>
          <w:rFonts w:ascii="Arial" w:hAnsi="Arial" w:cs="Arial"/>
          <w:sz w:val="24"/>
          <w:szCs w:val="24"/>
        </w:rPr>
        <w:t>A high performing regulatory organisation would, in my view, have a leadership team that:</w:t>
      </w:r>
    </w:p>
    <w:p w14:paraId="20AA0B5C" w14:textId="74D0CFCB" w:rsidR="00B02A38" w:rsidRPr="005F18D0" w:rsidRDefault="002449D9"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Pr>
          <w:rFonts w:ascii="Arial" w:eastAsia="Proxima Nova" w:hAnsi="Arial" w:cs="Arial"/>
          <w:sz w:val="24"/>
          <w:szCs w:val="24"/>
          <w:lang w:val="en-US"/>
        </w:rPr>
        <w:t xml:space="preserve">is </w:t>
      </w:r>
      <w:r w:rsidR="00B02A38" w:rsidRPr="005F18D0">
        <w:rPr>
          <w:rFonts w:ascii="Arial" w:eastAsia="Proxima Nova" w:hAnsi="Arial" w:cs="Arial"/>
          <w:sz w:val="24"/>
          <w:szCs w:val="24"/>
          <w:lang w:val="en-US"/>
        </w:rPr>
        <w:t>visible, both internally to all staff and externally to the sector and community more generally</w:t>
      </w:r>
    </w:p>
    <w:p w14:paraId="36828EB5" w14:textId="4A8B8C3B" w:rsidR="00B02A38" w:rsidRPr="005F18D0" w:rsidRDefault="00B02A38"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5F18D0">
        <w:rPr>
          <w:rFonts w:ascii="Arial" w:eastAsia="Proxima Nova" w:hAnsi="Arial" w:cs="Arial"/>
          <w:sz w:val="24"/>
          <w:szCs w:val="24"/>
          <w:lang w:val="en-US"/>
        </w:rPr>
        <w:t xml:space="preserve">is </w:t>
      </w:r>
      <w:r w:rsidR="005F18D0" w:rsidRPr="005F18D0">
        <w:rPr>
          <w:rFonts w:ascii="Arial" w:eastAsia="Proxima Nova" w:hAnsi="Arial" w:cs="Arial"/>
          <w:sz w:val="24"/>
          <w:szCs w:val="24"/>
          <w:lang w:val="en-US"/>
        </w:rPr>
        <w:t>focused</w:t>
      </w:r>
      <w:r w:rsidRPr="005F18D0">
        <w:rPr>
          <w:rFonts w:ascii="Arial" w:eastAsia="Proxima Nova" w:hAnsi="Arial" w:cs="Arial"/>
          <w:sz w:val="24"/>
          <w:szCs w:val="24"/>
          <w:lang w:val="en-US"/>
        </w:rPr>
        <w:t xml:space="preserve"> on the bigger regulatory picture and is therefore strategic in its operations and posture</w:t>
      </w:r>
    </w:p>
    <w:p w14:paraId="49A977C4" w14:textId="1F4BFE77" w:rsidR="00B02A38" w:rsidRPr="005F18D0" w:rsidRDefault="005F18D0"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Pr>
          <w:rFonts w:ascii="Arial" w:eastAsia="Proxima Nova" w:hAnsi="Arial" w:cs="Arial"/>
          <w:sz w:val="24"/>
          <w:szCs w:val="24"/>
          <w:lang w:val="en-US"/>
        </w:rPr>
        <w:t>s</w:t>
      </w:r>
      <w:r w:rsidR="00B02A38" w:rsidRPr="005F18D0">
        <w:rPr>
          <w:rFonts w:ascii="Arial" w:eastAsia="Proxima Nova" w:hAnsi="Arial" w:cs="Arial"/>
          <w:sz w:val="24"/>
          <w:szCs w:val="24"/>
          <w:lang w:val="en-US"/>
        </w:rPr>
        <w:t>upports and empowers decision-making at appropriate levels</w:t>
      </w:r>
      <w:r>
        <w:rPr>
          <w:rFonts w:ascii="Arial" w:eastAsia="Proxima Nova" w:hAnsi="Arial" w:cs="Arial"/>
          <w:sz w:val="24"/>
          <w:szCs w:val="24"/>
          <w:lang w:val="en-US"/>
        </w:rPr>
        <w:t xml:space="preserve">, </w:t>
      </w:r>
      <w:r w:rsidR="00B02A38" w:rsidRPr="005F18D0">
        <w:rPr>
          <w:rFonts w:ascii="Arial" w:eastAsia="Proxima Nova" w:hAnsi="Arial" w:cs="Arial"/>
          <w:sz w:val="24"/>
          <w:szCs w:val="24"/>
          <w:lang w:val="en-US"/>
        </w:rPr>
        <w:t>and</w:t>
      </w:r>
    </w:p>
    <w:p w14:paraId="05647505" w14:textId="05A62334" w:rsidR="00B02A38" w:rsidRPr="005F18D0" w:rsidRDefault="00B02A38" w:rsidP="001750D5">
      <w:pPr>
        <w:widowControl w:val="0"/>
        <w:numPr>
          <w:ilvl w:val="0"/>
          <w:numId w:val="5"/>
        </w:numPr>
        <w:autoSpaceDE w:val="0"/>
        <w:autoSpaceDN w:val="0"/>
        <w:spacing w:before="120" w:after="120" w:line="240" w:lineRule="auto"/>
        <w:rPr>
          <w:rFonts w:ascii="Arial" w:eastAsia="Proxima Nova" w:hAnsi="Arial" w:cs="Arial"/>
          <w:sz w:val="24"/>
          <w:szCs w:val="24"/>
          <w:lang w:val="en-US"/>
        </w:rPr>
      </w:pPr>
      <w:r w:rsidRPr="005F18D0">
        <w:rPr>
          <w:rFonts w:ascii="Arial" w:eastAsia="Proxima Nova" w:hAnsi="Arial" w:cs="Arial"/>
          <w:sz w:val="24"/>
          <w:szCs w:val="24"/>
          <w:lang w:val="en-US"/>
        </w:rPr>
        <w:t xml:space="preserve">has a cohesive, supportive, </w:t>
      </w:r>
      <w:proofErr w:type="gramStart"/>
      <w:r w:rsidRPr="005F18D0">
        <w:rPr>
          <w:rFonts w:ascii="Arial" w:eastAsia="Proxima Nova" w:hAnsi="Arial" w:cs="Arial"/>
          <w:sz w:val="24"/>
          <w:szCs w:val="24"/>
          <w:lang w:val="en-US"/>
        </w:rPr>
        <w:t>transparent</w:t>
      </w:r>
      <w:proofErr w:type="gramEnd"/>
      <w:r w:rsidRPr="005F18D0">
        <w:rPr>
          <w:rFonts w:ascii="Arial" w:eastAsia="Proxima Nova" w:hAnsi="Arial" w:cs="Arial"/>
          <w:sz w:val="24"/>
          <w:szCs w:val="24"/>
          <w:lang w:val="en-US"/>
        </w:rPr>
        <w:t xml:space="preserve"> and accountable culture </w:t>
      </w:r>
      <w:r w:rsidR="002449D9">
        <w:rPr>
          <w:rFonts w:ascii="Arial" w:eastAsia="Proxima Nova" w:hAnsi="Arial" w:cs="Arial"/>
          <w:sz w:val="24"/>
          <w:szCs w:val="24"/>
          <w:lang w:val="en-US"/>
        </w:rPr>
        <w:t>which</w:t>
      </w:r>
      <w:r w:rsidRPr="005F18D0">
        <w:rPr>
          <w:rFonts w:ascii="Arial" w:eastAsia="Proxima Nova" w:hAnsi="Arial" w:cs="Arial"/>
          <w:sz w:val="24"/>
          <w:szCs w:val="24"/>
          <w:lang w:val="en-US"/>
        </w:rPr>
        <w:t xml:space="preserve"> is focused on ongoing continuous improvement.</w:t>
      </w:r>
    </w:p>
    <w:p w14:paraId="79E9F9FC" w14:textId="5D9431AD"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In addition, its organisational structure would support the creation and maintenance of that culture and assist in the organisation being agile and able to adapt to a changing environment, as well as clear lines of responsibility, </w:t>
      </w:r>
      <w:proofErr w:type="gramStart"/>
      <w:r>
        <w:rPr>
          <w:rFonts w:ascii="Arial" w:hAnsi="Arial" w:cs="Arial"/>
          <w:sz w:val="24"/>
          <w:szCs w:val="24"/>
        </w:rPr>
        <w:t>authority</w:t>
      </w:r>
      <w:proofErr w:type="gramEnd"/>
      <w:r>
        <w:rPr>
          <w:rFonts w:ascii="Arial" w:hAnsi="Arial" w:cs="Arial"/>
          <w:sz w:val="24"/>
          <w:szCs w:val="24"/>
        </w:rPr>
        <w:t xml:space="preserve"> and accountability. Internal governance arrangements would be visible, well-understood, make decisions on more detailed arrangements, and therefore enable and support the leadership team to focus on the strategic.</w:t>
      </w:r>
    </w:p>
    <w:p w14:paraId="20282917" w14:textId="584388FA" w:rsidR="00B02A38" w:rsidRDefault="00B02A38" w:rsidP="00B02A38">
      <w:pPr>
        <w:spacing w:before="120" w:after="120" w:line="240" w:lineRule="auto"/>
        <w:rPr>
          <w:rFonts w:ascii="Arial" w:hAnsi="Arial" w:cs="Arial"/>
          <w:sz w:val="24"/>
          <w:szCs w:val="24"/>
        </w:rPr>
      </w:pPr>
      <w:r>
        <w:rPr>
          <w:rFonts w:ascii="Arial" w:hAnsi="Arial" w:cs="Arial"/>
          <w:sz w:val="24"/>
          <w:szCs w:val="24"/>
        </w:rPr>
        <w:t>I note in this context, that recent APS discussions point to a move away from a traditional hierarchy to an organisational structure that is based on self-managing and agile principles</w:t>
      </w:r>
      <w:r w:rsidR="006F7AA2">
        <w:rPr>
          <w:rStyle w:val="FootnoteReference"/>
          <w:rFonts w:ascii="Arial" w:hAnsi="Arial" w:cs="Arial"/>
          <w:sz w:val="24"/>
          <w:szCs w:val="24"/>
        </w:rPr>
        <w:footnoteReference w:id="27"/>
      </w:r>
      <w:r>
        <w:rPr>
          <w:rFonts w:ascii="Arial" w:hAnsi="Arial" w:cs="Arial"/>
          <w:sz w:val="24"/>
          <w:szCs w:val="24"/>
        </w:rPr>
        <w:t>.</w:t>
      </w:r>
      <w:r w:rsidR="005F18D0">
        <w:rPr>
          <w:rFonts w:ascii="Arial" w:hAnsi="Arial" w:cs="Arial"/>
          <w:sz w:val="24"/>
          <w:szCs w:val="24"/>
        </w:rPr>
        <w:t xml:space="preserve"> </w:t>
      </w:r>
      <w:r>
        <w:rPr>
          <w:rFonts w:ascii="Arial" w:hAnsi="Arial" w:cs="Arial"/>
          <w:sz w:val="24"/>
          <w:szCs w:val="24"/>
        </w:rPr>
        <w:t>The APS Hierarchy and Classification Review argued that organisational structures should promote delegated decision-making, encourage responsibility to be exercised at the appropriate level and discourage “micro-managing”.</w:t>
      </w:r>
      <w:r w:rsidR="006F7AA2">
        <w:rPr>
          <w:rStyle w:val="FootnoteReference"/>
          <w:rFonts w:ascii="Arial" w:hAnsi="Arial" w:cs="Arial"/>
          <w:sz w:val="24"/>
          <w:szCs w:val="24"/>
        </w:rPr>
        <w:footnoteReference w:id="28"/>
      </w:r>
      <w:r>
        <w:rPr>
          <w:rFonts w:ascii="Arial" w:hAnsi="Arial" w:cs="Arial"/>
          <w:sz w:val="24"/>
          <w:szCs w:val="24"/>
        </w:rPr>
        <w:t xml:space="preserve"> This approach is supported</w:t>
      </w:r>
      <w:r w:rsidR="00BF6BB9">
        <w:rPr>
          <w:rFonts w:ascii="Arial" w:hAnsi="Arial" w:cs="Arial"/>
          <w:sz w:val="24"/>
          <w:szCs w:val="24"/>
        </w:rPr>
        <w:t xml:space="preserve"> by</w:t>
      </w:r>
      <w:r>
        <w:rPr>
          <w:rFonts w:ascii="Arial" w:hAnsi="Arial" w:cs="Arial"/>
          <w:sz w:val="24"/>
          <w:szCs w:val="24"/>
        </w:rPr>
        <w:t xml:space="preserve"> </w:t>
      </w:r>
      <w:r w:rsidR="00BF6BB9">
        <w:rPr>
          <w:rFonts w:ascii="Arial" w:hAnsi="Arial" w:cs="Arial"/>
          <w:sz w:val="24"/>
          <w:szCs w:val="24"/>
        </w:rPr>
        <w:t>Australian and New Zealand School of Government (</w:t>
      </w:r>
      <w:r>
        <w:rPr>
          <w:rFonts w:ascii="Arial" w:hAnsi="Arial" w:cs="Arial"/>
          <w:sz w:val="24"/>
          <w:szCs w:val="24"/>
        </w:rPr>
        <w:t>ANZSOG</w:t>
      </w:r>
      <w:r w:rsidR="00BF6BB9">
        <w:rPr>
          <w:rFonts w:ascii="Arial" w:hAnsi="Arial" w:cs="Arial"/>
          <w:sz w:val="24"/>
          <w:szCs w:val="24"/>
        </w:rPr>
        <w:t>)</w:t>
      </w:r>
      <w:r>
        <w:rPr>
          <w:rFonts w:ascii="Arial" w:hAnsi="Arial" w:cs="Arial"/>
          <w:sz w:val="24"/>
          <w:szCs w:val="24"/>
        </w:rPr>
        <w:t xml:space="preserve"> research on leadership capabilities for regulators</w:t>
      </w:r>
      <w:r w:rsidR="006F7AA2">
        <w:rPr>
          <w:rStyle w:val="FootnoteReference"/>
          <w:rFonts w:ascii="Arial" w:hAnsi="Arial" w:cs="Arial"/>
          <w:sz w:val="24"/>
          <w:szCs w:val="24"/>
        </w:rPr>
        <w:footnoteReference w:id="29"/>
      </w:r>
      <w:r>
        <w:rPr>
          <w:rFonts w:ascii="Arial" w:hAnsi="Arial" w:cs="Arial"/>
          <w:sz w:val="24"/>
          <w:szCs w:val="24"/>
        </w:rPr>
        <w:t xml:space="preserve">, the APS framework and the </w:t>
      </w:r>
      <w:r w:rsidR="00BF6BB9">
        <w:rPr>
          <w:rFonts w:ascii="Arial" w:hAnsi="Arial" w:cs="Arial"/>
          <w:sz w:val="24"/>
          <w:szCs w:val="24"/>
        </w:rPr>
        <w:t>Organisation for Economic Cooperation and Development’s (</w:t>
      </w:r>
      <w:r>
        <w:rPr>
          <w:rFonts w:ascii="Arial" w:hAnsi="Arial" w:cs="Arial"/>
          <w:sz w:val="24"/>
          <w:szCs w:val="24"/>
        </w:rPr>
        <w:t>OECD’s</w:t>
      </w:r>
      <w:r w:rsidR="00BF6BB9">
        <w:rPr>
          <w:rFonts w:ascii="Arial" w:hAnsi="Arial" w:cs="Arial"/>
          <w:sz w:val="24"/>
          <w:szCs w:val="24"/>
        </w:rPr>
        <w:t>)</w:t>
      </w:r>
      <w:r>
        <w:rPr>
          <w:rFonts w:ascii="Arial" w:hAnsi="Arial" w:cs="Arial"/>
          <w:sz w:val="24"/>
          <w:szCs w:val="24"/>
        </w:rPr>
        <w:t xml:space="preserve"> recommended capability set.</w:t>
      </w:r>
    </w:p>
    <w:p w14:paraId="3FBD2A9A" w14:textId="163EB68A"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 Australian Public Service Commission </w:t>
      </w:r>
      <w:r w:rsidR="00F15042">
        <w:rPr>
          <w:rFonts w:ascii="Arial" w:hAnsi="Arial" w:cs="Arial"/>
          <w:sz w:val="24"/>
          <w:szCs w:val="24"/>
        </w:rPr>
        <w:t>(</w:t>
      </w:r>
      <w:r w:rsidR="00767505">
        <w:rPr>
          <w:rFonts w:ascii="Arial" w:hAnsi="Arial" w:cs="Arial"/>
          <w:sz w:val="24"/>
          <w:szCs w:val="24"/>
        </w:rPr>
        <w:t>APSC)</w:t>
      </w:r>
      <w:r w:rsidR="00767505">
        <w:rPr>
          <w:rStyle w:val="FootnoteReference"/>
          <w:rFonts w:ascii="Arial" w:hAnsi="Arial" w:cs="Arial"/>
          <w:sz w:val="24"/>
          <w:szCs w:val="24"/>
        </w:rPr>
        <w:footnoteReference w:id="30"/>
      </w:r>
      <w:r w:rsidR="00767505">
        <w:rPr>
          <w:rFonts w:ascii="Arial" w:hAnsi="Arial" w:cs="Arial"/>
          <w:sz w:val="24"/>
          <w:szCs w:val="24"/>
        </w:rPr>
        <w:t xml:space="preserve"> describes </w:t>
      </w:r>
      <w:r>
        <w:rPr>
          <w:rFonts w:ascii="Arial" w:hAnsi="Arial" w:cs="Arial"/>
          <w:sz w:val="24"/>
          <w:szCs w:val="24"/>
        </w:rPr>
        <w:t>the bedrock of the APS as its culture</w:t>
      </w:r>
      <w:r w:rsidR="00967691">
        <w:rPr>
          <w:rFonts w:ascii="Arial" w:hAnsi="Arial" w:cs="Arial"/>
          <w:sz w:val="24"/>
          <w:szCs w:val="24"/>
        </w:rPr>
        <w:t xml:space="preserve">, </w:t>
      </w:r>
      <w:r>
        <w:rPr>
          <w:rFonts w:ascii="Arial" w:hAnsi="Arial" w:cs="Arial"/>
          <w:sz w:val="24"/>
          <w:szCs w:val="24"/>
        </w:rPr>
        <w:t>built on</w:t>
      </w:r>
      <w:r w:rsidR="00967691">
        <w:rPr>
          <w:rFonts w:ascii="Arial" w:hAnsi="Arial" w:cs="Arial"/>
          <w:sz w:val="24"/>
          <w:szCs w:val="24"/>
        </w:rPr>
        <w:t>:</w:t>
      </w:r>
      <w:r>
        <w:rPr>
          <w:rFonts w:ascii="Arial" w:hAnsi="Arial" w:cs="Arial"/>
          <w:sz w:val="24"/>
          <w:szCs w:val="24"/>
        </w:rPr>
        <w:t xml:space="preserve"> impartiality</w:t>
      </w:r>
      <w:r w:rsidR="005F18D0">
        <w:rPr>
          <w:rFonts w:ascii="Arial" w:hAnsi="Arial" w:cs="Arial"/>
          <w:sz w:val="24"/>
          <w:szCs w:val="24"/>
        </w:rPr>
        <w:t>;</w:t>
      </w:r>
      <w:r>
        <w:rPr>
          <w:rFonts w:ascii="Arial" w:hAnsi="Arial" w:cs="Arial"/>
          <w:sz w:val="24"/>
          <w:szCs w:val="24"/>
        </w:rPr>
        <w:t xml:space="preserve"> commitment to service</w:t>
      </w:r>
      <w:r w:rsidR="005F18D0">
        <w:rPr>
          <w:rFonts w:ascii="Arial" w:hAnsi="Arial" w:cs="Arial"/>
          <w:sz w:val="24"/>
          <w:szCs w:val="24"/>
        </w:rPr>
        <w:t>;</w:t>
      </w:r>
      <w:r>
        <w:rPr>
          <w:rFonts w:ascii="Arial" w:hAnsi="Arial" w:cs="Arial"/>
          <w:sz w:val="24"/>
          <w:szCs w:val="24"/>
        </w:rPr>
        <w:t xml:space="preserve"> accountability</w:t>
      </w:r>
      <w:r w:rsidR="005F18D0">
        <w:rPr>
          <w:rFonts w:ascii="Arial" w:hAnsi="Arial" w:cs="Arial"/>
          <w:sz w:val="24"/>
          <w:szCs w:val="24"/>
        </w:rPr>
        <w:t>;</w:t>
      </w:r>
      <w:r>
        <w:rPr>
          <w:rFonts w:ascii="Arial" w:hAnsi="Arial" w:cs="Arial"/>
          <w:sz w:val="24"/>
          <w:szCs w:val="24"/>
        </w:rPr>
        <w:t xml:space="preserve"> respect</w:t>
      </w:r>
      <w:r w:rsidR="005F18D0">
        <w:rPr>
          <w:rFonts w:ascii="Arial" w:hAnsi="Arial" w:cs="Arial"/>
          <w:sz w:val="24"/>
          <w:szCs w:val="24"/>
        </w:rPr>
        <w:t>;</w:t>
      </w:r>
      <w:r>
        <w:rPr>
          <w:rFonts w:ascii="Arial" w:hAnsi="Arial" w:cs="Arial"/>
          <w:sz w:val="24"/>
          <w:szCs w:val="24"/>
        </w:rPr>
        <w:t xml:space="preserve"> and the highest standards of ethical behaviour. The values of a regulator like the Commission should support decision-makers at all levels being empowered to develop their understanding of the regulatory environment and exercise the discretion required to implement a risk-based</w:t>
      </w:r>
      <w:r w:rsidR="002C0437">
        <w:rPr>
          <w:rFonts w:ascii="Arial" w:hAnsi="Arial" w:cs="Arial"/>
          <w:sz w:val="24"/>
          <w:szCs w:val="24"/>
        </w:rPr>
        <w:t>,</w:t>
      </w:r>
      <w:r>
        <w:rPr>
          <w:rFonts w:ascii="Arial" w:hAnsi="Arial" w:cs="Arial"/>
          <w:sz w:val="24"/>
          <w:szCs w:val="24"/>
        </w:rPr>
        <w:t xml:space="preserve"> people centred regulatory strategy. </w:t>
      </w:r>
    </w:p>
    <w:p w14:paraId="57182837" w14:textId="77777777"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This is a critical for protecting the regulator’s credibility and shaping the regulatory environment. </w:t>
      </w:r>
    </w:p>
    <w:p w14:paraId="54CBB0C1" w14:textId="77777777" w:rsidR="00B02A38" w:rsidRDefault="00B02A38" w:rsidP="00B02548">
      <w:pPr>
        <w:keepNext/>
        <w:spacing w:before="120" w:after="120" w:line="240" w:lineRule="auto"/>
        <w:rPr>
          <w:rFonts w:ascii="Arial" w:hAnsi="Arial" w:cs="Arial"/>
          <w:i/>
          <w:iCs/>
          <w:sz w:val="24"/>
          <w:szCs w:val="24"/>
        </w:rPr>
      </w:pPr>
      <w:r>
        <w:rPr>
          <w:rFonts w:ascii="Arial" w:hAnsi="Arial" w:cs="Arial"/>
          <w:i/>
          <w:iCs/>
          <w:sz w:val="24"/>
          <w:szCs w:val="24"/>
        </w:rPr>
        <w:lastRenderedPageBreak/>
        <w:t>What the Commission demonstrates now</w:t>
      </w:r>
    </w:p>
    <w:p w14:paraId="2548AFBC" w14:textId="4497EF9B" w:rsidR="00B02A38" w:rsidRDefault="00B02A38" w:rsidP="00B02548">
      <w:pPr>
        <w:keepLines/>
        <w:rPr>
          <w:rFonts w:ascii="Arial" w:hAnsi="Arial" w:cs="Arial"/>
          <w:sz w:val="24"/>
          <w:szCs w:val="24"/>
        </w:rPr>
      </w:pPr>
      <w:r>
        <w:rPr>
          <w:rFonts w:ascii="Arial" w:hAnsi="Arial" w:cs="Arial"/>
          <w:sz w:val="24"/>
          <w:szCs w:val="24"/>
        </w:rPr>
        <w:t xml:space="preserve">It is apparent that the Commission’s inaugural Commissioner has led the organisation through rapid change and crisis events such as </w:t>
      </w:r>
      <w:r w:rsidR="00BF6BB9">
        <w:rPr>
          <w:rFonts w:ascii="Arial" w:hAnsi="Arial" w:cs="Arial"/>
          <w:sz w:val="24"/>
          <w:szCs w:val="24"/>
        </w:rPr>
        <w:t xml:space="preserve">the </w:t>
      </w:r>
      <w:r>
        <w:rPr>
          <w:rFonts w:ascii="Arial" w:hAnsi="Arial" w:cs="Arial"/>
          <w:sz w:val="24"/>
          <w:szCs w:val="24"/>
        </w:rPr>
        <w:t>COVID</w:t>
      </w:r>
      <w:r w:rsidR="00526E5B">
        <w:rPr>
          <w:rFonts w:ascii="Arial" w:hAnsi="Arial" w:cs="Arial"/>
          <w:sz w:val="24"/>
          <w:szCs w:val="24"/>
        </w:rPr>
        <w:t>-</w:t>
      </w:r>
      <w:r>
        <w:rPr>
          <w:rFonts w:ascii="Arial" w:hAnsi="Arial" w:cs="Arial"/>
          <w:sz w:val="24"/>
          <w:szCs w:val="24"/>
        </w:rPr>
        <w:t xml:space="preserve">19 </w:t>
      </w:r>
      <w:r w:rsidR="00BF6BB9">
        <w:rPr>
          <w:rFonts w:ascii="Arial" w:hAnsi="Arial" w:cs="Arial"/>
          <w:sz w:val="24"/>
          <w:szCs w:val="24"/>
        </w:rPr>
        <w:t>pandemic, an</w:t>
      </w:r>
      <w:r>
        <w:rPr>
          <w:rFonts w:ascii="Arial" w:hAnsi="Arial" w:cs="Arial"/>
          <w:sz w:val="24"/>
          <w:szCs w:val="24"/>
        </w:rPr>
        <w:t xml:space="preserve">d many stakeholders were very positive about the Commissioner’s strong leadership through these challenging circumstances. However, the Review heard from many, including Commission staff, the </w:t>
      </w:r>
      <w:proofErr w:type="gramStart"/>
      <w:r>
        <w:rPr>
          <w:rFonts w:ascii="Arial" w:hAnsi="Arial" w:cs="Arial"/>
          <w:sz w:val="24"/>
          <w:szCs w:val="24"/>
        </w:rPr>
        <w:t>Department</w:t>
      </w:r>
      <w:proofErr w:type="gramEnd"/>
      <w:r>
        <w:rPr>
          <w:rFonts w:ascii="Arial" w:hAnsi="Arial" w:cs="Arial"/>
          <w:sz w:val="24"/>
          <w:szCs w:val="24"/>
        </w:rPr>
        <w:t xml:space="preserve"> and members of the Advisory Council, who felt more needed to be done around enhancing leadership, supported by changes to organisational structure, to ensure a strong and effective Commission into the future.</w:t>
      </w:r>
    </w:p>
    <w:p w14:paraId="708A8E0B" w14:textId="26A75F15" w:rsidR="00B02A38" w:rsidRDefault="00B02A38" w:rsidP="00B02A38">
      <w:pPr>
        <w:spacing w:before="120" w:after="120" w:line="240" w:lineRule="auto"/>
        <w:rPr>
          <w:rFonts w:ascii="Arial" w:hAnsi="Arial" w:cs="Arial"/>
          <w:sz w:val="24"/>
          <w:szCs w:val="24"/>
        </w:rPr>
      </w:pPr>
      <w:proofErr w:type="gramStart"/>
      <w:r>
        <w:rPr>
          <w:rFonts w:ascii="Arial" w:hAnsi="Arial" w:cs="Arial"/>
          <w:sz w:val="24"/>
          <w:szCs w:val="24"/>
        </w:rPr>
        <w:t>It is clear that within</w:t>
      </w:r>
      <w:proofErr w:type="gramEnd"/>
      <w:r>
        <w:rPr>
          <w:rFonts w:ascii="Arial" w:hAnsi="Arial" w:cs="Arial"/>
          <w:sz w:val="24"/>
          <w:szCs w:val="24"/>
        </w:rPr>
        <w:t xml:space="preserve"> the Commission, the Commissioner is highly visible. She communicates frequently with all staff, utilising different communication channels. She has visited </w:t>
      </w:r>
      <w:proofErr w:type="gramStart"/>
      <w:r>
        <w:rPr>
          <w:rFonts w:ascii="Arial" w:hAnsi="Arial" w:cs="Arial"/>
          <w:sz w:val="24"/>
          <w:szCs w:val="24"/>
        </w:rPr>
        <w:t>all of</w:t>
      </w:r>
      <w:proofErr w:type="gramEnd"/>
      <w:r>
        <w:rPr>
          <w:rFonts w:ascii="Arial" w:hAnsi="Arial" w:cs="Arial"/>
          <w:sz w:val="24"/>
          <w:szCs w:val="24"/>
        </w:rPr>
        <w:t xml:space="preserve"> the Commission’s offices, over a challenging period that has involved COVID-19 lockdowns. Externally, however, </w:t>
      </w:r>
      <w:r w:rsidR="0095190E">
        <w:rPr>
          <w:rFonts w:ascii="Arial" w:hAnsi="Arial" w:cs="Arial"/>
          <w:sz w:val="24"/>
          <w:szCs w:val="24"/>
        </w:rPr>
        <w:t xml:space="preserve">the Review has </w:t>
      </w:r>
      <w:r w:rsidR="00C903FC">
        <w:rPr>
          <w:rFonts w:ascii="Arial" w:hAnsi="Arial" w:cs="Arial"/>
          <w:sz w:val="24"/>
          <w:szCs w:val="24"/>
        </w:rPr>
        <w:t>heard</w:t>
      </w:r>
      <w:r w:rsidR="0095190E">
        <w:rPr>
          <w:rFonts w:ascii="Arial" w:hAnsi="Arial" w:cs="Arial"/>
          <w:sz w:val="24"/>
          <w:szCs w:val="24"/>
        </w:rPr>
        <w:t xml:space="preserve"> that </w:t>
      </w:r>
      <w:r>
        <w:rPr>
          <w:rFonts w:ascii="Arial" w:hAnsi="Arial" w:cs="Arial"/>
          <w:sz w:val="24"/>
          <w:szCs w:val="24"/>
        </w:rPr>
        <w:t xml:space="preserve">while the Commissioner does attend a range of fora, she is less visible to the sector and the community more generally. Effective regulators, in my view, are very pro-active in describing the importance of the role of their work, its breadth, and actively address misconceptions about the role and efforts that are being made on </w:t>
      </w:r>
      <w:proofErr w:type="gramStart"/>
      <w:r>
        <w:rPr>
          <w:rFonts w:ascii="Arial" w:hAnsi="Arial" w:cs="Arial"/>
          <w:sz w:val="24"/>
          <w:szCs w:val="24"/>
        </w:rPr>
        <w:t>particular issues</w:t>
      </w:r>
      <w:proofErr w:type="gramEnd"/>
      <w:r>
        <w:rPr>
          <w:rFonts w:ascii="Arial" w:hAnsi="Arial" w:cs="Arial"/>
          <w:sz w:val="24"/>
          <w:szCs w:val="24"/>
        </w:rPr>
        <w:t>.</w:t>
      </w:r>
    </w:p>
    <w:p w14:paraId="5DF22F05" w14:textId="1942A9A5" w:rsidR="00875ED2" w:rsidRDefault="00DC57A7" w:rsidP="00875ED2">
      <w:pPr>
        <w:spacing w:before="120" w:after="120" w:line="240" w:lineRule="auto"/>
        <w:rPr>
          <w:rFonts w:ascii="Arial" w:hAnsi="Arial" w:cs="Arial"/>
          <w:sz w:val="24"/>
          <w:szCs w:val="24"/>
        </w:rPr>
      </w:pPr>
      <w:r>
        <w:rPr>
          <w:rFonts w:ascii="Arial" w:hAnsi="Arial" w:cs="Arial"/>
          <w:sz w:val="24"/>
          <w:szCs w:val="24"/>
        </w:rPr>
        <w:t>The current leadership structure is problematic. T</w:t>
      </w:r>
      <w:r w:rsidR="00875ED2">
        <w:rPr>
          <w:rFonts w:ascii="Arial" w:hAnsi="Arial" w:cs="Arial"/>
          <w:sz w:val="24"/>
          <w:szCs w:val="24"/>
        </w:rPr>
        <w:t xml:space="preserve">he Commissioner oversees an executive leadership group without a deputy, and almost </w:t>
      </w:r>
      <w:proofErr w:type="gramStart"/>
      <w:r w:rsidR="00875ED2">
        <w:rPr>
          <w:rFonts w:ascii="Arial" w:hAnsi="Arial" w:cs="Arial"/>
          <w:sz w:val="24"/>
          <w:szCs w:val="24"/>
        </w:rPr>
        <w:t>all of</w:t>
      </w:r>
      <w:proofErr w:type="gramEnd"/>
      <w:r w:rsidR="00875ED2">
        <w:rPr>
          <w:rFonts w:ascii="Arial" w:hAnsi="Arial" w:cs="Arial"/>
          <w:sz w:val="24"/>
          <w:szCs w:val="24"/>
        </w:rPr>
        <w:t xml:space="preserve"> the SES Band 1 Executive Directors report directly to the Commissioner. The only SES Band 2 is described as an Assistant Commissioner, does not </w:t>
      </w:r>
      <w:r w:rsidR="00280B5E">
        <w:rPr>
          <w:rFonts w:ascii="Arial" w:hAnsi="Arial" w:cs="Arial"/>
          <w:sz w:val="24"/>
          <w:szCs w:val="24"/>
        </w:rPr>
        <w:t>have a</w:t>
      </w:r>
      <w:r w:rsidR="00875ED2">
        <w:rPr>
          <w:rFonts w:ascii="Arial" w:hAnsi="Arial" w:cs="Arial"/>
          <w:sz w:val="24"/>
          <w:szCs w:val="24"/>
        </w:rPr>
        <w:t xml:space="preserve"> deputising role, and is focussed on a particular area of the Commission’s responsibilities. Span of control is a significant concern, particularly </w:t>
      </w:r>
      <w:r>
        <w:rPr>
          <w:rFonts w:ascii="Arial" w:hAnsi="Arial" w:cs="Arial"/>
          <w:sz w:val="24"/>
          <w:szCs w:val="24"/>
        </w:rPr>
        <w:t xml:space="preserve">as </w:t>
      </w:r>
      <w:r w:rsidR="00875ED2">
        <w:rPr>
          <w:rFonts w:ascii="Arial" w:hAnsi="Arial" w:cs="Arial"/>
          <w:sz w:val="24"/>
          <w:szCs w:val="24"/>
        </w:rPr>
        <w:t>the Commissioner appears to be the principal decision-maker in the organisation. This appears to contribute to inefficiencies and delays at times</w:t>
      </w:r>
      <w:r w:rsidR="00FE5D7E">
        <w:rPr>
          <w:rFonts w:ascii="Arial" w:hAnsi="Arial" w:cs="Arial"/>
          <w:sz w:val="24"/>
          <w:szCs w:val="24"/>
        </w:rPr>
        <w:t xml:space="preserve"> and impacts on the levels of responsibility and accountability of others in the leadership group</w:t>
      </w:r>
      <w:r w:rsidR="00875ED2">
        <w:rPr>
          <w:rFonts w:ascii="Arial" w:hAnsi="Arial" w:cs="Arial"/>
          <w:sz w:val="24"/>
          <w:szCs w:val="24"/>
        </w:rPr>
        <w:t>.</w:t>
      </w:r>
    </w:p>
    <w:p w14:paraId="351D68B0" w14:textId="4D1D46FE" w:rsidR="00B02A38" w:rsidRDefault="00B02A38" w:rsidP="00B02A38">
      <w:pPr>
        <w:rPr>
          <w:rFonts w:ascii="Arial" w:hAnsi="Arial" w:cs="Arial"/>
          <w:sz w:val="24"/>
          <w:szCs w:val="24"/>
        </w:rPr>
      </w:pPr>
      <w:r>
        <w:rPr>
          <w:rFonts w:ascii="Arial" w:hAnsi="Arial" w:cs="Arial"/>
          <w:sz w:val="24"/>
          <w:szCs w:val="24"/>
        </w:rPr>
        <w:t>The main governance forum, the Executive Leadership Group (ELG) does not appear to be a decision-making mechanism, but rather enables information-sharing across the SES</w:t>
      </w:r>
      <w:r w:rsidR="00BF6BB9">
        <w:rPr>
          <w:rFonts w:ascii="Arial" w:hAnsi="Arial" w:cs="Arial"/>
          <w:sz w:val="24"/>
          <w:szCs w:val="24"/>
        </w:rPr>
        <w:t xml:space="preserve"> cohort</w:t>
      </w:r>
      <w:r>
        <w:rPr>
          <w:rFonts w:ascii="Arial" w:hAnsi="Arial" w:cs="Arial"/>
          <w:sz w:val="24"/>
          <w:szCs w:val="24"/>
        </w:rPr>
        <w:t>.</w:t>
      </w:r>
    </w:p>
    <w:p w14:paraId="4445F304" w14:textId="22678575" w:rsidR="00B02A38" w:rsidRDefault="00FD14B4" w:rsidP="00B02A38">
      <w:pPr>
        <w:spacing w:before="120" w:after="120" w:line="240" w:lineRule="auto"/>
        <w:rPr>
          <w:rFonts w:ascii="Arial" w:hAnsi="Arial" w:cs="Arial"/>
          <w:sz w:val="24"/>
          <w:szCs w:val="24"/>
        </w:rPr>
      </w:pPr>
      <w:r>
        <w:rPr>
          <w:rFonts w:ascii="Arial" w:hAnsi="Arial" w:cs="Arial"/>
          <w:sz w:val="24"/>
          <w:szCs w:val="24"/>
        </w:rPr>
        <w:t>The</w:t>
      </w:r>
      <w:r w:rsidR="00B02A38">
        <w:rPr>
          <w:rFonts w:ascii="Arial" w:hAnsi="Arial" w:cs="Arial"/>
          <w:sz w:val="24"/>
          <w:szCs w:val="24"/>
        </w:rPr>
        <w:t xml:space="preserve"> Commission has grown rapidly to deliver on its increased scope of regulatory responsibility and </w:t>
      </w:r>
      <w:proofErr w:type="gramStart"/>
      <w:r>
        <w:rPr>
          <w:rFonts w:ascii="Arial" w:hAnsi="Arial" w:cs="Arial"/>
          <w:sz w:val="24"/>
          <w:szCs w:val="24"/>
        </w:rPr>
        <w:t xml:space="preserve">it is clear that </w:t>
      </w:r>
      <w:r w:rsidR="00B02A38">
        <w:rPr>
          <w:rFonts w:ascii="Arial" w:hAnsi="Arial" w:cs="Arial"/>
          <w:sz w:val="24"/>
          <w:szCs w:val="24"/>
        </w:rPr>
        <w:t>the</w:t>
      </w:r>
      <w:proofErr w:type="gramEnd"/>
      <w:r w:rsidR="00B02A38">
        <w:rPr>
          <w:rFonts w:ascii="Arial" w:hAnsi="Arial" w:cs="Arial"/>
          <w:sz w:val="24"/>
          <w:szCs w:val="24"/>
        </w:rPr>
        <w:t xml:space="preserve"> structure that was in place to support an organisation of 537 staff in 2019 is not sustainable nor appropriate for an organisation of 1</w:t>
      </w:r>
      <w:r>
        <w:rPr>
          <w:rFonts w:ascii="Arial" w:hAnsi="Arial" w:cs="Arial"/>
          <w:sz w:val="24"/>
          <w:szCs w:val="24"/>
        </w:rPr>
        <w:t>,</w:t>
      </w:r>
      <w:r w:rsidR="00B02A38">
        <w:rPr>
          <w:rFonts w:ascii="Arial" w:hAnsi="Arial" w:cs="Arial"/>
          <w:sz w:val="24"/>
          <w:szCs w:val="24"/>
        </w:rPr>
        <w:t>424</w:t>
      </w:r>
      <w:r w:rsidR="00BF6BB9">
        <w:rPr>
          <w:rFonts w:ascii="Arial" w:hAnsi="Arial" w:cs="Arial"/>
          <w:sz w:val="24"/>
          <w:szCs w:val="24"/>
        </w:rPr>
        <w:t xml:space="preserve"> staff</w:t>
      </w:r>
      <w:r w:rsidR="00B02A38">
        <w:rPr>
          <w:rFonts w:ascii="Arial" w:hAnsi="Arial" w:cs="Arial"/>
          <w:sz w:val="24"/>
          <w:szCs w:val="24"/>
        </w:rPr>
        <w:t xml:space="preserve"> in 2023. The </w:t>
      </w:r>
      <w:r w:rsidR="00BF6BB9">
        <w:rPr>
          <w:rFonts w:ascii="Arial" w:hAnsi="Arial" w:cs="Arial"/>
          <w:sz w:val="24"/>
          <w:szCs w:val="24"/>
        </w:rPr>
        <w:t xml:space="preserve">current </w:t>
      </w:r>
      <w:r w:rsidR="00B02A38">
        <w:rPr>
          <w:rFonts w:ascii="Arial" w:hAnsi="Arial" w:cs="Arial"/>
          <w:sz w:val="24"/>
          <w:szCs w:val="24"/>
        </w:rPr>
        <w:t xml:space="preserve">structure appears to perpetuate </w:t>
      </w:r>
      <w:r w:rsidR="00BF6BB9">
        <w:rPr>
          <w:rFonts w:ascii="Arial" w:hAnsi="Arial" w:cs="Arial"/>
          <w:sz w:val="24"/>
          <w:szCs w:val="24"/>
        </w:rPr>
        <w:t xml:space="preserve">organisational </w:t>
      </w:r>
      <w:r w:rsidR="00B02A38">
        <w:rPr>
          <w:rFonts w:ascii="Arial" w:hAnsi="Arial" w:cs="Arial"/>
          <w:sz w:val="24"/>
          <w:szCs w:val="24"/>
        </w:rPr>
        <w:t>silos.</w:t>
      </w:r>
    </w:p>
    <w:p w14:paraId="4A88BA71" w14:textId="099A8716" w:rsidR="00B02A38" w:rsidRDefault="00B02A38" w:rsidP="00B02A38">
      <w:pPr>
        <w:spacing w:before="120" w:after="120" w:line="240" w:lineRule="auto"/>
        <w:rPr>
          <w:rFonts w:ascii="Arial" w:hAnsi="Arial" w:cs="Arial"/>
          <w:sz w:val="24"/>
          <w:szCs w:val="24"/>
        </w:rPr>
      </w:pPr>
      <w:r>
        <w:rPr>
          <w:rFonts w:ascii="Arial" w:hAnsi="Arial" w:cs="Arial"/>
          <w:sz w:val="24"/>
          <w:szCs w:val="24"/>
        </w:rPr>
        <w:t>More generally, staff have described an organisation that has immature processes, policies and systems which leads to inconsistent decision making at both the operational and corporate level.</w:t>
      </w:r>
      <w:r w:rsidR="00AB19BC">
        <w:rPr>
          <w:rFonts w:ascii="Arial" w:hAnsi="Arial" w:cs="Arial"/>
          <w:sz w:val="24"/>
          <w:szCs w:val="24"/>
        </w:rPr>
        <w:t xml:space="preserve"> </w:t>
      </w:r>
      <w:r>
        <w:rPr>
          <w:rFonts w:ascii="Arial" w:hAnsi="Arial" w:cs="Arial"/>
          <w:sz w:val="24"/>
          <w:szCs w:val="24"/>
        </w:rPr>
        <w:t>The Staff Input sessions also identified a lack of co-ordination across functions, slow decision making, lack of accountability for outcomes and difficulty sharing knowledge and building relationships, as some of the problems that arise due</w:t>
      </w:r>
      <w:r w:rsidR="002C0437">
        <w:rPr>
          <w:rFonts w:ascii="Arial" w:hAnsi="Arial" w:cs="Arial"/>
          <w:sz w:val="24"/>
          <w:szCs w:val="24"/>
        </w:rPr>
        <w:t xml:space="preserve"> to</w:t>
      </w:r>
      <w:r>
        <w:rPr>
          <w:rFonts w:ascii="Arial" w:hAnsi="Arial" w:cs="Arial"/>
          <w:sz w:val="24"/>
          <w:szCs w:val="24"/>
        </w:rPr>
        <w:t xml:space="preserve"> the current organisational structure. </w:t>
      </w:r>
    </w:p>
    <w:p w14:paraId="7B011CF6" w14:textId="55F62EB7" w:rsidR="00632D2C" w:rsidRDefault="00B02A38" w:rsidP="00B02548">
      <w:pPr>
        <w:keepLines/>
        <w:spacing w:before="120" w:after="120" w:line="240" w:lineRule="auto"/>
        <w:rPr>
          <w:rFonts w:ascii="Arial" w:hAnsi="Arial" w:cs="Arial"/>
          <w:sz w:val="24"/>
          <w:szCs w:val="24"/>
        </w:rPr>
      </w:pPr>
      <w:r>
        <w:rPr>
          <w:rFonts w:ascii="Arial" w:hAnsi="Arial" w:cs="Arial"/>
          <w:sz w:val="24"/>
          <w:szCs w:val="24"/>
        </w:rPr>
        <w:lastRenderedPageBreak/>
        <w:t xml:space="preserve">The APS Employee Census </w:t>
      </w:r>
      <w:r w:rsidR="00767505">
        <w:rPr>
          <w:rFonts w:ascii="Arial" w:hAnsi="Arial" w:cs="Arial"/>
          <w:sz w:val="24"/>
          <w:szCs w:val="24"/>
        </w:rPr>
        <w:t>2022</w:t>
      </w:r>
      <w:r w:rsidR="00767505">
        <w:rPr>
          <w:rStyle w:val="FootnoteReference"/>
          <w:rFonts w:ascii="Arial" w:hAnsi="Arial" w:cs="Arial"/>
          <w:sz w:val="24"/>
          <w:szCs w:val="24"/>
        </w:rPr>
        <w:footnoteReference w:id="31"/>
      </w:r>
      <w:r w:rsidR="00767505">
        <w:rPr>
          <w:rFonts w:ascii="Arial" w:hAnsi="Arial" w:cs="Arial"/>
          <w:sz w:val="24"/>
          <w:szCs w:val="24"/>
        </w:rPr>
        <w:t xml:space="preserve"> reveals </w:t>
      </w:r>
      <w:r>
        <w:rPr>
          <w:rFonts w:ascii="Arial" w:hAnsi="Arial" w:cs="Arial"/>
          <w:sz w:val="24"/>
          <w:szCs w:val="24"/>
        </w:rPr>
        <w:t>that</w:t>
      </w:r>
      <w:r w:rsidR="00F15042">
        <w:rPr>
          <w:rFonts w:ascii="Arial" w:hAnsi="Arial" w:cs="Arial"/>
          <w:sz w:val="24"/>
          <w:szCs w:val="24"/>
        </w:rPr>
        <w:t>, of the 65 per cent of Commission staff who completed the Census,</w:t>
      </w:r>
      <w:r>
        <w:rPr>
          <w:rFonts w:ascii="Arial" w:hAnsi="Arial" w:cs="Arial"/>
          <w:sz w:val="24"/>
          <w:szCs w:val="24"/>
        </w:rPr>
        <w:t xml:space="preserve"> 41 per cent of </w:t>
      </w:r>
      <w:r w:rsidR="00577EE4">
        <w:rPr>
          <w:rFonts w:ascii="Arial" w:hAnsi="Arial" w:cs="Arial"/>
          <w:sz w:val="24"/>
          <w:szCs w:val="24"/>
        </w:rPr>
        <w:t xml:space="preserve">respondents </w:t>
      </w:r>
      <w:r>
        <w:rPr>
          <w:rFonts w:ascii="Arial" w:hAnsi="Arial" w:cs="Arial"/>
          <w:sz w:val="24"/>
          <w:szCs w:val="24"/>
        </w:rPr>
        <w:t xml:space="preserve">believe that the Commission SES </w:t>
      </w:r>
      <w:r w:rsidR="00BF6BB9">
        <w:rPr>
          <w:rFonts w:ascii="Arial" w:hAnsi="Arial" w:cs="Arial"/>
          <w:sz w:val="24"/>
          <w:szCs w:val="24"/>
        </w:rPr>
        <w:t xml:space="preserve">cohort </w:t>
      </w:r>
      <w:r>
        <w:rPr>
          <w:rFonts w:ascii="Arial" w:hAnsi="Arial" w:cs="Arial"/>
          <w:sz w:val="24"/>
          <w:szCs w:val="24"/>
        </w:rPr>
        <w:t xml:space="preserve">work as a team, 42 per cent of </w:t>
      </w:r>
      <w:r w:rsidR="00577EE4">
        <w:rPr>
          <w:rFonts w:ascii="Arial" w:hAnsi="Arial" w:cs="Arial"/>
          <w:sz w:val="24"/>
          <w:szCs w:val="24"/>
        </w:rPr>
        <w:t xml:space="preserve">respondents </w:t>
      </w:r>
      <w:r>
        <w:rPr>
          <w:rFonts w:ascii="Arial" w:hAnsi="Arial" w:cs="Arial"/>
          <w:sz w:val="24"/>
          <w:szCs w:val="24"/>
        </w:rPr>
        <w:t xml:space="preserve">feel there is effective communication between the SES and other employees, and 57 per cent of </w:t>
      </w:r>
      <w:r w:rsidR="00577EE4">
        <w:rPr>
          <w:rFonts w:ascii="Arial" w:hAnsi="Arial" w:cs="Arial"/>
          <w:sz w:val="24"/>
          <w:szCs w:val="24"/>
        </w:rPr>
        <w:t xml:space="preserve">respondents </w:t>
      </w:r>
      <w:r>
        <w:rPr>
          <w:rFonts w:ascii="Arial" w:hAnsi="Arial" w:cs="Arial"/>
          <w:sz w:val="24"/>
          <w:szCs w:val="24"/>
        </w:rPr>
        <w:t xml:space="preserve">report that their SES manager promotes cooperation within and between </w:t>
      </w:r>
      <w:r w:rsidR="00767505">
        <w:rPr>
          <w:rFonts w:ascii="Arial" w:hAnsi="Arial" w:cs="Arial"/>
          <w:sz w:val="24"/>
          <w:szCs w:val="24"/>
        </w:rPr>
        <w:t>agencies</w:t>
      </w:r>
      <w:r w:rsidR="00767505">
        <w:rPr>
          <w:rStyle w:val="FootnoteReference"/>
          <w:rFonts w:ascii="Arial" w:hAnsi="Arial" w:cs="Arial"/>
          <w:sz w:val="24"/>
          <w:szCs w:val="24"/>
        </w:rPr>
        <w:footnoteReference w:id="32"/>
      </w:r>
      <w:r w:rsidR="00767505">
        <w:rPr>
          <w:rFonts w:ascii="Arial" w:hAnsi="Arial" w:cs="Arial"/>
          <w:sz w:val="24"/>
          <w:szCs w:val="24"/>
        </w:rPr>
        <w:t xml:space="preserve">. </w:t>
      </w:r>
      <w:r>
        <w:rPr>
          <w:rFonts w:ascii="Arial" w:hAnsi="Arial" w:cs="Arial"/>
          <w:sz w:val="24"/>
          <w:szCs w:val="24"/>
        </w:rPr>
        <w:t xml:space="preserve">These scores are lower than </w:t>
      </w:r>
      <w:r w:rsidR="00577EE4">
        <w:rPr>
          <w:rFonts w:ascii="Arial" w:hAnsi="Arial" w:cs="Arial"/>
          <w:sz w:val="24"/>
          <w:szCs w:val="24"/>
        </w:rPr>
        <w:t>the average for</w:t>
      </w:r>
      <w:r>
        <w:rPr>
          <w:rFonts w:ascii="Arial" w:hAnsi="Arial" w:cs="Arial"/>
          <w:sz w:val="24"/>
          <w:szCs w:val="24"/>
        </w:rPr>
        <w:t xml:space="preserve"> regulatory agencies</w:t>
      </w:r>
      <w:r w:rsidR="00577EE4">
        <w:rPr>
          <w:rFonts w:ascii="Arial" w:hAnsi="Arial" w:cs="Arial"/>
          <w:sz w:val="24"/>
          <w:szCs w:val="24"/>
        </w:rPr>
        <w:t xml:space="preserve"> as a group</w:t>
      </w:r>
      <w:r>
        <w:rPr>
          <w:rFonts w:ascii="Arial" w:hAnsi="Arial" w:cs="Arial"/>
          <w:sz w:val="24"/>
          <w:szCs w:val="24"/>
        </w:rPr>
        <w:t xml:space="preserve">. </w:t>
      </w:r>
    </w:p>
    <w:p w14:paraId="7CE2385F" w14:textId="072D1BA0" w:rsidR="00934F07" w:rsidRDefault="00934F07" w:rsidP="00934F07">
      <w:pPr>
        <w:spacing w:before="120" w:after="120" w:line="240" w:lineRule="auto"/>
        <w:rPr>
          <w:rFonts w:ascii="Arial" w:hAnsi="Arial" w:cs="Arial"/>
          <w:sz w:val="24"/>
          <w:szCs w:val="24"/>
        </w:rPr>
      </w:pPr>
      <w:r>
        <w:rPr>
          <w:rFonts w:ascii="Arial" w:hAnsi="Arial" w:cs="Arial"/>
          <w:sz w:val="24"/>
          <w:szCs w:val="24"/>
        </w:rPr>
        <w:t xml:space="preserve">The Review also heard that the Commission does not effectively use delegation, with </w:t>
      </w:r>
      <w:r w:rsidR="003C2E77">
        <w:rPr>
          <w:rFonts w:ascii="Arial" w:hAnsi="Arial" w:cs="Arial"/>
          <w:sz w:val="24"/>
          <w:szCs w:val="24"/>
        </w:rPr>
        <w:t xml:space="preserve">most decisions elevated to </w:t>
      </w:r>
      <w:r w:rsidR="00EC25F3">
        <w:rPr>
          <w:rFonts w:ascii="Arial" w:hAnsi="Arial" w:cs="Arial"/>
          <w:sz w:val="24"/>
          <w:szCs w:val="24"/>
        </w:rPr>
        <w:t xml:space="preserve">the level of </w:t>
      </w:r>
      <w:r w:rsidR="003C2E77">
        <w:rPr>
          <w:rFonts w:ascii="Arial" w:hAnsi="Arial" w:cs="Arial"/>
          <w:sz w:val="24"/>
          <w:szCs w:val="24"/>
        </w:rPr>
        <w:t xml:space="preserve">ELG </w:t>
      </w:r>
      <w:r w:rsidR="0024199A">
        <w:rPr>
          <w:rFonts w:ascii="Arial" w:hAnsi="Arial" w:cs="Arial"/>
          <w:sz w:val="24"/>
          <w:szCs w:val="24"/>
        </w:rPr>
        <w:t xml:space="preserve">SES </w:t>
      </w:r>
      <w:r w:rsidR="00EC25F3">
        <w:rPr>
          <w:rFonts w:ascii="Arial" w:hAnsi="Arial" w:cs="Arial"/>
          <w:sz w:val="24"/>
          <w:szCs w:val="24"/>
        </w:rPr>
        <w:t xml:space="preserve">members </w:t>
      </w:r>
      <w:r w:rsidR="003C2E77">
        <w:rPr>
          <w:rFonts w:ascii="Arial" w:hAnsi="Arial" w:cs="Arial"/>
          <w:sz w:val="24"/>
          <w:szCs w:val="24"/>
        </w:rPr>
        <w:t xml:space="preserve">and </w:t>
      </w:r>
      <w:r w:rsidR="00EC25F3">
        <w:rPr>
          <w:rFonts w:ascii="Arial" w:hAnsi="Arial" w:cs="Arial"/>
          <w:sz w:val="24"/>
          <w:szCs w:val="24"/>
        </w:rPr>
        <w:t xml:space="preserve">the </w:t>
      </w:r>
      <w:r w:rsidR="003C2E77">
        <w:rPr>
          <w:rFonts w:ascii="Arial" w:hAnsi="Arial" w:cs="Arial"/>
          <w:sz w:val="24"/>
          <w:szCs w:val="24"/>
        </w:rPr>
        <w:t xml:space="preserve">Commissioner. </w:t>
      </w:r>
      <w:r>
        <w:rPr>
          <w:rFonts w:ascii="Arial" w:hAnsi="Arial" w:cs="Arial"/>
          <w:sz w:val="24"/>
          <w:szCs w:val="24"/>
        </w:rPr>
        <w:t>Staff Input sessions described this situation as creating a lack of trust and frustration as decisions become bottlenecked. It also has the effect of limiting the accountability of individual ELG members and their direct reports</w:t>
      </w:r>
      <w:r w:rsidR="003075BD">
        <w:rPr>
          <w:rFonts w:ascii="Arial" w:hAnsi="Arial" w:cs="Arial"/>
          <w:sz w:val="24"/>
          <w:szCs w:val="24"/>
        </w:rPr>
        <w:t xml:space="preserve">. Delegated decision making to the lowest appropriate level reflects </w:t>
      </w:r>
      <w:r>
        <w:rPr>
          <w:rFonts w:ascii="Arial" w:hAnsi="Arial" w:cs="Arial"/>
          <w:sz w:val="24"/>
          <w:szCs w:val="24"/>
        </w:rPr>
        <w:t>a mature operational culture</w:t>
      </w:r>
      <w:r w:rsidR="003075BD">
        <w:rPr>
          <w:rFonts w:ascii="Arial" w:hAnsi="Arial" w:cs="Arial"/>
          <w:sz w:val="24"/>
          <w:szCs w:val="24"/>
        </w:rPr>
        <w:t xml:space="preserve">, increases </w:t>
      </w:r>
      <w:proofErr w:type="gramStart"/>
      <w:r w:rsidR="003075BD">
        <w:rPr>
          <w:rFonts w:ascii="Arial" w:hAnsi="Arial" w:cs="Arial"/>
          <w:sz w:val="24"/>
          <w:szCs w:val="24"/>
        </w:rPr>
        <w:t>accountability</w:t>
      </w:r>
      <w:proofErr w:type="gramEnd"/>
      <w:r w:rsidR="003075BD">
        <w:rPr>
          <w:rFonts w:ascii="Arial" w:hAnsi="Arial" w:cs="Arial"/>
          <w:sz w:val="24"/>
          <w:szCs w:val="24"/>
        </w:rPr>
        <w:t xml:space="preserve"> and streamlines decision making</w:t>
      </w:r>
      <w:r>
        <w:rPr>
          <w:rFonts w:ascii="Arial" w:hAnsi="Arial" w:cs="Arial"/>
          <w:sz w:val="24"/>
          <w:szCs w:val="24"/>
        </w:rPr>
        <w:t>.</w:t>
      </w:r>
    </w:p>
    <w:p w14:paraId="32CD178C" w14:textId="68896C30" w:rsidR="00B02A38" w:rsidRDefault="00B02A38" w:rsidP="00B02A38">
      <w:pPr>
        <w:spacing w:line="240" w:lineRule="auto"/>
        <w:rPr>
          <w:rFonts w:ascii="Arial" w:hAnsi="Arial" w:cs="Arial"/>
          <w:sz w:val="24"/>
          <w:szCs w:val="24"/>
        </w:rPr>
      </w:pPr>
      <w:r>
        <w:rPr>
          <w:rFonts w:ascii="Arial" w:hAnsi="Arial" w:cs="Arial"/>
          <w:sz w:val="24"/>
          <w:szCs w:val="24"/>
        </w:rPr>
        <w:t xml:space="preserve">The siloed structure and resultant </w:t>
      </w:r>
      <w:r w:rsidR="00FD14B4">
        <w:rPr>
          <w:rFonts w:ascii="Arial" w:hAnsi="Arial" w:cs="Arial"/>
          <w:sz w:val="24"/>
          <w:szCs w:val="24"/>
        </w:rPr>
        <w:t>ethos</w:t>
      </w:r>
      <w:r>
        <w:rPr>
          <w:rFonts w:ascii="Arial" w:hAnsi="Arial" w:cs="Arial"/>
          <w:sz w:val="24"/>
          <w:szCs w:val="24"/>
        </w:rPr>
        <w:t xml:space="preserve"> also mean information sharing is inconsistent and often not timely. Staff observed that the Commission culture is fragmented, rules base</w:t>
      </w:r>
      <w:r w:rsidR="006D6FDE">
        <w:rPr>
          <w:rFonts w:ascii="Arial" w:hAnsi="Arial" w:cs="Arial"/>
          <w:sz w:val="24"/>
          <w:szCs w:val="24"/>
        </w:rPr>
        <w:t>d</w:t>
      </w:r>
      <w:r>
        <w:rPr>
          <w:rFonts w:ascii="Arial" w:hAnsi="Arial" w:cs="Arial"/>
          <w:sz w:val="24"/>
          <w:szCs w:val="24"/>
        </w:rPr>
        <w:t xml:space="preserve">, not conducive to collaboration, and risk averse. This </w:t>
      </w:r>
      <w:r w:rsidR="00875ED2">
        <w:rPr>
          <w:rFonts w:ascii="Arial" w:hAnsi="Arial" w:cs="Arial"/>
          <w:sz w:val="24"/>
          <w:szCs w:val="24"/>
        </w:rPr>
        <w:t xml:space="preserve">view is supported </w:t>
      </w:r>
      <w:r>
        <w:rPr>
          <w:rFonts w:ascii="Arial" w:hAnsi="Arial" w:cs="Arial"/>
          <w:sz w:val="24"/>
          <w:szCs w:val="24"/>
        </w:rPr>
        <w:t xml:space="preserve">by the </w:t>
      </w:r>
      <w:r w:rsidR="00C90046">
        <w:rPr>
          <w:rFonts w:ascii="Arial" w:hAnsi="Arial" w:cs="Arial"/>
          <w:sz w:val="24"/>
          <w:szCs w:val="24"/>
        </w:rPr>
        <w:t xml:space="preserve">APS </w:t>
      </w:r>
      <w:r>
        <w:rPr>
          <w:rFonts w:ascii="Arial" w:hAnsi="Arial" w:cs="Arial"/>
          <w:sz w:val="24"/>
          <w:szCs w:val="24"/>
        </w:rPr>
        <w:t xml:space="preserve">Employee Census 2022, </w:t>
      </w:r>
      <w:r w:rsidR="00875ED2">
        <w:rPr>
          <w:rFonts w:ascii="Arial" w:hAnsi="Arial" w:cs="Arial"/>
          <w:sz w:val="24"/>
          <w:szCs w:val="24"/>
        </w:rPr>
        <w:t>where only</w:t>
      </w:r>
      <w:r>
        <w:rPr>
          <w:rFonts w:ascii="Arial" w:hAnsi="Arial" w:cs="Arial"/>
          <w:sz w:val="24"/>
          <w:szCs w:val="24"/>
        </w:rPr>
        <w:t xml:space="preserve"> 34 per cent of </w:t>
      </w:r>
      <w:r w:rsidR="00577EE4">
        <w:rPr>
          <w:rFonts w:ascii="Arial" w:hAnsi="Arial" w:cs="Arial"/>
          <w:sz w:val="24"/>
          <w:szCs w:val="24"/>
        </w:rPr>
        <w:t xml:space="preserve">respondents </w:t>
      </w:r>
      <w:r>
        <w:rPr>
          <w:rFonts w:ascii="Arial" w:hAnsi="Arial" w:cs="Arial"/>
          <w:sz w:val="24"/>
          <w:szCs w:val="24"/>
        </w:rPr>
        <w:t>report</w:t>
      </w:r>
      <w:r w:rsidR="00875ED2">
        <w:rPr>
          <w:rFonts w:ascii="Arial" w:hAnsi="Arial" w:cs="Arial"/>
          <w:sz w:val="24"/>
          <w:szCs w:val="24"/>
        </w:rPr>
        <w:t>ed</w:t>
      </w:r>
      <w:r>
        <w:rPr>
          <w:rFonts w:ascii="Arial" w:hAnsi="Arial" w:cs="Arial"/>
          <w:sz w:val="24"/>
          <w:szCs w:val="24"/>
        </w:rPr>
        <w:t xml:space="preserve"> that the Commission supports the notion that failure is part of </w:t>
      </w:r>
      <w:r w:rsidR="00767505">
        <w:rPr>
          <w:rFonts w:ascii="Arial" w:hAnsi="Arial" w:cs="Arial"/>
          <w:sz w:val="24"/>
          <w:szCs w:val="24"/>
        </w:rPr>
        <w:t>innovation</w:t>
      </w:r>
      <w:r w:rsidR="00767505">
        <w:rPr>
          <w:rStyle w:val="FootnoteReference"/>
          <w:rFonts w:ascii="Arial" w:hAnsi="Arial" w:cs="Arial"/>
          <w:sz w:val="24"/>
          <w:szCs w:val="24"/>
        </w:rPr>
        <w:footnoteReference w:id="33"/>
      </w:r>
      <w:r w:rsidR="00767505">
        <w:rPr>
          <w:rFonts w:ascii="Arial" w:hAnsi="Arial" w:cs="Arial"/>
          <w:sz w:val="24"/>
          <w:szCs w:val="24"/>
        </w:rPr>
        <w:t>.</w:t>
      </w:r>
    </w:p>
    <w:p w14:paraId="010D218B" w14:textId="7B086DF0"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 Commission has started work on developing and articulating a One Commission culture underpinned by the APS </w:t>
      </w:r>
      <w:r w:rsidR="00767505">
        <w:rPr>
          <w:rFonts w:ascii="Arial" w:hAnsi="Arial" w:cs="Arial"/>
          <w:sz w:val="24"/>
          <w:szCs w:val="24"/>
        </w:rPr>
        <w:t>values</w:t>
      </w:r>
      <w:r w:rsidR="00767505">
        <w:rPr>
          <w:rStyle w:val="FootnoteReference"/>
          <w:rFonts w:ascii="Arial" w:hAnsi="Arial" w:cs="Arial"/>
          <w:sz w:val="24"/>
          <w:szCs w:val="24"/>
        </w:rPr>
        <w:footnoteReference w:id="34"/>
      </w:r>
      <w:r w:rsidR="00767505">
        <w:rPr>
          <w:rFonts w:ascii="Arial" w:hAnsi="Arial" w:cs="Arial"/>
          <w:sz w:val="24"/>
          <w:szCs w:val="24"/>
        </w:rPr>
        <w:t xml:space="preserve">. </w:t>
      </w:r>
      <w:r>
        <w:rPr>
          <w:rFonts w:ascii="Arial" w:hAnsi="Arial" w:cs="Arial"/>
          <w:sz w:val="24"/>
          <w:szCs w:val="24"/>
        </w:rPr>
        <w:t xml:space="preserve">However, there is limited evidence that various activities intended to embed the new culture have been effective. This is </w:t>
      </w:r>
      <w:r w:rsidR="00875ED2">
        <w:rPr>
          <w:rFonts w:ascii="Arial" w:hAnsi="Arial" w:cs="Arial"/>
          <w:sz w:val="24"/>
          <w:szCs w:val="24"/>
        </w:rPr>
        <w:t>again supported by</w:t>
      </w:r>
      <w:r>
        <w:rPr>
          <w:rFonts w:ascii="Arial" w:hAnsi="Arial" w:cs="Arial"/>
          <w:sz w:val="24"/>
          <w:szCs w:val="24"/>
        </w:rPr>
        <w:t xml:space="preserve"> the APS </w:t>
      </w:r>
      <w:r w:rsidR="00C90046">
        <w:rPr>
          <w:rFonts w:ascii="Arial" w:hAnsi="Arial" w:cs="Arial"/>
          <w:sz w:val="24"/>
          <w:szCs w:val="24"/>
        </w:rPr>
        <w:t xml:space="preserve">Employee </w:t>
      </w:r>
      <w:r>
        <w:rPr>
          <w:rFonts w:ascii="Arial" w:hAnsi="Arial" w:cs="Arial"/>
          <w:sz w:val="24"/>
          <w:szCs w:val="24"/>
        </w:rPr>
        <w:t xml:space="preserve">Census 2022 </w:t>
      </w:r>
      <w:r w:rsidR="00767505">
        <w:rPr>
          <w:rFonts w:ascii="Arial" w:hAnsi="Arial" w:cs="Arial"/>
          <w:sz w:val="24"/>
          <w:szCs w:val="24"/>
        </w:rPr>
        <w:t>results</w:t>
      </w:r>
      <w:r w:rsidR="00767505">
        <w:rPr>
          <w:rStyle w:val="FootnoteReference"/>
          <w:rFonts w:ascii="Arial" w:hAnsi="Arial" w:cs="Arial"/>
          <w:sz w:val="24"/>
          <w:szCs w:val="24"/>
        </w:rPr>
        <w:footnoteReference w:id="35"/>
      </w:r>
      <w:r w:rsidR="00767505">
        <w:rPr>
          <w:rFonts w:ascii="Arial" w:hAnsi="Arial" w:cs="Arial"/>
          <w:sz w:val="24"/>
          <w:szCs w:val="24"/>
        </w:rPr>
        <w:t xml:space="preserve"> in </w:t>
      </w:r>
      <w:r>
        <w:rPr>
          <w:rFonts w:ascii="Arial" w:hAnsi="Arial" w:cs="Arial"/>
          <w:sz w:val="24"/>
          <w:szCs w:val="24"/>
        </w:rPr>
        <w:t>which only 35</w:t>
      </w:r>
      <w:r w:rsidR="00577EE4">
        <w:rPr>
          <w:rFonts w:ascii="Arial" w:hAnsi="Arial" w:cs="Arial"/>
          <w:sz w:val="24"/>
          <w:szCs w:val="24"/>
        </w:rPr>
        <w:t> </w:t>
      </w:r>
      <w:r>
        <w:rPr>
          <w:rFonts w:ascii="Arial" w:hAnsi="Arial" w:cs="Arial"/>
          <w:sz w:val="24"/>
          <w:szCs w:val="24"/>
        </w:rPr>
        <w:t>per</w:t>
      </w:r>
      <w:r w:rsidR="00577EE4">
        <w:rPr>
          <w:rFonts w:ascii="Arial" w:hAnsi="Arial" w:cs="Arial"/>
          <w:sz w:val="24"/>
          <w:szCs w:val="24"/>
        </w:rPr>
        <w:t> </w:t>
      </w:r>
      <w:r>
        <w:rPr>
          <w:rFonts w:ascii="Arial" w:hAnsi="Arial" w:cs="Arial"/>
          <w:sz w:val="24"/>
          <w:szCs w:val="24"/>
        </w:rPr>
        <w:t xml:space="preserve">cent of </w:t>
      </w:r>
      <w:r w:rsidR="00577EE4">
        <w:rPr>
          <w:rFonts w:ascii="Arial" w:hAnsi="Arial" w:cs="Arial"/>
          <w:sz w:val="24"/>
          <w:szCs w:val="24"/>
        </w:rPr>
        <w:t xml:space="preserve">respondents </w:t>
      </w:r>
      <w:r>
        <w:rPr>
          <w:rFonts w:ascii="Arial" w:hAnsi="Arial" w:cs="Arial"/>
          <w:sz w:val="24"/>
          <w:szCs w:val="24"/>
        </w:rPr>
        <w:t>identified that “the Commission operates as a joined-up organisation with a shared culture”.</w:t>
      </w:r>
      <w:r w:rsidR="00545FFE">
        <w:rPr>
          <w:rFonts w:ascii="Arial" w:hAnsi="Arial" w:cs="Arial"/>
          <w:sz w:val="24"/>
          <w:szCs w:val="24"/>
        </w:rPr>
        <w:t xml:space="preserve"> </w:t>
      </w:r>
    </w:p>
    <w:p w14:paraId="6FCC7024" w14:textId="2F963E28" w:rsidR="00B02A38" w:rsidRDefault="00B02A38" w:rsidP="00B02A38">
      <w:pPr>
        <w:spacing w:before="120" w:after="120" w:line="240" w:lineRule="auto"/>
        <w:rPr>
          <w:rFonts w:ascii="Arial" w:hAnsi="Arial" w:cs="Arial"/>
          <w:sz w:val="24"/>
          <w:szCs w:val="24"/>
        </w:rPr>
      </w:pPr>
      <w:r>
        <w:rPr>
          <w:rFonts w:ascii="Arial" w:hAnsi="Arial" w:cs="Arial"/>
          <w:sz w:val="24"/>
          <w:szCs w:val="24"/>
        </w:rPr>
        <w:t>Staff also observe</w:t>
      </w:r>
      <w:r w:rsidR="00875ED2">
        <w:rPr>
          <w:rFonts w:ascii="Arial" w:hAnsi="Arial" w:cs="Arial"/>
          <w:sz w:val="24"/>
          <w:szCs w:val="24"/>
        </w:rPr>
        <w:t>d</w:t>
      </w:r>
      <w:r>
        <w:rPr>
          <w:rFonts w:ascii="Arial" w:hAnsi="Arial" w:cs="Arial"/>
          <w:sz w:val="24"/>
          <w:szCs w:val="24"/>
        </w:rPr>
        <w:t xml:space="preserve"> a lack of interest </w:t>
      </w:r>
      <w:r w:rsidR="006D6FDE">
        <w:rPr>
          <w:rFonts w:ascii="Arial" w:hAnsi="Arial" w:cs="Arial"/>
          <w:sz w:val="24"/>
          <w:szCs w:val="24"/>
        </w:rPr>
        <w:t xml:space="preserve">in </w:t>
      </w:r>
      <w:r>
        <w:rPr>
          <w:rFonts w:ascii="Arial" w:hAnsi="Arial" w:cs="Arial"/>
          <w:sz w:val="24"/>
          <w:szCs w:val="24"/>
        </w:rPr>
        <w:t xml:space="preserve">or ownership by the ELG </w:t>
      </w:r>
      <w:r w:rsidR="006D6FDE">
        <w:rPr>
          <w:rFonts w:ascii="Arial" w:hAnsi="Arial" w:cs="Arial"/>
          <w:sz w:val="24"/>
          <w:szCs w:val="24"/>
        </w:rPr>
        <w:t xml:space="preserve">of a One Commission culture, </w:t>
      </w:r>
      <w:r>
        <w:rPr>
          <w:rFonts w:ascii="Arial" w:hAnsi="Arial" w:cs="Arial"/>
          <w:sz w:val="24"/>
          <w:szCs w:val="24"/>
        </w:rPr>
        <w:t xml:space="preserve">which can weaken staff commitment to a shared vision and limit accountability. </w:t>
      </w:r>
    </w:p>
    <w:p w14:paraId="10F6FA16" w14:textId="77777777" w:rsidR="00B02A38" w:rsidRDefault="00B02A38" w:rsidP="00B02A38">
      <w:pPr>
        <w:spacing w:before="120" w:after="120" w:line="240" w:lineRule="auto"/>
        <w:rPr>
          <w:rFonts w:ascii="Arial" w:hAnsi="Arial" w:cs="Arial"/>
          <w:i/>
          <w:iCs/>
          <w:sz w:val="24"/>
          <w:szCs w:val="24"/>
        </w:rPr>
      </w:pPr>
      <w:r>
        <w:rPr>
          <w:rFonts w:ascii="Arial" w:hAnsi="Arial" w:cs="Arial"/>
          <w:i/>
          <w:iCs/>
          <w:sz w:val="24"/>
          <w:szCs w:val="24"/>
        </w:rPr>
        <w:t>What the Commission needs to do</w:t>
      </w:r>
    </w:p>
    <w:p w14:paraId="6DE4D74F" w14:textId="4AC00412" w:rsidR="00B02A38" w:rsidRDefault="00AB19BC" w:rsidP="00B02A38">
      <w:pPr>
        <w:spacing w:before="120" w:after="120" w:line="240" w:lineRule="auto"/>
        <w:rPr>
          <w:rFonts w:ascii="Arial" w:hAnsi="Arial" w:cs="Arial"/>
          <w:sz w:val="24"/>
          <w:szCs w:val="24"/>
        </w:rPr>
      </w:pPr>
      <w:r>
        <w:rPr>
          <w:rFonts w:ascii="Arial" w:hAnsi="Arial" w:cs="Arial"/>
          <w:sz w:val="24"/>
          <w:szCs w:val="24"/>
        </w:rPr>
        <w:t>I consider</w:t>
      </w:r>
      <w:r w:rsidR="00B02A38">
        <w:rPr>
          <w:rFonts w:ascii="Arial" w:hAnsi="Arial" w:cs="Arial"/>
          <w:sz w:val="24"/>
          <w:szCs w:val="24"/>
        </w:rPr>
        <w:t xml:space="preserve"> the Commissioner </w:t>
      </w:r>
      <w:r w:rsidR="00875ED2">
        <w:rPr>
          <w:rFonts w:ascii="Arial" w:hAnsi="Arial" w:cs="Arial"/>
          <w:sz w:val="24"/>
          <w:szCs w:val="24"/>
        </w:rPr>
        <w:t>must</w:t>
      </w:r>
      <w:r w:rsidR="00B02A38">
        <w:rPr>
          <w:rFonts w:ascii="Arial" w:hAnsi="Arial" w:cs="Arial"/>
          <w:sz w:val="24"/>
          <w:szCs w:val="24"/>
        </w:rPr>
        <w:t xml:space="preserve"> rely more upon the </w:t>
      </w:r>
      <w:r w:rsidR="00875ED2">
        <w:rPr>
          <w:rFonts w:ascii="Arial" w:hAnsi="Arial" w:cs="Arial"/>
          <w:sz w:val="24"/>
          <w:szCs w:val="24"/>
        </w:rPr>
        <w:t xml:space="preserve">people and </w:t>
      </w:r>
      <w:r w:rsidR="00B02A38">
        <w:rPr>
          <w:rFonts w:ascii="Arial" w:hAnsi="Arial" w:cs="Arial"/>
          <w:sz w:val="24"/>
          <w:szCs w:val="24"/>
        </w:rPr>
        <w:t xml:space="preserve">structures supporting the Commission’s shared mission. This means strengthening the leadership capability, implementing a new organisational </w:t>
      </w:r>
      <w:proofErr w:type="gramStart"/>
      <w:r w:rsidR="00B02A38">
        <w:rPr>
          <w:rFonts w:ascii="Arial" w:hAnsi="Arial" w:cs="Arial"/>
          <w:sz w:val="24"/>
          <w:szCs w:val="24"/>
        </w:rPr>
        <w:t>structure</w:t>
      </w:r>
      <w:proofErr w:type="gramEnd"/>
      <w:r w:rsidR="00B02A38">
        <w:rPr>
          <w:rFonts w:ascii="Arial" w:hAnsi="Arial" w:cs="Arial"/>
          <w:sz w:val="24"/>
          <w:szCs w:val="24"/>
        </w:rPr>
        <w:t xml:space="preserve"> and empowering decision makers at all levels of the organisation. </w:t>
      </w:r>
    </w:p>
    <w:p w14:paraId="7F24F02D" w14:textId="1D3F28F9"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This will free the Commissioner to be more visible, strategically </w:t>
      </w:r>
      <w:proofErr w:type="gramStart"/>
      <w:r>
        <w:rPr>
          <w:rFonts w:ascii="Arial" w:hAnsi="Arial" w:cs="Arial"/>
          <w:sz w:val="24"/>
          <w:szCs w:val="24"/>
        </w:rPr>
        <w:t>focused</w:t>
      </w:r>
      <w:proofErr w:type="gramEnd"/>
      <w:r>
        <w:rPr>
          <w:rFonts w:ascii="Arial" w:hAnsi="Arial" w:cs="Arial"/>
          <w:sz w:val="24"/>
          <w:szCs w:val="24"/>
        </w:rPr>
        <w:t xml:space="preserve"> and proactive in taking forward the </w:t>
      </w:r>
      <w:r w:rsidR="00875ED2">
        <w:rPr>
          <w:rFonts w:ascii="Arial" w:hAnsi="Arial" w:cs="Arial"/>
          <w:sz w:val="24"/>
          <w:szCs w:val="24"/>
        </w:rPr>
        <w:t xml:space="preserve">Commission’s </w:t>
      </w:r>
      <w:r>
        <w:rPr>
          <w:rFonts w:ascii="Arial" w:hAnsi="Arial" w:cs="Arial"/>
          <w:sz w:val="24"/>
          <w:szCs w:val="24"/>
        </w:rPr>
        <w:t xml:space="preserve">mission and goals and the new regulatory </w:t>
      </w:r>
      <w:r w:rsidR="00875ED2">
        <w:rPr>
          <w:rFonts w:ascii="Arial" w:hAnsi="Arial" w:cs="Arial"/>
          <w:sz w:val="24"/>
          <w:szCs w:val="24"/>
        </w:rPr>
        <w:t>strategy</w:t>
      </w:r>
      <w:r>
        <w:rPr>
          <w:rFonts w:ascii="Arial" w:hAnsi="Arial" w:cs="Arial"/>
          <w:sz w:val="24"/>
          <w:szCs w:val="24"/>
        </w:rPr>
        <w:t xml:space="preserve"> and operating model. This will build confidence and trust of government, the </w:t>
      </w:r>
      <w:proofErr w:type="gramStart"/>
      <w:r>
        <w:rPr>
          <w:rFonts w:ascii="Arial" w:hAnsi="Arial" w:cs="Arial"/>
          <w:sz w:val="24"/>
          <w:szCs w:val="24"/>
        </w:rPr>
        <w:t>sector</w:t>
      </w:r>
      <w:proofErr w:type="gramEnd"/>
      <w:r>
        <w:rPr>
          <w:rFonts w:ascii="Arial" w:hAnsi="Arial" w:cs="Arial"/>
          <w:sz w:val="24"/>
          <w:szCs w:val="24"/>
        </w:rPr>
        <w:t xml:space="preserve"> and the wider community. It is important that the Commissioner and the other members of the senior leadership team develop and maintain a strong visible public face. </w:t>
      </w:r>
    </w:p>
    <w:p w14:paraId="471EDF90" w14:textId="72B63D73" w:rsidR="00B02A38" w:rsidRDefault="00B02A38" w:rsidP="00B02A38">
      <w:pPr>
        <w:rPr>
          <w:rFonts w:ascii="Arial" w:hAnsi="Arial" w:cs="Arial"/>
          <w:sz w:val="24"/>
          <w:szCs w:val="24"/>
        </w:rPr>
      </w:pPr>
      <w:r>
        <w:rPr>
          <w:rFonts w:ascii="Arial" w:hAnsi="Arial" w:cs="Arial"/>
          <w:sz w:val="24"/>
          <w:szCs w:val="24"/>
        </w:rPr>
        <w:lastRenderedPageBreak/>
        <w:t>The Commissioner needs a Deputy Commissioner cadre of SES Band 2s. In my view, given the size, breadth and complexity of the work, there should be four Deputy Commissioners, as well as the Chief Clinical Advisor.</w:t>
      </w:r>
    </w:p>
    <w:p w14:paraId="067382D7" w14:textId="5115B75B" w:rsidR="00B02A38" w:rsidRDefault="00B02A38" w:rsidP="00B02A38">
      <w:pPr>
        <w:rPr>
          <w:rFonts w:ascii="Arial" w:hAnsi="Arial" w:cs="Arial"/>
          <w:sz w:val="24"/>
          <w:szCs w:val="24"/>
        </w:rPr>
      </w:pPr>
      <w:r>
        <w:rPr>
          <w:rFonts w:ascii="Arial" w:hAnsi="Arial" w:cs="Arial"/>
          <w:sz w:val="24"/>
          <w:szCs w:val="24"/>
        </w:rPr>
        <w:t xml:space="preserve">These Deputy Commissioners should be appointed for their strong leadership, communication and strategic skills, not just technical skills, and be part of the public profile of the organisation. </w:t>
      </w:r>
      <w:r w:rsidR="007977FA">
        <w:rPr>
          <w:rFonts w:ascii="Arial" w:hAnsi="Arial" w:cs="Arial"/>
          <w:sz w:val="24"/>
          <w:szCs w:val="24"/>
        </w:rPr>
        <w:t xml:space="preserve">Recruitment </w:t>
      </w:r>
      <w:r w:rsidR="00400B58">
        <w:rPr>
          <w:rFonts w:ascii="Arial" w:hAnsi="Arial" w:cs="Arial"/>
          <w:sz w:val="24"/>
          <w:szCs w:val="24"/>
        </w:rPr>
        <w:t>to</w:t>
      </w:r>
      <w:r w:rsidR="007977FA">
        <w:rPr>
          <w:rFonts w:ascii="Arial" w:hAnsi="Arial" w:cs="Arial"/>
          <w:sz w:val="24"/>
          <w:szCs w:val="24"/>
        </w:rPr>
        <w:t xml:space="preserve"> Deputy Commissioner positions should be merit based and involve a suitable selection panel, </w:t>
      </w:r>
      <w:proofErr w:type="gramStart"/>
      <w:r w:rsidR="007977FA">
        <w:rPr>
          <w:rFonts w:ascii="Arial" w:hAnsi="Arial" w:cs="Arial"/>
          <w:sz w:val="24"/>
          <w:szCs w:val="24"/>
        </w:rPr>
        <w:t>e.g.</w:t>
      </w:r>
      <w:proofErr w:type="gramEnd"/>
      <w:r w:rsidR="007977FA">
        <w:rPr>
          <w:rFonts w:ascii="Arial" w:hAnsi="Arial" w:cs="Arial"/>
          <w:sz w:val="24"/>
          <w:szCs w:val="24"/>
        </w:rPr>
        <w:t xml:space="preserve"> to be made up of the Commissioner and </w:t>
      </w:r>
      <w:r w:rsidR="00400B58">
        <w:rPr>
          <w:rFonts w:ascii="Arial" w:hAnsi="Arial" w:cs="Arial"/>
          <w:sz w:val="24"/>
          <w:szCs w:val="24"/>
        </w:rPr>
        <w:t>Executives</w:t>
      </w:r>
      <w:r w:rsidR="007977FA">
        <w:rPr>
          <w:rFonts w:ascii="Arial" w:hAnsi="Arial" w:cs="Arial"/>
          <w:sz w:val="24"/>
          <w:szCs w:val="24"/>
        </w:rPr>
        <w:t xml:space="preserve"> from the Department and the APSC.</w:t>
      </w:r>
    </w:p>
    <w:p w14:paraId="64EE5FE4" w14:textId="77777777" w:rsidR="00F90494" w:rsidRDefault="00B02A38" w:rsidP="00B02A38">
      <w:pPr>
        <w:spacing w:before="120" w:after="120" w:line="240" w:lineRule="auto"/>
        <w:textAlignment w:val="baseline"/>
        <w:rPr>
          <w:rFonts w:ascii="Arial" w:hAnsi="Arial" w:cs="Arial"/>
          <w:sz w:val="24"/>
          <w:szCs w:val="24"/>
        </w:rPr>
      </w:pPr>
      <w:r>
        <w:rPr>
          <w:rFonts w:ascii="Arial" w:hAnsi="Arial" w:cs="Arial"/>
          <w:sz w:val="24"/>
          <w:szCs w:val="24"/>
        </w:rPr>
        <w:t>‘Like functions’ should be brought together under each Deputy Commissioner. A</w:t>
      </w:r>
      <w:r w:rsidR="00AB19BC">
        <w:rPr>
          <w:rFonts w:ascii="Arial" w:hAnsi="Arial" w:cs="Arial"/>
          <w:sz w:val="24"/>
          <w:szCs w:val="24"/>
        </w:rPr>
        <w:t> </w:t>
      </w:r>
      <w:r>
        <w:rPr>
          <w:rFonts w:ascii="Arial" w:hAnsi="Arial" w:cs="Arial"/>
          <w:sz w:val="24"/>
          <w:szCs w:val="24"/>
        </w:rPr>
        <w:t xml:space="preserve">Chief Operating Officer, or Deputy Commissioner Corporate, needs to be put in place urgently to rapidly lift the capacity and capability of the corporate functions to support the work of the wider organisation. </w:t>
      </w:r>
    </w:p>
    <w:p w14:paraId="186F1852" w14:textId="3608C9F6" w:rsidR="00B02A38" w:rsidRDefault="00B02A38" w:rsidP="00B02A38">
      <w:pPr>
        <w:spacing w:before="120" w:after="120" w:line="240" w:lineRule="auto"/>
        <w:textAlignment w:val="baseline"/>
        <w:rPr>
          <w:rFonts w:ascii="Arial" w:hAnsi="Arial" w:cs="Arial"/>
          <w:sz w:val="24"/>
          <w:szCs w:val="24"/>
        </w:rPr>
      </w:pPr>
      <w:r>
        <w:rPr>
          <w:rFonts w:ascii="Arial" w:hAnsi="Arial" w:cs="Arial"/>
          <w:sz w:val="24"/>
          <w:szCs w:val="24"/>
        </w:rPr>
        <w:t>A proposed structure is set out below</w:t>
      </w:r>
      <w:r w:rsidR="00AB19BC">
        <w:rPr>
          <w:rFonts w:ascii="Arial" w:hAnsi="Arial" w:cs="Arial"/>
          <w:sz w:val="24"/>
          <w:szCs w:val="24"/>
        </w:rPr>
        <w:t xml:space="preserve"> in </w:t>
      </w:r>
      <w:r w:rsidR="00AB19BC" w:rsidRPr="003128BB">
        <w:rPr>
          <w:rFonts w:ascii="Arial" w:hAnsi="Arial" w:cs="Arial"/>
          <w:sz w:val="24"/>
          <w:szCs w:val="24"/>
        </w:rPr>
        <w:t xml:space="preserve">Figure </w:t>
      </w:r>
      <w:r w:rsidR="00496A8A" w:rsidRPr="003128BB">
        <w:rPr>
          <w:rFonts w:ascii="Arial" w:hAnsi="Arial" w:cs="Arial"/>
          <w:sz w:val="24"/>
          <w:szCs w:val="24"/>
        </w:rPr>
        <w:t>4</w:t>
      </w:r>
      <w:r w:rsidRPr="003128BB">
        <w:rPr>
          <w:rFonts w:ascii="Arial" w:hAnsi="Arial" w:cs="Arial"/>
          <w:sz w:val="24"/>
          <w:szCs w:val="24"/>
        </w:rPr>
        <w:t>. This</w:t>
      </w:r>
      <w:r>
        <w:rPr>
          <w:rFonts w:ascii="Arial" w:hAnsi="Arial" w:cs="Arial"/>
          <w:sz w:val="24"/>
          <w:szCs w:val="24"/>
        </w:rPr>
        <w:t xml:space="preserve"> also sets out new SES</w:t>
      </w:r>
      <w:r w:rsidR="00FD14B4">
        <w:rPr>
          <w:rFonts w:ascii="Arial" w:hAnsi="Arial" w:cs="Arial"/>
          <w:sz w:val="24"/>
          <w:szCs w:val="24"/>
        </w:rPr>
        <w:t> </w:t>
      </w:r>
      <w:r>
        <w:rPr>
          <w:rFonts w:ascii="Arial" w:hAnsi="Arial" w:cs="Arial"/>
          <w:sz w:val="24"/>
          <w:szCs w:val="24"/>
        </w:rPr>
        <w:t>Band</w:t>
      </w:r>
      <w:r w:rsidR="00FD14B4">
        <w:rPr>
          <w:rFonts w:ascii="Arial" w:hAnsi="Arial" w:cs="Arial"/>
          <w:sz w:val="24"/>
          <w:szCs w:val="24"/>
        </w:rPr>
        <w:t> </w:t>
      </w:r>
      <w:r>
        <w:rPr>
          <w:rFonts w:ascii="Arial" w:hAnsi="Arial" w:cs="Arial"/>
          <w:sz w:val="24"/>
          <w:szCs w:val="24"/>
        </w:rPr>
        <w:t xml:space="preserve">1 positions, which are discussed in </w:t>
      </w:r>
      <w:r w:rsidR="00433697">
        <w:rPr>
          <w:rFonts w:ascii="Arial" w:hAnsi="Arial" w:cs="Arial"/>
          <w:sz w:val="24"/>
          <w:szCs w:val="24"/>
        </w:rPr>
        <w:t xml:space="preserve">Section </w:t>
      </w:r>
      <w:r w:rsidR="00FD14B4">
        <w:rPr>
          <w:rFonts w:ascii="Arial" w:hAnsi="Arial" w:cs="Arial"/>
          <w:sz w:val="24"/>
          <w:szCs w:val="24"/>
        </w:rPr>
        <w:t xml:space="preserve">4.5, </w:t>
      </w:r>
      <w:r>
        <w:rPr>
          <w:rFonts w:ascii="Arial" w:hAnsi="Arial" w:cs="Arial"/>
          <w:sz w:val="24"/>
          <w:szCs w:val="24"/>
        </w:rPr>
        <w:t xml:space="preserve">Capable People. </w:t>
      </w:r>
    </w:p>
    <w:p w14:paraId="3699B266" w14:textId="1F5B8163" w:rsidR="00261EEF" w:rsidRPr="00261EEF" w:rsidRDefault="00261EEF" w:rsidP="00261EEF">
      <w:pPr>
        <w:spacing w:before="120" w:after="120" w:line="240" w:lineRule="auto"/>
        <w:textAlignment w:val="baseline"/>
        <w:rPr>
          <w:rFonts w:ascii="Arial" w:hAnsi="Arial" w:cs="Arial"/>
          <w:sz w:val="24"/>
          <w:szCs w:val="24"/>
        </w:rPr>
      </w:pPr>
      <w:r w:rsidRPr="00261EEF">
        <w:rPr>
          <w:rFonts w:ascii="Arial" w:hAnsi="Arial" w:cs="Arial"/>
          <w:sz w:val="24"/>
          <w:szCs w:val="24"/>
        </w:rPr>
        <w:t xml:space="preserve">In addition, there is a benefit in bringing ‘operational functions’ under one Deputy Commissioner. The quality assessment and monitoring, </w:t>
      </w:r>
      <w:r w:rsidR="00875ED2">
        <w:rPr>
          <w:rFonts w:ascii="Arial" w:hAnsi="Arial" w:cs="Arial"/>
          <w:sz w:val="24"/>
          <w:szCs w:val="24"/>
        </w:rPr>
        <w:t xml:space="preserve">compliance </w:t>
      </w:r>
      <w:r w:rsidRPr="00261EEF">
        <w:rPr>
          <w:rFonts w:ascii="Arial" w:hAnsi="Arial" w:cs="Arial"/>
          <w:sz w:val="24"/>
          <w:szCs w:val="24"/>
        </w:rPr>
        <w:t xml:space="preserve">and </w:t>
      </w:r>
      <w:r w:rsidR="00875ED2">
        <w:rPr>
          <w:rFonts w:ascii="Arial" w:hAnsi="Arial" w:cs="Arial"/>
          <w:sz w:val="24"/>
          <w:szCs w:val="24"/>
        </w:rPr>
        <w:t xml:space="preserve">financial and </w:t>
      </w:r>
      <w:r w:rsidRPr="00261EEF">
        <w:rPr>
          <w:rFonts w:ascii="Arial" w:hAnsi="Arial" w:cs="Arial"/>
          <w:sz w:val="24"/>
          <w:szCs w:val="24"/>
        </w:rPr>
        <w:t>prudential functions will be more easily managed</w:t>
      </w:r>
      <w:r w:rsidR="00E64EB0">
        <w:rPr>
          <w:rFonts w:ascii="Arial" w:hAnsi="Arial" w:cs="Arial"/>
          <w:sz w:val="24"/>
          <w:szCs w:val="24"/>
        </w:rPr>
        <w:t>, gain greater traction,</w:t>
      </w:r>
      <w:r w:rsidRPr="00261EEF">
        <w:rPr>
          <w:rFonts w:ascii="Arial" w:hAnsi="Arial" w:cs="Arial"/>
          <w:sz w:val="24"/>
          <w:szCs w:val="24"/>
        </w:rPr>
        <w:t xml:space="preserve"> and </w:t>
      </w:r>
      <w:r w:rsidR="006D6FDE">
        <w:rPr>
          <w:rFonts w:ascii="Arial" w:hAnsi="Arial" w:cs="Arial"/>
          <w:sz w:val="24"/>
          <w:szCs w:val="24"/>
        </w:rPr>
        <w:t>will</w:t>
      </w:r>
      <w:r w:rsidRPr="00261EEF">
        <w:rPr>
          <w:rFonts w:ascii="Arial" w:hAnsi="Arial" w:cs="Arial"/>
          <w:sz w:val="24"/>
          <w:szCs w:val="24"/>
        </w:rPr>
        <w:t xml:space="preserve"> likely result in better efficiencies. This will result in a more joined up approach from assessment to enforcement activities.</w:t>
      </w:r>
    </w:p>
    <w:p w14:paraId="44FF009C" w14:textId="2FAA1F00" w:rsidR="00261EEF" w:rsidRPr="00261EEF" w:rsidRDefault="00261EEF" w:rsidP="00261EEF">
      <w:pPr>
        <w:spacing w:before="120" w:after="120" w:line="240" w:lineRule="auto"/>
        <w:textAlignment w:val="baseline"/>
        <w:rPr>
          <w:rFonts w:ascii="Arial" w:hAnsi="Arial" w:cs="Arial"/>
          <w:sz w:val="24"/>
          <w:szCs w:val="24"/>
        </w:rPr>
      </w:pPr>
      <w:r w:rsidRPr="00261EEF">
        <w:rPr>
          <w:rFonts w:ascii="Arial" w:hAnsi="Arial" w:cs="Arial"/>
          <w:sz w:val="24"/>
          <w:szCs w:val="24"/>
        </w:rPr>
        <w:t xml:space="preserve">A key early priority following establishment of this structure will be having ‘vertical slice’ workshops within each Group to better integrate functions, </w:t>
      </w:r>
      <w:proofErr w:type="gramStart"/>
      <w:r w:rsidRPr="00261EEF">
        <w:rPr>
          <w:rFonts w:ascii="Arial" w:hAnsi="Arial" w:cs="Arial"/>
          <w:sz w:val="24"/>
          <w:szCs w:val="24"/>
        </w:rPr>
        <w:t>roles</w:t>
      </w:r>
      <w:proofErr w:type="gramEnd"/>
      <w:r w:rsidR="00FD14B4">
        <w:rPr>
          <w:rFonts w:ascii="Arial" w:hAnsi="Arial" w:cs="Arial"/>
          <w:sz w:val="24"/>
          <w:szCs w:val="24"/>
        </w:rPr>
        <w:t xml:space="preserve"> and</w:t>
      </w:r>
      <w:r w:rsidRPr="00261EEF">
        <w:rPr>
          <w:rFonts w:ascii="Arial" w:hAnsi="Arial" w:cs="Arial"/>
          <w:sz w:val="24"/>
          <w:szCs w:val="24"/>
        </w:rPr>
        <w:t xml:space="preserve"> culture and </w:t>
      </w:r>
      <w:r w:rsidR="00FD14B4">
        <w:rPr>
          <w:rFonts w:ascii="Arial" w:hAnsi="Arial" w:cs="Arial"/>
          <w:sz w:val="24"/>
          <w:szCs w:val="24"/>
        </w:rPr>
        <w:t xml:space="preserve">to </w:t>
      </w:r>
      <w:r w:rsidRPr="00261EEF">
        <w:rPr>
          <w:rFonts w:ascii="Arial" w:hAnsi="Arial" w:cs="Arial"/>
          <w:sz w:val="24"/>
          <w:szCs w:val="24"/>
        </w:rPr>
        <w:t xml:space="preserve">identify improvements. In addition, these processes should focus on ideas and options to build staff capability and retain skills and expertise. </w:t>
      </w:r>
    </w:p>
    <w:p w14:paraId="7904CDB0" w14:textId="11E284FE"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I note that that any increase in </w:t>
      </w:r>
      <w:r w:rsidR="006D6FDE">
        <w:rPr>
          <w:rFonts w:ascii="Arial" w:hAnsi="Arial" w:cs="Arial"/>
          <w:sz w:val="24"/>
          <w:szCs w:val="24"/>
        </w:rPr>
        <w:t xml:space="preserve">the </w:t>
      </w:r>
      <w:r>
        <w:rPr>
          <w:rFonts w:ascii="Arial" w:hAnsi="Arial" w:cs="Arial"/>
          <w:sz w:val="24"/>
          <w:szCs w:val="24"/>
        </w:rPr>
        <w:t xml:space="preserve">SES </w:t>
      </w:r>
      <w:r w:rsidR="006D6FDE">
        <w:rPr>
          <w:rFonts w:ascii="Arial" w:hAnsi="Arial" w:cs="Arial"/>
          <w:sz w:val="24"/>
          <w:szCs w:val="24"/>
        </w:rPr>
        <w:t xml:space="preserve">cohort </w:t>
      </w:r>
      <w:r>
        <w:rPr>
          <w:rFonts w:ascii="Arial" w:hAnsi="Arial" w:cs="Arial"/>
          <w:sz w:val="24"/>
          <w:szCs w:val="24"/>
        </w:rPr>
        <w:t>will require negotiation with appropriate stakeholders to meet the requirements of the SES cap across the APS.</w:t>
      </w:r>
    </w:p>
    <w:p w14:paraId="44B2B529" w14:textId="07611F9A" w:rsidR="00F90494" w:rsidRDefault="00F90494" w:rsidP="00F90494">
      <w:pPr>
        <w:spacing w:before="120" w:after="120" w:line="240" w:lineRule="auto"/>
        <w:rPr>
          <w:rFonts w:ascii="Arial" w:hAnsi="Arial" w:cs="Arial"/>
          <w:i/>
          <w:iCs/>
          <w:sz w:val="24"/>
          <w:szCs w:val="24"/>
        </w:rPr>
      </w:pPr>
      <w:r>
        <w:rPr>
          <w:rFonts w:ascii="Arial" w:hAnsi="Arial" w:cs="Arial"/>
          <w:sz w:val="24"/>
          <w:szCs w:val="24"/>
        </w:rPr>
        <w:t>The membership (Commissioner</w:t>
      </w:r>
      <w:r w:rsidR="00FD14B4">
        <w:rPr>
          <w:rFonts w:ascii="Arial" w:hAnsi="Arial" w:cs="Arial"/>
          <w:sz w:val="24"/>
          <w:szCs w:val="24"/>
        </w:rPr>
        <w:t xml:space="preserve">, </w:t>
      </w:r>
      <w:r>
        <w:rPr>
          <w:rFonts w:ascii="Arial" w:hAnsi="Arial" w:cs="Arial"/>
          <w:sz w:val="24"/>
          <w:szCs w:val="24"/>
        </w:rPr>
        <w:t xml:space="preserve">Deputy Commissioners and equivalent) and role of the proposed new ELG is discussed in </w:t>
      </w:r>
      <w:r w:rsidR="00433697">
        <w:rPr>
          <w:rFonts w:ascii="Arial" w:hAnsi="Arial" w:cs="Arial"/>
          <w:sz w:val="24"/>
          <w:szCs w:val="24"/>
        </w:rPr>
        <w:t xml:space="preserve">Section </w:t>
      </w:r>
      <w:r>
        <w:rPr>
          <w:rFonts w:ascii="Arial" w:hAnsi="Arial" w:cs="Arial"/>
          <w:sz w:val="24"/>
          <w:szCs w:val="24"/>
        </w:rPr>
        <w:t xml:space="preserve">4.3, </w:t>
      </w:r>
      <w:r>
        <w:rPr>
          <w:rFonts w:ascii="Arial" w:hAnsi="Arial" w:cs="Arial"/>
          <w:i/>
          <w:iCs/>
          <w:sz w:val="24"/>
          <w:szCs w:val="24"/>
        </w:rPr>
        <w:t>Good internal governance.</w:t>
      </w:r>
    </w:p>
    <w:p w14:paraId="16DCB014" w14:textId="31EAD01D" w:rsidR="00F90494" w:rsidRDefault="00F90494" w:rsidP="00F90494">
      <w:pPr>
        <w:spacing w:before="120" w:after="120" w:line="240" w:lineRule="auto"/>
        <w:rPr>
          <w:rFonts w:ascii="Arial" w:hAnsi="Arial" w:cs="Arial"/>
          <w:sz w:val="24"/>
          <w:szCs w:val="24"/>
        </w:rPr>
      </w:pPr>
      <w:r>
        <w:rPr>
          <w:rFonts w:ascii="Arial" w:hAnsi="Arial" w:cs="Arial"/>
          <w:sz w:val="24"/>
          <w:szCs w:val="24"/>
        </w:rPr>
        <w:t xml:space="preserve">A key focus of ELG will be to lead, develop and maintain a more cohesive culture, one that values data and risk-based approaches across </w:t>
      </w:r>
      <w:proofErr w:type="gramStart"/>
      <w:r>
        <w:rPr>
          <w:rFonts w:ascii="Arial" w:hAnsi="Arial" w:cs="Arial"/>
          <w:sz w:val="24"/>
          <w:szCs w:val="24"/>
        </w:rPr>
        <w:t>all of</w:t>
      </w:r>
      <w:proofErr w:type="gramEnd"/>
      <w:r>
        <w:rPr>
          <w:rFonts w:ascii="Arial" w:hAnsi="Arial" w:cs="Arial"/>
          <w:sz w:val="24"/>
          <w:szCs w:val="24"/>
        </w:rPr>
        <w:t xml:space="preserve"> the work of the Commission, and is collaborative, transparent, respectful, accountable, and values diversity. ELG should also ensure that the culture values and promotes active engagement and transparency externally, with consumers and their families, and providers. </w:t>
      </w:r>
    </w:p>
    <w:p w14:paraId="6E4D5393" w14:textId="77777777" w:rsidR="00EC25F3" w:rsidRDefault="00F90494">
      <w:pPr>
        <w:rPr>
          <w:rFonts w:ascii="Arial" w:hAnsi="Arial" w:cs="Arial"/>
          <w:sz w:val="24"/>
          <w:szCs w:val="24"/>
        </w:rPr>
      </w:pPr>
      <w:r>
        <w:rPr>
          <w:rFonts w:ascii="Arial" w:hAnsi="Arial" w:cs="Arial"/>
          <w:sz w:val="24"/>
          <w:szCs w:val="24"/>
        </w:rPr>
        <w:t xml:space="preserve">The One Commission Strategy is a good start but needs to be reinforced through a clear reporting and evaluation framework to measure the success of each of the initiatives. Currently, responsibility is shared between various groups across the Commission. ELG must clarify responsibilities and accountabilities to ensure that the Strategy succeeds and incorporate the reporting and evaluation framework into the governance framework discussed in </w:t>
      </w:r>
      <w:r w:rsidR="00987DE8">
        <w:rPr>
          <w:rFonts w:ascii="Arial" w:hAnsi="Arial" w:cs="Arial"/>
          <w:sz w:val="24"/>
          <w:szCs w:val="24"/>
        </w:rPr>
        <w:t xml:space="preserve">Section </w:t>
      </w:r>
      <w:r>
        <w:rPr>
          <w:rFonts w:ascii="Arial" w:hAnsi="Arial" w:cs="Arial"/>
          <w:sz w:val="24"/>
          <w:szCs w:val="24"/>
        </w:rPr>
        <w:t>4.3.</w:t>
      </w:r>
    </w:p>
    <w:p w14:paraId="561911E3" w14:textId="1B8CFF4A" w:rsidR="00577EE4" w:rsidRDefault="00B02A38" w:rsidP="00B02548">
      <w:pPr>
        <w:keepNext/>
        <w:rPr>
          <w:rFonts w:ascii="Times New Roman" w:hAnsi="Times New Roman" w:cs="Times New Roman"/>
          <w:sz w:val="24"/>
          <w:szCs w:val="24"/>
          <w:lang w:eastAsia="en-AU"/>
        </w:rPr>
      </w:pPr>
      <w:r w:rsidRPr="00AB19BC">
        <w:rPr>
          <w:rFonts w:ascii="Arial" w:hAnsi="Arial" w:cs="Arial"/>
          <w:b/>
          <w:bCs/>
          <w:sz w:val="24"/>
          <w:szCs w:val="24"/>
        </w:rPr>
        <w:lastRenderedPageBreak/>
        <w:t xml:space="preserve">Figure </w:t>
      </w:r>
      <w:r w:rsidR="00496A8A">
        <w:rPr>
          <w:rFonts w:ascii="Arial" w:hAnsi="Arial" w:cs="Arial"/>
          <w:b/>
          <w:bCs/>
          <w:sz w:val="24"/>
          <w:szCs w:val="24"/>
        </w:rPr>
        <w:t>4</w:t>
      </w:r>
      <w:r w:rsidR="00AB19BC" w:rsidRPr="00AB19BC">
        <w:rPr>
          <w:rFonts w:ascii="Arial" w:hAnsi="Arial" w:cs="Arial"/>
          <w:b/>
          <w:bCs/>
          <w:sz w:val="24"/>
          <w:szCs w:val="24"/>
        </w:rPr>
        <w:t>:</w:t>
      </w:r>
      <w:r w:rsidRPr="00AB19BC">
        <w:rPr>
          <w:rFonts w:ascii="Arial" w:hAnsi="Arial" w:cs="Arial"/>
          <w:b/>
          <w:bCs/>
          <w:sz w:val="24"/>
          <w:szCs w:val="24"/>
        </w:rPr>
        <w:t xml:space="preserve"> Proposed new </w:t>
      </w:r>
      <w:r w:rsidR="00577EE4">
        <w:rPr>
          <w:rFonts w:ascii="Arial" w:hAnsi="Arial" w:cs="Arial"/>
          <w:b/>
          <w:bCs/>
          <w:sz w:val="24"/>
          <w:szCs w:val="24"/>
        </w:rPr>
        <w:t>structure</w:t>
      </w:r>
      <w:r w:rsidR="00577EE4">
        <w:rPr>
          <w:rFonts w:ascii="Times New Roman" w:hAnsi="Times New Roman" w:cs="Times New Roman"/>
          <w:sz w:val="24"/>
          <w:szCs w:val="24"/>
          <w:lang w:eastAsia="en-AU"/>
        </w:rPr>
        <w:t xml:space="preserve"> </w:t>
      </w:r>
    </w:p>
    <w:p w14:paraId="2783AC74" w14:textId="68616F0D" w:rsidR="00AF1175" w:rsidRDefault="00AF1175" w:rsidP="00B02A38">
      <w:pPr>
        <w:spacing w:before="120" w:after="120" w:line="240" w:lineRule="auto"/>
        <w:rPr>
          <w:rFonts w:ascii="Arial" w:hAnsi="Arial" w:cs="Arial"/>
          <w:sz w:val="24"/>
          <w:szCs w:val="24"/>
        </w:rPr>
      </w:pPr>
      <w:r w:rsidRPr="0007625C">
        <w:rPr>
          <w:noProof/>
          <w:sz w:val="18"/>
          <w:szCs w:val="18"/>
        </w:rPr>
        <mc:AlternateContent>
          <mc:Choice Requires="wpc">
            <w:drawing>
              <wp:inline distT="0" distB="0" distL="0" distR="0" wp14:anchorId="7CEE25C7" wp14:editId="0F402F81">
                <wp:extent cx="5715000" cy="6038850"/>
                <wp:effectExtent l="0" t="0" r="0" b="0"/>
                <wp:docPr id="110" name="Canvas 1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prstClr val="white"/>
                        </a:solidFill>
                      </wpc:bg>
                      <wpc:whole/>
                      <wps:wsp>
                        <wps:cNvPr id="5" name="Rectangle 5"/>
                        <wps:cNvSpPr/>
                        <wps:spPr>
                          <a:xfrm>
                            <a:off x="2420925" y="57919"/>
                            <a:ext cx="1081620" cy="310101"/>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14:paraId="017BA028" w14:textId="77777777" w:rsidR="00632D2C" w:rsidRPr="001A14E0" w:rsidRDefault="00632D2C" w:rsidP="00AF1175">
                              <w:pPr>
                                <w:jc w:val="center"/>
                                <w:rPr>
                                  <w:sz w:val="18"/>
                                  <w:szCs w:val="18"/>
                                </w:rPr>
                              </w:pPr>
                              <w:r w:rsidRPr="001A14E0">
                                <w:rPr>
                                  <w:sz w:val="18"/>
                                  <w:szCs w:val="18"/>
                                </w:rPr>
                                <w:t>Commissioner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 name="Rectangle 59"/>
                        <wps:cNvSpPr/>
                        <wps:spPr>
                          <a:xfrm>
                            <a:off x="193730" y="656321"/>
                            <a:ext cx="831989" cy="829579"/>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14:paraId="0699C6B9" w14:textId="77777777" w:rsidR="00632D2C" w:rsidRPr="001A14E0" w:rsidRDefault="00632D2C" w:rsidP="00AF1175">
                              <w:pPr>
                                <w:spacing w:after="0" w:line="240" w:lineRule="auto"/>
                                <w:jc w:val="center"/>
                                <w:rPr>
                                  <w:sz w:val="16"/>
                                  <w:szCs w:val="16"/>
                                </w:rPr>
                              </w:pPr>
                              <w:r w:rsidRPr="001A14E0">
                                <w:rPr>
                                  <w:sz w:val="16"/>
                                  <w:szCs w:val="16"/>
                                </w:rPr>
                                <w:t>Deputy Commissioner Regulatory Operations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0" name="Rectangle 60"/>
                        <wps:cNvSpPr/>
                        <wps:spPr>
                          <a:xfrm>
                            <a:off x="1360280" y="656321"/>
                            <a:ext cx="888089" cy="829579"/>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82D843A" w14:textId="77777777" w:rsidR="00632D2C" w:rsidRPr="001A14E0" w:rsidRDefault="00632D2C" w:rsidP="00AF1175">
                              <w:pPr>
                                <w:spacing w:after="0" w:line="240" w:lineRule="auto"/>
                                <w:jc w:val="center"/>
                                <w:rPr>
                                  <w:sz w:val="16"/>
                                  <w:szCs w:val="16"/>
                                </w:rPr>
                              </w:pPr>
                              <w:r w:rsidRPr="001A14E0">
                                <w:rPr>
                                  <w:sz w:val="16"/>
                                  <w:szCs w:val="16"/>
                                </w:rPr>
                                <w:t>Deputy Commissioner Stakeholder Engagement and Sector Capability</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1" name="Rectangle 61"/>
                        <wps:cNvSpPr/>
                        <wps:spPr>
                          <a:xfrm>
                            <a:off x="2552368" y="658567"/>
                            <a:ext cx="822956" cy="827334"/>
                          </a:xfrm>
                          <a:prstGeom prst="rect">
                            <a:avLst/>
                          </a:prstGeom>
                        </wps:spPr>
                        <wps:style>
                          <a:lnRef idx="2">
                            <a:schemeClr val="accent4">
                              <a:shade val="50000"/>
                            </a:schemeClr>
                          </a:lnRef>
                          <a:fillRef idx="1">
                            <a:schemeClr val="accent4"/>
                          </a:fillRef>
                          <a:effectRef idx="0">
                            <a:schemeClr val="accent4"/>
                          </a:effectRef>
                          <a:fontRef idx="minor">
                            <a:schemeClr val="lt1"/>
                          </a:fontRef>
                        </wps:style>
                        <wps:txbx>
                          <w:txbxContent>
                            <w:p w14:paraId="0B38CE13" w14:textId="4B096D16" w:rsidR="00632D2C" w:rsidRPr="001A14E0" w:rsidRDefault="00632D2C" w:rsidP="00AF1175">
                              <w:pPr>
                                <w:spacing w:after="0" w:line="240" w:lineRule="auto"/>
                                <w:jc w:val="center"/>
                                <w:rPr>
                                  <w:sz w:val="16"/>
                                  <w:szCs w:val="16"/>
                                </w:rPr>
                              </w:pPr>
                              <w:r>
                                <w:rPr>
                                  <w:sz w:val="16"/>
                                  <w:szCs w:val="16"/>
                                </w:rPr>
                                <w:t xml:space="preserve">Aged Care Complaints </w:t>
                              </w:r>
                              <w:r w:rsidRPr="001A14E0">
                                <w:rPr>
                                  <w:sz w:val="16"/>
                                  <w:szCs w:val="16"/>
                                </w:rPr>
                                <w:t xml:space="preserve">Commissioner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2" name="Rectangle 62"/>
                        <wps:cNvSpPr/>
                        <wps:spPr>
                          <a:xfrm>
                            <a:off x="3713258" y="647700"/>
                            <a:ext cx="819785" cy="838201"/>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14:paraId="2DDD5012" w14:textId="2F64C8C9" w:rsidR="00632D2C" w:rsidRPr="001A14E0" w:rsidRDefault="00632D2C" w:rsidP="00AF1175">
                              <w:pPr>
                                <w:spacing w:after="0" w:line="240" w:lineRule="auto"/>
                                <w:jc w:val="center"/>
                                <w:rPr>
                                  <w:sz w:val="16"/>
                                  <w:szCs w:val="16"/>
                                </w:rPr>
                              </w:pPr>
                              <w:r w:rsidRPr="001A14E0">
                                <w:rPr>
                                  <w:sz w:val="16"/>
                                  <w:szCs w:val="16"/>
                                </w:rPr>
                                <w:t>Deputy Commissioner C</w:t>
                              </w:r>
                              <w:r>
                                <w:rPr>
                                  <w:sz w:val="16"/>
                                  <w:szCs w:val="16"/>
                                </w:rPr>
                                <w:t>orporate</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3" name="Rectangle 63"/>
                        <wps:cNvSpPr/>
                        <wps:spPr>
                          <a:xfrm>
                            <a:off x="4827269" y="658566"/>
                            <a:ext cx="867843" cy="82733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2C224EA" w14:textId="43AAC187" w:rsidR="00632D2C" w:rsidRPr="001A14E0" w:rsidRDefault="00632D2C" w:rsidP="00AF1175">
                              <w:pPr>
                                <w:spacing w:after="0" w:line="240" w:lineRule="auto"/>
                                <w:jc w:val="center"/>
                                <w:rPr>
                                  <w:sz w:val="16"/>
                                  <w:szCs w:val="16"/>
                                </w:rPr>
                              </w:pPr>
                              <w:r w:rsidRPr="001A14E0">
                                <w:rPr>
                                  <w:sz w:val="16"/>
                                  <w:szCs w:val="16"/>
                                </w:rPr>
                                <w:t xml:space="preserve">Chief Clinical Advisor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4" name="Rectangle 64"/>
                        <wps:cNvSpPr/>
                        <wps:spPr>
                          <a:xfrm>
                            <a:off x="193730" y="1640180"/>
                            <a:ext cx="831988" cy="883946"/>
                          </a:xfrm>
                          <a:prstGeom prst="rect">
                            <a:avLst/>
                          </a:prstGeom>
                          <a:solidFill>
                            <a:schemeClr val="accent5"/>
                          </a:solidFill>
                          <a:ln>
                            <a:noFill/>
                          </a:ln>
                        </wps:spPr>
                        <wps:style>
                          <a:lnRef idx="0">
                            <a:scrgbClr r="0" g="0" b="0"/>
                          </a:lnRef>
                          <a:fillRef idx="0">
                            <a:scrgbClr r="0" g="0" b="0"/>
                          </a:fillRef>
                          <a:effectRef idx="0">
                            <a:scrgbClr r="0" g="0" b="0"/>
                          </a:effectRef>
                          <a:fontRef idx="minor">
                            <a:schemeClr val="lt1"/>
                          </a:fontRef>
                        </wps:style>
                        <wps:txbx>
                          <w:txbxContent>
                            <w:p w14:paraId="42CF6274" w14:textId="77777777" w:rsidR="00632D2C" w:rsidRPr="001A14E0" w:rsidRDefault="00632D2C" w:rsidP="00AF1175">
                              <w:pPr>
                                <w:spacing w:line="256" w:lineRule="auto"/>
                                <w:jc w:val="center"/>
                                <w:rPr>
                                  <w:rFonts w:eastAsia="Calibri"/>
                                  <w:sz w:val="16"/>
                                  <w:szCs w:val="16"/>
                                </w:rPr>
                              </w:pPr>
                              <w:r w:rsidRPr="001A14E0">
                                <w:rPr>
                                  <w:rFonts w:eastAsia="Calibri"/>
                                  <w:sz w:val="16"/>
                                  <w:szCs w:val="16"/>
                                </w:rPr>
                                <w:t>Executive Director Quality Assessment and Monitoring</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5" name="Rectangle 65"/>
                        <wps:cNvSpPr/>
                        <wps:spPr>
                          <a:xfrm>
                            <a:off x="181445" y="2657067"/>
                            <a:ext cx="844274" cy="1000760"/>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1FB65483" w14:textId="77777777" w:rsidR="00632D2C" w:rsidRPr="001A14E0" w:rsidRDefault="00632D2C" w:rsidP="00AF1175">
                              <w:pPr>
                                <w:spacing w:line="254" w:lineRule="auto"/>
                                <w:jc w:val="center"/>
                                <w:rPr>
                                  <w:rFonts w:eastAsia="Calibri"/>
                                  <w:sz w:val="16"/>
                                  <w:szCs w:val="16"/>
                                </w:rPr>
                              </w:pPr>
                              <w:r w:rsidRPr="001A14E0">
                                <w:rPr>
                                  <w:rFonts w:eastAsia="Calibri"/>
                                  <w:sz w:val="16"/>
                                  <w:szCs w:val="16"/>
                                </w:rPr>
                                <w:t>Executive Director Quality Compliance and Financial and Prudential</w:t>
                              </w:r>
                              <w:r>
                                <w:rPr>
                                  <w:rFonts w:eastAsia="Calibri"/>
                                  <w:sz w:val="18"/>
                                  <w:szCs w:val="18"/>
                                </w:rPr>
                                <w:t xml:space="preserve"> </w:t>
                              </w:r>
                              <w:r w:rsidRPr="001A14E0">
                                <w:rPr>
                                  <w:rFonts w:eastAsia="Calibri"/>
                                  <w:sz w:val="16"/>
                                  <w:szCs w:val="16"/>
                                </w:rPr>
                                <w:t>Regulation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6" name="Rectangle 66"/>
                        <wps:cNvSpPr/>
                        <wps:spPr>
                          <a:xfrm>
                            <a:off x="193730" y="3805170"/>
                            <a:ext cx="844273" cy="919108"/>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75833A33" w14:textId="77777777" w:rsidR="00632D2C" w:rsidRPr="001A14E0" w:rsidRDefault="00632D2C" w:rsidP="00AF1175">
                              <w:pPr>
                                <w:spacing w:line="252" w:lineRule="auto"/>
                                <w:jc w:val="center"/>
                                <w:rPr>
                                  <w:rFonts w:eastAsia="Calibri"/>
                                  <w:color w:val="FFFFFF" w:themeColor="background1"/>
                                  <w:sz w:val="16"/>
                                  <w:szCs w:val="16"/>
                                </w:rPr>
                              </w:pPr>
                              <w:r w:rsidRPr="001A14E0">
                                <w:rPr>
                                  <w:rFonts w:eastAsia="Calibri"/>
                                  <w:color w:val="FFFFFF" w:themeColor="background1"/>
                                  <w:sz w:val="16"/>
                                  <w:szCs w:val="16"/>
                                </w:rPr>
                                <w:t>Executive Director Coordination and Intelligence</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7" name="Rectangle 67"/>
                        <wps:cNvSpPr/>
                        <wps:spPr>
                          <a:xfrm>
                            <a:off x="1360281" y="1640179"/>
                            <a:ext cx="888088" cy="883946"/>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6D7EF9D1" w14:textId="76F6CF8F" w:rsidR="00632D2C" w:rsidRPr="001A14E0" w:rsidRDefault="00632D2C" w:rsidP="00AF1175">
                              <w:pPr>
                                <w:spacing w:line="254" w:lineRule="auto"/>
                                <w:jc w:val="center"/>
                                <w:rPr>
                                  <w:rFonts w:eastAsia="Calibri"/>
                                  <w:sz w:val="16"/>
                                  <w:szCs w:val="16"/>
                                </w:rPr>
                              </w:pPr>
                              <w:r w:rsidRPr="001A14E0">
                                <w:rPr>
                                  <w:rFonts w:eastAsia="Calibri"/>
                                  <w:sz w:val="16"/>
                                  <w:szCs w:val="16"/>
                                </w:rPr>
                                <w:t>Executive Director Stakeholder Engagement, Education and Communication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8" name="Rectangle 68"/>
                        <wps:cNvSpPr/>
                        <wps:spPr>
                          <a:xfrm>
                            <a:off x="1360281" y="2658337"/>
                            <a:ext cx="896040" cy="1000125"/>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099C48CF"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Strategic Projects Sector Capability</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9" name="Rectangle 69"/>
                        <wps:cNvSpPr/>
                        <wps:spPr>
                          <a:xfrm>
                            <a:off x="2552368" y="1636927"/>
                            <a:ext cx="822955" cy="887199"/>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1BE1C246"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Intake and Complaints Resolution</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0" name="Rectangle 70"/>
                        <wps:cNvSpPr/>
                        <wps:spPr>
                          <a:xfrm>
                            <a:off x="2552368" y="2658337"/>
                            <a:ext cx="829730" cy="999490"/>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32CFB11A"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Approvals and Serious Incidents Notifications</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1" name="Rectangle 71"/>
                        <wps:cNvSpPr/>
                        <wps:spPr>
                          <a:xfrm>
                            <a:off x="3713259" y="2659607"/>
                            <a:ext cx="819785" cy="674143"/>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32386CE1" w14:textId="77777777" w:rsidR="00632D2C" w:rsidRPr="001A14E0" w:rsidRDefault="00632D2C" w:rsidP="00AF1175">
                              <w:pPr>
                                <w:spacing w:line="252" w:lineRule="auto"/>
                                <w:jc w:val="center"/>
                                <w:rPr>
                                  <w:rFonts w:eastAsia="Calibri"/>
                                  <w:color w:val="FFFFFF"/>
                                  <w:sz w:val="16"/>
                                  <w:szCs w:val="16"/>
                                </w:rPr>
                              </w:pPr>
                              <w:r w:rsidRPr="001A14E0">
                                <w:rPr>
                                  <w:rFonts w:eastAsia="Calibri"/>
                                  <w:color w:val="FFFFFF"/>
                                  <w:sz w:val="16"/>
                                  <w:szCs w:val="16"/>
                                </w:rPr>
                                <w:t>Executive Director Finance</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2" name="Rectangle 72"/>
                        <wps:cNvSpPr/>
                        <wps:spPr>
                          <a:xfrm>
                            <a:off x="3713259" y="3473405"/>
                            <a:ext cx="819784" cy="66997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0D4667D5" w14:textId="77777777" w:rsidR="00632D2C" w:rsidRPr="001A14E0" w:rsidRDefault="00632D2C" w:rsidP="00AF1175">
                              <w:pPr>
                                <w:spacing w:line="252" w:lineRule="auto"/>
                                <w:jc w:val="center"/>
                                <w:rPr>
                                  <w:rFonts w:eastAsia="Calibri"/>
                                  <w:color w:val="FFFFFF"/>
                                  <w:sz w:val="16"/>
                                  <w:szCs w:val="16"/>
                                </w:rPr>
                              </w:pPr>
                              <w:r w:rsidRPr="001A14E0">
                                <w:rPr>
                                  <w:rFonts w:eastAsia="Calibri"/>
                                  <w:color w:val="FFFFFF"/>
                                  <w:sz w:val="16"/>
                                  <w:szCs w:val="16"/>
                                </w:rPr>
                                <w:t>Executive Director ICT, Digital and Data Strategy</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3" name="Rectangle 73"/>
                        <wps:cNvSpPr/>
                        <wps:spPr>
                          <a:xfrm>
                            <a:off x="3713260" y="4288088"/>
                            <a:ext cx="819784" cy="674438"/>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57D8975C" w14:textId="77777777" w:rsidR="00632D2C" w:rsidRPr="001A14E0" w:rsidRDefault="00632D2C" w:rsidP="00AF1175">
                              <w:pPr>
                                <w:spacing w:line="252" w:lineRule="auto"/>
                                <w:jc w:val="center"/>
                                <w:rPr>
                                  <w:rFonts w:eastAsia="Calibri"/>
                                  <w:color w:val="FFFFFF"/>
                                  <w:sz w:val="16"/>
                                  <w:szCs w:val="16"/>
                                </w:rPr>
                              </w:pPr>
                              <w:r w:rsidRPr="001A14E0">
                                <w:rPr>
                                  <w:rFonts w:eastAsia="Calibri"/>
                                  <w:color w:val="FFFFFF"/>
                                  <w:sz w:val="16"/>
                                  <w:szCs w:val="16"/>
                                </w:rPr>
                                <w:t xml:space="preserve">Executive Director </w:t>
                              </w:r>
                              <w:r>
                                <w:rPr>
                                  <w:rFonts w:eastAsia="Calibri"/>
                                  <w:color w:val="FFFFFF"/>
                                  <w:sz w:val="16"/>
                                  <w:szCs w:val="16"/>
                                </w:rPr>
                                <w:t>People and Culture</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4" name="Rectangle 74"/>
                        <wps:cNvSpPr/>
                        <wps:spPr>
                          <a:xfrm>
                            <a:off x="3713258" y="1652511"/>
                            <a:ext cx="819785" cy="871616"/>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74B2DD27"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 xml:space="preserve">Executive Director </w:t>
                              </w:r>
                              <w:r>
                                <w:rPr>
                                  <w:rFonts w:eastAsia="Calibri"/>
                                  <w:sz w:val="16"/>
                                  <w:szCs w:val="16"/>
                                </w:rPr>
                                <w:t>Enterprise Governance and Corporate Operations</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5" name="Rectangle 75"/>
                        <wps:cNvSpPr/>
                        <wps:spPr>
                          <a:xfrm>
                            <a:off x="4827269" y="1642719"/>
                            <a:ext cx="867844" cy="881406"/>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4A0154D9"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 xml:space="preserve">Senior Practitioner </w:t>
                              </w:r>
                              <w:r>
                                <w:rPr>
                                  <w:rFonts w:eastAsia="Calibri"/>
                                  <w:sz w:val="16"/>
                                  <w:szCs w:val="16"/>
                                </w:rPr>
                                <w:t>Behaviour Support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6" name="Rectangle 76"/>
                        <wps:cNvSpPr/>
                        <wps:spPr>
                          <a:xfrm>
                            <a:off x="1355974" y="3808390"/>
                            <a:ext cx="900347" cy="915699"/>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77B05D25"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Regulatory Policy, Intelligence and Market Insight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7" name="Straight Connector 77"/>
                        <wps:cNvCnPr/>
                        <wps:spPr>
                          <a:xfrm>
                            <a:off x="609724" y="504825"/>
                            <a:ext cx="4651467"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78" name="Straight Connector 78"/>
                        <wps:cNvCnPr/>
                        <wps:spPr>
                          <a:xfrm>
                            <a:off x="2961735" y="368020"/>
                            <a:ext cx="0" cy="13680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79" name="Straight Connector 79"/>
                        <wps:cNvCnPr/>
                        <wps:spPr>
                          <a:xfrm>
                            <a:off x="609848" y="504825"/>
                            <a:ext cx="0" cy="14287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0" name="Straight Connector 80"/>
                        <wps:cNvCnPr/>
                        <wps:spPr>
                          <a:xfrm>
                            <a:off x="5261191" y="504825"/>
                            <a:ext cx="0" cy="14287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1" name="Straight Connector 81"/>
                        <wps:cNvCnPr/>
                        <wps:spPr>
                          <a:xfrm flipH="1" flipV="1">
                            <a:off x="114938" y="1066801"/>
                            <a:ext cx="78792" cy="431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2" name="Straight Connector 82"/>
                        <wps:cNvCnPr/>
                        <wps:spPr>
                          <a:xfrm flipH="1">
                            <a:off x="114935" y="2120971"/>
                            <a:ext cx="91083"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3" name="Straight Connector 83"/>
                        <wps:cNvCnPr/>
                        <wps:spPr>
                          <a:xfrm flipH="1" flipV="1">
                            <a:off x="114937" y="3157339"/>
                            <a:ext cx="66508" cy="108"/>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4" name="Straight Connector 84"/>
                        <wps:cNvCnPr/>
                        <wps:spPr>
                          <a:xfrm flipH="1">
                            <a:off x="114935" y="4264724"/>
                            <a:ext cx="78795"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5" name="Straight Connector 85"/>
                        <wps:cNvCnPr/>
                        <wps:spPr>
                          <a:xfrm>
                            <a:off x="114935" y="1066801"/>
                            <a:ext cx="0" cy="319792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6" name="Straight Connector 86"/>
                        <wps:cNvCnPr/>
                        <wps:spPr>
                          <a:xfrm flipV="1">
                            <a:off x="1804325" y="504826"/>
                            <a:ext cx="0" cy="142874"/>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7" name="Straight Connector 87"/>
                        <wps:cNvCnPr/>
                        <wps:spPr>
                          <a:xfrm flipV="1">
                            <a:off x="2961735" y="504825"/>
                            <a:ext cx="1" cy="14287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8" name="Straight Connector 88"/>
                        <wps:cNvCnPr/>
                        <wps:spPr>
                          <a:xfrm flipV="1">
                            <a:off x="4123152" y="504825"/>
                            <a:ext cx="0" cy="14287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89" name="Straight Connector 89"/>
                        <wps:cNvCnPr/>
                        <wps:spPr>
                          <a:xfrm flipH="1" flipV="1">
                            <a:off x="1286262" y="1066801"/>
                            <a:ext cx="74018" cy="431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0" name="Straight Connector 90"/>
                        <wps:cNvCnPr/>
                        <wps:spPr>
                          <a:xfrm flipH="1" flipV="1">
                            <a:off x="1294214" y="2080527"/>
                            <a:ext cx="66067" cy="162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1" name="Straight Connector 91"/>
                        <wps:cNvCnPr/>
                        <wps:spPr>
                          <a:xfrm flipH="1">
                            <a:off x="1294214" y="3158400"/>
                            <a:ext cx="66067" cy="4969"/>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2" name="Straight Connector 92"/>
                        <wps:cNvCnPr/>
                        <wps:spPr>
                          <a:xfrm flipH="1">
                            <a:off x="1275551" y="4266240"/>
                            <a:ext cx="80423"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3" name="Straight Connector 93"/>
                        <wps:cNvCnPr/>
                        <wps:spPr>
                          <a:xfrm flipH="1">
                            <a:off x="1275551" y="1066801"/>
                            <a:ext cx="10711" cy="319792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4" name="Straight Connector 94"/>
                        <wps:cNvCnPr/>
                        <wps:spPr>
                          <a:xfrm flipH="1" flipV="1">
                            <a:off x="2464904" y="1066801"/>
                            <a:ext cx="87464" cy="543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5" name="Straight Connector 95"/>
                        <wps:cNvCnPr/>
                        <wps:spPr>
                          <a:xfrm flipH="1">
                            <a:off x="2464904" y="2080527"/>
                            <a:ext cx="87464"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6" name="Straight Connector 96"/>
                        <wps:cNvCnPr/>
                        <wps:spPr>
                          <a:xfrm>
                            <a:off x="2552368" y="3158076"/>
                            <a:ext cx="0" cy="529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7" name="Straight Connector 97"/>
                        <wps:cNvCnPr/>
                        <wps:spPr>
                          <a:xfrm>
                            <a:off x="2464904" y="1072234"/>
                            <a:ext cx="1" cy="2076649"/>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8" name="Straight Connector 98"/>
                        <wps:cNvCnPr/>
                        <wps:spPr>
                          <a:xfrm flipH="1">
                            <a:off x="3633746" y="1066801"/>
                            <a:ext cx="79512"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9" name="Straight Connector 99"/>
                        <wps:cNvCnPr/>
                        <wps:spPr>
                          <a:xfrm flipH="1">
                            <a:off x="3633746" y="2088319"/>
                            <a:ext cx="79512"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0" name="Straight Connector 100"/>
                        <wps:cNvCnPr/>
                        <wps:spPr>
                          <a:xfrm>
                            <a:off x="3633746" y="2996679"/>
                            <a:ext cx="79513"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1" name="Straight Connector 101"/>
                        <wps:cNvCnPr/>
                        <wps:spPr>
                          <a:xfrm flipH="1">
                            <a:off x="3633747" y="3808390"/>
                            <a:ext cx="79512"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2" name="Straight Connector 102"/>
                        <wps:cNvCnPr/>
                        <wps:spPr>
                          <a:xfrm flipH="1">
                            <a:off x="3633748" y="4625307"/>
                            <a:ext cx="79512" cy="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3" name="Straight Connector 103"/>
                        <wps:cNvCnPr/>
                        <wps:spPr>
                          <a:xfrm>
                            <a:off x="3633746" y="1066801"/>
                            <a:ext cx="0" cy="3558506"/>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4" name="Straight Connector 104"/>
                        <wps:cNvCnPr/>
                        <wps:spPr>
                          <a:xfrm flipH="1" flipV="1">
                            <a:off x="4731027" y="1066801"/>
                            <a:ext cx="96242" cy="543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5" name="Straight Connector 105"/>
                        <wps:cNvCnPr/>
                        <wps:spPr>
                          <a:xfrm flipH="1" flipV="1">
                            <a:off x="4731027" y="2080527"/>
                            <a:ext cx="96242" cy="289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6" name="Straight Connector 106"/>
                        <wps:cNvCnPr/>
                        <wps:spPr>
                          <a:xfrm>
                            <a:off x="4731026" y="1072234"/>
                            <a:ext cx="1" cy="1008293"/>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7" name="Straight Connector 107"/>
                        <wps:cNvCnPr/>
                        <wps:spPr>
                          <a:xfrm flipH="1">
                            <a:off x="2464904" y="3148883"/>
                            <a:ext cx="87464" cy="1"/>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08" name="Rectangle 108"/>
                        <wps:cNvSpPr/>
                        <wps:spPr>
                          <a:xfrm>
                            <a:off x="2311257" y="5514975"/>
                            <a:ext cx="2144100" cy="295275"/>
                          </a:xfrm>
                          <a:prstGeom prst="rect">
                            <a:avLst/>
                          </a:prstGeom>
                        </wps:spPr>
                        <wps:style>
                          <a:lnRef idx="2">
                            <a:schemeClr val="accent6"/>
                          </a:lnRef>
                          <a:fillRef idx="1">
                            <a:schemeClr val="lt1"/>
                          </a:fillRef>
                          <a:effectRef idx="0">
                            <a:schemeClr val="accent6"/>
                          </a:effectRef>
                          <a:fontRef idx="minor">
                            <a:schemeClr val="dk1"/>
                          </a:fontRef>
                        </wps:style>
                        <wps:txbx>
                          <w:txbxContent>
                            <w:p w14:paraId="435567B9" w14:textId="793FB726" w:rsidR="00632D2C" w:rsidRPr="00D61680" w:rsidRDefault="00632D2C" w:rsidP="005E5436">
                              <w:pPr>
                                <w:jc w:val="center"/>
                              </w:pPr>
                              <w:r w:rsidRPr="00D61680">
                                <w:t xml:space="preserve">Green = </w:t>
                              </w:r>
                              <w:r w:rsidR="005E5436">
                                <w:t>Proposed by Review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9" name="Rectangle 109"/>
                        <wps:cNvSpPr/>
                        <wps:spPr>
                          <a:xfrm>
                            <a:off x="31087" y="5044731"/>
                            <a:ext cx="2144100" cy="335922"/>
                          </a:xfrm>
                          <a:prstGeom prst="rect">
                            <a:avLst/>
                          </a:prstGeom>
                        </wps:spPr>
                        <wps:style>
                          <a:lnRef idx="2">
                            <a:schemeClr val="accent2"/>
                          </a:lnRef>
                          <a:fillRef idx="1">
                            <a:schemeClr val="lt1"/>
                          </a:fillRef>
                          <a:effectRef idx="0">
                            <a:schemeClr val="accent2"/>
                          </a:effectRef>
                          <a:fontRef idx="minor">
                            <a:schemeClr val="dk1"/>
                          </a:fontRef>
                        </wps:style>
                        <wps:txbx>
                          <w:txbxContent>
                            <w:p w14:paraId="4537E731" w14:textId="77777777" w:rsidR="00632D2C" w:rsidRDefault="00632D2C" w:rsidP="005E5436">
                              <w:pPr>
                                <w:spacing w:line="256" w:lineRule="auto"/>
                                <w:jc w:val="center"/>
                                <w:rPr>
                                  <w:rFonts w:eastAsia="Calibri" w:cs="Arial"/>
                                </w:rPr>
                              </w:pPr>
                              <w:r>
                                <w:rPr>
                                  <w:rFonts w:eastAsia="Calibri" w:cs="Arial"/>
                                </w:rPr>
                                <w:t>Orange = Statutory Office Holder</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 name="Rectangle 7"/>
                        <wps:cNvSpPr/>
                        <wps:spPr>
                          <a:xfrm>
                            <a:off x="2311257" y="5044732"/>
                            <a:ext cx="2144100" cy="335922"/>
                          </a:xfrm>
                          <a:prstGeom prst="rect">
                            <a:avLst/>
                          </a:prstGeom>
                        </wps:spPr>
                        <wps:style>
                          <a:lnRef idx="2">
                            <a:schemeClr val="accent5"/>
                          </a:lnRef>
                          <a:fillRef idx="1">
                            <a:schemeClr val="lt1"/>
                          </a:fillRef>
                          <a:effectRef idx="0">
                            <a:schemeClr val="accent5"/>
                          </a:effectRef>
                          <a:fontRef idx="minor">
                            <a:schemeClr val="dk1"/>
                          </a:fontRef>
                        </wps:style>
                        <wps:txbx>
                          <w:txbxContent>
                            <w:p w14:paraId="6DA29138" w14:textId="776275EC" w:rsidR="00D61680" w:rsidRDefault="00D61680" w:rsidP="005E5436">
                              <w:pPr>
                                <w:jc w:val="center"/>
                              </w:pPr>
                              <w:r>
                                <w:t>Blue = Existing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Rectangle 8"/>
                        <wps:cNvSpPr/>
                        <wps:spPr>
                          <a:xfrm>
                            <a:off x="31087" y="5514975"/>
                            <a:ext cx="2144100" cy="295275"/>
                          </a:xfrm>
                          <a:prstGeom prst="rect">
                            <a:avLst/>
                          </a:prstGeom>
                        </wps:spPr>
                        <wps:style>
                          <a:lnRef idx="2">
                            <a:schemeClr val="accent4"/>
                          </a:lnRef>
                          <a:fillRef idx="1">
                            <a:schemeClr val="lt1"/>
                          </a:fillRef>
                          <a:effectRef idx="0">
                            <a:schemeClr val="accent4"/>
                          </a:effectRef>
                          <a:fontRef idx="minor">
                            <a:schemeClr val="dk1"/>
                          </a:fontRef>
                        </wps:style>
                        <wps:txbx>
                          <w:txbxContent>
                            <w:p w14:paraId="3683CFF6" w14:textId="0E09FD83" w:rsidR="00D61680" w:rsidRDefault="00D61680" w:rsidP="005E5436">
                              <w:pPr>
                                <w:jc w:val="center"/>
                              </w:pPr>
                              <w:r>
                                <w:t>Yellow = Announced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7CEE25C7" id="Canvas 110" o:spid="_x0000_s1026" editas="canvas" alt="&quot;&quot;" style="width:450pt;height:475.5pt;mso-position-horizontal-relative:char;mso-position-vertical-relative:line" coordsize="57150,603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57150;height:60388;visibility:visible;mso-wrap-style:square" filled="t">
                  <v:fill o:detectmouseclick="t"/>
                  <v:path o:connecttype="none"/>
                </v:shape>
                <v:rect id="Rectangle 5" o:spid="_x0000_s1028" style="position:absolute;left:24209;top:579;width:10816;height:31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" fillcolor="#ed7d31 [3205]" strokecolor="#823b0b [1605]" strokeweight="1pt">
                  <v:textbox>
                    <w:txbxContent>
                      <w:p w14:paraId="017BA028" w14:textId="77777777" w:rsidR="00632D2C" w:rsidRPr="001A14E0" w:rsidRDefault="00632D2C" w:rsidP="00AF1175">
                        <w:pPr>
                          <w:jc w:val="center"/>
                          <w:rPr>
                            <w:sz w:val="18"/>
                            <w:szCs w:val="18"/>
                          </w:rPr>
                        </w:pPr>
                        <w:r w:rsidRPr="001A14E0">
                          <w:rPr>
                            <w:sz w:val="18"/>
                            <w:szCs w:val="18"/>
                          </w:rPr>
                          <w:t>Commissioner</w:t>
                        </w:r>
                      </w:p>
                    </w:txbxContent>
                  </v:textbox>
                </v:rect>
                <v:rect id="Rectangle 59" o:spid="_x0000_s1029" style="position:absolute;left:1937;top:6563;width:8320;height:82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" fillcolor="#70ad47 [3209]" strokecolor="#375623 [1609]" strokeweight="1pt">
                  <v:textbox>
                    <w:txbxContent>
                      <w:p w14:paraId="0699C6B9" w14:textId="77777777" w:rsidR="00632D2C" w:rsidRPr="001A14E0" w:rsidRDefault="00632D2C" w:rsidP="00AF1175">
                        <w:pPr>
                          <w:spacing w:after="0" w:line="240" w:lineRule="auto"/>
                          <w:jc w:val="center"/>
                          <w:rPr>
                            <w:sz w:val="16"/>
                            <w:szCs w:val="16"/>
                          </w:rPr>
                        </w:pPr>
                        <w:r w:rsidRPr="001A14E0">
                          <w:rPr>
                            <w:sz w:val="16"/>
                            <w:szCs w:val="16"/>
                          </w:rPr>
                          <w:t>Deputy Commissioner Regulatory Operations</w:t>
                        </w:r>
                      </w:p>
                    </w:txbxContent>
                  </v:textbox>
                </v:rect>
                <v:rect id="Rectangle 60" o:spid="_x0000_s1030" style="position:absolute;left:13602;top:6563;width:8881;height:82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" fillcolor="#4472c4 [3204]" strokecolor="#1f3763 [1604]" strokeweight="1pt">
                  <v:textbox>
                    <w:txbxContent>
                      <w:p w14:paraId="682D843A" w14:textId="77777777" w:rsidR="00632D2C" w:rsidRPr="001A14E0" w:rsidRDefault="00632D2C" w:rsidP="00AF1175">
                        <w:pPr>
                          <w:spacing w:after="0" w:line="240" w:lineRule="auto"/>
                          <w:jc w:val="center"/>
                          <w:rPr>
                            <w:sz w:val="16"/>
                            <w:szCs w:val="16"/>
                          </w:rPr>
                        </w:pPr>
                        <w:r w:rsidRPr="001A14E0">
                          <w:rPr>
                            <w:sz w:val="16"/>
                            <w:szCs w:val="16"/>
                          </w:rPr>
                          <w:t>Deputy Commissioner Stakeholder Engagement and Sector Capability</w:t>
                        </w:r>
                      </w:p>
                    </w:txbxContent>
                  </v:textbox>
                </v:rect>
                <v:rect id="Rectangle 61" o:spid="_x0000_s1031" style="position:absolute;left:25523;top:6585;width:8230;height:82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" fillcolor="#ffc000 [3207]" strokecolor="#7f5f00 [1607]" strokeweight="1pt">
                  <v:textbox>
                    <w:txbxContent>
                      <w:p w14:paraId="0B38CE13" w14:textId="4B096D16" w:rsidR="00632D2C" w:rsidRPr="001A14E0" w:rsidRDefault="00632D2C" w:rsidP="00AF1175">
                        <w:pPr>
                          <w:spacing w:after="0" w:line="240" w:lineRule="auto"/>
                          <w:jc w:val="center"/>
                          <w:rPr>
                            <w:sz w:val="16"/>
                            <w:szCs w:val="16"/>
                          </w:rPr>
                        </w:pPr>
                        <w:r>
                          <w:rPr>
                            <w:sz w:val="16"/>
                            <w:szCs w:val="16"/>
                          </w:rPr>
                          <w:t xml:space="preserve">Aged Care Complaints </w:t>
                        </w:r>
                        <w:r w:rsidRPr="001A14E0">
                          <w:rPr>
                            <w:sz w:val="16"/>
                            <w:szCs w:val="16"/>
                          </w:rPr>
                          <w:t xml:space="preserve">Commissioner </w:t>
                        </w:r>
                      </w:p>
                    </w:txbxContent>
                  </v:textbox>
                </v:rect>
                <v:rect id="Rectangle 62" o:spid="_x0000_s1032" style="position:absolute;left:37132;top:6477;width:8198;height:8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" fillcolor="#70ad47 [3209]" strokecolor="#375623 [1609]" strokeweight="1pt">
                  <v:textbox>
                    <w:txbxContent>
                      <w:p w14:paraId="2DDD5012" w14:textId="2F64C8C9" w:rsidR="00632D2C" w:rsidRPr="001A14E0" w:rsidRDefault="00632D2C" w:rsidP="00AF1175">
                        <w:pPr>
                          <w:spacing w:after="0" w:line="240" w:lineRule="auto"/>
                          <w:jc w:val="center"/>
                          <w:rPr>
                            <w:sz w:val="16"/>
                            <w:szCs w:val="16"/>
                          </w:rPr>
                        </w:pPr>
                        <w:r w:rsidRPr="001A14E0">
                          <w:rPr>
                            <w:sz w:val="16"/>
                            <w:szCs w:val="16"/>
                          </w:rPr>
                          <w:t>Deputy Commissioner C</w:t>
                        </w:r>
                        <w:r>
                          <w:rPr>
                            <w:sz w:val="16"/>
                            <w:szCs w:val="16"/>
                          </w:rPr>
                          <w:t>orporate</w:t>
                        </w:r>
                      </w:p>
                    </w:txbxContent>
                  </v:textbox>
                </v:rect>
                <v:rect id="Rectangle 63" o:spid="_x0000_s1033" style="position:absolute;left:48272;top:6585;width:8679;height:82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" fillcolor="#4472c4 [3204]" strokecolor="#1f3763 [1604]" strokeweight="1pt">
                  <v:textbox>
                    <w:txbxContent>
                      <w:p w14:paraId="52C224EA" w14:textId="43AAC187" w:rsidR="00632D2C" w:rsidRPr="001A14E0" w:rsidRDefault="00632D2C" w:rsidP="00AF1175">
                        <w:pPr>
                          <w:spacing w:after="0" w:line="240" w:lineRule="auto"/>
                          <w:jc w:val="center"/>
                          <w:rPr>
                            <w:sz w:val="16"/>
                            <w:szCs w:val="16"/>
                          </w:rPr>
                        </w:pPr>
                        <w:r w:rsidRPr="001A14E0">
                          <w:rPr>
                            <w:sz w:val="16"/>
                            <w:szCs w:val="16"/>
                          </w:rPr>
                          <w:t xml:space="preserve">Chief Clinical Advisor </w:t>
                        </w:r>
                      </w:p>
                    </w:txbxContent>
                  </v:textbox>
                </v:rect>
                <v:rect id="Rectangle 64" o:spid="_x0000_s1034" style="position:absolute;left:1937;top:16401;width:8320;height:8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" fillcolor="#5b9bd5 [3208]" stroked="f">
                  <v:textbox>
                    <w:txbxContent>
                      <w:p w14:paraId="42CF6274" w14:textId="77777777" w:rsidR="00632D2C" w:rsidRPr="001A14E0" w:rsidRDefault="00632D2C" w:rsidP="00AF1175">
                        <w:pPr>
                          <w:spacing w:line="256" w:lineRule="auto"/>
                          <w:jc w:val="center"/>
                          <w:rPr>
                            <w:rFonts w:eastAsia="Calibri"/>
                            <w:sz w:val="16"/>
                            <w:szCs w:val="16"/>
                          </w:rPr>
                        </w:pPr>
                        <w:r w:rsidRPr="001A14E0">
                          <w:rPr>
                            <w:rFonts w:eastAsia="Calibri"/>
                            <w:sz w:val="16"/>
                            <w:szCs w:val="16"/>
                          </w:rPr>
                          <w:t>Executive Director Quality Assessment and Monitoring</w:t>
                        </w:r>
                      </w:p>
                    </w:txbxContent>
                  </v:textbox>
                </v:rect>
                <v:rect id="Rectangle 65" o:spid="_x0000_s1035" style="position:absolute;left:1814;top:26570;width:8443;height:100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" fillcolor="#5b9bd5 [3208]" strokecolor="#1f4d78 [1608]" strokeweight="1pt">
                  <v:textbox>
                    <w:txbxContent>
                      <w:p w14:paraId="1FB65483" w14:textId="77777777" w:rsidR="00632D2C" w:rsidRPr="001A14E0" w:rsidRDefault="00632D2C" w:rsidP="00AF1175">
                        <w:pPr>
                          <w:spacing w:line="254" w:lineRule="auto"/>
                          <w:jc w:val="center"/>
                          <w:rPr>
                            <w:rFonts w:eastAsia="Calibri"/>
                            <w:sz w:val="16"/>
                            <w:szCs w:val="16"/>
                          </w:rPr>
                        </w:pPr>
                        <w:r w:rsidRPr="001A14E0">
                          <w:rPr>
                            <w:rFonts w:eastAsia="Calibri"/>
                            <w:sz w:val="16"/>
                            <w:szCs w:val="16"/>
                          </w:rPr>
                          <w:t>Executive Director Quality Compliance and Financial and Prudential</w:t>
                        </w:r>
                        <w:r>
                          <w:rPr>
                            <w:rFonts w:eastAsia="Calibri"/>
                            <w:sz w:val="18"/>
                            <w:szCs w:val="18"/>
                          </w:rPr>
                          <w:t xml:space="preserve"> </w:t>
                        </w:r>
                        <w:r w:rsidRPr="001A14E0">
                          <w:rPr>
                            <w:rFonts w:eastAsia="Calibri"/>
                            <w:sz w:val="16"/>
                            <w:szCs w:val="16"/>
                          </w:rPr>
                          <w:t>Regulation</w:t>
                        </w:r>
                      </w:p>
                    </w:txbxContent>
                  </v:textbox>
                </v:rect>
                <v:rect id="Rectangle 66" o:spid="_x0000_s1036" style="position:absolute;left:1937;top:38051;width:8443;height:9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" fillcolor="#9ecb81 [2169]" strokecolor="#70ad47 [3209]" strokeweight=".5pt">
                  <v:fill color2="#8ac066 [2617]" rotate="t" colors="0 #b5d5a7;.5 #aace99;1 #9cca86" focus="100%" type="gradient">
                    <o:fill v:ext="view" type="gradientUnscaled"/>
                  </v:fill>
                  <v:textbox>
                    <w:txbxContent>
                      <w:p w14:paraId="75833A33" w14:textId="77777777" w:rsidR="00632D2C" w:rsidRPr="001A14E0" w:rsidRDefault="00632D2C" w:rsidP="00AF1175">
                        <w:pPr>
                          <w:spacing w:line="252" w:lineRule="auto"/>
                          <w:jc w:val="center"/>
                          <w:rPr>
                            <w:rFonts w:eastAsia="Calibri"/>
                            <w:color w:val="FFFFFF" w:themeColor="background1"/>
                            <w:sz w:val="16"/>
                            <w:szCs w:val="16"/>
                          </w:rPr>
                        </w:pPr>
                        <w:r w:rsidRPr="001A14E0">
                          <w:rPr>
                            <w:rFonts w:eastAsia="Calibri"/>
                            <w:color w:val="FFFFFF" w:themeColor="background1"/>
                            <w:sz w:val="16"/>
                            <w:szCs w:val="16"/>
                          </w:rPr>
                          <w:t>Executive Director Coordination and Intelligence</w:t>
                        </w:r>
                      </w:p>
                    </w:txbxContent>
                  </v:textbox>
                </v:rect>
                <v:rect id="Rectangle 67" o:spid="_x0000_s1037" style="position:absolute;left:13602;top:16401;width:8881;height:8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" fillcolor="#5b9bd5 [3208]" strokecolor="#1f4d78 [1608]" strokeweight="1pt">
                  <v:textbox>
                    <w:txbxContent>
                      <w:p w14:paraId="6D7EF9D1" w14:textId="76F6CF8F" w:rsidR="00632D2C" w:rsidRPr="001A14E0" w:rsidRDefault="00632D2C" w:rsidP="00AF1175">
                        <w:pPr>
                          <w:spacing w:line="254" w:lineRule="auto"/>
                          <w:jc w:val="center"/>
                          <w:rPr>
                            <w:rFonts w:eastAsia="Calibri"/>
                            <w:sz w:val="16"/>
                            <w:szCs w:val="16"/>
                          </w:rPr>
                        </w:pPr>
                        <w:r w:rsidRPr="001A14E0">
                          <w:rPr>
                            <w:rFonts w:eastAsia="Calibri"/>
                            <w:sz w:val="16"/>
                            <w:szCs w:val="16"/>
                          </w:rPr>
                          <w:t>Executive Director Stakeholder Engagement, Education and Communication</w:t>
                        </w:r>
                      </w:p>
                    </w:txbxContent>
                  </v:textbox>
                </v:rect>
                <v:rect id="Rectangle 68" o:spid="_x0000_s1038" style="position:absolute;left:13602;top:26583;width:8961;height:10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" fillcolor="#5b9bd5 [3208]" strokecolor="#1f4d78 [1608]" strokeweight="1pt">
                  <v:textbox>
                    <w:txbxContent>
                      <w:p w14:paraId="099C48CF"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Strategic Projects Sector Capability</w:t>
                        </w:r>
                      </w:p>
                    </w:txbxContent>
                  </v:textbox>
                </v:rect>
                <v:rect id="Rectangle 69" o:spid="_x0000_s1039" style="position:absolute;left:25523;top:16369;width:8230;height:88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" fillcolor="#5b9bd5 [3208]" strokecolor="#1f4d78 [1608]" strokeweight="1pt">
                  <v:textbox>
                    <w:txbxContent>
                      <w:p w14:paraId="1BE1C246"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Intake and Complaints Resolution</w:t>
                        </w:r>
                      </w:p>
                    </w:txbxContent>
                  </v:textbox>
                </v:rect>
                <v:rect id="Rectangle 70" o:spid="_x0000_s1040" style="position:absolute;left:25523;top:26583;width:8297;height:99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" fillcolor="#5b9bd5 [3208]" strokecolor="#1f4d78 [1608]" strokeweight="1pt">
                  <v:textbox>
                    <w:txbxContent>
                      <w:p w14:paraId="32CFB11A"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Approvals and Serious Incidents Notifications</w:t>
                        </w:r>
                      </w:p>
                    </w:txbxContent>
                  </v:textbox>
                </v:rect>
                <v:rect id="Rectangle 71" o:spid="_x0000_s1041" style="position:absolute;left:37132;top:26596;width:8198;height:67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" fillcolor="#9ecb81 [2169]" strokecolor="#70ad47 [3209]" strokeweight=".5pt">
                  <v:fill color2="#8ac066 [2617]" rotate="t" colors="0 #b5d5a7;.5 #aace99;1 #9cca86" focus="100%" type="gradient">
                    <o:fill v:ext="view" type="gradientUnscaled"/>
                  </v:fill>
                  <v:textbox>
                    <w:txbxContent>
                      <w:p w14:paraId="32386CE1" w14:textId="77777777" w:rsidR="00632D2C" w:rsidRPr="001A14E0" w:rsidRDefault="00632D2C" w:rsidP="00AF1175">
                        <w:pPr>
                          <w:spacing w:line="252" w:lineRule="auto"/>
                          <w:jc w:val="center"/>
                          <w:rPr>
                            <w:rFonts w:eastAsia="Calibri"/>
                            <w:color w:val="FFFFFF"/>
                            <w:sz w:val="16"/>
                            <w:szCs w:val="16"/>
                          </w:rPr>
                        </w:pPr>
                        <w:r w:rsidRPr="001A14E0">
                          <w:rPr>
                            <w:rFonts w:eastAsia="Calibri"/>
                            <w:color w:val="FFFFFF"/>
                            <w:sz w:val="16"/>
                            <w:szCs w:val="16"/>
                          </w:rPr>
                          <w:t>Executive Director Finance</w:t>
                        </w:r>
                      </w:p>
                    </w:txbxContent>
                  </v:textbox>
                </v:rect>
                <v:rect id="Rectangle 72" o:spid="_x0000_s1042" style="position:absolute;left:37132;top:34734;width:8198;height:66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" fillcolor="#9ecb81 [2169]" strokecolor="#70ad47 [3209]" strokeweight=".5pt">
                  <v:fill color2="#8ac066 [2617]" rotate="t" colors="0 #b5d5a7;.5 #aace99;1 #9cca86" focus="100%" type="gradient">
                    <o:fill v:ext="view" type="gradientUnscaled"/>
                  </v:fill>
                  <v:textbox>
                    <w:txbxContent>
                      <w:p w14:paraId="0D4667D5" w14:textId="77777777" w:rsidR="00632D2C" w:rsidRPr="001A14E0" w:rsidRDefault="00632D2C" w:rsidP="00AF1175">
                        <w:pPr>
                          <w:spacing w:line="252" w:lineRule="auto"/>
                          <w:jc w:val="center"/>
                          <w:rPr>
                            <w:rFonts w:eastAsia="Calibri"/>
                            <w:color w:val="FFFFFF"/>
                            <w:sz w:val="16"/>
                            <w:szCs w:val="16"/>
                          </w:rPr>
                        </w:pPr>
                        <w:r w:rsidRPr="001A14E0">
                          <w:rPr>
                            <w:rFonts w:eastAsia="Calibri"/>
                            <w:color w:val="FFFFFF"/>
                            <w:sz w:val="16"/>
                            <w:szCs w:val="16"/>
                          </w:rPr>
                          <w:t>Executive Director ICT, Digital and Data Strategy</w:t>
                        </w:r>
                      </w:p>
                    </w:txbxContent>
                  </v:textbox>
                </v:rect>
                <v:rect id="Rectangle 73" o:spid="_x0000_s1043" style="position:absolute;left:37132;top:42880;width:8198;height:67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" fillcolor="#9ecb81 [2169]" strokecolor="#70ad47 [3209]" strokeweight=".5pt">
                  <v:fill color2="#8ac066 [2617]" rotate="t" colors="0 #b5d5a7;.5 #aace99;1 #9cca86" focus="100%" type="gradient">
                    <o:fill v:ext="view" type="gradientUnscaled"/>
                  </v:fill>
                  <v:textbox>
                    <w:txbxContent>
                      <w:p w14:paraId="57D8975C" w14:textId="77777777" w:rsidR="00632D2C" w:rsidRPr="001A14E0" w:rsidRDefault="00632D2C" w:rsidP="00AF1175">
                        <w:pPr>
                          <w:spacing w:line="252" w:lineRule="auto"/>
                          <w:jc w:val="center"/>
                          <w:rPr>
                            <w:rFonts w:eastAsia="Calibri"/>
                            <w:color w:val="FFFFFF"/>
                            <w:sz w:val="16"/>
                            <w:szCs w:val="16"/>
                          </w:rPr>
                        </w:pPr>
                        <w:r w:rsidRPr="001A14E0">
                          <w:rPr>
                            <w:rFonts w:eastAsia="Calibri"/>
                            <w:color w:val="FFFFFF"/>
                            <w:sz w:val="16"/>
                            <w:szCs w:val="16"/>
                          </w:rPr>
                          <w:t xml:space="preserve">Executive Director </w:t>
                        </w:r>
                        <w:r>
                          <w:rPr>
                            <w:rFonts w:eastAsia="Calibri"/>
                            <w:color w:val="FFFFFF"/>
                            <w:sz w:val="16"/>
                            <w:szCs w:val="16"/>
                          </w:rPr>
                          <w:t>People and Culture</w:t>
                        </w:r>
                      </w:p>
                    </w:txbxContent>
                  </v:textbox>
                </v:rect>
                <v:rect id="Rectangle 74" o:spid="_x0000_s1044" style="position:absolute;left:37132;top:16525;width:8198;height:8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" fillcolor="#5b9bd5 [3208]" strokecolor="#1f4d78 [1608]" strokeweight="1pt">
                  <v:textbox>
                    <w:txbxContent>
                      <w:p w14:paraId="74B2DD27"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 xml:space="preserve">Executive Director </w:t>
                        </w:r>
                        <w:r>
                          <w:rPr>
                            <w:rFonts w:eastAsia="Calibri"/>
                            <w:sz w:val="16"/>
                            <w:szCs w:val="16"/>
                          </w:rPr>
                          <w:t>Enterprise Governance and Corporate Operations</w:t>
                        </w:r>
                      </w:p>
                    </w:txbxContent>
                  </v:textbox>
                </v:rect>
                <v:rect id="Rectangle 75" o:spid="_x0000_s1045" style="position:absolute;left:48272;top:16427;width:8679;height:88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" fillcolor="#5b9bd5 [3208]" strokecolor="#1f4d78 [1608]" strokeweight="1pt">
                  <v:textbox>
                    <w:txbxContent>
                      <w:p w14:paraId="4A0154D9"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 xml:space="preserve">Senior Practitioner </w:t>
                        </w:r>
                        <w:r>
                          <w:rPr>
                            <w:rFonts w:eastAsia="Calibri"/>
                            <w:sz w:val="16"/>
                            <w:szCs w:val="16"/>
                          </w:rPr>
                          <w:t>Behaviour Support</w:t>
                        </w:r>
                      </w:p>
                    </w:txbxContent>
                  </v:textbox>
                </v:rect>
                <v:rect id="Rectangle 76" o:spid="_x0000_s1046" style="position:absolute;left:13559;top:38083;width:9004;height:91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" fillcolor="#5b9bd5 [3208]" strokecolor="#1f4d78 [1608]" strokeweight="1pt">
                  <v:textbox>
                    <w:txbxContent>
                      <w:p w14:paraId="77B05D25" w14:textId="77777777" w:rsidR="00632D2C" w:rsidRPr="001A14E0" w:rsidRDefault="00632D2C" w:rsidP="00AF1175">
                        <w:pPr>
                          <w:spacing w:line="252" w:lineRule="auto"/>
                          <w:jc w:val="center"/>
                          <w:rPr>
                            <w:rFonts w:eastAsia="Calibri"/>
                            <w:sz w:val="16"/>
                            <w:szCs w:val="16"/>
                          </w:rPr>
                        </w:pPr>
                        <w:r w:rsidRPr="001A14E0">
                          <w:rPr>
                            <w:rFonts w:eastAsia="Calibri"/>
                            <w:sz w:val="16"/>
                            <w:szCs w:val="16"/>
                          </w:rPr>
                          <w:t>Executive Director Regulatory Policy, Intelligence and Market Insight</w:t>
                        </w:r>
                      </w:p>
                    </w:txbxContent>
                  </v:textbox>
                </v:rect>
                <v:line id="Straight Connector 77" o:spid="_x0000_s1047" style="position:absolute;visibility:visible;mso-wrap-style:square" from="6097,5048" to="52611,5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" strokecolor="#4472c4 [3204]" strokeweight=".5pt">
                  <v:stroke joinstyle="miter"/>
                </v:line>
                <v:line id="Straight Connector 78" o:spid="_x0000_s1048" style="position:absolute;visibility:visible;mso-wrap-style:square" from="29617,3680" to="29617,5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" strokecolor="#4472c4 [3204]" strokeweight=".5pt">
                  <v:stroke joinstyle="miter"/>
                </v:line>
                <v:line id="Straight Connector 79" o:spid="_x0000_s1049" style="position:absolute;visibility:visible;mso-wrap-style:square" from="6098,5048" to="6098,6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" strokecolor="#4472c4 [3204]" strokeweight=".5pt">
                  <v:stroke joinstyle="miter"/>
                </v:line>
                <v:line id="Straight Connector 80" o:spid="_x0000_s1050" style="position:absolute;visibility:visible;mso-wrap-style:square" from="52611,5048" to="52611,6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" strokecolor="#4472c4 [3204]" strokeweight=".5pt">
                  <v:stroke joinstyle="miter"/>
                </v:line>
                <v:line id="Straight Connector 81" o:spid="_x0000_s1051" style="position:absolute;flip:x y;visibility:visible;mso-wrap-style:square" from="1149,10668" to="1937,10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" strokecolor="#4472c4 [3204]" strokeweight=".5pt">
                  <v:stroke joinstyle="miter"/>
                </v:line>
                <v:line id="Straight Connector 82" o:spid="_x0000_s1052" style="position:absolute;flip:x;visibility:visible;mso-wrap-style:square" from="1149,21209" to="2060,212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" strokecolor="#4472c4 [3204]" strokeweight=".5pt">
                  <v:stroke joinstyle="miter"/>
                </v:line>
                <v:line id="Straight Connector 83" o:spid="_x0000_s1053" style="position:absolute;flip:x y;visibility:visible;mso-wrap-style:square" from="1149,31573" to="1814,315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" strokecolor="#4472c4 [3204]" strokeweight=".5pt">
                  <v:stroke joinstyle="miter"/>
                </v:line>
                <v:line id="Straight Connector 84" o:spid="_x0000_s1054" style="position:absolute;flip:x;visibility:visible;mso-wrap-style:square" from="1149,42647" to="1937,426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" strokecolor="#4472c4 [3204]" strokeweight=".5pt">
                  <v:stroke joinstyle="miter"/>
                </v:line>
                <v:line id="Straight Connector 85" o:spid="_x0000_s1055" style="position:absolute;visibility:visible;mso-wrap-style:square" from="1149,10668" to="1149,426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" strokecolor="#4472c4 [3204]" strokeweight=".5pt">
                  <v:stroke joinstyle="miter"/>
                </v:line>
                <v:line id="Straight Connector 86" o:spid="_x0000_s1056" style="position:absolute;flip:y;visibility:visible;mso-wrap-style:square" from="18043,5048" to="18043,6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" strokecolor="#4472c4 [3204]" strokeweight=".5pt">
                  <v:stroke joinstyle="miter"/>
                </v:line>
                <v:line id="Straight Connector 87" o:spid="_x0000_s1057" style="position:absolute;flip:y;visibility:visible;mso-wrap-style:square" from="29617,5048" to="29617,6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" strokecolor="#4472c4 [3204]" strokeweight=".5pt">
                  <v:stroke joinstyle="miter"/>
                </v:line>
                <v:line id="Straight Connector 88" o:spid="_x0000_s1058" style="position:absolute;flip:y;visibility:visible;mso-wrap-style:square" from="41231,5048" to="41231,64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" strokecolor="#4472c4 [3204]" strokeweight=".5pt">
                  <v:stroke joinstyle="miter"/>
                </v:line>
                <v:line id="Straight Connector 89" o:spid="_x0000_s1059" style="position:absolute;flip:x y;visibility:visible;mso-wrap-style:square" from="12862,10668" to="13602,10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" strokecolor="#4472c4 [3204]" strokeweight=".5pt">
                  <v:stroke joinstyle="miter"/>
                </v:line>
                <v:line id="Straight Connector 90" o:spid="_x0000_s1060" style="position:absolute;flip:x y;visibility:visible;mso-wrap-style:square" from="12942,20805" to="13602,208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" strokecolor="#4472c4 [3204]" strokeweight=".5pt">
                  <v:stroke joinstyle="miter"/>
                </v:line>
                <v:line id="Straight Connector 91" o:spid="_x0000_s1061" style="position:absolute;flip:x;visibility:visible;mso-wrap-style:square" from="12942,31584" to="13602,316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" strokecolor="#4472c4 [3204]" strokeweight=".5pt">
                  <v:stroke joinstyle="miter"/>
                </v:line>
                <v:line id="Straight Connector 92" o:spid="_x0000_s1062" style="position:absolute;flip:x;visibility:visible;mso-wrap-style:square" from="12755,42662" to="13559,426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" strokecolor="#4472c4 [3204]" strokeweight=".5pt">
                  <v:stroke joinstyle="miter"/>
                </v:line>
                <v:line id="Straight Connector 93" o:spid="_x0000_s1063" style="position:absolute;flip:x;visibility:visible;mso-wrap-style:square" from="12755,10668" to="12862,426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" strokecolor="#4472c4 [3204]" strokeweight=".5pt">
                  <v:stroke joinstyle="miter"/>
                </v:line>
                <v:line id="Straight Connector 94" o:spid="_x0000_s1064" style="position:absolute;flip:x y;visibility:visible;mso-wrap-style:square" from="24649,10668" to="25523,107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" strokecolor="#4472c4 [3204]" strokeweight=".5pt">
                  <v:stroke joinstyle="miter"/>
                </v:line>
                <v:line id="Straight Connector 95" o:spid="_x0000_s1065" style="position:absolute;flip:x;visibility:visible;mso-wrap-style:square" from="24649,20805" to="25523,208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" strokecolor="#4472c4 [3204]" strokeweight=".5pt">
                  <v:stroke joinstyle="miter"/>
                </v:line>
                <v:line id="Straight Connector 96" o:spid="_x0000_s1066" style="position:absolute;visibility:visible;mso-wrap-style:square" from="25523,31580" to="25523,316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" strokecolor="#4472c4 [3204]" strokeweight=".5pt">
                  <v:stroke joinstyle="miter"/>
                </v:line>
                <v:line id="Straight Connector 97" o:spid="_x0000_s1067" style="position:absolute;visibility:visible;mso-wrap-style:square" from="24649,10722" to="24649,314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" strokecolor="#4472c4 [3204]" strokeweight=".5pt">
                  <v:stroke joinstyle="miter"/>
                </v:line>
                <v:line id="Straight Connector 98" o:spid="_x0000_s1068" style="position:absolute;flip:x;visibility:visible;mso-wrap-style:square" from="36337,10668" to="37132,10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" strokecolor="#4472c4 [3204]" strokeweight=".5pt">
                  <v:stroke joinstyle="miter"/>
                </v:line>
                <v:line id="Straight Connector 99" o:spid="_x0000_s1069" style="position:absolute;flip:x;visibility:visible;mso-wrap-style:square" from="36337,20883" to="37132,208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" strokecolor="#4472c4 [3204]" strokeweight=".5pt">
                  <v:stroke joinstyle="miter"/>
                </v:line>
                <v:line id="Straight Connector 100" o:spid="_x0000_s1070" style="position:absolute;visibility:visible;mso-wrap-style:square" from="36337,29966" to="37132,299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" strokecolor="#4472c4 [3204]" strokeweight=".5pt">
                  <v:stroke joinstyle="miter"/>
                </v:line>
                <v:line id="Straight Connector 101" o:spid="_x0000_s1071" style="position:absolute;flip:x;visibility:visible;mso-wrap-style:square" from="36337,38083" to="37132,38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" strokecolor="#4472c4 [3204]" strokeweight=".5pt">
                  <v:stroke joinstyle="miter"/>
                </v:line>
                <v:line id="Straight Connector 102" o:spid="_x0000_s1072" style="position:absolute;flip:x;visibility:visible;mso-wrap-style:square" from="36337,46253" to="37132,462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" strokecolor="#4472c4 [3204]" strokeweight=".5pt">
                  <v:stroke joinstyle="miter"/>
                </v:line>
                <v:line id="Straight Connector 103" o:spid="_x0000_s1073" style="position:absolute;visibility:visible;mso-wrap-style:square" from="36337,10668" to="36337,462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" strokecolor="#4472c4 [3204]" strokeweight=".5pt">
                  <v:stroke joinstyle="miter"/>
                </v:line>
                <v:line id="Straight Connector 104" o:spid="_x0000_s1074" style="position:absolute;flip:x y;visibility:visible;mso-wrap-style:square" from="47310,10668" to="48272,107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" strokecolor="#4472c4 [3204]" strokeweight=".5pt">
                  <v:stroke joinstyle="miter"/>
                </v:line>
                <v:line id="Straight Connector 105" o:spid="_x0000_s1075" style="position:absolute;flip:x y;visibility:visible;mso-wrap-style:square" from="47310,20805" to="48272,208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" strokecolor="#4472c4 [3204]" strokeweight=".5pt">
                  <v:stroke joinstyle="miter"/>
                </v:line>
                <v:line id="Straight Connector 106" o:spid="_x0000_s1076" style="position:absolute;visibility:visible;mso-wrap-style:square" from="47310,10722" to="47310,208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" strokecolor="#4472c4 [3204]" strokeweight=".5pt">
                  <v:stroke joinstyle="miter"/>
                </v:line>
                <v:line id="Straight Connector 107" o:spid="_x0000_s1077" style="position:absolute;flip:x;visibility:visible;mso-wrap-style:square" from="24649,31488" to="25523,314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" strokecolor="#4472c4 [3204]" strokeweight=".5pt">
                  <v:stroke joinstyle="miter"/>
                </v:line>
                <v:rect id="Rectangle 108" o:spid="_x0000_s1078" style="position:absolute;left:23112;top:55149;width:21441;height:29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" fillcolor="white [3201]" strokecolor="#70ad47 [3209]" strokeweight="1pt">
                  <v:textbox>
                    <w:txbxContent>
                      <w:p w14:paraId="435567B9" w14:textId="793FB726" w:rsidR="00632D2C" w:rsidRPr="00D61680" w:rsidRDefault="00632D2C" w:rsidP="005E5436">
                        <w:pPr>
                          <w:jc w:val="center"/>
                        </w:pPr>
                        <w:r w:rsidRPr="00D61680">
                          <w:t xml:space="preserve">Green = </w:t>
                        </w:r>
                        <w:r w:rsidR="005E5436">
                          <w:t>Proposed by Review</w:t>
                        </w:r>
                      </w:p>
                    </w:txbxContent>
                  </v:textbox>
                </v:rect>
                <v:rect id="Rectangle 109" o:spid="_x0000_s1079" style="position:absolute;left:310;top:50447;width:21441;height:33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" fillcolor="white [3201]" strokecolor="#ed7d31 [3205]" strokeweight="1pt">
                  <v:textbox>
                    <w:txbxContent>
                      <w:p w14:paraId="4537E731" w14:textId="77777777" w:rsidR="00632D2C" w:rsidRDefault="00632D2C" w:rsidP="005E5436">
                        <w:pPr>
                          <w:spacing w:line="256" w:lineRule="auto"/>
                          <w:jc w:val="center"/>
                          <w:rPr>
                            <w:rFonts w:eastAsia="Calibri" w:cs="Arial"/>
                          </w:rPr>
                        </w:pPr>
                        <w:r>
                          <w:rPr>
                            <w:rFonts w:eastAsia="Calibri" w:cs="Arial"/>
                          </w:rPr>
                          <w:t>Orange = Statutory Office Holder</w:t>
                        </w:r>
                      </w:p>
                    </w:txbxContent>
                  </v:textbox>
                </v:rect>
                <v:rect id="Rectangle 7" o:spid="_x0000_s1080" style="position:absolute;left:23112;top:50447;width:21441;height:33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" fillcolor="white [3201]" strokecolor="#5b9bd5 [3208]" strokeweight="1pt">
                  <v:textbox>
                    <w:txbxContent>
                      <w:p w14:paraId="6DA29138" w14:textId="776275EC" w:rsidR="00D61680" w:rsidRDefault="00D61680" w:rsidP="005E5436">
                        <w:pPr>
                          <w:jc w:val="center"/>
                        </w:pPr>
                        <w:r>
                          <w:t>Blue = Existing</w:t>
                        </w:r>
                      </w:p>
                    </w:txbxContent>
                  </v:textbox>
                </v:rect>
                <v:rect id="Rectangle 8" o:spid="_x0000_s1081" style="position:absolute;left:310;top:55149;width:21441;height:29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" fillcolor="white [3201]" strokecolor="#ffc000 [3207]" strokeweight="1pt">
                  <v:textbox>
                    <w:txbxContent>
                      <w:p w14:paraId="3683CFF6" w14:textId="0E09FD83" w:rsidR="00D61680" w:rsidRDefault="00D61680" w:rsidP="005E5436">
                        <w:pPr>
                          <w:jc w:val="center"/>
                        </w:pPr>
                        <w:r>
                          <w:t>Yellow = Announced</w:t>
                        </w:r>
                      </w:p>
                    </w:txbxContent>
                  </v:textbox>
                </v:rect>
                <w10:anchorlock/>
              </v:group>
            </w:pict>
          </mc:Fallback>
        </mc:AlternateContent>
      </w:r>
    </w:p>
    <w:p w14:paraId="027BA426" w14:textId="77777777" w:rsidR="00B02548" w:rsidRDefault="00B02548" w:rsidP="00B02548">
      <w:pPr>
        <w:rPr>
          <w:rFonts w:ascii="Arial" w:hAnsi="Arial" w:cs="Arial"/>
          <w:sz w:val="24"/>
          <w:szCs w:val="24"/>
        </w:rPr>
      </w:pPr>
      <w:r w:rsidRPr="00EC25F3">
        <w:rPr>
          <w:rFonts w:ascii="Arial" w:hAnsi="Arial" w:cs="Arial"/>
          <w:sz w:val="24"/>
          <w:szCs w:val="24"/>
        </w:rPr>
        <w:t xml:space="preserve">I was asked to consider the role of Statutory Office Holders. Currently, only the Commissioner is a Statutory Office Holder appointment. I consider that this is appropriate, and do not consider that other roles should be given the specific status of Statutory Office Holder within the structure proposed. </w:t>
      </w:r>
    </w:p>
    <w:p w14:paraId="5C54EE0A" w14:textId="77777777" w:rsidR="00B02548" w:rsidRDefault="00B02548" w:rsidP="00B02548">
      <w:pPr>
        <w:rPr>
          <w:rFonts w:ascii="Arial" w:hAnsi="Arial" w:cs="Arial"/>
          <w:sz w:val="24"/>
          <w:szCs w:val="24"/>
        </w:rPr>
      </w:pPr>
      <w:r w:rsidRPr="00EC25F3">
        <w:rPr>
          <w:rFonts w:ascii="Arial" w:hAnsi="Arial" w:cs="Arial"/>
          <w:sz w:val="24"/>
          <w:szCs w:val="24"/>
        </w:rPr>
        <w:t xml:space="preserve">I am aware that recruitment is underway for a new senior executive position of Complaints Commissioner reporting to the Commissioner, and do not propose that this be held up. I am not satisfied that establishing the Complaints Commissioner as a separate and independent Statutory Office Holder is necessary or desirable. However, given the importance of the complaints function to the wider operation of the aged care sector, particularly </w:t>
      </w:r>
      <w:proofErr w:type="gramStart"/>
      <w:r w:rsidRPr="00EC25F3">
        <w:rPr>
          <w:rFonts w:ascii="Arial" w:hAnsi="Arial" w:cs="Arial"/>
          <w:sz w:val="24"/>
          <w:szCs w:val="24"/>
        </w:rPr>
        <w:t>with regard to</w:t>
      </w:r>
      <w:proofErr w:type="gramEnd"/>
      <w:r w:rsidRPr="00EC25F3">
        <w:rPr>
          <w:rFonts w:ascii="Arial" w:hAnsi="Arial" w:cs="Arial"/>
          <w:sz w:val="24"/>
          <w:szCs w:val="24"/>
        </w:rPr>
        <w:t xml:space="preserve"> quality and safety at an individual and systems level</w:t>
      </w:r>
      <w:r>
        <w:rPr>
          <w:rFonts w:ascii="Arial" w:hAnsi="Arial" w:cs="Arial"/>
          <w:sz w:val="24"/>
          <w:szCs w:val="24"/>
        </w:rPr>
        <w:t>,</w:t>
      </w:r>
      <w:r w:rsidRPr="00EC25F3">
        <w:rPr>
          <w:rFonts w:ascii="Arial" w:hAnsi="Arial" w:cs="Arial"/>
          <w:sz w:val="24"/>
          <w:szCs w:val="24"/>
        </w:rPr>
        <w:t xml:space="preserve"> I </w:t>
      </w:r>
      <w:r>
        <w:rPr>
          <w:rFonts w:ascii="Arial" w:hAnsi="Arial" w:cs="Arial"/>
          <w:sz w:val="24"/>
          <w:szCs w:val="24"/>
        </w:rPr>
        <w:t>consider</w:t>
      </w:r>
      <w:r w:rsidRPr="00EC25F3">
        <w:rPr>
          <w:rFonts w:ascii="Arial" w:hAnsi="Arial" w:cs="Arial"/>
          <w:sz w:val="24"/>
          <w:szCs w:val="24"/>
        </w:rPr>
        <w:t xml:space="preserve"> it is appropriate to have a designated role within the new Aged Care Act with a focus on complaints to elevate the visibility and </w:t>
      </w:r>
      <w:r w:rsidRPr="00EC25F3">
        <w:rPr>
          <w:rFonts w:ascii="Arial" w:hAnsi="Arial" w:cs="Arial"/>
          <w:sz w:val="24"/>
          <w:szCs w:val="24"/>
        </w:rPr>
        <w:lastRenderedPageBreak/>
        <w:t>importance of the function. Consideration could be given in the drafting of the new Aged Care Act to supporting this statutory role with functions and powers to enable the role to work effectively across the regulator (or with other regulators) in an objective and impartial manner.</w:t>
      </w:r>
    </w:p>
    <w:p w14:paraId="0B3DE934" w14:textId="31F99E2C" w:rsidR="00A70FBE" w:rsidRPr="00EB4C10" w:rsidRDefault="00B02A38" w:rsidP="00B02A38">
      <w:pPr>
        <w:spacing w:before="120" w:after="120" w:line="240" w:lineRule="auto"/>
        <w:rPr>
          <w:rFonts w:ascii="Arial" w:hAnsi="Arial" w:cs="Arial"/>
          <w:sz w:val="24"/>
          <w:szCs w:val="24"/>
        </w:rPr>
      </w:pPr>
      <w:r w:rsidRPr="00EB4C10">
        <w:rPr>
          <w:rFonts w:ascii="Arial" w:hAnsi="Arial" w:cs="Arial"/>
          <w:b/>
          <w:bCs/>
          <w:sz w:val="24"/>
          <w:szCs w:val="24"/>
        </w:rPr>
        <w:t>Recommendation</w:t>
      </w:r>
      <w:r w:rsidR="00321162" w:rsidRPr="00EB4C10">
        <w:rPr>
          <w:rFonts w:ascii="Arial" w:hAnsi="Arial" w:cs="Arial"/>
          <w:b/>
          <w:bCs/>
          <w:sz w:val="24"/>
          <w:szCs w:val="24"/>
        </w:rPr>
        <w:t xml:space="preserve"> 4.3</w:t>
      </w:r>
      <w:r w:rsidRPr="00EB4C10">
        <w:rPr>
          <w:rFonts w:ascii="Arial" w:hAnsi="Arial" w:cs="Arial"/>
          <w:sz w:val="24"/>
          <w:szCs w:val="24"/>
        </w:rPr>
        <w:t xml:space="preserve">: </w:t>
      </w:r>
      <w:r w:rsidR="00C11C80">
        <w:rPr>
          <w:rFonts w:ascii="Arial" w:hAnsi="Arial" w:cs="Arial"/>
          <w:sz w:val="24"/>
          <w:szCs w:val="24"/>
        </w:rPr>
        <w:t>The Commission to strengthen its leadership by fully implementing a new organisational structure to better support the Commission’s purpose and outcomes</w:t>
      </w:r>
      <w:r w:rsidR="00A70FBE" w:rsidRPr="00EB4C10">
        <w:rPr>
          <w:rFonts w:ascii="Arial" w:hAnsi="Arial" w:cs="Arial"/>
          <w:sz w:val="24"/>
          <w:szCs w:val="24"/>
        </w:rPr>
        <w:t>, including:</w:t>
      </w:r>
    </w:p>
    <w:p w14:paraId="59136C57" w14:textId="5AE8FB1B" w:rsidR="00B02A38" w:rsidRPr="00EB4C10" w:rsidRDefault="009449D9" w:rsidP="001750D5">
      <w:pPr>
        <w:pStyle w:val="CommentText"/>
        <w:numPr>
          <w:ilvl w:val="0"/>
          <w:numId w:val="70"/>
        </w:numPr>
        <w:rPr>
          <w:rFonts w:ascii="Arial" w:eastAsia="Times New Roman" w:hAnsi="Arial" w:cs="Arial"/>
          <w:sz w:val="24"/>
          <w:szCs w:val="24"/>
        </w:rPr>
      </w:pPr>
      <w:r w:rsidRPr="00EB4C10">
        <w:rPr>
          <w:rFonts w:ascii="Arial" w:eastAsia="Times New Roman" w:hAnsi="Arial" w:cs="Arial"/>
          <w:sz w:val="24"/>
          <w:szCs w:val="24"/>
        </w:rPr>
        <w:t>f</w:t>
      </w:r>
      <w:r w:rsidR="00B02A38" w:rsidRPr="00EB4C10">
        <w:rPr>
          <w:rFonts w:ascii="Arial" w:eastAsia="Times New Roman" w:hAnsi="Arial" w:cs="Arial"/>
          <w:sz w:val="24"/>
          <w:szCs w:val="24"/>
        </w:rPr>
        <w:t xml:space="preserve">our Deputy Commissioners, at the SES Band 2 level, as well as the Chief Clinical </w:t>
      </w:r>
      <w:r w:rsidR="00D2192B" w:rsidRPr="00EB4C10">
        <w:rPr>
          <w:rFonts w:ascii="Arial" w:eastAsia="Times New Roman" w:hAnsi="Arial" w:cs="Arial"/>
          <w:sz w:val="24"/>
          <w:szCs w:val="24"/>
        </w:rPr>
        <w:t>Advisor</w:t>
      </w:r>
    </w:p>
    <w:p w14:paraId="59303DA4" w14:textId="2CC263EF" w:rsidR="00B02A38" w:rsidRPr="00EB4C10" w:rsidRDefault="009449D9" w:rsidP="001750D5">
      <w:pPr>
        <w:pStyle w:val="CommentText"/>
        <w:numPr>
          <w:ilvl w:val="0"/>
          <w:numId w:val="70"/>
        </w:numPr>
        <w:rPr>
          <w:rFonts w:ascii="Arial" w:eastAsia="Times New Roman" w:hAnsi="Arial" w:cs="Arial"/>
          <w:sz w:val="24"/>
          <w:szCs w:val="24"/>
        </w:rPr>
      </w:pPr>
      <w:r w:rsidRPr="00EB4C10">
        <w:rPr>
          <w:rFonts w:ascii="Arial" w:eastAsia="Times New Roman" w:hAnsi="Arial" w:cs="Arial"/>
          <w:sz w:val="24"/>
          <w:szCs w:val="24"/>
        </w:rPr>
        <w:t>b</w:t>
      </w:r>
      <w:r w:rsidR="00B02A38" w:rsidRPr="00EB4C10">
        <w:rPr>
          <w:rFonts w:ascii="Arial" w:eastAsia="Times New Roman" w:hAnsi="Arial" w:cs="Arial"/>
          <w:sz w:val="24"/>
          <w:szCs w:val="24"/>
        </w:rPr>
        <w:t xml:space="preserve">ringing similar functions together under each Deputy Commissioner, and having a </w:t>
      </w:r>
      <w:r w:rsidR="00AB19BC" w:rsidRPr="00EB4C10">
        <w:rPr>
          <w:rFonts w:ascii="Arial" w:eastAsia="Times New Roman" w:hAnsi="Arial" w:cs="Arial"/>
          <w:sz w:val="24"/>
          <w:szCs w:val="24"/>
        </w:rPr>
        <w:t>Deputy Commissioner Corporate</w:t>
      </w:r>
      <w:r w:rsidR="00B02A38" w:rsidRPr="00EB4C10">
        <w:rPr>
          <w:rFonts w:ascii="Arial" w:eastAsia="Times New Roman" w:hAnsi="Arial" w:cs="Arial"/>
          <w:sz w:val="24"/>
          <w:szCs w:val="24"/>
        </w:rPr>
        <w:t xml:space="preserve"> to rapidly lift the capability and capacity of the corporate enablers</w:t>
      </w:r>
      <w:r w:rsidR="00A70FBE" w:rsidRPr="00EB4C10">
        <w:rPr>
          <w:rFonts w:ascii="Arial" w:eastAsia="Times New Roman" w:hAnsi="Arial" w:cs="Arial"/>
          <w:sz w:val="24"/>
          <w:szCs w:val="24"/>
        </w:rPr>
        <w:t>, and</w:t>
      </w:r>
    </w:p>
    <w:p w14:paraId="2CBB1952" w14:textId="7AB082C3" w:rsidR="00B02A38" w:rsidRPr="00EB4C10" w:rsidRDefault="00B02A38" w:rsidP="001750D5">
      <w:pPr>
        <w:pStyle w:val="ListParagraph"/>
        <w:numPr>
          <w:ilvl w:val="0"/>
          <w:numId w:val="70"/>
        </w:numPr>
        <w:spacing w:before="120" w:after="120" w:line="240" w:lineRule="auto"/>
        <w:rPr>
          <w:rFonts w:ascii="Arial" w:eastAsia="Times New Roman" w:hAnsi="Arial" w:cs="Arial"/>
          <w:sz w:val="24"/>
          <w:szCs w:val="24"/>
        </w:rPr>
      </w:pPr>
      <w:r w:rsidRPr="00EB4C10">
        <w:rPr>
          <w:rFonts w:ascii="Arial" w:hAnsi="Arial" w:cs="Arial"/>
          <w:sz w:val="24"/>
          <w:szCs w:val="24"/>
        </w:rPr>
        <w:t xml:space="preserve">ELG </w:t>
      </w:r>
      <w:r w:rsidR="00A70FBE" w:rsidRPr="00EB4C10">
        <w:rPr>
          <w:rFonts w:ascii="Arial" w:hAnsi="Arial" w:cs="Arial"/>
          <w:sz w:val="24"/>
          <w:szCs w:val="24"/>
        </w:rPr>
        <w:t xml:space="preserve">to </w:t>
      </w:r>
      <w:r w:rsidRPr="00EB4C10">
        <w:rPr>
          <w:rFonts w:ascii="Arial" w:hAnsi="Arial" w:cs="Arial"/>
          <w:sz w:val="24"/>
          <w:szCs w:val="24"/>
        </w:rPr>
        <w:t>lead a renewed drive to implement the One Commission Strategy</w:t>
      </w:r>
      <w:r w:rsidR="00A70FBE" w:rsidRPr="00EB4C10">
        <w:rPr>
          <w:rFonts w:ascii="Arial" w:hAnsi="Arial" w:cs="Arial"/>
          <w:sz w:val="24"/>
          <w:szCs w:val="24"/>
        </w:rPr>
        <w:t>.</w:t>
      </w:r>
      <w:r w:rsidRPr="00EB4C10">
        <w:rPr>
          <w:rFonts w:ascii="Arial" w:hAnsi="Arial" w:cs="Arial"/>
          <w:sz w:val="24"/>
          <w:szCs w:val="24"/>
        </w:rPr>
        <w:t xml:space="preserve"> </w:t>
      </w:r>
    </w:p>
    <w:p w14:paraId="1E945928" w14:textId="0C1DA8C9" w:rsidR="008E7890" w:rsidRPr="001364C7" w:rsidRDefault="00967691" w:rsidP="001364C7">
      <w:pPr>
        <w:spacing w:before="120" w:after="360" w:line="240" w:lineRule="auto"/>
        <w:rPr>
          <w:rFonts w:ascii="Arial" w:eastAsia="Times New Roman" w:hAnsi="Arial" w:cs="Arial"/>
          <w:sz w:val="24"/>
          <w:szCs w:val="24"/>
        </w:rPr>
      </w:pPr>
      <w:r w:rsidRPr="00EB4C10">
        <w:rPr>
          <w:rFonts w:ascii="Arial" w:eastAsia="Times New Roman" w:hAnsi="Arial" w:cs="Arial"/>
          <w:sz w:val="24"/>
          <w:szCs w:val="24"/>
        </w:rPr>
        <w:t>The new structure should be in place by no later tha</w:t>
      </w:r>
      <w:r w:rsidR="00C90046" w:rsidRPr="00EB4C10">
        <w:rPr>
          <w:rFonts w:ascii="Arial" w:eastAsia="Times New Roman" w:hAnsi="Arial" w:cs="Arial"/>
          <w:sz w:val="24"/>
          <w:szCs w:val="24"/>
        </w:rPr>
        <w:t>n</w:t>
      </w:r>
      <w:r w:rsidRPr="00EB4C10">
        <w:rPr>
          <w:rFonts w:ascii="Arial" w:eastAsia="Times New Roman" w:hAnsi="Arial" w:cs="Arial"/>
          <w:sz w:val="24"/>
          <w:szCs w:val="24"/>
        </w:rPr>
        <w:t xml:space="preserve"> 30 September 2023.</w:t>
      </w:r>
      <w:bookmarkEnd w:id="14"/>
    </w:p>
    <w:p w14:paraId="3296824C" w14:textId="01546ADD" w:rsidR="00F54A39" w:rsidRPr="00A00298" w:rsidRDefault="00A2358A" w:rsidP="00A00298">
      <w:pPr>
        <w:rPr>
          <w:rFonts w:ascii="Arial" w:hAnsi="Arial" w:cs="Arial"/>
          <w:b/>
          <w:bCs/>
          <w:sz w:val="28"/>
          <w:szCs w:val="28"/>
        </w:rPr>
      </w:pPr>
      <w:r w:rsidRPr="00A00298">
        <w:rPr>
          <w:rFonts w:ascii="Arial" w:hAnsi="Arial" w:cs="Arial"/>
          <w:b/>
          <w:bCs/>
          <w:sz w:val="28"/>
          <w:szCs w:val="28"/>
        </w:rPr>
        <w:t>4</w:t>
      </w:r>
      <w:r w:rsidR="00F54A39" w:rsidRPr="00A00298">
        <w:rPr>
          <w:rFonts w:ascii="Arial" w:hAnsi="Arial" w:cs="Arial"/>
          <w:b/>
          <w:bCs/>
          <w:sz w:val="28"/>
          <w:szCs w:val="28"/>
        </w:rPr>
        <w:t>.</w:t>
      </w:r>
      <w:r w:rsidR="009449D9" w:rsidRPr="00A00298">
        <w:rPr>
          <w:rFonts w:ascii="Arial" w:hAnsi="Arial" w:cs="Arial"/>
          <w:b/>
          <w:bCs/>
          <w:sz w:val="28"/>
          <w:szCs w:val="28"/>
        </w:rPr>
        <w:t>3</w:t>
      </w:r>
      <w:r w:rsidR="00F54A39" w:rsidRPr="00A00298">
        <w:rPr>
          <w:rFonts w:ascii="Arial" w:hAnsi="Arial" w:cs="Arial"/>
          <w:b/>
          <w:bCs/>
          <w:sz w:val="28"/>
          <w:szCs w:val="28"/>
        </w:rPr>
        <w:t xml:space="preserve"> Good </w:t>
      </w:r>
      <w:r w:rsidR="009449D9" w:rsidRPr="00A00298">
        <w:rPr>
          <w:rFonts w:ascii="Arial" w:hAnsi="Arial" w:cs="Arial"/>
          <w:b/>
          <w:bCs/>
          <w:sz w:val="28"/>
          <w:szCs w:val="28"/>
        </w:rPr>
        <w:t>internal</w:t>
      </w:r>
      <w:r w:rsidR="00F54A39" w:rsidRPr="00A00298">
        <w:rPr>
          <w:rFonts w:ascii="Arial" w:hAnsi="Arial" w:cs="Arial"/>
          <w:b/>
          <w:bCs/>
          <w:sz w:val="28"/>
          <w:szCs w:val="28"/>
        </w:rPr>
        <w:t xml:space="preserve"> governance</w:t>
      </w:r>
    </w:p>
    <w:p w14:paraId="41E38C2B" w14:textId="77777777" w:rsidR="00B02A38" w:rsidRDefault="00B02A38" w:rsidP="00B02A38">
      <w:pPr>
        <w:spacing w:before="120" w:after="120" w:line="240" w:lineRule="auto"/>
        <w:rPr>
          <w:rFonts w:ascii="Arial" w:hAnsi="Arial" w:cs="Arial"/>
          <w:i/>
          <w:iCs/>
          <w:sz w:val="24"/>
          <w:szCs w:val="24"/>
        </w:rPr>
      </w:pPr>
      <w:r>
        <w:rPr>
          <w:rFonts w:ascii="Arial" w:hAnsi="Arial" w:cs="Arial"/>
          <w:i/>
          <w:iCs/>
          <w:sz w:val="24"/>
          <w:szCs w:val="24"/>
        </w:rPr>
        <w:t>Best practice</w:t>
      </w:r>
    </w:p>
    <w:p w14:paraId="51851F24" w14:textId="24031ED3"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A comprehensive and robust governance framework is required to best support the purpose and functions of </w:t>
      </w:r>
      <w:r w:rsidR="00D2192B">
        <w:rPr>
          <w:rFonts w:ascii="Arial" w:hAnsi="Arial" w:cs="Arial"/>
          <w:sz w:val="24"/>
          <w:szCs w:val="24"/>
        </w:rPr>
        <w:t>an</w:t>
      </w:r>
      <w:r>
        <w:rPr>
          <w:rFonts w:ascii="Arial" w:hAnsi="Arial" w:cs="Arial"/>
          <w:sz w:val="24"/>
          <w:szCs w:val="24"/>
        </w:rPr>
        <w:t xml:space="preserve"> organisation. It should be appropriate to the size of the organisation, support operational efficiency, and set appropriate levels of delegation and accountability. The governance framework should be transparent to and understood by all staff and should articulate clearly how and by who decisions are made. A good governance structure should also help focus the organisation on key areas of activity, be agile, and enable the </w:t>
      </w:r>
      <w:r w:rsidR="00D2192B">
        <w:rPr>
          <w:rFonts w:ascii="Arial" w:hAnsi="Arial" w:cs="Arial"/>
          <w:sz w:val="24"/>
          <w:szCs w:val="24"/>
        </w:rPr>
        <w:t>executive</w:t>
      </w:r>
      <w:r>
        <w:rPr>
          <w:rFonts w:ascii="Arial" w:hAnsi="Arial" w:cs="Arial"/>
          <w:sz w:val="24"/>
          <w:szCs w:val="24"/>
        </w:rPr>
        <w:t xml:space="preserve"> leadership team to focus on strategic goals and risks.</w:t>
      </w:r>
    </w:p>
    <w:p w14:paraId="7B0899E4" w14:textId="77777777" w:rsidR="00B02A38" w:rsidRDefault="00B02A38" w:rsidP="00B02A38">
      <w:pPr>
        <w:spacing w:before="120" w:after="120" w:line="240" w:lineRule="auto"/>
        <w:rPr>
          <w:rFonts w:ascii="Arial" w:hAnsi="Arial" w:cs="Arial"/>
          <w:i/>
          <w:iCs/>
          <w:sz w:val="24"/>
          <w:szCs w:val="24"/>
        </w:rPr>
      </w:pPr>
      <w:r>
        <w:rPr>
          <w:rFonts w:ascii="Arial" w:hAnsi="Arial" w:cs="Arial"/>
          <w:i/>
          <w:iCs/>
          <w:sz w:val="24"/>
          <w:szCs w:val="24"/>
        </w:rPr>
        <w:t>What the Commission does now</w:t>
      </w:r>
    </w:p>
    <w:p w14:paraId="1404BCA9" w14:textId="77EB8700"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Currently, the two formal governance committees are the ELG and the </w:t>
      </w:r>
      <w:r w:rsidR="00934F07">
        <w:rPr>
          <w:rFonts w:ascii="Arial" w:hAnsi="Arial" w:cs="Arial"/>
          <w:sz w:val="24"/>
          <w:szCs w:val="24"/>
        </w:rPr>
        <w:t xml:space="preserve">Risk and </w:t>
      </w:r>
      <w:r>
        <w:rPr>
          <w:rFonts w:ascii="Arial" w:hAnsi="Arial" w:cs="Arial"/>
          <w:sz w:val="24"/>
          <w:szCs w:val="24"/>
        </w:rPr>
        <w:t xml:space="preserve">Audit Committee. The latter appears to be effective and fulfils the requirements of </w:t>
      </w:r>
      <w:r w:rsidR="00A33F3F">
        <w:rPr>
          <w:rFonts w:ascii="Arial" w:hAnsi="Arial" w:cs="Arial"/>
          <w:sz w:val="24"/>
          <w:szCs w:val="24"/>
        </w:rPr>
        <w:t>Australian Government</w:t>
      </w:r>
      <w:r>
        <w:rPr>
          <w:rFonts w:ascii="Arial" w:hAnsi="Arial" w:cs="Arial"/>
          <w:sz w:val="24"/>
          <w:szCs w:val="24"/>
        </w:rPr>
        <w:t xml:space="preserve"> agencies. The former, as noted earlier, appears to be an information sharing mechanism for </w:t>
      </w:r>
      <w:r w:rsidR="00A33F3F">
        <w:rPr>
          <w:rFonts w:ascii="Arial" w:hAnsi="Arial" w:cs="Arial"/>
          <w:sz w:val="24"/>
          <w:szCs w:val="24"/>
        </w:rPr>
        <w:t xml:space="preserve">the </w:t>
      </w:r>
      <w:r>
        <w:rPr>
          <w:rFonts w:ascii="Arial" w:hAnsi="Arial" w:cs="Arial"/>
          <w:sz w:val="24"/>
          <w:szCs w:val="24"/>
        </w:rPr>
        <w:t>SES</w:t>
      </w:r>
      <w:r w:rsidR="00A33F3F">
        <w:rPr>
          <w:rFonts w:ascii="Arial" w:hAnsi="Arial" w:cs="Arial"/>
          <w:sz w:val="24"/>
          <w:szCs w:val="24"/>
        </w:rPr>
        <w:t xml:space="preserve"> cohort</w:t>
      </w:r>
      <w:r>
        <w:rPr>
          <w:rFonts w:ascii="Arial" w:hAnsi="Arial" w:cs="Arial"/>
          <w:sz w:val="24"/>
          <w:szCs w:val="24"/>
        </w:rPr>
        <w:t xml:space="preserve">, rather than a decision-making body. </w:t>
      </w:r>
    </w:p>
    <w:p w14:paraId="14C66A8D" w14:textId="2948C247"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Staff and </w:t>
      </w:r>
      <w:r w:rsidR="007900F9">
        <w:rPr>
          <w:rFonts w:ascii="Arial" w:hAnsi="Arial" w:cs="Arial"/>
          <w:sz w:val="24"/>
          <w:szCs w:val="24"/>
        </w:rPr>
        <w:t>SES</w:t>
      </w:r>
      <w:r>
        <w:rPr>
          <w:rFonts w:ascii="Arial" w:hAnsi="Arial" w:cs="Arial"/>
          <w:sz w:val="24"/>
          <w:szCs w:val="24"/>
        </w:rPr>
        <w:t xml:space="preserve"> </w:t>
      </w:r>
      <w:r w:rsidR="007900F9">
        <w:rPr>
          <w:rFonts w:ascii="Arial" w:hAnsi="Arial" w:cs="Arial"/>
          <w:sz w:val="24"/>
          <w:szCs w:val="24"/>
        </w:rPr>
        <w:t>I</w:t>
      </w:r>
      <w:r>
        <w:rPr>
          <w:rFonts w:ascii="Arial" w:hAnsi="Arial" w:cs="Arial"/>
          <w:sz w:val="24"/>
          <w:szCs w:val="24"/>
        </w:rPr>
        <w:t xml:space="preserve">nput sessions described a system where strategic planning and decision-making is in the main managed </w:t>
      </w:r>
      <w:r w:rsidR="005F22A1">
        <w:rPr>
          <w:rFonts w:ascii="Arial" w:hAnsi="Arial" w:cs="Arial"/>
          <w:sz w:val="24"/>
          <w:szCs w:val="24"/>
        </w:rPr>
        <w:t xml:space="preserve">bilaterally </w:t>
      </w:r>
      <w:r>
        <w:rPr>
          <w:rFonts w:ascii="Arial" w:hAnsi="Arial" w:cs="Arial"/>
          <w:sz w:val="24"/>
          <w:szCs w:val="24"/>
        </w:rPr>
        <w:t xml:space="preserve">by the Commissioner and the responsible </w:t>
      </w:r>
      <w:r w:rsidR="00A33F3F">
        <w:rPr>
          <w:rFonts w:ascii="Arial" w:hAnsi="Arial" w:cs="Arial"/>
          <w:sz w:val="24"/>
          <w:szCs w:val="24"/>
        </w:rPr>
        <w:t>SES officer</w:t>
      </w:r>
      <w:r>
        <w:rPr>
          <w:rFonts w:ascii="Arial" w:hAnsi="Arial" w:cs="Arial"/>
          <w:sz w:val="24"/>
          <w:szCs w:val="24"/>
        </w:rPr>
        <w:t>. This approach provides little opportunity for peer review and scrutiny and does not demonstrate a collaborative and inclusive approach to ensure that all available data and intelligence is included in decision making.</w:t>
      </w:r>
      <w:r w:rsidR="00577EE4">
        <w:rPr>
          <w:rFonts w:ascii="Arial" w:hAnsi="Arial" w:cs="Arial"/>
          <w:sz w:val="24"/>
          <w:szCs w:val="24"/>
        </w:rPr>
        <w:t xml:space="preserve"> The Commission has advised the Commissioner has held periodic planning workshops with ELG to identify issues and risks, set direction and agree strategic priorities, and that there is structured Executive and broader staff involvement in the </w:t>
      </w:r>
      <w:r w:rsidR="00B02548">
        <w:rPr>
          <w:rFonts w:ascii="Arial" w:hAnsi="Arial" w:cs="Arial"/>
          <w:sz w:val="24"/>
          <w:szCs w:val="24"/>
        </w:rPr>
        <w:t>c</w:t>
      </w:r>
      <w:r w:rsidR="00577EE4">
        <w:rPr>
          <w:rFonts w:ascii="Arial" w:hAnsi="Arial" w:cs="Arial"/>
          <w:sz w:val="24"/>
          <w:szCs w:val="24"/>
        </w:rPr>
        <w:t>orporate planning cycle.</w:t>
      </w:r>
    </w:p>
    <w:p w14:paraId="1AF25DD2" w14:textId="23EC6AC9"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 </w:t>
      </w:r>
      <w:r w:rsidR="00D2192B">
        <w:rPr>
          <w:rFonts w:ascii="Arial" w:hAnsi="Arial" w:cs="Arial"/>
          <w:sz w:val="24"/>
          <w:szCs w:val="24"/>
        </w:rPr>
        <w:t>S</w:t>
      </w:r>
      <w:r>
        <w:rPr>
          <w:rFonts w:ascii="Arial" w:hAnsi="Arial" w:cs="Arial"/>
          <w:sz w:val="24"/>
          <w:szCs w:val="24"/>
        </w:rPr>
        <w:t xml:space="preserve">taff </w:t>
      </w:r>
      <w:r w:rsidR="007900F9">
        <w:rPr>
          <w:rFonts w:ascii="Arial" w:hAnsi="Arial" w:cs="Arial"/>
          <w:sz w:val="24"/>
          <w:szCs w:val="24"/>
        </w:rPr>
        <w:t>and SES</w:t>
      </w:r>
      <w:r w:rsidR="00F91779">
        <w:rPr>
          <w:rFonts w:ascii="Arial" w:hAnsi="Arial" w:cs="Arial"/>
          <w:sz w:val="24"/>
          <w:szCs w:val="24"/>
        </w:rPr>
        <w:t xml:space="preserve"> Input sessions </w:t>
      </w:r>
      <w:r>
        <w:rPr>
          <w:rFonts w:ascii="Arial" w:hAnsi="Arial" w:cs="Arial"/>
          <w:sz w:val="24"/>
          <w:szCs w:val="24"/>
        </w:rPr>
        <w:t>all emphasised the need for a governance framework with clear policy and procedures to build consistency and confidence in decision making across regulatory and administrative activities.</w:t>
      </w:r>
    </w:p>
    <w:p w14:paraId="5F05F669" w14:textId="77777777" w:rsidR="00B02A38" w:rsidRDefault="00B02A38" w:rsidP="00B02A38">
      <w:pPr>
        <w:spacing w:before="120" w:after="120" w:line="240" w:lineRule="auto"/>
        <w:rPr>
          <w:rFonts w:ascii="Arial" w:hAnsi="Arial" w:cs="Arial"/>
          <w:sz w:val="24"/>
          <w:szCs w:val="24"/>
        </w:rPr>
      </w:pPr>
      <w:proofErr w:type="gramStart"/>
      <w:r>
        <w:rPr>
          <w:rFonts w:ascii="Arial" w:hAnsi="Arial" w:cs="Arial"/>
          <w:sz w:val="24"/>
          <w:szCs w:val="24"/>
        </w:rPr>
        <w:lastRenderedPageBreak/>
        <w:t>It is clear that the</w:t>
      </w:r>
      <w:proofErr w:type="gramEnd"/>
      <w:r>
        <w:rPr>
          <w:rFonts w:ascii="Arial" w:hAnsi="Arial" w:cs="Arial"/>
          <w:sz w:val="24"/>
          <w:szCs w:val="24"/>
        </w:rPr>
        <w:t xml:space="preserve"> Commission has not had the bandwidth to fully focus on the internal governance and corporate systems required to support it to operate in its optimal state. The internal governance framework appears to be immature and has not developed to support the rapid growth and complexity of work the Commission has absorbed in a short period of time.</w:t>
      </w:r>
    </w:p>
    <w:p w14:paraId="02CB1209" w14:textId="38A2C658"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There is also a National Leadership Group (NLG), which includes </w:t>
      </w:r>
      <w:proofErr w:type="gramStart"/>
      <w:r>
        <w:rPr>
          <w:rFonts w:ascii="Arial" w:hAnsi="Arial" w:cs="Arial"/>
          <w:sz w:val="24"/>
          <w:szCs w:val="24"/>
        </w:rPr>
        <w:t>all of</w:t>
      </w:r>
      <w:proofErr w:type="gramEnd"/>
      <w:r>
        <w:rPr>
          <w:rFonts w:ascii="Arial" w:hAnsi="Arial" w:cs="Arial"/>
          <w:sz w:val="24"/>
          <w:szCs w:val="24"/>
        </w:rPr>
        <w:t xml:space="preserve"> the</w:t>
      </w:r>
      <w:r w:rsidR="007900F9">
        <w:rPr>
          <w:rFonts w:ascii="Arial" w:hAnsi="Arial" w:cs="Arial"/>
          <w:sz w:val="24"/>
          <w:szCs w:val="24"/>
        </w:rPr>
        <w:t xml:space="preserve"> Commission’s</w:t>
      </w:r>
      <w:r>
        <w:rPr>
          <w:rFonts w:ascii="Arial" w:hAnsi="Arial" w:cs="Arial"/>
          <w:sz w:val="24"/>
          <w:szCs w:val="24"/>
        </w:rPr>
        <w:t xml:space="preserve"> </w:t>
      </w:r>
      <w:r w:rsidR="007900F9">
        <w:rPr>
          <w:rFonts w:ascii="Arial" w:hAnsi="Arial" w:cs="Arial"/>
          <w:sz w:val="24"/>
          <w:szCs w:val="24"/>
        </w:rPr>
        <w:t>Executive Level 2s (</w:t>
      </w:r>
      <w:r>
        <w:rPr>
          <w:rFonts w:ascii="Arial" w:hAnsi="Arial" w:cs="Arial"/>
          <w:sz w:val="24"/>
          <w:szCs w:val="24"/>
        </w:rPr>
        <w:t>EL2s</w:t>
      </w:r>
      <w:r w:rsidR="007900F9">
        <w:rPr>
          <w:rFonts w:ascii="Arial" w:hAnsi="Arial" w:cs="Arial"/>
          <w:sz w:val="24"/>
          <w:szCs w:val="24"/>
        </w:rPr>
        <w:t>)</w:t>
      </w:r>
      <w:r>
        <w:rPr>
          <w:rFonts w:ascii="Arial" w:hAnsi="Arial" w:cs="Arial"/>
          <w:sz w:val="24"/>
          <w:szCs w:val="24"/>
        </w:rPr>
        <w:t xml:space="preserve"> </w:t>
      </w:r>
      <w:r w:rsidR="00D2192B">
        <w:rPr>
          <w:rFonts w:ascii="Arial" w:hAnsi="Arial" w:cs="Arial"/>
          <w:sz w:val="24"/>
          <w:szCs w:val="24"/>
        </w:rPr>
        <w:t>and above</w:t>
      </w:r>
      <w:r>
        <w:rPr>
          <w:rFonts w:ascii="Arial" w:hAnsi="Arial" w:cs="Arial"/>
          <w:sz w:val="24"/>
          <w:szCs w:val="24"/>
        </w:rPr>
        <w:t xml:space="preserve">. The feedback provided is that the general focus of the NLG meetings are top-down one-way information sessions and while this is useful in building understanding of the changes occurring in the sector and the Commission, it does not draw on the experience and expertise of the </w:t>
      </w:r>
      <w:r w:rsidR="00D2192B">
        <w:rPr>
          <w:rFonts w:ascii="Arial" w:hAnsi="Arial" w:cs="Arial"/>
          <w:sz w:val="24"/>
          <w:szCs w:val="24"/>
        </w:rPr>
        <w:t>EL2 leadership group</w:t>
      </w:r>
      <w:r>
        <w:rPr>
          <w:rFonts w:ascii="Arial" w:hAnsi="Arial" w:cs="Arial"/>
          <w:sz w:val="24"/>
          <w:szCs w:val="24"/>
        </w:rPr>
        <w:t xml:space="preserve"> to contribute to problem solving and innovation. While the NLG may not be </w:t>
      </w:r>
      <w:r w:rsidR="00D2192B">
        <w:rPr>
          <w:rFonts w:ascii="Arial" w:hAnsi="Arial" w:cs="Arial"/>
          <w:sz w:val="24"/>
          <w:szCs w:val="24"/>
        </w:rPr>
        <w:t xml:space="preserve">an </w:t>
      </w:r>
      <w:r>
        <w:rPr>
          <w:rFonts w:ascii="Arial" w:hAnsi="Arial" w:cs="Arial"/>
          <w:sz w:val="24"/>
          <w:szCs w:val="24"/>
        </w:rPr>
        <w:t>appropriate decision</w:t>
      </w:r>
      <w:r w:rsidR="00D2192B">
        <w:rPr>
          <w:rFonts w:ascii="Arial" w:hAnsi="Arial" w:cs="Arial"/>
          <w:sz w:val="24"/>
          <w:szCs w:val="24"/>
        </w:rPr>
        <w:t>-</w:t>
      </w:r>
      <w:r>
        <w:rPr>
          <w:rFonts w:ascii="Arial" w:hAnsi="Arial" w:cs="Arial"/>
          <w:sz w:val="24"/>
          <w:szCs w:val="24"/>
        </w:rPr>
        <w:t xml:space="preserve">making group, there </w:t>
      </w:r>
      <w:r w:rsidR="00934F07">
        <w:rPr>
          <w:rFonts w:ascii="Arial" w:hAnsi="Arial" w:cs="Arial"/>
          <w:sz w:val="24"/>
          <w:szCs w:val="24"/>
        </w:rPr>
        <w:t>are</w:t>
      </w:r>
      <w:r>
        <w:rPr>
          <w:rFonts w:ascii="Arial" w:hAnsi="Arial" w:cs="Arial"/>
          <w:sz w:val="24"/>
          <w:szCs w:val="24"/>
        </w:rPr>
        <w:t xml:space="preserve"> benefits in it having a more active </w:t>
      </w:r>
      <w:r w:rsidR="00D2192B">
        <w:rPr>
          <w:rFonts w:ascii="Arial" w:hAnsi="Arial" w:cs="Arial"/>
          <w:sz w:val="24"/>
          <w:szCs w:val="24"/>
        </w:rPr>
        <w:t xml:space="preserve">and </w:t>
      </w:r>
      <w:r>
        <w:rPr>
          <w:rFonts w:ascii="Arial" w:hAnsi="Arial" w:cs="Arial"/>
          <w:sz w:val="24"/>
          <w:szCs w:val="24"/>
        </w:rPr>
        <w:t xml:space="preserve">constructive role. </w:t>
      </w:r>
    </w:p>
    <w:p w14:paraId="7C03EFC0" w14:textId="77777777" w:rsidR="00211402" w:rsidRDefault="00211402" w:rsidP="00211402">
      <w:pPr>
        <w:spacing w:before="120" w:after="120" w:line="240" w:lineRule="auto"/>
        <w:rPr>
          <w:rFonts w:ascii="Arial" w:hAnsi="Arial" w:cs="Arial"/>
          <w:sz w:val="24"/>
          <w:szCs w:val="24"/>
        </w:rPr>
      </w:pPr>
      <w:r>
        <w:rPr>
          <w:rFonts w:ascii="Arial" w:hAnsi="Arial" w:cs="Arial"/>
          <w:sz w:val="24"/>
          <w:szCs w:val="24"/>
        </w:rPr>
        <w:t>The Commission has advised it is working to deliver a framework to strengthen corporate governance. It will include a corporate governance structure and supporting administrative, assurance and integrity frameworks. It will:</w:t>
      </w:r>
    </w:p>
    <w:p w14:paraId="3E119E59" w14:textId="439EC2E7" w:rsidR="00211402" w:rsidRDefault="00211402" w:rsidP="00211402">
      <w:pPr>
        <w:spacing w:before="120" w:after="120" w:line="240" w:lineRule="auto"/>
        <w:ind w:left="720"/>
        <w:rPr>
          <w:rFonts w:ascii="Arial" w:hAnsi="Arial" w:cs="Arial"/>
          <w:i/>
          <w:iCs/>
          <w:sz w:val="24"/>
          <w:szCs w:val="24"/>
        </w:rPr>
      </w:pPr>
      <w:r>
        <w:rPr>
          <w:rFonts w:ascii="Arial" w:hAnsi="Arial" w:cs="Arial"/>
          <w:i/>
          <w:iCs/>
          <w:sz w:val="24"/>
          <w:szCs w:val="24"/>
        </w:rPr>
        <w:t>“</w:t>
      </w:r>
      <w:proofErr w:type="gramStart"/>
      <w:r>
        <w:rPr>
          <w:rFonts w:ascii="Arial" w:hAnsi="Arial" w:cs="Arial"/>
          <w:i/>
          <w:iCs/>
          <w:sz w:val="24"/>
          <w:szCs w:val="24"/>
        </w:rPr>
        <w:t>provide</w:t>
      </w:r>
      <w:proofErr w:type="gramEnd"/>
      <w:r>
        <w:rPr>
          <w:rFonts w:ascii="Arial" w:hAnsi="Arial" w:cs="Arial"/>
          <w:i/>
          <w:iCs/>
          <w:sz w:val="24"/>
          <w:szCs w:val="24"/>
        </w:rPr>
        <w:t xml:space="preserve"> clarity around roles and responsibilities, support decision-making and delegate decision making to the lowest appropriate level, increase accountability and streamline decision making.”</w:t>
      </w:r>
      <w:r w:rsidR="00767505" w:rsidRPr="00767505">
        <w:rPr>
          <w:rStyle w:val="FootnoteReference"/>
          <w:rFonts w:ascii="Arial" w:hAnsi="Arial" w:cs="Arial"/>
          <w:i/>
          <w:iCs/>
          <w:sz w:val="24"/>
          <w:szCs w:val="24"/>
        </w:rPr>
        <w:t xml:space="preserve"> </w:t>
      </w:r>
      <w:r w:rsidR="00767505">
        <w:rPr>
          <w:rStyle w:val="FootnoteReference"/>
          <w:rFonts w:ascii="Arial" w:hAnsi="Arial" w:cs="Arial"/>
          <w:i/>
          <w:iCs/>
          <w:sz w:val="24"/>
          <w:szCs w:val="24"/>
        </w:rPr>
        <w:footnoteReference w:id="36"/>
      </w:r>
    </w:p>
    <w:p w14:paraId="437F885C" w14:textId="77777777" w:rsidR="00B02A38" w:rsidRDefault="00B02A38" w:rsidP="00B02A38">
      <w:pPr>
        <w:spacing w:before="120" w:after="120" w:line="240" w:lineRule="auto"/>
        <w:rPr>
          <w:rFonts w:ascii="Arial" w:hAnsi="Arial" w:cs="Arial"/>
          <w:i/>
          <w:iCs/>
          <w:sz w:val="24"/>
          <w:szCs w:val="24"/>
        </w:rPr>
      </w:pPr>
      <w:r>
        <w:rPr>
          <w:rFonts w:ascii="Arial" w:hAnsi="Arial" w:cs="Arial"/>
          <w:i/>
          <w:iCs/>
          <w:sz w:val="24"/>
          <w:szCs w:val="24"/>
        </w:rPr>
        <w:t>What the Commission should do</w:t>
      </w:r>
    </w:p>
    <w:p w14:paraId="0E9F07E5" w14:textId="579FEE5E"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A strong corporate governance framework should be developed and implemented to organise operational regulatory activity, organisational risk management, annual and corporate reporting and financial processes, information systems, data intelligence and people resources. This will ensure that strategic and tactical decision making is transparent and accountable and that all members of the organisation are clear about the arrangements in place and are able to contribute to positive organisational outcomes. </w:t>
      </w:r>
    </w:p>
    <w:p w14:paraId="05FE97D7" w14:textId="26C255CD"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 governance framework should clarify that the </w:t>
      </w:r>
      <w:r w:rsidR="00934F07">
        <w:rPr>
          <w:rFonts w:ascii="Arial" w:hAnsi="Arial" w:cs="Arial"/>
          <w:sz w:val="24"/>
          <w:szCs w:val="24"/>
        </w:rPr>
        <w:t xml:space="preserve">revised </w:t>
      </w:r>
      <w:r>
        <w:rPr>
          <w:rFonts w:ascii="Arial" w:hAnsi="Arial" w:cs="Arial"/>
          <w:sz w:val="24"/>
          <w:szCs w:val="24"/>
        </w:rPr>
        <w:t xml:space="preserve">ELG has a focus on key strategic issues and should not be engaged in day-to-day decision making that can be dealt with by other committees or designated positions. ELG should be made up of the Commissioner and Deputy Commissioners, with other staff invited to attend in relation to </w:t>
      </w:r>
      <w:proofErr w:type="gramStart"/>
      <w:r>
        <w:rPr>
          <w:rFonts w:ascii="Arial" w:hAnsi="Arial" w:cs="Arial"/>
          <w:sz w:val="24"/>
          <w:szCs w:val="24"/>
        </w:rPr>
        <w:t>particular issues</w:t>
      </w:r>
      <w:proofErr w:type="gramEnd"/>
      <w:r>
        <w:rPr>
          <w:rFonts w:ascii="Arial" w:hAnsi="Arial" w:cs="Arial"/>
          <w:sz w:val="24"/>
          <w:szCs w:val="24"/>
        </w:rPr>
        <w:t xml:space="preserve"> as required.</w:t>
      </w:r>
    </w:p>
    <w:p w14:paraId="1313B6B3" w14:textId="3C5F4995"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A series of additional </w:t>
      </w:r>
      <w:r w:rsidR="002267B6">
        <w:rPr>
          <w:rFonts w:ascii="Arial" w:hAnsi="Arial" w:cs="Arial"/>
          <w:sz w:val="24"/>
          <w:szCs w:val="24"/>
        </w:rPr>
        <w:t xml:space="preserve">governance </w:t>
      </w:r>
      <w:r>
        <w:rPr>
          <w:rFonts w:ascii="Arial" w:hAnsi="Arial" w:cs="Arial"/>
          <w:sz w:val="24"/>
          <w:szCs w:val="24"/>
        </w:rPr>
        <w:t xml:space="preserve">committees, to be chaired by a Deputy Commissioner, should be authorised to make operational and administrative decisions as appropriate. These </w:t>
      </w:r>
      <w:r w:rsidR="00A766E6">
        <w:rPr>
          <w:rFonts w:ascii="Arial" w:hAnsi="Arial" w:cs="Arial"/>
          <w:sz w:val="24"/>
          <w:szCs w:val="24"/>
        </w:rPr>
        <w:t xml:space="preserve">governance </w:t>
      </w:r>
      <w:r>
        <w:rPr>
          <w:rFonts w:ascii="Arial" w:hAnsi="Arial" w:cs="Arial"/>
          <w:sz w:val="24"/>
          <w:szCs w:val="24"/>
        </w:rPr>
        <w:t xml:space="preserve">committees should cover the key areas of business of the Commission, and include at least a People and Culture </w:t>
      </w:r>
      <w:r w:rsidR="00934F07">
        <w:rPr>
          <w:rFonts w:ascii="Arial" w:hAnsi="Arial" w:cs="Arial"/>
          <w:sz w:val="24"/>
          <w:szCs w:val="24"/>
        </w:rPr>
        <w:t xml:space="preserve">Governance </w:t>
      </w:r>
      <w:r>
        <w:rPr>
          <w:rFonts w:ascii="Arial" w:hAnsi="Arial" w:cs="Arial"/>
          <w:sz w:val="24"/>
          <w:szCs w:val="24"/>
        </w:rPr>
        <w:t xml:space="preserve">Committee, an ICT </w:t>
      </w:r>
      <w:r w:rsidR="00B535DF">
        <w:rPr>
          <w:rFonts w:ascii="Arial" w:hAnsi="Arial" w:cs="Arial"/>
          <w:sz w:val="24"/>
          <w:szCs w:val="24"/>
        </w:rPr>
        <w:t xml:space="preserve">and Cyber Security </w:t>
      </w:r>
      <w:r w:rsidR="00934F07">
        <w:rPr>
          <w:rFonts w:ascii="Arial" w:hAnsi="Arial" w:cs="Arial"/>
          <w:sz w:val="24"/>
          <w:szCs w:val="24"/>
        </w:rPr>
        <w:t xml:space="preserve">Governance </w:t>
      </w:r>
      <w:r>
        <w:rPr>
          <w:rFonts w:ascii="Arial" w:hAnsi="Arial" w:cs="Arial"/>
          <w:sz w:val="24"/>
          <w:szCs w:val="24"/>
        </w:rPr>
        <w:t xml:space="preserve">Committee, and a Data and </w:t>
      </w:r>
      <w:r w:rsidR="00FD14B4">
        <w:rPr>
          <w:rFonts w:ascii="Arial" w:hAnsi="Arial" w:cs="Arial"/>
          <w:sz w:val="24"/>
          <w:szCs w:val="24"/>
        </w:rPr>
        <w:t>Intelligence</w:t>
      </w:r>
      <w:r>
        <w:rPr>
          <w:rFonts w:ascii="Arial" w:hAnsi="Arial" w:cs="Arial"/>
          <w:sz w:val="24"/>
          <w:szCs w:val="24"/>
        </w:rPr>
        <w:t xml:space="preserve"> </w:t>
      </w:r>
      <w:r w:rsidR="00934F07">
        <w:rPr>
          <w:rFonts w:ascii="Arial" w:hAnsi="Arial" w:cs="Arial"/>
          <w:sz w:val="24"/>
          <w:szCs w:val="24"/>
        </w:rPr>
        <w:t xml:space="preserve">Governance </w:t>
      </w:r>
      <w:r>
        <w:rPr>
          <w:rFonts w:ascii="Arial" w:hAnsi="Arial" w:cs="Arial"/>
          <w:sz w:val="24"/>
          <w:szCs w:val="24"/>
        </w:rPr>
        <w:t xml:space="preserve">Committee. The Commission could also consider implementing a time-limited </w:t>
      </w:r>
      <w:r w:rsidR="00A33F3F">
        <w:rPr>
          <w:rFonts w:ascii="Arial" w:hAnsi="Arial" w:cs="Arial"/>
          <w:sz w:val="24"/>
          <w:szCs w:val="24"/>
        </w:rPr>
        <w:t xml:space="preserve">governance </w:t>
      </w:r>
      <w:r>
        <w:rPr>
          <w:rFonts w:ascii="Arial" w:hAnsi="Arial" w:cs="Arial"/>
          <w:sz w:val="24"/>
          <w:szCs w:val="24"/>
        </w:rPr>
        <w:t xml:space="preserve">committee to oversee the implementation of </w:t>
      </w:r>
      <w:r w:rsidR="00FD14B4">
        <w:rPr>
          <w:rFonts w:ascii="Arial" w:hAnsi="Arial" w:cs="Arial"/>
          <w:sz w:val="24"/>
          <w:szCs w:val="24"/>
        </w:rPr>
        <w:t xml:space="preserve">recommendations arising from </w:t>
      </w:r>
      <w:r>
        <w:rPr>
          <w:rFonts w:ascii="Arial" w:hAnsi="Arial" w:cs="Arial"/>
          <w:sz w:val="24"/>
          <w:szCs w:val="24"/>
        </w:rPr>
        <w:t>this Review.</w:t>
      </w:r>
    </w:p>
    <w:p w14:paraId="7654AF37" w14:textId="5E2B678E" w:rsidR="00B02A38" w:rsidRDefault="00B02A38" w:rsidP="005E17ED">
      <w:pPr>
        <w:keepLines/>
        <w:spacing w:before="120" w:after="120" w:line="240" w:lineRule="auto"/>
        <w:rPr>
          <w:rFonts w:ascii="Arial" w:hAnsi="Arial" w:cs="Arial"/>
          <w:sz w:val="24"/>
          <w:szCs w:val="24"/>
        </w:rPr>
      </w:pPr>
      <w:r>
        <w:rPr>
          <w:rFonts w:ascii="Arial" w:hAnsi="Arial" w:cs="Arial"/>
          <w:sz w:val="24"/>
          <w:szCs w:val="24"/>
        </w:rPr>
        <w:lastRenderedPageBreak/>
        <w:t xml:space="preserve">The Terms of Reference of each committee, including its decision-making responsibilities, should be published on the Commission’s Intranet site, and should be reviewed at least annually. A communique </w:t>
      </w:r>
      <w:r w:rsidR="00A33F3F">
        <w:rPr>
          <w:rFonts w:ascii="Arial" w:hAnsi="Arial" w:cs="Arial"/>
          <w:sz w:val="24"/>
          <w:szCs w:val="24"/>
        </w:rPr>
        <w:t xml:space="preserve">of key actions and outcomes </w:t>
      </w:r>
      <w:r>
        <w:rPr>
          <w:rFonts w:ascii="Arial" w:hAnsi="Arial" w:cs="Arial"/>
          <w:sz w:val="24"/>
          <w:szCs w:val="24"/>
        </w:rPr>
        <w:t>from each committee following each meeting should also be published on the Commission’s Intranet site.</w:t>
      </w:r>
    </w:p>
    <w:p w14:paraId="2DB2EBC7" w14:textId="7CCDFA06" w:rsidR="002267B6" w:rsidRPr="00EB4C10" w:rsidRDefault="00B02A38" w:rsidP="00B02A38">
      <w:pPr>
        <w:spacing w:before="240" w:after="120" w:line="240" w:lineRule="auto"/>
        <w:rPr>
          <w:rFonts w:ascii="Arial" w:hAnsi="Arial" w:cs="Arial"/>
          <w:sz w:val="24"/>
          <w:szCs w:val="24"/>
        </w:rPr>
      </w:pPr>
      <w:r w:rsidRPr="00EB4C10">
        <w:rPr>
          <w:rFonts w:ascii="Arial" w:hAnsi="Arial" w:cs="Arial"/>
          <w:b/>
          <w:bCs/>
          <w:sz w:val="24"/>
          <w:szCs w:val="24"/>
        </w:rPr>
        <w:t xml:space="preserve">Recommendation </w:t>
      </w:r>
      <w:r w:rsidR="00321162" w:rsidRPr="00EB4C10">
        <w:rPr>
          <w:rFonts w:ascii="Arial" w:hAnsi="Arial" w:cs="Arial"/>
          <w:b/>
          <w:bCs/>
          <w:sz w:val="24"/>
          <w:szCs w:val="24"/>
        </w:rPr>
        <w:t>4.4</w:t>
      </w:r>
      <w:r w:rsidRPr="00EB4C10">
        <w:rPr>
          <w:rFonts w:ascii="Arial" w:hAnsi="Arial" w:cs="Arial"/>
          <w:b/>
          <w:bCs/>
          <w:sz w:val="24"/>
          <w:szCs w:val="24"/>
        </w:rPr>
        <w:t>:</w:t>
      </w:r>
      <w:r w:rsidRPr="00EB4C10">
        <w:rPr>
          <w:rFonts w:ascii="Arial" w:hAnsi="Arial" w:cs="Arial"/>
          <w:sz w:val="24"/>
          <w:szCs w:val="24"/>
        </w:rPr>
        <w:t xml:space="preserve"> </w:t>
      </w:r>
      <w:r w:rsidR="00C11C80">
        <w:rPr>
          <w:rFonts w:ascii="Arial" w:hAnsi="Arial" w:cs="Arial"/>
          <w:sz w:val="24"/>
          <w:szCs w:val="24"/>
        </w:rPr>
        <w:t xml:space="preserve">The Commission to implement a robust, </w:t>
      </w:r>
      <w:proofErr w:type="gramStart"/>
      <w:r w:rsidR="00C11C80">
        <w:rPr>
          <w:rFonts w:ascii="Arial" w:hAnsi="Arial" w:cs="Arial"/>
          <w:sz w:val="24"/>
          <w:szCs w:val="24"/>
        </w:rPr>
        <w:t>comprehensive</w:t>
      </w:r>
      <w:proofErr w:type="gramEnd"/>
      <w:r w:rsidR="00C11C80">
        <w:rPr>
          <w:rFonts w:ascii="Arial" w:hAnsi="Arial" w:cs="Arial"/>
          <w:sz w:val="24"/>
          <w:szCs w:val="24"/>
        </w:rPr>
        <w:t xml:space="preserve"> and transparent corporate governance framework and publish the framework on its Intranet</w:t>
      </w:r>
      <w:r w:rsidR="002267B6" w:rsidRPr="00EB4C10">
        <w:rPr>
          <w:rFonts w:ascii="Arial" w:hAnsi="Arial" w:cs="Arial"/>
          <w:sz w:val="24"/>
          <w:szCs w:val="24"/>
        </w:rPr>
        <w:t>.</w:t>
      </w:r>
    </w:p>
    <w:p w14:paraId="6AE64147" w14:textId="0AABBF28" w:rsidR="00B02A38" w:rsidRPr="001364C7" w:rsidRDefault="002267B6" w:rsidP="001364C7">
      <w:pPr>
        <w:pStyle w:val="ListParagraph"/>
        <w:numPr>
          <w:ilvl w:val="0"/>
          <w:numId w:val="70"/>
        </w:numPr>
        <w:spacing w:before="120" w:after="360" w:line="240" w:lineRule="auto"/>
        <w:ind w:left="357" w:hanging="357"/>
        <w:rPr>
          <w:rFonts w:ascii="Arial" w:hAnsi="Arial" w:cs="Arial"/>
          <w:sz w:val="24"/>
          <w:szCs w:val="24"/>
        </w:rPr>
      </w:pPr>
      <w:r w:rsidRPr="00EB4C10">
        <w:rPr>
          <w:rFonts w:ascii="Arial" w:hAnsi="Arial" w:cs="Arial"/>
          <w:sz w:val="24"/>
          <w:szCs w:val="24"/>
        </w:rPr>
        <w:t xml:space="preserve">The corporate governance framework should be implemented by </w:t>
      </w:r>
      <w:r w:rsidR="00B02A38" w:rsidRPr="00EB4C10">
        <w:rPr>
          <w:rFonts w:ascii="Arial" w:hAnsi="Arial" w:cs="Arial"/>
          <w:sz w:val="24"/>
          <w:szCs w:val="24"/>
        </w:rPr>
        <w:t>no later than 30</w:t>
      </w:r>
      <w:r w:rsidRPr="00EB4C10">
        <w:rPr>
          <w:rFonts w:ascii="Arial" w:hAnsi="Arial" w:cs="Arial"/>
          <w:sz w:val="24"/>
          <w:szCs w:val="24"/>
        </w:rPr>
        <w:t> </w:t>
      </w:r>
      <w:r w:rsidR="00B02A38" w:rsidRPr="00EB4C10">
        <w:rPr>
          <w:rFonts w:ascii="Arial" w:hAnsi="Arial" w:cs="Arial"/>
          <w:sz w:val="24"/>
          <w:szCs w:val="24"/>
        </w:rPr>
        <w:t>September 2023.</w:t>
      </w:r>
    </w:p>
    <w:p w14:paraId="26A831ED" w14:textId="1B6DE5CD" w:rsidR="009449D9" w:rsidRPr="00A00298" w:rsidRDefault="00A2358A" w:rsidP="00A00298">
      <w:pPr>
        <w:rPr>
          <w:rFonts w:ascii="Arial" w:hAnsi="Arial" w:cs="Arial"/>
          <w:b/>
          <w:bCs/>
          <w:sz w:val="28"/>
          <w:szCs w:val="28"/>
        </w:rPr>
      </w:pPr>
      <w:r w:rsidRPr="00A00298">
        <w:rPr>
          <w:rFonts w:ascii="Arial" w:hAnsi="Arial" w:cs="Arial"/>
          <w:b/>
          <w:bCs/>
          <w:sz w:val="28"/>
          <w:szCs w:val="28"/>
        </w:rPr>
        <w:t>4</w:t>
      </w:r>
      <w:r w:rsidR="009449D9" w:rsidRPr="00A00298">
        <w:rPr>
          <w:rFonts w:ascii="Arial" w:hAnsi="Arial" w:cs="Arial"/>
          <w:b/>
          <w:bCs/>
          <w:sz w:val="28"/>
          <w:szCs w:val="28"/>
        </w:rPr>
        <w:t>.4 Accountability and transparency</w:t>
      </w:r>
    </w:p>
    <w:p w14:paraId="07EF8586" w14:textId="77777777" w:rsidR="001C0208" w:rsidRPr="009122C5" w:rsidRDefault="001C0208" w:rsidP="001C0208">
      <w:pPr>
        <w:spacing w:before="120" w:after="120" w:line="240" w:lineRule="auto"/>
        <w:textAlignment w:val="baseline"/>
        <w:rPr>
          <w:rFonts w:ascii="Arial" w:hAnsi="Arial" w:cs="Arial"/>
          <w:i/>
          <w:iCs/>
          <w:color w:val="000000"/>
          <w:sz w:val="24"/>
          <w:szCs w:val="24"/>
          <w:shd w:val="clear" w:color="auto" w:fill="FFFFFF"/>
        </w:rPr>
      </w:pPr>
      <w:r w:rsidRPr="009122C5">
        <w:rPr>
          <w:rFonts w:ascii="Arial" w:hAnsi="Arial" w:cs="Arial"/>
          <w:i/>
          <w:iCs/>
          <w:color w:val="000000"/>
          <w:sz w:val="24"/>
          <w:szCs w:val="24"/>
          <w:shd w:val="clear" w:color="auto" w:fill="FFFFFF"/>
        </w:rPr>
        <w:t>Best practice</w:t>
      </w:r>
    </w:p>
    <w:p w14:paraId="0AE2290B" w14:textId="70A2AF11" w:rsidR="001C0208" w:rsidRPr="009122C5" w:rsidRDefault="001C0208" w:rsidP="001C0208">
      <w:pPr>
        <w:spacing w:before="120" w:after="120" w:line="240" w:lineRule="auto"/>
        <w:textAlignment w:val="baseline"/>
        <w:rPr>
          <w:rFonts w:ascii="Arial" w:hAnsi="Arial" w:cs="Arial"/>
          <w:color w:val="000000"/>
          <w:sz w:val="24"/>
          <w:szCs w:val="24"/>
          <w:shd w:val="clear" w:color="auto" w:fill="FFFFFF"/>
        </w:rPr>
      </w:pPr>
      <w:r w:rsidRPr="009122C5">
        <w:rPr>
          <w:rFonts w:ascii="Arial" w:hAnsi="Arial" w:cs="Arial"/>
          <w:color w:val="000000"/>
          <w:sz w:val="24"/>
          <w:szCs w:val="24"/>
          <w:shd w:val="clear" w:color="auto" w:fill="FFFFFF"/>
        </w:rPr>
        <w:t xml:space="preserve">The </w:t>
      </w:r>
      <w:r w:rsidRPr="009122C5">
        <w:rPr>
          <w:rFonts w:ascii="Arial" w:hAnsi="Arial" w:cs="Arial"/>
          <w:sz w:val="24"/>
          <w:szCs w:val="24"/>
        </w:rPr>
        <w:t>OECD i</w:t>
      </w:r>
      <w:r w:rsidRPr="009122C5">
        <w:rPr>
          <w:rFonts w:ascii="Arial" w:hAnsi="Arial" w:cs="Arial"/>
          <w:color w:val="000000"/>
          <w:sz w:val="24"/>
          <w:szCs w:val="24"/>
          <w:shd w:val="clear" w:color="auto" w:fill="FFFFFF"/>
        </w:rPr>
        <w:t>dentifies accountability and transparency as one of seven best practice principles for the governance of regulators and notes that regulators are accountable to ministers and the legislature, regulated entities, and the public</w:t>
      </w:r>
      <w:r w:rsidR="00767505" w:rsidRPr="009122C5">
        <w:rPr>
          <w:rFonts w:ascii="Arial" w:hAnsi="Arial" w:cs="Arial"/>
          <w:color w:val="000000"/>
          <w:sz w:val="24"/>
          <w:szCs w:val="24"/>
          <w:shd w:val="clear" w:color="auto" w:fill="FFFFFF"/>
          <w:vertAlign w:val="superscript"/>
        </w:rPr>
        <w:footnoteReference w:id="37"/>
      </w:r>
      <w:r w:rsidRPr="009122C5">
        <w:rPr>
          <w:rFonts w:ascii="Arial" w:hAnsi="Arial" w:cs="Arial"/>
          <w:color w:val="000000"/>
          <w:sz w:val="24"/>
          <w:szCs w:val="24"/>
          <w:shd w:val="clear" w:color="auto" w:fill="FFFFFF"/>
        </w:rPr>
        <w:t>,</w:t>
      </w:r>
      <w:r w:rsidRPr="009122C5">
        <w:rPr>
          <w:rFonts w:ascii="Arial" w:hAnsi="Arial" w:cs="Arial"/>
          <w:color w:val="000000"/>
          <w:sz w:val="24"/>
          <w:szCs w:val="24"/>
          <w:shd w:val="clear" w:color="auto" w:fill="FFFFFF"/>
          <w:vertAlign w:val="superscript"/>
        </w:rPr>
        <w:t xml:space="preserve"> </w:t>
      </w:r>
      <w:r w:rsidRPr="009122C5">
        <w:rPr>
          <w:rFonts w:ascii="Arial" w:hAnsi="Arial" w:cs="Arial"/>
          <w:color w:val="000000"/>
          <w:sz w:val="24"/>
          <w:szCs w:val="24"/>
          <w:shd w:val="clear" w:color="auto" w:fill="FFFFFF"/>
        </w:rPr>
        <w:t xml:space="preserve">all of whom expect the regulator to conduct its functions transparently and with integrity to ensure confidence in the regulatory regime. </w:t>
      </w:r>
    </w:p>
    <w:p w14:paraId="214D49CA" w14:textId="3BD0D4E5" w:rsidR="001C0208" w:rsidRPr="009122C5" w:rsidRDefault="001C0208" w:rsidP="001C0208">
      <w:pPr>
        <w:spacing w:before="120" w:after="120" w:line="240" w:lineRule="auto"/>
        <w:textAlignment w:val="baseline"/>
        <w:rPr>
          <w:rFonts w:ascii="Arial" w:hAnsi="Arial" w:cs="Arial"/>
          <w:color w:val="000000"/>
          <w:sz w:val="24"/>
          <w:szCs w:val="24"/>
          <w:shd w:val="clear" w:color="auto" w:fill="FFFFFF"/>
        </w:rPr>
      </w:pPr>
      <w:r w:rsidRPr="009122C5">
        <w:rPr>
          <w:rFonts w:ascii="Arial" w:hAnsi="Arial" w:cs="Arial"/>
          <w:color w:val="000000"/>
          <w:sz w:val="24"/>
          <w:szCs w:val="24"/>
          <w:shd w:val="clear" w:color="auto" w:fill="FFFFFF"/>
        </w:rPr>
        <w:t>Transparent external accountability processes that encourage procedural fairness, easy</w:t>
      </w:r>
      <w:r w:rsidR="00433697">
        <w:rPr>
          <w:rFonts w:ascii="Arial" w:hAnsi="Arial" w:cs="Arial"/>
          <w:color w:val="000000"/>
          <w:sz w:val="24"/>
          <w:szCs w:val="24"/>
          <w:shd w:val="clear" w:color="auto" w:fill="FFFFFF"/>
        </w:rPr>
        <w:t>-</w:t>
      </w:r>
      <w:r w:rsidRPr="009122C5">
        <w:rPr>
          <w:rFonts w:ascii="Arial" w:hAnsi="Arial" w:cs="Arial"/>
          <w:color w:val="000000"/>
          <w:sz w:val="24"/>
          <w:szCs w:val="24"/>
          <w:shd w:val="clear" w:color="auto" w:fill="FFFFFF"/>
        </w:rPr>
        <w:t>to</w:t>
      </w:r>
      <w:r w:rsidR="00433697">
        <w:rPr>
          <w:rFonts w:ascii="Arial" w:hAnsi="Arial" w:cs="Arial"/>
          <w:color w:val="000000"/>
          <w:sz w:val="24"/>
          <w:szCs w:val="24"/>
          <w:shd w:val="clear" w:color="auto" w:fill="FFFFFF"/>
        </w:rPr>
        <w:t>-</w:t>
      </w:r>
      <w:r w:rsidRPr="009122C5">
        <w:rPr>
          <w:rFonts w:ascii="Arial" w:hAnsi="Arial" w:cs="Arial"/>
          <w:color w:val="000000"/>
          <w:sz w:val="24"/>
          <w:szCs w:val="24"/>
          <w:shd w:val="clear" w:color="auto" w:fill="FFFFFF"/>
        </w:rPr>
        <w:t>access and transparent complaints and feedback mechanisms, and regular publishing of information</w:t>
      </w:r>
      <w:r w:rsidR="00E00A87">
        <w:rPr>
          <w:rFonts w:ascii="Arial" w:hAnsi="Arial" w:cs="Arial"/>
          <w:color w:val="000000"/>
          <w:sz w:val="24"/>
          <w:szCs w:val="24"/>
          <w:shd w:val="clear" w:color="auto" w:fill="FFFFFF"/>
        </w:rPr>
        <w:t xml:space="preserve"> all</w:t>
      </w:r>
      <w:r w:rsidRPr="009122C5">
        <w:rPr>
          <w:rFonts w:ascii="Arial" w:hAnsi="Arial" w:cs="Arial"/>
          <w:color w:val="000000"/>
          <w:sz w:val="24"/>
          <w:szCs w:val="24"/>
          <w:shd w:val="clear" w:color="auto" w:fill="FFFFFF"/>
        </w:rPr>
        <w:t xml:space="preserve"> contribute to building public trust and confidence in the performance of regulatory functions.</w:t>
      </w:r>
      <w:r w:rsidR="00767505" w:rsidRPr="009122C5">
        <w:rPr>
          <w:rFonts w:ascii="Arial" w:hAnsi="Arial" w:cs="Arial"/>
          <w:color w:val="000000"/>
          <w:sz w:val="24"/>
          <w:szCs w:val="24"/>
          <w:shd w:val="clear" w:color="auto" w:fill="FFFFFF"/>
          <w:vertAlign w:val="superscript"/>
        </w:rPr>
        <w:footnoteReference w:id="38"/>
      </w:r>
    </w:p>
    <w:p w14:paraId="2D14861A" w14:textId="55842CA2" w:rsidR="001C0208" w:rsidRPr="009122C5" w:rsidRDefault="001C0208" w:rsidP="001C0208">
      <w:pPr>
        <w:spacing w:before="120" w:after="120" w:line="240" w:lineRule="auto"/>
        <w:textAlignment w:val="baseline"/>
        <w:rPr>
          <w:rFonts w:ascii="Arial" w:hAnsi="Arial" w:cs="Arial"/>
          <w:color w:val="000000"/>
          <w:sz w:val="24"/>
          <w:szCs w:val="24"/>
          <w:shd w:val="clear" w:color="auto" w:fill="FFFFFF"/>
        </w:rPr>
      </w:pPr>
      <w:r>
        <w:rPr>
          <w:rFonts w:ascii="Arial" w:hAnsi="Arial" w:cs="Arial"/>
          <w:color w:val="000000"/>
          <w:sz w:val="24"/>
          <w:szCs w:val="24"/>
          <w:shd w:val="clear" w:color="auto" w:fill="FFFFFF"/>
        </w:rPr>
        <w:t>R</w:t>
      </w:r>
      <w:r w:rsidRPr="009122C5">
        <w:rPr>
          <w:rFonts w:ascii="Arial" w:hAnsi="Arial" w:cs="Arial"/>
          <w:color w:val="000000"/>
          <w:sz w:val="24"/>
          <w:szCs w:val="24"/>
          <w:shd w:val="clear" w:color="auto" w:fill="FFFFFF"/>
        </w:rPr>
        <w:t>obust internal accountability processes, such as holding regular reviews of operating procedures and rigorous ex-post reviews of regulatory actions to identify learnings and explore opportunities for improvement</w:t>
      </w:r>
      <w:r w:rsidR="00FD14B4">
        <w:rPr>
          <w:rFonts w:ascii="Arial" w:hAnsi="Arial" w:cs="Arial"/>
          <w:color w:val="000000"/>
          <w:sz w:val="24"/>
          <w:szCs w:val="24"/>
          <w:shd w:val="clear" w:color="auto" w:fill="FFFFFF"/>
        </w:rPr>
        <w:t xml:space="preserve">, </w:t>
      </w:r>
      <w:r w:rsidR="00FD14B4" w:rsidRPr="009122C5">
        <w:rPr>
          <w:rFonts w:ascii="Arial" w:hAnsi="Arial" w:cs="Arial"/>
          <w:color w:val="000000"/>
          <w:sz w:val="24"/>
          <w:szCs w:val="24"/>
          <w:shd w:val="clear" w:color="auto" w:fill="FFFFFF"/>
        </w:rPr>
        <w:t>can foster a culture of continuous improvement and reflection</w:t>
      </w:r>
      <w:r w:rsidRPr="009122C5">
        <w:rPr>
          <w:rFonts w:ascii="Arial" w:hAnsi="Arial" w:cs="Arial"/>
          <w:color w:val="000000"/>
          <w:sz w:val="24"/>
          <w:szCs w:val="24"/>
          <w:shd w:val="clear" w:color="auto" w:fill="FFFFFF"/>
        </w:rPr>
        <w:t>.</w:t>
      </w:r>
      <w:r w:rsidR="00767505" w:rsidRPr="009122C5">
        <w:rPr>
          <w:rFonts w:ascii="Arial" w:hAnsi="Arial" w:cs="Arial"/>
          <w:color w:val="000000"/>
          <w:sz w:val="24"/>
          <w:szCs w:val="24"/>
          <w:shd w:val="clear" w:color="auto" w:fill="FFFFFF"/>
          <w:vertAlign w:val="superscript"/>
        </w:rPr>
        <w:footnoteReference w:id="39"/>
      </w:r>
    </w:p>
    <w:p w14:paraId="0769645F" w14:textId="77777777" w:rsidR="001C0208" w:rsidRPr="009122C5" w:rsidRDefault="001C0208" w:rsidP="001C0208">
      <w:pPr>
        <w:spacing w:before="120" w:after="120" w:line="240" w:lineRule="auto"/>
        <w:rPr>
          <w:rFonts w:ascii="Arial" w:hAnsi="Arial" w:cs="Arial"/>
          <w:i/>
          <w:iCs/>
          <w:color w:val="000000"/>
          <w:sz w:val="24"/>
          <w:szCs w:val="24"/>
          <w:shd w:val="clear" w:color="auto" w:fill="FFFFFF"/>
          <w:lang w:eastAsia="en-AU"/>
        </w:rPr>
      </w:pPr>
      <w:r w:rsidRPr="009122C5">
        <w:rPr>
          <w:rFonts w:ascii="Arial" w:hAnsi="Arial" w:cs="Arial"/>
          <w:i/>
          <w:iCs/>
          <w:color w:val="000000"/>
          <w:sz w:val="24"/>
          <w:szCs w:val="24"/>
          <w:shd w:val="clear" w:color="auto" w:fill="FFFFFF"/>
          <w:lang w:eastAsia="en-AU"/>
        </w:rPr>
        <w:t>What the Commission does now</w:t>
      </w:r>
    </w:p>
    <w:p w14:paraId="12A97B5A" w14:textId="4AB11BB7" w:rsidR="001A2FE8" w:rsidRDefault="001A2FE8" w:rsidP="001A2FE8">
      <w:pPr>
        <w:spacing w:before="120" w:after="120" w:line="240" w:lineRule="auto"/>
        <w:rPr>
          <w:color w:val="000000"/>
          <w:shd w:val="clear" w:color="auto" w:fill="FFFFFF"/>
        </w:rPr>
      </w:pPr>
      <w:r w:rsidRPr="00322BF4">
        <w:rPr>
          <w:rFonts w:ascii="Arial" w:hAnsi="Arial" w:cs="Arial"/>
          <w:color w:val="000000"/>
          <w:sz w:val="24"/>
          <w:szCs w:val="24"/>
          <w:shd w:val="clear" w:color="auto" w:fill="FFFFFF"/>
        </w:rPr>
        <w:t>The Commission has reporting obligations under</w:t>
      </w:r>
      <w:r>
        <w:rPr>
          <w:rFonts w:ascii="Arial" w:hAnsi="Arial" w:cs="Arial"/>
          <w:color w:val="000000"/>
          <w:sz w:val="24"/>
          <w:szCs w:val="24"/>
          <w:shd w:val="clear" w:color="auto" w:fill="FFFFFF"/>
        </w:rPr>
        <w:t xml:space="preserve"> Part 6 of the </w:t>
      </w:r>
      <w:r w:rsidRPr="00322BF4">
        <w:rPr>
          <w:rFonts w:ascii="Arial" w:hAnsi="Arial" w:cs="Arial"/>
          <w:color w:val="000000"/>
          <w:sz w:val="24"/>
          <w:szCs w:val="24"/>
          <w:shd w:val="clear" w:color="auto" w:fill="FFFFFF"/>
        </w:rPr>
        <w:t>Commission Act, including preparation of an Annual Report</w:t>
      </w:r>
      <w:r>
        <w:rPr>
          <w:rFonts w:ascii="Arial" w:hAnsi="Arial" w:cs="Arial"/>
          <w:color w:val="000000"/>
          <w:sz w:val="24"/>
          <w:szCs w:val="24"/>
          <w:shd w:val="clear" w:color="auto" w:fill="FFFFFF"/>
        </w:rPr>
        <w:t xml:space="preserve"> and Corporate plan, </w:t>
      </w:r>
      <w:r w:rsidRPr="00322BF4">
        <w:rPr>
          <w:rFonts w:ascii="Arial" w:hAnsi="Arial" w:cs="Arial"/>
          <w:color w:val="000000"/>
          <w:sz w:val="24"/>
          <w:szCs w:val="24"/>
          <w:shd w:val="clear" w:color="auto" w:fill="FFFFFF"/>
        </w:rPr>
        <w:t>which compl</w:t>
      </w:r>
      <w:r>
        <w:rPr>
          <w:rFonts w:ascii="Arial" w:hAnsi="Arial" w:cs="Arial"/>
          <w:color w:val="000000"/>
          <w:sz w:val="24"/>
          <w:szCs w:val="24"/>
          <w:shd w:val="clear" w:color="auto" w:fill="FFFFFF"/>
        </w:rPr>
        <w:t>y</w:t>
      </w:r>
      <w:r w:rsidRPr="00322BF4">
        <w:rPr>
          <w:rFonts w:ascii="Arial" w:hAnsi="Arial" w:cs="Arial"/>
          <w:color w:val="000000"/>
          <w:sz w:val="24"/>
          <w:szCs w:val="24"/>
          <w:shd w:val="clear" w:color="auto" w:fill="FFFFFF"/>
        </w:rPr>
        <w:t xml:space="preserve"> with the </w:t>
      </w:r>
      <w:r w:rsidRPr="00322BF4">
        <w:rPr>
          <w:rFonts w:ascii="Arial" w:hAnsi="Arial" w:cs="Arial"/>
          <w:i/>
          <w:iCs/>
          <w:color w:val="000000"/>
          <w:sz w:val="24"/>
          <w:szCs w:val="24"/>
          <w:shd w:val="clear" w:color="auto" w:fill="FFFFFF"/>
        </w:rPr>
        <w:t>Public Governance, Performance and Accountability Act 2013</w:t>
      </w:r>
      <w:r>
        <w:rPr>
          <w:rFonts w:ascii="Arial" w:hAnsi="Arial" w:cs="Arial"/>
          <w:i/>
          <w:iCs/>
          <w:color w:val="000000"/>
          <w:sz w:val="24"/>
          <w:szCs w:val="24"/>
          <w:shd w:val="clear" w:color="auto" w:fill="FFFFFF"/>
        </w:rPr>
        <w:t xml:space="preserve">, </w:t>
      </w:r>
      <w:r>
        <w:rPr>
          <w:rFonts w:ascii="Arial" w:hAnsi="Arial" w:cs="Arial"/>
          <w:color w:val="000000"/>
          <w:sz w:val="24"/>
          <w:szCs w:val="24"/>
          <w:shd w:val="clear" w:color="auto" w:fill="FFFFFF"/>
        </w:rPr>
        <w:t xml:space="preserve">and preparation of </w:t>
      </w:r>
      <w:r w:rsidRPr="00322BF4">
        <w:rPr>
          <w:rFonts w:ascii="Arial" w:hAnsi="Arial" w:cs="Arial"/>
          <w:color w:val="000000"/>
          <w:sz w:val="24"/>
          <w:szCs w:val="24"/>
          <w:shd w:val="clear" w:color="auto" w:fill="FFFFFF"/>
        </w:rPr>
        <w:t>a</w:t>
      </w:r>
      <w:r>
        <w:rPr>
          <w:rFonts w:ascii="Arial" w:hAnsi="Arial" w:cs="Arial"/>
          <w:color w:val="000000"/>
          <w:sz w:val="24"/>
          <w:szCs w:val="24"/>
          <w:shd w:val="clear" w:color="auto" w:fill="FFFFFF"/>
        </w:rPr>
        <w:t>n</w:t>
      </w:r>
      <w:r w:rsidRPr="00322BF4">
        <w:rPr>
          <w:rFonts w:ascii="Arial" w:hAnsi="Arial" w:cs="Arial"/>
          <w:color w:val="000000"/>
          <w:sz w:val="24"/>
          <w:szCs w:val="24"/>
          <w:shd w:val="clear" w:color="auto" w:fill="FFFFFF"/>
        </w:rPr>
        <w:t xml:space="preserve"> annual operational plan</w:t>
      </w:r>
      <w:r>
        <w:rPr>
          <w:color w:val="000000"/>
          <w:shd w:val="clear" w:color="auto" w:fill="FFFFFF"/>
        </w:rPr>
        <w:t xml:space="preserve">. </w:t>
      </w:r>
      <w:r w:rsidRPr="00322BF4">
        <w:rPr>
          <w:rFonts w:ascii="Arial" w:hAnsi="Arial" w:cs="Arial"/>
          <w:color w:val="000000"/>
          <w:sz w:val="24"/>
          <w:szCs w:val="24"/>
          <w:shd w:val="clear" w:color="auto" w:fill="FFFFFF"/>
        </w:rPr>
        <w:t>The Commissioner must consult the Minister and Advisory Council on the Corporate Pla</w:t>
      </w:r>
      <w:r>
        <w:rPr>
          <w:rFonts w:ascii="Arial" w:hAnsi="Arial" w:cs="Arial"/>
          <w:color w:val="000000"/>
          <w:sz w:val="24"/>
          <w:szCs w:val="24"/>
          <w:shd w:val="clear" w:color="auto" w:fill="FFFFFF"/>
        </w:rPr>
        <w:t>n.</w:t>
      </w:r>
      <w:r w:rsidR="00767505">
        <w:rPr>
          <w:rStyle w:val="FootnoteReference"/>
          <w:rFonts w:ascii="Arial" w:hAnsi="Arial" w:cs="Arial"/>
          <w:color w:val="000000"/>
          <w:sz w:val="24"/>
          <w:szCs w:val="24"/>
          <w:shd w:val="clear" w:color="auto" w:fill="FFFFFF"/>
        </w:rPr>
        <w:footnoteReference w:id="40"/>
      </w:r>
    </w:p>
    <w:p w14:paraId="31060734" w14:textId="078125A8" w:rsidR="001C0208" w:rsidRPr="009122C5" w:rsidRDefault="005F22A1" w:rsidP="001C0208">
      <w:pPr>
        <w:spacing w:before="120" w:after="120" w:line="240" w:lineRule="auto"/>
        <w:rPr>
          <w:rFonts w:ascii="Arial" w:hAnsi="Arial" w:cs="Arial"/>
          <w:color w:val="000000"/>
          <w:sz w:val="24"/>
          <w:szCs w:val="24"/>
          <w:shd w:val="clear" w:color="auto" w:fill="FFFFFF"/>
        </w:rPr>
      </w:pPr>
      <w:r w:rsidRPr="009122C5">
        <w:rPr>
          <w:rFonts w:ascii="Arial" w:hAnsi="Arial" w:cs="Arial"/>
          <w:color w:val="000000"/>
          <w:sz w:val="24"/>
          <w:szCs w:val="24"/>
          <w:shd w:val="clear" w:color="auto" w:fill="FFFFFF"/>
        </w:rPr>
        <w:t xml:space="preserve">The Commission </w:t>
      </w:r>
      <w:r>
        <w:rPr>
          <w:rFonts w:ascii="Arial" w:hAnsi="Arial" w:cs="Arial"/>
          <w:color w:val="000000"/>
          <w:sz w:val="24"/>
          <w:szCs w:val="24"/>
          <w:shd w:val="clear" w:color="auto" w:fill="FFFFFF"/>
        </w:rPr>
        <w:t>undertakes</w:t>
      </w:r>
      <w:r w:rsidRPr="009122C5">
        <w:rPr>
          <w:rFonts w:ascii="Arial" w:hAnsi="Arial" w:cs="Arial"/>
          <w:color w:val="000000"/>
          <w:sz w:val="24"/>
          <w:szCs w:val="24"/>
          <w:shd w:val="clear" w:color="auto" w:fill="FFFFFF"/>
        </w:rPr>
        <w:t xml:space="preserve"> annual performance reporting, including publication on its website of its Corporate Plan</w:t>
      </w:r>
      <w:r w:rsidR="001A2FE8">
        <w:rPr>
          <w:rFonts w:ascii="Arial" w:hAnsi="Arial" w:cs="Arial"/>
          <w:color w:val="000000"/>
          <w:sz w:val="24"/>
          <w:szCs w:val="24"/>
          <w:shd w:val="clear" w:color="auto" w:fill="FFFFFF"/>
        </w:rPr>
        <w:t xml:space="preserve"> (which includes its operational plan)</w:t>
      </w:r>
      <w:r w:rsidRPr="009122C5">
        <w:rPr>
          <w:rFonts w:ascii="Arial" w:hAnsi="Arial" w:cs="Arial"/>
          <w:color w:val="000000"/>
          <w:sz w:val="24"/>
          <w:szCs w:val="24"/>
          <w:shd w:val="clear" w:color="auto" w:fill="FFFFFF"/>
        </w:rPr>
        <w:t>, Annual Report and Portfolio Budget Statement. It also publishes information on its website about its Regulatory Strategy, operational policies and guidelines</w:t>
      </w:r>
      <w:r w:rsidR="001C0208" w:rsidRPr="009122C5">
        <w:rPr>
          <w:rFonts w:ascii="Arial" w:hAnsi="Arial" w:cs="Arial"/>
          <w:color w:val="000000"/>
          <w:sz w:val="24"/>
          <w:szCs w:val="24"/>
          <w:shd w:val="clear" w:color="auto" w:fill="FFFFFF"/>
        </w:rPr>
        <w:t>, performance reports, a register of non-compliance and regulatory actions and complaints directions.</w:t>
      </w:r>
      <w:r w:rsidR="00767505" w:rsidRPr="009122C5">
        <w:rPr>
          <w:rFonts w:ascii="Arial" w:hAnsi="Arial" w:cs="Arial"/>
          <w:color w:val="000000"/>
          <w:sz w:val="24"/>
          <w:szCs w:val="24"/>
          <w:shd w:val="clear" w:color="auto" w:fill="FFFFFF"/>
          <w:vertAlign w:val="superscript"/>
        </w:rPr>
        <w:footnoteReference w:id="41"/>
      </w:r>
    </w:p>
    <w:p w14:paraId="4F4F1E0C" w14:textId="77777777" w:rsidR="001C0208" w:rsidRPr="009122C5" w:rsidRDefault="001C0208" w:rsidP="005E17ED">
      <w:pPr>
        <w:keepNext/>
        <w:spacing w:before="120" w:after="120" w:line="240" w:lineRule="auto"/>
        <w:rPr>
          <w:rFonts w:ascii="Arial" w:hAnsi="Arial" w:cs="Arial"/>
          <w:i/>
          <w:iCs/>
          <w:color w:val="000000"/>
          <w:sz w:val="24"/>
          <w:szCs w:val="24"/>
          <w:shd w:val="clear" w:color="auto" w:fill="FFFFFF"/>
          <w:lang w:eastAsia="en-AU"/>
        </w:rPr>
      </w:pPr>
      <w:r w:rsidRPr="009122C5">
        <w:rPr>
          <w:rFonts w:ascii="Arial" w:hAnsi="Arial" w:cs="Arial"/>
          <w:i/>
          <w:iCs/>
          <w:color w:val="000000"/>
          <w:sz w:val="24"/>
          <w:szCs w:val="24"/>
          <w:shd w:val="clear" w:color="auto" w:fill="FFFFFF"/>
          <w:lang w:eastAsia="en-AU"/>
        </w:rPr>
        <w:lastRenderedPageBreak/>
        <w:t>What the Commission should do</w:t>
      </w:r>
    </w:p>
    <w:p w14:paraId="29408921" w14:textId="2FBA17C4" w:rsidR="001C0208" w:rsidRPr="009122C5" w:rsidRDefault="001C0208" w:rsidP="001C0208">
      <w:pPr>
        <w:spacing w:before="120" w:after="120" w:line="240" w:lineRule="auto"/>
        <w:rPr>
          <w:rFonts w:ascii="Arial" w:hAnsi="Arial" w:cs="Arial"/>
          <w:sz w:val="24"/>
          <w:szCs w:val="24"/>
        </w:rPr>
      </w:pPr>
      <w:r w:rsidRPr="009122C5">
        <w:rPr>
          <w:rFonts w:ascii="Arial" w:hAnsi="Arial" w:cs="Arial"/>
          <w:color w:val="000000"/>
          <w:sz w:val="24"/>
          <w:szCs w:val="24"/>
          <w:shd w:val="clear" w:color="auto" w:fill="FFFFFF"/>
          <w:lang w:eastAsia="en-AU"/>
        </w:rPr>
        <w:t xml:space="preserve">While the above suggests the </w:t>
      </w:r>
      <w:r w:rsidR="005F22A1" w:rsidRPr="009122C5">
        <w:rPr>
          <w:rFonts w:ascii="Arial" w:hAnsi="Arial" w:cs="Arial"/>
          <w:color w:val="000000"/>
          <w:sz w:val="24"/>
          <w:szCs w:val="24"/>
          <w:shd w:val="clear" w:color="auto" w:fill="FFFFFF"/>
          <w:lang w:eastAsia="en-AU"/>
        </w:rPr>
        <w:t>Commission is</w:t>
      </w:r>
      <w:r w:rsidR="005C668D">
        <w:rPr>
          <w:rFonts w:ascii="Arial" w:hAnsi="Arial" w:cs="Arial"/>
          <w:color w:val="000000"/>
          <w:sz w:val="24"/>
          <w:szCs w:val="24"/>
          <w:shd w:val="clear" w:color="auto" w:fill="FFFFFF"/>
          <w:lang w:eastAsia="en-AU"/>
        </w:rPr>
        <w:t xml:space="preserve"> </w:t>
      </w:r>
      <w:r w:rsidR="00433697">
        <w:rPr>
          <w:rFonts w:ascii="Arial" w:hAnsi="Arial" w:cs="Arial"/>
          <w:color w:val="000000"/>
          <w:sz w:val="24"/>
          <w:szCs w:val="24"/>
          <w:shd w:val="clear" w:color="auto" w:fill="FFFFFF"/>
          <w:lang w:eastAsia="en-AU"/>
        </w:rPr>
        <w:t>fulfilling</w:t>
      </w:r>
      <w:r w:rsidR="005C668D">
        <w:rPr>
          <w:rFonts w:ascii="Arial" w:hAnsi="Arial" w:cs="Arial"/>
          <w:color w:val="000000"/>
          <w:sz w:val="24"/>
          <w:szCs w:val="24"/>
          <w:shd w:val="clear" w:color="auto" w:fill="FFFFFF"/>
          <w:lang w:eastAsia="en-AU"/>
        </w:rPr>
        <w:t xml:space="preserve"> its </w:t>
      </w:r>
      <w:r w:rsidR="00433697">
        <w:rPr>
          <w:rFonts w:ascii="Arial" w:hAnsi="Arial" w:cs="Arial"/>
          <w:color w:val="000000"/>
          <w:sz w:val="24"/>
          <w:szCs w:val="24"/>
          <w:shd w:val="clear" w:color="auto" w:fill="FFFFFF"/>
          <w:lang w:eastAsia="en-AU"/>
        </w:rPr>
        <w:t xml:space="preserve">formal </w:t>
      </w:r>
      <w:r w:rsidR="005C668D">
        <w:rPr>
          <w:rFonts w:ascii="Arial" w:hAnsi="Arial" w:cs="Arial"/>
          <w:color w:val="000000"/>
          <w:sz w:val="24"/>
          <w:szCs w:val="24"/>
          <w:shd w:val="clear" w:color="auto" w:fill="FFFFFF"/>
          <w:lang w:eastAsia="en-AU"/>
        </w:rPr>
        <w:t>requirements to be a</w:t>
      </w:r>
      <w:r w:rsidRPr="009122C5">
        <w:rPr>
          <w:rFonts w:ascii="Arial" w:hAnsi="Arial" w:cs="Arial"/>
          <w:color w:val="000000"/>
          <w:sz w:val="24"/>
          <w:szCs w:val="24"/>
          <w:shd w:val="clear" w:color="auto" w:fill="FFFFFF"/>
          <w:lang w:eastAsia="en-AU"/>
        </w:rPr>
        <w:t xml:space="preserve"> transparent and accountable regulator, feedback</w:t>
      </w:r>
      <w:r w:rsidRPr="009122C5">
        <w:rPr>
          <w:rFonts w:ascii="Arial" w:hAnsi="Arial" w:cs="Arial"/>
          <w:sz w:val="24"/>
          <w:szCs w:val="24"/>
        </w:rPr>
        <w:t xml:space="preserve"> indicates it needs to do more to embed these principles in practice. </w:t>
      </w:r>
    </w:p>
    <w:p w14:paraId="7CC7F848" w14:textId="3A964A6A" w:rsidR="001C0208" w:rsidRPr="009122C5" w:rsidRDefault="001C0208" w:rsidP="001C0208">
      <w:pPr>
        <w:spacing w:before="120" w:after="120" w:line="240" w:lineRule="auto"/>
        <w:rPr>
          <w:rFonts w:ascii="Arial" w:hAnsi="Arial" w:cs="Arial"/>
          <w:color w:val="000000"/>
          <w:sz w:val="24"/>
          <w:szCs w:val="24"/>
          <w:shd w:val="clear" w:color="auto" w:fill="FFFFFF"/>
        </w:rPr>
      </w:pPr>
      <w:r w:rsidRPr="009122C5">
        <w:rPr>
          <w:rFonts w:ascii="Arial" w:hAnsi="Arial" w:cs="Arial"/>
          <w:color w:val="000000"/>
          <w:sz w:val="24"/>
          <w:szCs w:val="24"/>
          <w:shd w:val="clear" w:color="auto" w:fill="FFFFFF"/>
          <w:lang w:eastAsia="en-AU"/>
        </w:rPr>
        <w:t xml:space="preserve">Providers </w:t>
      </w:r>
      <w:r w:rsidR="00E00A87">
        <w:rPr>
          <w:rFonts w:ascii="Arial" w:hAnsi="Arial" w:cs="Arial"/>
          <w:color w:val="000000"/>
          <w:sz w:val="24"/>
          <w:szCs w:val="24"/>
          <w:shd w:val="clear" w:color="auto" w:fill="FFFFFF"/>
          <w:lang w:eastAsia="en-AU"/>
        </w:rPr>
        <w:t>advised the Review</w:t>
      </w:r>
      <w:r w:rsidRPr="009122C5">
        <w:rPr>
          <w:rFonts w:ascii="Arial" w:hAnsi="Arial" w:cs="Arial"/>
          <w:color w:val="000000"/>
          <w:sz w:val="24"/>
          <w:szCs w:val="24"/>
          <w:shd w:val="clear" w:color="auto" w:fill="FFFFFF"/>
          <w:lang w:eastAsia="en-AU"/>
        </w:rPr>
        <w:t xml:space="preserve"> </w:t>
      </w:r>
      <w:r w:rsidR="00433697">
        <w:rPr>
          <w:rFonts w:ascii="Arial" w:hAnsi="Arial" w:cs="Arial"/>
          <w:color w:val="000000"/>
          <w:sz w:val="24"/>
          <w:szCs w:val="24"/>
          <w:shd w:val="clear" w:color="auto" w:fill="FFFFFF"/>
          <w:lang w:eastAsia="en-AU"/>
        </w:rPr>
        <w:t xml:space="preserve">that </w:t>
      </w:r>
      <w:r w:rsidRPr="009122C5">
        <w:rPr>
          <w:rFonts w:ascii="Arial" w:hAnsi="Arial" w:cs="Arial"/>
          <w:color w:val="000000"/>
          <w:sz w:val="24"/>
          <w:szCs w:val="24"/>
          <w:shd w:val="clear" w:color="auto" w:fill="FFFFFF"/>
          <w:lang w:eastAsia="en-AU"/>
        </w:rPr>
        <w:t>the</w:t>
      </w:r>
      <w:r w:rsidRPr="009122C5">
        <w:rPr>
          <w:rFonts w:ascii="Arial" w:hAnsi="Arial" w:cs="Arial"/>
          <w:color w:val="000000"/>
          <w:sz w:val="24"/>
          <w:szCs w:val="24"/>
          <w:shd w:val="clear" w:color="auto" w:fill="FFFFFF"/>
        </w:rPr>
        <w:t xml:space="preserve"> Commission’s regulatory decisions </w:t>
      </w:r>
      <w:r w:rsidR="00433697">
        <w:rPr>
          <w:rFonts w:ascii="Arial" w:hAnsi="Arial" w:cs="Arial"/>
          <w:color w:val="000000"/>
          <w:sz w:val="24"/>
          <w:szCs w:val="24"/>
          <w:shd w:val="clear" w:color="auto" w:fill="FFFFFF"/>
        </w:rPr>
        <w:t xml:space="preserve">often </w:t>
      </w:r>
      <w:r w:rsidRPr="009122C5">
        <w:rPr>
          <w:rFonts w:ascii="Arial" w:hAnsi="Arial" w:cs="Arial"/>
          <w:color w:val="000000"/>
          <w:sz w:val="24"/>
          <w:szCs w:val="24"/>
          <w:shd w:val="clear" w:color="auto" w:fill="FFFFFF"/>
        </w:rPr>
        <w:t>lacked procedural fairness</w:t>
      </w:r>
      <w:r w:rsidR="00433697">
        <w:rPr>
          <w:rFonts w:ascii="Arial" w:hAnsi="Arial" w:cs="Arial"/>
          <w:color w:val="000000"/>
          <w:sz w:val="24"/>
          <w:szCs w:val="24"/>
          <w:shd w:val="clear" w:color="auto" w:fill="FFFFFF"/>
        </w:rPr>
        <w:t>. C</w:t>
      </w:r>
      <w:r w:rsidRPr="009122C5">
        <w:rPr>
          <w:rFonts w:ascii="Arial" w:hAnsi="Arial" w:cs="Arial"/>
          <w:color w:val="000000"/>
          <w:sz w:val="24"/>
          <w:szCs w:val="24"/>
          <w:shd w:val="clear" w:color="auto" w:fill="FFFFFF"/>
        </w:rPr>
        <w:t xml:space="preserve">onsumers raised concerns about the complaints process, including that the Commission does not </w:t>
      </w:r>
      <w:r w:rsidR="00433697">
        <w:rPr>
          <w:rFonts w:ascii="Arial" w:hAnsi="Arial" w:cs="Arial"/>
          <w:color w:val="000000"/>
          <w:sz w:val="24"/>
          <w:szCs w:val="24"/>
          <w:shd w:val="clear" w:color="auto" w:fill="FFFFFF"/>
        </w:rPr>
        <w:t xml:space="preserve">always </w:t>
      </w:r>
      <w:r w:rsidRPr="009122C5">
        <w:rPr>
          <w:rFonts w:ascii="Arial" w:hAnsi="Arial" w:cs="Arial"/>
          <w:color w:val="000000"/>
          <w:sz w:val="24"/>
          <w:szCs w:val="24"/>
          <w:shd w:val="clear" w:color="auto" w:fill="FFFFFF"/>
        </w:rPr>
        <w:t>inform them of the progress or outcome of their complaint in a timely manner</w:t>
      </w:r>
      <w:r w:rsidR="00E00A87">
        <w:rPr>
          <w:rFonts w:ascii="Arial" w:hAnsi="Arial" w:cs="Arial"/>
          <w:color w:val="000000"/>
          <w:sz w:val="24"/>
          <w:szCs w:val="24"/>
          <w:shd w:val="clear" w:color="auto" w:fill="FFFFFF"/>
        </w:rPr>
        <w:t>,</w:t>
      </w:r>
      <w:r w:rsidRPr="009122C5">
        <w:rPr>
          <w:rFonts w:ascii="Arial" w:hAnsi="Arial" w:cs="Arial"/>
          <w:color w:val="000000"/>
          <w:sz w:val="24"/>
          <w:szCs w:val="24"/>
          <w:shd w:val="clear" w:color="auto" w:fill="FFFFFF"/>
        </w:rPr>
        <w:t xml:space="preserve"> and </w:t>
      </w:r>
      <w:r w:rsidR="00433697">
        <w:rPr>
          <w:rFonts w:ascii="Arial" w:hAnsi="Arial" w:cs="Arial"/>
          <w:color w:val="000000"/>
          <w:sz w:val="24"/>
          <w:szCs w:val="24"/>
          <w:shd w:val="clear" w:color="auto" w:fill="FFFFFF"/>
        </w:rPr>
        <w:t xml:space="preserve">that they </w:t>
      </w:r>
      <w:r w:rsidRPr="009122C5">
        <w:rPr>
          <w:rFonts w:ascii="Arial" w:hAnsi="Arial" w:cs="Arial"/>
          <w:color w:val="000000"/>
          <w:sz w:val="24"/>
          <w:szCs w:val="24"/>
          <w:shd w:val="clear" w:color="auto" w:fill="FFFFFF"/>
        </w:rPr>
        <w:t xml:space="preserve">lack access to provider information relating to their complaints (see </w:t>
      </w:r>
      <w:r w:rsidR="00433697">
        <w:rPr>
          <w:rFonts w:ascii="Arial" w:hAnsi="Arial" w:cs="Arial"/>
          <w:color w:val="000000"/>
          <w:sz w:val="24"/>
          <w:szCs w:val="24"/>
          <w:shd w:val="clear" w:color="auto" w:fill="FFFFFF"/>
        </w:rPr>
        <w:t>Section</w:t>
      </w:r>
      <w:r w:rsidR="00433697" w:rsidRPr="005C39F0">
        <w:rPr>
          <w:rFonts w:ascii="Arial" w:hAnsi="Arial" w:cs="Arial"/>
          <w:color w:val="000000"/>
          <w:sz w:val="24"/>
          <w:szCs w:val="24"/>
          <w:shd w:val="clear" w:color="auto" w:fill="FFFFFF"/>
        </w:rPr>
        <w:t xml:space="preserve"> </w:t>
      </w:r>
      <w:r w:rsidRPr="005C39F0">
        <w:rPr>
          <w:rFonts w:ascii="Arial" w:hAnsi="Arial" w:cs="Arial"/>
          <w:color w:val="000000"/>
          <w:sz w:val="24"/>
          <w:szCs w:val="24"/>
          <w:shd w:val="clear" w:color="auto" w:fill="FFFFFF"/>
        </w:rPr>
        <w:t>5</w:t>
      </w:r>
      <w:r w:rsidR="00E00A87" w:rsidRPr="005C39F0">
        <w:rPr>
          <w:rFonts w:ascii="Arial" w:hAnsi="Arial" w:cs="Arial"/>
          <w:color w:val="000000"/>
          <w:sz w:val="24"/>
          <w:szCs w:val="24"/>
          <w:shd w:val="clear" w:color="auto" w:fill="FFFFFF"/>
        </w:rPr>
        <w:t>.</w:t>
      </w:r>
      <w:r w:rsidR="00A33F3F" w:rsidRPr="005C39F0">
        <w:rPr>
          <w:rFonts w:ascii="Arial" w:hAnsi="Arial" w:cs="Arial"/>
          <w:color w:val="000000"/>
          <w:sz w:val="24"/>
          <w:szCs w:val="24"/>
          <w:shd w:val="clear" w:color="auto" w:fill="FFFFFF"/>
        </w:rPr>
        <w:t>3</w:t>
      </w:r>
      <w:r w:rsidRPr="005C39F0">
        <w:rPr>
          <w:rFonts w:ascii="Arial" w:hAnsi="Arial" w:cs="Arial"/>
          <w:color w:val="000000"/>
          <w:sz w:val="24"/>
          <w:szCs w:val="24"/>
          <w:shd w:val="clear" w:color="auto" w:fill="FFFFFF"/>
        </w:rPr>
        <w:t>).</w:t>
      </w:r>
    </w:p>
    <w:p w14:paraId="1E8CCB35" w14:textId="62DA5E5A" w:rsidR="001C0208" w:rsidRPr="009122C5" w:rsidRDefault="001C0208" w:rsidP="00827A9D">
      <w:pPr>
        <w:spacing w:before="120" w:after="120" w:line="240" w:lineRule="auto"/>
        <w:rPr>
          <w:rFonts w:ascii="Arial" w:hAnsi="Arial" w:cs="Arial"/>
          <w:color w:val="000000"/>
          <w:sz w:val="24"/>
          <w:szCs w:val="24"/>
          <w:shd w:val="clear" w:color="auto" w:fill="FFFFFF"/>
        </w:rPr>
      </w:pPr>
      <w:r w:rsidRPr="009122C5">
        <w:rPr>
          <w:rFonts w:ascii="Arial" w:hAnsi="Arial" w:cs="Arial"/>
          <w:color w:val="000000"/>
          <w:sz w:val="24"/>
          <w:szCs w:val="24"/>
          <w:shd w:val="clear" w:color="auto" w:fill="FFFFFF"/>
        </w:rPr>
        <w:t>Providers asked for more information around how the Commission assesses risk and uses risk-based information to determine its regulatory activities, and consider</w:t>
      </w:r>
      <w:r>
        <w:rPr>
          <w:rFonts w:ascii="Arial" w:hAnsi="Arial" w:cs="Arial"/>
          <w:color w:val="000000"/>
          <w:sz w:val="24"/>
          <w:szCs w:val="24"/>
          <w:shd w:val="clear" w:color="auto" w:fill="FFFFFF"/>
        </w:rPr>
        <w:t>e</w:t>
      </w:r>
      <w:r w:rsidRPr="009122C5">
        <w:rPr>
          <w:rFonts w:ascii="Arial" w:hAnsi="Arial" w:cs="Arial"/>
          <w:color w:val="000000"/>
          <w:sz w:val="24"/>
          <w:szCs w:val="24"/>
          <w:shd w:val="clear" w:color="auto" w:fill="FFFFFF"/>
        </w:rPr>
        <w:t xml:space="preserve">d the Commission has a defensive posture when issues are raised, or decisions questioned. </w:t>
      </w:r>
      <w:r w:rsidR="005C668D">
        <w:rPr>
          <w:rFonts w:ascii="Arial" w:hAnsi="Arial" w:cs="Arial"/>
          <w:color w:val="000000"/>
          <w:sz w:val="24"/>
          <w:szCs w:val="24"/>
          <w:shd w:val="clear" w:color="auto" w:fill="FFFFFF"/>
        </w:rPr>
        <w:t xml:space="preserve">Providers also suggested that some data requirements appeared to have limited value and </w:t>
      </w:r>
      <w:r w:rsidR="00FD14B4">
        <w:rPr>
          <w:rFonts w:ascii="Arial" w:hAnsi="Arial" w:cs="Arial"/>
          <w:color w:val="000000"/>
          <w:sz w:val="24"/>
          <w:szCs w:val="24"/>
          <w:shd w:val="clear" w:color="auto" w:fill="FFFFFF"/>
        </w:rPr>
        <w:t xml:space="preserve">stated they </w:t>
      </w:r>
      <w:r w:rsidR="005C668D">
        <w:rPr>
          <w:rFonts w:ascii="Arial" w:hAnsi="Arial" w:cs="Arial"/>
          <w:color w:val="000000"/>
          <w:sz w:val="24"/>
          <w:szCs w:val="24"/>
          <w:shd w:val="clear" w:color="auto" w:fill="FFFFFF"/>
        </w:rPr>
        <w:t xml:space="preserve">would </w:t>
      </w:r>
      <w:r w:rsidR="00FD14B4">
        <w:rPr>
          <w:rFonts w:ascii="Arial" w:hAnsi="Arial" w:cs="Arial"/>
          <w:color w:val="000000"/>
          <w:sz w:val="24"/>
          <w:szCs w:val="24"/>
          <w:shd w:val="clear" w:color="auto" w:fill="FFFFFF"/>
        </w:rPr>
        <w:t>welcome</w:t>
      </w:r>
      <w:r w:rsidR="005C668D">
        <w:rPr>
          <w:rFonts w:ascii="Arial" w:hAnsi="Arial" w:cs="Arial"/>
          <w:color w:val="000000"/>
          <w:sz w:val="24"/>
          <w:szCs w:val="24"/>
          <w:shd w:val="clear" w:color="auto" w:fill="FFFFFF"/>
        </w:rPr>
        <w:t xml:space="preserve"> </w:t>
      </w:r>
      <w:r w:rsidR="00827A9D">
        <w:rPr>
          <w:rFonts w:ascii="Arial" w:hAnsi="Arial" w:cs="Arial"/>
          <w:color w:val="000000"/>
          <w:sz w:val="24"/>
          <w:szCs w:val="24"/>
          <w:shd w:val="clear" w:color="auto" w:fill="FFFFFF"/>
        </w:rPr>
        <w:t>closer engagement</w:t>
      </w:r>
      <w:r w:rsidR="005C668D">
        <w:rPr>
          <w:rFonts w:ascii="Arial" w:hAnsi="Arial" w:cs="Arial"/>
          <w:color w:val="000000"/>
          <w:sz w:val="24"/>
          <w:szCs w:val="24"/>
          <w:shd w:val="clear" w:color="auto" w:fill="FFFFFF"/>
        </w:rPr>
        <w:t xml:space="preserve"> on reporting </w:t>
      </w:r>
      <w:r w:rsidR="00827A9D">
        <w:rPr>
          <w:rFonts w:ascii="Arial" w:hAnsi="Arial" w:cs="Arial"/>
          <w:color w:val="000000"/>
          <w:sz w:val="24"/>
          <w:szCs w:val="24"/>
          <w:shd w:val="clear" w:color="auto" w:fill="FFFFFF"/>
        </w:rPr>
        <w:t>requirements</w:t>
      </w:r>
      <w:r w:rsidR="005C668D">
        <w:rPr>
          <w:rFonts w:ascii="Arial" w:hAnsi="Arial" w:cs="Arial"/>
          <w:color w:val="000000"/>
          <w:sz w:val="24"/>
          <w:szCs w:val="24"/>
          <w:shd w:val="clear" w:color="auto" w:fill="FFFFFF"/>
        </w:rPr>
        <w:t xml:space="preserve">. </w:t>
      </w:r>
    </w:p>
    <w:p w14:paraId="1A5C7D35" w14:textId="36DCE17F" w:rsidR="001C0208" w:rsidRDefault="001A2FE8" w:rsidP="001C0208">
      <w:pPr>
        <w:spacing w:before="120" w:after="120" w:line="240" w:lineRule="auto"/>
        <w:rPr>
          <w:rFonts w:ascii="Arial" w:hAnsi="Arial" w:cs="Arial"/>
          <w:color w:val="000000"/>
          <w:sz w:val="24"/>
          <w:szCs w:val="24"/>
          <w:shd w:val="clear" w:color="auto" w:fill="FFFFFF"/>
        </w:rPr>
      </w:pPr>
      <w:r w:rsidRPr="004868EF">
        <w:rPr>
          <w:rFonts w:ascii="Arial" w:hAnsi="Arial" w:cs="Arial"/>
          <w:color w:val="000000"/>
          <w:sz w:val="24"/>
          <w:szCs w:val="24"/>
          <w:shd w:val="clear" w:color="auto" w:fill="FFFFFF"/>
        </w:rPr>
        <w:t xml:space="preserve">The Commission’s Statement of Intent </w:t>
      </w:r>
      <w:r w:rsidRPr="00827A9D">
        <w:rPr>
          <w:rFonts w:ascii="Arial" w:hAnsi="Arial" w:cs="Arial"/>
          <w:color w:val="000000"/>
          <w:sz w:val="24"/>
          <w:szCs w:val="24"/>
          <w:shd w:val="clear" w:color="auto" w:fill="FFFFFF"/>
        </w:rPr>
        <w:t>says</w:t>
      </w:r>
      <w:r w:rsidR="00FD14B4" w:rsidRPr="00827A9D">
        <w:rPr>
          <w:rFonts w:ascii="Arial" w:hAnsi="Arial" w:cs="Arial"/>
          <w:color w:val="000000"/>
          <w:sz w:val="24"/>
          <w:szCs w:val="24"/>
          <w:shd w:val="clear" w:color="auto" w:fill="FFFFFF"/>
        </w:rPr>
        <w:t>,</w:t>
      </w:r>
      <w:r w:rsidRPr="00827A9D">
        <w:rPr>
          <w:rFonts w:ascii="Arial" w:hAnsi="Arial" w:cs="Arial"/>
          <w:color w:val="000000"/>
          <w:sz w:val="24"/>
          <w:szCs w:val="24"/>
          <w:shd w:val="clear" w:color="auto" w:fill="FFFFFF"/>
        </w:rPr>
        <w:t xml:space="preserve"> “In our interactions with providers including through our regulatory decisions, we will seek to promote provider accountability, </w:t>
      </w:r>
      <w:proofErr w:type="gramStart"/>
      <w:r w:rsidRPr="00827A9D">
        <w:rPr>
          <w:rFonts w:ascii="Arial" w:hAnsi="Arial" w:cs="Arial"/>
          <w:color w:val="000000"/>
          <w:sz w:val="24"/>
          <w:szCs w:val="24"/>
          <w:shd w:val="clear" w:color="auto" w:fill="FFFFFF"/>
        </w:rPr>
        <w:t>transparency</w:t>
      </w:r>
      <w:proofErr w:type="gramEnd"/>
      <w:r w:rsidRPr="00827A9D">
        <w:rPr>
          <w:rFonts w:ascii="Arial" w:hAnsi="Arial" w:cs="Arial"/>
          <w:color w:val="000000"/>
          <w:sz w:val="24"/>
          <w:szCs w:val="24"/>
          <w:shd w:val="clear" w:color="auto" w:fill="FFFFFF"/>
        </w:rPr>
        <w:t xml:space="preserve"> and continuous improvement</w:t>
      </w:r>
      <w:r w:rsidR="00827A9D" w:rsidRPr="00827A9D">
        <w:rPr>
          <w:rFonts w:ascii="Arial" w:hAnsi="Arial" w:cs="Arial"/>
          <w:color w:val="000000"/>
          <w:sz w:val="24"/>
          <w:szCs w:val="24"/>
          <w:shd w:val="clear" w:color="auto" w:fill="FFFFFF"/>
        </w:rPr>
        <w:t>.</w:t>
      </w:r>
      <w:r w:rsidR="00767505" w:rsidRPr="00827A9D">
        <w:rPr>
          <w:color w:val="000000"/>
          <w:shd w:val="clear" w:color="auto" w:fill="FFFFFF"/>
        </w:rPr>
        <w:t xml:space="preserve"> </w:t>
      </w:r>
      <w:r w:rsidR="00767505" w:rsidRPr="00827A9D">
        <w:rPr>
          <w:color w:val="000000"/>
          <w:shd w:val="clear" w:color="auto" w:fill="FFFFFF"/>
        </w:rPr>
        <w:footnoteReference w:id="42"/>
      </w:r>
      <w:r w:rsidR="00767505" w:rsidRPr="00827A9D">
        <w:rPr>
          <w:rFonts w:ascii="Arial" w:hAnsi="Arial" w:cs="Arial"/>
          <w:color w:val="000000"/>
          <w:sz w:val="24"/>
          <w:szCs w:val="24"/>
          <w:shd w:val="clear" w:color="auto" w:fill="FFFFFF"/>
        </w:rPr>
        <w:t xml:space="preserve"> </w:t>
      </w:r>
      <w:r w:rsidR="00433697" w:rsidRPr="00827A9D">
        <w:rPr>
          <w:rFonts w:ascii="Arial" w:hAnsi="Arial" w:cs="Arial"/>
          <w:color w:val="000000"/>
          <w:sz w:val="24"/>
          <w:szCs w:val="24"/>
          <w:shd w:val="clear" w:color="auto" w:fill="FFFFFF"/>
        </w:rPr>
        <w:t>A</w:t>
      </w:r>
      <w:r w:rsidR="001C0208" w:rsidRPr="009122C5">
        <w:rPr>
          <w:rFonts w:ascii="Arial" w:hAnsi="Arial" w:cs="Arial"/>
          <w:color w:val="000000"/>
          <w:sz w:val="24"/>
          <w:szCs w:val="24"/>
          <w:shd w:val="clear" w:color="auto" w:fill="FFFFFF"/>
        </w:rPr>
        <w:t xml:space="preserve">ddressing the issues identified here provides the Commission with the opportunity to </w:t>
      </w:r>
      <w:r>
        <w:rPr>
          <w:rFonts w:ascii="Arial" w:hAnsi="Arial" w:cs="Arial"/>
          <w:color w:val="000000"/>
          <w:sz w:val="24"/>
          <w:szCs w:val="24"/>
          <w:shd w:val="clear" w:color="auto" w:fill="FFFFFF"/>
        </w:rPr>
        <w:t>demonstrate that it listen</w:t>
      </w:r>
      <w:r w:rsidR="00433697">
        <w:rPr>
          <w:rFonts w:ascii="Arial" w:hAnsi="Arial" w:cs="Arial"/>
          <w:color w:val="000000"/>
          <w:sz w:val="24"/>
          <w:szCs w:val="24"/>
          <w:shd w:val="clear" w:color="auto" w:fill="FFFFFF"/>
        </w:rPr>
        <w:t>s</w:t>
      </w:r>
      <w:r>
        <w:rPr>
          <w:rFonts w:ascii="Arial" w:hAnsi="Arial" w:cs="Arial"/>
          <w:color w:val="000000"/>
          <w:sz w:val="24"/>
          <w:szCs w:val="24"/>
          <w:shd w:val="clear" w:color="auto" w:fill="FFFFFF"/>
        </w:rPr>
        <w:t xml:space="preserve"> to and use</w:t>
      </w:r>
      <w:r w:rsidR="00433697">
        <w:rPr>
          <w:rFonts w:ascii="Arial" w:hAnsi="Arial" w:cs="Arial"/>
          <w:color w:val="000000"/>
          <w:sz w:val="24"/>
          <w:szCs w:val="24"/>
          <w:shd w:val="clear" w:color="auto" w:fill="FFFFFF"/>
        </w:rPr>
        <w:t>s</w:t>
      </w:r>
      <w:r>
        <w:rPr>
          <w:rFonts w:ascii="Arial" w:hAnsi="Arial" w:cs="Arial"/>
          <w:color w:val="000000"/>
          <w:sz w:val="24"/>
          <w:szCs w:val="24"/>
          <w:shd w:val="clear" w:color="auto" w:fill="FFFFFF"/>
        </w:rPr>
        <w:t xml:space="preserve"> feedback to improve its practice and ensure it undertakes the full range of its functions accountably and transparently.</w:t>
      </w:r>
    </w:p>
    <w:p w14:paraId="035900ED" w14:textId="4D135CD9" w:rsidR="00C11C80" w:rsidRDefault="001A2FE8" w:rsidP="001A2FE8">
      <w:pPr>
        <w:spacing w:before="120" w:after="120" w:line="240" w:lineRule="auto"/>
        <w:rPr>
          <w:rFonts w:ascii="Arial" w:hAnsi="Arial" w:cs="Arial"/>
          <w:color w:val="000000"/>
          <w:sz w:val="24"/>
          <w:szCs w:val="24"/>
          <w:shd w:val="clear" w:color="auto" w:fill="FFFFFF"/>
          <w:lang w:eastAsia="en-AU"/>
        </w:rPr>
      </w:pPr>
      <w:r w:rsidRPr="00706BE7">
        <w:rPr>
          <w:rFonts w:ascii="Arial" w:hAnsi="Arial" w:cs="Arial"/>
          <w:b/>
          <w:bCs/>
          <w:color w:val="000000"/>
          <w:sz w:val="24"/>
          <w:szCs w:val="24"/>
          <w:shd w:val="clear" w:color="auto" w:fill="FFFFFF"/>
        </w:rPr>
        <w:t>Recommendations 4.5:</w:t>
      </w:r>
      <w:r w:rsidRPr="00706BE7">
        <w:rPr>
          <w:rFonts w:ascii="Arial" w:hAnsi="Arial" w:cs="Arial"/>
          <w:color w:val="000000"/>
          <w:sz w:val="24"/>
          <w:szCs w:val="24"/>
          <w:shd w:val="clear" w:color="auto" w:fill="FFFFFF"/>
          <w:lang w:eastAsia="en-AU"/>
        </w:rPr>
        <w:t xml:space="preserve"> </w:t>
      </w:r>
      <w:r w:rsidRPr="00137601">
        <w:rPr>
          <w:rFonts w:ascii="Arial" w:hAnsi="Arial" w:cs="Arial"/>
          <w:color w:val="000000"/>
          <w:sz w:val="24"/>
          <w:szCs w:val="24"/>
          <w:shd w:val="clear" w:color="auto" w:fill="FFFFFF"/>
          <w:lang w:eastAsia="en-AU"/>
        </w:rPr>
        <w:t>The Commission</w:t>
      </w:r>
      <w:r w:rsidR="00C11C80">
        <w:rPr>
          <w:rFonts w:ascii="Arial" w:hAnsi="Arial" w:cs="Arial"/>
          <w:color w:val="000000"/>
          <w:sz w:val="24"/>
          <w:szCs w:val="24"/>
          <w:shd w:val="clear" w:color="auto" w:fill="FFFFFF"/>
          <w:lang w:eastAsia="en-AU"/>
        </w:rPr>
        <w:t xml:space="preserve"> to</w:t>
      </w:r>
      <w:r w:rsidRPr="00137601">
        <w:rPr>
          <w:rFonts w:ascii="Arial" w:hAnsi="Arial" w:cs="Arial"/>
          <w:color w:val="000000"/>
          <w:sz w:val="24"/>
          <w:szCs w:val="24"/>
          <w:shd w:val="clear" w:color="auto" w:fill="FFFFFF"/>
          <w:lang w:eastAsia="en-AU"/>
        </w:rPr>
        <w:t xml:space="preserve"> adopt open disclosure as part of its regulatory practice</w:t>
      </w:r>
      <w:r w:rsidR="00DF21A0">
        <w:rPr>
          <w:rFonts w:ascii="Arial" w:hAnsi="Arial" w:cs="Arial"/>
          <w:color w:val="000000"/>
          <w:sz w:val="24"/>
          <w:szCs w:val="24"/>
          <w:shd w:val="clear" w:color="auto" w:fill="FFFFFF"/>
          <w:lang w:eastAsia="en-AU"/>
        </w:rPr>
        <w:t xml:space="preserve"> and </w:t>
      </w:r>
      <w:r w:rsidR="00DF21A0" w:rsidRPr="00137601">
        <w:rPr>
          <w:rFonts w:ascii="Arial" w:hAnsi="Arial" w:cs="Arial"/>
          <w:color w:val="000000"/>
          <w:sz w:val="24"/>
          <w:szCs w:val="24"/>
          <w:shd w:val="clear" w:color="auto" w:fill="FFFFFF"/>
          <w:lang w:eastAsia="en-AU"/>
        </w:rPr>
        <w:t>promote transparency about its practice within the sector</w:t>
      </w:r>
      <w:r w:rsidR="00B13F49">
        <w:rPr>
          <w:rFonts w:ascii="Arial" w:hAnsi="Arial" w:cs="Arial"/>
          <w:color w:val="000000"/>
          <w:sz w:val="24"/>
          <w:szCs w:val="24"/>
          <w:shd w:val="clear" w:color="auto" w:fill="FFFFFF"/>
          <w:lang w:eastAsia="en-AU"/>
        </w:rPr>
        <w:t xml:space="preserve"> and the community</w:t>
      </w:r>
      <w:r w:rsidR="00C11C80">
        <w:rPr>
          <w:rFonts w:ascii="Arial" w:hAnsi="Arial" w:cs="Arial"/>
          <w:color w:val="000000"/>
          <w:sz w:val="24"/>
          <w:szCs w:val="24"/>
          <w:shd w:val="clear" w:color="auto" w:fill="FFFFFF"/>
          <w:lang w:eastAsia="en-AU"/>
        </w:rPr>
        <w:t>.</w:t>
      </w:r>
      <w:r w:rsidR="00DF21A0">
        <w:rPr>
          <w:rFonts w:ascii="Arial" w:hAnsi="Arial" w:cs="Arial"/>
          <w:color w:val="000000"/>
          <w:sz w:val="24"/>
          <w:szCs w:val="24"/>
          <w:shd w:val="clear" w:color="auto" w:fill="FFFFFF"/>
          <w:lang w:eastAsia="en-AU"/>
        </w:rPr>
        <w:t xml:space="preserve"> The Commission should demonstrate this by:</w:t>
      </w:r>
    </w:p>
    <w:p w14:paraId="758CDADB" w14:textId="77777777" w:rsidR="00DF21A0" w:rsidRDefault="001A2FE8" w:rsidP="00C11C80">
      <w:pPr>
        <w:pStyle w:val="ListParagraph"/>
        <w:numPr>
          <w:ilvl w:val="0"/>
          <w:numId w:val="70"/>
        </w:numPr>
        <w:spacing w:before="120" w:after="120" w:line="240" w:lineRule="auto"/>
        <w:rPr>
          <w:rFonts w:ascii="Arial" w:hAnsi="Arial" w:cs="Arial"/>
          <w:color w:val="000000"/>
          <w:sz w:val="24"/>
          <w:szCs w:val="24"/>
          <w:shd w:val="clear" w:color="auto" w:fill="FFFFFF"/>
          <w:lang w:eastAsia="en-AU"/>
        </w:rPr>
      </w:pPr>
      <w:r w:rsidRPr="00C11C80">
        <w:rPr>
          <w:rFonts w:ascii="Arial" w:hAnsi="Arial" w:cs="Arial"/>
          <w:color w:val="000000"/>
          <w:sz w:val="24"/>
          <w:szCs w:val="24"/>
          <w:shd w:val="clear" w:color="auto" w:fill="FFFFFF"/>
          <w:lang w:eastAsia="en-AU"/>
        </w:rPr>
        <w:t>communicating with affected persons when something goes wrong, using these occasions as a learning opportunity and receiving constructive criticism in good faith</w:t>
      </w:r>
    </w:p>
    <w:p w14:paraId="45D71A66" w14:textId="77777777" w:rsidR="001A2FE8" w:rsidRPr="003128BB" w:rsidRDefault="001A2FE8" w:rsidP="003128BB">
      <w:pPr>
        <w:pStyle w:val="ListParagraph"/>
        <w:numPr>
          <w:ilvl w:val="0"/>
          <w:numId w:val="70"/>
        </w:numPr>
        <w:spacing w:before="120" w:after="120" w:line="240" w:lineRule="auto"/>
        <w:rPr>
          <w:rFonts w:ascii="Arial" w:hAnsi="Arial" w:cs="Arial"/>
          <w:sz w:val="24"/>
          <w:szCs w:val="24"/>
        </w:rPr>
      </w:pPr>
      <w:r w:rsidRPr="003128BB">
        <w:rPr>
          <w:rFonts w:ascii="Arial" w:hAnsi="Arial" w:cs="Arial"/>
          <w:sz w:val="24"/>
          <w:szCs w:val="24"/>
        </w:rPr>
        <w:t>sharing information about its assessment and risk profiling methodologies to improve confidence in its decision making and regulatory activity</w:t>
      </w:r>
    </w:p>
    <w:p w14:paraId="681C89F4" w14:textId="77777777" w:rsidR="001A2FE8" w:rsidRPr="003128BB" w:rsidRDefault="001A2FE8" w:rsidP="003128BB">
      <w:pPr>
        <w:pStyle w:val="ListParagraph"/>
        <w:numPr>
          <w:ilvl w:val="0"/>
          <w:numId w:val="70"/>
        </w:numPr>
        <w:spacing w:before="120" w:after="120" w:line="240" w:lineRule="auto"/>
        <w:rPr>
          <w:rFonts w:ascii="Arial" w:hAnsi="Arial" w:cs="Arial"/>
          <w:sz w:val="24"/>
          <w:szCs w:val="24"/>
        </w:rPr>
      </w:pPr>
      <w:r w:rsidRPr="003128BB">
        <w:rPr>
          <w:rFonts w:ascii="Arial" w:hAnsi="Arial" w:cs="Arial"/>
          <w:sz w:val="24"/>
          <w:szCs w:val="24"/>
        </w:rPr>
        <w:t xml:space="preserve">building on regular sector performance reporting by analysing and sharing data and intelligence to drive better practice and support policy development, and </w:t>
      </w:r>
    </w:p>
    <w:p w14:paraId="29E539BF" w14:textId="4EFCBC4A" w:rsidR="001A2FE8" w:rsidRDefault="001A2FE8" w:rsidP="003128BB">
      <w:pPr>
        <w:pStyle w:val="ListParagraph"/>
        <w:numPr>
          <w:ilvl w:val="0"/>
          <w:numId w:val="70"/>
        </w:numPr>
        <w:spacing w:before="120" w:after="120" w:line="240" w:lineRule="auto"/>
        <w:rPr>
          <w:rFonts w:ascii="Arial" w:hAnsi="Arial" w:cs="Arial"/>
          <w:sz w:val="24"/>
          <w:szCs w:val="24"/>
        </w:rPr>
      </w:pPr>
      <w:r w:rsidRPr="003128BB">
        <w:rPr>
          <w:rFonts w:ascii="Arial" w:hAnsi="Arial" w:cs="Arial"/>
          <w:sz w:val="24"/>
          <w:szCs w:val="24"/>
        </w:rPr>
        <w:t>publishing a wide range of data, case studies and learnings from its regulatory practice.</w:t>
      </w:r>
    </w:p>
    <w:p w14:paraId="50D03647" w14:textId="499B006B" w:rsidR="006D6D72" w:rsidRPr="006D6D72" w:rsidRDefault="006D6D72" w:rsidP="006D6D72">
      <w:pPr>
        <w:spacing w:before="120" w:after="120" w:line="240" w:lineRule="auto"/>
        <w:rPr>
          <w:rFonts w:ascii="Arial" w:hAnsi="Arial" w:cs="Arial"/>
          <w:sz w:val="24"/>
          <w:szCs w:val="24"/>
        </w:rPr>
      </w:pPr>
      <w:r>
        <w:rPr>
          <w:rFonts w:ascii="Arial" w:hAnsi="Arial" w:cs="Arial"/>
          <w:sz w:val="24"/>
          <w:szCs w:val="24"/>
        </w:rPr>
        <w:t>Note the alignment of Recommendations 4.5 and 4.16.</w:t>
      </w:r>
    </w:p>
    <w:p w14:paraId="166C34CE" w14:textId="6D6C0131" w:rsidR="001C0208" w:rsidRPr="00A00298" w:rsidRDefault="00A2358A" w:rsidP="00A00298">
      <w:pPr>
        <w:rPr>
          <w:rFonts w:ascii="Arial" w:hAnsi="Arial" w:cs="Arial"/>
          <w:b/>
          <w:bCs/>
          <w:sz w:val="28"/>
          <w:szCs w:val="28"/>
        </w:rPr>
      </w:pPr>
      <w:r w:rsidRPr="00A00298">
        <w:rPr>
          <w:rFonts w:ascii="Arial" w:hAnsi="Arial" w:cs="Arial"/>
          <w:b/>
          <w:bCs/>
          <w:sz w:val="28"/>
          <w:szCs w:val="28"/>
        </w:rPr>
        <w:t>4</w:t>
      </w:r>
      <w:r w:rsidR="001C0208" w:rsidRPr="00A00298">
        <w:rPr>
          <w:rFonts w:ascii="Arial" w:hAnsi="Arial" w:cs="Arial"/>
          <w:b/>
          <w:bCs/>
          <w:sz w:val="28"/>
          <w:szCs w:val="28"/>
        </w:rPr>
        <w:t>.5 Capable people</w:t>
      </w:r>
    </w:p>
    <w:p w14:paraId="50326F91" w14:textId="77777777" w:rsidR="001C0208" w:rsidRDefault="001C0208" w:rsidP="001C0208">
      <w:pPr>
        <w:spacing w:before="120" w:after="120" w:line="240" w:lineRule="auto"/>
        <w:rPr>
          <w:rFonts w:ascii="Arial" w:hAnsi="Arial" w:cs="Arial"/>
          <w:i/>
          <w:iCs/>
          <w:sz w:val="24"/>
          <w:szCs w:val="24"/>
        </w:rPr>
      </w:pPr>
      <w:r>
        <w:rPr>
          <w:rFonts w:ascii="Arial" w:hAnsi="Arial" w:cs="Arial"/>
          <w:i/>
          <w:iCs/>
          <w:sz w:val="24"/>
          <w:szCs w:val="24"/>
        </w:rPr>
        <w:t>Best practice</w:t>
      </w:r>
    </w:p>
    <w:p w14:paraId="39EEF860" w14:textId="7110006B"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The </w:t>
      </w:r>
      <w:r>
        <w:rPr>
          <w:rFonts w:ascii="Arial" w:hAnsi="Arial" w:cs="Arial"/>
          <w:i/>
          <w:iCs/>
          <w:sz w:val="24"/>
          <w:szCs w:val="24"/>
        </w:rPr>
        <w:t>APSC State of the Service Report 2021-2022</w:t>
      </w:r>
      <w:r>
        <w:rPr>
          <w:rFonts w:ascii="Arial" w:hAnsi="Arial" w:cs="Arial"/>
          <w:sz w:val="24"/>
          <w:szCs w:val="24"/>
        </w:rPr>
        <w:t xml:space="preserve"> (page 67)</w:t>
      </w:r>
      <w:r w:rsidR="00767505">
        <w:rPr>
          <w:rStyle w:val="FootnoteReference"/>
          <w:rFonts w:ascii="Arial" w:hAnsi="Arial" w:cs="Arial"/>
          <w:sz w:val="24"/>
          <w:szCs w:val="24"/>
        </w:rPr>
        <w:footnoteReference w:id="43"/>
      </w:r>
      <w:r>
        <w:rPr>
          <w:rFonts w:ascii="Arial" w:hAnsi="Arial" w:cs="Arial"/>
          <w:sz w:val="24"/>
          <w:szCs w:val="24"/>
        </w:rPr>
        <w:t xml:space="preserve"> identifies strategic workforce planning, as well as a focus on each aspect of an APS career journey (Employee Life Cycle), as essential to building capability. There is also an APS wide renewed focus on developing internal talent and providing opportunities for staff to apply skills and attributes, deepen experience and facilitate career progression as part of the learning journey in an APS career.</w:t>
      </w:r>
    </w:p>
    <w:p w14:paraId="1FBB4787" w14:textId="4AE38B0A" w:rsidR="001C0208" w:rsidRDefault="001C0208" w:rsidP="001C0208">
      <w:pPr>
        <w:spacing w:before="120" w:after="120" w:line="240" w:lineRule="auto"/>
        <w:rPr>
          <w:rFonts w:ascii="Arial" w:hAnsi="Arial" w:cs="Arial"/>
          <w:sz w:val="24"/>
          <w:szCs w:val="24"/>
        </w:rPr>
      </w:pPr>
      <w:r>
        <w:rPr>
          <w:rFonts w:ascii="Arial" w:hAnsi="Arial" w:cs="Arial"/>
          <w:sz w:val="24"/>
          <w:szCs w:val="24"/>
        </w:rPr>
        <w:lastRenderedPageBreak/>
        <w:t>In a similar vein, the Grosvenor Report identified that a strategic workforce plan informs career progression, succession planning and professional learning and development.</w:t>
      </w:r>
      <w:r w:rsidR="00767505">
        <w:rPr>
          <w:rStyle w:val="FootnoteReference"/>
          <w:rFonts w:ascii="Arial" w:hAnsi="Arial" w:cs="Arial"/>
          <w:sz w:val="24"/>
          <w:szCs w:val="24"/>
        </w:rPr>
        <w:footnoteReference w:id="44"/>
      </w:r>
      <w:r>
        <w:rPr>
          <w:rFonts w:ascii="Arial" w:hAnsi="Arial" w:cs="Arial"/>
          <w:sz w:val="24"/>
          <w:szCs w:val="24"/>
        </w:rPr>
        <w:t xml:space="preserve"> </w:t>
      </w:r>
    </w:p>
    <w:p w14:paraId="04955ECE" w14:textId="0E49E968" w:rsidR="001C0208" w:rsidRDefault="001C0208" w:rsidP="001C0208">
      <w:pPr>
        <w:spacing w:before="120" w:after="120" w:line="240" w:lineRule="auto"/>
        <w:rPr>
          <w:rFonts w:ascii="Arial" w:hAnsi="Arial" w:cs="Arial"/>
          <w:sz w:val="24"/>
          <w:szCs w:val="24"/>
        </w:rPr>
      </w:pPr>
      <w:r>
        <w:rPr>
          <w:rFonts w:ascii="Arial" w:hAnsi="Arial" w:cs="Arial"/>
          <w:sz w:val="24"/>
          <w:szCs w:val="24"/>
        </w:rPr>
        <w:t>The United Kingdom Care Quality Commission</w:t>
      </w:r>
      <w:r w:rsidR="00CA75A9">
        <w:rPr>
          <w:rStyle w:val="FootnoteReference"/>
          <w:rFonts w:ascii="Arial" w:hAnsi="Arial" w:cs="Arial"/>
          <w:sz w:val="24"/>
          <w:szCs w:val="24"/>
        </w:rPr>
        <w:footnoteReference w:id="45"/>
      </w:r>
      <w:r w:rsidR="00CA75A9">
        <w:rPr>
          <w:rFonts w:ascii="Arial" w:hAnsi="Arial" w:cs="Arial"/>
          <w:sz w:val="24"/>
          <w:szCs w:val="24"/>
        </w:rPr>
        <w:t xml:space="preserve"> </w:t>
      </w:r>
      <w:r>
        <w:rPr>
          <w:rFonts w:ascii="Arial" w:hAnsi="Arial" w:cs="Arial"/>
          <w:sz w:val="24"/>
          <w:szCs w:val="24"/>
        </w:rPr>
        <w:t xml:space="preserve">uses strategic workforce planning to identify capabilities, aptitudes, </w:t>
      </w:r>
      <w:proofErr w:type="gramStart"/>
      <w:r>
        <w:rPr>
          <w:rFonts w:ascii="Arial" w:hAnsi="Arial" w:cs="Arial"/>
          <w:sz w:val="24"/>
          <w:szCs w:val="24"/>
        </w:rPr>
        <w:t>skills</w:t>
      </w:r>
      <w:proofErr w:type="gramEnd"/>
      <w:r>
        <w:rPr>
          <w:rFonts w:ascii="Arial" w:hAnsi="Arial" w:cs="Arial"/>
          <w:sz w:val="24"/>
          <w:szCs w:val="24"/>
        </w:rPr>
        <w:t xml:space="preserve"> and qualifications required to enable it to deliver better practice in regulation.</w:t>
      </w:r>
    </w:p>
    <w:p w14:paraId="7162B78F" w14:textId="77777777"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If implemented effectively, a Strategic Workforce Plan can be expected to have a positive impact on staff recruitment, </w:t>
      </w:r>
      <w:proofErr w:type="gramStart"/>
      <w:r>
        <w:rPr>
          <w:rFonts w:ascii="Arial" w:hAnsi="Arial" w:cs="Arial"/>
          <w:sz w:val="24"/>
          <w:szCs w:val="24"/>
        </w:rPr>
        <w:t>development</w:t>
      </w:r>
      <w:proofErr w:type="gramEnd"/>
      <w:r>
        <w:rPr>
          <w:rFonts w:ascii="Arial" w:hAnsi="Arial" w:cs="Arial"/>
          <w:sz w:val="24"/>
          <w:szCs w:val="24"/>
        </w:rPr>
        <w:t xml:space="preserve"> and retention by bringing in people of value to the organisation, by further training and developing those people, and by providing them with career paths to encourage them to stay with the organisation. </w:t>
      </w:r>
    </w:p>
    <w:p w14:paraId="7328E806" w14:textId="77777777" w:rsidR="001C0208" w:rsidRDefault="001C0208" w:rsidP="001C0208">
      <w:pPr>
        <w:spacing w:before="120" w:after="120" w:line="240" w:lineRule="auto"/>
        <w:rPr>
          <w:rFonts w:ascii="Arial" w:hAnsi="Arial" w:cs="Arial"/>
          <w:i/>
          <w:iCs/>
          <w:sz w:val="24"/>
          <w:szCs w:val="24"/>
        </w:rPr>
      </w:pPr>
      <w:r>
        <w:rPr>
          <w:rFonts w:ascii="Arial" w:hAnsi="Arial" w:cs="Arial"/>
          <w:i/>
          <w:iCs/>
          <w:sz w:val="24"/>
          <w:szCs w:val="24"/>
        </w:rPr>
        <w:t>What the Commission does now</w:t>
      </w:r>
    </w:p>
    <w:p w14:paraId="035A30C9" w14:textId="43C73818"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The significant growth </w:t>
      </w:r>
      <w:r w:rsidR="002822A1">
        <w:rPr>
          <w:rFonts w:ascii="Arial" w:hAnsi="Arial" w:cs="Arial"/>
          <w:sz w:val="24"/>
          <w:szCs w:val="24"/>
        </w:rPr>
        <w:t xml:space="preserve">of the Commission as well as the </w:t>
      </w:r>
      <w:r>
        <w:rPr>
          <w:rFonts w:ascii="Arial" w:hAnsi="Arial" w:cs="Arial"/>
          <w:sz w:val="24"/>
          <w:szCs w:val="24"/>
        </w:rPr>
        <w:t xml:space="preserve">additional functions </w:t>
      </w:r>
      <w:r w:rsidR="002822A1">
        <w:rPr>
          <w:rFonts w:ascii="Arial" w:hAnsi="Arial" w:cs="Arial"/>
          <w:sz w:val="24"/>
          <w:szCs w:val="24"/>
        </w:rPr>
        <w:t>it</w:t>
      </w:r>
      <w:r>
        <w:rPr>
          <w:rFonts w:ascii="Arial" w:hAnsi="Arial" w:cs="Arial"/>
          <w:sz w:val="24"/>
          <w:szCs w:val="24"/>
        </w:rPr>
        <w:t xml:space="preserve"> has absorbed</w:t>
      </w:r>
      <w:r w:rsidR="0077142F">
        <w:rPr>
          <w:rFonts w:ascii="Arial" w:hAnsi="Arial" w:cs="Arial"/>
          <w:sz w:val="24"/>
          <w:szCs w:val="24"/>
        </w:rPr>
        <w:t xml:space="preserve"> since January 2019</w:t>
      </w:r>
      <w:r w:rsidR="002822A1">
        <w:rPr>
          <w:rFonts w:ascii="Arial" w:hAnsi="Arial" w:cs="Arial"/>
          <w:sz w:val="24"/>
          <w:szCs w:val="24"/>
        </w:rPr>
        <w:t>,</w:t>
      </w:r>
      <w:r>
        <w:rPr>
          <w:rFonts w:ascii="Arial" w:hAnsi="Arial" w:cs="Arial"/>
          <w:sz w:val="24"/>
          <w:szCs w:val="24"/>
        </w:rPr>
        <w:t xml:space="preserve"> requires different capability and skills to support </w:t>
      </w:r>
      <w:r w:rsidR="002822A1">
        <w:rPr>
          <w:rFonts w:ascii="Arial" w:hAnsi="Arial" w:cs="Arial"/>
          <w:sz w:val="24"/>
          <w:szCs w:val="24"/>
        </w:rPr>
        <w:t>its</w:t>
      </w:r>
      <w:r>
        <w:rPr>
          <w:rFonts w:ascii="Arial" w:hAnsi="Arial" w:cs="Arial"/>
          <w:sz w:val="24"/>
          <w:szCs w:val="24"/>
        </w:rPr>
        <w:t xml:space="preserve"> regulatory activities and external engagement and communication. </w:t>
      </w:r>
    </w:p>
    <w:p w14:paraId="360E3336" w14:textId="20CDCC23" w:rsidR="001C0208" w:rsidRDefault="001C0208" w:rsidP="001C0208">
      <w:pPr>
        <w:spacing w:before="120" w:after="120" w:line="240" w:lineRule="auto"/>
        <w:rPr>
          <w:rFonts w:ascii="Arial" w:hAnsi="Arial" w:cs="Arial"/>
          <w:sz w:val="24"/>
          <w:szCs w:val="24"/>
        </w:rPr>
      </w:pPr>
      <w:r>
        <w:rPr>
          <w:rFonts w:ascii="Arial" w:hAnsi="Arial" w:cs="Arial"/>
          <w:sz w:val="24"/>
          <w:szCs w:val="24"/>
        </w:rPr>
        <w:t>It is not apparent that the Commission takes a forward-looking and holistic view in relation to attracting and building people capability. The Commission does not have a Strategic Workforce Plan to assist in understanding the skills and competencies required for the current and future workforce, and the right employment models to uplift capability to deliver its outcomes. People capability is a significant risk for the Commission as this impact</w:t>
      </w:r>
      <w:r w:rsidR="00FD14B4">
        <w:rPr>
          <w:rFonts w:ascii="Arial" w:hAnsi="Arial" w:cs="Arial"/>
          <w:sz w:val="24"/>
          <w:szCs w:val="24"/>
        </w:rPr>
        <w:t>s</w:t>
      </w:r>
      <w:r>
        <w:rPr>
          <w:rFonts w:ascii="Arial" w:hAnsi="Arial" w:cs="Arial"/>
          <w:sz w:val="24"/>
          <w:szCs w:val="24"/>
        </w:rPr>
        <w:t xml:space="preserve"> its ability to deliver outcomes.</w:t>
      </w:r>
      <w:r w:rsidR="0077142F">
        <w:rPr>
          <w:rFonts w:ascii="Arial" w:hAnsi="Arial" w:cs="Arial"/>
          <w:sz w:val="24"/>
          <w:szCs w:val="24"/>
        </w:rPr>
        <w:t xml:space="preserve"> In relation to recruitment, onboarding and training and development in particular, </w:t>
      </w:r>
      <w:r w:rsidR="00F91779">
        <w:rPr>
          <w:rFonts w:ascii="Arial" w:hAnsi="Arial" w:cs="Arial"/>
          <w:sz w:val="24"/>
          <w:szCs w:val="24"/>
        </w:rPr>
        <w:t>S</w:t>
      </w:r>
      <w:r>
        <w:rPr>
          <w:rFonts w:ascii="Arial" w:hAnsi="Arial" w:cs="Arial"/>
          <w:sz w:val="24"/>
          <w:szCs w:val="24"/>
        </w:rPr>
        <w:t xml:space="preserve">taff </w:t>
      </w:r>
      <w:r w:rsidR="0049791A">
        <w:rPr>
          <w:rFonts w:ascii="Arial" w:hAnsi="Arial" w:cs="Arial"/>
          <w:sz w:val="24"/>
          <w:szCs w:val="24"/>
        </w:rPr>
        <w:t xml:space="preserve">and SES </w:t>
      </w:r>
      <w:r w:rsidR="00F91779">
        <w:rPr>
          <w:rFonts w:ascii="Arial" w:hAnsi="Arial" w:cs="Arial"/>
          <w:sz w:val="24"/>
          <w:szCs w:val="24"/>
        </w:rPr>
        <w:t xml:space="preserve">Input </w:t>
      </w:r>
      <w:r>
        <w:rPr>
          <w:rFonts w:ascii="Arial" w:hAnsi="Arial" w:cs="Arial"/>
          <w:sz w:val="24"/>
          <w:szCs w:val="24"/>
        </w:rPr>
        <w:t xml:space="preserve">sessions revealed a major capability gap in </w:t>
      </w:r>
      <w:r w:rsidR="00211402">
        <w:rPr>
          <w:rFonts w:ascii="Arial" w:hAnsi="Arial" w:cs="Arial"/>
          <w:sz w:val="24"/>
          <w:szCs w:val="24"/>
        </w:rPr>
        <w:t>c</w:t>
      </w:r>
      <w:r>
        <w:rPr>
          <w:rFonts w:ascii="Arial" w:hAnsi="Arial" w:cs="Arial"/>
          <w:sz w:val="24"/>
          <w:szCs w:val="24"/>
        </w:rPr>
        <w:t xml:space="preserve">orporate support, which is not supporting the rest of the organisation </w:t>
      </w:r>
      <w:r w:rsidR="004962F3">
        <w:rPr>
          <w:rFonts w:ascii="Arial" w:hAnsi="Arial" w:cs="Arial"/>
          <w:sz w:val="24"/>
          <w:szCs w:val="24"/>
        </w:rPr>
        <w:t xml:space="preserve">to </w:t>
      </w:r>
      <w:r>
        <w:rPr>
          <w:rFonts w:ascii="Arial" w:hAnsi="Arial" w:cs="Arial"/>
          <w:sz w:val="24"/>
          <w:szCs w:val="24"/>
        </w:rPr>
        <w:t>achieve its objectives. There is limited SES oversight on corporate functions.</w:t>
      </w:r>
    </w:p>
    <w:p w14:paraId="59CF6E31" w14:textId="521ED7FF"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The Grosvenor Report noted that </w:t>
      </w:r>
      <w:r w:rsidR="00FD14B4">
        <w:rPr>
          <w:rFonts w:ascii="Arial" w:hAnsi="Arial" w:cs="Arial"/>
          <w:sz w:val="24"/>
          <w:szCs w:val="24"/>
        </w:rPr>
        <w:t>“</w:t>
      </w:r>
      <w:r>
        <w:rPr>
          <w:rFonts w:ascii="Arial" w:hAnsi="Arial" w:cs="Arial"/>
          <w:sz w:val="24"/>
          <w:szCs w:val="24"/>
        </w:rPr>
        <w:t>one enabler of interest is strategic workforce planning, which is currently not directly reflected in the Commission’s architecture</w:t>
      </w:r>
      <w:r w:rsidR="00FD14B4">
        <w:rPr>
          <w:rFonts w:ascii="Arial" w:hAnsi="Arial" w:cs="Arial"/>
          <w:sz w:val="24"/>
          <w:szCs w:val="24"/>
        </w:rPr>
        <w:t>”</w:t>
      </w:r>
      <w:r>
        <w:rPr>
          <w:rFonts w:ascii="Arial" w:hAnsi="Arial" w:cs="Arial"/>
          <w:sz w:val="24"/>
          <w:szCs w:val="24"/>
        </w:rPr>
        <w:t xml:space="preserve">. In response to recommendations in the Grosvenor Report the Commission has commenced work on </w:t>
      </w:r>
      <w:r w:rsidR="003B2C53">
        <w:rPr>
          <w:rFonts w:ascii="Arial" w:hAnsi="Arial" w:cs="Arial"/>
          <w:sz w:val="24"/>
          <w:szCs w:val="24"/>
        </w:rPr>
        <w:t xml:space="preserve">a </w:t>
      </w:r>
      <w:r>
        <w:rPr>
          <w:rFonts w:ascii="Arial" w:hAnsi="Arial" w:cs="Arial"/>
          <w:sz w:val="24"/>
          <w:szCs w:val="24"/>
        </w:rPr>
        <w:t xml:space="preserve">Capability Uplift Program. The program has a focus on uplifting people, </w:t>
      </w:r>
      <w:proofErr w:type="gramStart"/>
      <w:r>
        <w:rPr>
          <w:rFonts w:ascii="Arial" w:hAnsi="Arial" w:cs="Arial"/>
          <w:sz w:val="24"/>
          <w:szCs w:val="24"/>
        </w:rPr>
        <w:t>processes</w:t>
      </w:r>
      <w:proofErr w:type="gramEnd"/>
      <w:r>
        <w:rPr>
          <w:rFonts w:ascii="Arial" w:hAnsi="Arial" w:cs="Arial"/>
          <w:sz w:val="24"/>
          <w:szCs w:val="24"/>
        </w:rPr>
        <w:t xml:space="preserve"> and systems across the four domains of strategic, engagement, regulatory, and enterprise-wide people capabilities. The Commission also has a People Strategy 2021-2023, a Learning and Development Strategy 2022-23, and a Wellbeing Plan 2022-24</w:t>
      </w:r>
      <w:r w:rsidR="00BA0EAB">
        <w:rPr>
          <w:rFonts w:ascii="Arial" w:hAnsi="Arial" w:cs="Arial"/>
          <w:sz w:val="24"/>
          <w:szCs w:val="24"/>
        </w:rPr>
        <w:t xml:space="preserve"> (see Table 2)</w:t>
      </w:r>
      <w:r>
        <w:rPr>
          <w:rFonts w:ascii="Arial" w:hAnsi="Arial" w:cs="Arial"/>
          <w:sz w:val="24"/>
          <w:szCs w:val="24"/>
        </w:rPr>
        <w:t xml:space="preserve">. </w:t>
      </w:r>
    </w:p>
    <w:p w14:paraId="05C323E6" w14:textId="70B4D34D" w:rsidR="001C0208" w:rsidRDefault="00897148" w:rsidP="001C0208">
      <w:pPr>
        <w:spacing w:before="120" w:after="120" w:line="240" w:lineRule="auto"/>
        <w:rPr>
          <w:rFonts w:ascii="Arial" w:hAnsi="Arial" w:cs="Arial"/>
          <w:sz w:val="24"/>
          <w:szCs w:val="24"/>
        </w:rPr>
      </w:pPr>
      <w:r>
        <w:rPr>
          <w:rFonts w:ascii="Arial" w:hAnsi="Arial" w:cs="Arial"/>
          <w:sz w:val="24"/>
          <w:szCs w:val="24"/>
        </w:rPr>
        <w:t>However, i</w:t>
      </w:r>
      <w:r w:rsidR="001C0208">
        <w:rPr>
          <w:rFonts w:ascii="Arial" w:hAnsi="Arial" w:cs="Arial"/>
          <w:sz w:val="24"/>
          <w:szCs w:val="24"/>
        </w:rPr>
        <w:t>t is not clear what progress has been made by the Commission in operationalising these projects</w:t>
      </w:r>
      <w:r w:rsidR="00312E47">
        <w:rPr>
          <w:rFonts w:ascii="Arial" w:hAnsi="Arial" w:cs="Arial"/>
          <w:sz w:val="24"/>
          <w:szCs w:val="24"/>
        </w:rPr>
        <w:t xml:space="preserve">. Feedback through Staff Input sessions </w:t>
      </w:r>
      <w:r w:rsidR="001C0208">
        <w:rPr>
          <w:rFonts w:ascii="Arial" w:hAnsi="Arial" w:cs="Arial"/>
          <w:sz w:val="24"/>
          <w:szCs w:val="24"/>
        </w:rPr>
        <w:t>as well as staff vacancy and attrition rates, all indicate the Commission has some way to go to improve its strategic approach to recruitment and retention, and capability uplift.</w:t>
      </w:r>
    </w:p>
    <w:p w14:paraId="2A44D6B8" w14:textId="77777777" w:rsidR="001C0208" w:rsidRDefault="001C0208" w:rsidP="001C0208">
      <w:pPr>
        <w:spacing w:before="120" w:after="120" w:line="240" w:lineRule="auto"/>
        <w:rPr>
          <w:rFonts w:ascii="Arial" w:hAnsi="Arial" w:cs="Arial"/>
          <w:i/>
          <w:iCs/>
          <w:sz w:val="24"/>
          <w:szCs w:val="24"/>
        </w:rPr>
      </w:pPr>
      <w:r>
        <w:rPr>
          <w:rFonts w:ascii="Arial" w:hAnsi="Arial" w:cs="Arial"/>
          <w:i/>
          <w:iCs/>
          <w:sz w:val="24"/>
          <w:szCs w:val="24"/>
        </w:rPr>
        <w:t xml:space="preserve">Skills </w:t>
      </w:r>
    </w:p>
    <w:p w14:paraId="2DEE121C" w14:textId="77777777" w:rsidR="001C0208" w:rsidRDefault="001C0208" w:rsidP="001C0208">
      <w:pPr>
        <w:spacing w:before="120" w:after="120" w:line="240" w:lineRule="auto"/>
        <w:rPr>
          <w:rFonts w:ascii="Arial" w:hAnsi="Arial" w:cs="Arial"/>
          <w:sz w:val="24"/>
          <w:szCs w:val="24"/>
        </w:rPr>
      </w:pPr>
      <w:r>
        <w:rPr>
          <w:rFonts w:ascii="Arial" w:hAnsi="Arial" w:cs="Arial"/>
          <w:sz w:val="24"/>
          <w:szCs w:val="24"/>
        </w:rPr>
        <w:t>It is not clear that the Commission has undertaken a skills audit to identify the skills required to deliver its functions, and thereby enable the identification of skills gaps.</w:t>
      </w:r>
    </w:p>
    <w:p w14:paraId="213977AB" w14:textId="71772319" w:rsidR="001C0208" w:rsidRDefault="001C0208" w:rsidP="005E17ED">
      <w:pPr>
        <w:keepLines/>
        <w:spacing w:before="120" w:after="120" w:line="240" w:lineRule="auto"/>
        <w:rPr>
          <w:rFonts w:ascii="Arial" w:hAnsi="Arial" w:cs="Arial"/>
          <w:sz w:val="24"/>
          <w:szCs w:val="24"/>
        </w:rPr>
      </w:pPr>
      <w:r>
        <w:rPr>
          <w:rFonts w:ascii="Arial" w:hAnsi="Arial" w:cs="Arial"/>
          <w:sz w:val="24"/>
          <w:szCs w:val="24"/>
        </w:rPr>
        <w:lastRenderedPageBreak/>
        <w:t xml:space="preserve">The Grosvenor report and feedback provided through </w:t>
      </w:r>
      <w:r w:rsidR="00F91779">
        <w:rPr>
          <w:rFonts w:ascii="Arial" w:hAnsi="Arial" w:cs="Arial"/>
          <w:sz w:val="24"/>
          <w:szCs w:val="24"/>
        </w:rPr>
        <w:t>S</w:t>
      </w:r>
      <w:r>
        <w:rPr>
          <w:rFonts w:ascii="Arial" w:hAnsi="Arial" w:cs="Arial"/>
          <w:sz w:val="24"/>
          <w:szCs w:val="24"/>
        </w:rPr>
        <w:t xml:space="preserve">taff </w:t>
      </w:r>
      <w:r w:rsidR="00F91779">
        <w:rPr>
          <w:rFonts w:ascii="Arial" w:hAnsi="Arial" w:cs="Arial"/>
          <w:sz w:val="24"/>
          <w:szCs w:val="24"/>
        </w:rPr>
        <w:t>I</w:t>
      </w:r>
      <w:r>
        <w:rPr>
          <w:rFonts w:ascii="Arial" w:hAnsi="Arial" w:cs="Arial"/>
          <w:sz w:val="24"/>
          <w:szCs w:val="24"/>
        </w:rPr>
        <w:t xml:space="preserve">nput sessions, have identified </w:t>
      </w:r>
      <w:r w:rsidR="00BA0EAB">
        <w:rPr>
          <w:rFonts w:ascii="Arial" w:hAnsi="Arial" w:cs="Arial"/>
          <w:sz w:val="24"/>
          <w:szCs w:val="24"/>
        </w:rPr>
        <w:t xml:space="preserve">skills gaps </w:t>
      </w:r>
      <w:r>
        <w:rPr>
          <w:rFonts w:ascii="Arial" w:hAnsi="Arial" w:cs="Arial"/>
          <w:sz w:val="24"/>
          <w:szCs w:val="24"/>
        </w:rPr>
        <w:t>in the areas of customer relationships, ICT and systems development, data and risk profiling, complaints management, and forensic financial, clinical, communications and (situational) media management skills.</w:t>
      </w:r>
    </w:p>
    <w:p w14:paraId="34B09724" w14:textId="6ABAF09D" w:rsidR="001C0208" w:rsidRDefault="001C0208" w:rsidP="001C0208">
      <w:pPr>
        <w:spacing w:before="120" w:after="120" w:line="240" w:lineRule="auto"/>
        <w:rPr>
          <w:rFonts w:ascii="Arial" w:hAnsi="Arial" w:cs="Arial"/>
          <w:i/>
          <w:iCs/>
          <w:sz w:val="24"/>
          <w:szCs w:val="24"/>
        </w:rPr>
      </w:pPr>
      <w:r>
        <w:rPr>
          <w:rFonts w:ascii="Arial" w:hAnsi="Arial" w:cs="Arial"/>
          <w:i/>
          <w:iCs/>
          <w:sz w:val="24"/>
          <w:szCs w:val="24"/>
        </w:rPr>
        <w:t>Cultural competency</w:t>
      </w:r>
    </w:p>
    <w:p w14:paraId="5B7B78E0" w14:textId="3CFA2B15" w:rsidR="005F22A1" w:rsidRDefault="005F22A1" w:rsidP="005F22A1">
      <w:pPr>
        <w:spacing w:after="120"/>
        <w:rPr>
          <w:rFonts w:ascii="Arial" w:hAnsi="Arial" w:cs="Arial"/>
          <w:color w:val="000000"/>
          <w:sz w:val="24"/>
          <w:szCs w:val="24"/>
          <w:shd w:val="clear" w:color="auto" w:fill="FFFFFF"/>
        </w:rPr>
      </w:pPr>
      <w:r>
        <w:rPr>
          <w:rFonts w:ascii="Arial" w:hAnsi="Arial" w:cs="Arial"/>
          <w:color w:val="000000"/>
          <w:sz w:val="24"/>
          <w:szCs w:val="24"/>
          <w:shd w:val="clear" w:color="auto" w:fill="FFFFFF"/>
        </w:rPr>
        <w:t>An organisation that deals with a diverse range of stakeholders, consumers and providers needs to have a workforce that reflects th</w:t>
      </w:r>
      <w:r w:rsidR="00BA0EAB">
        <w:rPr>
          <w:rFonts w:ascii="Arial" w:hAnsi="Arial" w:cs="Arial"/>
          <w:color w:val="000000"/>
          <w:sz w:val="24"/>
          <w:szCs w:val="24"/>
          <w:shd w:val="clear" w:color="auto" w:fill="FFFFFF"/>
        </w:rPr>
        <w:t>is</w:t>
      </w:r>
      <w:r>
        <w:rPr>
          <w:rFonts w:ascii="Arial" w:hAnsi="Arial" w:cs="Arial"/>
          <w:color w:val="000000"/>
          <w:sz w:val="24"/>
          <w:szCs w:val="24"/>
          <w:shd w:val="clear" w:color="auto" w:fill="FFFFFF"/>
        </w:rPr>
        <w:t xml:space="preserve"> diversity</w:t>
      </w:r>
      <w:r w:rsidR="00BA0EAB">
        <w:rPr>
          <w:rFonts w:ascii="Arial" w:hAnsi="Arial" w:cs="Arial"/>
          <w:color w:val="000000"/>
          <w:sz w:val="24"/>
          <w:szCs w:val="24"/>
          <w:shd w:val="clear" w:color="auto" w:fill="FFFFFF"/>
        </w:rPr>
        <w:t>. It needs</w:t>
      </w:r>
      <w:r>
        <w:rPr>
          <w:rFonts w:ascii="Arial" w:hAnsi="Arial" w:cs="Arial"/>
          <w:color w:val="000000"/>
          <w:sz w:val="24"/>
          <w:szCs w:val="24"/>
          <w:shd w:val="clear" w:color="auto" w:fill="FFFFFF"/>
        </w:rPr>
        <w:t xml:space="preserve"> staff who are skilled and knowledgeable in their dealings with those stakeholders, and processes and approaches that enable the organisation to cater for different contexts.</w:t>
      </w:r>
    </w:p>
    <w:p w14:paraId="063C442B" w14:textId="6390A0DE" w:rsidR="005F22A1" w:rsidRDefault="005F22A1" w:rsidP="00827A9D">
      <w:pPr>
        <w:spacing w:after="120"/>
        <w:rPr>
          <w:rFonts w:ascii="Arial" w:hAnsi="Arial" w:cs="Arial"/>
          <w:color w:val="000000"/>
          <w:sz w:val="24"/>
          <w:szCs w:val="24"/>
          <w:shd w:val="clear" w:color="auto" w:fill="FFFFFF"/>
        </w:rPr>
      </w:pPr>
      <w:r>
        <w:rPr>
          <w:rFonts w:ascii="Arial" w:hAnsi="Arial" w:cs="Arial"/>
          <w:color w:val="000000"/>
          <w:sz w:val="24"/>
          <w:szCs w:val="24"/>
          <w:shd w:val="clear" w:color="auto" w:fill="FFFFFF"/>
        </w:rPr>
        <w:t>Stakeholders expressed concerns about the Commission’s cultural capability</w:t>
      </w:r>
      <w:r w:rsidR="00CA75A9" w:rsidRPr="00827A9D">
        <w:footnoteReference w:id="46"/>
      </w:r>
      <w:r w:rsidR="00CA75A9">
        <w:rPr>
          <w:rFonts w:ascii="Arial" w:hAnsi="Arial" w:cs="Arial"/>
          <w:color w:val="000000"/>
          <w:sz w:val="24"/>
          <w:szCs w:val="24"/>
          <w:shd w:val="clear" w:color="auto" w:fill="FFFFFF"/>
        </w:rPr>
        <w:t xml:space="preserve"> </w:t>
      </w:r>
      <w:proofErr w:type="gramStart"/>
      <w:r>
        <w:rPr>
          <w:rFonts w:ascii="Arial" w:hAnsi="Arial" w:cs="Arial"/>
          <w:color w:val="000000"/>
          <w:sz w:val="24"/>
          <w:szCs w:val="24"/>
          <w:shd w:val="clear" w:color="auto" w:fill="FFFFFF"/>
        </w:rPr>
        <w:t>and in particular, its</w:t>
      </w:r>
      <w:proofErr w:type="gramEnd"/>
      <w:r>
        <w:rPr>
          <w:rFonts w:ascii="Arial" w:hAnsi="Arial" w:cs="Arial"/>
          <w:color w:val="000000"/>
          <w:sz w:val="24"/>
          <w:szCs w:val="24"/>
          <w:shd w:val="clear" w:color="auto" w:fill="FFFFFF"/>
        </w:rPr>
        <w:t xml:space="preserve"> ability to appropriately assess services provided to people from diverse groups, including those in rural and remote settings, people with dementia, people with a disability and people from </w:t>
      </w:r>
      <w:r w:rsidR="003B2C53">
        <w:rPr>
          <w:rFonts w:ascii="Arial" w:hAnsi="Arial" w:cs="Arial"/>
          <w:color w:val="000000"/>
          <w:sz w:val="24"/>
          <w:szCs w:val="24"/>
          <w:shd w:val="clear" w:color="auto" w:fill="FFFFFF"/>
        </w:rPr>
        <w:t>culturally and linguistically diverse (</w:t>
      </w:r>
      <w:r>
        <w:rPr>
          <w:rFonts w:ascii="Arial" w:hAnsi="Arial" w:cs="Arial"/>
          <w:color w:val="000000"/>
          <w:sz w:val="24"/>
          <w:szCs w:val="24"/>
          <w:shd w:val="clear" w:color="auto" w:fill="FFFFFF"/>
        </w:rPr>
        <w:t>CALD</w:t>
      </w:r>
      <w:r w:rsidR="003B2C53">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and </w:t>
      </w:r>
      <w:r w:rsidR="00F80D8F">
        <w:rPr>
          <w:rFonts w:ascii="Arial" w:hAnsi="Arial" w:cs="Arial"/>
          <w:color w:val="000000"/>
          <w:sz w:val="24"/>
          <w:szCs w:val="24"/>
          <w:shd w:val="clear" w:color="auto" w:fill="FFFFFF"/>
        </w:rPr>
        <w:t>F</w:t>
      </w:r>
      <w:r>
        <w:rPr>
          <w:rFonts w:ascii="Arial" w:hAnsi="Arial" w:cs="Arial"/>
          <w:color w:val="000000"/>
          <w:sz w:val="24"/>
          <w:szCs w:val="24"/>
          <w:shd w:val="clear" w:color="auto" w:fill="FFFFFF"/>
        </w:rPr>
        <w:t xml:space="preserve">irst </w:t>
      </w:r>
      <w:r w:rsidR="00F80D8F">
        <w:rPr>
          <w:rFonts w:ascii="Arial" w:hAnsi="Arial" w:cs="Arial"/>
          <w:color w:val="000000"/>
          <w:sz w:val="24"/>
          <w:szCs w:val="24"/>
          <w:shd w:val="clear" w:color="auto" w:fill="FFFFFF"/>
        </w:rPr>
        <w:t>N</w:t>
      </w:r>
      <w:r>
        <w:rPr>
          <w:rFonts w:ascii="Arial" w:hAnsi="Arial" w:cs="Arial"/>
          <w:color w:val="000000"/>
          <w:sz w:val="24"/>
          <w:szCs w:val="24"/>
          <w:shd w:val="clear" w:color="auto" w:fill="FFFFFF"/>
        </w:rPr>
        <w:t>ations backgrounds, veterans and LGBTIQ+ communities. Concerns related to inadequate training for Commission staff leading to a poor understanding of diversity and good practice and limited clinical expertise in dementia and dementia care.</w:t>
      </w:r>
    </w:p>
    <w:p w14:paraId="0A3D9F8B" w14:textId="72236670" w:rsidR="001C0208" w:rsidRDefault="001C0208" w:rsidP="00827A9D">
      <w:pPr>
        <w:spacing w:after="120"/>
        <w:rPr>
          <w:rFonts w:ascii="Arial" w:hAnsi="Arial" w:cs="Arial"/>
          <w:color w:val="000000"/>
          <w:sz w:val="24"/>
          <w:szCs w:val="24"/>
          <w:shd w:val="clear" w:color="auto" w:fill="FFFFFF"/>
        </w:rPr>
      </w:pPr>
      <w:r w:rsidRPr="00827A9D">
        <w:rPr>
          <w:rFonts w:ascii="Arial" w:hAnsi="Arial" w:cs="Arial"/>
          <w:color w:val="000000"/>
          <w:sz w:val="24"/>
          <w:szCs w:val="24"/>
          <w:shd w:val="clear" w:color="auto" w:fill="FFFFFF"/>
        </w:rPr>
        <w:t>The Commission’s People Strategy identifies as a goal that it will enable diverse and capable people to join the Commission.</w:t>
      </w:r>
      <w:r>
        <w:rPr>
          <w:rFonts w:ascii="Arial" w:hAnsi="Arial" w:cs="Arial"/>
          <w:color w:val="000000"/>
          <w:sz w:val="24"/>
          <w:szCs w:val="24"/>
          <w:shd w:val="clear" w:color="auto" w:fill="FFFFFF"/>
        </w:rPr>
        <w:t xml:space="preserve"> The Commission has </w:t>
      </w:r>
      <w:proofErr w:type="gramStart"/>
      <w:r>
        <w:rPr>
          <w:rFonts w:ascii="Arial" w:hAnsi="Arial" w:cs="Arial"/>
          <w:color w:val="000000"/>
          <w:sz w:val="24"/>
          <w:szCs w:val="24"/>
          <w:shd w:val="clear" w:color="auto" w:fill="FFFFFF"/>
        </w:rPr>
        <w:t>a number of</w:t>
      </w:r>
      <w:proofErr w:type="gramEnd"/>
      <w:r>
        <w:rPr>
          <w:rFonts w:ascii="Arial" w:hAnsi="Arial" w:cs="Arial"/>
          <w:color w:val="000000"/>
          <w:sz w:val="24"/>
          <w:szCs w:val="24"/>
          <w:shd w:val="clear" w:color="auto" w:fill="FFFFFF"/>
        </w:rPr>
        <w:t xml:space="preserve"> strategies in train to increase its cultural diversity and competency. For example, I understand there has been a recent focus on recruiting and </w:t>
      </w:r>
      <w:r w:rsidR="00DB3599">
        <w:rPr>
          <w:rFonts w:ascii="Arial" w:hAnsi="Arial" w:cs="Arial"/>
          <w:color w:val="000000"/>
          <w:sz w:val="24"/>
          <w:szCs w:val="24"/>
          <w:shd w:val="clear" w:color="auto" w:fill="FFFFFF"/>
        </w:rPr>
        <w:t>supporting quality assessors from a First Nations background</w:t>
      </w:r>
      <w:r w:rsidR="00FE5D7E">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and increasing entry pathways through participation in the Indigenous Australian Government Development Program. </w:t>
      </w:r>
    </w:p>
    <w:p w14:paraId="5345B999" w14:textId="72DFFE45" w:rsidR="001A2FE8" w:rsidRDefault="001A2FE8" w:rsidP="001A2FE8">
      <w:pPr>
        <w:spacing w:before="120" w:after="120" w:line="240" w:lineRule="auto"/>
        <w:rPr>
          <w:rFonts w:ascii="Arial" w:hAnsi="Arial" w:cs="Arial"/>
          <w:sz w:val="24"/>
          <w:szCs w:val="24"/>
        </w:rPr>
      </w:pPr>
      <w:r>
        <w:rPr>
          <w:rFonts w:ascii="Arial" w:hAnsi="Arial" w:cs="Arial"/>
          <w:color w:val="000000"/>
          <w:sz w:val="24"/>
          <w:szCs w:val="24"/>
          <w:shd w:val="clear" w:color="auto" w:fill="FFFFFF"/>
        </w:rPr>
        <w:t>Commission s</w:t>
      </w:r>
      <w:r w:rsidR="001C0208">
        <w:rPr>
          <w:rFonts w:ascii="Arial" w:hAnsi="Arial" w:cs="Arial"/>
          <w:color w:val="000000"/>
          <w:sz w:val="24"/>
          <w:szCs w:val="24"/>
          <w:shd w:val="clear" w:color="auto" w:fill="FFFFFF"/>
        </w:rPr>
        <w:t>taff stated they value the Indigenous Staff Network and support the Reconciliation Action Plan, which they believe could be strengthened by including requirements for identified positions and cultural safety training across the organisation</w:t>
      </w:r>
      <w:r>
        <w:rPr>
          <w:rFonts w:ascii="Arial" w:hAnsi="Arial" w:cs="Arial"/>
          <w:color w:val="000000"/>
          <w:sz w:val="24"/>
          <w:szCs w:val="24"/>
          <w:shd w:val="clear" w:color="auto" w:fill="FFFFFF"/>
        </w:rPr>
        <w:t xml:space="preserve"> as very few staff understand what cultural safety means. </w:t>
      </w:r>
      <w:r>
        <w:rPr>
          <w:rFonts w:ascii="Arial" w:eastAsiaTheme="minorEastAsia" w:hAnsi="Arial" w:cs="Arial"/>
          <w:color w:val="000000"/>
          <w:sz w:val="24"/>
          <w:szCs w:val="24"/>
          <w:shd w:val="clear" w:color="auto" w:fill="FFFFFF"/>
        </w:rPr>
        <w:t>Staff also spoke about the challenges First Nations people face engaging with government entities and emphasised the importance of d</w:t>
      </w:r>
      <w:r w:rsidRPr="00081B59">
        <w:rPr>
          <w:rFonts w:ascii="Arial" w:eastAsiaTheme="minorEastAsia" w:hAnsi="Arial" w:cs="Arial"/>
          <w:color w:val="000000"/>
          <w:sz w:val="24"/>
          <w:szCs w:val="24"/>
          <w:shd w:val="clear" w:color="auto" w:fill="FFFFFF"/>
        </w:rPr>
        <w:t xml:space="preserve">eveloping relationships </w:t>
      </w:r>
      <w:r>
        <w:rPr>
          <w:rFonts w:ascii="Arial" w:eastAsiaTheme="minorEastAsia" w:hAnsi="Arial" w:cs="Arial"/>
          <w:color w:val="000000"/>
          <w:sz w:val="24"/>
          <w:szCs w:val="24"/>
          <w:shd w:val="clear" w:color="auto" w:fill="FFFFFF"/>
        </w:rPr>
        <w:t>and w</w:t>
      </w:r>
      <w:r w:rsidRPr="004D2882">
        <w:rPr>
          <w:rFonts w:ascii="Arial" w:eastAsiaTheme="minorEastAsia" w:hAnsi="Arial" w:cs="Arial"/>
          <w:color w:val="000000"/>
          <w:sz w:val="24"/>
          <w:szCs w:val="24"/>
          <w:shd w:val="clear" w:color="auto" w:fill="FFFFFF"/>
        </w:rPr>
        <w:t xml:space="preserve">orking with First Nations </w:t>
      </w:r>
      <w:r>
        <w:rPr>
          <w:rFonts w:ascii="Arial" w:eastAsiaTheme="minorEastAsia" w:hAnsi="Arial" w:cs="Arial"/>
          <w:color w:val="000000"/>
          <w:sz w:val="24"/>
          <w:szCs w:val="24"/>
          <w:shd w:val="clear" w:color="auto" w:fill="FFFFFF"/>
        </w:rPr>
        <w:t xml:space="preserve">groups </w:t>
      </w:r>
      <w:r w:rsidRPr="004D2882">
        <w:rPr>
          <w:rFonts w:ascii="Arial" w:eastAsiaTheme="minorEastAsia" w:hAnsi="Arial" w:cs="Arial"/>
          <w:color w:val="000000"/>
          <w:sz w:val="24"/>
          <w:szCs w:val="24"/>
          <w:shd w:val="clear" w:color="auto" w:fill="FFFFFF"/>
        </w:rPr>
        <w:t>to define and provide a safe pathway for First Nations people to raise concerns</w:t>
      </w:r>
      <w:r>
        <w:rPr>
          <w:rFonts w:ascii="Arial" w:eastAsiaTheme="minorEastAsia" w:hAnsi="Arial" w:cs="Arial"/>
          <w:color w:val="000000"/>
          <w:sz w:val="24"/>
          <w:szCs w:val="24"/>
          <w:shd w:val="clear" w:color="auto" w:fill="FFFFFF"/>
        </w:rPr>
        <w:t xml:space="preserve">. </w:t>
      </w:r>
    </w:p>
    <w:p w14:paraId="791E43C7" w14:textId="6ECDD7A3" w:rsidR="001C0208" w:rsidRDefault="001A2FE8" w:rsidP="001A2FE8">
      <w:pPr>
        <w:spacing w:before="120" w:after="120" w:line="240" w:lineRule="auto"/>
        <w:rPr>
          <w:rFonts w:ascii="Arial" w:hAnsi="Arial" w:cs="Arial"/>
          <w:sz w:val="24"/>
          <w:szCs w:val="24"/>
        </w:rPr>
      </w:pPr>
      <w:r>
        <w:rPr>
          <w:rFonts w:ascii="Arial" w:hAnsi="Arial" w:cs="Arial"/>
          <w:sz w:val="24"/>
          <w:szCs w:val="24"/>
        </w:rPr>
        <w:t>F</w:t>
      </w:r>
      <w:r w:rsidR="001C0208">
        <w:rPr>
          <w:rFonts w:ascii="Arial" w:hAnsi="Arial" w:cs="Arial"/>
          <w:sz w:val="24"/>
          <w:szCs w:val="24"/>
        </w:rPr>
        <w:t xml:space="preserve">eedback from external stakeholders identified a perception that the Commission lacks understanding of the value of building cultural competency skills to support creating a culturally safe space when engaging with First Nations peoples and their families. </w:t>
      </w:r>
    </w:p>
    <w:p w14:paraId="37480862" w14:textId="77777777" w:rsidR="005F22A1" w:rsidRDefault="005F22A1" w:rsidP="005F22A1">
      <w:pPr>
        <w:spacing w:before="120" w:after="120" w:line="240" w:lineRule="auto"/>
        <w:rPr>
          <w:rFonts w:ascii="Arial" w:hAnsi="Arial" w:cs="Arial"/>
          <w:sz w:val="24"/>
          <w:szCs w:val="24"/>
        </w:rPr>
      </w:pPr>
      <w:r>
        <w:rPr>
          <w:rFonts w:ascii="Arial" w:hAnsi="Arial" w:cs="Arial"/>
          <w:sz w:val="24"/>
          <w:szCs w:val="24"/>
        </w:rPr>
        <w:t xml:space="preserve">The </w:t>
      </w:r>
      <w:r>
        <w:rPr>
          <w:rFonts w:ascii="Arial" w:hAnsi="Arial" w:cs="Arial"/>
          <w:i/>
          <w:iCs/>
          <w:sz w:val="24"/>
          <w:szCs w:val="24"/>
        </w:rPr>
        <w:t>APSC State of the Service Report (2021-2022)</w:t>
      </w:r>
      <w:r>
        <w:rPr>
          <w:rFonts w:ascii="Arial" w:hAnsi="Arial" w:cs="Arial"/>
          <w:sz w:val="24"/>
          <w:szCs w:val="24"/>
        </w:rPr>
        <w:t xml:space="preserve"> notes that as an employer it is crucial that there is strong First Nations representation at every level in an organisation. This is to ensure that an organisation can benefit from the cultural perspectives of First Nations Australians.</w:t>
      </w:r>
    </w:p>
    <w:p w14:paraId="191B108C" w14:textId="0A29F675" w:rsidR="001C0208" w:rsidRDefault="001C0208" w:rsidP="001C0208">
      <w:pPr>
        <w:spacing w:before="120" w:after="120" w:line="240" w:lineRule="auto"/>
        <w:rPr>
          <w:rFonts w:ascii="Arial" w:hAnsi="Arial" w:cs="Arial"/>
          <w:sz w:val="24"/>
          <w:szCs w:val="24"/>
        </w:rPr>
      </w:pPr>
      <w:r>
        <w:rPr>
          <w:rFonts w:ascii="Arial" w:hAnsi="Arial" w:cs="Arial"/>
          <w:sz w:val="24"/>
          <w:szCs w:val="24"/>
        </w:rPr>
        <w:lastRenderedPageBreak/>
        <w:t>The Commission currently has a target of 3 per cent representation of First Nations peoples</w:t>
      </w:r>
      <w:r w:rsidR="003B2C53">
        <w:rPr>
          <w:rFonts w:ascii="Arial" w:hAnsi="Arial" w:cs="Arial"/>
          <w:sz w:val="24"/>
          <w:szCs w:val="24"/>
        </w:rPr>
        <w:t xml:space="preserve"> in its workforce</w:t>
      </w:r>
      <w:r>
        <w:rPr>
          <w:rFonts w:ascii="Arial" w:hAnsi="Arial" w:cs="Arial"/>
          <w:sz w:val="24"/>
          <w:szCs w:val="24"/>
        </w:rPr>
        <w:t xml:space="preserve">. This will need to be reviewed </w:t>
      </w:r>
      <w:proofErr w:type="gramStart"/>
      <w:r>
        <w:rPr>
          <w:rFonts w:ascii="Arial" w:hAnsi="Arial" w:cs="Arial"/>
          <w:sz w:val="24"/>
          <w:szCs w:val="24"/>
        </w:rPr>
        <w:t>in light of</w:t>
      </w:r>
      <w:proofErr w:type="gramEnd"/>
      <w:r>
        <w:rPr>
          <w:rFonts w:ascii="Arial" w:hAnsi="Arial" w:cs="Arial"/>
          <w:sz w:val="24"/>
          <w:szCs w:val="24"/>
        </w:rPr>
        <w:t xml:space="preserve"> the Government’s 5</w:t>
      </w:r>
      <w:r w:rsidR="003B2C53">
        <w:rPr>
          <w:rFonts w:ascii="Arial" w:hAnsi="Arial" w:cs="Arial"/>
          <w:sz w:val="24"/>
          <w:szCs w:val="24"/>
        </w:rPr>
        <w:t> </w:t>
      </w:r>
      <w:r>
        <w:rPr>
          <w:rFonts w:ascii="Arial" w:hAnsi="Arial" w:cs="Arial"/>
          <w:sz w:val="24"/>
          <w:szCs w:val="24"/>
        </w:rPr>
        <w:t>per cent target of First Nations peoples</w:t>
      </w:r>
      <w:r w:rsidR="004962F3">
        <w:rPr>
          <w:rFonts w:ascii="Arial" w:hAnsi="Arial" w:cs="Arial"/>
          <w:sz w:val="24"/>
          <w:szCs w:val="24"/>
        </w:rPr>
        <w:t>’</w:t>
      </w:r>
      <w:r>
        <w:rPr>
          <w:rFonts w:ascii="Arial" w:hAnsi="Arial" w:cs="Arial"/>
          <w:sz w:val="24"/>
          <w:szCs w:val="24"/>
        </w:rPr>
        <w:t xml:space="preserve"> representation by </w:t>
      </w:r>
      <w:r w:rsidR="00CA75A9">
        <w:rPr>
          <w:rFonts w:ascii="Arial" w:hAnsi="Arial" w:cs="Arial"/>
          <w:sz w:val="24"/>
          <w:szCs w:val="24"/>
        </w:rPr>
        <w:t>2030</w:t>
      </w:r>
      <w:r w:rsidR="00CA75A9">
        <w:rPr>
          <w:rStyle w:val="FootnoteReference"/>
          <w:rFonts w:ascii="Arial" w:hAnsi="Arial" w:cs="Arial"/>
          <w:sz w:val="24"/>
          <w:szCs w:val="24"/>
        </w:rPr>
        <w:footnoteReference w:id="47"/>
      </w:r>
      <w:r w:rsidR="00CA75A9">
        <w:rPr>
          <w:rFonts w:ascii="Arial" w:hAnsi="Arial" w:cs="Arial"/>
          <w:sz w:val="24"/>
          <w:szCs w:val="24"/>
        </w:rPr>
        <w:t>.</w:t>
      </w:r>
    </w:p>
    <w:p w14:paraId="3E568A06" w14:textId="09C25E7C" w:rsidR="001C0208" w:rsidRDefault="001C0208" w:rsidP="001C0208">
      <w:pPr>
        <w:spacing w:before="120" w:after="120" w:line="240" w:lineRule="auto"/>
        <w:rPr>
          <w:rFonts w:ascii="Arial" w:hAnsi="Arial" w:cs="Arial"/>
          <w:sz w:val="24"/>
          <w:szCs w:val="24"/>
        </w:rPr>
      </w:pPr>
      <w:r>
        <w:rPr>
          <w:rFonts w:ascii="Arial" w:hAnsi="Arial" w:cs="Arial"/>
          <w:sz w:val="24"/>
          <w:szCs w:val="24"/>
        </w:rPr>
        <w:t>First Nations external stakeholder groups have identified themselves as ready partners to assist the Commission to build cultural competency skills and could work closely with Commission staff in their engagement with First Nations peoples.</w:t>
      </w:r>
    </w:p>
    <w:p w14:paraId="4615C357" w14:textId="7ECA0C05" w:rsidR="001C0208" w:rsidRDefault="001C0208" w:rsidP="001C0208">
      <w:pPr>
        <w:spacing w:before="120" w:after="120" w:line="240" w:lineRule="auto"/>
        <w:rPr>
          <w:rFonts w:ascii="Arial" w:hAnsi="Arial" w:cs="Arial"/>
          <w:i/>
          <w:iCs/>
          <w:sz w:val="24"/>
          <w:szCs w:val="24"/>
        </w:rPr>
      </w:pPr>
      <w:r>
        <w:rPr>
          <w:rFonts w:ascii="Arial" w:hAnsi="Arial" w:cs="Arial"/>
          <w:i/>
          <w:iCs/>
          <w:sz w:val="24"/>
          <w:szCs w:val="24"/>
        </w:rPr>
        <w:t>Recruitment</w:t>
      </w:r>
      <w:r w:rsidR="00315195">
        <w:rPr>
          <w:rFonts w:ascii="Arial" w:hAnsi="Arial" w:cs="Arial"/>
          <w:i/>
          <w:iCs/>
          <w:sz w:val="24"/>
          <w:szCs w:val="24"/>
        </w:rPr>
        <w:t xml:space="preserve"> and capacity</w:t>
      </w:r>
    </w:p>
    <w:p w14:paraId="112122D9" w14:textId="2EAD84B8" w:rsidR="00315195" w:rsidRDefault="00315195" w:rsidP="00315195">
      <w:pPr>
        <w:spacing w:before="120" w:after="120" w:line="240" w:lineRule="auto"/>
        <w:rPr>
          <w:rFonts w:ascii="Arial" w:hAnsi="Arial" w:cs="Arial"/>
          <w:sz w:val="24"/>
        </w:rPr>
      </w:pPr>
      <w:r>
        <w:rPr>
          <w:rFonts w:ascii="Arial" w:hAnsi="Arial" w:cs="Arial"/>
          <w:sz w:val="24"/>
          <w:szCs w:val="24"/>
        </w:rPr>
        <w:t xml:space="preserve">The Commission’s workforce data shows a 20 per cent vacancy rate across the organisation. The Corporate Services group has a </w:t>
      </w:r>
      <w:r w:rsidR="00827A9D">
        <w:rPr>
          <w:rFonts w:ascii="Arial" w:hAnsi="Arial" w:cs="Arial"/>
          <w:sz w:val="24"/>
          <w:szCs w:val="24"/>
        </w:rPr>
        <w:t xml:space="preserve">34 </w:t>
      </w:r>
      <w:r>
        <w:rPr>
          <w:rFonts w:ascii="Arial" w:hAnsi="Arial" w:cs="Arial"/>
          <w:sz w:val="24"/>
          <w:szCs w:val="24"/>
        </w:rPr>
        <w:t>per cent vacancy rate</w:t>
      </w:r>
      <w:r w:rsidR="00CD389D">
        <w:rPr>
          <w:rStyle w:val="FootnoteReference"/>
          <w:rFonts w:ascii="Arial" w:hAnsi="Arial" w:cs="Arial"/>
          <w:sz w:val="24"/>
          <w:szCs w:val="24"/>
        </w:rPr>
        <w:footnoteReference w:id="48"/>
      </w:r>
      <w:r>
        <w:rPr>
          <w:rFonts w:ascii="Arial" w:hAnsi="Arial" w:cs="Arial"/>
          <w:sz w:val="24"/>
          <w:szCs w:val="24"/>
        </w:rPr>
        <w:t xml:space="preserve"> placing significant pressure on key enabling capabilities including </w:t>
      </w:r>
      <w:r>
        <w:rPr>
          <w:rFonts w:ascii="Arial" w:hAnsi="Arial" w:cs="Arial"/>
          <w:sz w:val="24"/>
        </w:rPr>
        <w:t xml:space="preserve">ICT, </w:t>
      </w:r>
      <w:proofErr w:type="gramStart"/>
      <w:r>
        <w:rPr>
          <w:rFonts w:ascii="Arial" w:hAnsi="Arial" w:cs="Arial"/>
          <w:sz w:val="24"/>
        </w:rPr>
        <w:t>people</w:t>
      </w:r>
      <w:proofErr w:type="gramEnd"/>
      <w:r>
        <w:rPr>
          <w:rFonts w:ascii="Arial" w:hAnsi="Arial" w:cs="Arial"/>
          <w:sz w:val="24"/>
        </w:rPr>
        <w:t xml:space="preserve"> and financial management.</w:t>
      </w:r>
    </w:p>
    <w:p w14:paraId="3F428AD1" w14:textId="2DCA0055" w:rsidR="00315195" w:rsidRDefault="00315195" w:rsidP="00315195">
      <w:pPr>
        <w:spacing w:before="120" w:after="120" w:line="240" w:lineRule="auto"/>
        <w:rPr>
          <w:rFonts w:ascii="Arial" w:hAnsi="Arial" w:cs="Arial"/>
          <w:sz w:val="24"/>
        </w:rPr>
      </w:pPr>
      <w:r>
        <w:rPr>
          <w:rFonts w:ascii="Arial" w:hAnsi="Arial" w:cs="Arial"/>
          <w:sz w:val="24"/>
        </w:rPr>
        <w:t>As a result, functions such as ICT are spread thin</w:t>
      </w:r>
      <w:r w:rsidR="00BA0EAB">
        <w:rPr>
          <w:rFonts w:ascii="Arial" w:hAnsi="Arial" w:cs="Arial"/>
          <w:sz w:val="24"/>
        </w:rPr>
        <w:t xml:space="preserve"> and do</w:t>
      </w:r>
      <w:r>
        <w:rPr>
          <w:rFonts w:ascii="Arial" w:hAnsi="Arial" w:cs="Arial"/>
          <w:sz w:val="24"/>
        </w:rPr>
        <w:t xml:space="preserve"> not hav</w:t>
      </w:r>
      <w:r w:rsidR="00BA0EAB">
        <w:rPr>
          <w:rFonts w:ascii="Arial" w:hAnsi="Arial" w:cs="Arial"/>
          <w:sz w:val="24"/>
        </w:rPr>
        <w:t>e</w:t>
      </w:r>
      <w:r>
        <w:rPr>
          <w:rFonts w:ascii="Arial" w:hAnsi="Arial" w:cs="Arial"/>
          <w:sz w:val="24"/>
        </w:rPr>
        <w:t xml:space="preserve"> the capacity to keep pace with the expectations of the business and manag</w:t>
      </w:r>
      <w:r w:rsidR="00256C17">
        <w:rPr>
          <w:rFonts w:ascii="Arial" w:hAnsi="Arial" w:cs="Arial"/>
          <w:sz w:val="24"/>
        </w:rPr>
        <w:t>e</w:t>
      </w:r>
      <w:r>
        <w:rPr>
          <w:rFonts w:ascii="Arial" w:hAnsi="Arial" w:cs="Arial"/>
          <w:sz w:val="24"/>
        </w:rPr>
        <w:t xml:space="preserve"> the significant risks and interdependencies with the Department. </w:t>
      </w:r>
    </w:p>
    <w:p w14:paraId="76D43F4D" w14:textId="5A1080A9" w:rsidR="00315195" w:rsidRDefault="00315195" w:rsidP="00315195">
      <w:pPr>
        <w:spacing w:before="240" w:after="120" w:line="240" w:lineRule="auto"/>
        <w:rPr>
          <w:rFonts w:ascii="Arial" w:hAnsi="Arial" w:cs="Arial"/>
          <w:sz w:val="24"/>
        </w:rPr>
      </w:pPr>
      <w:r>
        <w:rPr>
          <w:rFonts w:ascii="Arial" w:hAnsi="Arial" w:cs="Arial"/>
          <w:sz w:val="24"/>
        </w:rPr>
        <w:t>For example, ICT APS staff and contractors currently represent less than 5 per cent</w:t>
      </w:r>
      <w:r w:rsidR="00CA75A9">
        <w:rPr>
          <w:rStyle w:val="FootnoteReference"/>
          <w:rFonts w:ascii="Arial" w:hAnsi="Arial" w:cs="Arial"/>
          <w:sz w:val="24"/>
        </w:rPr>
        <w:footnoteReference w:id="49"/>
      </w:r>
      <w:r w:rsidR="00CA75A9">
        <w:rPr>
          <w:rFonts w:ascii="Arial" w:hAnsi="Arial" w:cs="Arial"/>
          <w:sz w:val="24"/>
        </w:rPr>
        <w:t xml:space="preserve"> </w:t>
      </w:r>
      <w:r>
        <w:rPr>
          <w:rFonts w:ascii="Arial" w:hAnsi="Arial" w:cs="Arial"/>
          <w:sz w:val="24"/>
        </w:rPr>
        <w:t>of the Commission</w:t>
      </w:r>
      <w:r w:rsidR="00827A9D">
        <w:rPr>
          <w:rFonts w:ascii="Arial" w:hAnsi="Arial" w:cs="Arial"/>
          <w:sz w:val="24"/>
        </w:rPr>
        <w:t>’</w:t>
      </w:r>
      <w:r>
        <w:rPr>
          <w:rFonts w:ascii="Arial" w:hAnsi="Arial" w:cs="Arial"/>
          <w:sz w:val="24"/>
        </w:rPr>
        <w:t>s overall staffing level. In comparison, ICT APS and contracting staff represent 15 per cent</w:t>
      </w:r>
      <w:r w:rsidR="00CA75A9">
        <w:rPr>
          <w:rStyle w:val="FootnoteReference"/>
          <w:rFonts w:ascii="Arial" w:hAnsi="Arial" w:cs="Arial"/>
          <w:sz w:val="24"/>
        </w:rPr>
        <w:footnoteReference w:id="50"/>
      </w:r>
      <w:r w:rsidR="00CA75A9">
        <w:rPr>
          <w:rFonts w:ascii="Arial" w:hAnsi="Arial" w:cs="Arial"/>
          <w:sz w:val="24"/>
        </w:rPr>
        <w:t xml:space="preserve"> </w:t>
      </w:r>
      <w:r>
        <w:rPr>
          <w:rFonts w:ascii="Arial" w:hAnsi="Arial" w:cs="Arial"/>
          <w:sz w:val="24"/>
        </w:rPr>
        <w:t>total staffing within the Department and 17</w:t>
      </w:r>
      <w:r w:rsidR="00CA75A9">
        <w:rPr>
          <w:rFonts w:ascii="Arial" w:hAnsi="Arial" w:cs="Arial"/>
          <w:sz w:val="24"/>
        </w:rPr>
        <w:t> </w:t>
      </w:r>
      <w:r>
        <w:rPr>
          <w:rFonts w:ascii="Arial" w:hAnsi="Arial" w:cs="Arial"/>
          <w:sz w:val="24"/>
        </w:rPr>
        <w:t>per cent</w:t>
      </w:r>
      <w:r w:rsidR="00CA75A9">
        <w:rPr>
          <w:rStyle w:val="FootnoteReference"/>
          <w:rFonts w:ascii="Arial" w:hAnsi="Arial" w:cs="Arial"/>
          <w:sz w:val="24"/>
        </w:rPr>
        <w:footnoteReference w:id="51"/>
      </w:r>
      <w:r w:rsidR="00CA75A9">
        <w:rPr>
          <w:rFonts w:ascii="Arial" w:hAnsi="Arial" w:cs="Arial"/>
          <w:sz w:val="24"/>
        </w:rPr>
        <w:t xml:space="preserve"> </w:t>
      </w:r>
      <w:r>
        <w:rPr>
          <w:rFonts w:ascii="Arial" w:hAnsi="Arial" w:cs="Arial"/>
          <w:sz w:val="24"/>
        </w:rPr>
        <w:t xml:space="preserve">within </w:t>
      </w:r>
      <w:r w:rsidR="00256C17">
        <w:rPr>
          <w:rFonts w:ascii="Arial" w:hAnsi="Arial" w:cs="Arial"/>
          <w:sz w:val="24"/>
        </w:rPr>
        <w:t xml:space="preserve">the </w:t>
      </w:r>
      <w:r>
        <w:rPr>
          <w:rFonts w:ascii="Arial" w:hAnsi="Arial" w:cs="Arial"/>
          <w:sz w:val="24"/>
        </w:rPr>
        <w:t>C</w:t>
      </w:r>
      <w:r w:rsidR="00256C17">
        <w:rPr>
          <w:rFonts w:ascii="Arial" w:hAnsi="Arial" w:cs="Arial"/>
          <w:sz w:val="24"/>
        </w:rPr>
        <w:t>ivil Aviation Safety Authority</w:t>
      </w:r>
      <w:r>
        <w:rPr>
          <w:rFonts w:ascii="Arial" w:hAnsi="Arial" w:cs="Arial"/>
          <w:sz w:val="24"/>
        </w:rPr>
        <w:t xml:space="preserve">, a regulator </w:t>
      </w:r>
      <w:r w:rsidR="00433697">
        <w:rPr>
          <w:rFonts w:ascii="Arial" w:hAnsi="Arial" w:cs="Arial"/>
          <w:sz w:val="24"/>
        </w:rPr>
        <w:t xml:space="preserve">of </w:t>
      </w:r>
      <w:r>
        <w:rPr>
          <w:rFonts w:ascii="Arial" w:hAnsi="Arial" w:cs="Arial"/>
          <w:sz w:val="24"/>
        </w:rPr>
        <w:t>similar size and ICT complexity.</w:t>
      </w:r>
    </w:p>
    <w:p w14:paraId="61894A78" w14:textId="2B46366E"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While </w:t>
      </w:r>
      <w:r w:rsidR="003B2C53">
        <w:rPr>
          <w:rFonts w:ascii="Arial" w:hAnsi="Arial" w:cs="Arial"/>
          <w:sz w:val="24"/>
          <w:szCs w:val="24"/>
        </w:rPr>
        <w:t>I</w:t>
      </w:r>
      <w:r>
        <w:rPr>
          <w:rFonts w:ascii="Arial" w:hAnsi="Arial" w:cs="Arial"/>
          <w:sz w:val="24"/>
          <w:szCs w:val="24"/>
        </w:rPr>
        <w:t xml:space="preserve"> acknowledge there are workforce shortages in many sectors, the Review has heard through </w:t>
      </w:r>
      <w:r w:rsidR="00F91779">
        <w:rPr>
          <w:rFonts w:ascii="Arial" w:hAnsi="Arial" w:cs="Arial"/>
          <w:sz w:val="24"/>
          <w:szCs w:val="24"/>
        </w:rPr>
        <w:t>S</w:t>
      </w:r>
      <w:r>
        <w:rPr>
          <w:rFonts w:ascii="Arial" w:hAnsi="Arial" w:cs="Arial"/>
          <w:sz w:val="24"/>
          <w:szCs w:val="24"/>
        </w:rPr>
        <w:t xml:space="preserve">taff </w:t>
      </w:r>
      <w:r w:rsidR="00F91779">
        <w:rPr>
          <w:rFonts w:ascii="Arial" w:hAnsi="Arial" w:cs="Arial"/>
          <w:sz w:val="24"/>
          <w:szCs w:val="24"/>
        </w:rPr>
        <w:t>I</w:t>
      </w:r>
      <w:r>
        <w:rPr>
          <w:rFonts w:ascii="Arial" w:hAnsi="Arial" w:cs="Arial"/>
          <w:sz w:val="24"/>
          <w:szCs w:val="24"/>
        </w:rPr>
        <w:t xml:space="preserve">nput sessions that the work of the Commission is a strong attractor for staff, and staff are strongly committed to the goal of quality and safe care for consumers. The </w:t>
      </w:r>
      <w:r w:rsidR="00F91779">
        <w:rPr>
          <w:rFonts w:ascii="Arial" w:hAnsi="Arial" w:cs="Arial"/>
          <w:sz w:val="24"/>
          <w:szCs w:val="24"/>
        </w:rPr>
        <w:t>S</w:t>
      </w:r>
      <w:r>
        <w:rPr>
          <w:rFonts w:ascii="Arial" w:hAnsi="Arial" w:cs="Arial"/>
          <w:sz w:val="24"/>
          <w:szCs w:val="24"/>
        </w:rPr>
        <w:t xml:space="preserve">taff </w:t>
      </w:r>
      <w:r w:rsidR="00F91779">
        <w:rPr>
          <w:rFonts w:ascii="Arial" w:hAnsi="Arial" w:cs="Arial"/>
          <w:sz w:val="24"/>
          <w:szCs w:val="24"/>
        </w:rPr>
        <w:t>I</w:t>
      </w:r>
      <w:r>
        <w:rPr>
          <w:rFonts w:ascii="Arial" w:hAnsi="Arial" w:cs="Arial"/>
          <w:sz w:val="24"/>
          <w:szCs w:val="24"/>
        </w:rPr>
        <w:t xml:space="preserve">nput sessions confirmed that people across the Commission are working very hard to deliver outcomes for the aged care sector. There is further evidence to support this in the </w:t>
      </w:r>
      <w:r w:rsidR="002C7D0F">
        <w:rPr>
          <w:rFonts w:ascii="Arial" w:hAnsi="Arial" w:cs="Arial"/>
          <w:sz w:val="24"/>
          <w:szCs w:val="24"/>
        </w:rPr>
        <w:t xml:space="preserve">APS </w:t>
      </w:r>
      <w:r>
        <w:rPr>
          <w:rFonts w:ascii="Arial" w:hAnsi="Arial" w:cs="Arial"/>
          <w:sz w:val="24"/>
          <w:szCs w:val="24"/>
        </w:rPr>
        <w:t xml:space="preserve">Employee Census 2022 </w:t>
      </w:r>
      <w:r w:rsidR="002C7D0F">
        <w:rPr>
          <w:rFonts w:ascii="Arial" w:hAnsi="Arial" w:cs="Arial"/>
          <w:sz w:val="24"/>
          <w:szCs w:val="24"/>
        </w:rPr>
        <w:t>which reported</w:t>
      </w:r>
      <w:r>
        <w:rPr>
          <w:rFonts w:ascii="Arial" w:hAnsi="Arial" w:cs="Arial"/>
          <w:sz w:val="24"/>
          <w:szCs w:val="24"/>
        </w:rPr>
        <w:t xml:space="preserve"> that 91 per cent of Commission staff are “happy to go the extra mile at work when required”.</w:t>
      </w:r>
      <w:r w:rsidR="00CA75A9">
        <w:rPr>
          <w:rStyle w:val="FootnoteReference"/>
          <w:rFonts w:ascii="Arial" w:hAnsi="Arial" w:cs="Arial"/>
          <w:sz w:val="24"/>
          <w:szCs w:val="24"/>
        </w:rPr>
        <w:footnoteReference w:id="52"/>
      </w:r>
    </w:p>
    <w:p w14:paraId="6AFAD806" w14:textId="2E947BE4"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The Review has also heard through </w:t>
      </w:r>
      <w:r w:rsidR="00F91779">
        <w:rPr>
          <w:rFonts w:ascii="Arial" w:hAnsi="Arial" w:cs="Arial"/>
          <w:sz w:val="24"/>
          <w:szCs w:val="24"/>
        </w:rPr>
        <w:t>S</w:t>
      </w:r>
      <w:r>
        <w:rPr>
          <w:rFonts w:ascii="Arial" w:hAnsi="Arial" w:cs="Arial"/>
          <w:sz w:val="24"/>
          <w:szCs w:val="24"/>
        </w:rPr>
        <w:t xml:space="preserve">taff </w:t>
      </w:r>
      <w:r w:rsidR="00F91779">
        <w:rPr>
          <w:rFonts w:ascii="Arial" w:hAnsi="Arial" w:cs="Arial"/>
          <w:sz w:val="24"/>
          <w:szCs w:val="24"/>
        </w:rPr>
        <w:t>I</w:t>
      </w:r>
      <w:r>
        <w:rPr>
          <w:rFonts w:ascii="Arial" w:hAnsi="Arial" w:cs="Arial"/>
          <w:sz w:val="24"/>
          <w:szCs w:val="24"/>
        </w:rPr>
        <w:t>nput sessions of several concerns relating to recruitment, including:</w:t>
      </w:r>
    </w:p>
    <w:p w14:paraId="343E56BE" w14:textId="77777777" w:rsidR="001C0208" w:rsidRDefault="001C0208" w:rsidP="001750D5">
      <w:pPr>
        <w:pStyle w:val="ListParagraph"/>
        <w:numPr>
          <w:ilvl w:val="0"/>
          <w:numId w:val="76"/>
        </w:numPr>
        <w:spacing w:before="120" w:after="120" w:line="240" w:lineRule="auto"/>
        <w:rPr>
          <w:rFonts w:ascii="Arial" w:hAnsi="Arial" w:cs="Arial"/>
          <w:sz w:val="24"/>
          <w:szCs w:val="24"/>
        </w:rPr>
      </w:pPr>
      <w:r>
        <w:rPr>
          <w:rFonts w:ascii="Arial" w:hAnsi="Arial" w:cs="Arial"/>
          <w:sz w:val="24"/>
          <w:szCs w:val="24"/>
        </w:rPr>
        <w:t>the human resources area is understaffed and there is a high turnover of staff leading to loss of corporate knowledge and capability, including in relation to knowledge about APS recruitment policies and practices</w:t>
      </w:r>
    </w:p>
    <w:p w14:paraId="5692748A" w14:textId="60BD3CDD" w:rsidR="001C0208" w:rsidRDefault="001C0208" w:rsidP="001750D5">
      <w:pPr>
        <w:pStyle w:val="ListParagraph"/>
        <w:numPr>
          <w:ilvl w:val="0"/>
          <w:numId w:val="76"/>
        </w:numPr>
        <w:spacing w:before="120" w:after="120" w:line="240" w:lineRule="auto"/>
        <w:rPr>
          <w:rFonts w:ascii="Arial" w:hAnsi="Arial" w:cs="Arial"/>
          <w:sz w:val="24"/>
          <w:szCs w:val="24"/>
        </w:rPr>
      </w:pPr>
      <w:r>
        <w:rPr>
          <w:rFonts w:ascii="Arial" w:hAnsi="Arial" w:cs="Arial"/>
          <w:sz w:val="24"/>
          <w:szCs w:val="24"/>
        </w:rPr>
        <w:t xml:space="preserve">inadequate systems, </w:t>
      </w:r>
      <w:proofErr w:type="gramStart"/>
      <w:r>
        <w:rPr>
          <w:rFonts w:ascii="Arial" w:hAnsi="Arial" w:cs="Arial"/>
          <w:sz w:val="24"/>
          <w:szCs w:val="24"/>
        </w:rPr>
        <w:t>processes</w:t>
      </w:r>
      <w:proofErr w:type="gramEnd"/>
      <w:r>
        <w:rPr>
          <w:rFonts w:ascii="Arial" w:hAnsi="Arial" w:cs="Arial"/>
          <w:sz w:val="24"/>
          <w:szCs w:val="24"/>
        </w:rPr>
        <w:t xml:space="preserve"> and technology to support recruitment</w:t>
      </w:r>
    </w:p>
    <w:p w14:paraId="4B8DB0D7" w14:textId="31711A37" w:rsidR="001C0208" w:rsidRDefault="001C0208" w:rsidP="001750D5">
      <w:pPr>
        <w:pStyle w:val="ListParagraph"/>
        <w:numPr>
          <w:ilvl w:val="0"/>
          <w:numId w:val="76"/>
        </w:numPr>
        <w:spacing w:before="120" w:after="120" w:line="240" w:lineRule="auto"/>
        <w:rPr>
          <w:rFonts w:ascii="Arial" w:hAnsi="Arial" w:cs="Arial"/>
          <w:sz w:val="24"/>
          <w:szCs w:val="24"/>
        </w:rPr>
      </w:pPr>
      <w:r>
        <w:rPr>
          <w:rFonts w:ascii="Arial" w:hAnsi="Arial" w:cs="Arial"/>
          <w:sz w:val="24"/>
          <w:szCs w:val="24"/>
        </w:rPr>
        <w:t>many line areas have had to undertake their own recruitment activity without any corporate support because of the issues outline</w:t>
      </w:r>
      <w:r w:rsidR="00433697">
        <w:rPr>
          <w:rFonts w:ascii="Arial" w:hAnsi="Arial" w:cs="Arial"/>
          <w:sz w:val="24"/>
          <w:szCs w:val="24"/>
        </w:rPr>
        <w:t>d</w:t>
      </w:r>
      <w:r>
        <w:rPr>
          <w:rFonts w:ascii="Arial" w:hAnsi="Arial" w:cs="Arial"/>
          <w:sz w:val="24"/>
          <w:szCs w:val="24"/>
        </w:rPr>
        <w:t xml:space="preserve"> above, and</w:t>
      </w:r>
    </w:p>
    <w:p w14:paraId="15C618BA" w14:textId="331541D8" w:rsidR="001C0208" w:rsidRDefault="001C0208" w:rsidP="001750D5">
      <w:pPr>
        <w:pStyle w:val="ListParagraph"/>
        <w:numPr>
          <w:ilvl w:val="0"/>
          <w:numId w:val="76"/>
        </w:numPr>
        <w:spacing w:before="120" w:after="120" w:line="240" w:lineRule="auto"/>
        <w:rPr>
          <w:rFonts w:ascii="Arial" w:hAnsi="Arial" w:cs="Arial"/>
          <w:sz w:val="24"/>
          <w:szCs w:val="24"/>
        </w:rPr>
      </w:pPr>
      <w:r>
        <w:rPr>
          <w:rFonts w:ascii="Arial" w:hAnsi="Arial" w:cs="Arial"/>
          <w:sz w:val="24"/>
          <w:szCs w:val="24"/>
        </w:rPr>
        <w:t xml:space="preserve">recruitment processes </w:t>
      </w:r>
      <w:r w:rsidR="00DB3599">
        <w:rPr>
          <w:rFonts w:ascii="Arial" w:hAnsi="Arial" w:cs="Arial"/>
          <w:sz w:val="24"/>
          <w:szCs w:val="24"/>
        </w:rPr>
        <w:t>and</w:t>
      </w:r>
      <w:r>
        <w:rPr>
          <w:rFonts w:ascii="Arial" w:hAnsi="Arial" w:cs="Arial"/>
          <w:sz w:val="24"/>
          <w:szCs w:val="24"/>
        </w:rPr>
        <w:t xml:space="preserve"> delegate approvals are slow and lead to suitable candidates being lost to other recruitment processes.</w:t>
      </w:r>
    </w:p>
    <w:p w14:paraId="3468580A" w14:textId="77777777" w:rsidR="001C0208" w:rsidRDefault="001C0208" w:rsidP="005E17ED">
      <w:pPr>
        <w:keepNext/>
        <w:spacing w:before="120" w:after="120" w:line="240" w:lineRule="auto"/>
        <w:rPr>
          <w:rFonts w:ascii="Arial" w:hAnsi="Arial" w:cs="Arial"/>
          <w:i/>
          <w:iCs/>
          <w:sz w:val="24"/>
          <w:szCs w:val="24"/>
        </w:rPr>
      </w:pPr>
      <w:r>
        <w:rPr>
          <w:rFonts w:ascii="Arial" w:hAnsi="Arial" w:cs="Arial"/>
          <w:i/>
          <w:iCs/>
          <w:sz w:val="24"/>
          <w:szCs w:val="24"/>
        </w:rPr>
        <w:lastRenderedPageBreak/>
        <w:t>Staff training and development</w:t>
      </w:r>
    </w:p>
    <w:p w14:paraId="22063441" w14:textId="77777777" w:rsidR="001C0208" w:rsidRDefault="001C0208" w:rsidP="001C0208">
      <w:pPr>
        <w:spacing w:before="120" w:after="120" w:line="240" w:lineRule="auto"/>
        <w:rPr>
          <w:rFonts w:ascii="Arial" w:hAnsi="Arial" w:cs="Arial"/>
          <w:sz w:val="24"/>
          <w:szCs w:val="24"/>
        </w:rPr>
      </w:pPr>
      <w:r>
        <w:rPr>
          <w:rFonts w:ascii="Arial" w:hAnsi="Arial" w:cs="Arial"/>
          <w:sz w:val="24"/>
          <w:szCs w:val="24"/>
        </w:rPr>
        <w:t>The Commission’s People Strategy 2021-2023 identifies as a goal that it will ‘develop our people and help them grow’.</w:t>
      </w:r>
    </w:p>
    <w:p w14:paraId="630F5310" w14:textId="3BD372D3" w:rsidR="001C0208" w:rsidRDefault="001C0208" w:rsidP="001C0208">
      <w:pPr>
        <w:spacing w:before="120" w:after="120" w:line="240" w:lineRule="auto"/>
        <w:rPr>
          <w:rFonts w:ascii="Arial" w:hAnsi="Arial" w:cs="Arial"/>
          <w:sz w:val="24"/>
          <w:szCs w:val="24"/>
        </w:rPr>
      </w:pPr>
      <w:r>
        <w:rPr>
          <w:rFonts w:ascii="Arial" w:hAnsi="Arial" w:cs="Arial"/>
          <w:sz w:val="24"/>
          <w:szCs w:val="24"/>
        </w:rPr>
        <w:t>The Commission’s Learning and Development Strategy 2022-23 identifies a range of approaches to support learning and development including training resources, work practices, courses, and people (</w:t>
      </w:r>
      <w:proofErr w:type="gramStart"/>
      <w:r>
        <w:rPr>
          <w:rFonts w:ascii="Arial" w:hAnsi="Arial" w:cs="Arial"/>
          <w:sz w:val="24"/>
          <w:szCs w:val="24"/>
        </w:rPr>
        <w:t>e</w:t>
      </w:r>
      <w:r w:rsidR="004E66A1">
        <w:rPr>
          <w:rFonts w:ascii="Arial" w:hAnsi="Arial" w:cs="Arial"/>
          <w:sz w:val="24"/>
          <w:szCs w:val="24"/>
        </w:rPr>
        <w:t>.</w:t>
      </w:r>
      <w:r>
        <w:rPr>
          <w:rFonts w:ascii="Arial" w:hAnsi="Arial" w:cs="Arial"/>
          <w:sz w:val="24"/>
          <w:szCs w:val="24"/>
        </w:rPr>
        <w:t>g.</w:t>
      </w:r>
      <w:proofErr w:type="gramEnd"/>
      <w:r>
        <w:rPr>
          <w:rFonts w:ascii="Arial" w:hAnsi="Arial" w:cs="Arial"/>
          <w:sz w:val="24"/>
          <w:szCs w:val="24"/>
        </w:rPr>
        <w:t xml:space="preserve"> mentoring and peer learning groups).</w:t>
      </w:r>
    </w:p>
    <w:p w14:paraId="5DF28885" w14:textId="652994E2"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The Review heard a range of concerns about staff training and development through </w:t>
      </w:r>
      <w:r w:rsidR="007900F9">
        <w:rPr>
          <w:rFonts w:ascii="Arial" w:hAnsi="Arial" w:cs="Arial"/>
          <w:sz w:val="24"/>
          <w:szCs w:val="24"/>
        </w:rPr>
        <w:t>S</w:t>
      </w:r>
      <w:r>
        <w:rPr>
          <w:rFonts w:ascii="Arial" w:hAnsi="Arial" w:cs="Arial"/>
          <w:sz w:val="24"/>
          <w:szCs w:val="24"/>
        </w:rPr>
        <w:t xml:space="preserve">taff </w:t>
      </w:r>
      <w:r w:rsidR="007900F9">
        <w:rPr>
          <w:rFonts w:ascii="Arial" w:hAnsi="Arial" w:cs="Arial"/>
          <w:sz w:val="24"/>
          <w:szCs w:val="24"/>
        </w:rPr>
        <w:t>I</w:t>
      </w:r>
      <w:r>
        <w:rPr>
          <w:rFonts w:ascii="Arial" w:hAnsi="Arial" w:cs="Arial"/>
          <w:sz w:val="24"/>
          <w:szCs w:val="24"/>
        </w:rPr>
        <w:t>nput sessions including</w:t>
      </w:r>
      <w:r w:rsidR="00897148">
        <w:rPr>
          <w:rFonts w:ascii="Arial" w:hAnsi="Arial" w:cs="Arial"/>
          <w:sz w:val="24"/>
          <w:szCs w:val="24"/>
        </w:rPr>
        <w:t xml:space="preserve"> tight schedules, reactive and ad hoc approaches, and quality concerns. </w:t>
      </w:r>
    </w:p>
    <w:p w14:paraId="5FA1F3AD" w14:textId="77777777" w:rsidR="002C7D0F" w:rsidRDefault="002C7D0F" w:rsidP="002C7D0F">
      <w:pPr>
        <w:spacing w:before="120" w:after="120" w:line="240" w:lineRule="auto"/>
        <w:rPr>
          <w:rFonts w:ascii="Arial" w:hAnsi="Arial" w:cs="Arial"/>
          <w:sz w:val="24"/>
          <w:szCs w:val="24"/>
        </w:rPr>
      </w:pPr>
      <w:r>
        <w:rPr>
          <w:rFonts w:ascii="Arial" w:hAnsi="Arial" w:cs="Arial"/>
          <w:sz w:val="24"/>
          <w:szCs w:val="24"/>
        </w:rPr>
        <w:t>Regulatory skills and the ability to apply risk-based methodology in a regulatory environment are skills that the Commission continues to require to deliver on its purpose and outcomes. While there has been some work done to build a relationship with ANZSOG there may be greater opportunities for the Commission to partner with other regulatory agencies, the APSC Academy, and the ANZSOG National Regulators Community of Practice to foster and contribute to the development of these skills which will assist the Commission to continue to create learning pathways for its staff.</w:t>
      </w:r>
    </w:p>
    <w:p w14:paraId="2FBBA024" w14:textId="77777777" w:rsidR="001C0208" w:rsidRDefault="001C0208" w:rsidP="001C0208">
      <w:pPr>
        <w:spacing w:before="120" w:after="120" w:line="240" w:lineRule="auto"/>
        <w:rPr>
          <w:rFonts w:ascii="Arial" w:hAnsi="Arial" w:cs="Arial"/>
          <w:i/>
          <w:iCs/>
          <w:sz w:val="24"/>
          <w:szCs w:val="24"/>
        </w:rPr>
      </w:pPr>
      <w:r>
        <w:rPr>
          <w:rFonts w:ascii="Arial" w:hAnsi="Arial" w:cs="Arial"/>
          <w:i/>
          <w:iCs/>
          <w:sz w:val="24"/>
          <w:szCs w:val="24"/>
        </w:rPr>
        <w:t>Staff wellbeing</w:t>
      </w:r>
    </w:p>
    <w:p w14:paraId="4A727AC5" w14:textId="77777777" w:rsidR="0024199A" w:rsidRDefault="001C0208" w:rsidP="00974DCA">
      <w:pPr>
        <w:spacing w:before="120" w:after="120" w:line="240" w:lineRule="auto"/>
        <w:rPr>
          <w:rFonts w:ascii="Arial" w:hAnsi="Arial" w:cs="Arial"/>
          <w:sz w:val="24"/>
          <w:szCs w:val="24"/>
        </w:rPr>
      </w:pPr>
      <w:r>
        <w:rPr>
          <w:rFonts w:ascii="Arial" w:hAnsi="Arial" w:cs="Arial"/>
          <w:sz w:val="24"/>
          <w:szCs w:val="24"/>
        </w:rPr>
        <w:t xml:space="preserve">The Commission’s People Strategy 2021-23 identifies as a goal that the health and wellbeing of people are nurtured. The Commission’s Wellbeing Plan 2022-24 is linked to the People Strategy and includes initiatives across the </w:t>
      </w:r>
      <w:r w:rsidR="004E66A1">
        <w:rPr>
          <w:rFonts w:ascii="Arial" w:hAnsi="Arial" w:cs="Arial"/>
          <w:sz w:val="24"/>
          <w:szCs w:val="24"/>
        </w:rPr>
        <w:t>four</w:t>
      </w:r>
      <w:r>
        <w:rPr>
          <w:rFonts w:ascii="Arial" w:hAnsi="Arial" w:cs="Arial"/>
          <w:sz w:val="24"/>
          <w:szCs w:val="24"/>
        </w:rPr>
        <w:t xml:space="preserve"> interconnected domains of purpose, mind, </w:t>
      </w:r>
      <w:proofErr w:type="gramStart"/>
      <w:r>
        <w:rPr>
          <w:rFonts w:ascii="Arial" w:hAnsi="Arial" w:cs="Arial"/>
          <w:sz w:val="24"/>
          <w:szCs w:val="24"/>
        </w:rPr>
        <w:t>energy</w:t>
      </w:r>
      <w:proofErr w:type="gramEnd"/>
      <w:r>
        <w:rPr>
          <w:rFonts w:ascii="Arial" w:hAnsi="Arial" w:cs="Arial"/>
          <w:sz w:val="24"/>
          <w:szCs w:val="24"/>
        </w:rPr>
        <w:t xml:space="preserve"> and environment.</w:t>
      </w:r>
    </w:p>
    <w:p w14:paraId="6B34028E" w14:textId="00A7B49D" w:rsidR="002C7D0F" w:rsidRDefault="001C0208" w:rsidP="001C0208">
      <w:pPr>
        <w:spacing w:before="120" w:after="120" w:line="240" w:lineRule="auto"/>
        <w:rPr>
          <w:rFonts w:ascii="Arial" w:hAnsi="Arial" w:cs="Arial"/>
          <w:sz w:val="24"/>
          <w:szCs w:val="24"/>
        </w:rPr>
      </w:pPr>
      <w:r>
        <w:rPr>
          <w:rFonts w:ascii="Arial" w:hAnsi="Arial" w:cs="Arial"/>
          <w:sz w:val="24"/>
          <w:szCs w:val="24"/>
        </w:rPr>
        <w:t xml:space="preserve">Staff </w:t>
      </w:r>
      <w:r w:rsidR="004E66A1">
        <w:rPr>
          <w:rFonts w:ascii="Arial" w:hAnsi="Arial" w:cs="Arial"/>
          <w:sz w:val="24"/>
          <w:szCs w:val="24"/>
        </w:rPr>
        <w:t>w</w:t>
      </w:r>
      <w:r>
        <w:rPr>
          <w:rFonts w:ascii="Arial" w:hAnsi="Arial" w:cs="Arial"/>
          <w:sz w:val="24"/>
          <w:szCs w:val="24"/>
        </w:rPr>
        <w:t xml:space="preserve">ellbeing was an issue that was raised in all the Staff Input sessions and by the union representing Commission staff. Staff in the customer facing sections of the Commission such as complaints, serious incident reporting, quality assessors and review were concerned that the Commission did not pay sufficient attention to supporting staff in these areas and in particular the provision and opportunity for de-briefs following </w:t>
      </w:r>
      <w:r w:rsidR="004E66A1">
        <w:rPr>
          <w:rFonts w:ascii="Arial" w:hAnsi="Arial" w:cs="Arial"/>
          <w:sz w:val="24"/>
          <w:szCs w:val="24"/>
        </w:rPr>
        <w:t>challenging</w:t>
      </w:r>
      <w:r>
        <w:rPr>
          <w:rFonts w:ascii="Arial" w:hAnsi="Arial" w:cs="Arial"/>
          <w:sz w:val="24"/>
          <w:szCs w:val="24"/>
        </w:rPr>
        <w:t xml:space="preserve"> interactions.</w:t>
      </w:r>
      <w:r w:rsidR="002C7D0F">
        <w:rPr>
          <w:rFonts w:ascii="Arial" w:hAnsi="Arial" w:cs="Arial"/>
          <w:sz w:val="24"/>
          <w:szCs w:val="24"/>
        </w:rPr>
        <w:t xml:space="preserve"> </w:t>
      </w:r>
    </w:p>
    <w:p w14:paraId="061907AD" w14:textId="00BB9E75" w:rsidR="001C0208" w:rsidRDefault="002C7D0F" w:rsidP="001C0208">
      <w:pPr>
        <w:spacing w:before="120" w:after="120" w:line="240" w:lineRule="auto"/>
        <w:rPr>
          <w:rFonts w:ascii="Arial" w:hAnsi="Arial" w:cs="Arial"/>
          <w:sz w:val="24"/>
          <w:szCs w:val="24"/>
        </w:rPr>
      </w:pPr>
      <w:proofErr w:type="gramStart"/>
      <w:r>
        <w:rPr>
          <w:rFonts w:ascii="Arial" w:hAnsi="Arial" w:cs="Arial"/>
          <w:sz w:val="24"/>
          <w:szCs w:val="24"/>
        </w:rPr>
        <w:t>I</w:t>
      </w:r>
      <w:r w:rsidR="00256C17">
        <w:rPr>
          <w:rFonts w:ascii="Arial" w:hAnsi="Arial" w:cs="Arial"/>
          <w:sz w:val="24"/>
          <w:szCs w:val="24"/>
        </w:rPr>
        <w:t>n particular, I</w:t>
      </w:r>
      <w:proofErr w:type="gramEnd"/>
      <w:r>
        <w:rPr>
          <w:rFonts w:ascii="Arial" w:hAnsi="Arial" w:cs="Arial"/>
          <w:sz w:val="24"/>
          <w:szCs w:val="24"/>
        </w:rPr>
        <w:t xml:space="preserve"> am aware of serious staff wellbeing concerns </w:t>
      </w:r>
      <w:r w:rsidR="00540974">
        <w:rPr>
          <w:rFonts w:ascii="Arial" w:hAnsi="Arial" w:cs="Arial"/>
          <w:sz w:val="24"/>
          <w:szCs w:val="24"/>
        </w:rPr>
        <w:t xml:space="preserve">raised in </w:t>
      </w:r>
      <w:r w:rsidR="00DB3599">
        <w:rPr>
          <w:rFonts w:ascii="Arial" w:hAnsi="Arial" w:cs="Arial"/>
          <w:sz w:val="24"/>
          <w:szCs w:val="24"/>
        </w:rPr>
        <w:t xml:space="preserve">the </w:t>
      </w:r>
      <w:r w:rsidR="00540974">
        <w:rPr>
          <w:rFonts w:ascii="Arial" w:hAnsi="Arial" w:cs="Arial"/>
          <w:sz w:val="24"/>
          <w:szCs w:val="24"/>
        </w:rPr>
        <w:t>media</w:t>
      </w:r>
      <w:r w:rsidR="00256C17">
        <w:rPr>
          <w:rFonts w:ascii="Arial" w:hAnsi="Arial" w:cs="Arial"/>
          <w:sz w:val="24"/>
          <w:szCs w:val="24"/>
        </w:rPr>
        <w:t xml:space="preserve">. These concerns were </w:t>
      </w:r>
      <w:r>
        <w:rPr>
          <w:rFonts w:ascii="Arial" w:hAnsi="Arial" w:cs="Arial"/>
          <w:sz w:val="24"/>
          <w:szCs w:val="24"/>
        </w:rPr>
        <w:t xml:space="preserve">brought to the attention of the Review </w:t>
      </w:r>
      <w:r w:rsidR="00256C17">
        <w:rPr>
          <w:rFonts w:ascii="Arial" w:hAnsi="Arial" w:cs="Arial"/>
          <w:sz w:val="24"/>
          <w:szCs w:val="24"/>
        </w:rPr>
        <w:t>during</w:t>
      </w:r>
      <w:r w:rsidR="00580FF0">
        <w:rPr>
          <w:rFonts w:ascii="Arial" w:hAnsi="Arial" w:cs="Arial"/>
          <w:sz w:val="24"/>
          <w:szCs w:val="24"/>
        </w:rPr>
        <w:t xml:space="preserve"> Staff Input sessions</w:t>
      </w:r>
      <w:r>
        <w:rPr>
          <w:rFonts w:ascii="Arial" w:hAnsi="Arial" w:cs="Arial"/>
          <w:sz w:val="24"/>
          <w:szCs w:val="24"/>
        </w:rPr>
        <w:t xml:space="preserve">, including in relation to </w:t>
      </w:r>
      <w:r w:rsidR="00580FF0">
        <w:rPr>
          <w:rFonts w:ascii="Arial" w:hAnsi="Arial" w:cs="Arial"/>
          <w:sz w:val="24"/>
          <w:szCs w:val="24"/>
        </w:rPr>
        <w:t>accusations of bullying, harassment, and concerning work practices, leading to toxic cultures and high staff turnovers</w:t>
      </w:r>
      <w:r w:rsidR="00256C17">
        <w:rPr>
          <w:rFonts w:ascii="Arial" w:hAnsi="Arial" w:cs="Arial"/>
          <w:sz w:val="24"/>
          <w:szCs w:val="24"/>
        </w:rPr>
        <w:t>, and w</w:t>
      </w:r>
      <w:r w:rsidR="00580FF0">
        <w:rPr>
          <w:rFonts w:ascii="Arial" w:hAnsi="Arial" w:cs="Arial"/>
          <w:sz w:val="24"/>
          <w:szCs w:val="24"/>
        </w:rPr>
        <w:t>ere raised with the Commission at the time the Review became aware of them.</w:t>
      </w:r>
    </w:p>
    <w:p w14:paraId="09482628" w14:textId="1E0B6B18" w:rsidR="001C0208" w:rsidRDefault="001C0208" w:rsidP="001C0208">
      <w:pPr>
        <w:spacing w:before="120" w:after="120" w:line="240" w:lineRule="auto"/>
        <w:rPr>
          <w:rFonts w:ascii="Arial" w:hAnsi="Arial" w:cs="Arial"/>
          <w:sz w:val="24"/>
          <w:szCs w:val="24"/>
        </w:rPr>
      </w:pPr>
      <w:r>
        <w:rPr>
          <w:rFonts w:ascii="Arial" w:hAnsi="Arial" w:cs="Arial"/>
          <w:sz w:val="24"/>
          <w:szCs w:val="24"/>
        </w:rPr>
        <w:t>The issue of work-related cumulative and/or vicarious trauma was raised in several Staff Input sessions. Staff commented that this is an issue that is not well managed or supported in the Commission.</w:t>
      </w:r>
    </w:p>
    <w:p w14:paraId="206D4D97" w14:textId="77777777" w:rsidR="001C0208" w:rsidRDefault="001C0208" w:rsidP="001C0208">
      <w:pPr>
        <w:spacing w:before="120" w:after="120" w:line="240" w:lineRule="auto"/>
        <w:rPr>
          <w:rFonts w:ascii="Arial" w:hAnsi="Arial" w:cs="Arial"/>
          <w:i/>
          <w:iCs/>
          <w:sz w:val="24"/>
          <w:szCs w:val="24"/>
        </w:rPr>
      </w:pPr>
      <w:r>
        <w:rPr>
          <w:rFonts w:ascii="Arial" w:hAnsi="Arial" w:cs="Arial"/>
          <w:i/>
          <w:iCs/>
          <w:sz w:val="24"/>
          <w:szCs w:val="24"/>
        </w:rPr>
        <w:t>Retention of staff</w:t>
      </w:r>
    </w:p>
    <w:p w14:paraId="1C464E3C" w14:textId="3DD46232" w:rsidR="001C0208" w:rsidRDefault="001C0208" w:rsidP="001C0208">
      <w:pPr>
        <w:spacing w:before="120" w:after="120" w:line="240" w:lineRule="auto"/>
        <w:rPr>
          <w:rFonts w:ascii="Arial" w:hAnsi="Arial" w:cs="Arial"/>
          <w:b/>
          <w:bCs/>
          <w:sz w:val="24"/>
          <w:szCs w:val="24"/>
        </w:rPr>
      </w:pPr>
      <w:r>
        <w:rPr>
          <w:rFonts w:ascii="Arial" w:hAnsi="Arial" w:cs="Arial"/>
          <w:sz w:val="24"/>
          <w:szCs w:val="24"/>
        </w:rPr>
        <w:t xml:space="preserve">The SES </w:t>
      </w:r>
      <w:r w:rsidR="00580FF0">
        <w:rPr>
          <w:rFonts w:ascii="Arial" w:hAnsi="Arial" w:cs="Arial"/>
          <w:sz w:val="24"/>
          <w:szCs w:val="24"/>
        </w:rPr>
        <w:t>Input session</w:t>
      </w:r>
      <w:r>
        <w:rPr>
          <w:rFonts w:ascii="Arial" w:hAnsi="Arial" w:cs="Arial"/>
          <w:sz w:val="24"/>
          <w:szCs w:val="24"/>
        </w:rPr>
        <w:t xml:space="preserve"> participants described Commission staff as dedicated, work focussed, collegiate and genuinely committed to and caring about ensuring a high quality, safe aged care sector. </w:t>
      </w:r>
    </w:p>
    <w:p w14:paraId="50340600" w14:textId="77777777" w:rsidR="001C0208" w:rsidRDefault="001C0208" w:rsidP="001C0208">
      <w:pPr>
        <w:spacing w:before="120" w:after="120" w:line="240" w:lineRule="auto"/>
        <w:rPr>
          <w:rFonts w:ascii="Arial" w:hAnsi="Arial" w:cs="Arial"/>
          <w:sz w:val="24"/>
          <w:szCs w:val="24"/>
        </w:rPr>
      </w:pPr>
      <w:r>
        <w:rPr>
          <w:rFonts w:ascii="Arial" w:hAnsi="Arial" w:cs="Arial"/>
          <w:sz w:val="24"/>
          <w:szCs w:val="24"/>
        </w:rPr>
        <w:t>The NLG Input Session described the Commission’s staff as having the</w:t>
      </w:r>
    </w:p>
    <w:p w14:paraId="76D6FC4C" w14:textId="549B56C9" w:rsidR="001C0208" w:rsidRDefault="001C0208" w:rsidP="001C0208">
      <w:pPr>
        <w:spacing w:before="120" w:after="120" w:line="240" w:lineRule="auto"/>
        <w:ind w:left="720"/>
        <w:rPr>
          <w:rFonts w:ascii="Arial" w:hAnsi="Arial" w:cs="Arial"/>
          <w:sz w:val="24"/>
          <w:szCs w:val="24"/>
        </w:rPr>
      </w:pPr>
      <w:r>
        <w:rPr>
          <w:rFonts w:ascii="Arial" w:hAnsi="Arial" w:cs="Arial"/>
          <w:sz w:val="24"/>
          <w:szCs w:val="24"/>
        </w:rPr>
        <w:t>“</w:t>
      </w:r>
      <w:proofErr w:type="gramStart"/>
      <w:r>
        <w:rPr>
          <w:rFonts w:ascii="Arial" w:hAnsi="Arial" w:cs="Arial"/>
          <w:sz w:val="24"/>
          <w:szCs w:val="24"/>
        </w:rPr>
        <w:t>ability</w:t>
      </w:r>
      <w:proofErr w:type="gramEnd"/>
      <w:r>
        <w:rPr>
          <w:rFonts w:ascii="Arial" w:hAnsi="Arial" w:cs="Arial"/>
          <w:sz w:val="24"/>
          <w:szCs w:val="24"/>
        </w:rPr>
        <w:t xml:space="preserve"> to adapt, respond and work well together to deal with critical issues and that staff had a genuine dedication to the outcomes of the Commission and ensuring that services to aged persons are of a high standard.”</w:t>
      </w:r>
    </w:p>
    <w:p w14:paraId="3099E8B2" w14:textId="7B50D22C" w:rsidR="001C0208" w:rsidRDefault="001C0208" w:rsidP="001C0208">
      <w:pPr>
        <w:spacing w:before="120" w:after="120" w:line="240" w:lineRule="auto"/>
        <w:rPr>
          <w:rFonts w:ascii="Arial" w:hAnsi="Arial" w:cs="Arial"/>
          <w:sz w:val="24"/>
          <w:szCs w:val="24"/>
        </w:rPr>
      </w:pPr>
      <w:r>
        <w:rPr>
          <w:rFonts w:ascii="Arial" w:hAnsi="Arial" w:cs="Arial"/>
          <w:sz w:val="24"/>
          <w:szCs w:val="24"/>
        </w:rPr>
        <w:lastRenderedPageBreak/>
        <w:t xml:space="preserve">Despite these consistent reports and the strong brand attraction of the Commission described </w:t>
      </w:r>
      <w:r w:rsidR="00580FF0">
        <w:rPr>
          <w:rFonts w:ascii="Arial" w:hAnsi="Arial" w:cs="Arial"/>
          <w:sz w:val="24"/>
          <w:szCs w:val="24"/>
        </w:rPr>
        <w:t>above</w:t>
      </w:r>
      <w:r>
        <w:rPr>
          <w:rFonts w:ascii="Arial" w:hAnsi="Arial" w:cs="Arial"/>
          <w:sz w:val="24"/>
          <w:szCs w:val="24"/>
        </w:rPr>
        <w:t xml:space="preserve">, the number of staff exiting the Commission, the staff exit survey data, </w:t>
      </w:r>
      <w:r w:rsidR="00EF150C">
        <w:rPr>
          <w:rFonts w:ascii="Arial" w:hAnsi="Arial" w:cs="Arial"/>
          <w:sz w:val="24"/>
          <w:szCs w:val="24"/>
        </w:rPr>
        <w:t>APS Em</w:t>
      </w:r>
      <w:r>
        <w:rPr>
          <w:rFonts w:ascii="Arial" w:hAnsi="Arial" w:cs="Arial"/>
          <w:sz w:val="24"/>
          <w:szCs w:val="24"/>
        </w:rPr>
        <w:t xml:space="preserve">ployee </w:t>
      </w:r>
      <w:r w:rsidR="00EF150C">
        <w:rPr>
          <w:rFonts w:ascii="Arial" w:hAnsi="Arial" w:cs="Arial"/>
          <w:sz w:val="24"/>
          <w:szCs w:val="24"/>
        </w:rPr>
        <w:t>C</w:t>
      </w:r>
      <w:r>
        <w:rPr>
          <w:rFonts w:ascii="Arial" w:hAnsi="Arial" w:cs="Arial"/>
          <w:sz w:val="24"/>
          <w:szCs w:val="24"/>
        </w:rPr>
        <w:t xml:space="preserve">ensus data and </w:t>
      </w:r>
      <w:r w:rsidR="007900F9">
        <w:rPr>
          <w:rFonts w:ascii="Arial" w:hAnsi="Arial" w:cs="Arial"/>
          <w:sz w:val="24"/>
          <w:szCs w:val="24"/>
        </w:rPr>
        <w:t>S</w:t>
      </w:r>
      <w:r>
        <w:rPr>
          <w:rFonts w:ascii="Arial" w:hAnsi="Arial" w:cs="Arial"/>
          <w:sz w:val="24"/>
          <w:szCs w:val="24"/>
        </w:rPr>
        <w:t xml:space="preserve">taff </w:t>
      </w:r>
      <w:r w:rsidR="007900F9">
        <w:rPr>
          <w:rFonts w:ascii="Arial" w:hAnsi="Arial" w:cs="Arial"/>
          <w:sz w:val="24"/>
          <w:szCs w:val="24"/>
        </w:rPr>
        <w:t>I</w:t>
      </w:r>
      <w:r>
        <w:rPr>
          <w:rFonts w:ascii="Arial" w:hAnsi="Arial" w:cs="Arial"/>
          <w:sz w:val="24"/>
          <w:szCs w:val="24"/>
        </w:rPr>
        <w:t>nput sessions, identify significant issues within the Commission in terms of culture, structure and leadership which need to be addressed to capitalise on the strong brand attraction and not lose newly recruited staff in a short period.</w:t>
      </w:r>
    </w:p>
    <w:p w14:paraId="1B80BC86" w14:textId="669BCA6F"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The significant number of people exiting the Commission creates a drain on resources in terms of recruitment, </w:t>
      </w:r>
      <w:proofErr w:type="gramStart"/>
      <w:r>
        <w:rPr>
          <w:rFonts w:ascii="Arial" w:hAnsi="Arial" w:cs="Arial"/>
          <w:sz w:val="24"/>
          <w:szCs w:val="24"/>
        </w:rPr>
        <w:t>onboarding</w:t>
      </w:r>
      <w:proofErr w:type="gramEnd"/>
      <w:r>
        <w:rPr>
          <w:rFonts w:ascii="Arial" w:hAnsi="Arial" w:cs="Arial"/>
          <w:sz w:val="24"/>
          <w:szCs w:val="24"/>
        </w:rPr>
        <w:t xml:space="preserve"> and team time to coach new member</w:t>
      </w:r>
      <w:r w:rsidR="00256C17">
        <w:rPr>
          <w:rFonts w:ascii="Arial" w:hAnsi="Arial" w:cs="Arial"/>
          <w:sz w:val="24"/>
          <w:szCs w:val="24"/>
        </w:rPr>
        <w:t>s</w:t>
      </w:r>
      <w:r>
        <w:rPr>
          <w:rFonts w:ascii="Arial" w:hAnsi="Arial" w:cs="Arial"/>
          <w:sz w:val="24"/>
          <w:szCs w:val="24"/>
        </w:rPr>
        <w:t xml:space="preserve"> </w:t>
      </w:r>
      <w:r w:rsidR="00433697">
        <w:rPr>
          <w:rFonts w:ascii="Arial" w:hAnsi="Arial" w:cs="Arial"/>
          <w:sz w:val="24"/>
          <w:szCs w:val="24"/>
        </w:rPr>
        <w:t xml:space="preserve">until </w:t>
      </w:r>
      <w:r>
        <w:rPr>
          <w:rFonts w:ascii="Arial" w:hAnsi="Arial" w:cs="Arial"/>
          <w:sz w:val="24"/>
          <w:szCs w:val="24"/>
        </w:rPr>
        <w:t>they are familiar with the work environment. It also creates an unsettled feeling across the organisation.</w:t>
      </w:r>
    </w:p>
    <w:p w14:paraId="34CD1B93" w14:textId="6A6E1D9D" w:rsidR="001C0208" w:rsidRDefault="001C0208" w:rsidP="001C0208">
      <w:pPr>
        <w:spacing w:before="120" w:after="120" w:line="240" w:lineRule="auto"/>
        <w:rPr>
          <w:rFonts w:ascii="Arial" w:hAnsi="Arial" w:cs="Arial"/>
          <w:sz w:val="24"/>
          <w:szCs w:val="24"/>
        </w:rPr>
      </w:pPr>
      <w:r>
        <w:rPr>
          <w:rFonts w:ascii="Arial" w:hAnsi="Arial" w:cs="Arial"/>
          <w:sz w:val="24"/>
          <w:szCs w:val="24"/>
        </w:rPr>
        <w:t>Workforce data shows that Commission staff are predominately at the A</w:t>
      </w:r>
      <w:r w:rsidR="00256C17">
        <w:rPr>
          <w:rFonts w:ascii="Arial" w:hAnsi="Arial" w:cs="Arial"/>
          <w:sz w:val="24"/>
          <w:szCs w:val="24"/>
        </w:rPr>
        <w:t>PS</w:t>
      </w:r>
      <w:r>
        <w:rPr>
          <w:rFonts w:ascii="Arial" w:hAnsi="Arial" w:cs="Arial"/>
          <w:sz w:val="24"/>
          <w:szCs w:val="24"/>
        </w:rPr>
        <w:t xml:space="preserve">6, and EL1 level in the Quality Assurance and Complaints areas, and that 50 per cent had worked at the </w:t>
      </w:r>
      <w:r w:rsidR="004E66A1">
        <w:rPr>
          <w:rFonts w:ascii="Arial" w:hAnsi="Arial" w:cs="Arial"/>
          <w:sz w:val="24"/>
          <w:szCs w:val="24"/>
        </w:rPr>
        <w:t>C</w:t>
      </w:r>
      <w:r>
        <w:rPr>
          <w:rFonts w:ascii="Arial" w:hAnsi="Arial" w:cs="Arial"/>
          <w:sz w:val="24"/>
          <w:szCs w:val="24"/>
        </w:rPr>
        <w:t xml:space="preserve">ommission for 12 months or less. This rate of attrition needs to be further analysed to understand the reasons </w:t>
      </w:r>
      <w:r w:rsidR="00256C17">
        <w:rPr>
          <w:rFonts w:ascii="Arial" w:hAnsi="Arial" w:cs="Arial"/>
          <w:sz w:val="24"/>
          <w:szCs w:val="24"/>
        </w:rPr>
        <w:t>why</w:t>
      </w:r>
      <w:r>
        <w:rPr>
          <w:rFonts w:ascii="Arial" w:hAnsi="Arial" w:cs="Arial"/>
          <w:sz w:val="24"/>
          <w:szCs w:val="24"/>
        </w:rPr>
        <w:t xml:space="preserve"> 305 staff (including contract and short-term appointments) exited the organisation in a 12-month period</w:t>
      </w:r>
      <w:r w:rsidR="00580FF0">
        <w:rPr>
          <w:rFonts w:ascii="Arial" w:hAnsi="Arial" w:cs="Arial"/>
          <w:sz w:val="24"/>
          <w:szCs w:val="24"/>
        </w:rPr>
        <w:t>.</w:t>
      </w:r>
    </w:p>
    <w:p w14:paraId="3BA7A767" w14:textId="4F92A1F6"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While there are </w:t>
      </w:r>
      <w:proofErr w:type="gramStart"/>
      <w:r>
        <w:rPr>
          <w:rFonts w:ascii="Arial" w:hAnsi="Arial" w:cs="Arial"/>
          <w:sz w:val="24"/>
          <w:szCs w:val="24"/>
        </w:rPr>
        <w:t>a number of</w:t>
      </w:r>
      <w:proofErr w:type="gramEnd"/>
      <w:r>
        <w:rPr>
          <w:rFonts w:ascii="Arial" w:hAnsi="Arial" w:cs="Arial"/>
          <w:sz w:val="24"/>
          <w:szCs w:val="24"/>
        </w:rPr>
        <w:t xml:space="preserve"> key roles that need focussed attention including ICT, data analytics and risk profiling, compliance, investigations, prudential auditing and complaints, one key component of the Commission’s workforce arguably requires particular attention. There needs to be a specific and creative value-proposition to take to market to attract those people with the capability and skill</w:t>
      </w:r>
      <w:r w:rsidR="00580FF0">
        <w:rPr>
          <w:rFonts w:ascii="Arial" w:hAnsi="Arial" w:cs="Arial"/>
          <w:sz w:val="24"/>
          <w:szCs w:val="24"/>
        </w:rPr>
        <w:t>s</w:t>
      </w:r>
      <w:r>
        <w:rPr>
          <w:rFonts w:ascii="Arial" w:hAnsi="Arial" w:cs="Arial"/>
          <w:sz w:val="24"/>
          <w:szCs w:val="24"/>
        </w:rPr>
        <w:t xml:space="preserve"> set to fit the Quality Assessor profile, and active consideration should be given to creating a </w:t>
      </w:r>
      <w:r w:rsidR="004E66A1">
        <w:rPr>
          <w:rFonts w:ascii="Arial" w:hAnsi="Arial" w:cs="Arial"/>
          <w:sz w:val="24"/>
          <w:szCs w:val="24"/>
        </w:rPr>
        <w:t xml:space="preserve">clear </w:t>
      </w:r>
      <w:r>
        <w:rPr>
          <w:rFonts w:ascii="Arial" w:hAnsi="Arial" w:cs="Arial"/>
          <w:sz w:val="24"/>
          <w:szCs w:val="24"/>
        </w:rPr>
        <w:t xml:space="preserve">development and career path for this cohort. This could include programmed time out of role to build regulatory and leadership skills, specific time rotations in other roles in the Commission and other options to provide time out of </w:t>
      </w:r>
      <w:r w:rsidR="004E66A1">
        <w:rPr>
          <w:rFonts w:ascii="Arial" w:hAnsi="Arial" w:cs="Arial"/>
          <w:sz w:val="24"/>
          <w:szCs w:val="24"/>
        </w:rPr>
        <w:t xml:space="preserve">their </w:t>
      </w:r>
      <w:r>
        <w:rPr>
          <w:rFonts w:ascii="Arial" w:hAnsi="Arial" w:cs="Arial"/>
          <w:sz w:val="24"/>
          <w:szCs w:val="24"/>
        </w:rPr>
        <w:t xml:space="preserve">role and encourage skill and capability development. In addition, an option to explore is an arrangement under the Commission’s Enterprise Agreement to make provision for an appropriate reward and recognition structure that takes account of the specific requirements of the roles such as annual accreditation, and frequent and often unplanned travel requirements. </w:t>
      </w:r>
    </w:p>
    <w:p w14:paraId="2DF5C62F" w14:textId="77777777" w:rsidR="00580FF0" w:rsidRDefault="001C0208" w:rsidP="001C0208">
      <w:pPr>
        <w:spacing w:before="120" w:after="120" w:line="240" w:lineRule="auto"/>
        <w:rPr>
          <w:rFonts w:ascii="Arial" w:hAnsi="Arial" w:cs="Arial"/>
          <w:i/>
          <w:iCs/>
          <w:sz w:val="24"/>
          <w:szCs w:val="24"/>
        </w:rPr>
      </w:pPr>
      <w:r>
        <w:rPr>
          <w:rFonts w:ascii="Arial" w:hAnsi="Arial" w:cs="Arial"/>
          <w:i/>
          <w:iCs/>
          <w:sz w:val="24"/>
          <w:szCs w:val="24"/>
        </w:rPr>
        <w:t>Conclusion</w:t>
      </w:r>
    </w:p>
    <w:p w14:paraId="29CDDB75" w14:textId="665D3AC1" w:rsidR="001C0208" w:rsidRDefault="001C0208" w:rsidP="001C0208">
      <w:pPr>
        <w:spacing w:before="120" w:after="120" w:line="240" w:lineRule="auto"/>
        <w:rPr>
          <w:rFonts w:ascii="Arial" w:hAnsi="Arial" w:cs="Arial"/>
          <w:sz w:val="24"/>
          <w:szCs w:val="24"/>
        </w:rPr>
      </w:pPr>
      <w:r>
        <w:rPr>
          <w:rFonts w:ascii="Arial" w:hAnsi="Arial" w:cs="Arial"/>
          <w:sz w:val="24"/>
          <w:szCs w:val="24"/>
        </w:rPr>
        <w:t xml:space="preserve">While the Commission has instigated some important initiatives around building people capability, an integrated, detailed, and sustained overarching strategy is required with close senior </w:t>
      </w:r>
      <w:r w:rsidR="004E66A1">
        <w:rPr>
          <w:rFonts w:ascii="Arial" w:hAnsi="Arial" w:cs="Arial"/>
          <w:sz w:val="24"/>
          <w:szCs w:val="24"/>
        </w:rPr>
        <w:t xml:space="preserve">level </w:t>
      </w:r>
      <w:r>
        <w:rPr>
          <w:rFonts w:ascii="Arial" w:hAnsi="Arial" w:cs="Arial"/>
          <w:sz w:val="24"/>
          <w:szCs w:val="24"/>
        </w:rPr>
        <w:t>oversight. Existing strategies should be</w:t>
      </w:r>
      <w:r w:rsidR="00540974">
        <w:rPr>
          <w:rFonts w:ascii="Arial" w:hAnsi="Arial" w:cs="Arial"/>
          <w:sz w:val="24"/>
          <w:szCs w:val="24"/>
        </w:rPr>
        <w:t xml:space="preserve"> linked to a new</w:t>
      </w:r>
      <w:r w:rsidR="004962F3">
        <w:rPr>
          <w:rFonts w:ascii="Arial" w:hAnsi="Arial" w:cs="Arial"/>
          <w:sz w:val="24"/>
          <w:szCs w:val="24"/>
        </w:rPr>
        <w:t xml:space="preserve"> </w:t>
      </w:r>
      <w:r>
        <w:rPr>
          <w:rFonts w:ascii="Arial" w:hAnsi="Arial" w:cs="Arial"/>
          <w:sz w:val="24"/>
          <w:szCs w:val="24"/>
        </w:rPr>
        <w:t xml:space="preserve">Strategic Workforce Plan, which will cover an initial three years from commencement, and be subject to an external evaluation prior to cessation so that the next iteration can be put in place in a timely fashion. </w:t>
      </w:r>
    </w:p>
    <w:p w14:paraId="5D06B851" w14:textId="5D4F48BE" w:rsidR="005F22A1" w:rsidRDefault="005F22A1" w:rsidP="005F22A1">
      <w:pPr>
        <w:spacing w:before="120" w:after="120" w:line="240" w:lineRule="auto"/>
        <w:rPr>
          <w:rFonts w:ascii="Arial" w:hAnsi="Arial" w:cs="Arial"/>
          <w:color w:val="000000"/>
          <w:sz w:val="24"/>
          <w:szCs w:val="24"/>
          <w:shd w:val="clear" w:color="auto" w:fill="FFFFFF"/>
        </w:rPr>
      </w:pPr>
      <w:r w:rsidRPr="00EB4C10">
        <w:rPr>
          <w:rFonts w:ascii="Arial" w:hAnsi="Arial" w:cs="Arial"/>
          <w:b/>
          <w:bCs/>
          <w:sz w:val="24"/>
          <w:szCs w:val="24"/>
        </w:rPr>
        <w:t>Recommendation</w:t>
      </w:r>
      <w:r w:rsidRPr="00EB4C10">
        <w:rPr>
          <w:rFonts w:ascii="Arial" w:hAnsi="Arial" w:cs="Arial"/>
          <w:sz w:val="24"/>
          <w:szCs w:val="24"/>
        </w:rPr>
        <w:t xml:space="preserve"> </w:t>
      </w:r>
      <w:r w:rsidRPr="00EB4C10">
        <w:rPr>
          <w:rFonts w:ascii="Arial" w:hAnsi="Arial" w:cs="Arial"/>
          <w:b/>
          <w:bCs/>
          <w:sz w:val="24"/>
          <w:szCs w:val="24"/>
        </w:rPr>
        <w:t>4.</w:t>
      </w:r>
      <w:r w:rsidR="00DF21A0">
        <w:rPr>
          <w:rFonts w:ascii="Arial" w:hAnsi="Arial" w:cs="Arial"/>
          <w:b/>
          <w:bCs/>
          <w:sz w:val="24"/>
          <w:szCs w:val="24"/>
        </w:rPr>
        <w:t>6</w:t>
      </w:r>
      <w:r w:rsidRPr="00EB4C10">
        <w:rPr>
          <w:rFonts w:ascii="Arial" w:hAnsi="Arial" w:cs="Arial"/>
          <w:sz w:val="24"/>
          <w:szCs w:val="24"/>
        </w:rPr>
        <w:t xml:space="preserve">: The Commission </w:t>
      </w:r>
      <w:r w:rsidR="003128BB">
        <w:rPr>
          <w:rFonts w:ascii="Arial" w:hAnsi="Arial" w:cs="Arial"/>
          <w:sz w:val="24"/>
          <w:szCs w:val="24"/>
        </w:rPr>
        <w:t>to</w:t>
      </w:r>
      <w:r w:rsidRPr="00EB4C10">
        <w:rPr>
          <w:rFonts w:ascii="Arial" w:hAnsi="Arial" w:cs="Arial"/>
          <w:sz w:val="24"/>
          <w:szCs w:val="24"/>
        </w:rPr>
        <w:t xml:space="preserve"> a</w:t>
      </w:r>
      <w:r w:rsidRPr="00EB4C10">
        <w:rPr>
          <w:rFonts w:ascii="Arial" w:hAnsi="Arial" w:cs="Arial"/>
          <w:color w:val="000000"/>
          <w:sz w:val="24"/>
          <w:szCs w:val="24"/>
          <w:shd w:val="clear" w:color="auto" w:fill="FFFFFF"/>
        </w:rPr>
        <w:t xml:space="preserve">ccelerate the development and implementation of its Diversity and Inclusion </w:t>
      </w:r>
      <w:r w:rsidR="00DB3599" w:rsidRPr="00EB4C10">
        <w:rPr>
          <w:rFonts w:ascii="Arial" w:hAnsi="Arial" w:cs="Arial"/>
          <w:color w:val="000000"/>
          <w:sz w:val="24"/>
          <w:szCs w:val="24"/>
          <w:shd w:val="clear" w:color="auto" w:fill="FFFFFF"/>
        </w:rPr>
        <w:t>Strategy</w:t>
      </w:r>
      <w:r w:rsidR="00577BBD">
        <w:rPr>
          <w:rFonts w:ascii="Arial" w:hAnsi="Arial" w:cs="Arial"/>
          <w:color w:val="000000"/>
          <w:sz w:val="24"/>
          <w:szCs w:val="24"/>
          <w:shd w:val="clear" w:color="auto" w:fill="FFFFFF"/>
        </w:rPr>
        <w:t>.</w:t>
      </w:r>
    </w:p>
    <w:p w14:paraId="246440A0" w14:textId="0931D3A1" w:rsidR="001A2FE8" w:rsidRPr="003128BB" w:rsidRDefault="003128BB" w:rsidP="001A2FE8">
      <w:pPr>
        <w:pStyle w:val="ListParagraph"/>
        <w:numPr>
          <w:ilvl w:val="0"/>
          <w:numId w:val="112"/>
        </w:numPr>
        <w:spacing w:before="120" w:after="120" w:line="240" w:lineRule="auto"/>
        <w:rPr>
          <w:rFonts w:ascii="Arial" w:hAnsi="Arial" w:cs="Arial"/>
          <w:color w:val="000000"/>
          <w:sz w:val="24"/>
          <w:szCs w:val="24"/>
          <w:shd w:val="clear" w:color="auto" w:fill="FFFFFF"/>
        </w:rPr>
      </w:pPr>
      <w:r>
        <w:rPr>
          <w:rFonts w:ascii="Arial" w:hAnsi="Arial" w:cs="Arial"/>
          <w:sz w:val="24"/>
          <w:szCs w:val="24"/>
        </w:rPr>
        <w:t>As part of the Diversity and Inclusion Strategy, t</w:t>
      </w:r>
      <w:r w:rsidR="001A2FE8" w:rsidRPr="003128BB">
        <w:rPr>
          <w:rFonts w:ascii="Arial" w:hAnsi="Arial" w:cs="Arial"/>
          <w:sz w:val="24"/>
          <w:szCs w:val="24"/>
        </w:rPr>
        <w:t xml:space="preserve">he Commission </w:t>
      </w:r>
      <w:r>
        <w:rPr>
          <w:rFonts w:ascii="Arial" w:hAnsi="Arial" w:cs="Arial"/>
          <w:sz w:val="24"/>
          <w:szCs w:val="24"/>
        </w:rPr>
        <w:t xml:space="preserve">to </w:t>
      </w:r>
      <w:r w:rsidR="001A2FE8" w:rsidRPr="003128BB">
        <w:rPr>
          <w:rFonts w:ascii="Arial" w:hAnsi="Arial" w:cs="Arial"/>
          <w:sz w:val="24"/>
          <w:szCs w:val="24"/>
        </w:rPr>
        <w:t xml:space="preserve">immediately identify positions to be filled by First Nation people in all areas of the Commission which have contact with aged care consumers, their families, aged care providers and the public, so that First Nations people can liaise directly with First Nations staff. </w:t>
      </w:r>
    </w:p>
    <w:p w14:paraId="351004E8" w14:textId="077BA8EB" w:rsidR="001A2FE8" w:rsidRPr="002512AF" w:rsidRDefault="001A2FE8" w:rsidP="005E17ED">
      <w:pPr>
        <w:keepLines/>
        <w:spacing w:before="120" w:after="120" w:line="264" w:lineRule="auto"/>
        <w:rPr>
          <w:rFonts w:ascii="Arial" w:hAnsi="Arial" w:cs="Arial"/>
          <w:sz w:val="24"/>
          <w:szCs w:val="24"/>
        </w:rPr>
      </w:pPr>
      <w:r w:rsidRPr="002512AF">
        <w:rPr>
          <w:rFonts w:ascii="Arial" w:hAnsi="Arial" w:cs="Arial"/>
          <w:b/>
          <w:bCs/>
          <w:color w:val="000000"/>
          <w:sz w:val="24"/>
          <w:szCs w:val="24"/>
          <w:shd w:val="clear" w:color="auto" w:fill="FFFFFF"/>
        </w:rPr>
        <w:lastRenderedPageBreak/>
        <w:t>Recommendation 4.</w:t>
      </w:r>
      <w:r w:rsidR="00DF21A0">
        <w:rPr>
          <w:rFonts w:ascii="Arial" w:hAnsi="Arial" w:cs="Arial"/>
          <w:b/>
          <w:bCs/>
          <w:color w:val="000000"/>
          <w:sz w:val="24"/>
          <w:szCs w:val="24"/>
          <w:shd w:val="clear" w:color="auto" w:fill="FFFFFF"/>
        </w:rPr>
        <w:t>7</w:t>
      </w:r>
      <w:r w:rsidRPr="002512AF">
        <w:rPr>
          <w:rFonts w:ascii="Arial" w:hAnsi="Arial" w:cs="Arial"/>
          <w:b/>
          <w:bCs/>
          <w:color w:val="000000"/>
          <w:sz w:val="24"/>
          <w:szCs w:val="24"/>
          <w:shd w:val="clear" w:color="auto" w:fill="FFFFFF"/>
        </w:rPr>
        <w:t xml:space="preserve">: </w:t>
      </w:r>
      <w:r w:rsidRPr="002512AF">
        <w:rPr>
          <w:rFonts w:ascii="Arial" w:hAnsi="Arial" w:cs="Arial"/>
          <w:sz w:val="24"/>
          <w:szCs w:val="24"/>
        </w:rPr>
        <w:t xml:space="preserve">The Commission </w:t>
      </w:r>
      <w:r w:rsidR="003128BB">
        <w:rPr>
          <w:rFonts w:ascii="Arial" w:hAnsi="Arial" w:cs="Arial"/>
          <w:sz w:val="24"/>
          <w:szCs w:val="24"/>
        </w:rPr>
        <w:t xml:space="preserve">to </w:t>
      </w:r>
      <w:r w:rsidRPr="002512AF">
        <w:rPr>
          <w:rFonts w:ascii="Arial" w:hAnsi="Arial" w:cs="Arial"/>
          <w:sz w:val="24"/>
          <w:szCs w:val="24"/>
        </w:rPr>
        <w:t xml:space="preserve">develop a Cultural Capability Framework, in partnership with its Indigenous Staff Network, trusted First Nations Groups and the </w:t>
      </w:r>
      <w:r w:rsidR="00F80D8F">
        <w:rPr>
          <w:rFonts w:ascii="Arial" w:hAnsi="Arial" w:cs="Arial"/>
          <w:sz w:val="24"/>
          <w:szCs w:val="24"/>
        </w:rPr>
        <w:t xml:space="preserve">proposed </w:t>
      </w:r>
      <w:r w:rsidRPr="002512AF">
        <w:rPr>
          <w:rFonts w:ascii="Arial" w:hAnsi="Arial" w:cs="Arial"/>
          <w:sz w:val="24"/>
          <w:szCs w:val="24"/>
        </w:rPr>
        <w:t>Aboriginal and Torres Strait Islander Aged Care Commissioner. The Framework should bolster the role of the Indigenous Staff Network and articulate the changes required to ensure:</w:t>
      </w:r>
    </w:p>
    <w:p w14:paraId="4298F666" w14:textId="77777777" w:rsidR="001A2FE8" w:rsidRPr="00E256A7" w:rsidRDefault="001A2FE8" w:rsidP="001750D5">
      <w:pPr>
        <w:pStyle w:val="ListParagraph"/>
        <w:numPr>
          <w:ilvl w:val="0"/>
          <w:numId w:val="97"/>
        </w:numPr>
        <w:spacing w:before="120" w:after="120" w:line="240" w:lineRule="auto"/>
        <w:rPr>
          <w:rFonts w:ascii="Arial" w:hAnsi="Arial" w:cs="Arial"/>
          <w:sz w:val="24"/>
          <w:szCs w:val="24"/>
        </w:rPr>
      </w:pPr>
      <w:r w:rsidRPr="00E256A7">
        <w:rPr>
          <w:rFonts w:ascii="Arial" w:hAnsi="Arial" w:cs="Arial"/>
          <w:sz w:val="24"/>
          <w:szCs w:val="24"/>
        </w:rPr>
        <w:t xml:space="preserve">the Commission’s systems, processes, practices, </w:t>
      </w:r>
      <w:proofErr w:type="gramStart"/>
      <w:r w:rsidRPr="00E256A7">
        <w:rPr>
          <w:rFonts w:ascii="Arial" w:hAnsi="Arial" w:cs="Arial"/>
          <w:sz w:val="24"/>
          <w:szCs w:val="24"/>
        </w:rPr>
        <w:t>structure</w:t>
      </w:r>
      <w:proofErr w:type="gramEnd"/>
      <w:r w:rsidRPr="00E256A7">
        <w:rPr>
          <w:rFonts w:ascii="Arial" w:hAnsi="Arial" w:cs="Arial"/>
          <w:sz w:val="24"/>
          <w:szCs w:val="24"/>
        </w:rPr>
        <w:t xml:space="preserve"> and culture are responsive to the cultural needs of First Nations people </w:t>
      </w:r>
    </w:p>
    <w:p w14:paraId="013170CA" w14:textId="77777777" w:rsidR="001A2FE8" w:rsidRPr="00E256A7" w:rsidRDefault="001A2FE8" w:rsidP="001750D5">
      <w:pPr>
        <w:pStyle w:val="ListParagraph"/>
        <w:numPr>
          <w:ilvl w:val="0"/>
          <w:numId w:val="97"/>
        </w:numPr>
        <w:spacing w:before="120" w:after="120" w:line="240" w:lineRule="auto"/>
        <w:rPr>
          <w:rFonts w:ascii="Arial" w:hAnsi="Arial" w:cs="Arial"/>
          <w:sz w:val="24"/>
          <w:szCs w:val="24"/>
        </w:rPr>
      </w:pPr>
      <w:r>
        <w:rPr>
          <w:rFonts w:ascii="Arial" w:hAnsi="Arial" w:cs="Arial"/>
          <w:sz w:val="24"/>
          <w:szCs w:val="24"/>
        </w:rPr>
        <w:t xml:space="preserve">all </w:t>
      </w:r>
      <w:r w:rsidRPr="00E256A7">
        <w:rPr>
          <w:rFonts w:ascii="Arial" w:hAnsi="Arial" w:cs="Arial"/>
          <w:sz w:val="24"/>
          <w:szCs w:val="24"/>
        </w:rPr>
        <w:t>staff are supported to develop the skills, knowledge and behaviours that are essential to provide culturally appropriate regulatory activit</w:t>
      </w:r>
      <w:r>
        <w:rPr>
          <w:rFonts w:ascii="Arial" w:hAnsi="Arial" w:cs="Arial"/>
          <w:sz w:val="24"/>
          <w:szCs w:val="24"/>
        </w:rPr>
        <w:t>y</w:t>
      </w:r>
    </w:p>
    <w:p w14:paraId="60C09EAB" w14:textId="77777777" w:rsidR="001A2FE8" w:rsidRDefault="001A2FE8" w:rsidP="001750D5">
      <w:pPr>
        <w:pStyle w:val="ListParagraph"/>
        <w:numPr>
          <w:ilvl w:val="0"/>
          <w:numId w:val="97"/>
        </w:numPr>
        <w:spacing w:before="120" w:after="120" w:line="240" w:lineRule="auto"/>
        <w:rPr>
          <w:rFonts w:ascii="Arial" w:hAnsi="Arial" w:cs="Arial"/>
          <w:sz w:val="24"/>
          <w:szCs w:val="24"/>
        </w:rPr>
      </w:pPr>
      <w:r w:rsidRPr="00E256A7">
        <w:rPr>
          <w:rFonts w:ascii="Arial" w:hAnsi="Arial" w:cs="Arial"/>
          <w:sz w:val="24"/>
          <w:szCs w:val="24"/>
        </w:rPr>
        <w:t>the work environment is culturally respectful and supportive for First Nations staff</w:t>
      </w:r>
      <w:r>
        <w:rPr>
          <w:rFonts w:ascii="Arial" w:hAnsi="Arial" w:cs="Arial"/>
          <w:sz w:val="24"/>
          <w:szCs w:val="24"/>
        </w:rPr>
        <w:t>.</w:t>
      </w:r>
    </w:p>
    <w:p w14:paraId="3C7F57F1" w14:textId="77777777" w:rsidR="001A2FE8" w:rsidRDefault="001A2FE8" w:rsidP="002E00B0">
      <w:pPr>
        <w:spacing w:before="120" w:after="120" w:line="264" w:lineRule="auto"/>
        <w:rPr>
          <w:rFonts w:ascii="Arial" w:hAnsi="Arial" w:cs="Arial"/>
          <w:sz w:val="24"/>
          <w:szCs w:val="24"/>
        </w:rPr>
      </w:pPr>
      <w:bookmarkStart w:id="15" w:name="_Hlk127372818"/>
      <w:r>
        <w:rPr>
          <w:rFonts w:ascii="Arial" w:hAnsi="Arial" w:cs="Arial"/>
          <w:sz w:val="24"/>
          <w:szCs w:val="24"/>
        </w:rPr>
        <w:t xml:space="preserve">The Commission should review </w:t>
      </w:r>
      <w:bookmarkEnd w:id="15"/>
      <w:r w:rsidRPr="00E256A7">
        <w:rPr>
          <w:rFonts w:ascii="Arial" w:hAnsi="Arial" w:cs="Arial"/>
          <w:sz w:val="24"/>
          <w:szCs w:val="24"/>
        </w:rPr>
        <w:t>the Framework</w:t>
      </w:r>
      <w:r>
        <w:rPr>
          <w:rFonts w:ascii="Arial" w:hAnsi="Arial" w:cs="Arial"/>
          <w:sz w:val="24"/>
          <w:szCs w:val="24"/>
        </w:rPr>
        <w:t xml:space="preserve"> regularly, and </w:t>
      </w:r>
      <w:r w:rsidRPr="0080648C">
        <w:rPr>
          <w:rFonts w:ascii="Arial" w:hAnsi="Arial" w:cs="Arial"/>
          <w:sz w:val="24"/>
          <w:szCs w:val="24"/>
        </w:rPr>
        <w:t xml:space="preserve">report publicly </w:t>
      </w:r>
      <w:r>
        <w:rPr>
          <w:rFonts w:ascii="Arial" w:hAnsi="Arial" w:cs="Arial"/>
          <w:sz w:val="24"/>
          <w:szCs w:val="24"/>
        </w:rPr>
        <w:t>on associated measures and initiatives</w:t>
      </w:r>
      <w:r w:rsidRPr="00E256A7">
        <w:rPr>
          <w:rFonts w:ascii="Arial" w:hAnsi="Arial" w:cs="Arial"/>
          <w:sz w:val="24"/>
          <w:szCs w:val="24"/>
        </w:rPr>
        <w:t xml:space="preserve">. </w:t>
      </w:r>
    </w:p>
    <w:p w14:paraId="05B548CA" w14:textId="1369C50E" w:rsidR="00A20373" w:rsidRPr="00EB4C10" w:rsidRDefault="001C0208" w:rsidP="001C0208">
      <w:pPr>
        <w:spacing w:before="120" w:after="120" w:line="240" w:lineRule="auto"/>
        <w:rPr>
          <w:rFonts w:ascii="Arial" w:hAnsi="Arial" w:cs="Arial"/>
          <w:sz w:val="24"/>
          <w:szCs w:val="24"/>
        </w:rPr>
      </w:pPr>
      <w:r w:rsidRPr="00EB4C10">
        <w:rPr>
          <w:rFonts w:ascii="Arial" w:hAnsi="Arial" w:cs="Arial"/>
          <w:b/>
          <w:bCs/>
          <w:sz w:val="24"/>
          <w:szCs w:val="24"/>
        </w:rPr>
        <w:t>Recommendation</w:t>
      </w:r>
      <w:r w:rsidR="00321162" w:rsidRPr="00EB4C10">
        <w:rPr>
          <w:rFonts w:ascii="Arial" w:hAnsi="Arial" w:cs="Arial"/>
          <w:b/>
          <w:bCs/>
          <w:sz w:val="24"/>
          <w:szCs w:val="24"/>
        </w:rPr>
        <w:t xml:space="preserve"> 4.</w:t>
      </w:r>
      <w:r w:rsidR="00DF21A0">
        <w:rPr>
          <w:rFonts w:ascii="Arial" w:hAnsi="Arial" w:cs="Arial"/>
          <w:b/>
          <w:bCs/>
          <w:sz w:val="24"/>
          <w:szCs w:val="24"/>
        </w:rPr>
        <w:t>8</w:t>
      </w:r>
      <w:r w:rsidR="00321162" w:rsidRPr="00EB4C10">
        <w:rPr>
          <w:rFonts w:ascii="Arial" w:hAnsi="Arial" w:cs="Arial"/>
          <w:b/>
          <w:bCs/>
          <w:sz w:val="24"/>
          <w:szCs w:val="24"/>
        </w:rPr>
        <w:t xml:space="preserve">: </w:t>
      </w:r>
      <w:r w:rsidR="00A20373" w:rsidRPr="00EB4C10">
        <w:rPr>
          <w:rFonts w:ascii="Arial" w:hAnsi="Arial" w:cs="Arial"/>
          <w:sz w:val="24"/>
          <w:szCs w:val="24"/>
        </w:rPr>
        <w:t xml:space="preserve">The Commission </w:t>
      </w:r>
      <w:r w:rsidR="008C219B">
        <w:rPr>
          <w:rFonts w:ascii="Arial" w:hAnsi="Arial" w:cs="Arial"/>
          <w:sz w:val="24"/>
          <w:szCs w:val="24"/>
        </w:rPr>
        <w:t>to</w:t>
      </w:r>
      <w:r w:rsidR="00A20373" w:rsidRPr="00EB4C10">
        <w:rPr>
          <w:rFonts w:ascii="Arial" w:hAnsi="Arial" w:cs="Arial"/>
          <w:sz w:val="24"/>
          <w:szCs w:val="24"/>
        </w:rPr>
        <w:t xml:space="preserve"> develop a detailed, </w:t>
      </w:r>
      <w:proofErr w:type="gramStart"/>
      <w:r w:rsidR="00A20373" w:rsidRPr="00EB4C10">
        <w:rPr>
          <w:rFonts w:ascii="Arial" w:hAnsi="Arial" w:cs="Arial"/>
          <w:sz w:val="24"/>
          <w:szCs w:val="24"/>
        </w:rPr>
        <w:t>holistic</w:t>
      </w:r>
      <w:proofErr w:type="gramEnd"/>
      <w:r w:rsidR="00A20373" w:rsidRPr="00EB4C10">
        <w:rPr>
          <w:rFonts w:ascii="Arial" w:hAnsi="Arial" w:cs="Arial"/>
          <w:sz w:val="24"/>
          <w:szCs w:val="24"/>
        </w:rPr>
        <w:t xml:space="preserve"> and thorough Strategic Workforce Plan that identifies skills gaps and focusses on all aspects of the employee lifecycle, is a key priority of ELG, and is the principal focus of a new People and Culture </w:t>
      </w:r>
      <w:r w:rsidR="008C219B">
        <w:rPr>
          <w:rFonts w:ascii="Arial" w:hAnsi="Arial" w:cs="Arial"/>
          <w:sz w:val="24"/>
          <w:szCs w:val="24"/>
        </w:rPr>
        <w:t xml:space="preserve">Governance </w:t>
      </w:r>
      <w:r w:rsidR="00A20373" w:rsidRPr="00EB4C10">
        <w:rPr>
          <w:rFonts w:ascii="Arial" w:hAnsi="Arial" w:cs="Arial"/>
          <w:sz w:val="24"/>
          <w:szCs w:val="24"/>
        </w:rPr>
        <w:t>Committee. The Plan should:</w:t>
      </w:r>
    </w:p>
    <w:p w14:paraId="51BEC798" w14:textId="61E066FB" w:rsidR="00A20373" w:rsidRPr="00EB4C10" w:rsidRDefault="001C0208" w:rsidP="001750D5">
      <w:pPr>
        <w:pStyle w:val="ListParagraph"/>
        <w:numPr>
          <w:ilvl w:val="0"/>
          <w:numId w:val="97"/>
        </w:numPr>
        <w:spacing w:before="120" w:after="120" w:line="240" w:lineRule="auto"/>
        <w:rPr>
          <w:rFonts w:ascii="Arial" w:hAnsi="Arial" w:cs="Arial"/>
          <w:sz w:val="24"/>
          <w:szCs w:val="24"/>
        </w:rPr>
      </w:pPr>
      <w:r w:rsidRPr="00EB4C10">
        <w:rPr>
          <w:rFonts w:ascii="Arial" w:hAnsi="Arial" w:cs="Arial"/>
          <w:sz w:val="24"/>
          <w:szCs w:val="24"/>
        </w:rPr>
        <w:t>encompass the aspects of the areas outlined above, including skills audits, cultural competency, recruitment</w:t>
      </w:r>
      <w:r w:rsidR="00577BBD">
        <w:rPr>
          <w:rFonts w:ascii="Arial" w:hAnsi="Arial" w:cs="Arial"/>
          <w:sz w:val="24"/>
          <w:szCs w:val="24"/>
        </w:rPr>
        <w:t xml:space="preserve"> and capacity</w:t>
      </w:r>
      <w:r w:rsidRPr="00EB4C10">
        <w:rPr>
          <w:rFonts w:ascii="Arial" w:hAnsi="Arial" w:cs="Arial"/>
          <w:sz w:val="24"/>
          <w:szCs w:val="24"/>
        </w:rPr>
        <w:t>, staff development and wellbeing, retention, and career progression</w:t>
      </w:r>
      <w:r w:rsidR="004E66A1">
        <w:rPr>
          <w:rFonts w:ascii="Arial" w:hAnsi="Arial" w:cs="Arial"/>
          <w:sz w:val="24"/>
          <w:szCs w:val="24"/>
        </w:rPr>
        <w:t xml:space="preserve"> and</w:t>
      </w:r>
    </w:p>
    <w:p w14:paraId="71DB0F90" w14:textId="7C9F9ADE" w:rsidR="001C0208" w:rsidRPr="004E66A1" w:rsidRDefault="00A20373" w:rsidP="001750D5">
      <w:pPr>
        <w:pStyle w:val="ListParagraph"/>
        <w:numPr>
          <w:ilvl w:val="0"/>
          <w:numId w:val="97"/>
        </w:numPr>
        <w:spacing w:before="120" w:after="120" w:line="240" w:lineRule="auto"/>
        <w:rPr>
          <w:rFonts w:ascii="Arial" w:hAnsi="Arial" w:cs="Arial"/>
          <w:sz w:val="24"/>
          <w:szCs w:val="24"/>
        </w:rPr>
      </w:pPr>
      <w:r w:rsidRPr="00EB4C10">
        <w:rPr>
          <w:rFonts w:ascii="Arial" w:hAnsi="Arial" w:cs="Arial"/>
          <w:sz w:val="24"/>
          <w:szCs w:val="24"/>
        </w:rPr>
        <w:t>be</w:t>
      </w:r>
      <w:r w:rsidR="001C0208" w:rsidRPr="00EB4C10">
        <w:rPr>
          <w:rFonts w:ascii="Arial" w:hAnsi="Arial" w:cs="Arial"/>
          <w:sz w:val="24"/>
          <w:szCs w:val="24"/>
        </w:rPr>
        <w:t xml:space="preserve"> supported by the Commission recruiting SES Band 1s with leadership and specific technical skills to new positions as </w:t>
      </w:r>
      <w:r w:rsidRPr="00EB4C10">
        <w:rPr>
          <w:rFonts w:ascii="Arial" w:hAnsi="Arial" w:cs="Arial"/>
          <w:sz w:val="24"/>
          <w:szCs w:val="24"/>
        </w:rPr>
        <w:t>Executive Director</w:t>
      </w:r>
      <w:r w:rsidR="001C0208" w:rsidRPr="00EB4C10">
        <w:rPr>
          <w:rFonts w:ascii="Arial" w:hAnsi="Arial" w:cs="Arial"/>
          <w:sz w:val="24"/>
          <w:szCs w:val="24"/>
        </w:rPr>
        <w:t xml:space="preserve"> People, ICT, Data and Intelligence, Finance</w:t>
      </w:r>
      <w:r w:rsidR="007F742C">
        <w:rPr>
          <w:rFonts w:ascii="Arial" w:hAnsi="Arial" w:cs="Arial"/>
          <w:sz w:val="24"/>
          <w:szCs w:val="24"/>
        </w:rPr>
        <w:t xml:space="preserve"> and Coordination and Intelligence</w:t>
      </w:r>
      <w:r w:rsidR="001C0208" w:rsidRPr="004E66A1">
        <w:rPr>
          <w:rFonts w:ascii="Arial" w:hAnsi="Arial" w:cs="Arial"/>
          <w:sz w:val="24"/>
          <w:szCs w:val="24"/>
        </w:rPr>
        <w:t>.</w:t>
      </w:r>
    </w:p>
    <w:p w14:paraId="19208221" w14:textId="57198427" w:rsidR="00577BBD" w:rsidRDefault="00A20373" w:rsidP="001364C7">
      <w:pPr>
        <w:spacing w:before="120" w:after="360" w:line="240" w:lineRule="auto"/>
        <w:rPr>
          <w:rFonts w:ascii="Arial" w:hAnsi="Arial" w:cs="Arial"/>
          <w:sz w:val="24"/>
          <w:szCs w:val="24"/>
        </w:rPr>
      </w:pPr>
      <w:r w:rsidRPr="00EB4C10">
        <w:rPr>
          <w:rFonts w:ascii="Arial" w:hAnsi="Arial" w:cs="Arial"/>
          <w:sz w:val="24"/>
          <w:szCs w:val="24"/>
        </w:rPr>
        <w:t>The Plan should be implemented by no later than 30 September 2023.</w:t>
      </w:r>
    </w:p>
    <w:p w14:paraId="11AC042E" w14:textId="069EC406" w:rsidR="00577BBD" w:rsidRPr="00A00298" w:rsidRDefault="00577BBD" w:rsidP="00A00298">
      <w:pPr>
        <w:rPr>
          <w:rFonts w:ascii="Arial" w:hAnsi="Arial" w:cs="Arial"/>
          <w:b/>
          <w:bCs/>
          <w:sz w:val="28"/>
          <w:szCs w:val="28"/>
        </w:rPr>
      </w:pPr>
      <w:r w:rsidRPr="00A00298">
        <w:rPr>
          <w:rFonts w:ascii="Arial" w:hAnsi="Arial" w:cs="Arial"/>
          <w:b/>
          <w:bCs/>
          <w:sz w:val="28"/>
          <w:szCs w:val="28"/>
        </w:rPr>
        <w:t>4.6 Robust and user focused ICT and data systems</w:t>
      </w:r>
    </w:p>
    <w:p w14:paraId="0F2907FE" w14:textId="3AC822FE" w:rsidR="00577BBD" w:rsidRPr="00577BBD" w:rsidRDefault="00577BBD" w:rsidP="00577BBD">
      <w:pPr>
        <w:spacing w:before="120" w:after="120" w:line="240" w:lineRule="auto"/>
        <w:rPr>
          <w:rFonts w:ascii="Arial" w:hAnsi="Arial" w:cs="Arial"/>
          <w:sz w:val="24"/>
        </w:rPr>
      </w:pPr>
      <w:proofErr w:type="gramStart"/>
      <w:r>
        <w:rPr>
          <w:rFonts w:ascii="Arial" w:hAnsi="Arial" w:cs="Arial"/>
          <w:sz w:val="24"/>
        </w:rPr>
        <w:t>In order to</w:t>
      </w:r>
      <w:proofErr w:type="gramEnd"/>
      <w:r>
        <w:rPr>
          <w:rFonts w:ascii="Arial" w:hAnsi="Arial" w:cs="Arial"/>
          <w:sz w:val="24"/>
        </w:rPr>
        <w:t xml:space="preserve"> become a high performing regulator, the Commission’s digital and ICT systems must be connected to systems and data in the Department and broader Aged Care eco-system, be user focused and user friendly, </w:t>
      </w:r>
      <w:r w:rsidR="00256C17">
        <w:rPr>
          <w:rFonts w:ascii="Arial" w:hAnsi="Arial" w:cs="Arial"/>
          <w:sz w:val="24"/>
        </w:rPr>
        <w:t xml:space="preserve">support </w:t>
      </w:r>
      <w:r>
        <w:rPr>
          <w:rFonts w:ascii="Arial" w:hAnsi="Arial" w:cs="Arial"/>
          <w:sz w:val="24"/>
        </w:rPr>
        <w:t>improve</w:t>
      </w:r>
      <w:r w:rsidR="00256C17">
        <w:rPr>
          <w:rFonts w:ascii="Arial" w:hAnsi="Arial" w:cs="Arial"/>
          <w:sz w:val="24"/>
        </w:rPr>
        <w:t>d</w:t>
      </w:r>
      <w:r>
        <w:rPr>
          <w:rFonts w:ascii="Arial" w:hAnsi="Arial" w:cs="Arial"/>
          <w:sz w:val="24"/>
        </w:rPr>
        <w:t xml:space="preserve"> decision making and embed quality into delivery of outcomes and increase organisational agility.</w:t>
      </w:r>
      <w:r w:rsidR="005E17ED">
        <w:rPr>
          <w:rFonts w:ascii="Arial" w:hAnsi="Arial" w:cs="Arial"/>
          <w:sz w:val="24"/>
        </w:rPr>
        <w:t xml:space="preserve"> (See also </w:t>
      </w:r>
      <w:r w:rsidR="005E17ED" w:rsidRPr="005E17ED">
        <w:rPr>
          <w:rFonts w:ascii="Arial" w:hAnsi="Arial" w:cs="Arial"/>
          <w:i/>
          <w:iCs/>
          <w:sz w:val="24"/>
        </w:rPr>
        <w:t>Risk based and data driven</w:t>
      </w:r>
      <w:r w:rsidR="005E17ED">
        <w:rPr>
          <w:rFonts w:ascii="Arial" w:hAnsi="Arial" w:cs="Arial"/>
          <w:sz w:val="24"/>
        </w:rPr>
        <w:t>, Section 4.10.)</w:t>
      </w:r>
    </w:p>
    <w:p w14:paraId="3424665A" w14:textId="77777777" w:rsidR="00577BBD" w:rsidRDefault="00577BBD" w:rsidP="00577BBD">
      <w:pPr>
        <w:spacing w:before="120" w:after="120" w:line="240" w:lineRule="auto"/>
        <w:rPr>
          <w:rFonts w:ascii="Arial" w:hAnsi="Arial" w:cs="Arial"/>
          <w:i/>
          <w:iCs/>
          <w:sz w:val="24"/>
        </w:rPr>
      </w:pPr>
      <w:r>
        <w:rPr>
          <w:rFonts w:ascii="Arial" w:hAnsi="Arial" w:cs="Arial"/>
          <w:i/>
          <w:iCs/>
          <w:sz w:val="24"/>
        </w:rPr>
        <w:t>What the Commission does now</w:t>
      </w:r>
    </w:p>
    <w:p w14:paraId="737764AE" w14:textId="77777777" w:rsidR="00577BBD" w:rsidRDefault="00577BBD" w:rsidP="00577BBD">
      <w:pPr>
        <w:spacing w:before="120" w:line="240" w:lineRule="auto"/>
        <w:rPr>
          <w:rFonts w:ascii="Arial" w:hAnsi="Arial" w:cs="Arial"/>
          <w:sz w:val="24"/>
        </w:rPr>
      </w:pPr>
      <w:r>
        <w:rPr>
          <w:rFonts w:ascii="Arial" w:hAnsi="Arial" w:cs="Arial"/>
          <w:sz w:val="24"/>
        </w:rPr>
        <w:t xml:space="preserve">Prior to the establishment of the Commission, </w:t>
      </w:r>
      <w:proofErr w:type="gramStart"/>
      <w:r>
        <w:rPr>
          <w:rFonts w:ascii="Arial" w:hAnsi="Arial" w:cs="Arial"/>
          <w:sz w:val="24"/>
        </w:rPr>
        <w:t>a number of</w:t>
      </w:r>
      <w:proofErr w:type="gramEnd"/>
      <w:r>
        <w:rPr>
          <w:rFonts w:ascii="Arial" w:hAnsi="Arial" w:cs="Arial"/>
          <w:sz w:val="24"/>
        </w:rPr>
        <w:t xml:space="preserve"> key business applications and technology services were provided by the Department. Consultation highlighted the challenges the Commission faced at that time in getting the appropriate priority within the Department for change and a lack of agility in responding to stakeholders and staff. Establishing dedicated ICT functions allowed the Commission to have greater control and autonomy over direction, </w:t>
      </w:r>
      <w:proofErr w:type="gramStart"/>
      <w:r>
        <w:rPr>
          <w:rFonts w:ascii="Arial" w:hAnsi="Arial" w:cs="Arial"/>
          <w:sz w:val="24"/>
        </w:rPr>
        <w:t>delivery</w:t>
      </w:r>
      <w:proofErr w:type="gramEnd"/>
      <w:r>
        <w:rPr>
          <w:rFonts w:ascii="Arial" w:hAnsi="Arial" w:cs="Arial"/>
          <w:sz w:val="24"/>
        </w:rPr>
        <w:t xml:space="preserve"> and operations. However, this decision placed capability and capacity pressure on the Commission as services were introduced and subsequently matured.</w:t>
      </w:r>
    </w:p>
    <w:p w14:paraId="465E6D2F" w14:textId="01B1E642" w:rsidR="00577BBD" w:rsidRDefault="00577BBD" w:rsidP="00577BBD">
      <w:pPr>
        <w:spacing w:line="240" w:lineRule="auto"/>
        <w:rPr>
          <w:rFonts w:ascii="Arial" w:hAnsi="Arial" w:cs="Arial"/>
          <w:sz w:val="24"/>
        </w:rPr>
      </w:pPr>
      <w:r>
        <w:rPr>
          <w:rFonts w:ascii="Arial" w:hAnsi="Arial" w:cs="Arial"/>
          <w:sz w:val="24"/>
        </w:rPr>
        <w:t xml:space="preserve">Since </w:t>
      </w:r>
      <w:r w:rsidR="00433697">
        <w:rPr>
          <w:rFonts w:ascii="Arial" w:hAnsi="Arial" w:cs="Arial"/>
          <w:sz w:val="24"/>
        </w:rPr>
        <w:t xml:space="preserve">its </w:t>
      </w:r>
      <w:r>
        <w:rPr>
          <w:rFonts w:ascii="Arial" w:hAnsi="Arial" w:cs="Arial"/>
          <w:sz w:val="24"/>
        </w:rPr>
        <w:t xml:space="preserve">inception, the Commission has considerably uplifted the maturity of ICT strategy, </w:t>
      </w:r>
      <w:proofErr w:type="gramStart"/>
      <w:r>
        <w:rPr>
          <w:rFonts w:ascii="Arial" w:hAnsi="Arial" w:cs="Arial"/>
          <w:sz w:val="24"/>
        </w:rPr>
        <w:t>delivery</w:t>
      </w:r>
      <w:proofErr w:type="gramEnd"/>
      <w:r>
        <w:rPr>
          <w:rFonts w:ascii="Arial" w:hAnsi="Arial" w:cs="Arial"/>
          <w:sz w:val="24"/>
        </w:rPr>
        <w:t xml:space="preserve"> and operations</w:t>
      </w:r>
      <w:r w:rsidR="00433697">
        <w:rPr>
          <w:rFonts w:ascii="Arial" w:hAnsi="Arial" w:cs="Arial"/>
          <w:sz w:val="24"/>
        </w:rPr>
        <w:t xml:space="preserve">. </w:t>
      </w:r>
      <w:proofErr w:type="gramStart"/>
      <w:r w:rsidR="00433697">
        <w:rPr>
          <w:rFonts w:ascii="Arial" w:hAnsi="Arial" w:cs="Arial"/>
          <w:sz w:val="24"/>
        </w:rPr>
        <w:t>H</w:t>
      </w:r>
      <w:r>
        <w:rPr>
          <w:rFonts w:ascii="Arial" w:hAnsi="Arial" w:cs="Arial"/>
          <w:sz w:val="24"/>
        </w:rPr>
        <w:t>owever</w:t>
      </w:r>
      <w:proofErr w:type="gramEnd"/>
      <w:r>
        <w:rPr>
          <w:rFonts w:ascii="Arial" w:hAnsi="Arial" w:cs="Arial"/>
          <w:sz w:val="24"/>
        </w:rPr>
        <w:t xml:space="preserve"> ICT</w:t>
      </w:r>
      <w:r w:rsidR="00433697">
        <w:rPr>
          <w:rFonts w:ascii="Arial" w:hAnsi="Arial" w:cs="Arial"/>
          <w:sz w:val="24"/>
        </w:rPr>
        <w:t>,</w:t>
      </w:r>
      <w:r>
        <w:rPr>
          <w:rFonts w:ascii="Arial" w:hAnsi="Arial" w:cs="Arial"/>
          <w:sz w:val="24"/>
        </w:rPr>
        <w:t xml:space="preserve"> is still seen as a significant organisational barrier and more needs to be done. Throughout consultation, staff highlighted frustration with the lack of enabling ICT capabilities and the considerable delays in delivering foundational ICT capability uplift.</w:t>
      </w:r>
    </w:p>
    <w:p w14:paraId="2F8F7539" w14:textId="26F68DED" w:rsidR="00577BBD" w:rsidRDefault="00577BBD" w:rsidP="00577BBD">
      <w:pPr>
        <w:spacing w:before="120" w:after="120" w:line="240" w:lineRule="auto"/>
        <w:rPr>
          <w:rFonts w:ascii="Arial" w:hAnsi="Arial" w:cs="Arial"/>
          <w:sz w:val="24"/>
        </w:rPr>
      </w:pPr>
      <w:r>
        <w:rPr>
          <w:rFonts w:ascii="Arial" w:hAnsi="Arial" w:cs="Arial"/>
          <w:sz w:val="24"/>
        </w:rPr>
        <w:lastRenderedPageBreak/>
        <w:t xml:space="preserve">The current ICT delivery model is not scalable with </w:t>
      </w:r>
      <w:proofErr w:type="gramStart"/>
      <w:r>
        <w:rPr>
          <w:rFonts w:ascii="Arial" w:hAnsi="Arial" w:cs="Arial"/>
          <w:sz w:val="24"/>
        </w:rPr>
        <w:t>the majority of</w:t>
      </w:r>
      <w:proofErr w:type="gramEnd"/>
      <w:r>
        <w:rPr>
          <w:rFonts w:ascii="Arial" w:hAnsi="Arial" w:cs="Arial"/>
          <w:sz w:val="24"/>
        </w:rPr>
        <w:t xml:space="preserve"> engagement and management responsibility falling on a small number of resources already at capacity. Numerous complex interdependencies exist between the data and digital work programs across the Department and Commission which will further increase </w:t>
      </w:r>
      <w:proofErr w:type="gramStart"/>
      <w:r>
        <w:rPr>
          <w:rFonts w:ascii="Arial" w:hAnsi="Arial" w:cs="Arial"/>
          <w:sz w:val="24"/>
        </w:rPr>
        <w:t>as a result of</w:t>
      </w:r>
      <w:proofErr w:type="gramEnd"/>
      <w:r>
        <w:rPr>
          <w:rFonts w:ascii="Arial" w:hAnsi="Arial" w:cs="Arial"/>
          <w:sz w:val="24"/>
        </w:rPr>
        <w:t xml:space="preserve"> the Aged Care Reform program.</w:t>
      </w:r>
    </w:p>
    <w:p w14:paraId="2D90DAAF" w14:textId="77777777" w:rsidR="00577BBD" w:rsidRDefault="00577BBD" w:rsidP="00577BBD">
      <w:pPr>
        <w:rPr>
          <w:rFonts w:ascii="Arial" w:hAnsi="Arial" w:cs="Arial"/>
          <w:i/>
          <w:iCs/>
          <w:sz w:val="24"/>
        </w:rPr>
      </w:pPr>
      <w:r>
        <w:rPr>
          <w:rFonts w:ascii="Arial" w:hAnsi="Arial" w:cs="Arial"/>
          <w:i/>
          <w:iCs/>
          <w:sz w:val="24"/>
        </w:rPr>
        <w:t>What the Commission needs to do</w:t>
      </w:r>
    </w:p>
    <w:p w14:paraId="29223049" w14:textId="77777777" w:rsidR="00577BBD" w:rsidRDefault="00577BBD" w:rsidP="00577BBD">
      <w:pPr>
        <w:spacing w:before="240" w:after="120" w:line="240" w:lineRule="auto"/>
        <w:rPr>
          <w:rFonts w:ascii="Arial" w:hAnsi="Arial" w:cs="Arial"/>
          <w:sz w:val="24"/>
        </w:rPr>
      </w:pPr>
      <w:r>
        <w:rPr>
          <w:rFonts w:ascii="Arial" w:hAnsi="Arial" w:cs="Arial"/>
          <w:sz w:val="24"/>
        </w:rPr>
        <w:t xml:space="preserve">Significant ICT capability and capacity uplift is required across the full breadth of Digital, Data and ICT functions from strategy and planning, analysis and design, delivery and operations and cyber security. Consideration should be given to alignment with the Department’s ICT functions to strengthen working relationships, reduce friction, increase productivity, and drive the uplift of digital and data solutions. </w:t>
      </w:r>
    </w:p>
    <w:p w14:paraId="1FA329A7" w14:textId="77777777" w:rsidR="00577BBD" w:rsidRDefault="00577BBD" w:rsidP="00577BBD">
      <w:pPr>
        <w:spacing w:before="240" w:after="120" w:line="240" w:lineRule="auto"/>
        <w:rPr>
          <w:rFonts w:ascii="Arial" w:hAnsi="Arial" w:cs="Arial"/>
          <w:sz w:val="24"/>
        </w:rPr>
      </w:pPr>
      <w:r>
        <w:rPr>
          <w:rFonts w:ascii="Arial" w:hAnsi="Arial" w:cs="Arial"/>
          <w:sz w:val="24"/>
        </w:rPr>
        <w:t xml:space="preserve">There is a need for the Commission and Department to develop much closer working relationships to better achieve their digital and data goals, including through consultation on a strategic data, analytics and risk strategy, data and digital strategy and design, data sharing and ICT program governance. </w:t>
      </w:r>
    </w:p>
    <w:p w14:paraId="5181A9EF" w14:textId="77777777" w:rsidR="00577BBD" w:rsidRDefault="00577BBD" w:rsidP="00577BBD">
      <w:pPr>
        <w:spacing w:before="240" w:after="120" w:line="240" w:lineRule="auto"/>
        <w:rPr>
          <w:rFonts w:ascii="Arial" w:hAnsi="Arial" w:cs="Arial"/>
          <w:sz w:val="24"/>
        </w:rPr>
      </w:pPr>
      <w:r>
        <w:rPr>
          <w:rFonts w:ascii="Arial" w:hAnsi="Arial" w:cs="Arial"/>
          <w:sz w:val="24"/>
        </w:rPr>
        <w:t>Further transparency and improved working relationships are also required throughout the development of new policy proposals to ensure all ICT impacts on the Commission are identified and costed and that all ICT impacts and year on year sustainment costs are considered.</w:t>
      </w:r>
    </w:p>
    <w:p w14:paraId="76610D7D" w14:textId="23C7941F" w:rsidR="00577BBD" w:rsidRDefault="00577BBD" w:rsidP="00577BBD">
      <w:pPr>
        <w:spacing w:before="240" w:after="120" w:line="240" w:lineRule="auto"/>
        <w:rPr>
          <w:rFonts w:ascii="Arial" w:hAnsi="Arial" w:cs="Arial"/>
          <w:sz w:val="24"/>
        </w:rPr>
      </w:pPr>
      <w:r>
        <w:rPr>
          <w:rFonts w:ascii="Arial" w:hAnsi="Arial" w:cs="Arial"/>
          <w:b/>
          <w:bCs/>
          <w:sz w:val="24"/>
          <w:szCs w:val="24"/>
        </w:rPr>
        <w:t>Recommendation 4.</w:t>
      </w:r>
      <w:r w:rsidR="00DF21A0">
        <w:rPr>
          <w:rFonts w:ascii="Arial" w:hAnsi="Arial" w:cs="Arial"/>
          <w:b/>
          <w:bCs/>
          <w:sz w:val="24"/>
          <w:szCs w:val="24"/>
        </w:rPr>
        <w:t>9</w:t>
      </w:r>
      <w:r>
        <w:rPr>
          <w:rStyle w:val="normaltextrun"/>
          <w:rFonts w:ascii="Arial" w:hAnsi="Arial" w:cs="Arial"/>
          <w:color w:val="000000"/>
          <w:sz w:val="24"/>
          <w:shd w:val="clear" w:color="auto" w:fill="FFFFFF"/>
        </w:rPr>
        <w:t xml:space="preserve">: </w:t>
      </w:r>
      <w:r w:rsidR="0099789E">
        <w:rPr>
          <w:rStyle w:val="normaltextrun"/>
          <w:rFonts w:ascii="Arial" w:hAnsi="Arial" w:cs="Arial"/>
          <w:color w:val="000000"/>
          <w:sz w:val="24"/>
          <w:shd w:val="clear" w:color="auto" w:fill="FFFFFF"/>
        </w:rPr>
        <w:t>The Commission to e</w:t>
      </w:r>
      <w:r w:rsidR="00DB3599">
        <w:rPr>
          <w:rStyle w:val="normaltextrun"/>
          <w:rFonts w:ascii="Arial" w:hAnsi="Arial" w:cs="Arial"/>
          <w:color w:val="000000"/>
          <w:sz w:val="24"/>
          <w:shd w:val="clear" w:color="auto" w:fill="FFFFFF"/>
        </w:rPr>
        <w:t>stablish a</w:t>
      </w:r>
      <w:r>
        <w:rPr>
          <w:rFonts w:ascii="Arial" w:hAnsi="Arial" w:cs="Arial"/>
          <w:sz w:val="24"/>
        </w:rPr>
        <w:t xml:space="preserve">ppropriately resourced ICT governance and delivery processes to provide greater strategy, design and implementation oversight over the Aged Care Reform program and internal Commission ICT work program. </w:t>
      </w:r>
    </w:p>
    <w:p w14:paraId="044F622F" w14:textId="77777777" w:rsidR="00577BBD" w:rsidRDefault="00577BBD" w:rsidP="00577BBD">
      <w:pPr>
        <w:spacing w:before="240" w:after="120" w:line="240" w:lineRule="auto"/>
        <w:rPr>
          <w:rFonts w:ascii="Arial" w:hAnsi="Arial" w:cs="Arial"/>
          <w:sz w:val="24"/>
        </w:rPr>
      </w:pPr>
      <w:r>
        <w:rPr>
          <w:rFonts w:ascii="Arial" w:hAnsi="Arial" w:cs="Arial"/>
          <w:sz w:val="24"/>
        </w:rPr>
        <w:t>Work should commence immediately and be completed by September 2023.</w:t>
      </w:r>
    </w:p>
    <w:p w14:paraId="74765C98" w14:textId="43642D93" w:rsidR="00577BBD" w:rsidRDefault="00577BBD" w:rsidP="00577BBD">
      <w:pPr>
        <w:spacing w:before="240" w:after="120" w:line="240" w:lineRule="auto"/>
        <w:rPr>
          <w:rFonts w:ascii="Arial" w:hAnsi="Arial" w:cs="Arial"/>
          <w:i/>
          <w:iCs/>
          <w:sz w:val="24"/>
        </w:rPr>
      </w:pPr>
      <w:r>
        <w:rPr>
          <w:rFonts w:ascii="Arial" w:hAnsi="Arial" w:cs="Arial"/>
          <w:b/>
          <w:bCs/>
          <w:sz w:val="24"/>
        </w:rPr>
        <w:t>4.</w:t>
      </w:r>
      <w:r w:rsidR="00256C17">
        <w:rPr>
          <w:rFonts w:ascii="Arial" w:hAnsi="Arial" w:cs="Arial"/>
          <w:b/>
          <w:bCs/>
          <w:sz w:val="24"/>
        </w:rPr>
        <w:t>6</w:t>
      </w:r>
      <w:r>
        <w:rPr>
          <w:rFonts w:ascii="Arial" w:hAnsi="Arial" w:cs="Arial"/>
          <w:b/>
          <w:bCs/>
          <w:sz w:val="24"/>
        </w:rPr>
        <w:t>.1 Cyber Security</w:t>
      </w:r>
      <w:r>
        <w:rPr>
          <w:rFonts w:ascii="Arial" w:hAnsi="Arial" w:cs="Arial"/>
          <w:i/>
          <w:iCs/>
          <w:sz w:val="24"/>
        </w:rPr>
        <w:t xml:space="preserve"> </w:t>
      </w:r>
    </w:p>
    <w:p w14:paraId="7BCB23E8" w14:textId="77777777" w:rsidR="00577BBD" w:rsidRDefault="00577BBD" w:rsidP="00577BBD">
      <w:pPr>
        <w:spacing w:before="120" w:after="120" w:line="240" w:lineRule="auto"/>
        <w:rPr>
          <w:rFonts w:ascii="Arial" w:hAnsi="Arial" w:cs="Arial"/>
          <w:sz w:val="24"/>
        </w:rPr>
      </w:pPr>
      <w:r>
        <w:rPr>
          <w:rFonts w:ascii="Arial" w:hAnsi="Arial" w:cs="Arial"/>
          <w:sz w:val="24"/>
        </w:rPr>
        <w:t xml:space="preserve">The Protective Security Policy Framework (PSPF) defines the essential cyber security controls required by agencies to appropriately mitigate cyber security risks. Resourcing constraints are inhibiting the ability of the Commission to achieve and maintain the required level of cyber security compliance under the PSPF. </w:t>
      </w:r>
    </w:p>
    <w:p w14:paraId="3B2D82AD" w14:textId="77777777" w:rsidR="00577BBD" w:rsidRDefault="00577BBD" w:rsidP="00577BBD">
      <w:pPr>
        <w:rPr>
          <w:rFonts w:ascii="Arial" w:hAnsi="Arial" w:cs="Arial"/>
          <w:i/>
          <w:iCs/>
          <w:sz w:val="24"/>
        </w:rPr>
      </w:pPr>
      <w:r>
        <w:rPr>
          <w:rFonts w:ascii="Arial" w:hAnsi="Arial" w:cs="Arial"/>
          <w:i/>
          <w:iCs/>
          <w:sz w:val="24"/>
        </w:rPr>
        <w:t>What the Commission does now</w:t>
      </w:r>
    </w:p>
    <w:p w14:paraId="5BFB0961" w14:textId="77777777" w:rsidR="00577BBD" w:rsidRDefault="00577BBD" w:rsidP="00577BBD">
      <w:pPr>
        <w:spacing w:before="120" w:after="120" w:line="240" w:lineRule="auto"/>
        <w:rPr>
          <w:rFonts w:ascii="Arial" w:hAnsi="Arial" w:cs="Arial"/>
          <w:sz w:val="24"/>
        </w:rPr>
      </w:pPr>
      <w:r>
        <w:rPr>
          <w:rFonts w:ascii="Arial" w:hAnsi="Arial" w:cs="Arial"/>
          <w:sz w:val="24"/>
        </w:rPr>
        <w:t xml:space="preserve">A review of the Commission’s Information Security Manual Essential 8 (E8) compliance was undertaken in late 2022. This review highlighted </w:t>
      </w:r>
      <w:proofErr w:type="gramStart"/>
      <w:r>
        <w:rPr>
          <w:rFonts w:ascii="Arial" w:hAnsi="Arial" w:cs="Arial"/>
          <w:sz w:val="24"/>
        </w:rPr>
        <w:t>a number of</w:t>
      </w:r>
      <w:proofErr w:type="gramEnd"/>
      <w:r>
        <w:rPr>
          <w:rFonts w:ascii="Arial" w:hAnsi="Arial" w:cs="Arial"/>
          <w:sz w:val="24"/>
        </w:rPr>
        <w:t xml:space="preserve"> high to extreme risks and determined that a significant uplift activity was required to implement the controls required to meet the risk appetite determined by the Commission. </w:t>
      </w:r>
    </w:p>
    <w:p w14:paraId="48A3A29B" w14:textId="75AC5B7E" w:rsidR="00577BBD" w:rsidRDefault="00577BBD" w:rsidP="00577BBD">
      <w:pPr>
        <w:spacing w:before="120" w:after="120" w:line="240" w:lineRule="auto"/>
        <w:rPr>
          <w:rFonts w:ascii="Arial" w:hAnsi="Arial" w:cs="Arial"/>
          <w:sz w:val="24"/>
        </w:rPr>
      </w:pPr>
      <w:r>
        <w:rPr>
          <w:rFonts w:ascii="Arial" w:hAnsi="Arial" w:cs="Arial"/>
          <w:sz w:val="24"/>
        </w:rPr>
        <w:t>The Commission has a defined cyber security E8 uplift program underway to address the risks identified in the review, however, the priority placed on the uplift work program does not match the residual risk faced by the Commission. This work program requires a significant level of acceleration to adequately mitigate current cyber security risks.</w:t>
      </w:r>
    </w:p>
    <w:p w14:paraId="48A20261" w14:textId="77777777" w:rsidR="00577BBD" w:rsidRDefault="00577BBD" w:rsidP="005E17ED">
      <w:pPr>
        <w:keepNext/>
        <w:rPr>
          <w:rFonts w:ascii="Arial" w:hAnsi="Arial" w:cs="Arial"/>
          <w:i/>
          <w:iCs/>
          <w:sz w:val="24"/>
        </w:rPr>
      </w:pPr>
      <w:r>
        <w:rPr>
          <w:rFonts w:ascii="Arial" w:hAnsi="Arial" w:cs="Arial"/>
          <w:i/>
          <w:iCs/>
          <w:sz w:val="24"/>
        </w:rPr>
        <w:lastRenderedPageBreak/>
        <w:t>What the Commission needs to do</w:t>
      </w:r>
    </w:p>
    <w:p w14:paraId="0A421690" w14:textId="77777777" w:rsidR="00577BBD" w:rsidRDefault="00577BBD" w:rsidP="00577BBD">
      <w:pPr>
        <w:spacing w:before="120" w:after="120" w:line="240" w:lineRule="auto"/>
        <w:rPr>
          <w:rFonts w:ascii="Arial" w:hAnsi="Arial" w:cs="Arial"/>
          <w:sz w:val="24"/>
        </w:rPr>
      </w:pPr>
      <w:r>
        <w:rPr>
          <w:rFonts w:ascii="Arial" w:hAnsi="Arial" w:cs="Arial"/>
          <w:sz w:val="24"/>
        </w:rPr>
        <w:t xml:space="preserve">It is widely recognised that government agencies face considerable challenges achieving compliance with the Information Security Manual E8. However, more focus and attention </w:t>
      </w:r>
      <w:proofErr w:type="gramStart"/>
      <w:r>
        <w:rPr>
          <w:rFonts w:ascii="Arial" w:hAnsi="Arial" w:cs="Arial"/>
          <w:sz w:val="24"/>
        </w:rPr>
        <w:t>is</w:t>
      </w:r>
      <w:proofErr w:type="gramEnd"/>
      <w:r>
        <w:rPr>
          <w:rFonts w:ascii="Arial" w:hAnsi="Arial" w:cs="Arial"/>
          <w:sz w:val="24"/>
        </w:rPr>
        <w:t xml:space="preserve"> required by the Commission to drive the implementation of controls that mitigate unacceptably high risks.</w:t>
      </w:r>
    </w:p>
    <w:p w14:paraId="24684531" w14:textId="77777777" w:rsidR="00577BBD" w:rsidRDefault="00577BBD" w:rsidP="00577BBD">
      <w:pPr>
        <w:spacing w:before="120" w:after="120" w:line="240" w:lineRule="auto"/>
        <w:rPr>
          <w:rFonts w:ascii="Arial" w:hAnsi="Arial" w:cs="Arial"/>
          <w:sz w:val="24"/>
        </w:rPr>
      </w:pPr>
      <w:r>
        <w:rPr>
          <w:rFonts w:ascii="Arial" w:hAnsi="Arial" w:cs="Arial"/>
          <w:sz w:val="24"/>
        </w:rPr>
        <w:t>Further education and awareness for the Commission’s Senior Executive should also be prioritised to ensure they have an adequate understanding of the residual cyber risks and potential consequences for the Commission.</w:t>
      </w:r>
    </w:p>
    <w:p w14:paraId="4F332917" w14:textId="648AD622" w:rsidR="00577BBD" w:rsidRDefault="00577BBD" w:rsidP="00577BBD">
      <w:pPr>
        <w:spacing w:before="240" w:after="120" w:line="240" w:lineRule="auto"/>
        <w:rPr>
          <w:rFonts w:ascii="Arial" w:hAnsi="Arial" w:cs="Arial"/>
          <w:sz w:val="24"/>
        </w:rPr>
      </w:pPr>
      <w:r>
        <w:rPr>
          <w:rFonts w:ascii="Arial" w:hAnsi="Arial" w:cs="Arial"/>
          <w:b/>
          <w:bCs/>
          <w:sz w:val="24"/>
          <w:szCs w:val="24"/>
        </w:rPr>
        <w:t>Recommendation 4.</w:t>
      </w:r>
      <w:r w:rsidR="00593CF8">
        <w:rPr>
          <w:rFonts w:ascii="Arial" w:hAnsi="Arial" w:cs="Arial"/>
          <w:b/>
          <w:bCs/>
          <w:sz w:val="24"/>
          <w:szCs w:val="24"/>
        </w:rPr>
        <w:t>1</w:t>
      </w:r>
      <w:r w:rsidR="00DF21A0">
        <w:rPr>
          <w:rFonts w:ascii="Arial" w:hAnsi="Arial" w:cs="Arial"/>
          <w:b/>
          <w:bCs/>
          <w:sz w:val="24"/>
          <w:szCs w:val="24"/>
        </w:rPr>
        <w:t>0</w:t>
      </w:r>
      <w:r>
        <w:rPr>
          <w:rStyle w:val="normaltextrun"/>
          <w:rFonts w:ascii="Arial" w:hAnsi="Arial" w:cs="Arial"/>
          <w:color w:val="000000"/>
          <w:sz w:val="24"/>
          <w:shd w:val="clear" w:color="auto" w:fill="FFFFFF"/>
        </w:rPr>
        <w:t xml:space="preserve">: </w:t>
      </w:r>
      <w:r>
        <w:rPr>
          <w:rFonts w:ascii="Arial" w:hAnsi="Arial" w:cs="Arial"/>
          <w:sz w:val="24"/>
        </w:rPr>
        <w:t xml:space="preserve">The Commission </w:t>
      </w:r>
      <w:r w:rsidR="0099789E">
        <w:rPr>
          <w:rFonts w:ascii="Arial" w:hAnsi="Arial" w:cs="Arial"/>
          <w:sz w:val="24"/>
        </w:rPr>
        <w:t>to</w:t>
      </w:r>
      <w:r>
        <w:rPr>
          <w:rFonts w:ascii="Arial" w:hAnsi="Arial" w:cs="Arial"/>
          <w:sz w:val="24"/>
        </w:rPr>
        <w:t xml:space="preserve"> accelerate its Cyber Security Uplift Program to adequately address or mitigate current cyber security risks, including further education and awareness for staff.</w:t>
      </w:r>
    </w:p>
    <w:p w14:paraId="76F35EC5" w14:textId="59B8F137" w:rsidR="00577BBD" w:rsidRPr="001364C7" w:rsidRDefault="00577BBD" w:rsidP="001364C7">
      <w:pPr>
        <w:pStyle w:val="ListParagraph"/>
        <w:numPr>
          <w:ilvl w:val="0"/>
          <w:numId w:val="102"/>
        </w:numPr>
        <w:spacing w:before="240" w:after="240" w:line="240" w:lineRule="auto"/>
        <w:ind w:left="357" w:hanging="357"/>
        <w:rPr>
          <w:rFonts w:ascii="Arial" w:hAnsi="Arial" w:cs="Arial"/>
          <w:sz w:val="24"/>
        </w:rPr>
      </w:pPr>
      <w:r>
        <w:rPr>
          <w:rFonts w:ascii="Arial" w:hAnsi="Arial" w:cs="Arial"/>
          <w:sz w:val="24"/>
        </w:rPr>
        <w:t>Work should commence immediately and be completed by 30 September 2023.</w:t>
      </w:r>
    </w:p>
    <w:p w14:paraId="6479272A" w14:textId="7CF24FFC" w:rsidR="001C0208" w:rsidRPr="00A00298" w:rsidRDefault="00A2358A" w:rsidP="00A00298">
      <w:pPr>
        <w:rPr>
          <w:rFonts w:ascii="Arial" w:hAnsi="Arial" w:cs="Arial"/>
          <w:b/>
          <w:bCs/>
          <w:sz w:val="28"/>
          <w:szCs w:val="28"/>
        </w:rPr>
      </w:pPr>
      <w:r w:rsidRPr="00A00298">
        <w:rPr>
          <w:rFonts w:ascii="Arial" w:hAnsi="Arial" w:cs="Arial"/>
          <w:b/>
          <w:bCs/>
          <w:sz w:val="28"/>
          <w:szCs w:val="28"/>
        </w:rPr>
        <w:t>4</w:t>
      </w:r>
      <w:r w:rsidR="001C0208" w:rsidRPr="00A00298">
        <w:rPr>
          <w:rFonts w:ascii="Arial" w:hAnsi="Arial" w:cs="Arial"/>
          <w:b/>
          <w:bCs/>
          <w:sz w:val="28"/>
          <w:szCs w:val="28"/>
        </w:rPr>
        <w:t>.7 Trust and reputation</w:t>
      </w:r>
      <w:r w:rsidR="00386957" w:rsidRPr="00A00298">
        <w:rPr>
          <w:rFonts w:ascii="Arial" w:hAnsi="Arial" w:cs="Arial"/>
          <w:b/>
          <w:bCs/>
          <w:sz w:val="28"/>
          <w:szCs w:val="28"/>
        </w:rPr>
        <w:t>, and a focus on organisational continuous improvement</w:t>
      </w:r>
    </w:p>
    <w:p w14:paraId="5FDCF7C5" w14:textId="77777777" w:rsidR="00211402" w:rsidRPr="00211402" w:rsidRDefault="00211402" w:rsidP="001C0208">
      <w:pPr>
        <w:autoSpaceDE w:val="0"/>
        <w:autoSpaceDN w:val="0"/>
        <w:spacing w:before="120" w:after="120" w:line="240" w:lineRule="auto"/>
        <w:rPr>
          <w:rFonts w:ascii="Arial" w:hAnsi="Arial" w:cs="Arial"/>
          <w:i/>
          <w:iCs/>
          <w:sz w:val="24"/>
          <w:szCs w:val="24"/>
        </w:rPr>
      </w:pPr>
      <w:r w:rsidRPr="00211402">
        <w:rPr>
          <w:rFonts w:ascii="Arial" w:hAnsi="Arial" w:cs="Arial"/>
          <w:i/>
          <w:iCs/>
          <w:sz w:val="24"/>
          <w:szCs w:val="24"/>
        </w:rPr>
        <w:t>Best practice</w:t>
      </w:r>
    </w:p>
    <w:p w14:paraId="6C8B4F7F" w14:textId="1C9E5FB2" w:rsidR="001C0208" w:rsidRDefault="001C0208" w:rsidP="001C0208">
      <w:pPr>
        <w:autoSpaceDE w:val="0"/>
        <w:autoSpaceDN w:val="0"/>
        <w:spacing w:before="120" w:after="120" w:line="240" w:lineRule="auto"/>
        <w:rPr>
          <w:rFonts w:ascii="Arial" w:hAnsi="Arial" w:cs="Arial"/>
          <w:sz w:val="24"/>
          <w:szCs w:val="24"/>
        </w:rPr>
      </w:pPr>
      <w:r>
        <w:rPr>
          <w:rFonts w:ascii="Arial" w:hAnsi="Arial" w:cs="Arial"/>
          <w:sz w:val="24"/>
          <w:szCs w:val="24"/>
        </w:rPr>
        <w:t xml:space="preserve">The Australian Government’s </w:t>
      </w:r>
      <w:hyperlink r:id="rId20" w:tgtFrame="_blank" w:history="1">
        <w:r w:rsidRPr="00F80D8F">
          <w:rPr>
            <w:rStyle w:val="Hyperlink"/>
            <w:rFonts w:ascii="Arial" w:hAnsi="Arial" w:cs="Arial"/>
            <w:sz w:val="24"/>
            <w:szCs w:val="24"/>
          </w:rPr>
          <w:t>Regulator Performance Guide</w:t>
        </w:r>
      </w:hyperlink>
      <w:r>
        <w:rPr>
          <w:rFonts w:ascii="Arial" w:hAnsi="Arial" w:cs="Arial"/>
          <w:sz w:val="24"/>
          <w:szCs w:val="24"/>
        </w:rPr>
        <w:t xml:space="preserve"> identifies three principles of regulator best practice - continuous improvement and building trust is the first </w:t>
      </w:r>
      <w:r w:rsidR="00CA75A9">
        <w:rPr>
          <w:rFonts w:ascii="Arial" w:hAnsi="Arial" w:cs="Arial"/>
          <w:sz w:val="24"/>
          <w:szCs w:val="24"/>
        </w:rPr>
        <w:t>principle</w:t>
      </w:r>
      <w:r w:rsidR="00CA75A9">
        <w:rPr>
          <w:rStyle w:val="FootnoteReference"/>
          <w:rFonts w:ascii="Arial" w:hAnsi="Arial" w:cs="Arial"/>
          <w:sz w:val="24"/>
          <w:szCs w:val="24"/>
        </w:rPr>
        <w:footnoteReference w:id="53"/>
      </w:r>
      <w:r w:rsidR="00CA75A9">
        <w:rPr>
          <w:rFonts w:ascii="Arial" w:hAnsi="Arial" w:cs="Arial"/>
          <w:sz w:val="24"/>
          <w:szCs w:val="24"/>
        </w:rPr>
        <w:t>.</w:t>
      </w:r>
    </w:p>
    <w:p w14:paraId="3775AAEE" w14:textId="3BFBAD79" w:rsidR="001C0208" w:rsidRDefault="001C0208" w:rsidP="0024199A">
      <w:pPr>
        <w:rPr>
          <w:rFonts w:ascii="Calibri" w:hAnsi="Calibri" w:cs="Calibri"/>
          <w:b/>
          <w:bCs/>
          <w:lang w:eastAsia="en-AU"/>
        </w:rPr>
      </w:pPr>
      <w:r>
        <w:rPr>
          <w:rFonts w:ascii="Arial" w:hAnsi="Arial" w:cs="Arial"/>
          <w:sz w:val="24"/>
          <w:szCs w:val="24"/>
        </w:rPr>
        <w:t xml:space="preserve">Effective regulation relies on stakeholders having trust in the regulator. Trust does not automatically appear and cannot be legislated - it is something an organisation must work towards and earn. Continuous improvement is a key enabler in this journey. Regulators must continuously improve how they do their work to build trust and confidence in their regulatory settings and the system they </w:t>
      </w:r>
      <w:r w:rsidR="00CA75A9">
        <w:rPr>
          <w:rFonts w:ascii="Arial" w:hAnsi="Arial" w:cs="Arial"/>
          <w:sz w:val="24"/>
          <w:szCs w:val="24"/>
        </w:rPr>
        <w:t>regulate</w:t>
      </w:r>
      <w:r w:rsidR="00CA75A9">
        <w:rPr>
          <w:rStyle w:val="FootnoteReference"/>
          <w:rFonts w:ascii="Arial" w:hAnsi="Arial" w:cs="Arial"/>
          <w:sz w:val="24"/>
          <w:szCs w:val="24"/>
        </w:rPr>
        <w:footnoteReference w:id="54"/>
      </w:r>
      <w:r w:rsidR="00CA75A9">
        <w:rPr>
          <w:rFonts w:ascii="Arial" w:hAnsi="Arial" w:cs="Arial"/>
          <w:sz w:val="24"/>
          <w:szCs w:val="24"/>
        </w:rPr>
        <w:t>.</w:t>
      </w:r>
    </w:p>
    <w:p w14:paraId="382B469A" w14:textId="7D49A6A3" w:rsidR="001C0208" w:rsidRDefault="001C0208" w:rsidP="001C0208">
      <w:pPr>
        <w:autoSpaceDE w:val="0"/>
        <w:autoSpaceDN w:val="0"/>
        <w:spacing w:before="120" w:after="120"/>
        <w:rPr>
          <w:rFonts w:ascii="Arial" w:hAnsi="Arial" w:cs="Arial"/>
          <w:sz w:val="24"/>
          <w:szCs w:val="24"/>
        </w:rPr>
      </w:pPr>
      <w:r>
        <w:rPr>
          <w:rFonts w:ascii="Arial" w:hAnsi="Arial" w:cs="Arial"/>
          <w:sz w:val="24"/>
          <w:szCs w:val="24"/>
        </w:rPr>
        <w:t xml:space="preserve">Regulators build and sustain trust in </w:t>
      </w:r>
      <w:proofErr w:type="gramStart"/>
      <w:r>
        <w:rPr>
          <w:rFonts w:ascii="Arial" w:hAnsi="Arial" w:cs="Arial"/>
          <w:sz w:val="24"/>
          <w:szCs w:val="24"/>
        </w:rPr>
        <w:t>a number of</w:t>
      </w:r>
      <w:proofErr w:type="gramEnd"/>
      <w:r>
        <w:rPr>
          <w:rFonts w:ascii="Arial" w:hAnsi="Arial" w:cs="Arial"/>
          <w:sz w:val="24"/>
          <w:szCs w:val="24"/>
        </w:rPr>
        <w:t xml:space="preserve"> ways, many of which have been </w:t>
      </w:r>
      <w:r w:rsidR="004E66A1">
        <w:rPr>
          <w:rFonts w:ascii="Arial" w:hAnsi="Arial" w:cs="Arial"/>
          <w:sz w:val="24"/>
          <w:szCs w:val="24"/>
        </w:rPr>
        <w:t xml:space="preserve">identified </w:t>
      </w:r>
      <w:r>
        <w:rPr>
          <w:rFonts w:ascii="Arial" w:hAnsi="Arial" w:cs="Arial"/>
          <w:sz w:val="24"/>
          <w:szCs w:val="24"/>
        </w:rPr>
        <w:t xml:space="preserve">elsewhere in this report. </w:t>
      </w:r>
    </w:p>
    <w:p w14:paraId="6F404920" w14:textId="4A9B47FE" w:rsidR="001C0208" w:rsidRDefault="001C0208" w:rsidP="001C0208">
      <w:pPr>
        <w:autoSpaceDE w:val="0"/>
        <w:autoSpaceDN w:val="0"/>
        <w:spacing w:before="120" w:after="120" w:line="240" w:lineRule="auto"/>
        <w:rPr>
          <w:rFonts w:ascii="Arial" w:hAnsi="Arial" w:cs="Arial"/>
          <w:sz w:val="24"/>
          <w:szCs w:val="24"/>
        </w:rPr>
      </w:pPr>
      <w:r>
        <w:rPr>
          <w:rFonts w:ascii="Arial" w:hAnsi="Arial" w:cs="Arial"/>
          <w:sz w:val="24"/>
          <w:szCs w:val="24"/>
        </w:rPr>
        <w:t>Building trust of government and the community must be a key objective of the regulator. It should be driven by the organisation’s senior leaders and be reflected in their performance agreements</w:t>
      </w:r>
      <w:r w:rsidR="004E66A1">
        <w:rPr>
          <w:rFonts w:ascii="Arial" w:hAnsi="Arial" w:cs="Arial"/>
          <w:sz w:val="24"/>
          <w:szCs w:val="24"/>
        </w:rPr>
        <w:t>, and by the Advisory Council</w:t>
      </w:r>
      <w:r>
        <w:rPr>
          <w:rFonts w:ascii="Arial" w:hAnsi="Arial" w:cs="Arial"/>
          <w:sz w:val="24"/>
          <w:szCs w:val="24"/>
        </w:rPr>
        <w:t>.</w:t>
      </w:r>
    </w:p>
    <w:p w14:paraId="10423FE6" w14:textId="77777777" w:rsidR="001C0208" w:rsidRDefault="001C0208" w:rsidP="001C0208">
      <w:pPr>
        <w:autoSpaceDE w:val="0"/>
        <w:autoSpaceDN w:val="0"/>
        <w:spacing w:before="120" w:after="120" w:line="240" w:lineRule="auto"/>
        <w:rPr>
          <w:rFonts w:ascii="Arial" w:hAnsi="Arial" w:cs="Arial"/>
          <w:sz w:val="24"/>
          <w:szCs w:val="24"/>
        </w:rPr>
      </w:pPr>
      <w:r>
        <w:rPr>
          <w:rFonts w:ascii="Arial" w:hAnsi="Arial" w:cs="Arial"/>
          <w:sz w:val="24"/>
          <w:szCs w:val="24"/>
        </w:rPr>
        <w:t>A trusted regulator should be able to demonstrate that it is:</w:t>
      </w:r>
    </w:p>
    <w:p w14:paraId="589A03FD" w14:textId="77777777" w:rsidR="001C0208" w:rsidRDefault="001C0208" w:rsidP="001750D5">
      <w:pPr>
        <w:numPr>
          <w:ilvl w:val="0"/>
          <w:numId w:val="68"/>
        </w:numPr>
        <w:autoSpaceDE w:val="0"/>
        <w:autoSpaceDN w:val="0"/>
        <w:spacing w:before="120" w:after="120" w:line="240" w:lineRule="auto"/>
        <w:rPr>
          <w:rFonts w:ascii="Arial" w:eastAsia="Times New Roman" w:hAnsi="Arial" w:cs="Arial"/>
          <w:sz w:val="24"/>
          <w:szCs w:val="24"/>
          <w:lang w:val="en-US"/>
        </w:rPr>
      </w:pPr>
      <w:r>
        <w:rPr>
          <w:rFonts w:ascii="Arial" w:eastAsia="Times New Roman" w:hAnsi="Arial" w:cs="Arial"/>
          <w:sz w:val="24"/>
          <w:szCs w:val="24"/>
          <w:lang w:val="en-US"/>
        </w:rPr>
        <w:t>competent and conscientious - has the right people with the right skills and knowledge to do the job professionally</w:t>
      </w:r>
    </w:p>
    <w:p w14:paraId="2797EBE9" w14:textId="77777777" w:rsidR="001C0208" w:rsidRDefault="001C0208" w:rsidP="001750D5">
      <w:pPr>
        <w:numPr>
          <w:ilvl w:val="0"/>
          <w:numId w:val="68"/>
        </w:numPr>
        <w:autoSpaceDE w:val="0"/>
        <w:autoSpaceDN w:val="0"/>
        <w:spacing w:before="120" w:after="120" w:line="240" w:lineRule="auto"/>
        <w:rPr>
          <w:rFonts w:ascii="Arial" w:eastAsia="Times New Roman" w:hAnsi="Arial" w:cs="Arial"/>
          <w:sz w:val="24"/>
          <w:szCs w:val="24"/>
          <w:lang w:val="en-US"/>
        </w:rPr>
      </w:pPr>
      <w:r>
        <w:rPr>
          <w:rFonts w:ascii="Arial" w:eastAsia="Times New Roman" w:hAnsi="Arial" w:cs="Arial"/>
          <w:sz w:val="24"/>
          <w:szCs w:val="24"/>
          <w:lang w:val="en-US"/>
        </w:rPr>
        <w:t xml:space="preserve">sensitive - is paying attention and takes appropriate action to address risk and avoid harm, and </w:t>
      </w:r>
    </w:p>
    <w:p w14:paraId="0A420BCF" w14:textId="6916FB77" w:rsidR="001C0208" w:rsidRDefault="001C0208" w:rsidP="001750D5">
      <w:pPr>
        <w:numPr>
          <w:ilvl w:val="0"/>
          <w:numId w:val="68"/>
        </w:numPr>
        <w:autoSpaceDE w:val="0"/>
        <w:autoSpaceDN w:val="0"/>
        <w:spacing w:before="120" w:after="120" w:line="240" w:lineRule="auto"/>
        <w:rPr>
          <w:rFonts w:ascii="Arial" w:eastAsia="Times New Roman" w:hAnsi="Arial" w:cs="Arial"/>
          <w:sz w:val="24"/>
          <w:szCs w:val="24"/>
          <w:lang w:val="en-US"/>
        </w:rPr>
      </w:pPr>
      <w:r>
        <w:rPr>
          <w:rFonts w:ascii="Arial" w:eastAsia="Times New Roman" w:hAnsi="Arial" w:cs="Arial"/>
          <w:sz w:val="24"/>
          <w:szCs w:val="24"/>
          <w:lang w:val="en-US"/>
        </w:rPr>
        <w:t xml:space="preserve">ethical - doing the right </w:t>
      </w:r>
      <w:r w:rsidR="00CA75A9" w:rsidRPr="00265A3F">
        <w:rPr>
          <w:rFonts w:ascii="Arial" w:eastAsia="Times New Roman" w:hAnsi="Arial" w:cs="Arial"/>
          <w:sz w:val="24"/>
          <w:szCs w:val="24"/>
          <w:lang w:val="en-US"/>
        </w:rPr>
        <w:t>thing</w:t>
      </w:r>
      <w:r w:rsidR="00CA75A9" w:rsidRPr="00265A3F">
        <w:rPr>
          <w:rStyle w:val="FootnoteReference"/>
          <w:rFonts w:ascii="Arial" w:eastAsia="Times New Roman" w:hAnsi="Arial" w:cs="Arial"/>
          <w:sz w:val="24"/>
          <w:szCs w:val="24"/>
          <w:lang w:val="en-US"/>
        </w:rPr>
        <w:footnoteReference w:id="55"/>
      </w:r>
      <w:r w:rsidR="00CA75A9" w:rsidRPr="00265A3F">
        <w:rPr>
          <w:rFonts w:ascii="Arial" w:eastAsia="Times New Roman" w:hAnsi="Arial" w:cs="Arial"/>
          <w:sz w:val="24"/>
          <w:szCs w:val="24"/>
          <w:lang w:val="en-US"/>
        </w:rPr>
        <w:t>.</w:t>
      </w:r>
    </w:p>
    <w:p w14:paraId="08933B4A" w14:textId="77777777" w:rsidR="00211402" w:rsidRPr="00211402" w:rsidRDefault="00211402" w:rsidP="001C0208">
      <w:pPr>
        <w:rPr>
          <w:rFonts w:ascii="Arial" w:hAnsi="Arial" w:cs="Arial"/>
          <w:i/>
          <w:iCs/>
          <w:sz w:val="24"/>
          <w:szCs w:val="24"/>
        </w:rPr>
      </w:pPr>
      <w:r w:rsidRPr="00211402">
        <w:rPr>
          <w:rFonts w:ascii="Arial" w:hAnsi="Arial" w:cs="Arial"/>
          <w:i/>
          <w:iCs/>
          <w:sz w:val="24"/>
          <w:szCs w:val="24"/>
        </w:rPr>
        <w:lastRenderedPageBreak/>
        <w:t>What the Commission does now</w:t>
      </w:r>
    </w:p>
    <w:p w14:paraId="22CBC696" w14:textId="5A621216" w:rsidR="001C0208" w:rsidRDefault="001C0208" w:rsidP="001C0208">
      <w:pPr>
        <w:rPr>
          <w:rFonts w:ascii="Calibri" w:hAnsi="Calibri" w:cs="Calibri"/>
          <w:highlight w:val="yellow"/>
          <w:lang w:val="en-GB"/>
        </w:rPr>
      </w:pPr>
      <w:r>
        <w:rPr>
          <w:rFonts w:ascii="Arial" w:hAnsi="Arial" w:cs="Arial"/>
          <w:sz w:val="24"/>
          <w:szCs w:val="24"/>
        </w:rPr>
        <w:t>The Commission is actively developing these elements. By implementing the recommendations of this report, and by demonstrating the qualities above, older Australians, their families and the community will gain confidence in Australia’s aged care system and in the people delivering services. They will know the regulatory framework will support high</w:t>
      </w:r>
      <w:r>
        <w:rPr>
          <w:rFonts w:ascii="Arial" w:hAnsi="Arial" w:cs="Arial"/>
          <w:sz w:val="24"/>
          <w:szCs w:val="24"/>
        </w:rPr>
        <w:noBreakHyphen/>
        <w:t xml:space="preserve">quality </w:t>
      </w:r>
      <w:r w:rsidR="004E66A1">
        <w:rPr>
          <w:rFonts w:ascii="Arial" w:hAnsi="Arial" w:cs="Arial"/>
          <w:sz w:val="24"/>
          <w:szCs w:val="24"/>
        </w:rPr>
        <w:t xml:space="preserve">and safe </w:t>
      </w:r>
      <w:r>
        <w:rPr>
          <w:rFonts w:ascii="Arial" w:hAnsi="Arial" w:cs="Arial"/>
          <w:sz w:val="24"/>
          <w:szCs w:val="24"/>
        </w:rPr>
        <w:t>care and deter poor performance and be confident that the regulator will take quick and appropriate action</w:t>
      </w:r>
      <w:r>
        <w:rPr>
          <w:lang w:val="en-GB"/>
        </w:rPr>
        <w:t>.</w:t>
      </w:r>
      <w:r w:rsidR="00CA75A9">
        <w:rPr>
          <w:rStyle w:val="FootnoteReference"/>
          <w:rFonts w:ascii="Arial" w:hAnsi="Arial" w:cs="Arial"/>
          <w:sz w:val="24"/>
          <w:szCs w:val="24"/>
        </w:rPr>
        <w:footnoteReference w:id="56"/>
      </w:r>
      <w:r w:rsidR="00CA75A9" w:rsidRPr="00265A3F">
        <w:rPr>
          <w:lang w:val="en-GB"/>
        </w:rPr>
        <w:t>.</w:t>
      </w:r>
    </w:p>
    <w:p w14:paraId="33AEEC12" w14:textId="3FA2E4BD" w:rsidR="00386957" w:rsidRPr="00A00298" w:rsidRDefault="00386957" w:rsidP="00A00298">
      <w:pPr>
        <w:rPr>
          <w:rFonts w:ascii="Arial" w:hAnsi="Arial" w:cs="Arial"/>
          <w:b/>
          <w:bCs/>
          <w:sz w:val="28"/>
          <w:szCs w:val="28"/>
        </w:rPr>
      </w:pPr>
      <w:r w:rsidRPr="00A00298">
        <w:rPr>
          <w:rFonts w:ascii="Arial" w:hAnsi="Arial" w:cs="Arial"/>
          <w:b/>
          <w:bCs/>
          <w:sz w:val="28"/>
          <w:szCs w:val="28"/>
        </w:rPr>
        <w:t xml:space="preserve">4.8 Resourcing </w:t>
      </w:r>
    </w:p>
    <w:p w14:paraId="58A3460E" w14:textId="77777777" w:rsidR="00386957" w:rsidRPr="009201F4" w:rsidRDefault="00386957" w:rsidP="00386957">
      <w:pPr>
        <w:spacing w:line="240" w:lineRule="auto"/>
        <w:rPr>
          <w:rFonts w:ascii="Arial" w:hAnsi="Arial" w:cs="Arial"/>
          <w:sz w:val="24"/>
          <w:u w:val="single"/>
        </w:rPr>
      </w:pPr>
      <w:bookmarkStart w:id="16" w:name="_Hlk128491532"/>
      <w:r w:rsidRPr="009201F4">
        <w:rPr>
          <w:rFonts w:ascii="Arial" w:hAnsi="Arial" w:cs="Arial"/>
          <w:sz w:val="24"/>
          <w:u w:val="single"/>
        </w:rPr>
        <w:t xml:space="preserve">Issues </w:t>
      </w:r>
    </w:p>
    <w:p w14:paraId="0AC366EC" w14:textId="77777777" w:rsidR="00386957" w:rsidRPr="009201F4" w:rsidRDefault="00386957" w:rsidP="00386957">
      <w:pPr>
        <w:spacing w:line="240" w:lineRule="auto"/>
        <w:rPr>
          <w:rFonts w:ascii="Arial" w:hAnsi="Arial" w:cs="Arial"/>
          <w:sz w:val="24"/>
        </w:rPr>
      </w:pPr>
      <w:r w:rsidRPr="009201F4">
        <w:rPr>
          <w:rFonts w:ascii="Arial" w:hAnsi="Arial" w:cs="Arial"/>
          <w:sz w:val="24"/>
        </w:rPr>
        <w:t>Along with a significant increase in its responsibilities since it was established, the Commission’s resourcing has also increased substantially over the same time. For example, appropriation funding increased from $83.4 million in 2019-20 (the first full year of the Commission’s operations) to $201.8 million in 2022-23.</w:t>
      </w:r>
    </w:p>
    <w:p w14:paraId="428A9147" w14:textId="126D4FF9" w:rsidR="008E7890" w:rsidRPr="001364C7" w:rsidRDefault="00386957" w:rsidP="001364C7">
      <w:pPr>
        <w:spacing w:after="360" w:line="240" w:lineRule="auto"/>
        <w:rPr>
          <w:rFonts w:ascii="Arial" w:hAnsi="Arial" w:cs="Arial"/>
          <w:sz w:val="24"/>
        </w:rPr>
      </w:pPr>
      <w:r w:rsidRPr="009201F4">
        <w:rPr>
          <w:rFonts w:ascii="Arial" w:hAnsi="Arial" w:cs="Arial"/>
          <w:sz w:val="24"/>
        </w:rPr>
        <w:t xml:space="preserve">However, previously approved time-limited new policy funding is currently scheduled to end over the forward financial years. A summary of the Commission’s terminating measures is provided in </w:t>
      </w:r>
      <w:r w:rsidR="005D0AF3">
        <w:rPr>
          <w:rFonts w:ascii="Arial" w:hAnsi="Arial" w:cs="Arial"/>
          <w:sz w:val="24"/>
        </w:rPr>
        <w:t xml:space="preserve">Table </w:t>
      </w:r>
      <w:r w:rsidR="00786D55">
        <w:rPr>
          <w:rFonts w:ascii="Arial" w:hAnsi="Arial" w:cs="Arial"/>
          <w:sz w:val="24"/>
        </w:rPr>
        <w:t>6</w:t>
      </w:r>
      <w:r w:rsidR="005D0AF3">
        <w:rPr>
          <w:rFonts w:ascii="Arial" w:hAnsi="Arial" w:cs="Arial"/>
          <w:sz w:val="24"/>
        </w:rPr>
        <w:t xml:space="preserve"> below</w:t>
      </w:r>
      <w:r w:rsidRPr="009201F4">
        <w:rPr>
          <w:rFonts w:ascii="Arial" w:hAnsi="Arial" w:cs="Arial"/>
          <w:sz w:val="24"/>
        </w:rPr>
        <w:t>, which includes both operating and capital expenditure.</w:t>
      </w:r>
    </w:p>
    <w:p w14:paraId="2C36F129" w14:textId="5241D4B9" w:rsidR="005D0AF3" w:rsidRPr="00824518" w:rsidRDefault="005D0AF3" w:rsidP="004B2DB7">
      <w:pPr>
        <w:keepNext/>
        <w:spacing w:line="240" w:lineRule="auto"/>
        <w:rPr>
          <w:rFonts w:ascii="Arial" w:hAnsi="Arial" w:cs="Arial"/>
          <w:b/>
          <w:bCs/>
          <w:sz w:val="24"/>
        </w:rPr>
      </w:pPr>
      <w:r w:rsidRPr="00824518">
        <w:rPr>
          <w:rFonts w:ascii="Arial" w:hAnsi="Arial" w:cs="Arial"/>
          <w:b/>
          <w:bCs/>
          <w:sz w:val="24"/>
        </w:rPr>
        <w:t xml:space="preserve">Table </w:t>
      </w:r>
      <w:r w:rsidR="00786D55">
        <w:rPr>
          <w:rFonts w:ascii="Arial" w:hAnsi="Arial" w:cs="Arial"/>
          <w:b/>
          <w:bCs/>
          <w:sz w:val="24"/>
        </w:rPr>
        <w:t>6</w:t>
      </w:r>
      <w:r w:rsidRPr="00824518">
        <w:rPr>
          <w:rFonts w:ascii="Arial" w:hAnsi="Arial" w:cs="Arial"/>
          <w:b/>
          <w:bCs/>
          <w:sz w:val="24"/>
        </w:rPr>
        <w:t>: Summary of the Commission’s terminating measures</w:t>
      </w:r>
    </w:p>
    <w:tbl>
      <w:tblPr>
        <w:tblStyle w:val="TableGrid"/>
        <w:tblW w:w="9351" w:type="dxa"/>
        <w:tblLook w:val="04A0" w:firstRow="1" w:lastRow="0" w:firstColumn="1" w:lastColumn="0" w:noHBand="0" w:noVBand="1"/>
      </w:tblPr>
      <w:tblGrid>
        <w:gridCol w:w="6939"/>
        <w:gridCol w:w="1420"/>
        <w:gridCol w:w="992"/>
      </w:tblGrid>
      <w:tr w:rsidR="00386957" w:rsidRPr="009201F4" w14:paraId="25451BC0" w14:textId="77777777" w:rsidTr="003B6469">
        <w:tc>
          <w:tcPr>
            <w:tcW w:w="6939" w:type="dxa"/>
          </w:tcPr>
          <w:p w14:paraId="6F9EB735" w14:textId="77777777" w:rsidR="00386957" w:rsidRPr="009201F4" w:rsidRDefault="00386957" w:rsidP="00386957">
            <w:pPr>
              <w:jc w:val="center"/>
              <w:rPr>
                <w:rFonts w:ascii="Arial" w:hAnsi="Arial" w:cs="Arial"/>
                <w:b/>
                <w:bCs/>
                <w:sz w:val="21"/>
                <w:szCs w:val="21"/>
              </w:rPr>
            </w:pPr>
            <w:r w:rsidRPr="009201F4">
              <w:rPr>
                <w:rFonts w:ascii="Arial" w:hAnsi="Arial" w:cs="Arial"/>
                <w:b/>
                <w:bCs/>
                <w:sz w:val="21"/>
                <w:szCs w:val="21"/>
              </w:rPr>
              <w:t>Measure</w:t>
            </w:r>
          </w:p>
        </w:tc>
        <w:tc>
          <w:tcPr>
            <w:tcW w:w="1420" w:type="dxa"/>
          </w:tcPr>
          <w:p w14:paraId="36E75874" w14:textId="77777777" w:rsidR="00386957" w:rsidRPr="009201F4" w:rsidRDefault="00386957" w:rsidP="00386957">
            <w:pPr>
              <w:jc w:val="center"/>
              <w:rPr>
                <w:rFonts w:ascii="Arial" w:hAnsi="Arial" w:cs="Arial"/>
                <w:b/>
                <w:bCs/>
                <w:sz w:val="21"/>
                <w:szCs w:val="21"/>
              </w:rPr>
            </w:pPr>
            <w:r w:rsidRPr="009201F4">
              <w:rPr>
                <w:rFonts w:ascii="Arial" w:hAnsi="Arial" w:cs="Arial"/>
                <w:b/>
                <w:bCs/>
                <w:sz w:val="21"/>
                <w:szCs w:val="21"/>
              </w:rPr>
              <w:t>Terminating</w:t>
            </w:r>
          </w:p>
        </w:tc>
        <w:tc>
          <w:tcPr>
            <w:tcW w:w="992" w:type="dxa"/>
          </w:tcPr>
          <w:p w14:paraId="643918B4" w14:textId="77777777" w:rsidR="00386957" w:rsidRPr="009201F4" w:rsidRDefault="00386957" w:rsidP="00386957">
            <w:pPr>
              <w:jc w:val="center"/>
              <w:rPr>
                <w:rFonts w:ascii="Arial" w:hAnsi="Arial" w:cs="Arial"/>
                <w:b/>
                <w:bCs/>
                <w:sz w:val="21"/>
                <w:szCs w:val="21"/>
              </w:rPr>
            </w:pPr>
            <w:r w:rsidRPr="009201F4">
              <w:rPr>
                <w:rFonts w:ascii="Arial" w:hAnsi="Arial" w:cs="Arial"/>
                <w:b/>
                <w:bCs/>
                <w:sz w:val="21"/>
                <w:szCs w:val="21"/>
              </w:rPr>
              <w:t xml:space="preserve">Total </w:t>
            </w:r>
          </w:p>
          <w:p w14:paraId="7D75A4ED" w14:textId="77777777" w:rsidR="00386957" w:rsidRPr="009201F4" w:rsidRDefault="00386957" w:rsidP="00386957">
            <w:pPr>
              <w:jc w:val="center"/>
              <w:rPr>
                <w:rFonts w:ascii="Arial" w:hAnsi="Arial" w:cs="Arial"/>
                <w:b/>
                <w:bCs/>
                <w:sz w:val="21"/>
                <w:szCs w:val="21"/>
              </w:rPr>
            </w:pPr>
            <w:r w:rsidRPr="009201F4">
              <w:rPr>
                <w:rFonts w:ascii="Arial" w:hAnsi="Arial" w:cs="Arial"/>
                <w:b/>
                <w:bCs/>
                <w:sz w:val="21"/>
                <w:szCs w:val="21"/>
              </w:rPr>
              <w:t>2022-26 ($M)</w:t>
            </w:r>
          </w:p>
        </w:tc>
      </w:tr>
      <w:tr w:rsidR="00386957" w:rsidRPr="009201F4" w14:paraId="76D723BC" w14:textId="77777777" w:rsidTr="003B6469">
        <w:tc>
          <w:tcPr>
            <w:tcW w:w="6939" w:type="dxa"/>
          </w:tcPr>
          <w:p w14:paraId="67464DC5" w14:textId="77777777" w:rsidR="00386957" w:rsidRPr="009201F4" w:rsidRDefault="00386957" w:rsidP="00386957">
            <w:pPr>
              <w:rPr>
                <w:rFonts w:ascii="Arial" w:hAnsi="Arial" w:cs="Arial"/>
                <w:sz w:val="21"/>
                <w:szCs w:val="21"/>
              </w:rPr>
            </w:pPr>
            <w:r w:rsidRPr="009201F4">
              <w:rPr>
                <w:rFonts w:ascii="Arial" w:hAnsi="Arial" w:cs="Arial"/>
                <w:sz w:val="21"/>
                <w:szCs w:val="21"/>
              </w:rPr>
              <w:t>Expanded Quality Assessor Workforce</w:t>
            </w:r>
          </w:p>
        </w:tc>
        <w:tc>
          <w:tcPr>
            <w:tcW w:w="1420" w:type="dxa"/>
          </w:tcPr>
          <w:p w14:paraId="0F22612D"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mid-2022</w:t>
            </w:r>
          </w:p>
        </w:tc>
        <w:tc>
          <w:tcPr>
            <w:tcW w:w="992" w:type="dxa"/>
          </w:tcPr>
          <w:p w14:paraId="34F6B053"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24.7</w:t>
            </w:r>
          </w:p>
        </w:tc>
      </w:tr>
      <w:tr w:rsidR="00386957" w:rsidRPr="009201F4" w14:paraId="0ACC665E" w14:textId="77777777" w:rsidTr="003B6469">
        <w:tc>
          <w:tcPr>
            <w:tcW w:w="6939" w:type="dxa"/>
          </w:tcPr>
          <w:p w14:paraId="3682DD5B" w14:textId="77777777" w:rsidR="00386957" w:rsidRPr="009201F4" w:rsidRDefault="00386957" w:rsidP="00386957">
            <w:pPr>
              <w:rPr>
                <w:rFonts w:ascii="Arial" w:hAnsi="Arial" w:cs="Arial"/>
                <w:sz w:val="21"/>
                <w:szCs w:val="21"/>
              </w:rPr>
            </w:pPr>
            <w:r w:rsidRPr="009201F4">
              <w:rPr>
                <w:rFonts w:ascii="Arial" w:hAnsi="Arial" w:cs="Arial"/>
                <w:sz w:val="21"/>
                <w:szCs w:val="21"/>
              </w:rPr>
              <w:t>Third-Party Quality Assessment Workforce</w:t>
            </w:r>
          </w:p>
        </w:tc>
        <w:tc>
          <w:tcPr>
            <w:tcW w:w="1420" w:type="dxa"/>
          </w:tcPr>
          <w:p w14:paraId="5572C1DA"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mid-2023</w:t>
            </w:r>
          </w:p>
        </w:tc>
        <w:tc>
          <w:tcPr>
            <w:tcW w:w="992" w:type="dxa"/>
          </w:tcPr>
          <w:p w14:paraId="2E83A136"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18.3</w:t>
            </w:r>
          </w:p>
        </w:tc>
      </w:tr>
      <w:tr w:rsidR="00386957" w:rsidRPr="009201F4" w14:paraId="66F0B35D" w14:textId="77777777" w:rsidTr="003B6469">
        <w:tc>
          <w:tcPr>
            <w:tcW w:w="6939" w:type="dxa"/>
          </w:tcPr>
          <w:p w14:paraId="5E7FDE24" w14:textId="5CA0DEA3" w:rsidR="00386957" w:rsidRPr="009201F4" w:rsidRDefault="00386957" w:rsidP="00386957">
            <w:pPr>
              <w:rPr>
                <w:rFonts w:ascii="Arial" w:hAnsi="Arial" w:cs="Arial"/>
                <w:sz w:val="21"/>
                <w:szCs w:val="21"/>
              </w:rPr>
            </w:pPr>
            <w:r w:rsidRPr="009201F4">
              <w:rPr>
                <w:rFonts w:ascii="Arial" w:hAnsi="Arial" w:cs="Arial"/>
                <w:sz w:val="21"/>
                <w:szCs w:val="21"/>
              </w:rPr>
              <w:t>Improving Quality and Safety Across the Aged Care Sector (inc</w:t>
            </w:r>
            <w:r w:rsidR="003B6469">
              <w:rPr>
                <w:rFonts w:ascii="Arial" w:hAnsi="Arial" w:cs="Arial"/>
                <w:sz w:val="21"/>
                <w:szCs w:val="21"/>
              </w:rPr>
              <w:t>l.</w:t>
            </w:r>
            <w:r w:rsidRPr="009201F4">
              <w:rPr>
                <w:rFonts w:ascii="Arial" w:hAnsi="Arial" w:cs="Arial"/>
                <w:sz w:val="21"/>
                <w:szCs w:val="21"/>
              </w:rPr>
              <w:t xml:space="preserve"> </w:t>
            </w:r>
            <w:proofErr w:type="gramStart"/>
            <w:r w:rsidRPr="009201F4">
              <w:rPr>
                <w:rFonts w:ascii="Arial" w:hAnsi="Arial" w:cs="Arial"/>
                <w:sz w:val="21"/>
                <w:szCs w:val="21"/>
              </w:rPr>
              <w:t>SIRS)*</w:t>
            </w:r>
            <w:proofErr w:type="gramEnd"/>
          </w:p>
        </w:tc>
        <w:tc>
          <w:tcPr>
            <w:tcW w:w="1420" w:type="dxa"/>
          </w:tcPr>
          <w:p w14:paraId="6A79FB8B"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mid-2023</w:t>
            </w:r>
          </w:p>
        </w:tc>
        <w:tc>
          <w:tcPr>
            <w:tcW w:w="992" w:type="dxa"/>
          </w:tcPr>
          <w:p w14:paraId="64B3F5FC"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9.5</w:t>
            </w:r>
          </w:p>
        </w:tc>
      </w:tr>
      <w:tr w:rsidR="00386957" w:rsidRPr="009201F4" w14:paraId="004B01D8" w14:textId="77777777" w:rsidTr="003B6469">
        <w:tc>
          <w:tcPr>
            <w:tcW w:w="6939" w:type="dxa"/>
          </w:tcPr>
          <w:p w14:paraId="3B1DE96D" w14:textId="77777777" w:rsidR="00386957" w:rsidRPr="009201F4" w:rsidRDefault="00386957" w:rsidP="00386957">
            <w:pPr>
              <w:rPr>
                <w:rFonts w:ascii="Arial" w:hAnsi="Arial" w:cs="Arial"/>
                <w:sz w:val="21"/>
                <w:szCs w:val="21"/>
              </w:rPr>
            </w:pPr>
            <w:r w:rsidRPr="009201F4">
              <w:rPr>
                <w:rFonts w:ascii="Arial" w:hAnsi="Arial" w:cs="Arial"/>
                <w:sz w:val="21"/>
                <w:szCs w:val="21"/>
              </w:rPr>
              <w:t>Aged Care Prudential Oversight</w:t>
            </w:r>
          </w:p>
        </w:tc>
        <w:tc>
          <w:tcPr>
            <w:tcW w:w="1420" w:type="dxa"/>
          </w:tcPr>
          <w:p w14:paraId="0590D0FE"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mid-2023</w:t>
            </w:r>
          </w:p>
        </w:tc>
        <w:tc>
          <w:tcPr>
            <w:tcW w:w="992" w:type="dxa"/>
          </w:tcPr>
          <w:p w14:paraId="1FAE6450"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4.9</w:t>
            </w:r>
          </w:p>
        </w:tc>
      </w:tr>
      <w:tr w:rsidR="00386957" w:rsidRPr="009201F4" w14:paraId="6630273F" w14:textId="77777777" w:rsidTr="003B6469">
        <w:tc>
          <w:tcPr>
            <w:tcW w:w="6939" w:type="dxa"/>
          </w:tcPr>
          <w:p w14:paraId="58927876" w14:textId="77777777" w:rsidR="00386957" w:rsidRPr="009201F4" w:rsidRDefault="00386957" w:rsidP="00386957">
            <w:pPr>
              <w:rPr>
                <w:rFonts w:ascii="Arial" w:hAnsi="Arial" w:cs="Arial"/>
                <w:sz w:val="21"/>
                <w:szCs w:val="21"/>
              </w:rPr>
            </w:pPr>
            <w:r w:rsidRPr="009201F4">
              <w:rPr>
                <w:rFonts w:ascii="Arial" w:hAnsi="Arial" w:cs="Arial"/>
                <w:sz w:val="21"/>
                <w:szCs w:val="21"/>
              </w:rPr>
              <w:t>Care and Support Sector Regulatory Alignment Next Steps</w:t>
            </w:r>
          </w:p>
        </w:tc>
        <w:tc>
          <w:tcPr>
            <w:tcW w:w="1420" w:type="dxa"/>
          </w:tcPr>
          <w:p w14:paraId="06241B2B"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mid-2023</w:t>
            </w:r>
          </w:p>
        </w:tc>
        <w:tc>
          <w:tcPr>
            <w:tcW w:w="992" w:type="dxa"/>
          </w:tcPr>
          <w:p w14:paraId="3232E962"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3.8</w:t>
            </w:r>
          </w:p>
        </w:tc>
      </w:tr>
      <w:tr w:rsidR="00386957" w:rsidRPr="009201F4" w14:paraId="12A8EC88" w14:textId="77777777" w:rsidTr="003B6469">
        <w:tc>
          <w:tcPr>
            <w:tcW w:w="6939" w:type="dxa"/>
          </w:tcPr>
          <w:p w14:paraId="605E8323" w14:textId="77777777" w:rsidR="00386957" w:rsidRPr="009201F4" w:rsidRDefault="00386957" w:rsidP="00386957">
            <w:pPr>
              <w:rPr>
                <w:rFonts w:ascii="Arial" w:hAnsi="Arial" w:cs="Arial"/>
                <w:sz w:val="21"/>
                <w:szCs w:val="21"/>
              </w:rPr>
            </w:pPr>
            <w:r w:rsidRPr="009201F4">
              <w:rPr>
                <w:rFonts w:ascii="Arial" w:hAnsi="Arial" w:cs="Arial"/>
                <w:sz w:val="21"/>
                <w:szCs w:val="21"/>
              </w:rPr>
              <w:t>Improving Aged Care Data and Tracking Quality</w:t>
            </w:r>
          </w:p>
        </w:tc>
        <w:tc>
          <w:tcPr>
            <w:tcW w:w="1420" w:type="dxa"/>
          </w:tcPr>
          <w:p w14:paraId="24D9BB18" w14:textId="77777777" w:rsidR="00386957" w:rsidRPr="009201F4" w:rsidRDefault="00386957" w:rsidP="00386957">
            <w:pPr>
              <w:jc w:val="center"/>
              <w:rPr>
                <w:rFonts w:ascii="Arial" w:hAnsi="Arial" w:cs="Arial"/>
              </w:rPr>
            </w:pPr>
            <w:r w:rsidRPr="009201F4">
              <w:rPr>
                <w:rFonts w:ascii="Arial" w:hAnsi="Arial" w:cs="Arial"/>
              </w:rPr>
              <w:t>mid-2023</w:t>
            </w:r>
          </w:p>
        </w:tc>
        <w:tc>
          <w:tcPr>
            <w:tcW w:w="992" w:type="dxa"/>
          </w:tcPr>
          <w:p w14:paraId="4FEB5857"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3.1</w:t>
            </w:r>
          </w:p>
        </w:tc>
      </w:tr>
      <w:tr w:rsidR="00386957" w:rsidRPr="009201F4" w14:paraId="0AFD04C6" w14:textId="77777777" w:rsidTr="003B6469">
        <w:tc>
          <w:tcPr>
            <w:tcW w:w="6939" w:type="dxa"/>
          </w:tcPr>
          <w:p w14:paraId="7586D899" w14:textId="77777777" w:rsidR="00386957" w:rsidRPr="009201F4" w:rsidRDefault="00386957" w:rsidP="00386957">
            <w:pPr>
              <w:rPr>
                <w:rFonts w:ascii="Arial" w:hAnsi="Arial" w:cs="Arial"/>
                <w:sz w:val="21"/>
                <w:szCs w:val="21"/>
              </w:rPr>
            </w:pPr>
            <w:r w:rsidRPr="009201F4">
              <w:rPr>
                <w:rFonts w:ascii="Arial" w:hAnsi="Arial" w:cs="Arial"/>
                <w:sz w:val="21"/>
                <w:szCs w:val="21"/>
              </w:rPr>
              <w:t>Aged Care Complaints Commissioner and additional ASL</w:t>
            </w:r>
          </w:p>
        </w:tc>
        <w:tc>
          <w:tcPr>
            <w:tcW w:w="1420" w:type="dxa"/>
          </w:tcPr>
          <w:p w14:paraId="51305274" w14:textId="77777777" w:rsidR="00386957" w:rsidRPr="009201F4" w:rsidRDefault="00386957" w:rsidP="00386957">
            <w:pPr>
              <w:jc w:val="center"/>
              <w:rPr>
                <w:rFonts w:ascii="Arial" w:hAnsi="Arial" w:cs="Arial"/>
              </w:rPr>
            </w:pPr>
            <w:r w:rsidRPr="009201F4">
              <w:rPr>
                <w:rFonts w:ascii="Arial" w:hAnsi="Arial" w:cs="Arial"/>
              </w:rPr>
              <w:t>mid-2024</w:t>
            </w:r>
          </w:p>
        </w:tc>
        <w:tc>
          <w:tcPr>
            <w:tcW w:w="992" w:type="dxa"/>
          </w:tcPr>
          <w:p w14:paraId="45D80322"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9.9</w:t>
            </w:r>
          </w:p>
        </w:tc>
      </w:tr>
      <w:tr w:rsidR="00386957" w:rsidRPr="009201F4" w14:paraId="3729E3EF" w14:textId="77777777" w:rsidTr="003B6469">
        <w:tc>
          <w:tcPr>
            <w:tcW w:w="6939" w:type="dxa"/>
          </w:tcPr>
          <w:p w14:paraId="27ACD61B" w14:textId="77777777" w:rsidR="00386957" w:rsidRPr="009201F4" w:rsidRDefault="00386957" w:rsidP="00386957">
            <w:pPr>
              <w:rPr>
                <w:rFonts w:ascii="Arial" w:hAnsi="Arial" w:cs="Arial"/>
                <w:sz w:val="21"/>
                <w:szCs w:val="21"/>
              </w:rPr>
            </w:pPr>
            <w:r w:rsidRPr="009201F4">
              <w:rPr>
                <w:rFonts w:ascii="Arial" w:hAnsi="Arial" w:cs="Arial"/>
                <w:sz w:val="21"/>
                <w:szCs w:val="21"/>
              </w:rPr>
              <w:t>Aged Care ICT to Enable Reform</w:t>
            </w:r>
          </w:p>
        </w:tc>
        <w:tc>
          <w:tcPr>
            <w:tcW w:w="1420" w:type="dxa"/>
          </w:tcPr>
          <w:p w14:paraId="2C9E89CD" w14:textId="77777777" w:rsidR="00386957" w:rsidRPr="009201F4" w:rsidRDefault="00386957" w:rsidP="00386957">
            <w:pPr>
              <w:jc w:val="center"/>
              <w:rPr>
                <w:rFonts w:ascii="Arial" w:hAnsi="Arial" w:cs="Arial"/>
              </w:rPr>
            </w:pPr>
            <w:r w:rsidRPr="009201F4">
              <w:rPr>
                <w:rFonts w:ascii="Arial" w:hAnsi="Arial" w:cs="Arial"/>
              </w:rPr>
              <w:t>mid-2025</w:t>
            </w:r>
          </w:p>
        </w:tc>
        <w:tc>
          <w:tcPr>
            <w:tcW w:w="992" w:type="dxa"/>
          </w:tcPr>
          <w:p w14:paraId="59193598" w14:textId="77777777" w:rsidR="00386957" w:rsidRPr="009201F4" w:rsidRDefault="00386957" w:rsidP="00386957">
            <w:pPr>
              <w:jc w:val="center"/>
              <w:rPr>
                <w:rFonts w:ascii="Arial" w:hAnsi="Arial" w:cs="Arial"/>
                <w:sz w:val="21"/>
                <w:szCs w:val="21"/>
              </w:rPr>
            </w:pPr>
            <w:r w:rsidRPr="009201F4">
              <w:rPr>
                <w:rFonts w:ascii="Arial" w:hAnsi="Arial" w:cs="Arial"/>
                <w:sz w:val="21"/>
                <w:szCs w:val="21"/>
              </w:rPr>
              <w:t>7.8</w:t>
            </w:r>
          </w:p>
        </w:tc>
      </w:tr>
    </w:tbl>
    <w:p w14:paraId="5D1A07E3" w14:textId="77777777" w:rsidR="00386957" w:rsidRPr="009201F4" w:rsidRDefault="00386957" w:rsidP="00386957">
      <w:pPr>
        <w:spacing w:line="240" w:lineRule="auto"/>
        <w:ind w:left="360"/>
        <w:rPr>
          <w:rFonts w:ascii="Arial" w:hAnsi="Arial" w:cs="Arial"/>
          <w:sz w:val="20"/>
          <w:szCs w:val="20"/>
        </w:rPr>
      </w:pPr>
      <w:r w:rsidRPr="009201F4">
        <w:rPr>
          <w:rFonts w:ascii="Arial" w:hAnsi="Arial" w:cs="Arial"/>
          <w:sz w:val="24"/>
        </w:rPr>
        <w:t xml:space="preserve">* </w:t>
      </w:r>
      <w:r w:rsidRPr="009201F4">
        <w:rPr>
          <w:rFonts w:ascii="Arial" w:hAnsi="Arial" w:cs="Arial"/>
          <w:sz w:val="20"/>
          <w:szCs w:val="20"/>
        </w:rPr>
        <w:t>This is effectively a terminating measure as ongoing funding is only $43,000 in 2023-24 and beyond.</w:t>
      </w:r>
    </w:p>
    <w:p w14:paraId="4AAD74EB" w14:textId="20DB34F7" w:rsidR="00386957" w:rsidRPr="002E00B0" w:rsidRDefault="00386957" w:rsidP="00386957">
      <w:pPr>
        <w:spacing w:before="240" w:line="240" w:lineRule="auto"/>
        <w:rPr>
          <w:rFonts w:ascii="Arial" w:eastAsia="Times New Roman" w:hAnsi="Arial" w:cs="Arial"/>
          <w:sz w:val="24"/>
        </w:rPr>
      </w:pPr>
      <w:r>
        <w:rPr>
          <w:rFonts w:ascii="Arial" w:hAnsi="Arial" w:cs="Arial"/>
          <w:sz w:val="24"/>
        </w:rPr>
        <w:t xml:space="preserve">Consequently, </w:t>
      </w:r>
      <w:r w:rsidRPr="009201F4">
        <w:rPr>
          <w:rFonts w:ascii="Arial" w:hAnsi="Arial" w:cs="Arial"/>
          <w:sz w:val="24"/>
        </w:rPr>
        <w:t xml:space="preserve">the Commission’s appropriation revenue is estimated to fall from a peak in 2022-23 of $201.8 million to $184.8 million in 2023-24 and then decline further to $176.5 million in 2024-25 and $177.4 million in 2025-26. </w:t>
      </w:r>
      <w:r w:rsidRPr="002E00B0">
        <w:rPr>
          <w:rFonts w:ascii="Arial" w:eastAsia="Times New Roman" w:hAnsi="Arial" w:cs="Arial"/>
          <w:sz w:val="24"/>
        </w:rPr>
        <w:t xml:space="preserve">The Commission states </w:t>
      </w:r>
      <w:r w:rsidR="00433697">
        <w:rPr>
          <w:rFonts w:ascii="Arial" w:eastAsia="Times New Roman" w:hAnsi="Arial" w:cs="Arial"/>
          <w:sz w:val="24"/>
        </w:rPr>
        <w:t xml:space="preserve">the gap between costs and </w:t>
      </w:r>
      <w:r w:rsidRPr="002E00B0">
        <w:rPr>
          <w:rFonts w:ascii="Arial" w:eastAsia="Times New Roman" w:hAnsi="Arial" w:cs="Arial"/>
          <w:sz w:val="24"/>
        </w:rPr>
        <w:t xml:space="preserve">cost recovery revenue is also expected to </w:t>
      </w:r>
      <w:r w:rsidR="008766A9">
        <w:rPr>
          <w:rFonts w:ascii="Arial" w:eastAsia="Times New Roman" w:hAnsi="Arial" w:cs="Arial"/>
          <w:sz w:val="24"/>
        </w:rPr>
        <w:t xml:space="preserve">increase </w:t>
      </w:r>
      <w:r w:rsidRPr="002E00B0">
        <w:rPr>
          <w:rFonts w:ascii="Arial" w:eastAsia="Times New Roman" w:hAnsi="Arial" w:cs="Arial"/>
          <w:sz w:val="24"/>
        </w:rPr>
        <w:t xml:space="preserve">over the forward estimates due to the increased cost of delivering site audits (see below). </w:t>
      </w:r>
    </w:p>
    <w:p w14:paraId="7B6B32F5" w14:textId="4D074F52" w:rsidR="00386957" w:rsidRPr="009201F4" w:rsidRDefault="00386957" w:rsidP="005E17ED">
      <w:pPr>
        <w:keepLines/>
        <w:spacing w:line="240" w:lineRule="auto"/>
        <w:rPr>
          <w:rFonts w:ascii="Arial" w:hAnsi="Arial" w:cs="Arial"/>
          <w:sz w:val="24"/>
        </w:rPr>
      </w:pPr>
      <w:r w:rsidRPr="009201F4">
        <w:rPr>
          <w:rFonts w:ascii="Arial" w:hAnsi="Arial" w:cs="Arial"/>
          <w:sz w:val="24"/>
        </w:rPr>
        <w:t xml:space="preserve">Discussions with both the Commission and the </w:t>
      </w:r>
      <w:r>
        <w:rPr>
          <w:rFonts w:ascii="Arial" w:hAnsi="Arial" w:cs="Arial"/>
          <w:sz w:val="24"/>
        </w:rPr>
        <w:t>D</w:t>
      </w:r>
      <w:r w:rsidRPr="009201F4">
        <w:rPr>
          <w:rFonts w:ascii="Arial" w:hAnsi="Arial" w:cs="Arial"/>
          <w:sz w:val="24"/>
        </w:rPr>
        <w:t xml:space="preserve">epartment indicate that the Commission appears to have sufficient financial resources for the 2022-23 financial year. </w:t>
      </w:r>
      <w:r w:rsidR="008766A9">
        <w:rPr>
          <w:rFonts w:ascii="Arial" w:hAnsi="Arial" w:cs="Arial"/>
          <w:sz w:val="24"/>
        </w:rPr>
        <w:t>However, t</w:t>
      </w:r>
      <w:r w:rsidRPr="009201F4">
        <w:rPr>
          <w:rFonts w:ascii="Arial" w:hAnsi="Arial" w:cs="Arial"/>
          <w:sz w:val="24"/>
        </w:rPr>
        <w:t>his is mainly due to delays in recruiting the workforce required to deliver its regulatory role.</w:t>
      </w:r>
    </w:p>
    <w:p w14:paraId="5A8EEE2B" w14:textId="024EB039" w:rsidR="00386957" w:rsidRDefault="00386957" w:rsidP="00386957">
      <w:pPr>
        <w:spacing w:line="240" w:lineRule="auto"/>
        <w:rPr>
          <w:rFonts w:ascii="Arial" w:hAnsi="Arial" w:cs="Arial"/>
          <w:sz w:val="24"/>
        </w:rPr>
      </w:pPr>
      <w:r w:rsidRPr="009201F4">
        <w:rPr>
          <w:rFonts w:ascii="Arial" w:hAnsi="Arial" w:cs="Arial"/>
          <w:sz w:val="24"/>
        </w:rPr>
        <w:lastRenderedPageBreak/>
        <w:t xml:space="preserve">Beyond that, as funding starts to decline, the Commission has identified a pressure in 2023-24 due to additional costs it is incurring in conducting its accreditation program. The Commission has identified a funding gap for the 2023-2024 financial year with respect to their site audit cost recovery arrangements for residential aged care </w:t>
      </w:r>
      <w:r w:rsidRPr="005C39F0">
        <w:rPr>
          <w:rFonts w:ascii="Arial" w:hAnsi="Arial" w:cs="Arial"/>
          <w:sz w:val="24"/>
        </w:rPr>
        <w:t>services (see below). The</w:t>
      </w:r>
      <w:r w:rsidRPr="009201F4">
        <w:rPr>
          <w:rFonts w:ascii="Arial" w:hAnsi="Arial" w:cs="Arial"/>
          <w:sz w:val="24"/>
        </w:rPr>
        <w:t xml:space="preserve"> gap between fees revenue and costs incurred through site audit activity has been managed by the Commission, since 2017, through the diversion of funds from other regulatory activities where implementation has been delayed or offset by one-off additional funding to respond to the Royal Commission and COVID-19. Since July 2021, these costs have escalated further due to the need to supplement the number of site audits being undertaken </w:t>
      </w:r>
      <w:proofErr w:type="gramStart"/>
      <w:r w:rsidRPr="009201F4">
        <w:rPr>
          <w:rFonts w:ascii="Arial" w:hAnsi="Arial" w:cs="Arial"/>
          <w:sz w:val="24"/>
        </w:rPr>
        <w:t>through the use of</w:t>
      </w:r>
      <w:proofErr w:type="gramEnd"/>
      <w:r w:rsidRPr="009201F4">
        <w:rPr>
          <w:rFonts w:ascii="Arial" w:hAnsi="Arial" w:cs="Arial"/>
          <w:sz w:val="24"/>
        </w:rPr>
        <w:t xml:space="preserve"> third-party providers</w:t>
      </w:r>
      <w:r>
        <w:rPr>
          <w:rFonts w:ascii="Arial" w:hAnsi="Arial" w:cs="Arial"/>
          <w:sz w:val="24"/>
        </w:rPr>
        <w:t xml:space="preserve"> </w:t>
      </w:r>
      <w:r w:rsidRPr="005C39F0">
        <w:rPr>
          <w:rFonts w:ascii="Arial" w:hAnsi="Arial" w:cs="Arial"/>
          <w:sz w:val="24"/>
        </w:rPr>
        <w:t xml:space="preserve">(see </w:t>
      </w:r>
      <w:r w:rsidR="00987DE8">
        <w:rPr>
          <w:rFonts w:ascii="Arial" w:hAnsi="Arial" w:cs="Arial"/>
          <w:sz w:val="24"/>
        </w:rPr>
        <w:t>Section</w:t>
      </w:r>
      <w:r w:rsidR="00987DE8" w:rsidRPr="005C39F0">
        <w:rPr>
          <w:rFonts w:ascii="Arial" w:hAnsi="Arial" w:cs="Arial"/>
          <w:sz w:val="24"/>
        </w:rPr>
        <w:t xml:space="preserve"> </w:t>
      </w:r>
      <w:r w:rsidR="00781A59" w:rsidRPr="005C39F0">
        <w:rPr>
          <w:rFonts w:ascii="Arial" w:hAnsi="Arial" w:cs="Arial"/>
          <w:sz w:val="24"/>
        </w:rPr>
        <w:t>5.1</w:t>
      </w:r>
      <w:r w:rsidRPr="005C39F0">
        <w:rPr>
          <w:rFonts w:ascii="Arial" w:hAnsi="Arial" w:cs="Arial"/>
          <w:sz w:val="24"/>
        </w:rPr>
        <w:t>).</w:t>
      </w:r>
      <w:r w:rsidRPr="009201F4">
        <w:rPr>
          <w:rFonts w:ascii="Arial" w:hAnsi="Arial" w:cs="Arial"/>
          <w:sz w:val="24"/>
        </w:rPr>
        <w:t xml:space="preserve"> The Commission has advised they are not able to meet the ongoing gap between the actual cost of the audit function and fees charged (cost recovery) for 2023-2024. This gap is estimated to be approximately $20 million. </w:t>
      </w:r>
    </w:p>
    <w:p w14:paraId="3853C98E" w14:textId="5F678174" w:rsidR="00386957" w:rsidRPr="002E00B0" w:rsidRDefault="00386957" w:rsidP="00386957">
      <w:pPr>
        <w:spacing w:before="120" w:after="120" w:line="240" w:lineRule="auto"/>
        <w:rPr>
          <w:rFonts w:ascii="Arial" w:eastAsia="Times New Roman" w:hAnsi="Arial" w:cs="Arial"/>
          <w:i/>
          <w:iCs/>
          <w:sz w:val="24"/>
        </w:rPr>
      </w:pPr>
      <w:r w:rsidRPr="002E00B0">
        <w:rPr>
          <w:rFonts w:ascii="Arial" w:eastAsia="Times New Roman" w:hAnsi="Arial" w:cs="Arial"/>
          <w:i/>
          <w:iCs/>
          <w:sz w:val="24"/>
        </w:rPr>
        <w:t xml:space="preserve">Cost </w:t>
      </w:r>
      <w:r w:rsidR="0099789E" w:rsidRPr="002E00B0">
        <w:rPr>
          <w:rFonts w:ascii="Arial" w:eastAsia="Times New Roman" w:hAnsi="Arial" w:cs="Arial"/>
          <w:i/>
          <w:iCs/>
          <w:sz w:val="24"/>
        </w:rPr>
        <w:t>recovery</w:t>
      </w:r>
    </w:p>
    <w:p w14:paraId="01680F93" w14:textId="77777777" w:rsidR="00386957" w:rsidRPr="002E00B0" w:rsidRDefault="00386957" w:rsidP="00386957">
      <w:pPr>
        <w:spacing w:before="120" w:after="120" w:line="240" w:lineRule="auto"/>
        <w:rPr>
          <w:rFonts w:ascii="Arial" w:eastAsia="Times New Roman" w:hAnsi="Arial" w:cs="Arial"/>
          <w:sz w:val="24"/>
        </w:rPr>
      </w:pPr>
      <w:r w:rsidRPr="002E00B0">
        <w:rPr>
          <w:rFonts w:ascii="Arial" w:eastAsia="Times New Roman" w:hAnsi="Arial" w:cs="Arial"/>
          <w:sz w:val="24"/>
        </w:rPr>
        <w:t>The Commission has two functions which are subject to cost recovery arrangements – approved provider applications and accreditation. The Cost Recovery Guidelines require agencies to undertake an annual review of costs before each financial year begins and to publish a Cost Recovery Implementation Statement (CRIS).</w:t>
      </w:r>
    </w:p>
    <w:p w14:paraId="102A3CB8" w14:textId="7F5CBB97" w:rsidR="00386957" w:rsidRPr="002E00B0" w:rsidRDefault="00386957" w:rsidP="00386957">
      <w:pPr>
        <w:spacing w:before="120" w:after="120" w:line="240" w:lineRule="auto"/>
        <w:rPr>
          <w:rFonts w:ascii="Arial" w:eastAsia="Times New Roman" w:hAnsi="Arial" w:cs="Arial"/>
          <w:sz w:val="24"/>
        </w:rPr>
      </w:pPr>
      <w:r w:rsidRPr="002E00B0">
        <w:rPr>
          <w:rFonts w:ascii="Arial" w:eastAsia="Times New Roman" w:hAnsi="Arial" w:cs="Arial"/>
          <w:sz w:val="24"/>
        </w:rPr>
        <w:t>Provider application fees were introduced in November 2021 and are fully cost recovered. A CRIS for 2022-23 is published on the Commission’s website.</w:t>
      </w:r>
      <w:r w:rsidR="00CA75A9" w:rsidRPr="002E00B0">
        <w:rPr>
          <w:rStyle w:val="FootnoteReference"/>
          <w:rFonts w:ascii="Arial" w:eastAsia="Times New Roman" w:hAnsi="Arial" w:cs="Arial"/>
          <w:sz w:val="24"/>
        </w:rPr>
        <w:footnoteReference w:id="57"/>
      </w:r>
    </w:p>
    <w:p w14:paraId="3F6808CE" w14:textId="1FCB1948" w:rsidR="00386957" w:rsidRPr="002E00B0" w:rsidRDefault="00386957" w:rsidP="00386957">
      <w:pPr>
        <w:spacing w:before="120" w:after="120" w:line="240" w:lineRule="auto"/>
        <w:rPr>
          <w:rFonts w:ascii="Arial" w:eastAsia="Times New Roman" w:hAnsi="Arial" w:cs="Arial"/>
          <w:sz w:val="24"/>
        </w:rPr>
      </w:pPr>
      <w:r w:rsidRPr="002E00B0">
        <w:rPr>
          <w:rFonts w:ascii="Arial" w:eastAsia="Times New Roman" w:hAnsi="Arial" w:cs="Arial"/>
          <w:sz w:val="24"/>
        </w:rPr>
        <w:t xml:space="preserve">In 2016 Government announced a move from partial to full cost recovery for accreditation. The Commission’s predecessor entity (the Australian Aged Care Quality Agency) introduced full cost recovery for accreditation in May 2017. </w:t>
      </w:r>
      <w:r w:rsidR="008766A9">
        <w:rPr>
          <w:rFonts w:ascii="Arial" w:eastAsia="Times New Roman" w:hAnsi="Arial" w:cs="Arial"/>
          <w:sz w:val="24"/>
        </w:rPr>
        <w:t>However, c</w:t>
      </w:r>
      <w:r w:rsidRPr="002E00B0">
        <w:rPr>
          <w:rFonts w:ascii="Arial" w:eastAsia="Times New Roman" w:hAnsi="Arial" w:cs="Arial"/>
          <w:sz w:val="24"/>
        </w:rPr>
        <w:t>ost recovery arrangements and fees for accreditation have not been reviewed or updated since this time and the Commission does not have a published accreditation CRIS – rather its website states a CRIS for 2019-20 is “coming soon”.</w:t>
      </w:r>
      <w:r w:rsidR="00CA75A9" w:rsidRPr="002E00B0">
        <w:rPr>
          <w:rStyle w:val="FootnoteReference"/>
          <w:rFonts w:ascii="Arial" w:eastAsia="Times New Roman" w:hAnsi="Arial" w:cs="Arial"/>
          <w:sz w:val="24"/>
        </w:rPr>
        <w:footnoteReference w:id="58"/>
      </w:r>
      <w:r w:rsidRPr="002E00B0">
        <w:rPr>
          <w:rFonts w:ascii="Arial" w:eastAsia="Times New Roman" w:hAnsi="Arial" w:cs="Arial"/>
          <w:sz w:val="24"/>
        </w:rPr>
        <w:t xml:space="preserve"> </w:t>
      </w:r>
    </w:p>
    <w:p w14:paraId="1526A164" w14:textId="77777777" w:rsidR="00386957" w:rsidRPr="002E00B0" w:rsidRDefault="00386957" w:rsidP="00386957">
      <w:pPr>
        <w:spacing w:before="120" w:after="120" w:line="240" w:lineRule="auto"/>
        <w:rPr>
          <w:rFonts w:ascii="Arial" w:eastAsia="Times New Roman" w:hAnsi="Arial" w:cs="Arial"/>
          <w:sz w:val="24"/>
        </w:rPr>
      </w:pPr>
      <w:r w:rsidRPr="002E00B0">
        <w:rPr>
          <w:rFonts w:ascii="Arial" w:eastAsia="Times New Roman" w:hAnsi="Arial" w:cs="Arial"/>
          <w:sz w:val="24"/>
        </w:rPr>
        <w:t xml:space="preserve">The Commission identifies the following factors as having impacted on the Agency and Commission’s ability to undertake regular reviews to update the fees. </w:t>
      </w:r>
    </w:p>
    <w:p w14:paraId="060A2D55" w14:textId="77777777" w:rsidR="00386957" w:rsidRPr="002E00B0" w:rsidRDefault="00386957" w:rsidP="001750D5">
      <w:pPr>
        <w:numPr>
          <w:ilvl w:val="0"/>
          <w:numId w:val="51"/>
        </w:numPr>
        <w:spacing w:line="240" w:lineRule="auto"/>
        <w:ind w:left="360"/>
        <w:contextualSpacing/>
        <w:rPr>
          <w:rFonts w:ascii="Arial" w:hAnsi="Arial" w:cs="Arial"/>
          <w:sz w:val="24"/>
        </w:rPr>
      </w:pPr>
      <w:r w:rsidRPr="002E00B0">
        <w:rPr>
          <w:rFonts w:ascii="Arial" w:hAnsi="Arial" w:cs="Arial"/>
          <w:sz w:val="24"/>
        </w:rPr>
        <w:t xml:space="preserve">The development from 2017 and introduction in 2019 of new Aged Care Quality Standards, which were likely to affect the effort required to undertake an accreditation activity and therefore its associated cost. The Commission states time was needed for quality assessors to bed down their understanding of the new Standards and for the Commission to better align its business systems. </w:t>
      </w:r>
    </w:p>
    <w:p w14:paraId="4F79CB9A" w14:textId="77777777" w:rsidR="00386957" w:rsidRPr="002E00B0" w:rsidRDefault="00386957" w:rsidP="001750D5">
      <w:pPr>
        <w:numPr>
          <w:ilvl w:val="0"/>
          <w:numId w:val="51"/>
        </w:numPr>
        <w:spacing w:line="240" w:lineRule="auto"/>
        <w:ind w:left="360"/>
        <w:contextualSpacing/>
        <w:rPr>
          <w:rFonts w:ascii="Arial" w:hAnsi="Arial" w:cs="Arial"/>
          <w:sz w:val="24"/>
        </w:rPr>
      </w:pPr>
      <w:r w:rsidRPr="002E00B0">
        <w:rPr>
          <w:rFonts w:ascii="Arial" w:hAnsi="Arial" w:cs="Arial"/>
          <w:sz w:val="24"/>
        </w:rPr>
        <w:t xml:space="preserve">The onset of the COVID-19 pandemic from early 2020, which reduced the number of site audits that could be carried out, resulting in limited data around accreditation activity, and a reallocation of resources within the Commission to ensure an effective response to the COVID-19 pandemic. </w:t>
      </w:r>
    </w:p>
    <w:p w14:paraId="14413D0C" w14:textId="23959BC0" w:rsidR="00386957" w:rsidRPr="005E17ED" w:rsidRDefault="00386957" w:rsidP="005E17ED">
      <w:pPr>
        <w:spacing w:line="240" w:lineRule="auto"/>
        <w:rPr>
          <w:rFonts w:ascii="Arial" w:hAnsi="Arial" w:cs="Arial"/>
          <w:sz w:val="24"/>
        </w:rPr>
      </w:pPr>
      <w:r w:rsidRPr="005E17ED">
        <w:rPr>
          <w:rFonts w:ascii="Arial" w:hAnsi="Arial" w:cs="Arial"/>
          <w:sz w:val="24"/>
        </w:rPr>
        <w:t xml:space="preserve">To compound matters, the Commission states the cost of delivering site audits has increased significantly since 2017 due to increased wage and travel rates; implementation of the new Standards, resulting in a longer auditing process; the </w:t>
      </w:r>
      <w:r w:rsidRPr="005E17ED">
        <w:rPr>
          <w:rFonts w:ascii="Arial" w:hAnsi="Arial" w:cs="Arial"/>
          <w:sz w:val="24"/>
        </w:rPr>
        <w:lastRenderedPageBreak/>
        <w:t>requirement to publish site audit reports; increased rates of non-compliance; and challenges with workforce supply and retention.</w:t>
      </w:r>
      <w:r w:rsidR="00CA75A9" w:rsidRPr="005E17ED">
        <w:rPr>
          <w:rFonts w:ascii="Arial" w:hAnsi="Arial" w:cs="Arial"/>
          <w:sz w:val="24"/>
        </w:rPr>
        <w:footnoteReference w:id="59"/>
      </w:r>
    </w:p>
    <w:p w14:paraId="2A7E8C10" w14:textId="6243D6B9" w:rsidR="00386957" w:rsidRPr="005E17ED" w:rsidRDefault="00386957" w:rsidP="005E17ED">
      <w:pPr>
        <w:spacing w:line="240" w:lineRule="auto"/>
        <w:rPr>
          <w:rFonts w:ascii="Arial" w:hAnsi="Arial" w:cs="Arial"/>
          <w:sz w:val="24"/>
        </w:rPr>
      </w:pPr>
      <w:r w:rsidRPr="005E17ED">
        <w:rPr>
          <w:rFonts w:ascii="Arial" w:hAnsi="Arial" w:cs="Arial"/>
          <w:sz w:val="24"/>
        </w:rPr>
        <w:t>The Commission refers to its non-compliance with the Cost Recovery Guidelines as “administrative rather than legal” and describes the risk as “acceptable as it is of a short-term nature”.</w:t>
      </w:r>
      <w:r w:rsidR="008766A9" w:rsidRPr="005E17ED">
        <w:rPr>
          <w:rFonts w:ascii="Arial" w:hAnsi="Arial" w:cs="Arial"/>
          <w:sz w:val="24"/>
        </w:rPr>
        <w:t xml:space="preserve"> I do not agree with that view and consider that early action should be taken to rectify the situation, particularly </w:t>
      </w:r>
      <w:proofErr w:type="gramStart"/>
      <w:r w:rsidR="008766A9" w:rsidRPr="005E17ED">
        <w:rPr>
          <w:rFonts w:ascii="Arial" w:hAnsi="Arial" w:cs="Arial"/>
          <w:sz w:val="24"/>
        </w:rPr>
        <w:t>in light of</w:t>
      </w:r>
      <w:proofErr w:type="gramEnd"/>
      <w:r w:rsidR="008766A9" w:rsidRPr="005E17ED">
        <w:rPr>
          <w:rFonts w:ascii="Arial" w:hAnsi="Arial" w:cs="Arial"/>
          <w:sz w:val="24"/>
        </w:rPr>
        <w:t xml:space="preserve"> the increased costs being incurred.</w:t>
      </w:r>
    </w:p>
    <w:p w14:paraId="6F0726C3" w14:textId="3D84CD06" w:rsidR="00386957" w:rsidRPr="005E17ED" w:rsidRDefault="00833D08" w:rsidP="005E17ED">
      <w:pPr>
        <w:spacing w:line="240" w:lineRule="auto"/>
        <w:rPr>
          <w:rFonts w:ascii="Arial" w:hAnsi="Arial" w:cs="Arial"/>
          <w:sz w:val="24"/>
        </w:rPr>
      </w:pPr>
      <w:r w:rsidRPr="005E17ED">
        <w:rPr>
          <w:rFonts w:ascii="Arial" w:hAnsi="Arial" w:cs="Arial"/>
          <w:sz w:val="24"/>
        </w:rPr>
        <w:t>I</w:t>
      </w:r>
      <w:r w:rsidR="00386957" w:rsidRPr="005E17ED">
        <w:rPr>
          <w:rFonts w:ascii="Arial" w:hAnsi="Arial" w:cs="Arial"/>
          <w:sz w:val="24"/>
        </w:rPr>
        <w:t xml:space="preserve"> understand the Commission is consulting with the Department and the Department of Finance on this matter and that this issue will be considered in the context of </w:t>
      </w:r>
      <w:r w:rsidR="008766A9" w:rsidRPr="005E17ED">
        <w:rPr>
          <w:rFonts w:ascii="Arial" w:hAnsi="Arial" w:cs="Arial"/>
          <w:sz w:val="24"/>
        </w:rPr>
        <w:t xml:space="preserve">the 2023-24 </w:t>
      </w:r>
      <w:r w:rsidR="00386957" w:rsidRPr="005E17ED">
        <w:rPr>
          <w:rFonts w:ascii="Arial" w:hAnsi="Arial" w:cs="Arial"/>
          <w:sz w:val="24"/>
        </w:rPr>
        <w:t xml:space="preserve">Budget </w:t>
      </w:r>
      <w:r w:rsidR="008766A9" w:rsidRPr="005E17ED">
        <w:rPr>
          <w:rFonts w:ascii="Arial" w:hAnsi="Arial" w:cs="Arial"/>
          <w:sz w:val="24"/>
        </w:rPr>
        <w:t>process</w:t>
      </w:r>
      <w:r w:rsidR="00386957" w:rsidRPr="005E17ED">
        <w:rPr>
          <w:rFonts w:ascii="Arial" w:hAnsi="Arial" w:cs="Arial"/>
          <w:sz w:val="24"/>
        </w:rPr>
        <w:t>.</w:t>
      </w:r>
      <w:r w:rsidR="00CA75A9" w:rsidRPr="005E17ED">
        <w:rPr>
          <w:sz w:val="24"/>
        </w:rPr>
        <w:footnoteReference w:id="60"/>
      </w:r>
    </w:p>
    <w:p w14:paraId="0C0D1CBE" w14:textId="06AF628E" w:rsidR="00386957" w:rsidRPr="00B93775" w:rsidRDefault="00386957" w:rsidP="00386957">
      <w:pPr>
        <w:spacing w:line="240" w:lineRule="auto"/>
        <w:rPr>
          <w:rFonts w:ascii="Arial" w:hAnsi="Arial" w:cs="Arial"/>
          <w:i/>
          <w:iCs/>
          <w:sz w:val="24"/>
        </w:rPr>
      </w:pPr>
      <w:r w:rsidRPr="009201F4">
        <w:rPr>
          <w:rFonts w:ascii="Arial" w:hAnsi="Arial" w:cs="Arial"/>
          <w:i/>
          <w:iCs/>
          <w:sz w:val="24"/>
        </w:rPr>
        <w:t>Aged Care Regulatory Resource Model</w:t>
      </w:r>
    </w:p>
    <w:p w14:paraId="6E14641D" w14:textId="703EE5CF" w:rsidR="00386957" w:rsidRPr="009201F4" w:rsidRDefault="00386957" w:rsidP="00386957">
      <w:pPr>
        <w:spacing w:line="240" w:lineRule="auto"/>
        <w:rPr>
          <w:rFonts w:ascii="Arial" w:hAnsi="Arial" w:cs="Arial"/>
          <w:sz w:val="24"/>
        </w:rPr>
      </w:pPr>
      <w:r w:rsidRPr="009201F4">
        <w:rPr>
          <w:rFonts w:ascii="Arial" w:hAnsi="Arial" w:cs="Arial"/>
          <w:sz w:val="24"/>
        </w:rPr>
        <w:t>In recent years, the Commission has devoted substantial effort to the development of an Aged Care Regulatory Resource Model (the resourcing model). Work on it commenced in 2018 and the model has been progressively refined and appears to have become a sophisticated and robust model through its various iterations.</w:t>
      </w:r>
    </w:p>
    <w:p w14:paraId="1F519281" w14:textId="77777777" w:rsidR="00386957" w:rsidRPr="009201F4" w:rsidRDefault="00386957" w:rsidP="00386957">
      <w:pPr>
        <w:spacing w:line="240" w:lineRule="auto"/>
        <w:rPr>
          <w:rFonts w:ascii="Arial" w:hAnsi="Arial" w:cs="Arial"/>
          <w:sz w:val="24"/>
        </w:rPr>
      </w:pPr>
      <w:r w:rsidRPr="009201F4">
        <w:rPr>
          <w:rFonts w:ascii="Arial" w:hAnsi="Arial" w:cs="Arial"/>
          <w:sz w:val="24"/>
        </w:rPr>
        <w:t>The resourcing model does not cover all aspects of the Commission’s operations – it excludes corporate functions and cost recovered activities (which are modelled through separate cost recovery models) - but it does model the workforce impacts directly associated with many of the Commission’s more demand driven regulatory processes. However, while the model has been used as an evidence base for new policy proposals and as an internal management tool, it does not directly drive the determination of any of the Commission’s resourcing.</w:t>
      </w:r>
    </w:p>
    <w:p w14:paraId="176E31A9" w14:textId="77777777" w:rsidR="00386957" w:rsidRPr="009201F4" w:rsidRDefault="00386957" w:rsidP="00386957">
      <w:pPr>
        <w:spacing w:line="240" w:lineRule="auto"/>
        <w:rPr>
          <w:rFonts w:ascii="Arial" w:hAnsi="Arial" w:cs="Arial"/>
          <w:i/>
          <w:iCs/>
          <w:sz w:val="24"/>
        </w:rPr>
      </w:pPr>
      <w:r w:rsidRPr="009201F4">
        <w:rPr>
          <w:rFonts w:ascii="Arial" w:hAnsi="Arial" w:cs="Arial"/>
          <w:i/>
          <w:iCs/>
          <w:sz w:val="24"/>
        </w:rPr>
        <w:t>Funding of Review recommendations</w:t>
      </w:r>
    </w:p>
    <w:p w14:paraId="7973EF37" w14:textId="6CB87145" w:rsidR="00386957" w:rsidRPr="009201F4" w:rsidRDefault="00386957" w:rsidP="00386957">
      <w:pPr>
        <w:spacing w:line="240" w:lineRule="auto"/>
        <w:rPr>
          <w:rFonts w:ascii="Arial" w:hAnsi="Arial" w:cs="Arial"/>
          <w:sz w:val="24"/>
        </w:rPr>
      </w:pPr>
      <w:r w:rsidRPr="009201F4">
        <w:rPr>
          <w:rFonts w:ascii="Arial" w:hAnsi="Arial" w:cs="Arial"/>
          <w:sz w:val="24"/>
        </w:rPr>
        <w:t xml:space="preserve">This Review has made </w:t>
      </w:r>
      <w:proofErr w:type="gramStart"/>
      <w:r w:rsidRPr="009201F4">
        <w:rPr>
          <w:rFonts w:ascii="Arial" w:hAnsi="Arial" w:cs="Arial"/>
          <w:sz w:val="24"/>
        </w:rPr>
        <w:t>a number of</w:t>
      </w:r>
      <w:proofErr w:type="gramEnd"/>
      <w:r w:rsidRPr="009201F4">
        <w:rPr>
          <w:rFonts w:ascii="Arial" w:hAnsi="Arial" w:cs="Arial"/>
          <w:sz w:val="24"/>
        </w:rPr>
        <w:t xml:space="preserve"> recommendations that have resourcing implications for the Commission. </w:t>
      </w:r>
      <w:r>
        <w:rPr>
          <w:rFonts w:ascii="Arial" w:hAnsi="Arial" w:cs="Arial"/>
          <w:sz w:val="24"/>
        </w:rPr>
        <w:t xml:space="preserve">These will need to be considered in budget processes </w:t>
      </w:r>
      <w:proofErr w:type="gramStart"/>
      <w:r>
        <w:rPr>
          <w:rFonts w:ascii="Arial" w:hAnsi="Arial" w:cs="Arial"/>
          <w:sz w:val="24"/>
        </w:rPr>
        <w:t>in the near future</w:t>
      </w:r>
      <w:proofErr w:type="gramEnd"/>
      <w:r>
        <w:rPr>
          <w:rFonts w:ascii="Arial" w:hAnsi="Arial" w:cs="Arial"/>
          <w:sz w:val="24"/>
        </w:rPr>
        <w:t>.</w:t>
      </w:r>
    </w:p>
    <w:p w14:paraId="5DF78421" w14:textId="77777777" w:rsidR="00386957" w:rsidRPr="0057500B" w:rsidRDefault="00386957" w:rsidP="00386957">
      <w:pPr>
        <w:spacing w:line="240" w:lineRule="auto"/>
        <w:rPr>
          <w:rFonts w:ascii="Arial" w:hAnsi="Arial" w:cs="Arial"/>
          <w:i/>
          <w:iCs/>
          <w:sz w:val="24"/>
        </w:rPr>
      </w:pPr>
      <w:r w:rsidRPr="0057500B">
        <w:rPr>
          <w:rFonts w:ascii="Arial" w:hAnsi="Arial" w:cs="Arial"/>
          <w:i/>
          <w:iCs/>
          <w:sz w:val="24"/>
        </w:rPr>
        <w:t>Conclusions</w:t>
      </w:r>
    </w:p>
    <w:p w14:paraId="7B94D0E8" w14:textId="31937226" w:rsidR="00386957" w:rsidRPr="009201F4" w:rsidRDefault="00386957" w:rsidP="00386957">
      <w:pPr>
        <w:spacing w:line="240" w:lineRule="auto"/>
        <w:rPr>
          <w:rFonts w:ascii="Arial" w:hAnsi="Arial" w:cs="Arial"/>
          <w:sz w:val="24"/>
        </w:rPr>
      </w:pPr>
      <w:r w:rsidRPr="009201F4">
        <w:rPr>
          <w:rFonts w:ascii="Arial" w:hAnsi="Arial" w:cs="Arial"/>
          <w:sz w:val="24"/>
        </w:rPr>
        <w:t>Agencies that face significant changes in demand for their services over time can be at a disadvantage funding wise because of the delay and uncertainty between a change in demand occurring and it being funded through a Budget process. The Commission may be in this situation, where a significant change in its workload driven by external factors (for example, an increase in complaints) is unlikely to be recognised via any change in its funding for a year or more.</w:t>
      </w:r>
    </w:p>
    <w:p w14:paraId="171F5C34" w14:textId="218D9AB8" w:rsidR="00386957" w:rsidRPr="009201F4" w:rsidRDefault="00386957" w:rsidP="00386957">
      <w:pPr>
        <w:spacing w:line="240" w:lineRule="auto"/>
        <w:rPr>
          <w:rFonts w:ascii="Arial" w:hAnsi="Arial" w:cs="Arial"/>
          <w:sz w:val="24"/>
        </w:rPr>
      </w:pPr>
      <w:r w:rsidRPr="009201F4">
        <w:rPr>
          <w:rFonts w:ascii="Arial" w:hAnsi="Arial" w:cs="Arial"/>
          <w:sz w:val="24"/>
        </w:rPr>
        <w:t xml:space="preserve">The Commission will need to be properly resourced </w:t>
      </w:r>
      <w:proofErr w:type="gramStart"/>
      <w:r w:rsidRPr="009201F4">
        <w:rPr>
          <w:rFonts w:ascii="Arial" w:hAnsi="Arial" w:cs="Arial"/>
          <w:sz w:val="24"/>
        </w:rPr>
        <w:t>in order to</w:t>
      </w:r>
      <w:proofErr w:type="gramEnd"/>
      <w:r w:rsidRPr="009201F4">
        <w:rPr>
          <w:rFonts w:ascii="Arial" w:hAnsi="Arial" w:cs="Arial"/>
          <w:sz w:val="24"/>
        </w:rPr>
        <w:t xml:space="preserve"> be able to effectively discharge its functions and have appropriate frameworks and internal governance for ensuring the most effective deployment of resources to meet its priorities. A resourcing drop from mid-2023 poses considerable risks for the Commission to meet these priorities.</w:t>
      </w:r>
    </w:p>
    <w:p w14:paraId="2920FD8D" w14:textId="393F6E8A" w:rsidR="00386957" w:rsidRPr="002E00B0" w:rsidRDefault="00386957" w:rsidP="00386957">
      <w:pPr>
        <w:spacing w:before="120" w:after="120" w:line="240" w:lineRule="auto"/>
        <w:ind w:right="-330"/>
        <w:rPr>
          <w:rFonts w:ascii="Arial" w:hAnsi="Arial" w:cs="Arial"/>
          <w:sz w:val="24"/>
          <w:shd w:val="clear" w:color="auto" w:fill="FFFFFF"/>
        </w:rPr>
      </w:pPr>
      <w:r w:rsidRPr="002E00B0">
        <w:rPr>
          <w:rFonts w:ascii="Arial" w:hAnsi="Arial" w:cs="Arial"/>
          <w:b/>
          <w:bCs/>
          <w:sz w:val="24"/>
          <w:shd w:val="clear" w:color="auto" w:fill="FFFFFF"/>
        </w:rPr>
        <w:t>Recommendation 4.</w:t>
      </w:r>
      <w:r w:rsidR="002E00B0" w:rsidRPr="002E00B0">
        <w:rPr>
          <w:rFonts w:ascii="Arial" w:hAnsi="Arial" w:cs="Arial"/>
          <w:b/>
          <w:bCs/>
          <w:sz w:val="24"/>
          <w:shd w:val="clear" w:color="auto" w:fill="FFFFFF"/>
        </w:rPr>
        <w:t>1</w:t>
      </w:r>
      <w:r w:rsidR="00DF21A0">
        <w:rPr>
          <w:rFonts w:ascii="Arial" w:hAnsi="Arial" w:cs="Arial"/>
          <w:b/>
          <w:bCs/>
          <w:sz w:val="24"/>
          <w:shd w:val="clear" w:color="auto" w:fill="FFFFFF"/>
        </w:rPr>
        <w:t>1</w:t>
      </w:r>
      <w:r w:rsidRPr="002E00B0">
        <w:rPr>
          <w:rFonts w:ascii="Arial" w:hAnsi="Arial" w:cs="Arial"/>
          <w:sz w:val="24"/>
          <w:shd w:val="clear" w:color="auto" w:fill="FFFFFF"/>
        </w:rPr>
        <w:t xml:space="preserve">: The Commission’s 2022-23 resourcing levels </w:t>
      </w:r>
      <w:r w:rsidR="009327BC">
        <w:rPr>
          <w:rFonts w:ascii="Arial" w:hAnsi="Arial" w:cs="Arial"/>
          <w:sz w:val="24"/>
          <w:shd w:val="clear" w:color="auto" w:fill="FFFFFF"/>
        </w:rPr>
        <w:t>to</w:t>
      </w:r>
      <w:r w:rsidRPr="002E00B0">
        <w:rPr>
          <w:rFonts w:ascii="Arial" w:hAnsi="Arial" w:cs="Arial"/>
          <w:sz w:val="24"/>
          <w:shd w:val="clear" w:color="auto" w:fill="FFFFFF"/>
        </w:rPr>
        <w:t xml:space="preserve"> be maintained through 2023-24.</w:t>
      </w:r>
    </w:p>
    <w:p w14:paraId="01E2AA0D" w14:textId="458AF7E0" w:rsidR="009327BC" w:rsidRDefault="00386957" w:rsidP="009327BC">
      <w:pPr>
        <w:spacing w:before="120" w:after="120" w:line="240" w:lineRule="auto"/>
        <w:rPr>
          <w:rFonts w:ascii="Arial" w:hAnsi="Arial" w:cs="Arial"/>
          <w:b/>
          <w:bCs/>
          <w:sz w:val="24"/>
          <w:shd w:val="clear" w:color="auto" w:fill="FFFFFF"/>
        </w:rPr>
      </w:pPr>
      <w:r w:rsidRPr="002E00B0">
        <w:rPr>
          <w:rFonts w:ascii="Arial" w:hAnsi="Arial" w:cs="Arial"/>
          <w:b/>
          <w:bCs/>
          <w:sz w:val="24"/>
          <w:shd w:val="clear" w:color="auto" w:fill="FFFFFF"/>
        </w:rPr>
        <w:lastRenderedPageBreak/>
        <w:t>Recommendation 4.</w:t>
      </w:r>
      <w:r w:rsidR="002E00B0" w:rsidRPr="002E00B0">
        <w:rPr>
          <w:rFonts w:ascii="Arial" w:hAnsi="Arial" w:cs="Arial"/>
          <w:b/>
          <w:bCs/>
          <w:sz w:val="24"/>
          <w:shd w:val="clear" w:color="auto" w:fill="FFFFFF"/>
        </w:rPr>
        <w:t>1</w:t>
      </w:r>
      <w:r w:rsidR="00DF21A0">
        <w:rPr>
          <w:rFonts w:ascii="Arial" w:hAnsi="Arial" w:cs="Arial"/>
          <w:b/>
          <w:bCs/>
          <w:sz w:val="24"/>
          <w:shd w:val="clear" w:color="auto" w:fill="FFFFFF"/>
        </w:rPr>
        <w:t>2</w:t>
      </w:r>
      <w:r w:rsidRPr="002E00B0">
        <w:rPr>
          <w:rFonts w:ascii="Arial" w:hAnsi="Arial" w:cs="Arial"/>
          <w:b/>
          <w:bCs/>
          <w:sz w:val="24"/>
          <w:shd w:val="clear" w:color="auto" w:fill="FFFFFF"/>
        </w:rPr>
        <w:t>:</w:t>
      </w:r>
      <w:r w:rsidRPr="002E00B0">
        <w:rPr>
          <w:rFonts w:ascii="Arial" w:hAnsi="Arial" w:cs="Arial"/>
          <w:sz w:val="24"/>
          <w:shd w:val="clear" w:color="auto" w:fill="FFFFFF"/>
        </w:rPr>
        <w:t xml:space="preserve"> </w:t>
      </w:r>
      <w:r w:rsidR="009327BC">
        <w:rPr>
          <w:rFonts w:ascii="Arial" w:hAnsi="Arial" w:cs="Arial"/>
          <w:sz w:val="24"/>
          <w:shd w:val="clear" w:color="auto" w:fill="FFFFFF"/>
        </w:rPr>
        <w:t xml:space="preserve">The Department to urgently consider </w:t>
      </w:r>
      <w:r w:rsidR="009327BC" w:rsidRPr="003E029A">
        <w:rPr>
          <w:rFonts w:ascii="Arial" w:hAnsi="Arial" w:cs="Arial"/>
          <w:sz w:val="24"/>
          <w:shd w:val="clear" w:color="auto" w:fill="FFFFFF"/>
        </w:rPr>
        <w:t xml:space="preserve">how </w:t>
      </w:r>
      <w:r w:rsidR="009327BC">
        <w:rPr>
          <w:rFonts w:ascii="Arial" w:hAnsi="Arial" w:cs="Arial"/>
          <w:sz w:val="24"/>
          <w:shd w:val="clear" w:color="auto" w:fill="FFFFFF"/>
        </w:rPr>
        <w:t xml:space="preserve">the </w:t>
      </w:r>
      <w:r w:rsidR="009327BC" w:rsidRPr="003E029A">
        <w:rPr>
          <w:rFonts w:ascii="Arial" w:hAnsi="Arial" w:cs="Arial"/>
          <w:sz w:val="24"/>
          <w:shd w:val="clear" w:color="auto" w:fill="FFFFFF"/>
        </w:rPr>
        <w:t xml:space="preserve">recommendations of this review which have </w:t>
      </w:r>
      <w:r w:rsidR="009327BC" w:rsidRPr="003E029A">
        <w:rPr>
          <w:rFonts w:ascii="Arial" w:hAnsi="Arial" w:cs="Arial"/>
          <w:sz w:val="24"/>
        </w:rPr>
        <w:t>resourcing implications will be funded.</w:t>
      </w:r>
    </w:p>
    <w:p w14:paraId="663FDAB0" w14:textId="5B30D34E" w:rsidR="00386957" w:rsidRPr="005D0AF3" w:rsidRDefault="00386957" w:rsidP="00386957">
      <w:pPr>
        <w:spacing w:before="120" w:after="120" w:line="240" w:lineRule="auto"/>
        <w:rPr>
          <w:rFonts w:ascii="Arial" w:hAnsi="Arial" w:cs="Arial"/>
          <w:sz w:val="24"/>
        </w:rPr>
      </w:pPr>
      <w:r w:rsidRPr="005D0AF3">
        <w:rPr>
          <w:rFonts w:ascii="Arial" w:hAnsi="Arial" w:cs="Arial"/>
          <w:b/>
          <w:bCs/>
          <w:color w:val="000000"/>
          <w:sz w:val="24"/>
          <w:shd w:val="clear" w:color="auto" w:fill="FFFFFF"/>
        </w:rPr>
        <w:t>Recommendation 4.</w:t>
      </w:r>
      <w:r w:rsidR="00406428" w:rsidRPr="005D0AF3">
        <w:rPr>
          <w:rFonts w:ascii="Arial" w:hAnsi="Arial" w:cs="Arial"/>
          <w:b/>
          <w:bCs/>
          <w:color w:val="000000"/>
          <w:sz w:val="24"/>
          <w:shd w:val="clear" w:color="auto" w:fill="FFFFFF"/>
        </w:rPr>
        <w:t>1</w:t>
      </w:r>
      <w:r w:rsidR="00DF21A0">
        <w:rPr>
          <w:rFonts w:ascii="Arial" w:hAnsi="Arial" w:cs="Arial"/>
          <w:b/>
          <w:bCs/>
          <w:color w:val="000000"/>
          <w:sz w:val="24"/>
          <w:shd w:val="clear" w:color="auto" w:fill="FFFFFF"/>
        </w:rPr>
        <w:t>3</w:t>
      </w:r>
      <w:r w:rsidRPr="005D0AF3">
        <w:rPr>
          <w:rFonts w:ascii="Arial" w:hAnsi="Arial" w:cs="Arial"/>
          <w:color w:val="000000"/>
          <w:sz w:val="24"/>
          <w:shd w:val="clear" w:color="auto" w:fill="FFFFFF"/>
        </w:rPr>
        <w:t xml:space="preserve">: </w:t>
      </w:r>
      <w:r w:rsidR="00972D22">
        <w:rPr>
          <w:rFonts w:ascii="Arial" w:hAnsi="Arial" w:cs="Arial"/>
          <w:color w:val="000000"/>
          <w:sz w:val="24"/>
          <w:shd w:val="clear" w:color="auto" w:fill="FFFFFF"/>
        </w:rPr>
        <w:t xml:space="preserve">The Department, the </w:t>
      </w:r>
      <w:proofErr w:type="gramStart"/>
      <w:r w:rsidR="00972D22">
        <w:rPr>
          <w:rFonts w:ascii="Arial" w:hAnsi="Arial" w:cs="Arial"/>
          <w:color w:val="000000"/>
          <w:sz w:val="24"/>
          <w:shd w:val="clear" w:color="auto" w:fill="FFFFFF"/>
        </w:rPr>
        <w:t>Commission</w:t>
      </w:r>
      <w:proofErr w:type="gramEnd"/>
      <w:r w:rsidR="00972D22">
        <w:rPr>
          <w:rFonts w:ascii="Arial" w:hAnsi="Arial" w:cs="Arial"/>
          <w:color w:val="000000"/>
          <w:sz w:val="24"/>
          <w:shd w:val="clear" w:color="auto" w:fill="FFFFFF"/>
        </w:rPr>
        <w:t xml:space="preserve"> and the </w:t>
      </w:r>
      <w:r w:rsidR="00972D22" w:rsidRPr="009201F4">
        <w:rPr>
          <w:rFonts w:ascii="Arial" w:hAnsi="Arial" w:cs="Arial"/>
          <w:color w:val="000000"/>
          <w:sz w:val="24"/>
          <w:shd w:val="clear" w:color="auto" w:fill="FFFFFF"/>
        </w:rPr>
        <w:t xml:space="preserve">Department of Finance </w:t>
      </w:r>
      <w:r w:rsidR="00972D22">
        <w:rPr>
          <w:rFonts w:ascii="Arial" w:hAnsi="Arial" w:cs="Arial"/>
          <w:color w:val="000000"/>
          <w:sz w:val="24"/>
          <w:shd w:val="clear" w:color="auto" w:fill="FFFFFF"/>
        </w:rPr>
        <w:t xml:space="preserve">to undertake a joint project in 2023 </w:t>
      </w:r>
      <w:r w:rsidR="00972D22" w:rsidRPr="009201F4">
        <w:rPr>
          <w:rFonts w:ascii="Arial" w:hAnsi="Arial" w:cs="Arial"/>
          <w:color w:val="000000"/>
          <w:sz w:val="24"/>
          <w:shd w:val="clear" w:color="auto" w:fill="FFFFFF"/>
        </w:rPr>
        <w:t xml:space="preserve">to develop an appropriate </w:t>
      </w:r>
      <w:r w:rsidR="00972D22">
        <w:rPr>
          <w:rFonts w:ascii="Arial" w:hAnsi="Arial" w:cs="Arial"/>
          <w:color w:val="000000"/>
          <w:sz w:val="24"/>
          <w:shd w:val="clear" w:color="auto" w:fill="FFFFFF"/>
        </w:rPr>
        <w:t xml:space="preserve">and </w:t>
      </w:r>
      <w:r w:rsidR="00972D22" w:rsidRPr="009201F4">
        <w:rPr>
          <w:rFonts w:ascii="Arial" w:hAnsi="Arial" w:cs="Arial"/>
          <w:color w:val="000000"/>
          <w:sz w:val="24"/>
          <w:shd w:val="clear" w:color="auto" w:fill="FFFFFF"/>
        </w:rPr>
        <w:t>ongoing funding model.</w:t>
      </w:r>
      <w:r w:rsidR="00972D22">
        <w:rPr>
          <w:rFonts w:ascii="Arial" w:hAnsi="Arial" w:cs="Arial"/>
          <w:color w:val="000000"/>
          <w:sz w:val="24"/>
          <w:shd w:val="clear" w:color="auto" w:fill="FFFFFF"/>
        </w:rPr>
        <w:t xml:space="preserve"> </w:t>
      </w:r>
      <w:r w:rsidRPr="005D0AF3">
        <w:rPr>
          <w:rFonts w:ascii="Arial" w:hAnsi="Arial" w:cs="Arial"/>
          <w:color w:val="000000"/>
          <w:sz w:val="24"/>
          <w:shd w:val="clear" w:color="auto" w:fill="FFFFFF"/>
        </w:rPr>
        <w:t xml:space="preserve">This could include, for limited appropriate functions, a funding mechanism for the Commission that sees its appropriation revenue directly determined by estimated workloads with adjustments through the year on a ‘no-win, no-loss </w:t>
      </w:r>
      <w:proofErr w:type="spellStart"/>
      <w:proofErr w:type="gramStart"/>
      <w:r w:rsidRPr="005D0AF3">
        <w:rPr>
          <w:rFonts w:ascii="Arial" w:hAnsi="Arial" w:cs="Arial"/>
          <w:color w:val="000000"/>
          <w:sz w:val="24"/>
          <w:shd w:val="clear" w:color="auto" w:fill="FFFFFF"/>
        </w:rPr>
        <w:t>basis’</w:t>
      </w:r>
      <w:proofErr w:type="spellEnd"/>
      <w:proofErr w:type="gramEnd"/>
      <w:r w:rsidRPr="005D0AF3">
        <w:rPr>
          <w:rFonts w:ascii="Arial" w:hAnsi="Arial" w:cs="Arial"/>
          <w:color w:val="000000"/>
          <w:sz w:val="24"/>
          <w:shd w:val="clear" w:color="auto" w:fill="FFFFFF"/>
        </w:rPr>
        <w:t xml:space="preserve"> against actual workloads. This could be </w:t>
      </w:r>
      <w:proofErr w:type="gramStart"/>
      <w:r w:rsidRPr="005D0AF3">
        <w:rPr>
          <w:rFonts w:ascii="Arial" w:hAnsi="Arial" w:cs="Arial"/>
          <w:color w:val="000000"/>
          <w:sz w:val="24"/>
          <w:shd w:val="clear" w:color="auto" w:fill="FFFFFF"/>
        </w:rPr>
        <w:t>similar to</w:t>
      </w:r>
      <w:proofErr w:type="gramEnd"/>
      <w:r w:rsidRPr="005D0AF3">
        <w:rPr>
          <w:rFonts w:ascii="Arial" w:hAnsi="Arial" w:cs="Arial"/>
          <w:color w:val="000000"/>
          <w:sz w:val="24"/>
          <w:shd w:val="clear" w:color="auto" w:fill="FFFFFF"/>
        </w:rPr>
        <w:t xml:space="preserve"> models that currently exist for resourcing elements of Services Australia’s work. </w:t>
      </w:r>
    </w:p>
    <w:p w14:paraId="5910AC3B" w14:textId="7D104671" w:rsidR="0024199A" w:rsidRPr="001364C7" w:rsidRDefault="00386957" w:rsidP="001364C7">
      <w:pPr>
        <w:spacing w:before="120" w:after="360" w:line="240" w:lineRule="auto"/>
        <w:rPr>
          <w:rFonts w:ascii="Arial" w:hAnsi="Arial" w:cs="Arial"/>
          <w:sz w:val="24"/>
        </w:rPr>
      </w:pPr>
      <w:r w:rsidRPr="005D0AF3">
        <w:rPr>
          <w:rFonts w:ascii="Arial" w:hAnsi="Arial" w:cs="Arial"/>
          <w:sz w:val="24"/>
        </w:rPr>
        <w:t>This work should commence immediately and be completed by September 2023.</w:t>
      </w:r>
      <w:bookmarkEnd w:id="16"/>
    </w:p>
    <w:p w14:paraId="2DE9544A" w14:textId="506BF7DD" w:rsidR="00F54A39" w:rsidRPr="00A00298" w:rsidRDefault="00A2358A" w:rsidP="00A00298">
      <w:pPr>
        <w:rPr>
          <w:rFonts w:ascii="Arial" w:hAnsi="Arial" w:cs="Arial"/>
          <w:b/>
          <w:bCs/>
          <w:sz w:val="28"/>
          <w:szCs w:val="28"/>
        </w:rPr>
      </w:pPr>
      <w:r w:rsidRPr="00A00298">
        <w:rPr>
          <w:rFonts w:ascii="Arial" w:hAnsi="Arial" w:cs="Arial"/>
          <w:b/>
          <w:bCs/>
          <w:sz w:val="28"/>
          <w:szCs w:val="28"/>
        </w:rPr>
        <w:t>4</w:t>
      </w:r>
      <w:r w:rsidR="00F54A39" w:rsidRPr="00A00298">
        <w:rPr>
          <w:rFonts w:ascii="Arial" w:hAnsi="Arial" w:cs="Arial"/>
          <w:b/>
          <w:bCs/>
          <w:sz w:val="28"/>
          <w:szCs w:val="28"/>
        </w:rPr>
        <w:t>.</w:t>
      </w:r>
      <w:r w:rsidR="00386957" w:rsidRPr="00A00298">
        <w:rPr>
          <w:rFonts w:ascii="Arial" w:hAnsi="Arial" w:cs="Arial"/>
          <w:b/>
          <w:bCs/>
          <w:sz w:val="28"/>
          <w:szCs w:val="28"/>
        </w:rPr>
        <w:t>9</w:t>
      </w:r>
      <w:r w:rsidR="00F54A39" w:rsidRPr="00A00298">
        <w:rPr>
          <w:rFonts w:ascii="Arial" w:hAnsi="Arial" w:cs="Arial"/>
          <w:b/>
          <w:bCs/>
          <w:sz w:val="28"/>
          <w:szCs w:val="28"/>
        </w:rPr>
        <w:t xml:space="preserve"> Regulatory strategy</w:t>
      </w:r>
      <w:r w:rsidRPr="00A00298">
        <w:rPr>
          <w:rFonts w:ascii="Arial" w:hAnsi="Arial" w:cs="Arial"/>
          <w:b/>
          <w:bCs/>
          <w:sz w:val="28"/>
          <w:szCs w:val="28"/>
        </w:rPr>
        <w:t xml:space="preserve"> and operating model</w:t>
      </w:r>
    </w:p>
    <w:p w14:paraId="40F18E77" w14:textId="070AC243" w:rsidR="00650F8D" w:rsidRPr="00912946" w:rsidRDefault="00650F8D" w:rsidP="00650F8D">
      <w:pPr>
        <w:spacing w:before="120" w:after="120" w:line="240" w:lineRule="auto"/>
      </w:pPr>
      <w:r w:rsidRPr="00912946">
        <w:rPr>
          <w:rFonts w:ascii="Arial" w:eastAsia="Times New Roman" w:hAnsi="Arial" w:cs="Arial"/>
          <w:sz w:val="24"/>
          <w:szCs w:val="24"/>
        </w:rPr>
        <w:t>Best practice, contemporary regulation is founded on regulatory activity which is risk-based, outcome-focused and proportionate, and focused on behaviour</w:t>
      </w:r>
      <w:r w:rsidR="008766A9">
        <w:rPr>
          <w:rFonts w:ascii="Arial" w:eastAsia="Times New Roman" w:hAnsi="Arial" w:cs="Arial"/>
          <w:sz w:val="24"/>
          <w:szCs w:val="24"/>
        </w:rPr>
        <w:t>al</w:t>
      </w:r>
      <w:r w:rsidRPr="00912946">
        <w:rPr>
          <w:rFonts w:ascii="Arial" w:eastAsia="Times New Roman" w:hAnsi="Arial" w:cs="Arial"/>
          <w:sz w:val="24"/>
          <w:szCs w:val="24"/>
        </w:rPr>
        <w:t xml:space="preserve"> change rather than enforcement. Regulators are supported to achieve this through a suite of well-calibrated activities and powers, which seek to ensure they get the balance right between encouraging</w:t>
      </w:r>
      <w:r w:rsidRPr="00912946">
        <w:rPr>
          <w:rFonts w:ascii="Arial" w:hAnsi="Arial" w:cs="Arial"/>
          <w:sz w:val="24"/>
          <w:szCs w:val="24"/>
        </w:rPr>
        <w:t xml:space="preserve"> behaviour</w:t>
      </w:r>
      <w:r w:rsidR="008766A9">
        <w:rPr>
          <w:rFonts w:ascii="Arial" w:hAnsi="Arial" w:cs="Arial"/>
          <w:sz w:val="24"/>
          <w:szCs w:val="24"/>
        </w:rPr>
        <w:t>al</w:t>
      </w:r>
      <w:r w:rsidRPr="00912946">
        <w:rPr>
          <w:rFonts w:ascii="Arial" w:hAnsi="Arial" w:cs="Arial"/>
          <w:sz w:val="24"/>
          <w:szCs w:val="24"/>
        </w:rPr>
        <w:t xml:space="preserve"> change and enforcing compliance </w:t>
      </w:r>
      <w:r w:rsidR="00CA75A9" w:rsidRPr="00912946">
        <w:rPr>
          <w:rFonts w:ascii="Arial" w:hAnsi="Arial" w:cs="Arial"/>
          <w:sz w:val="24"/>
          <w:szCs w:val="24"/>
        </w:rPr>
        <w:t>action.</w:t>
      </w:r>
      <w:r w:rsidR="00CA75A9" w:rsidRPr="00912946">
        <w:rPr>
          <w:rFonts w:eastAsia="Times New Roman"/>
          <w:vertAlign w:val="superscript"/>
        </w:rPr>
        <w:footnoteReference w:id="61"/>
      </w:r>
      <w:r w:rsidR="00CA75A9" w:rsidRPr="00912946">
        <w:rPr>
          <w:rFonts w:eastAsia="Times New Roman"/>
        </w:rPr>
        <w:t xml:space="preserve"> </w:t>
      </w:r>
      <w:r w:rsidRPr="00912946">
        <w:rPr>
          <w:rFonts w:ascii="Arial" w:eastAsia="Times New Roman" w:hAnsi="Arial" w:cs="Arial"/>
          <w:sz w:val="24"/>
          <w:szCs w:val="24"/>
        </w:rPr>
        <w:t xml:space="preserve">The Regulatory Strategy of a modern contemporary regulator clearly describes how this balance will be achieved. </w:t>
      </w:r>
    </w:p>
    <w:p w14:paraId="0DF34C7E" w14:textId="395CE2F5" w:rsidR="00650F8D" w:rsidRPr="00912946" w:rsidRDefault="00650F8D" w:rsidP="00650F8D">
      <w:pPr>
        <w:tabs>
          <w:tab w:val="left" w:pos="720"/>
        </w:tabs>
        <w:spacing w:before="120" w:after="120" w:line="240" w:lineRule="auto"/>
        <w:rPr>
          <w:rFonts w:ascii="Arial" w:eastAsia="Times New Roman" w:hAnsi="Arial" w:cs="Arial"/>
          <w:sz w:val="24"/>
          <w:szCs w:val="24"/>
        </w:rPr>
      </w:pPr>
      <w:r w:rsidRPr="00912946">
        <w:rPr>
          <w:rFonts w:ascii="Arial" w:eastAsia="Times New Roman" w:hAnsi="Arial" w:cs="Arial"/>
          <w:sz w:val="24"/>
          <w:szCs w:val="24"/>
        </w:rPr>
        <w:t xml:space="preserve">Contemporary regulatory strategies outline </w:t>
      </w:r>
      <w:r w:rsidRPr="00912946">
        <w:rPr>
          <w:rFonts w:ascii="Arial" w:eastAsia="Times New Roman" w:hAnsi="Arial" w:cs="Arial"/>
          <w:sz w:val="24"/>
          <w:szCs w:val="24"/>
          <w:lang w:eastAsia="en-AU"/>
        </w:rPr>
        <w:t xml:space="preserve">the organisation’s approach to regulation, in the context of </w:t>
      </w:r>
      <w:r w:rsidRPr="00912946">
        <w:rPr>
          <w:rFonts w:ascii="Arial" w:eastAsia="Times New Roman" w:hAnsi="Arial" w:cs="Arial"/>
          <w:sz w:val="24"/>
          <w:szCs w:val="24"/>
        </w:rPr>
        <w:t xml:space="preserve">risk-based, outcome-focused, proportionate regulation. They set out regulatory objectives and describe how data and intelligence is used to achieve these objectives. They explain how the organisation detects and treats risk, outlines the preventative and responsive activities and actions available to the organisation, and describes when these will be </w:t>
      </w:r>
      <w:r w:rsidR="00755CC3">
        <w:rPr>
          <w:rFonts w:ascii="Arial" w:eastAsia="Times New Roman" w:hAnsi="Arial" w:cs="Arial"/>
          <w:sz w:val="24"/>
          <w:szCs w:val="24"/>
        </w:rPr>
        <w:t>deployed</w:t>
      </w:r>
      <w:r w:rsidRPr="00912946">
        <w:rPr>
          <w:rFonts w:ascii="Arial" w:eastAsia="Times New Roman" w:hAnsi="Arial" w:cs="Arial"/>
          <w:sz w:val="24"/>
          <w:szCs w:val="24"/>
        </w:rPr>
        <w:t xml:space="preserve"> and why. The activities and actions outlined in the strategy are guided by well-calibrated risk assessments and presented in a way that stakeholders are easily able to understand, and which supports the balance the regulator is seeking to achieve. </w:t>
      </w:r>
    </w:p>
    <w:p w14:paraId="49CA2868" w14:textId="77777777" w:rsidR="00650F8D" w:rsidRPr="00912946" w:rsidRDefault="00650F8D" w:rsidP="00650F8D">
      <w:pPr>
        <w:tabs>
          <w:tab w:val="left" w:pos="720"/>
        </w:tabs>
        <w:spacing w:before="120" w:after="120" w:line="240" w:lineRule="auto"/>
        <w:rPr>
          <w:rFonts w:ascii="Arial" w:eastAsia="Times New Roman" w:hAnsi="Arial" w:cs="Arial"/>
          <w:sz w:val="24"/>
          <w:szCs w:val="24"/>
        </w:rPr>
      </w:pPr>
      <w:r w:rsidRPr="00912946">
        <w:rPr>
          <w:rFonts w:ascii="Arial" w:eastAsia="Times New Roman" w:hAnsi="Arial" w:cs="Arial"/>
          <w:sz w:val="24"/>
          <w:szCs w:val="24"/>
        </w:rPr>
        <w:t xml:space="preserve">Contemporary regulatory strategies also commit the organisation to engaging with stakeholders on changes in regulatory approach and publishing information about the organisation’s performance, to ensure transparency and accountability and to build trust. </w:t>
      </w:r>
    </w:p>
    <w:p w14:paraId="6B7D052E" w14:textId="77777777" w:rsidR="00650F8D" w:rsidRPr="00912946" w:rsidRDefault="00650F8D" w:rsidP="00650F8D">
      <w:pPr>
        <w:spacing w:before="120" w:after="120" w:line="240" w:lineRule="auto"/>
        <w:rPr>
          <w:rFonts w:ascii="Arial" w:hAnsi="Arial" w:cs="Arial"/>
          <w:sz w:val="24"/>
          <w:szCs w:val="24"/>
        </w:rPr>
      </w:pPr>
      <w:r w:rsidRPr="00912946">
        <w:rPr>
          <w:rFonts w:ascii="Arial" w:hAnsi="Arial" w:cs="Arial"/>
          <w:sz w:val="24"/>
          <w:szCs w:val="24"/>
        </w:rPr>
        <w:t>The Commission’s Regulatory Strategy appears to reflect contemporary best practice regulation. The Strategy:</w:t>
      </w:r>
    </w:p>
    <w:p w14:paraId="363CA907" w14:textId="77777777" w:rsidR="00650F8D" w:rsidRPr="00912946" w:rsidRDefault="00650F8D" w:rsidP="001750D5">
      <w:pPr>
        <w:numPr>
          <w:ilvl w:val="0"/>
          <w:numId w:val="48"/>
        </w:numPr>
        <w:spacing w:before="120" w:after="120" w:line="240" w:lineRule="auto"/>
        <w:rPr>
          <w:rFonts w:ascii="Arial" w:hAnsi="Arial" w:cs="Arial"/>
          <w:sz w:val="24"/>
          <w:szCs w:val="24"/>
          <w:lang w:eastAsia="en-AU"/>
        </w:rPr>
      </w:pPr>
      <w:r w:rsidRPr="00912946">
        <w:rPr>
          <w:rFonts w:ascii="Arial" w:hAnsi="Arial" w:cs="Arial"/>
          <w:sz w:val="24"/>
          <w:szCs w:val="24"/>
          <w:lang w:eastAsia="en-AU"/>
        </w:rPr>
        <w:t xml:space="preserve">details how the Commission seeks to empower and engage consumers, regulate providers, </w:t>
      </w:r>
      <w:proofErr w:type="gramStart"/>
      <w:r w:rsidRPr="00912946">
        <w:rPr>
          <w:rFonts w:ascii="Arial" w:hAnsi="Arial" w:cs="Arial"/>
          <w:sz w:val="24"/>
          <w:szCs w:val="24"/>
          <w:lang w:eastAsia="en-AU"/>
        </w:rPr>
        <w:t>detect</w:t>
      </w:r>
      <w:proofErr w:type="gramEnd"/>
      <w:r w:rsidRPr="00912946">
        <w:rPr>
          <w:rFonts w:ascii="Arial" w:hAnsi="Arial" w:cs="Arial"/>
          <w:sz w:val="24"/>
          <w:szCs w:val="24"/>
          <w:lang w:eastAsia="en-AU"/>
        </w:rPr>
        <w:t xml:space="preserve"> and mitigate risk and contribute to building sector capability </w:t>
      </w:r>
    </w:p>
    <w:p w14:paraId="502D39FF" w14:textId="77777777" w:rsidR="00650F8D" w:rsidRPr="00F7778D" w:rsidRDefault="00650F8D" w:rsidP="008E7A46">
      <w:pPr>
        <w:keepNext/>
        <w:numPr>
          <w:ilvl w:val="0"/>
          <w:numId w:val="48"/>
        </w:numPr>
        <w:spacing w:before="120" w:after="120" w:line="240" w:lineRule="auto"/>
        <w:ind w:left="357" w:hanging="357"/>
        <w:rPr>
          <w:rFonts w:ascii="Arial" w:hAnsi="Arial" w:cs="Arial"/>
          <w:i/>
          <w:iCs/>
          <w:sz w:val="24"/>
          <w:szCs w:val="24"/>
          <w:lang w:eastAsia="en-AU"/>
        </w:rPr>
      </w:pPr>
      <w:r w:rsidRPr="00912946">
        <w:rPr>
          <w:rFonts w:ascii="Arial" w:hAnsi="Arial" w:cs="Arial"/>
          <w:sz w:val="24"/>
          <w:szCs w:val="24"/>
          <w:lang w:eastAsia="en-AU"/>
        </w:rPr>
        <w:t>describes the Commission’s regulatory approach, presented in diagrammatic form as a pyramid, as having</w:t>
      </w:r>
    </w:p>
    <w:p w14:paraId="7216DE46" w14:textId="2ABA2278" w:rsidR="00650F8D" w:rsidRPr="00F7778D" w:rsidRDefault="00650F8D" w:rsidP="00650F8D">
      <w:pPr>
        <w:spacing w:before="120" w:after="120" w:line="240" w:lineRule="auto"/>
        <w:ind w:left="1080"/>
        <w:rPr>
          <w:rFonts w:ascii="Arial" w:hAnsi="Arial" w:cs="Arial"/>
          <w:i/>
          <w:iCs/>
          <w:sz w:val="24"/>
          <w:szCs w:val="24"/>
          <w:lang w:eastAsia="en-AU"/>
        </w:rPr>
      </w:pPr>
      <w:r>
        <w:rPr>
          <w:rFonts w:ascii="Arial" w:hAnsi="Arial" w:cs="Arial"/>
          <w:i/>
          <w:iCs/>
          <w:sz w:val="24"/>
          <w:szCs w:val="24"/>
          <w:lang w:eastAsia="en-AU"/>
        </w:rPr>
        <w:t>“</w:t>
      </w:r>
      <w:proofErr w:type="gramStart"/>
      <w:r w:rsidRPr="00F7778D">
        <w:rPr>
          <w:rFonts w:ascii="Arial" w:hAnsi="Arial" w:cs="Arial"/>
          <w:i/>
          <w:iCs/>
          <w:sz w:val="24"/>
          <w:szCs w:val="24"/>
          <w:lang w:eastAsia="en-AU"/>
        </w:rPr>
        <w:t>cooperative</w:t>
      </w:r>
      <w:proofErr w:type="gramEnd"/>
      <w:r w:rsidRPr="00F7778D">
        <w:rPr>
          <w:rFonts w:ascii="Arial" w:hAnsi="Arial" w:cs="Arial"/>
          <w:i/>
          <w:iCs/>
          <w:sz w:val="24"/>
          <w:szCs w:val="24"/>
          <w:lang w:eastAsia="en-AU"/>
        </w:rPr>
        <w:t xml:space="preserve"> and persuasive approaches at its base and more targeted and interventionist regulatory tools at the top, in response to potential or actual risk of harm to consumers</w:t>
      </w:r>
      <w:r w:rsidR="005867AA">
        <w:rPr>
          <w:rFonts w:ascii="Arial" w:hAnsi="Arial" w:cs="Arial"/>
          <w:i/>
          <w:iCs/>
          <w:sz w:val="24"/>
          <w:szCs w:val="24"/>
          <w:lang w:eastAsia="en-AU"/>
        </w:rPr>
        <w:t>”</w:t>
      </w:r>
      <w:r w:rsidR="005867AA" w:rsidRPr="00F7778D">
        <w:rPr>
          <w:rFonts w:ascii="Arial" w:hAnsi="Arial" w:cs="Arial"/>
          <w:i/>
          <w:iCs/>
          <w:sz w:val="24"/>
          <w:szCs w:val="24"/>
          <w:lang w:eastAsia="en-AU"/>
        </w:rPr>
        <w:t>.</w:t>
      </w:r>
      <w:r w:rsidR="005867AA" w:rsidRPr="00F7778D">
        <w:rPr>
          <w:rFonts w:ascii="Arial" w:hAnsi="Arial" w:cs="Arial"/>
          <w:i/>
          <w:iCs/>
          <w:sz w:val="24"/>
          <w:szCs w:val="24"/>
          <w:vertAlign w:val="superscript"/>
          <w:lang w:eastAsia="en-AU"/>
        </w:rPr>
        <w:footnoteReference w:id="62"/>
      </w:r>
    </w:p>
    <w:p w14:paraId="725A202F" w14:textId="77777777" w:rsidR="00650F8D" w:rsidRPr="00F7778D" w:rsidRDefault="00650F8D" w:rsidP="001750D5">
      <w:pPr>
        <w:numPr>
          <w:ilvl w:val="0"/>
          <w:numId w:val="48"/>
        </w:numPr>
        <w:spacing w:before="120" w:after="120" w:line="240" w:lineRule="auto"/>
        <w:rPr>
          <w:rFonts w:ascii="Arial" w:hAnsi="Arial" w:cs="Arial"/>
          <w:i/>
          <w:iCs/>
          <w:sz w:val="24"/>
          <w:szCs w:val="24"/>
          <w:lang w:eastAsia="en-AU"/>
        </w:rPr>
      </w:pPr>
      <w:r w:rsidRPr="00F7778D">
        <w:rPr>
          <w:rFonts w:ascii="Arial" w:hAnsi="Arial" w:cs="Arial"/>
          <w:sz w:val="24"/>
          <w:szCs w:val="24"/>
          <w:lang w:eastAsia="en-AU"/>
        </w:rPr>
        <w:lastRenderedPageBreak/>
        <w:t>refers to changing provider behaviour and states</w:t>
      </w:r>
    </w:p>
    <w:p w14:paraId="0691958D" w14:textId="41C90D6A" w:rsidR="00650F8D" w:rsidRPr="00F7778D" w:rsidRDefault="00650F8D" w:rsidP="00650F8D">
      <w:pPr>
        <w:spacing w:before="120" w:after="120" w:line="240" w:lineRule="auto"/>
        <w:ind w:left="1080"/>
        <w:rPr>
          <w:rFonts w:ascii="Arial" w:hAnsi="Arial" w:cs="Arial"/>
          <w:i/>
          <w:iCs/>
          <w:sz w:val="24"/>
          <w:szCs w:val="24"/>
          <w:lang w:eastAsia="en-AU"/>
        </w:rPr>
      </w:pPr>
      <w:r>
        <w:rPr>
          <w:rFonts w:ascii="Arial" w:hAnsi="Arial" w:cs="Arial"/>
          <w:i/>
          <w:iCs/>
          <w:sz w:val="24"/>
          <w:szCs w:val="24"/>
          <w:lang w:eastAsia="en-AU"/>
        </w:rPr>
        <w:t>“</w:t>
      </w:r>
      <w:proofErr w:type="gramStart"/>
      <w:r w:rsidRPr="00F7778D">
        <w:rPr>
          <w:rFonts w:ascii="Arial" w:hAnsi="Arial" w:cs="Arial"/>
          <w:i/>
          <w:iCs/>
          <w:sz w:val="24"/>
          <w:szCs w:val="24"/>
          <w:lang w:eastAsia="en-AU"/>
        </w:rPr>
        <w:t>that</w:t>
      </w:r>
      <w:proofErr w:type="gramEnd"/>
      <w:r w:rsidRPr="00F7778D">
        <w:rPr>
          <w:rFonts w:ascii="Arial" w:hAnsi="Arial" w:cs="Arial"/>
          <w:i/>
          <w:iCs/>
          <w:sz w:val="24"/>
          <w:szCs w:val="24"/>
          <w:lang w:eastAsia="en-AU"/>
        </w:rPr>
        <w:t xml:space="preserve"> neither persistent punishment nor persistent persuasion is effective on its own in achieving this</w:t>
      </w:r>
      <w:r>
        <w:rPr>
          <w:rFonts w:ascii="Arial" w:hAnsi="Arial" w:cs="Arial"/>
          <w:i/>
          <w:iCs/>
          <w:sz w:val="24"/>
          <w:szCs w:val="24"/>
          <w:lang w:eastAsia="en-AU"/>
        </w:rPr>
        <w:t>”.</w:t>
      </w:r>
      <w:r w:rsidR="005867AA" w:rsidRPr="00F7778D">
        <w:rPr>
          <w:rFonts w:ascii="Arial" w:hAnsi="Arial" w:cs="Arial"/>
          <w:i/>
          <w:iCs/>
          <w:sz w:val="24"/>
          <w:szCs w:val="24"/>
          <w:vertAlign w:val="superscript"/>
          <w:lang w:eastAsia="en-AU"/>
        </w:rPr>
        <w:footnoteReference w:id="63"/>
      </w:r>
    </w:p>
    <w:p w14:paraId="1A22FA0C" w14:textId="77777777" w:rsidR="00650F8D" w:rsidRPr="00912946" w:rsidRDefault="00650F8D" w:rsidP="001750D5">
      <w:pPr>
        <w:numPr>
          <w:ilvl w:val="0"/>
          <w:numId w:val="48"/>
        </w:numPr>
        <w:autoSpaceDE w:val="0"/>
        <w:autoSpaceDN w:val="0"/>
        <w:adjustRightInd w:val="0"/>
        <w:spacing w:after="100" w:line="201" w:lineRule="atLeast"/>
        <w:rPr>
          <w:rFonts w:ascii="Arial" w:hAnsi="Arial" w:cs="Arial"/>
          <w:sz w:val="24"/>
          <w:szCs w:val="24"/>
          <w:lang w:eastAsia="en-AU"/>
        </w:rPr>
      </w:pPr>
      <w:r w:rsidRPr="00912946">
        <w:rPr>
          <w:rFonts w:ascii="Arial" w:hAnsi="Arial" w:cs="Arial"/>
          <w:sz w:val="24"/>
          <w:szCs w:val="24"/>
          <w:lang w:eastAsia="en-AU"/>
        </w:rPr>
        <w:t xml:space="preserve">outlines how the Commission uses data and intelligence to target its regulatory efforts and engage appropriately with providers around particular risks </w:t>
      </w:r>
    </w:p>
    <w:p w14:paraId="4ADF5E33" w14:textId="77777777" w:rsidR="00650F8D" w:rsidRPr="00912946" w:rsidRDefault="00650F8D" w:rsidP="001750D5">
      <w:pPr>
        <w:numPr>
          <w:ilvl w:val="0"/>
          <w:numId w:val="48"/>
        </w:numPr>
        <w:spacing w:before="120" w:after="120" w:line="240" w:lineRule="auto"/>
        <w:rPr>
          <w:rFonts w:ascii="Arial" w:hAnsi="Arial" w:cs="Arial"/>
          <w:sz w:val="24"/>
          <w:szCs w:val="24"/>
          <w:lang w:eastAsia="en-AU"/>
        </w:rPr>
      </w:pPr>
      <w:r w:rsidRPr="00912946">
        <w:rPr>
          <w:rFonts w:ascii="Arial" w:hAnsi="Arial" w:cs="Arial"/>
          <w:sz w:val="24"/>
          <w:szCs w:val="24"/>
          <w:lang w:eastAsia="en-AU"/>
        </w:rPr>
        <w:t xml:space="preserve">describes how the Commission uses education, information, and targeted communications as key preventative tools, and </w:t>
      </w:r>
    </w:p>
    <w:p w14:paraId="762D9B13" w14:textId="591481B5" w:rsidR="00650F8D" w:rsidRPr="00912946" w:rsidRDefault="00650F8D" w:rsidP="001750D5">
      <w:pPr>
        <w:numPr>
          <w:ilvl w:val="0"/>
          <w:numId w:val="48"/>
        </w:numPr>
        <w:spacing w:before="120" w:after="120" w:line="240" w:lineRule="auto"/>
        <w:rPr>
          <w:rFonts w:ascii="Arial" w:hAnsi="Arial" w:cs="Arial"/>
          <w:sz w:val="24"/>
          <w:szCs w:val="24"/>
          <w:lang w:eastAsia="en-AU"/>
        </w:rPr>
      </w:pPr>
      <w:r w:rsidRPr="00912946">
        <w:rPr>
          <w:rFonts w:ascii="Arial" w:hAnsi="Arial" w:cs="Arial"/>
          <w:sz w:val="24"/>
          <w:szCs w:val="24"/>
          <w:lang w:eastAsia="en-AU"/>
        </w:rPr>
        <w:t>commits to publishing information about its regulatory and complaints activities, and to engaging with stakeholders to help build confidence and trust in the aged care system.</w:t>
      </w:r>
      <w:r w:rsidR="005867AA" w:rsidRPr="00912946">
        <w:rPr>
          <w:rFonts w:ascii="Arial" w:hAnsi="Arial" w:cs="Arial"/>
          <w:sz w:val="24"/>
          <w:szCs w:val="24"/>
          <w:vertAlign w:val="superscript"/>
          <w:lang w:eastAsia="en-AU"/>
        </w:rPr>
        <w:footnoteReference w:id="64"/>
      </w:r>
    </w:p>
    <w:p w14:paraId="4EA30BDB" w14:textId="1DE09607" w:rsidR="00650F8D" w:rsidRDefault="00650F8D" w:rsidP="00650F8D">
      <w:pPr>
        <w:tabs>
          <w:tab w:val="left" w:pos="720"/>
        </w:tabs>
        <w:spacing w:before="120" w:after="120" w:line="240" w:lineRule="auto"/>
        <w:rPr>
          <w:rFonts w:ascii="Arial" w:eastAsia="Times New Roman" w:hAnsi="Arial" w:cs="Arial"/>
          <w:sz w:val="24"/>
          <w:szCs w:val="24"/>
        </w:rPr>
      </w:pPr>
      <w:r w:rsidRPr="00912946">
        <w:rPr>
          <w:rFonts w:ascii="Arial" w:eastAsia="Times New Roman" w:hAnsi="Arial" w:cs="Arial"/>
          <w:sz w:val="24"/>
          <w:szCs w:val="24"/>
        </w:rPr>
        <w:t>Despite having a regulatory strategy which espouses best practice principles, the current legislation locks the Commission into a rules-based system which makes implementation of the strategy less than optimal</w:t>
      </w:r>
      <w:r w:rsidR="00256C17">
        <w:rPr>
          <w:rFonts w:ascii="Arial" w:eastAsia="Times New Roman" w:hAnsi="Arial" w:cs="Arial"/>
          <w:sz w:val="24"/>
          <w:szCs w:val="24"/>
        </w:rPr>
        <w:t xml:space="preserve"> (see </w:t>
      </w:r>
      <w:r w:rsidR="00987DE8">
        <w:rPr>
          <w:rFonts w:ascii="Arial" w:eastAsia="Times New Roman" w:hAnsi="Arial" w:cs="Arial"/>
          <w:sz w:val="24"/>
          <w:szCs w:val="24"/>
        </w:rPr>
        <w:t xml:space="preserve">Section </w:t>
      </w:r>
      <w:r w:rsidR="00256C17">
        <w:rPr>
          <w:rFonts w:ascii="Arial" w:eastAsia="Times New Roman" w:hAnsi="Arial" w:cs="Arial"/>
          <w:sz w:val="24"/>
          <w:szCs w:val="24"/>
        </w:rPr>
        <w:t>3.11)</w:t>
      </w:r>
      <w:r w:rsidRPr="00912946">
        <w:rPr>
          <w:rFonts w:ascii="Arial" w:eastAsia="Times New Roman" w:hAnsi="Arial" w:cs="Arial"/>
          <w:sz w:val="24"/>
          <w:szCs w:val="24"/>
        </w:rPr>
        <w:t xml:space="preserve">. </w:t>
      </w:r>
      <w:r>
        <w:rPr>
          <w:rFonts w:ascii="Arial" w:eastAsia="Times New Roman" w:hAnsi="Arial" w:cs="Arial"/>
          <w:sz w:val="24"/>
          <w:szCs w:val="24"/>
        </w:rPr>
        <w:t xml:space="preserve">This does not mean the Commission cannot undertake risk-based regulation. Rather, it constricts the degree to which the Commission can divert resources to risk as it is required under the legislation to deliver </w:t>
      </w:r>
      <w:proofErr w:type="gramStart"/>
      <w:r>
        <w:rPr>
          <w:rFonts w:ascii="Arial" w:eastAsia="Times New Roman" w:hAnsi="Arial" w:cs="Arial"/>
          <w:sz w:val="24"/>
          <w:szCs w:val="24"/>
        </w:rPr>
        <w:t>work</w:t>
      </w:r>
      <w:proofErr w:type="gramEnd"/>
      <w:r>
        <w:rPr>
          <w:rFonts w:ascii="Arial" w:eastAsia="Times New Roman" w:hAnsi="Arial" w:cs="Arial"/>
          <w:sz w:val="24"/>
          <w:szCs w:val="24"/>
        </w:rPr>
        <w:t xml:space="preserve"> which is programmatic rather than risk led, for example, the accreditation program (</w:t>
      </w:r>
      <w:r w:rsidRPr="00F37801">
        <w:rPr>
          <w:rFonts w:ascii="Arial" w:eastAsia="Times New Roman" w:hAnsi="Arial" w:cs="Arial"/>
          <w:sz w:val="24"/>
          <w:szCs w:val="24"/>
        </w:rPr>
        <w:t xml:space="preserve">see </w:t>
      </w:r>
      <w:r w:rsidR="008766A9">
        <w:rPr>
          <w:rFonts w:ascii="Arial" w:eastAsia="Times New Roman" w:hAnsi="Arial" w:cs="Arial"/>
          <w:sz w:val="24"/>
          <w:szCs w:val="24"/>
        </w:rPr>
        <w:t>Section</w:t>
      </w:r>
      <w:r w:rsidR="008766A9" w:rsidRPr="00F37801">
        <w:rPr>
          <w:rFonts w:ascii="Arial" w:eastAsia="Times New Roman" w:hAnsi="Arial" w:cs="Arial"/>
          <w:sz w:val="24"/>
          <w:szCs w:val="24"/>
        </w:rPr>
        <w:t xml:space="preserve"> </w:t>
      </w:r>
      <w:r w:rsidRPr="00F37801">
        <w:rPr>
          <w:rFonts w:ascii="Arial" w:eastAsia="Times New Roman" w:hAnsi="Arial" w:cs="Arial"/>
          <w:sz w:val="24"/>
          <w:szCs w:val="24"/>
        </w:rPr>
        <w:t>5.1</w:t>
      </w:r>
      <w:r>
        <w:rPr>
          <w:rFonts w:ascii="Arial" w:eastAsia="Times New Roman" w:hAnsi="Arial" w:cs="Arial"/>
          <w:sz w:val="24"/>
          <w:szCs w:val="24"/>
        </w:rPr>
        <w:t>).</w:t>
      </w:r>
    </w:p>
    <w:p w14:paraId="600AB662" w14:textId="737B2E06" w:rsidR="00650F8D" w:rsidRPr="00912946" w:rsidRDefault="00650F8D" w:rsidP="00650F8D">
      <w:pPr>
        <w:tabs>
          <w:tab w:val="left" w:pos="720"/>
        </w:tabs>
        <w:spacing w:before="120" w:after="120" w:line="240" w:lineRule="auto"/>
        <w:rPr>
          <w:rFonts w:ascii="Arial" w:eastAsia="Times New Roman" w:hAnsi="Arial" w:cs="Arial"/>
          <w:sz w:val="24"/>
          <w:szCs w:val="24"/>
        </w:rPr>
      </w:pPr>
      <w:r w:rsidRPr="00912946">
        <w:rPr>
          <w:rFonts w:ascii="Arial" w:eastAsia="Times New Roman" w:hAnsi="Arial" w:cs="Arial"/>
          <w:sz w:val="24"/>
          <w:szCs w:val="24"/>
        </w:rPr>
        <w:t xml:space="preserve">In addition, a range of other factors were identified during the </w:t>
      </w:r>
      <w:r w:rsidR="00833D08">
        <w:rPr>
          <w:rFonts w:ascii="Arial" w:eastAsia="Times New Roman" w:hAnsi="Arial" w:cs="Arial"/>
          <w:sz w:val="24"/>
          <w:szCs w:val="24"/>
        </w:rPr>
        <w:t>R</w:t>
      </w:r>
      <w:r w:rsidRPr="00912946">
        <w:rPr>
          <w:rFonts w:ascii="Arial" w:eastAsia="Times New Roman" w:hAnsi="Arial" w:cs="Arial"/>
          <w:sz w:val="24"/>
          <w:szCs w:val="24"/>
        </w:rPr>
        <w:t xml:space="preserve">eview which undermine the Commission’s capacity to deliver contemporary, risk-based regulation. These are set out generally in this </w:t>
      </w:r>
      <w:r w:rsidR="00B535DF">
        <w:rPr>
          <w:rFonts w:ascii="Arial" w:eastAsia="Times New Roman" w:hAnsi="Arial" w:cs="Arial"/>
          <w:sz w:val="24"/>
          <w:szCs w:val="24"/>
        </w:rPr>
        <w:t>Chapter</w:t>
      </w:r>
      <w:r w:rsidRPr="00912946">
        <w:rPr>
          <w:rFonts w:ascii="Arial" w:eastAsia="Times New Roman" w:hAnsi="Arial" w:cs="Arial"/>
          <w:sz w:val="24"/>
          <w:szCs w:val="24"/>
        </w:rPr>
        <w:t xml:space="preserve"> and include I</w:t>
      </w:r>
      <w:r>
        <w:rPr>
          <w:rFonts w:ascii="Arial" w:eastAsia="Times New Roman" w:hAnsi="Arial" w:cs="Arial"/>
          <w:sz w:val="24"/>
          <w:szCs w:val="24"/>
        </w:rPr>
        <w:t>CT</w:t>
      </w:r>
      <w:r w:rsidRPr="00912946">
        <w:rPr>
          <w:rFonts w:ascii="Arial" w:eastAsia="Times New Roman" w:hAnsi="Arial" w:cs="Arial"/>
          <w:sz w:val="24"/>
          <w:szCs w:val="24"/>
        </w:rPr>
        <w:t xml:space="preserve"> system development and data integrity, useability, and maturity issues, which constrain how well the Commission can integrate and use data and intelligence to drive a risk-based approach to regulation, and effective communication and engagement with the sector.</w:t>
      </w:r>
      <w:r w:rsidR="005867AA" w:rsidRPr="005867AA">
        <w:rPr>
          <w:rFonts w:ascii="Fira Sans Light" w:hAnsi="Fira Sans Light" w:cs="Arial"/>
          <w:sz w:val="24"/>
          <w:szCs w:val="24"/>
          <w:vertAlign w:val="superscript"/>
          <w:lang w:eastAsia="en-AU"/>
        </w:rPr>
        <w:t xml:space="preserve"> </w:t>
      </w:r>
      <w:r w:rsidR="005867AA" w:rsidRPr="00912946">
        <w:rPr>
          <w:rFonts w:ascii="Fira Sans Light" w:hAnsi="Fira Sans Light" w:cs="Arial"/>
          <w:sz w:val="24"/>
          <w:szCs w:val="24"/>
          <w:vertAlign w:val="superscript"/>
          <w:lang w:eastAsia="en-AU"/>
        </w:rPr>
        <w:footnoteReference w:id="65"/>
      </w:r>
    </w:p>
    <w:p w14:paraId="1603C80A" w14:textId="27C575CF" w:rsidR="00650F8D" w:rsidRDefault="008766A9" w:rsidP="00650F8D">
      <w:pPr>
        <w:spacing w:before="120" w:after="120" w:line="240" w:lineRule="auto"/>
        <w:rPr>
          <w:rFonts w:ascii="Arial" w:hAnsi="Arial" w:cs="Arial"/>
          <w:sz w:val="24"/>
          <w:szCs w:val="24"/>
        </w:rPr>
      </w:pPr>
      <w:r>
        <w:rPr>
          <w:rFonts w:ascii="Arial" w:hAnsi="Arial" w:cs="Arial"/>
          <w:sz w:val="24"/>
          <w:szCs w:val="24"/>
        </w:rPr>
        <w:t>The</w:t>
      </w:r>
      <w:r w:rsidR="00650F8D" w:rsidRPr="00912946">
        <w:rPr>
          <w:rFonts w:ascii="Arial" w:hAnsi="Arial" w:cs="Arial"/>
          <w:sz w:val="24"/>
          <w:szCs w:val="24"/>
        </w:rPr>
        <w:t xml:space="preserve"> Commission is updating its Regulatory Strategy to prepare for reforms and reflect its growing capability and maturing regulatory practice. The updated Strategy presents the Commission’s regulatory approach in the shape of a diamond</w:t>
      </w:r>
      <w:r w:rsidR="00650F8D">
        <w:rPr>
          <w:rFonts w:ascii="Arial" w:hAnsi="Arial" w:cs="Arial"/>
          <w:sz w:val="24"/>
          <w:szCs w:val="24"/>
        </w:rPr>
        <w:t xml:space="preserve"> </w:t>
      </w:r>
      <w:r w:rsidR="00650F8D" w:rsidRPr="00256C17">
        <w:rPr>
          <w:rFonts w:ascii="Arial" w:hAnsi="Arial" w:cs="Arial"/>
          <w:sz w:val="24"/>
          <w:szCs w:val="24"/>
        </w:rPr>
        <w:t>(</w:t>
      </w:r>
      <w:r w:rsidR="00256C17" w:rsidRPr="00256C17">
        <w:rPr>
          <w:rFonts w:ascii="Arial" w:hAnsi="Arial" w:cs="Arial"/>
          <w:sz w:val="24"/>
          <w:szCs w:val="24"/>
        </w:rPr>
        <w:t>see Figure 5</w:t>
      </w:r>
      <w:r w:rsidR="00650F8D" w:rsidRPr="00256C17">
        <w:rPr>
          <w:rFonts w:ascii="Arial" w:hAnsi="Arial" w:cs="Arial"/>
          <w:sz w:val="24"/>
          <w:szCs w:val="24"/>
        </w:rPr>
        <w:t>),</w:t>
      </w:r>
      <w:r w:rsidR="00650F8D" w:rsidRPr="00912946">
        <w:rPr>
          <w:rFonts w:ascii="Arial" w:hAnsi="Arial" w:cs="Arial"/>
          <w:sz w:val="24"/>
          <w:szCs w:val="24"/>
        </w:rPr>
        <w:t xml:space="preserve"> which it describes as a</w:t>
      </w:r>
    </w:p>
    <w:p w14:paraId="2A1DD378" w14:textId="61EA392E" w:rsidR="00650F8D" w:rsidRPr="007312E7" w:rsidRDefault="00650F8D" w:rsidP="00650F8D">
      <w:pPr>
        <w:spacing w:before="120" w:after="120" w:line="240" w:lineRule="auto"/>
        <w:ind w:left="720"/>
        <w:rPr>
          <w:rFonts w:ascii="Arial" w:hAnsi="Arial" w:cs="Arial"/>
          <w:sz w:val="24"/>
          <w:szCs w:val="24"/>
        </w:rPr>
      </w:pPr>
      <w:r w:rsidRPr="007312E7">
        <w:rPr>
          <w:rFonts w:ascii="Arial" w:hAnsi="Arial" w:cs="Arial"/>
          <w:i/>
          <w:iCs/>
          <w:sz w:val="24"/>
          <w:szCs w:val="24"/>
          <w:lang w:eastAsia="en-AU"/>
        </w:rPr>
        <w:t>strengthened, renewed model for responsive regulation which integrates both ‘compliance regulation' and ‘aspirational regulation’, thereby offering a more cohesive representation of the broad conception of regulation that underpins responsive regulation theory, and the limited but vital role of law within it</w:t>
      </w:r>
      <w:r w:rsidRPr="007312E7">
        <w:rPr>
          <w:rFonts w:eastAsia="Times New Roman"/>
          <w:vertAlign w:val="superscript"/>
        </w:rPr>
        <w:t>.</w:t>
      </w:r>
      <w:r w:rsidRPr="007312E7">
        <w:rPr>
          <w:rFonts w:eastAsia="Times New Roman"/>
        </w:rPr>
        <w:t xml:space="preserve"> </w:t>
      </w:r>
      <w:r w:rsidR="005867AA" w:rsidRPr="007312E7">
        <w:rPr>
          <w:rFonts w:eastAsia="Times New Roman"/>
          <w:vertAlign w:val="superscript"/>
        </w:rPr>
        <w:footnoteReference w:id="66"/>
      </w:r>
    </w:p>
    <w:p w14:paraId="1C071F70" w14:textId="67A8E81D" w:rsidR="00256C17" w:rsidRPr="00AB19BC" w:rsidRDefault="00256C17" w:rsidP="008E7A46">
      <w:pPr>
        <w:keepNext/>
        <w:spacing w:before="240" w:after="120" w:line="240" w:lineRule="auto"/>
        <w:rPr>
          <w:rFonts w:ascii="Arial" w:hAnsi="Arial" w:cs="Arial"/>
          <w:b/>
          <w:bCs/>
          <w:sz w:val="24"/>
          <w:szCs w:val="24"/>
        </w:rPr>
      </w:pPr>
      <w:r w:rsidRPr="00AB19BC">
        <w:rPr>
          <w:rFonts w:ascii="Arial" w:hAnsi="Arial" w:cs="Arial"/>
          <w:b/>
          <w:bCs/>
          <w:sz w:val="24"/>
          <w:szCs w:val="24"/>
        </w:rPr>
        <w:lastRenderedPageBreak/>
        <w:t xml:space="preserve">Figure </w:t>
      </w:r>
      <w:r>
        <w:rPr>
          <w:rFonts w:ascii="Arial" w:hAnsi="Arial" w:cs="Arial"/>
          <w:b/>
          <w:bCs/>
          <w:sz w:val="24"/>
          <w:szCs w:val="24"/>
        </w:rPr>
        <w:t>5</w:t>
      </w:r>
      <w:r w:rsidRPr="00AB19BC">
        <w:rPr>
          <w:rFonts w:ascii="Arial" w:hAnsi="Arial" w:cs="Arial"/>
          <w:b/>
          <w:bCs/>
          <w:sz w:val="24"/>
          <w:szCs w:val="24"/>
        </w:rPr>
        <w:t xml:space="preserve">: The Commission’s Regulatory </w:t>
      </w:r>
      <w:r>
        <w:rPr>
          <w:rFonts w:ascii="Arial" w:hAnsi="Arial" w:cs="Arial"/>
          <w:b/>
          <w:bCs/>
          <w:sz w:val="24"/>
          <w:szCs w:val="24"/>
        </w:rPr>
        <w:t>Diamond</w:t>
      </w:r>
      <w:r w:rsidRPr="00AB19BC">
        <w:rPr>
          <w:rFonts w:ascii="Arial" w:hAnsi="Arial" w:cs="Arial"/>
          <w:b/>
          <w:bCs/>
          <w:sz w:val="24"/>
          <w:szCs w:val="24"/>
        </w:rPr>
        <w:t>.</w:t>
      </w:r>
    </w:p>
    <w:p w14:paraId="330D6D7C" w14:textId="08D178E4" w:rsidR="00256C17" w:rsidRDefault="00256C17" w:rsidP="00650F8D">
      <w:pPr>
        <w:rPr>
          <w:rFonts w:ascii="Arial" w:hAnsi="Arial" w:cs="Arial"/>
          <w:sz w:val="24"/>
          <w:szCs w:val="24"/>
        </w:rPr>
      </w:pPr>
      <w:r>
        <w:rPr>
          <w:noProof/>
        </w:rPr>
        <w:drawing>
          <wp:inline distT="0" distB="0" distL="0" distR="0" wp14:anchorId="671787D6" wp14:editId="2C6B2CA6">
            <wp:extent cx="5731510" cy="5731510"/>
            <wp:effectExtent l="0" t="0" r="2540" b="254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31510" cy="5731510"/>
                    </a:xfrm>
                    <a:prstGeom prst="rect">
                      <a:avLst/>
                    </a:prstGeom>
                    <a:noFill/>
                    <a:ln>
                      <a:noFill/>
                    </a:ln>
                  </pic:spPr>
                </pic:pic>
              </a:graphicData>
            </a:graphic>
          </wp:inline>
        </w:drawing>
      </w:r>
    </w:p>
    <w:p w14:paraId="55466009" w14:textId="13BE518E" w:rsidR="00650F8D" w:rsidRPr="00912946" w:rsidRDefault="00650F8D" w:rsidP="00650F8D">
      <w:pPr>
        <w:rPr>
          <w:rFonts w:ascii="Arial" w:hAnsi="Arial" w:cs="Arial"/>
          <w:sz w:val="24"/>
          <w:szCs w:val="24"/>
        </w:rPr>
      </w:pPr>
      <w:r w:rsidRPr="00912946">
        <w:rPr>
          <w:rFonts w:ascii="Arial" w:hAnsi="Arial" w:cs="Arial"/>
          <w:sz w:val="24"/>
          <w:szCs w:val="24"/>
        </w:rPr>
        <w:t xml:space="preserve">While the Commission continues to demonstrate a strong commitment to best practice and contemporary regulation, there is </w:t>
      </w:r>
      <w:r w:rsidR="00755CC3">
        <w:rPr>
          <w:rFonts w:ascii="Arial" w:hAnsi="Arial" w:cs="Arial"/>
          <w:sz w:val="24"/>
          <w:szCs w:val="24"/>
        </w:rPr>
        <w:t xml:space="preserve">however </w:t>
      </w:r>
      <w:r w:rsidRPr="00912946">
        <w:rPr>
          <w:rFonts w:ascii="Arial" w:hAnsi="Arial" w:cs="Arial"/>
          <w:sz w:val="24"/>
          <w:szCs w:val="24"/>
        </w:rPr>
        <w:t>a gap between what the Commission’s Regulatory Strategy says</w:t>
      </w:r>
      <w:r>
        <w:rPr>
          <w:rFonts w:ascii="Arial" w:hAnsi="Arial" w:cs="Arial"/>
          <w:sz w:val="24"/>
          <w:szCs w:val="24"/>
        </w:rPr>
        <w:t>,</w:t>
      </w:r>
      <w:r w:rsidRPr="00912946">
        <w:rPr>
          <w:rFonts w:ascii="Arial" w:hAnsi="Arial" w:cs="Arial"/>
          <w:sz w:val="24"/>
          <w:szCs w:val="24"/>
        </w:rPr>
        <w:t xml:space="preserve"> and what happens in practice.</w:t>
      </w:r>
    </w:p>
    <w:p w14:paraId="07DF1104" w14:textId="77777777" w:rsidR="00650F8D" w:rsidRPr="00912946" w:rsidRDefault="00650F8D" w:rsidP="00650F8D">
      <w:pPr>
        <w:spacing w:before="120" w:after="120" w:line="240" w:lineRule="auto"/>
        <w:rPr>
          <w:rFonts w:ascii="Arial" w:hAnsi="Arial" w:cs="Arial"/>
          <w:sz w:val="24"/>
          <w:szCs w:val="24"/>
        </w:rPr>
      </w:pPr>
      <w:r w:rsidRPr="00912946">
        <w:rPr>
          <w:rFonts w:ascii="Arial" w:hAnsi="Arial" w:cs="Arial"/>
          <w:sz w:val="24"/>
          <w:szCs w:val="24"/>
        </w:rPr>
        <w:t xml:space="preserve">Stakeholders raised concerns about how well the Commission integrates data across its operational areas to identify provider and system-wide risk, how effectively it targets its regulatory efforts to respond to </w:t>
      </w:r>
      <w:proofErr w:type="gramStart"/>
      <w:r w:rsidRPr="00912946">
        <w:rPr>
          <w:rFonts w:ascii="Arial" w:hAnsi="Arial" w:cs="Arial"/>
          <w:sz w:val="24"/>
          <w:szCs w:val="24"/>
        </w:rPr>
        <w:t>particular risks</w:t>
      </w:r>
      <w:proofErr w:type="gramEnd"/>
      <w:r w:rsidRPr="00912946">
        <w:rPr>
          <w:rFonts w:ascii="Arial" w:hAnsi="Arial" w:cs="Arial"/>
          <w:sz w:val="24"/>
          <w:szCs w:val="24"/>
        </w:rPr>
        <w:t xml:space="preserve">, and the degree to which it achieves a balance between encouraging changes in provider behaviour through guidance, information and education versus compliance and enforcement action. </w:t>
      </w:r>
      <w:r>
        <w:rPr>
          <w:rFonts w:ascii="Arial" w:hAnsi="Arial" w:cs="Arial"/>
          <w:sz w:val="24"/>
          <w:szCs w:val="24"/>
        </w:rPr>
        <w:t xml:space="preserve">This suggests the Commission still has a way to go to get the balance right between compliance and enforcement activities and activities which encourage and support providers to deliver better quality care. </w:t>
      </w:r>
    </w:p>
    <w:p w14:paraId="14E025CD" w14:textId="5C508D77" w:rsidR="00650F8D" w:rsidRDefault="00650F8D" w:rsidP="008E7A46">
      <w:pPr>
        <w:keepLines/>
        <w:spacing w:after="120"/>
        <w:rPr>
          <w:rFonts w:ascii="Arial" w:hAnsi="Arial" w:cs="Arial"/>
          <w:color w:val="000000"/>
          <w:sz w:val="24"/>
          <w:szCs w:val="24"/>
          <w:shd w:val="clear" w:color="auto" w:fill="FFFFFF"/>
        </w:rPr>
      </w:pPr>
      <w:r>
        <w:rPr>
          <w:rFonts w:ascii="Arial" w:eastAsia="Times New Roman" w:hAnsi="Arial" w:cs="Arial"/>
          <w:sz w:val="24"/>
          <w:szCs w:val="24"/>
        </w:rPr>
        <w:lastRenderedPageBreak/>
        <w:t xml:space="preserve">Stakeholders have identified inflexible regulatory approaches as a barrier to delivering appropriate services for diverse group including </w:t>
      </w:r>
      <w:r>
        <w:rPr>
          <w:rFonts w:ascii="Arial" w:hAnsi="Arial" w:cs="Arial"/>
          <w:color w:val="000000"/>
          <w:sz w:val="24"/>
          <w:szCs w:val="24"/>
          <w:shd w:val="clear" w:color="auto" w:fill="FFFFFF"/>
        </w:rPr>
        <w:t xml:space="preserve">those in rural and remote settings, people with dementia, people with a disability and people from CALD and </w:t>
      </w:r>
      <w:r w:rsidR="003B6469">
        <w:rPr>
          <w:rFonts w:ascii="Arial" w:hAnsi="Arial" w:cs="Arial"/>
          <w:color w:val="000000"/>
          <w:sz w:val="24"/>
          <w:szCs w:val="24"/>
          <w:shd w:val="clear" w:color="auto" w:fill="FFFFFF"/>
        </w:rPr>
        <w:t>F</w:t>
      </w:r>
      <w:r>
        <w:rPr>
          <w:rFonts w:ascii="Arial" w:hAnsi="Arial" w:cs="Arial"/>
          <w:color w:val="000000"/>
          <w:sz w:val="24"/>
          <w:szCs w:val="24"/>
          <w:shd w:val="clear" w:color="auto" w:fill="FFFFFF"/>
        </w:rPr>
        <w:t xml:space="preserve">irst </w:t>
      </w:r>
      <w:r w:rsidR="003B6469">
        <w:rPr>
          <w:rFonts w:ascii="Arial" w:hAnsi="Arial" w:cs="Arial"/>
          <w:color w:val="000000"/>
          <w:sz w:val="24"/>
          <w:szCs w:val="24"/>
          <w:shd w:val="clear" w:color="auto" w:fill="FFFFFF"/>
        </w:rPr>
        <w:t>N</w:t>
      </w:r>
      <w:r>
        <w:rPr>
          <w:rFonts w:ascii="Arial" w:hAnsi="Arial" w:cs="Arial"/>
          <w:color w:val="000000"/>
          <w:sz w:val="24"/>
          <w:szCs w:val="24"/>
          <w:shd w:val="clear" w:color="auto" w:fill="FFFFFF"/>
        </w:rPr>
        <w:t>ations backgrounds, veterans and LGBTIQ+ communities As an example of inflexible approaches, the Review heard approval processes make it difficult for Aboriginal Community Controlled Health Organisations (ACCHOs) to become aged care providers</w:t>
      </w:r>
      <w:r w:rsidR="005867AA">
        <w:rPr>
          <w:rStyle w:val="FootnoteReference"/>
          <w:rFonts w:ascii="Arial" w:hAnsi="Arial" w:cs="Arial"/>
          <w:color w:val="000000"/>
          <w:sz w:val="24"/>
          <w:szCs w:val="24"/>
          <w:shd w:val="clear" w:color="auto" w:fill="FFFFFF"/>
        </w:rPr>
        <w:footnoteReference w:id="67"/>
      </w:r>
      <w:r w:rsidR="005867AA">
        <w:rPr>
          <w:rFonts w:ascii="Arial" w:hAnsi="Arial" w:cs="Arial"/>
          <w:color w:val="000000"/>
          <w:sz w:val="24"/>
          <w:szCs w:val="24"/>
          <w:shd w:val="clear" w:color="auto" w:fill="FFFFFF"/>
        </w:rPr>
        <w:t>.</w:t>
      </w:r>
      <w:r>
        <w:rPr>
          <w:rFonts w:ascii="Arial" w:hAnsi="Arial" w:cs="Arial"/>
          <w:color w:val="000000"/>
          <w:sz w:val="24"/>
          <w:szCs w:val="24"/>
          <w:shd w:val="clear" w:color="auto" w:fill="FFFFFF"/>
        </w:rPr>
        <w:t xml:space="preserve"> ACCHO</w:t>
      </w:r>
      <w:r w:rsidR="003B6469">
        <w:rPr>
          <w:rFonts w:ascii="Arial" w:hAnsi="Arial" w:cs="Arial"/>
          <w:color w:val="000000"/>
          <w:sz w:val="24"/>
          <w:szCs w:val="24"/>
          <w:shd w:val="clear" w:color="auto" w:fill="FFFFFF"/>
        </w:rPr>
        <w:t>s</w:t>
      </w:r>
      <w:r>
        <w:rPr>
          <w:rFonts w:ascii="Arial" w:hAnsi="Arial" w:cs="Arial"/>
          <w:color w:val="000000"/>
          <w:sz w:val="24"/>
          <w:szCs w:val="24"/>
          <w:shd w:val="clear" w:color="auto" w:fill="FFFFFF"/>
        </w:rPr>
        <w:t xml:space="preserve"> described the process as costly and time-consuming. They noted that having a central point of contact in the Commission would prevent multiple re-submissions of approval documentation. </w:t>
      </w:r>
    </w:p>
    <w:p w14:paraId="7346A4EB" w14:textId="194FF21D" w:rsidR="00650F8D" w:rsidRDefault="00833D08" w:rsidP="00650F8D">
      <w:pPr>
        <w:tabs>
          <w:tab w:val="left" w:pos="720"/>
        </w:tabs>
        <w:spacing w:before="120" w:after="120" w:line="240" w:lineRule="auto"/>
        <w:rPr>
          <w:rFonts w:ascii="Arial" w:eastAsia="Times New Roman" w:hAnsi="Arial" w:cs="Arial"/>
          <w:sz w:val="24"/>
          <w:szCs w:val="24"/>
        </w:rPr>
      </w:pPr>
      <w:r>
        <w:rPr>
          <w:rFonts w:ascii="Arial" w:eastAsia="Times New Roman" w:hAnsi="Arial" w:cs="Arial"/>
          <w:sz w:val="24"/>
          <w:szCs w:val="24"/>
        </w:rPr>
        <w:t>I</w:t>
      </w:r>
      <w:r w:rsidR="00650F8D" w:rsidRPr="00912946">
        <w:rPr>
          <w:rFonts w:ascii="Arial" w:eastAsia="Times New Roman" w:hAnsi="Arial" w:cs="Arial"/>
          <w:sz w:val="24"/>
          <w:szCs w:val="24"/>
        </w:rPr>
        <w:t xml:space="preserve"> consider the Commission should </w:t>
      </w:r>
      <w:r w:rsidR="008D1329">
        <w:rPr>
          <w:rFonts w:ascii="Arial" w:eastAsia="Times New Roman" w:hAnsi="Arial" w:cs="Arial"/>
          <w:sz w:val="24"/>
          <w:szCs w:val="24"/>
        </w:rPr>
        <w:t>update its</w:t>
      </w:r>
      <w:r w:rsidR="00650F8D" w:rsidRPr="00912946">
        <w:rPr>
          <w:rFonts w:ascii="Arial" w:eastAsia="Times New Roman" w:hAnsi="Arial" w:cs="Arial"/>
          <w:sz w:val="24"/>
          <w:szCs w:val="24"/>
        </w:rPr>
        <w:t xml:space="preserve"> Regulatory Strategy in consultation with all relevant stakeholders and look to ensure its success by</w:t>
      </w:r>
      <w:r w:rsidR="00650F8D">
        <w:rPr>
          <w:rFonts w:ascii="Arial" w:eastAsia="Times New Roman" w:hAnsi="Arial" w:cs="Arial"/>
          <w:sz w:val="24"/>
          <w:szCs w:val="24"/>
        </w:rPr>
        <w:t>:</w:t>
      </w:r>
    </w:p>
    <w:p w14:paraId="7831B577" w14:textId="77777777" w:rsidR="00650F8D" w:rsidRDefault="00650F8D" w:rsidP="001750D5">
      <w:pPr>
        <w:pStyle w:val="ListParagraph"/>
        <w:numPr>
          <w:ilvl w:val="0"/>
          <w:numId w:val="98"/>
        </w:numPr>
        <w:tabs>
          <w:tab w:val="left" w:pos="720"/>
        </w:tabs>
        <w:spacing w:before="120" w:after="120" w:line="240" w:lineRule="auto"/>
        <w:rPr>
          <w:rFonts w:ascii="Arial" w:eastAsia="Times New Roman" w:hAnsi="Arial" w:cs="Arial"/>
          <w:sz w:val="24"/>
          <w:szCs w:val="24"/>
          <w:lang w:eastAsia="en-AU"/>
        </w:rPr>
      </w:pPr>
      <w:r w:rsidRPr="00F92713">
        <w:rPr>
          <w:rFonts w:ascii="Arial" w:eastAsia="Times New Roman" w:hAnsi="Arial" w:cs="Arial"/>
          <w:sz w:val="24"/>
          <w:szCs w:val="24"/>
        </w:rPr>
        <w:t>addressing workforce recruitment, retention and capability gaps identified elsewhere in this report</w:t>
      </w:r>
      <w:r>
        <w:rPr>
          <w:rFonts w:ascii="Arial" w:eastAsia="Times New Roman" w:hAnsi="Arial" w:cs="Arial"/>
          <w:sz w:val="24"/>
          <w:szCs w:val="24"/>
        </w:rPr>
        <w:t>,</w:t>
      </w:r>
      <w:r w:rsidRPr="00F92713">
        <w:rPr>
          <w:rFonts w:ascii="Arial" w:eastAsia="Times New Roman" w:hAnsi="Arial" w:cs="Arial"/>
          <w:sz w:val="24"/>
          <w:szCs w:val="24"/>
        </w:rPr>
        <w:t xml:space="preserve"> and</w:t>
      </w:r>
    </w:p>
    <w:p w14:paraId="260B9E3A" w14:textId="3C8BE8BE" w:rsidR="00650F8D" w:rsidRDefault="00650F8D" w:rsidP="001750D5">
      <w:pPr>
        <w:pStyle w:val="ListParagraph"/>
        <w:numPr>
          <w:ilvl w:val="0"/>
          <w:numId w:val="98"/>
        </w:numPr>
        <w:tabs>
          <w:tab w:val="left" w:pos="720"/>
        </w:tabs>
        <w:spacing w:before="120" w:after="120" w:line="240" w:lineRule="auto"/>
        <w:rPr>
          <w:rFonts w:ascii="Arial" w:eastAsia="Times New Roman" w:hAnsi="Arial" w:cs="Arial"/>
          <w:sz w:val="24"/>
          <w:szCs w:val="24"/>
          <w:lang w:eastAsia="en-AU"/>
        </w:rPr>
      </w:pPr>
      <w:r>
        <w:rPr>
          <w:rFonts w:ascii="Arial" w:eastAsia="Times New Roman" w:hAnsi="Arial" w:cs="Arial"/>
          <w:sz w:val="24"/>
          <w:szCs w:val="24"/>
        </w:rPr>
        <w:t>c</w:t>
      </w:r>
      <w:r w:rsidRPr="00F92713">
        <w:rPr>
          <w:rFonts w:ascii="Arial" w:eastAsia="Times New Roman" w:hAnsi="Arial" w:cs="Arial"/>
          <w:sz w:val="24"/>
          <w:szCs w:val="24"/>
        </w:rPr>
        <w:t>ommunicating and promoting the Strategy through a wide range of</w:t>
      </w:r>
      <w:r w:rsidRPr="00F92713">
        <w:rPr>
          <w:rFonts w:ascii="Arial" w:eastAsia="Times New Roman" w:hAnsi="Arial" w:cs="Arial"/>
          <w:sz w:val="24"/>
          <w:szCs w:val="24"/>
          <w:lang w:eastAsia="en-AU"/>
        </w:rPr>
        <w:t xml:space="preserve"> channels where participants can ask questions and </w:t>
      </w:r>
      <w:r>
        <w:rPr>
          <w:rFonts w:ascii="Arial" w:eastAsia="Times New Roman" w:hAnsi="Arial" w:cs="Arial"/>
          <w:sz w:val="24"/>
          <w:szCs w:val="24"/>
          <w:lang w:eastAsia="en-AU"/>
        </w:rPr>
        <w:t>are supported to understand the regulatory activities and actions and persuasive strategies available to the Commission and how the Commission balances these in its interactions with providers.</w:t>
      </w:r>
    </w:p>
    <w:p w14:paraId="18B1E2C0" w14:textId="2B07FAE2" w:rsidR="00650F8D" w:rsidRPr="005D0AF3" w:rsidRDefault="00650F8D" w:rsidP="00502B9F">
      <w:pPr>
        <w:tabs>
          <w:tab w:val="left" w:pos="720"/>
        </w:tabs>
        <w:spacing w:before="120" w:after="120" w:line="240" w:lineRule="auto"/>
        <w:rPr>
          <w:rFonts w:ascii="Arial" w:eastAsia="Times New Roman" w:hAnsi="Arial" w:cs="Arial"/>
          <w:sz w:val="24"/>
          <w:szCs w:val="24"/>
        </w:rPr>
      </w:pPr>
      <w:r w:rsidRPr="005D0AF3">
        <w:rPr>
          <w:rFonts w:ascii="Arial" w:eastAsia="Times New Roman" w:hAnsi="Arial" w:cs="Arial"/>
          <w:b/>
          <w:bCs/>
          <w:sz w:val="24"/>
          <w:szCs w:val="24"/>
        </w:rPr>
        <w:t>Recommendation 4.</w:t>
      </w:r>
      <w:r w:rsidR="002E00B0">
        <w:rPr>
          <w:rFonts w:ascii="Arial" w:eastAsia="Times New Roman" w:hAnsi="Arial" w:cs="Arial"/>
          <w:b/>
          <w:bCs/>
          <w:sz w:val="24"/>
          <w:szCs w:val="24"/>
        </w:rPr>
        <w:t>1</w:t>
      </w:r>
      <w:r w:rsidR="00DF21A0">
        <w:rPr>
          <w:rFonts w:ascii="Arial" w:eastAsia="Times New Roman" w:hAnsi="Arial" w:cs="Arial"/>
          <w:b/>
          <w:bCs/>
          <w:sz w:val="24"/>
          <w:szCs w:val="24"/>
        </w:rPr>
        <w:t>4</w:t>
      </w:r>
      <w:r w:rsidRPr="005D0AF3">
        <w:rPr>
          <w:rFonts w:ascii="Arial" w:eastAsia="Times New Roman" w:hAnsi="Arial" w:cs="Arial"/>
          <w:b/>
          <w:bCs/>
          <w:sz w:val="24"/>
          <w:szCs w:val="24"/>
        </w:rPr>
        <w:t>:</w:t>
      </w:r>
      <w:r w:rsidRPr="005D0AF3">
        <w:rPr>
          <w:rFonts w:ascii="Arial" w:eastAsia="Times New Roman" w:hAnsi="Arial" w:cs="Arial"/>
          <w:sz w:val="24"/>
          <w:szCs w:val="24"/>
        </w:rPr>
        <w:t xml:space="preserve"> The Commission </w:t>
      </w:r>
      <w:r w:rsidR="00DD6771">
        <w:rPr>
          <w:rFonts w:ascii="Arial" w:eastAsia="Times New Roman" w:hAnsi="Arial" w:cs="Arial"/>
          <w:sz w:val="24"/>
          <w:szCs w:val="24"/>
        </w:rPr>
        <w:t xml:space="preserve">to </w:t>
      </w:r>
      <w:r w:rsidR="003B6469">
        <w:rPr>
          <w:rFonts w:ascii="Arial" w:eastAsia="Times New Roman" w:hAnsi="Arial" w:cs="Arial"/>
          <w:sz w:val="24"/>
          <w:szCs w:val="24"/>
        </w:rPr>
        <w:t>update its</w:t>
      </w:r>
      <w:r w:rsidRPr="005D0AF3">
        <w:rPr>
          <w:rFonts w:ascii="Arial" w:eastAsia="Times New Roman" w:hAnsi="Arial" w:cs="Arial"/>
          <w:sz w:val="24"/>
          <w:szCs w:val="24"/>
        </w:rPr>
        <w:t xml:space="preserve"> Regulatory Strategy in consultation with all relevant stakeholders so that aged care providers, consumers and other interested parties can effectively contribute to the continuous improvement of aged care regulation</w:t>
      </w:r>
      <w:r w:rsidR="00972D22">
        <w:rPr>
          <w:rFonts w:ascii="Arial" w:eastAsia="Times New Roman" w:hAnsi="Arial" w:cs="Arial"/>
          <w:sz w:val="24"/>
          <w:szCs w:val="24"/>
        </w:rPr>
        <w:t xml:space="preserve">. The Commission to </w:t>
      </w:r>
      <w:r w:rsidRPr="005D0AF3">
        <w:rPr>
          <w:rFonts w:ascii="Arial" w:eastAsia="Times New Roman" w:hAnsi="Arial" w:cs="Arial"/>
          <w:sz w:val="24"/>
          <w:szCs w:val="24"/>
        </w:rPr>
        <w:t>commit to regular review of the Strategy.</w:t>
      </w:r>
    </w:p>
    <w:p w14:paraId="6D6D760E" w14:textId="220FF1EB" w:rsidR="00650F8D" w:rsidRDefault="00650F8D" w:rsidP="001364C7">
      <w:pPr>
        <w:tabs>
          <w:tab w:val="left" w:pos="720"/>
        </w:tabs>
        <w:spacing w:before="120" w:after="360" w:line="240" w:lineRule="auto"/>
        <w:rPr>
          <w:rFonts w:ascii="Arial" w:eastAsia="Times New Roman" w:hAnsi="Arial" w:cs="Arial"/>
          <w:sz w:val="24"/>
          <w:szCs w:val="24"/>
        </w:rPr>
      </w:pPr>
      <w:r w:rsidRPr="005D0AF3">
        <w:rPr>
          <w:rFonts w:ascii="Arial" w:eastAsia="Times New Roman" w:hAnsi="Arial" w:cs="Arial"/>
          <w:b/>
          <w:bCs/>
          <w:sz w:val="24"/>
          <w:szCs w:val="24"/>
        </w:rPr>
        <w:t>Recommendation 4.</w:t>
      </w:r>
      <w:r w:rsidR="00DD6771">
        <w:rPr>
          <w:rFonts w:ascii="Arial" w:eastAsia="Times New Roman" w:hAnsi="Arial" w:cs="Arial"/>
          <w:b/>
          <w:bCs/>
          <w:sz w:val="24"/>
          <w:szCs w:val="24"/>
        </w:rPr>
        <w:t>1</w:t>
      </w:r>
      <w:r w:rsidR="00DF21A0">
        <w:rPr>
          <w:rFonts w:ascii="Arial" w:eastAsia="Times New Roman" w:hAnsi="Arial" w:cs="Arial"/>
          <w:b/>
          <w:bCs/>
          <w:sz w:val="24"/>
          <w:szCs w:val="24"/>
        </w:rPr>
        <w:t>5</w:t>
      </w:r>
      <w:r w:rsidRPr="005D0AF3">
        <w:rPr>
          <w:rFonts w:ascii="Arial" w:eastAsia="Times New Roman" w:hAnsi="Arial" w:cs="Arial"/>
          <w:b/>
          <w:bCs/>
          <w:sz w:val="24"/>
          <w:szCs w:val="24"/>
        </w:rPr>
        <w:t>:</w:t>
      </w:r>
      <w:r w:rsidRPr="005D0AF3">
        <w:rPr>
          <w:rFonts w:ascii="Arial" w:eastAsia="Times New Roman" w:hAnsi="Arial" w:cs="Arial"/>
          <w:sz w:val="24"/>
          <w:szCs w:val="24"/>
        </w:rPr>
        <w:t xml:space="preserve"> The Commission </w:t>
      </w:r>
      <w:r w:rsidR="00DD6771">
        <w:rPr>
          <w:rFonts w:ascii="Arial" w:eastAsia="Times New Roman" w:hAnsi="Arial" w:cs="Arial"/>
          <w:sz w:val="24"/>
          <w:szCs w:val="24"/>
        </w:rPr>
        <w:t xml:space="preserve">to </w:t>
      </w:r>
      <w:r w:rsidRPr="005D0AF3">
        <w:rPr>
          <w:rFonts w:ascii="Arial" w:eastAsia="Times New Roman" w:hAnsi="Arial" w:cs="Arial"/>
          <w:sz w:val="24"/>
          <w:szCs w:val="24"/>
        </w:rPr>
        <w:t xml:space="preserve">use a wider range of opportunities to actively communicate and promote its updated Regulatory Strategy, with a focus </w:t>
      </w:r>
      <w:r w:rsidRPr="005D0AF3">
        <w:rPr>
          <w:rFonts w:ascii="Arial" w:eastAsia="Times New Roman" w:hAnsi="Arial" w:cs="Arial"/>
          <w:sz w:val="24"/>
          <w:szCs w:val="24"/>
          <w:lang w:eastAsia="en-AU"/>
        </w:rPr>
        <w:t>on ensuring</w:t>
      </w:r>
      <w:r w:rsidRPr="005D0AF3">
        <w:rPr>
          <w:rFonts w:ascii="Arial" w:eastAsia="Times New Roman" w:hAnsi="Arial" w:cs="Arial"/>
          <w:sz w:val="24"/>
          <w:szCs w:val="24"/>
        </w:rPr>
        <w:t xml:space="preserve"> aged care consumers, providers and the wider community have a better understanding of the Commission’s regulatory practice and role in the aged care system.</w:t>
      </w:r>
    </w:p>
    <w:p w14:paraId="3D463EE1" w14:textId="581BAD1B" w:rsidR="000C6AE5" w:rsidRPr="00A00298" w:rsidRDefault="00A2358A" w:rsidP="00A00298">
      <w:pPr>
        <w:rPr>
          <w:rFonts w:ascii="Arial" w:hAnsi="Arial" w:cs="Arial"/>
          <w:b/>
          <w:bCs/>
          <w:sz w:val="28"/>
          <w:szCs w:val="28"/>
        </w:rPr>
      </w:pPr>
      <w:r w:rsidRPr="00A00298">
        <w:rPr>
          <w:rFonts w:ascii="Arial" w:hAnsi="Arial" w:cs="Arial"/>
          <w:b/>
          <w:bCs/>
          <w:sz w:val="28"/>
          <w:szCs w:val="28"/>
        </w:rPr>
        <w:t>4</w:t>
      </w:r>
      <w:r w:rsidR="00ED1F48" w:rsidRPr="00A00298">
        <w:rPr>
          <w:rFonts w:ascii="Arial" w:hAnsi="Arial" w:cs="Arial"/>
          <w:b/>
          <w:bCs/>
          <w:sz w:val="28"/>
          <w:szCs w:val="28"/>
        </w:rPr>
        <w:t>.</w:t>
      </w:r>
      <w:r w:rsidR="00386957" w:rsidRPr="00A00298">
        <w:rPr>
          <w:rFonts w:ascii="Arial" w:hAnsi="Arial" w:cs="Arial"/>
          <w:b/>
          <w:bCs/>
          <w:sz w:val="28"/>
          <w:szCs w:val="28"/>
        </w:rPr>
        <w:t>1</w:t>
      </w:r>
      <w:r w:rsidR="000D073A" w:rsidRPr="00A00298">
        <w:rPr>
          <w:rFonts w:ascii="Arial" w:hAnsi="Arial" w:cs="Arial"/>
          <w:b/>
          <w:bCs/>
          <w:sz w:val="28"/>
          <w:szCs w:val="28"/>
        </w:rPr>
        <w:t>0</w:t>
      </w:r>
      <w:r w:rsidR="00ED1F48" w:rsidRPr="00A00298">
        <w:rPr>
          <w:rFonts w:ascii="Arial" w:hAnsi="Arial" w:cs="Arial"/>
          <w:b/>
          <w:bCs/>
          <w:sz w:val="28"/>
          <w:szCs w:val="28"/>
        </w:rPr>
        <w:t xml:space="preserve"> </w:t>
      </w:r>
      <w:r w:rsidR="00CD7A14" w:rsidRPr="00A00298">
        <w:rPr>
          <w:rFonts w:ascii="Arial" w:hAnsi="Arial" w:cs="Arial"/>
          <w:b/>
          <w:bCs/>
          <w:sz w:val="28"/>
          <w:szCs w:val="28"/>
        </w:rPr>
        <w:t>R</w:t>
      </w:r>
      <w:r w:rsidR="00FE0AF6" w:rsidRPr="00A00298">
        <w:rPr>
          <w:rFonts w:ascii="Arial" w:hAnsi="Arial" w:cs="Arial"/>
          <w:b/>
          <w:bCs/>
          <w:sz w:val="28"/>
          <w:szCs w:val="28"/>
        </w:rPr>
        <w:t>isk-based and data driven</w:t>
      </w:r>
      <w:r w:rsidR="00B02A38" w:rsidRPr="00A00298">
        <w:rPr>
          <w:rFonts w:ascii="Arial" w:hAnsi="Arial" w:cs="Arial"/>
          <w:b/>
          <w:bCs/>
          <w:sz w:val="28"/>
          <w:szCs w:val="28"/>
        </w:rPr>
        <w:t xml:space="preserve"> </w:t>
      </w:r>
    </w:p>
    <w:p w14:paraId="2150D8E8" w14:textId="4F3B8812"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A high performing risk-based regulator needs to be data driven. A good regulator will have almost </w:t>
      </w:r>
      <w:proofErr w:type="gramStart"/>
      <w:r>
        <w:rPr>
          <w:rFonts w:ascii="Arial" w:hAnsi="Arial" w:cs="Arial"/>
          <w:sz w:val="24"/>
          <w:szCs w:val="24"/>
        </w:rPr>
        <w:t>all of</w:t>
      </w:r>
      <w:proofErr w:type="gramEnd"/>
      <w:r>
        <w:rPr>
          <w:rFonts w:ascii="Arial" w:hAnsi="Arial" w:cs="Arial"/>
          <w:sz w:val="24"/>
          <w:szCs w:val="24"/>
        </w:rPr>
        <w:t xml:space="preserve"> its activities shaped by the collection and analysis of data from a range of sources, and for those activities to be carefully calibrated according to risk and likely greatest impact </w:t>
      </w:r>
      <w:r w:rsidR="00755CC3">
        <w:rPr>
          <w:rFonts w:ascii="Arial" w:hAnsi="Arial" w:cs="Arial"/>
          <w:sz w:val="24"/>
          <w:szCs w:val="24"/>
        </w:rPr>
        <w:t>on</w:t>
      </w:r>
      <w:r>
        <w:rPr>
          <w:rFonts w:ascii="Arial" w:hAnsi="Arial" w:cs="Arial"/>
          <w:sz w:val="24"/>
          <w:szCs w:val="24"/>
        </w:rPr>
        <w:t xml:space="preserve"> behaviour change. It will share data and use analysis to enable providers to greatly increase their understanding of how the Commission assesses quality of care, what key risks are (including how risk profiles are developed) across the sector and develop and promote analytical summary reports from different perspectives to enhance provider capacity and shape behaviour. It will also use data to engage with consumers and their families, and where relevant, the wider community. This work will be underpinned by a solid investment in effective data and intelligence systems, and capable data analysts.</w:t>
      </w:r>
      <w:r w:rsidR="007D6517">
        <w:rPr>
          <w:rFonts w:ascii="Arial" w:hAnsi="Arial" w:cs="Arial"/>
          <w:sz w:val="24"/>
          <w:szCs w:val="24"/>
        </w:rPr>
        <w:t xml:space="preserve"> (See also </w:t>
      </w:r>
      <w:r w:rsidR="007D6517" w:rsidRPr="007D6517">
        <w:rPr>
          <w:rFonts w:ascii="Arial" w:hAnsi="Arial" w:cs="Arial"/>
          <w:i/>
          <w:iCs/>
          <w:sz w:val="24"/>
          <w:szCs w:val="24"/>
        </w:rPr>
        <w:t>Robust and user focused ICT and data systems</w:t>
      </w:r>
      <w:r w:rsidR="007D6517">
        <w:rPr>
          <w:rFonts w:ascii="Arial" w:hAnsi="Arial" w:cs="Arial"/>
          <w:sz w:val="24"/>
          <w:szCs w:val="24"/>
        </w:rPr>
        <w:t>, Section 4.6.)</w:t>
      </w:r>
    </w:p>
    <w:p w14:paraId="359E0676" w14:textId="2DFC7B78" w:rsidR="00B02A38" w:rsidRDefault="00B02A38" w:rsidP="008E7A46">
      <w:pPr>
        <w:keepNext/>
        <w:spacing w:before="120" w:after="120" w:line="240" w:lineRule="auto"/>
        <w:rPr>
          <w:rFonts w:ascii="Arial" w:hAnsi="Arial" w:cs="Arial"/>
          <w:i/>
          <w:iCs/>
          <w:sz w:val="24"/>
          <w:szCs w:val="24"/>
        </w:rPr>
      </w:pPr>
      <w:r>
        <w:rPr>
          <w:rFonts w:ascii="Arial" w:hAnsi="Arial" w:cs="Arial"/>
          <w:i/>
          <w:iCs/>
          <w:sz w:val="24"/>
          <w:szCs w:val="24"/>
        </w:rPr>
        <w:lastRenderedPageBreak/>
        <w:t>What the Commission does now</w:t>
      </w:r>
    </w:p>
    <w:p w14:paraId="0A6AAFF7" w14:textId="5C35C9D2"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 Commission has demonstrated a strong commitment to developing its risk profiling capacities and to become more data driven. As </w:t>
      </w:r>
      <w:r w:rsidRPr="005C39F0">
        <w:rPr>
          <w:rFonts w:ascii="Arial" w:hAnsi="Arial" w:cs="Arial"/>
          <w:sz w:val="24"/>
          <w:szCs w:val="24"/>
        </w:rPr>
        <w:t xml:space="preserve">noted in </w:t>
      </w:r>
      <w:r w:rsidR="008766A9">
        <w:rPr>
          <w:rFonts w:ascii="Arial" w:hAnsi="Arial" w:cs="Arial"/>
          <w:sz w:val="24"/>
          <w:szCs w:val="24"/>
        </w:rPr>
        <w:t>Section</w:t>
      </w:r>
      <w:r w:rsidR="008766A9" w:rsidRPr="005C39F0">
        <w:rPr>
          <w:rFonts w:ascii="Arial" w:hAnsi="Arial" w:cs="Arial"/>
          <w:sz w:val="24"/>
          <w:szCs w:val="24"/>
        </w:rPr>
        <w:t xml:space="preserve"> </w:t>
      </w:r>
      <w:r w:rsidR="005C39F0" w:rsidRPr="005C39F0">
        <w:rPr>
          <w:rFonts w:ascii="Arial" w:hAnsi="Arial" w:cs="Arial"/>
          <w:sz w:val="24"/>
          <w:szCs w:val="24"/>
        </w:rPr>
        <w:t>4.6</w:t>
      </w:r>
      <w:r w:rsidRPr="005C39F0">
        <w:rPr>
          <w:rFonts w:ascii="Arial" w:hAnsi="Arial" w:cs="Arial"/>
          <w:sz w:val="24"/>
          <w:szCs w:val="24"/>
        </w:rPr>
        <w:t>,</w:t>
      </w:r>
      <w:r>
        <w:rPr>
          <w:rFonts w:ascii="Arial" w:hAnsi="Arial" w:cs="Arial"/>
          <w:sz w:val="24"/>
          <w:szCs w:val="24"/>
        </w:rPr>
        <w:t xml:space="preserve"> </w:t>
      </w:r>
      <w:r w:rsidR="00520850">
        <w:rPr>
          <w:rFonts w:ascii="Arial" w:hAnsi="Arial" w:cs="Arial"/>
          <w:sz w:val="24"/>
          <w:szCs w:val="24"/>
        </w:rPr>
        <w:t xml:space="preserve">some </w:t>
      </w:r>
      <w:r>
        <w:rPr>
          <w:rFonts w:ascii="Arial" w:hAnsi="Arial" w:cs="Arial"/>
          <w:sz w:val="24"/>
          <w:szCs w:val="24"/>
        </w:rPr>
        <w:t>steps have been taken, with the support of the Department, to develop good data systems. Some skilled staff have been recruited, and there is an emerging data culture, and sound strategies are being developed.</w:t>
      </w:r>
    </w:p>
    <w:p w14:paraId="39ED5B11" w14:textId="168C68BD" w:rsidR="00B02A38" w:rsidRDefault="00B02A38" w:rsidP="00B02A38">
      <w:pPr>
        <w:spacing w:line="240" w:lineRule="auto"/>
        <w:rPr>
          <w:rFonts w:ascii="Arial" w:hAnsi="Arial" w:cs="Arial"/>
          <w:sz w:val="24"/>
          <w:szCs w:val="24"/>
        </w:rPr>
      </w:pPr>
      <w:r>
        <w:rPr>
          <w:rFonts w:ascii="Arial" w:hAnsi="Arial" w:cs="Arial"/>
          <w:sz w:val="24"/>
          <w:szCs w:val="24"/>
        </w:rPr>
        <w:t>Throughout consultation, staff consistently highlighted opportunities to use digital and data solutions to improve effectiveness and staff productivity. Staff acknowledged that work is underway to improve systems and that they are improving over time</w:t>
      </w:r>
      <w:r w:rsidR="00520850">
        <w:rPr>
          <w:rFonts w:ascii="Arial" w:hAnsi="Arial" w:cs="Arial"/>
          <w:sz w:val="24"/>
          <w:szCs w:val="24"/>
        </w:rPr>
        <w:t>. H</w:t>
      </w:r>
      <w:r>
        <w:rPr>
          <w:rFonts w:ascii="Arial" w:hAnsi="Arial" w:cs="Arial"/>
          <w:sz w:val="24"/>
          <w:szCs w:val="24"/>
        </w:rPr>
        <w:t>owever, there was a general sense that more can and should be done.</w:t>
      </w:r>
    </w:p>
    <w:p w14:paraId="61CB67D3" w14:textId="1AD2CF20" w:rsidR="00B02A38" w:rsidRDefault="00B02A38" w:rsidP="00B02A38">
      <w:pPr>
        <w:spacing w:line="240" w:lineRule="auto"/>
        <w:rPr>
          <w:rFonts w:ascii="Arial" w:hAnsi="Arial" w:cs="Arial"/>
          <w:sz w:val="24"/>
          <w:szCs w:val="24"/>
        </w:rPr>
      </w:pPr>
      <w:r>
        <w:rPr>
          <w:rFonts w:ascii="Arial" w:hAnsi="Arial" w:cs="Arial"/>
          <w:sz w:val="24"/>
          <w:szCs w:val="24"/>
        </w:rPr>
        <w:t>The Commission</w:t>
      </w:r>
      <w:r w:rsidR="00AD6008">
        <w:rPr>
          <w:rFonts w:ascii="Arial" w:hAnsi="Arial" w:cs="Arial"/>
          <w:sz w:val="24"/>
          <w:szCs w:val="24"/>
        </w:rPr>
        <w:t>’</w:t>
      </w:r>
      <w:r>
        <w:rPr>
          <w:rFonts w:ascii="Arial" w:hAnsi="Arial" w:cs="Arial"/>
          <w:sz w:val="24"/>
          <w:szCs w:val="24"/>
        </w:rPr>
        <w:t xml:space="preserve">s Executive acknowledge the importance of </w:t>
      </w:r>
      <w:r w:rsidR="00781A59">
        <w:rPr>
          <w:rFonts w:ascii="Arial" w:hAnsi="Arial" w:cs="Arial"/>
          <w:sz w:val="24"/>
          <w:szCs w:val="24"/>
        </w:rPr>
        <w:t>d</w:t>
      </w:r>
      <w:r>
        <w:rPr>
          <w:rFonts w:ascii="Arial" w:hAnsi="Arial" w:cs="Arial"/>
          <w:sz w:val="24"/>
          <w:szCs w:val="24"/>
        </w:rPr>
        <w:t xml:space="preserve">igital and </w:t>
      </w:r>
      <w:r w:rsidR="00781A59">
        <w:rPr>
          <w:rFonts w:ascii="Arial" w:hAnsi="Arial" w:cs="Arial"/>
          <w:sz w:val="24"/>
          <w:szCs w:val="24"/>
        </w:rPr>
        <w:t>d</w:t>
      </w:r>
      <w:r>
        <w:rPr>
          <w:rFonts w:ascii="Arial" w:hAnsi="Arial" w:cs="Arial"/>
          <w:sz w:val="24"/>
          <w:szCs w:val="24"/>
        </w:rPr>
        <w:t xml:space="preserve">ata approaches to achieving organisational outcomes </w:t>
      </w:r>
      <w:r w:rsidR="00520850">
        <w:rPr>
          <w:rFonts w:ascii="Arial" w:hAnsi="Arial" w:cs="Arial"/>
          <w:sz w:val="24"/>
          <w:szCs w:val="24"/>
        </w:rPr>
        <w:t xml:space="preserve">but </w:t>
      </w:r>
      <w:r>
        <w:rPr>
          <w:rFonts w:ascii="Arial" w:hAnsi="Arial" w:cs="Arial"/>
          <w:sz w:val="24"/>
          <w:szCs w:val="24"/>
        </w:rPr>
        <w:t xml:space="preserve">noted that it was also one of the most significant capability gaps faced by the Commission that needed to be addressed. The Department has been leading the development of </w:t>
      </w:r>
      <w:r w:rsidR="00520850">
        <w:rPr>
          <w:rFonts w:ascii="Arial" w:hAnsi="Arial" w:cs="Arial"/>
          <w:sz w:val="24"/>
          <w:szCs w:val="24"/>
        </w:rPr>
        <w:t xml:space="preserve">a </w:t>
      </w:r>
      <w:r>
        <w:rPr>
          <w:rFonts w:ascii="Arial" w:hAnsi="Arial" w:cs="Arial"/>
          <w:color w:val="000000"/>
          <w:sz w:val="24"/>
          <w:szCs w:val="24"/>
        </w:rPr>
        <w:t xml:space="preserve">Risk Based Targeted Information System </w:t>
      </w:r>
      <w:r>
        <w:rPr>
          <w:rFonts w:ascii="Arial" w:hAnsi="Arial" w:cs="Arial"/>
          <w:sz w:val="24"/>
          <w:szCs w:val="24"/>
        </w:rPr>
        <w:t>(RBTIS) platform to provide an integrated data system to enable effective risk-based regulation. Additionally, the Department is responsible for provisioning data and intelligence for other systems. Both systems are critical in enabling the Commission to undertake its role in regulating the sector.</w:t>
      </w:r>
    </w:p>
    <w:p w14:paraId="535B02E3" w14:textId="03A0C3ED"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 Commission is increasingly moving towards the use of evidence-based, data driven approaches for the delivery of services and leverages a wide variety of data sourced internally and from external sources and via data sets and consistent, applications provided by the </w:t>
      </w:r>
      <w:r w:rsidR="00A23A1D">
        <w:rPr>
          <w:rFonts w:ascii="Arial" w:hAnsi="Arial" w:cs="Arial"/>
          <w:sz w:val="24"/>
          <w:szCs w:val="24"/>
        </w:rPr>
        <w:t>D</w:t>
      </w:r>
      <w:r>
        <w:rPr>
          <w:rFonts w:ascii="Arial" w:hAnsi="Arial" w:cs="Arial"/>
          <w:sz w:val="24"/>
          <w:szCs w:val="24"/>
        </w:rPr>
        <w:t xml:space="preserve">epartment. Some challenges exist in integrating data from multiple sources to present a consistent, holistic, single view of provider, customer, risk etc. It appears that internally, several systems are in place that provide important intelligence </w:t>
      </w:r>
      <w:r w:rsidR="00781A59">
        <w:rPr>
          <w:rFonts w:ascii="Arial" w:hAnsi="Arial" w:cs="Arial"/>
          <w:sz w:val="24"/>
          <w:szCs w:val="24"/>
        </w:rPr>
        <w:t xml:space="preserve">but lack integration </w:t>
      </w:r>
      <w:r>
        <w:rPr>
          <w:rFonts w:ascii="Arial" w:hAnsi="Arial" w:cs="Arial"/>
          <w:sz w:val="24"/>
          <w:szCs w:val="24"/>
        </w:rPr>
        <w:t>– this is a significant barrier to the Commission becoming a truly risk-based regulator.</w:t>
      </w:r>
    </w:p>
    <w:p w14:paraId="658A9441" w14:textId="77777777" w:rsidR="00B02A38" w:rsidRDefault="00B02A38" w:rsidP="00B02A38">
      <w:pPr>
        <w:spacing w:before="120" w:after="120" w:line="240" w:lineRule="auto"/>
        <w:rPr>
          <w:rFonts w:ascii="Arial" w:hAnsi="Arial" w:cs="Arial"/>
          <w:sz w:val="24"/>
          <w:szCs w:val="24"/>
        </w:rPr>
      </w:pPr>
      <w:r>
        <w:rPr>
          <w:rFonts w:ascii="Arial" w:hAnsi="Arial" w:cs="Arial"/>
          <w:sz w:val="24"/>
          <w:szCs w:val="24"/>
        </w:rPr>
        <w:t>Structured processes exist for delivering standardised, evidence-based risk identification tools however data integration barriers are currently limiting ad hoc data discovery and the ability to realise data related innovation. </w:t>
      </w:r>
    </w:p>
    <w:p w14:paraId="106680FF" w14:textId="651AE601"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The ability for the Commission to discover what data, insights and intelligence are available within the </w:t>
      </w:r>
      <w:r w:rsidR="00A23A1D">
        <w:rPr>
          <w:rFonts w:ascii="Arial" w:hAnsi="Arial" w:cs="Arial"/>
          <w:sz w:val="24"/>
          <w:szCs w:val="24"/>
        </w:rPr>
        <w:t>D</w:t>
      </w:r>
      <w:r>
        <w:rPr>
          <w:rFonts w:ascii="Arial" w:hAnsi="Arial" w:cs="Arial"/>
          <w:sz w:val="24"/>
          <w:szCs w:val="24"/>
        </w:rPr>
        <w:t xml:space="preserve">epartment (and vice-versa) is limited and consultation highlighted a lack of confidence </w:t>
      </w:r>
      <w:r w:rsidR="008D1329">
        <w:rPr>
          <w:rFonts w:ascii="Arial" w:hAnsi="Arial" w:cs="Arial"/>
          <w:sz w:val="24"/>
          <w:szCs w:val="24"/>
        </w:rPr>
        <w:t xml:space="preserve">in both agencies </w:t>
      </w:r>
      <w:r>
        <w:rPr>
          <w:rFonts w:ascii="Arial" w:hAnsi="Arial" w:cs="Arial"/>
          <w:sz w:val="24"/>
          <w:szCs w:val="24"/>
        </w:rPr>
        <w:t xml:space="preserve">in the quality, completeness, and accuracy of data. </w:t>
      </w:r>
    </w:p>
    <w:p w14:paraId="17103A2D" w14:textId="77777777" w:rsidR="00B02A38" w:rsidRDefault="00B02A38" w:rsidP="00B02A38">
      <w:pPr>
        <w:spacing w:before="240" w:after="120" w:line="240" w:lineRule="auto"/>
        <w:textAlignment w:val="baseline"/>
        <w:rPr>
          <w:rFonts w:ascii="Arial" w:hAnsi="Arial" w:cs="Arial"/>
          <w:i/>
          <w:iCs/>
          <w:color w:val="000000"/>
          <w:sz w:val="24"/>
          <w:szCs w:val="24"/>
          <w:lang w:eastAsia="en-AU"/>
        </w:rPr>
      </w:pPr>
      <w:r>
        <w:rPr>
          <w:rFonts w:ascii="Arial" w:hAnsi="Arial" w:cs="Arial"/>
          <w:i/>
          <w:iCs/>
          <w:color w:val="000000"/>
          <w:sz w:val="24"/>
          <w:szCs w:val="24"/>
        </w:rPr>
        <w:t>What the Commission needs to do</w:t>
      </w:r>
    </w:p>
    <w:p w14:paraId="64949A73" w14:textId="2460BEFE" w:rsidR="00B02A38" w:rsidRDefault="00B02A38" w:rsidP="00B02A38">
      <w:pPr>
        <w:spacing w:line="240" w:lineRule="auto"/>
        <w:rPr>
          <w:rFonts w:ascii="Arial" w:hAnsi="Arial" w:cs="Arial"/>
          <w:sz w:val="24"/>
          <w:szCs w:val="24"/>
        </w:rPr>
      </w:pPr>
      <w:r>
        <w:rPr>
          <w:rFonts w:ascii="Arial" w:hAnsi="Arial" w:cs="Arial"/>
          <w:sz w:val="24"/>
          <w:szCs w:val="24"/>
        </w:rPr>
        <w:t xml:space="preserve">As the Commission’s approach to regulation shifts to become a world class, high performing risk based and data driven regulator, </w:t>
      </w:r>
      <w:r w:rsidR="00520850">
        <w:rPr>
          <w:rFonts w:ascii="Arial" w:hAnsi="Arial" w:cs="Arial"/>
          <w:sz w:val="24"/>
          <w:szCs w:val="24"/>
        </w:rPr>
        <w:t xml:space="preserve">there must be early effort </w:t>
      </w:r>
      <w:r>
        <w:rPr>
          <w:rFonts w:ascii="Arial" w:hAnsi="Arial" w:cs="Arial"/>
          <w:sz w:val="24"/>
          <w:szCs w:val="24"/>
        </w:rPr>
        <w:t xml:space="preserve">to increase </w:t>
      </w:r>
      <w:r w:rsidR="00520850">
        <w:rPr>
          <w:rFonts w:ascii="Arial" w:hAnsi="Arial" w:cs="Arial"/>
          <w:sz w:val="24"/>
          <w:szCs w:val="24"/>
        </w:rPr>
        <w:t xml:space="preserve">greatly </w:t>
      </w:r>
      <w:r>
        <w:rPr>
          <w:rFonts w:ascii="Arial" w:hAnsi="Arial" w:cs="Arial"/>
          <w:sz w:val="24"/>
          <w:szCs w:val="24"/>
        </w:rPr>
        <w:t>the use of digital and data solutions to increase delivery effectiveness, build trust with the sector and community and increase staff productivity – for example, tailoring education and support activities to providers who are trying hard to enhance their quality of care, and targeting more structured and well executed compliance efforts where there appears to be risks of unsafe practices.</w:t>
      </w:r>
    </w:p>
    <w:p w14:paraId="33F62045" w14:textId="2C915ABF" w:rsidR="00B02A38" w:rsidRDefault="00B02A38" w:rsidP="00B02A38">
      <w:pPr>
        <w:spacing w:before="120" w:after="120" w:line="240" w:lineRule="auto"/>
        <w:rPr>
          <w:rFonts w:ascii="Arial" w:hAnsi="Arial" w:cs="Arial"/>
          <w:sz w:val="24"/>
          <w:szCs w:val="24"/>
        </w:rPr>
      </w:pPr>
      <w:r>
        <w:rPr>
          <w:rFonts w:ascii="Arial" w:hAnsi="Arial" w:cs="Arial"/>
          <w:sz w:val="24"/>
          <w:szCs w:val="24"/>
        </w:rPr>
        <w:t xml:space="preserve">Building this capability and capacity in partnership with the Department must be a key organisational objective for a sustained </w:t>
      </w:r>
      <w:proofErr w:type="gramStart"/>
      <w:r>
        <w:rPr>
          <w:rFonts w:ascii="Arial" w:hAnsi="Arial" w:cs="Arial"/>
          <w:sz w:val="24"/>
          <w:szCs w:val="24"/>
        </w:rPr>
        <w:t>period of time</w:t>
      </w:r>
      <w:proofErr w:type="gramEnd"/>
      <w:r>
        <w:rPr>
          <w:rFonts w:ascii="Arial" w:hAnsi="Arial" w:cs="Arial"/>
          <w:sz w:val="24"/>
          <w:szCs w:val="24"/>
        </w:rPr>
        <w:t>.</w:t>
      </w:r>
    </w:p>
    <w:p w14:paraId="0440BF87" w14:textId="4988FC84" w:rsidR="00B02A38" w:rsidRDefault="00833D08" w:rsidP="00B02A38">
      <w:pPr>
        <w:spacing w:before="240" w:after="120" w:line="240" w:lineRule="auto"/>
        <w:rPr>
          <w:rFonts w:ascii="Arial" w:hAnsi="Arial" w:cs="Arial"/>
          <w:b/>
          <w:bCs/>
          <w:sz w:val="24"/>
          <w:szCs w:val="24"/>
        </w:rPr>
      </w:pPr>
      <w:r>
        <w:rPr>
          <w:rFonts w:ascii="Arial" w:hAnsi="Arial" w:cs="Arial"/>
          <w:sz w:val="24"/>
          <w:szCs w:val="24"/>
        </w:rPr>
        <w:lastRenderedPageBreak/>
        <w:t>I</w:t>
      </w:r>
      <w:r w:rsidR="00B02A38">
        <w:rPr>
          <w:rFonts w:ascii="Arial" w:hAnsi="Arial" w:cs="Arial"/>
          <w:sz w:val="24"/>
          <w:szCs w:val="24"/>
        </w:rPr>
        <w:t xml:space="preserve"> acknowledge that recruiting and retaining staff with strong data analysis skills is challenging, with many organisations competing for these skills. However, the success of the Commission will only be realised with a strong cohort of officers with data analysis and risk profiling expertise.</w:t>
      </w:r>
      <w:r w:rsidR="00B02A38">
        <w:rPr>
          <w:rFonts w:ascii="Arial" w:hAnsi="Arial" w:cs="Arial"/>
          <w:b/>
          <w:bCs/>
          <w:sz w:val="24"/>
          <w:szCs w:val="24"/>
        </w:rPr>
        <w:t xml:space="preserve"> </w:t>
      </w:r>
    </w:p>
    <w:p w14:paraId="430043F5" w14:textId="5389D282" w:rsidR="00B02A38" w:rsidRDefault="00B02A38" w:rsidP="00B02A38">
      <w:pPr>
        <w:spacing w:before="240" w:after="120" w:line="240" w:lineRule="auto"/>
        <w:rPr>
          <w:rFonts w:ascii="Arial" w:hAnsi="Arial" w:cs="Arial"/>
          <w:sz w:val="24"/>
          <w:szCs w:val="24"/>
        </w:rPr>
      </w:pPr>
      <w:r>
        <w:rPr>
          <w:rFonts w:ascii="Arial" w:hAnsi="Arial" w:cs="Arial"/>
          <w:sz w:val="24"/>
          <w:szCs w:val="24"/>
        </w:rPr>
        <w:t>There is</w:t>
      </w:r>
      <w:r w:rsidR="00520850">
        <w:rPr>
          <w:rFonts w:ascii="Arial" w:hAnsi="Arial" w:cs="Arial"/>
          <w:sz w:val="24"/>
          <w:szCs w:val="24"/>
        </w:rPr>
        <w:t xml:space="preserve"> also</w:t>
      </w:r>
      <w:r>
        <w:rPr>
          <w:rFonts w:ascii="Arial" w:hAnsi="Arial" w:cs="Arial"/>
          <w:sz w:val="24"/>
          <w:szCs w:val="24"/>
        </w:rPr>
        <w:t xml:space="preserve"> a need for the Commission and Department to develop much closer working relationships to better achieve their information goals, including through consultation on a strategic data, analytics and risk strategy, data design, improved data sharing and enhanced data governance arrangements. </w:t>
      </w:r>
    </w:p>
    <w:p w14:paraId="7C3BE465" w14:textId="305E44B1" w:rsidR="00B02A38" w:rsidRDefault="00B02A38" w:rsidP="00B02A38">
      <w:pPr>
        <w:spacing w:before="240" w:after="120" w:line="240" w:lineRule="auto"/>
        <w:rPr>
          <w:rFonts w:ascii="Arial" w:hAnsi="Arial" w:cs="Arial"/>
          <w:sz w:val="24"/>
          <w:szCs w:val="24"/>
        </w:rPr>
      </w:pPr>
      <w:r>
        <w:rPr>
          <w:rFonts w:ascii="Arial" w:hAnsi="Arial" w:cs="Arial"/>
          <w:sz w:val="24"/>
          <w:szCs w:val="24"/>
        </w:rPr>
        <w:t>Greater focus is needed on discovering and sharing intelligence and insights available across the entire aged care ecosystem and strategically designing evidence</w:t>
      </w:r>
      <w:r w:rsidR="00386957">
        <w:rPr>
          <w:rFonts w:ascii="Arial" w:hAnsi="Arial" w:cs="Arial"/>
          <w:sz w:val="24"/>
          <w:szCs w:val="24"/>
        </w:rPr>
        <w:t>-</w:t>
      </w:r>
      <w:r>
        <w:rPr>
          <w:rFonts w:ascii="Arial" w:hAnsi="Arial" w:cs="Arial"/>
          <w:sz w:val="24"/>
          <w:szCs w:val="24"/>
        </w:rPr>
        <w:t xml:space="preserve">based approaches that contribute to the delivery of the Commission’s goals. </w:t>
      </w:r>
    </w:p>
    <w:p w14:paraId="20B5E118" w14:textId="5F530B61" w:rsidR="00B02A38" w:rsidRPr="005D0AF3" w:rsidRDefault="00B02A38" w:rsidP="00972D22">
      <w:pPr>
        <w:spacing w:before="240" w:after="120" w:line="240" w:lineRule="auto"/>
        <w:rPr>
          <w:rFonts w:ascii="Arial" w:hAnsi="Arial" w:cs="Arial"/>
          <w:sz w:val="24"/>
          <w:szCs w:val="24"/>
        </w:rPr>
      </w:pPr>
      <w:r w:rsidRPr="005D0AF3">
        <w:rPr>
          <w:rFonts w:ascii="Arial" w:hAnsi="Arial" w:cs="Arial"/>
          <w:b/>
          <w:bCs/>
          <w:sz w:val="24"/>
          <w:szCs w:val="24"/>
        </w:rPr>
        <w:t xml:space="preserve">Recommendation </w:t>
      </w:r>
      <w:r w:rsidR="00321162" w:rsidRPr="005D0AF3">
        <w:rPr>
          <w:rFonts w:ascii="Arial" w:hAnsi="Arial" w:cs="Arial"/>
          <w:b/>
          <w:bCs/>
          <w:sz w:val="24"/>
          <w:szCs w:val="24"/>
        </w:rPr>
        <w:t>4.</w:t>
      </w:r>
      <w:r w:rsidR="00DD6771">
        <w:rPr>
          <w:rFonts w:ascii="Arial" w:hAnsi="Arial" w:cs="Arial"/>
          <w:b/>
          <w:bCs/>
          <w:sz w:val="24"/>
          <w:szCs w:val="24"/>
        </w:rPr>
        <w:t>1</w:t>
      </w:r>
      <w:r w:rsidR="00DF21A0">
        <w:rPr>
          <w:rFonts w:ascii="Arial" w:hAnsi="Arial" w:cs="Arial"/>
          <w:b/>
          <w:bCs/>
          <w:sz w:val="24"/>
          <w:szCs w:val="24"/>
        </w:rPr>
        <w:t>6</w:t>
      </w:r>
      <w:r w:rsidRPr="005D0AF3">
        <w:rPr>
          <w:rFonts w:ascii="Arial" w:hAnsi="Arial" w:cs="Arial"/>
          <w:b/>
          <w:bCs/>
          <w:sz w:val="24"/>
          <w:szCs w:val="24"/>
        </w:rPr>
        <w:t>:</w:t>
      </w:r>
      <w:r w:rsidRPr="005D0AF3">
        <w:rPr>
          <w:rFonts w:ascii="Arial" w:hAnsi="Arial" w:cs="Arial"/>
          <w:sz w:val="24"/>
          <w:szCs w:val="24"/>
        </w:rPr>
        <w:t xml:space="preserve"> </w:t>
      </w:r>
      <w:r w:rsidR="00972D22">
        <w:rPr>
          <w:rFonts w:ascii="Arial" w:hAnsi="Arial" w:cs="Arial"/>
          <w:sz w:val="24"/>
          <w:szCs w:val="24"/>
        </w:rPr>
        <w:t xml:space="preserve">The Commission to, in partnership with the Department, develop a strategic Data, Analytics and Risk Profiling Strategy, supported by the advice of a member of the Advisory Council with a data background, and with oversight </w:t>
      </w:r>
      <w:r w:rsidR="00201EF6" w:rsidRPr="005D0AF3">
        <w:rPr>
          <w:rFonts w:ascii="Arial" w:hAnsi="Arial" w:cs="Arial"/>
          <w:sz w:val="24"/>
          <w:szCs w:val="24"/>
        </w:rPr>
        <w:t xml:space="preserve">by </w:t>
      </w:r>
      <w:r w:rsidRPr="005D0AF3">
        <w:rPr>
          <w:rFonts w:ascii="Arial" w:hAnsi="Arial" w:cs="Arial"/>
          <w:sz w:val="24"/>
          <w:szCs w:val="24"/>
        </w:rPr>
        <w:t xml:space="preserve">the </w:t>
      </w:r>
      <w:r w:rsidR="00616D7D">
        <w:rPr>
          <w:rFonts w:ascii="Arial" w:hAnsi="Arial" w:cs="Arial"/>
          <w:sz w:val="24"/>
          <w:szCs w:val="24"/>
        </w:rPr>
        <w:t xml:space="preserve">proposed </w:t>
      </w:r>
      <w:r w:rsidR="00201EF6" w:rsidRPr="005D0AF3">
        <w:rPr>
          <w:rFonts w:ascii="Arial" w:hAnsi="Arial" w:cs="Arial"/>
          <w:sz w:val="24"/>
          <w:szCs w:val="24"/>
        </w:rPr>
        <w:t xml:space="preserve">Data and </w:t>
      </w:r>
      <w:r w:rsidR="00256C17">
        <w:rPr>
          <w:rFonts w:ascii="Arial" w:hAnsi="Arial" w:cs="Arial"/>
          <w:sz w:val="24"/>
          <w:szCs w:val="24"/>
        </w:rPr>
        <w:t>Intelligence</w:t>
      </w:r>
      <w:r w:rsidR="00201EF6" w:rsidRPr="005D0AF3">
        <w:rPr>
          <w:rFonts w:ascii="Arial" w:hAnsi="Arial" w:cs="Arial"/>
          <w:sz w:val="24"/>
          <w:szCs w:val="24"/>
        </w:rPr>
        <w:t xml:space="preserve"> Governance Committee (see </w:t>
      </w:r>
      <w:r w:rsidR="00987DE8">
        <w:rPr>
          <w:rFonts w:ascii="Arial" w:hAnsi="Arial" w:cs="Arial"/>
          <w:sz w:val="24"/>
          <w:szCs w:val="24"/>
        </w:rPr>
        <w:t>Section</w:t>
      </w:r>
      <w:r w:rsidR="00987DE8" w:rsidRPr="005D0AF3">
        <w:rPr>
          <w:rFonts w:ascii="Arial" w:hAnsi="Arial" w:cs="Arial"/>
          <w:sz w:val="24"/>
          <w:szCs w:val="24"/>
        </w:rPr>
        <w:t xml:space="preserve"> </w:t>
      </w:r>
      <w:r w:rsidR="00201EF6" w:rsidRPr="005D0AF3">
        <w:rPr>
          <w:rFonts w:ascii="Arial" w:hAnsi="Arial" w:cs="Arial"/>
          <w:sz w:val="24"/>
          <w:szCs w:val="24"/>
        </w:rPr>
        <w:t xml:space="preserve">4.3). The Governance Committee </w:t>
      </w:r>
      <w:r w:rsidR="00972D22">
        <w:rPr>
          <w:rFonts w:ascii="Arial" w:hAnsi="Arial" w:cs="Arial"/>
          <w:sz w:val="24"/>
          <w:szCs w:val="24"/>
        </w:rPr>
        <w:t>to</w:t>
      </w:r>
      <w:r w:rsidR="00201EF6" w:rsidRPr="005D0AF3">
        <w:rPr>
          <w:rFonts w:ascii="Arial" w:hAnsi="Arial" w:cs="Arial"/>
          <w:sz w:val="24"/>
          <w:szCs w:val="24"/>
        </w:rPr>
        <w:t xml:space="preserve"> consider</w:t>
      </w:r>
      <w:r w:rsidRPr="005D0AF3">
        <w:rPr>
          <w:rFonts w:ascii="Arial" w:hAnsi="Arial" w:cs="Arial"/>
          <w:sz w:val="24"/>
          <w:szCs w:val="24"/>
        </w:rPr>
        <w:t>:</w:t>
      </w:r>
    </w:p>
    <w:p w14:paraId="7C89067E" w14:textId="0886F2C4" w:rsidR="00B02A38" w:rsidRPr="005D0AF3" w:rsidRDefault="00B02A38" w:rsidP="001750D5">
      <w:pPr>
        <w:pStyle w:val="ListParagraph"/>
        <w:numPr>
          <w:ilvl w:val="0"/>
          <w:numId w:val="69"/>
        </w:numPr>
        <w:spacing w:before="120" w:after="120" w:line="240" w:lineRule="auto"/>
        <w:ind w:left="357" w:hanging="357"/>
        <w:rPr>
          <w:rFonts w:ascii="Arial" w:hAnsi="Arial" w:cs="Arial"/>
          <w:color w:val="000000"/>
          <w:sz w:val="24"/>
          <w:szCs w:val="24"/>
          <w:shd w:val="clear" w:color="auto" w:fill="FFFFFF"/>
        </w:rPr>
      </w:pPr>
      <w:r w:rsidRPr="005D0AF3">
        <w:rPr>
          <w:rFonts w:ascii="Arial" w:hAnsi="Arial" w:cs="Arial"/>
          <w:color w:val="000000"/>
          <w:sz w:val="24"/>
          <w:szCs w:val="24"/>
          <w:shd w:val="clear" w:color="auto" w:fill="FFFFFF"/>
        </w:rPr>
        <w:t>strategic alignment of data and risk profiling initiatives to the updated role and functions of the Commission</w:t>
      </w:r>
    </w:p>
    <w:p w14:paraId="2FCB197E" w14:textId="4E6C4495" w:rsidR="00B02A38" w:rsidRPr="005D0AF3" w:rsidRDefault="00B02A38" w:rsidP="001750D5">
      <w:pPr>
        <w:pStyle w:val="ListParagraph"/>
        <w:numPr>
          <w:ilvl w:val="0"/>
          <w:numId w:val="69"/>
        </w:numPr>
        <w:spacing w:before="120" w:after="120" w:line="240" w:lineRule="auto"/>
        <w:ind w:left="357" w:hanging="357"/>
        <w:rPr>
          <w:rFonts w:ascii="Arial" w:hAnsi="Arial" w:cs="Arial"/>
          <w:color w:val="000000"/>
          <w:sz w:val="24"/>
          <w:szCs w:val="24"/>
          <w:shd w:val="clear" w:color="auto" w:fill="FFFFFF"/>
        </w:rPr>
      </w:pPr>
      <w:r w:rsidRPr="005D0AF3">
        <w:rPr>
          <w:rFonts w:ascii="Arial" w:hAnsi="Arial" w:cs="Arial"/>
          <w:color w:val="000000"/>
          <w:sz w:val="24"/>
          <w:szCs w:val="24"/>
          <w:shd w:val="clear" w:color="auto" w:fill="FFFFFF"/>
        </w:rPr>
        <w:t>a data analysis and risk profiling staffing strategy informed by consultations with staff, industry and academia and adopts innovative approaches to uplifting capability that are be evaluated over time on a ‘try, test, learn’ basis</w:t>
      </w:r>
    </w:p>
    <w:p w14:paraId="1D9DCB38" w14:textId="594E575A" w:rsidR="00B02A38" w:rsidRPr="005D0AF3" w:rsidRDefault="00B02A38" w:rsidP="001750D5">
      <w:pPr>
        <w:pStyle w:val="ListParagraph"/>
        <w:numPr>
          <w:ilvl w:val="0"/>
          <w:numId w:val="69"/>
        </w:numPr>
        <w:spacing w:before="120" w:after="120" w:line="240" w:lineRule="auto"/>
        <w:ind w:left="357" w:hanging="357"/>
        <w:rPr>
          <w:rFonts w:ascii="Arial" w:hAnsi="Arial" w:cs="Arial"/>
          <w:color w:val="000000"/>
          <w:sz w:val="24"/>
          <w:szCs w:val="24"/>
          <w:shd w:val="clear" w:color="auto" w:fill="FFFFFF"/>
        </w:rPr>
      </w:pPr>
      <w:r w:rsidRPr="005D0AF3">
        <w:rPr>
          <w:rFonts w:ascii="Arial" w:hAnsi="Arial" w:cs="Arial"/>
          <w:color w:val="000000"/>
          <w:sz w:val="24"/>
          <w:szCs w:val="24"/>
          <w:shd w:val="clear" w:color="auto" w:fill="FFFFFF"/>
        </w:rPr>
        <w:t xml:space="preserve">methods for increasing trust of the community and the sector and increasing transparency in the system – </w:t>
      </w:r>
      <w:proofErr w:type="gramStart"/>
      <w:r w:rsidRPr="005D0AF3">
        <w:rPr>
          <w:rFonts w:ascii="Arial" w:hAnsi="Arial" w:cs="Arial"/>
          <w:color w:val="000000"/>
          <w:sz w:val="24"/>
          <w:szCs w:val="24"/>
          <w:shd w:val="clear" w:color="auto" w:fill="FFFFFF"/>
        </w:rPr>
        <w:t>e.g.</w:t>
      </w:r>
      <w:proofErr w:type="gramEnd"/>
      <w:r w:rsidRPr="005D0AF3">
        <w:rPr>
          <w:rFonts w:ascii="Arial" w:hAnsi="Arial" w:cs="Arial"/>
          <w:color w:val="000000"/>
          <w:sz w:val="24"/>
          <w:szCs w:val="24"/>
          <w:shd w:val="clear" w:color="auto" w:fill="FFFFFF"/>
        </w:rPr>
        <w:t xml:space="preserve"> publishing analytical papers for public release and promotion, drawing from a wide range of data</w:t>
      </w:r>
      <w:r w:rsidR="001414C7">
        <w:rPr>
          <w:rFonts w:ascii="Arial" w:hAnsi="Arial" w:cs="Arial"/>
          <w:color w:val="000000"/>
          <w:sz w:val="24"/>
          <w:szCs w:val="24"/>
          <w:shd w:val="clear" w:color="auto" w:fill="FFFFFF"/>
        </w:rPr>
        <w:t xml:space="preserve"> (note alignment with Recommendation 4.5)</w:t>
      </w:r>
      <w:r w:rsidR="00201EF6" w:rsidRPr="005D0AF3">
        <w:rPr>
          <w:rFonts w:ascii="Arial" w:hAnsi="Arial" w:cs="Arial"/>
          <w:color w:val="000000"/>
          <w:sz w:val="24"/>
          <w:szCs w:val="24"/>
          <w:shd w:val="clear" w:color="auto" w:fill="FFFFFF"/>
        </w:rPr>
        <w:t>, and</w:t>
      </w:r>
    </w:p>
    <w:p w14:paraId="4989F205" w14:textId="57DE12B2" w:rsidR="00B02A38" w:rsidRPr="005D0AF3" w:rsidRDefault="00B02A38" w:rsidP="001750D5">
      <w:pPr>
        <w:pStyle w:val="ListParagraph"/>
        <w:numPr>
          <w:ilvl w:val="0"/>
          <w:numId w:val="69"/>
        </w:numPr>
        <w:spacing w:before="120" w:after="120" w:line="240" w:lineRule="auto"/>
        <w:ind w:left="357" w:hanging="357"/>
        <w:rPr>
          <w:rFonts w:ascii="Arial" w:hAnsi="Arial" w:cs="Arial"/>
          <w:color w:val="000000"/>
          <w:sz w:val="24"/>
          <w:szCs w:val="24"/>
          <w:shd w:val="clear" w:color="auto" w:fill="FFFFFF"/>
        </w:rPr>
      </w:pPr>
      <w:r w:rsidRPr="005D0AF3">
        <w:rPr>
          <w:rFonts w:ascii="Arial" w:hAnsi="Arial" w:cs="Arial"/>
          <w:color w:val="000000"/>
          <w:sz w:val="24"/>
          <w:szCs w:val="24"/>
          <w:shd w:val="clear" w:color="auto" w:fill="FFFFFF"/>
        </w:rPr>
        <w:t>releas</w:t>
      </w:r>
      <w:r w:rsidR="008C655A" w:rsidRPr="005D0AF3">
        <w:rPr>
          <w:rFonts w:ascii="Arial" w:hAnsi="Arial" w:cs="Arial"/>
          <w:color w:val="000000"/>
          <w:sz w:val="24"/>
          <w:szCs w:val="24"/>
          <w:shd w:val="clear" w:color="auto" w:fill="FFFFFF"/>
        </w:rPr>
        <w:t>ing</w:t>
      </w:r>
      <w:r w:rsidRPr="005D0AF3">
        <w:rPr>
          <w:rFonts w:ascii="Arial" w:hAnsi="Arial" w:cs="Arial"/>
          <w:color w:val="000000"/>
          <w:sz w:val="24"/>
          <w:szCs w:val="24"/>
          <w:shd w:val="clear" w:color="auto" w:fill="FFFFFF"/>
        </w:rPr>
        <w:t xml:space="preserve"> profiling methodology to providers so that the sector has a good awareness and understanding of how risk is identified</w:t>
      </w:r>
      <w:r w:rsidR="001414C7">
        <w:rPr>
          <w:rFonts w:ascii="Arial" w:hAnsi="Arial" w:cs="Arial"/>
          <w:color w:val="000000"/>
          <w:sz w:val="24"/>
          <w:szCs w:val="24"/>
          <w:shd w:val="clear" w:color="auto" w:fill="FFFFFF"/>
        </w:rPr>
        <w:t xml:space="preserve"> (note alignment with Recommendation 4.5)</w:t>
      </w:r>
      <w:r w:rsidRPr="005D0AF3">
        <w:rPr>
          <w:rFonts w:ascii="Arial" w:hAnsi="Arial" w:cs="Arial"/>
          <w:color w:val="000000"/>
          <w:sz w:val="24"/>
          <w:szCs w:val="24"/>
          <w:shd w:val="clear" w:color="auto" w:fill="FFFFFF"/>
        </w:rPr>
        <w:t>.</w:t>
      </w:r>
    </w:p>
    <w:p w14:paraId="1C375A75" w14:textId="53E3903E" w:rsidR="00A2358A" w:rsidRPr="001364C7" w:rsidRDefault="00B02A38" w:rsidP="001364C7">
      <w:pPr>
        <w:spacing w:before="120" w:after="360" w:line="240" w:lineRule="auto"/>
        <w:rPr>
          <w:rFonts w:ascii="Arial" w:hAnsi="Arial" w:cs="Arial"/>
          <w:sz w:val="24"/>
          <w:szCs w:val="24"/>
        </w:rPr>
      </w:pPr>
      <w:r w:rsidRPr="005D0AF3">
        <w:rPr>
          <w:rFonts w:ascii="Arial" w:hAnsi="Arial" w:cs="Arial"/>
          <w:sz w:val="24"/>
          <w:szCs w:val="24"/>
        </w:rPr>
        <w:t>Progress on the delivery of this Strategy should be regularly reported to ELG and the Advisory Council.</w:t>
      </w:r>
    </w:p>
    <w:p w14:paraId="517E9B55" w14:textId="24193CB1" w:rsidR="00A2358A" w:rsidRPr="00A00298" w:rsidRDefault="00142AFE" w:rsidP="00A00298">
      <w:pPr>
        <w:rPr>
          <w:rFonts w:ascii="Arial" w:hAnsi="Arial" w:cs="Arial"/>
          <w:b/>
          <w:bCs/>
          <w:sz w:val="28"/>
          <w:szCs w:val="28"/>
        </w:rPr>
      </w:pPr>
      <w:r w:rsidRPr="00A00298">
        <w:rPr>
          <w:rFonts w:ascii="Arial" w:hAnsi="Arial" w:cs="Arial"/>
          <w:b/>
          <w:bCs/>
          <w:sz w:val="28"/>
          <w:szCs w:val="28"/>
        </w:rPr>
        <w:t>4.1</w:t>
      </w:r>
      <w:r w:rsidR="000D073A" w:rsidRPr="00A00298">
        <w:rPr>
          <w:rFonts w:ascii="Arial" w:hAnsi="Arial" w:cs="Arial"/>
          <w:b/>
          <w:bCs/>
          <w:sz w:val="28"/>
          <w:szCs w:val="28"/>
        </w:rPr>
        <w:t>1</w:t>
      </w:r>
      <w:r w:rsidRPr="00A00298">
        <w:rPr>
          <w:rFonts w:ascii="Arial" w:hAnsi="Arial" w:cs="Arial"/>
          <w:b/>
          <w:bCs/>
          <w:sz w:val="28"/>
          <w:szCs w:val="28"/>
        </w:rPr>
        <w:t xml:space="preserve"> Effective engagement and communications</w:t>
      </w:r>
    </w:p>
    <w:p w14:paraId="4E285A6B" w14:textId="3096D5A5" w:rsidR="00142AFE" w:rsidRPr="00E021D4" w:rsidRDefault="00142AFE" w:rsidP="00142AFE">
      <w:pPr>
        <w:spacing w:before="120" w:after="120" w:line="240" w:lineRule="auto"/>
        <w:rPr>
          <w:rFonts w:ascii="Arial" w:hAnsi="Arial" w:cs="Arial"/>
          <w:sz w:val="24"/>
          <w:szCs w:val="24"/>
        </w:rPr>
      </w:pPr>
      <w:r w:rsidRPr="00E021D4">
        <w:rPr>
          <w:rFonts w:ascii="Arial" w:hAnsi="Arial" w:cs="Arial"/>
          <w:sz w:val="24"/>
          <w:szCs w:val="24"/>
        </w:rPr>
        <w:t>A contemporary, high performing regulator must have strategically planned and executed external communications as one of its’ key capabilities</w:t>
      </w:r>
      <w:r w:rsidR="005867AA" w:rsidRPr="00E021D4">
        <w:rPr>
          <w:rFonts w:ascii="Arial" w:hAnsi="Arial" w:cs="Arial"/>
          <w:sz w:val="24"/>
          <w:szCs w:val="24"/>
          <w:vertAlign w:val="superscript"/>
        </w:rPr>
        <w:footnoteReference w:id="68"/>
      </w:r>
      <w:r w:rsidR="005867AA">
        <w:rPr>
          <w:rFonts w:ascii="Arial" w:hAnsi="Arial" w:cs="Arial"/>
          <w:sz w:val="24"/>
          <w:szCs w:val="24"/>
        </w:rPr>
        <w:t>.</w:t>
      </w:r>
    </w:p>
    <w:p w14:paraId="659685C9" w14:textId="77777777" w:rsidR="00142AFE" w:rsidRPr="00E021D4" w:rsidRDefault="00142AFE" w:rsidP="00142AFE">
      <w:pPr>
        <w:spacing w:before="120" w:after="120" w:line="240" w:lineRule="auto"/>
        <w:rPr>
          <w:rFonts w:ascii="Arial" w:hAnsi="Arial" w:cs="Arial"/>
          <w:sz w:val="24"/>
          <w:szCs w:val="24"/>
        </w:rPr>
      </w:pPr>
      <w:r w:rsidRPr="00E021D4">
        <w:rPr>
          <w:rFonts w:ascii="Arial" w:hAnsi="Arial" w:cs="Arial"/>
          <w:sz w:val="24"/>
          <w:szCs w:val="24"/>
        </w:rPr>
        <w:t>Well planned and executed engagement is identified as a key principle of best practice for Australian regulators:</w:t>
      </w:r>
    </w:p>
    <w:p w14:paraId="5A9760A3" w14:textId="3F50A4B6" w:rsidR="00142AFE" w:rsidRPr="00E021D4" w:rsidRDefault="00142AFE" w:rsidP="00142AFE">
      <w:pPr>
        <w:spacing w:before="120" w:after="120" w:line="240" w:lineRule="auto"/>
        <w:ind w:left="720"/>
        <w:rPr>
          <w:rFonts w:ascii="Arial" w:hAnsi="Arial" w:cs="Arial"/>
          <w:sz w:val="24"/>
          <w:szCs w:val="24"/>
        </w:rPr>
      </w:pPr>
      <w:r w:rsidRPr="00E021D4">
        <w:rPr>
          <w:rFonts w:ascii="Arial" w:hAnsi="Arial" w:cs="Arial"/>
          <w:i/>
          <w:iCs/>
          <w:sz w:val="24"/>
          <w:szCs w:val="24"/>
        </w:rPr>
        <w:t xml:space="preserve">Regulators are expected to be </w:t>
      </w:r>
      <w:proofErr w:type="gramStart"/>
      <w:r w:rsidRPr="00E021D4">
        <w:rPr>
          <w:rFonts w:ascii="Arial" w:hAnsi="Arial" w:cs="Arial"/>
          <w:i/>
          <w:iCs/>
          <w:sz w:val="24"/>
          <w:szCs w:val="24"/>
        </w:rPr>
        <w:t>open</w:t>
      </w:r>
      <w:proofErr w:type="gramEnd"/>
      <w:r w:rsidRPr="00E021D4">
        <w:rPr>
          <w:rFonts w:ascii="Arial" w:hAnsi="Arial" w:cs="Arial"/>
          <w:i/>
          <w:iCs/>
          <w:sz w:val="24"/>
          <w:szCs w:val="24"/>
        </w:rPr>
        <w:t xml:space="preserve"> to feedback on how they regulate and be clear with the public on why and how they regulate</w:t>
      </w:r>
      <w:r w:rsidRPr="00E021D4">
        <w:rPr>
          <w:rFonts w:ascii="Arial" w:hAnsi="Arial" w:cs="Arial"/>
          <w:sz w:val="24"/>
          <w:szCs w:val="24"/>
        </w:rPr>
        <w:t>.</w:t>
      </w:r>
      <w:r w:rsidR="005867AA" w:rsidRPr="00E021D4">
        <w:rPr>
          <w:rFonts w:ascii="Arial" w:hAnsi="Arial" w:cs="Arial"/>
          <w:sz w:val="24"/>
          <w:szCs w:val="24"/>
          <w:vertAlign w:val="superscript"/>
        </w:rPr>
        <w:footnoteReference w:id="69"/>
      </w:r>
    </w:p>
    <w:p w14:paraId="7C632746" w14:textId="5A0CE2FB" w:rsidR="00142AFE" w:rsidRPr="00E021D4" w:rsidRDefault="0099789E" w:rsidP="00D73C7D">
      <w:pPr>
        <w:keepNext/>
        <w:rPr>
          <w:rFonts w:ascii="Arial" w:hAnsi="Arial" w:cs="Arial"/>
          <w:sz w:val="24"/>
          <w:szCs w:val="24"/>
        </w:rPr>
      </w:pPr>
      <w:r>
        <w:rPr>
          <w:rFonts w:ascii="Arial" w:hAnsi="Arial" w:cs="Arial"/>
          <w:sz w:val="24"/>
          <w:szCs w:val="24"/>
        </w:rPr>
        <w:lastRenderedPageBreak/>
        <w:t>T</w:t>
      </w:r>
      <w:r w:rsidR="00142AFE" w:rsidRPr="00E021D4">
        <w:rPr>
          <w:rFonts w:ascii="Arial" w:hAnsi="Arial" w:cs="Arial"/>
          <w:sz w:val="24"/>
          <w:szCs w:val="24"/>
        </w:rPr>
        <w:t xml:space="preserve">he Grosvenor report </w:t>
      </w:r>
      <w:r>
        <w:rPr>
          <w:rFonts w:ascii="Arial" w:hAnsi="Arial" w:cs="Arial"/>
          <w:sz w:val="24"/>
          <w:szCs w:val="24"/>
        </w:rPr>
        <w:t xml:space="preserve">also </w:t>
      </w:r>
      <w:r w:rsidR="00142AFE" w:rsidRPr="00E021D4">
        <w:rPr>
          <w:rFonts w:ascii="Arial" w:hAnsi="Arial" w:cs="Arial"/>
          <w:sz w:val="24"/>
          <w:szCs w:val="24"/>
        </w:rPr>
        <w:t>found that:</w:t>
      </w:r>
    </w:p>
    <w:p w14:paraId="02E6B560" w14:textId="40E9F307" w:rsidR="00142AFE" w:rsidRPr="00E021D4" w:rsidRDefault="00142AFE" w:rsidP="00142AFE">
      <w:pPr>
        <w:ind w:left="720"/>
        <w:rPr>
          <w:rFonts w:ascii="Arial" w:hAnsi="Arial" w:cs="Arial"/>
          <w:sz w:val="24"/>
          <w:szCs w:val="24"/>
        </w:rPr>
      </w:pPr>
      <w:r w:rsidRPr="00E021D4">
        <w:rPr>
          <w:rFonts w:ascii="Arial" w:hAnsi="Arial" w:cs="Arial"/>
          <w:i/>
          <w:iCs/>
          <w:sz w:val="24"/>
          <w:szCs w:val="24"/>
        </w:rPr>
        <w:t>E</w:t>
      </w:r>
      <w:r w:rsidR="005A6AF5">
        <w:rPr>
          <w:rFonts w:ascii="Arial" w:hAnsi="Arial" w:cs="Arial"/>
          <w:i/>
          <w:iCs/>
          <w:sz w:val="24"/>
          <w:szCs w:val="24"/>
        </w:rPr>
        <w:t>ngagement capabilities are e</w:t>
      </w:r>
      <w:r w:rsidRPr="00E021D4">
        <w:rPr>
          <w:rFonts w:ascii="Arial" w:hAnsi="Arial" w:cs="Arial"/>
          <w:i/>
          <w:iCs/>
          <w:sz w:val="24"/>
          <w:szCs w:val="24"/>
        </w:rPr>
        <w:t>ssential for improving consumer satisfaction as well as provider interactions and supporting the effectiveness of the Commission’s regulatory function through provider engagement and sector education</w:t>
      </w:r>
      <w:r w:rsidRPr="00E021D4">
        <w:rPr>
          <w:rFonts w:ascii="Arial" w:hAnsi="Arial" w:cs="Arial"/>
          <w:sz w:val="24"/>
          <w:szCs w:val="24"/>
        </w:rPr>
        <w:t>.</w:t>
      </w:r>
      <w:r w:rsidRPr="00E021D4">
        <w:rPr>
          <w:vertAlign w:val="superscript"/>
        </w:rPr>
        <w:t xml:space="preserve"> </w:t>
      </w:r>
      <w:r w:rsidR="005867AA" w:rsidRPr="00E021D4">
        <w:rPr>
          <w:vertAlign w:val="superscript"/>
        </w:rPr>
        <w:footnoteReference w:id="70"/>
      </w:r>
    </w:p>
    <w:p w14:paraId="67C8CA9C" w14:textId="77777777" w:rsidR="00142AFE" w:rsidRPr="00E021D4" w:rsidRDefault="00142AFE" w:rsidP="00142AFE">
      <w:pPr>
        <w:spacing w:before="120" w:after="120" w:line="240" w:lineRule="auto"/>
        <w:textAlignment w:val="baseline"/>
        <w:rPr>
          <w:rFonts w:ascii="Arial" w:eastAsia="Times New Roman" w:hAnsi="Arial" w:cs="Arial"/>
          <w:i/>
          <w:iCs/>
          <w:color w:val="000000"/>
          <w:sz w:val="24"/>
          <w:szCs w:val="24"/>
          <w:shd w:val="clear" w:color="auto" w:fill="FFFFFF"/>
          <w:lang w:eastAsia="en-AU"/>
        </w:rPr>
      </w:pPr>
      <w:r w:rsidRPr="00E021D4">
        <w:rPr>
          <w:rFonts w:ascii="Arial" w:eastAsia="Times New Roman" w:hAnsi="Arial" w:cs="Arial"/>
          <w:i/>
          <w:iCs/>
          <w:color w:val="000000"/>
          <w:sz w:val="24"/>
          <w:szCs w:val="24"/>
          <w:shd w:val="clear" w:color="auto" w:fill="FFFFFF"/>
          <w:lang w:eastAsia="en-AU"/>
        </w:rPr>
        <w:t>What the Commission does now</w:t>
      </w:r>
    </w:p>
    <w:p w14:paraId="1D11BF5B" w14:textId="0D4F484D" w:rsidR="00142AFE" w:rsidRPr="00E021D4" w:rsidRDefault="00142AFE" w:rsidP="00142AFE">
      <w:pPr>
        <w:spacing w:before="120" w:after="120" w:line="240" w:lineRule="auto"/>
        <w:textAlignment w:val="baseline"/>
        <w:rPr>
          <w:rFonts w:ascii="Arial" w:eastAsia="Times New Roman" w:hAnsi="Arial" w:cs="Arial"/>
          <w:color w:val="000000"/>
          <w:sz w:val="24"/>
          <w:szCs w:val="24"/>
          <w:shd w:val="clear" w:color="auto" w:fill="FFFFFF"/>
          <w:lang w:eastAsia="en-AU"/>
        </w:rPr>
      </w:pPr>
      <w:r w:rsidRPr="00E021D4">
        <w:rPr>
          <w:rFonts w:ascii="Arial" w:eastAsia="Times New Roman" w:hAnsi="Arial" w:cs="Arial"/>
          <w:color w:val="000000"/>
          <w:sz w:val="24"/>
          <w:szCs w:val="24"/>
          <w:shd w:val="clear" w:color="auto" w:fill="FFFFFF"/>
          <w:lang w:eastAsia="en-AU"/>
        </w:rPr>
        <w:t xml:space="preserve">The Commission uses </w:t>
      </w:r>
      <w:proofErr w:type="gramStart"/>
      <w:r w:rsidRPr="00E021D4">
        <w:rPr>
          <w:rFonts w:ascii="Arial" w:eastAsia="Times New Roman" w:hAnsi="Arial" w:cs="Arial"/>
          <w:color w:val="000000"/>
          <w:sz w:val="24"/>
          <w:szCs w:val="24"/>
          <w:shd w:val="clear" w:color="auto" w:fill="FFFFFF"/>
          <w:lang w:eastAsia="en-AU"/>
        </w:rPr>
        <w:t>a number of</w:t>
      </w:r>
      <w:proofErr w:type="gramEnd"/>
      <w:r w:rsidRPr="00E021D4">
        <w:rPr>
          <w:rFonts w:ascii="Arial" w:eastAsia="Times New Roman" w:hAnsi="Arial" w:cs="Arial"/>
          <w:color w:val="000000"/>
          <w:sz w:val="24"/>
          <w:szCs w:val="24"/>
          <w:shd w:val="clear" w:color="auto" w:fill="FFFFFF"/>
          <w:lang w:eastAsia="en-AU"/>
        </w:rPr>
        <w:t xml:space="preserve"> channels to communicate with the aged care providers, consumers and </w:t>
      </w:r>
      <w:r w:rsidR="0099789E">
        <w:rPr>
          <w:rFonts w:ascii="Arial" w:eastAsia="Times New Roman" w:hAnsi="Arial" w:cs="Arial"/>
          <w:color w:val="000000"/>
          <w:sz w:val="24"/>
          <w:szCs w:val="24"/>
          <w:shd w:val="clear" w:color="auto" w:fill="FFFFFF"/>
          <w:lang w:eastAsia="en-AU"/>
        </w:rPr>
        <w:t xml:space="preserve">the </w:t>
      </w:r>
      <w:r w:rsidRPr="00E021D4">
        <w:rPr>
          <w:rFonts w:ascii="Arial" w:eastAsia="Times New Roman" w:hAnsi="Arial" w:cs="Arial"/>
          <w:color w:val="000000"/>
          <w:sz w:val="24"/>
          <w:szCs w:val="24"/>
          <w:shd w:val="clear" w:color="auto" w:fill="FFFFFF"/>
          <w:lang w:eastAsia="en-AU"/>
        </w:rPr>
        <w:t>general public</w:t>
      </w:r>
      <w:r w:rsidR="005867AA" w:rsidRPr="00E021D4">
        <w:rPr>
          <w:rFonts w:ascii="Arial" w:eastAsia="Times New Roman" w:hAnsi="Arial" w:cs="Arial"/>
          <w:color w:val="000000"/>
          <w:sz w:val="24"/>
          <w:szCs w:val="24"/>
          <w:shd w:val="clear" w:color="auto" w:fill="FFFFFF"/>
          <w:vertAlign w:val="superscript"/>
          <w:lang w:eastAsia="en-AU"/>
        </w:rPr>
        <w:footnoteReference w:id="71"/>
      </w:r>
      <w:r w:rsidRPr="00E021D4">
        <w:rPr>
          <w:rFonts w:ascii="Arial" w:eastAsia="Times New Roman" w:hAnsi="Arial" w:cs="Arial"/>
          <w:color w:val="000000"/>
          <w:sz w:val="24"/>
          <w:szCs w:val="24"/>
          <w:shd w:val="clear" w:color="auto" w:fill="FFFFFF"/>
          <w:lang w:eastAsia="en-AU"/>
        </w:rPr>
        <w:t>, such as its website, social media platforms</w:t>
      </w:r>
      <w:r w:rsidR="0099789E">
        <w:rPr>
          <w:rFonts w:ascii="Arial" w:eastAsia="Times New Roman" w:hAnsi="Arial" w:cs="Arial"/>
          <w:color w:val="000000"/>
          <w:sz w:val="24"/>
          <w:szCs w:val="24"/>
          <w:shd w:val="clear" w:color="auto" w:fill="FFFFFF"/>
          <w:lang w:eastAsia="en-AU"/>
        </w:rPr>
        <w:t xml:space="preserve">, </w:t>
      </w:r>
      <w:r w:rsidRPr="00E021D4">
        <w:rPr>
          <w:rFonts w:ascii="Arial" w:eastAsia="Times New Roman" w:hAnsi="Arial" w:cs="Arial"/>
          <w:color w:val="000000"/>
          <w:sz w:val="24"/>
          <w:szCs w:val="24"/>
          <w:shd w:val="clear" w:color="auto" w:fill="FFFFFF"/>
          <w:lang w:eastAsia="en-AU"/>
        </w:rPr>
        <w:t xml:space="preserve">Quality Standards app, Aged Care Bulletin and media relations. </w:t>
      </w:r>
    </w:p>
    <w:p w14:paraId="4FBD8BD4" w14:textId="748B99C7" w:rsidR="00D27DE4" w:rsidRPr="00521EA8" w:rsidRDefault="0099789E" w:rsidP="00D27DE4">
      <w:pPr>
        <w:spacing w:after="120"/>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The </w:t>
      </w:r>
      <w:r w:rsidR="001414C7">
        <w:rPr>
          <w:rFonts w:ascii="Arial" w:hAnsi="Arial" w:cs="Arial"/>
          <w:color w:val="000000"/>
          <w:sz w:val="24"/>
          <w:szCs w:val="24"/>
          <w:shd w:val="clear" w:color="auto" w:fill="FFFFFF"/>
        </w:rPr>
        <w:t>R</w:t>
      </w:r>
      <w:r>
        <w:rPr>
          <w:rFonts w:ascii="Arial" w:hAnsi="Arial" w:cs="Arial"/>
          <w:color w:val="000000"/>
          <w:sz w:val="24"/>
          <w:szCs w:val="24"/>
          <w:shd w:val="clear" w:color="auto" w:fill="FFFFFF"/>
        </w:rPr>
        <w:t>eview heard concerns about</w:t>
      </w:r>
      <w:r w:rsidR="00D27DE4">
        <w:rPr>
          <w:rFonts w:ascii="Arial" w:hAnsi="Arial" w:cs="Arial"/>
          <w:color w:val="000000"/>
          <w:sz w:val="24"/>
          <w:szCs w:val="24"/>
          <w:shd w:val="clear" w:color="auto" w:fill="FFFFFF"/>
        </w:rPr>
        <w:t xml:space="preserve"> the Commission’s ‘one size fits all’ approach not working for its diverse stakeholder groups. </w:t>
      </w:r>
      <w:r w:rsidR="00D27DE4" w:rsidRPr="00521EA8">
        <w:rPr>
          <w:rFonts w:ascii="Arial" w:hAnsi="Arial" w:cs="Arial"/>
          <w:color w:val="000000"/>
          <w:sz w:val="24"/>
          <w:szCs w:val="24"/>
          <w:shd w:val="clear" w:color="auto" w:fill="FFFFFF"/>
        </w:rPr>
        <w:t>For example, the Commission’s website and written material are too complicated and not well targeted</w:t>
      </w:r>
      <w:r w:rsidR="00D27DE4">
        <w:rPr>
          <w:rFonts w:ascii="Arial" w:hAnsi="Arial" w:cs="Arial"/>
          <w:color w:val="000000"/>
          <w:sz w:val="24"/>
          <w:szCs w:val="24"/>
          <w:shd w:val="clear" w:color="auto" w:fill="FFFFFF"/>
        </w:rPr>
        <w:t xml:space="preserve"> to meet the needs of people from diverse groups, including those with dementia, people with a disability and people from CALD and first nations backgrounds, veterans and LGBTIQ+ communities.</w:t>
      </w:r>
    </w:p>
    <w:p w14:paraId="4CE6DA21" w14:textId="191A9DEF" w:rsidR="00142AFE" w:rsidRPr="00E021D4" w:rsidRDefault="00142AFE" w:rsidP="00142AFE">
      <w:pPr>
        <w:spacing w:before="120" w:after="120" w:line="240" w:lineRule="auto"/>
        <w:textAlignment w:val="baseline"/>
        <w:rPr>
          <w:rFonts w:ascii="Arial" w:eastAsia="Times New Roman" w:hAnsi="Arial" w:cs="Arial"/>
          <w:color w:val="000000"/>
          <w:sz w:val="24"/>
          <w:szCs w:val="24"/>
          <w:shd w:val="clear" w:color="auto" w:fill="FFFFFF"/>
          <w:lang w:eastAsia="en-AU"/>
        </w:rPr>
      </w:pPr>
      <w:r w:rsidRPr="00E021D4">
        <w:rPr>
          <w:rFonts w:ascii="Arial" w:eastAsia="Times New Roman" w:hAnsi="Arial" w:cs="Arial"/>
          <w:color w:val="000000"/>
          <w:sz w:val="24"/>
          <w:szCs w:val="24"/>
          <w:shd w:val="clear" w:color="auto" w:fill="FFFFFF"/>
          <w:lang w:eastAsia="en-AU"/>
        </w:rPr>
        <w:t xml:space="preserve">A </w:t>
      </w:r>
      <w:r w:rsidR="00781A59">
        <w:rPr>
          <w:rFonts w:ascii="Arial" w:eastAsia="Times New Roman" w:hAnsi="Arial" w:cs="Arial"/>
          <w:color w:val="000000"/>
          <w:sz w:val="24"/>
          <w:szCs w:val="24"/>
          <w:shd w:val="clear" w:color="auto" w:fill="FFFFFF"/>
          <w:lang w:eastAsia="en-AU"/>
        </w:rPr>
        <w:t>C</w:t>
      </w:r>
      <w:r w:rsidRPr="00E021D4">
        <w:rPr>
          <w:rFonts w:ascii="Arial" w:eastAsia="Times New Roman" w:hAnsi="Arial" w:cs="Arial"/>
          <w:color w:val="000000"/>
          <w:sz w:val="24"/>
          <w:szCs w:val="24"/>
          <w:shd w:val="clear" w:color="auto" w:fill="FFFFFF"/>
          <w:lang w:eastAsia="en-AU"/>
        </w:rPr>
        <w:t xml:space="preserve">onsumer </w:t>
      </w:r>
      <w:r w:rsidR="00781A59">
        <w:rPr>
          <w:rFonts w:ascii="Arial" w:eastAsia="Times New Roman" w:hAnsi="Arial" w:cs="Arial"/>
          <w:color w:val="000000"/>
          <w:sz w:val="24"/>
          <w:szCs w:val="24"/>
          <w:shd w:val="clear" w:color="auto" w:fill="FFFFFF"/>
          <w:lang w:eastAsia="en-AU"/>
        </w:rPr>
        <w:t>E</w:t>
      </w:r>
      <w:r w:rsidRPr="00E021D4">
        <w:rPr>
          <w:rFonts w:ascii="Arial" w:eastAsia="Times New Roman" w:hAnsi="Arial" w:cs="Arial"/>
          <w:color w:val="000000"/>
          <w:sz w:val="24"/>
          <w:szCs w:val="24"/>
          <w:shd w:val="clear" w:color="auto" w:fill="FFFFFF"/>
          <w:lang w:eastAsia="en-AU"/>
        </w:rPr>
        <w:t xml:space="preserve">ngagement </w:t>
      </w:r>
      <w:r w:rsidR="00781A59">
        <w:rPr>
          <w:rFonts w:ascii="Arial" w:eastAsia="Times New Roman" w:hAnsi="Arial" w:cs="Arial"/>
          <w:color w:val="000000"/>
          <w:sz w:val="24"/>
          <w:szCs w:val="24"/>
          <w:shd w:val="clear" w:color="auto" w:fill="FFFFFF"/>
          <w:lang w:eastAsia="en-AU"/>
        </w:rPr>
        <w:t>P</w:t>
      </w:r>
      <w:r w:rsidRPr="00E021D4">
        <w:rPr>
          <w:rFonts w:ascii="Arial" w:eastAsia="Times New Roman" w:hAnsi="Arial" w:cs="Arial"/>
          <w:color w:val="000000"/>
          <w:sz w:val="24"/>
          <w:szCs w:val="24"/>
          <w:shd w:val="clear" w:color="auto" w:fill="FFFFFF"/>
          <w:lang w:eastAsia="en-AU"/>
        </w:rPr>
        <w:t xml:space="preserve">lan was presented to the Review including </w:t>
      </w:r>
      <w:proofErr w:type="gramStart"/>
      <w:r w:rsidRPr="00E021D4">
        <w:rPr>
          <w:rFonts w:ascii="Arial" w:eastAsia="Times New Roman" w:hAnsi="Arial" w:cs="Arial"/>
          <w:color w:val="000000"/>
          <w:sz w:val="24"/>
          <w:szCs w:val="24"/>
          <w:shd w:val="clear" w:color="auto" w:fill="FFFFFF"/>
          <w:lang w:eastAsia="en-AU"/>
        </w:rPr>
        <w:t>a number of</w:t>
      </w:r>
      <w:proofErr w:type="gramEnd"/>
      <w:r w:rsidRPr="00E021D4">
        <w:rPr>
          <w:rFonts w:ascii="Arial" w:eastAsia="Times New Roman" w:hAnsi="Arial" w:cs="Arial"/>
          <w:color w:val="000000"/>
          <w:sz w:val="24"/>
          <w:szCs w:val="24"/>
          <w:shd w:val="clear" w:color="auto" w:fill="FFFFFF"/>
          <w:lang w:eastAsia="en-AU"/>
        </w:rPr>
        <w:t xml:space="preserve"> initiatives to ensure consumer engagement is embedded in the Commission’s activities, such as the creation of the Consumers and Families panel in August 2022 </w:t>
      </w:r>
      <w:r w:rsidR="0099789E">
        <w:rPr>
          <w:rFonts w:ascii="Arial" w:eastAsia="Times New Roman" w:hAnsi="Arial" w:cs="Arial"/>
          <w:color w:val="000000"/>
          <w:sz w:val="24"/>
          <w:szCs w:val="24"/>
          <w:shd w:val="clear" w:color="auto" w:fill="FFFFFF"/>
          <w:lang w:eastAsia="en-AU"/>
        </w:rPr>
        <w:t>and provider</w:t>
      </w:r>
      <w:r w:rsidRPr="00E021D4">
        <w:rPr>
          <w:rFonts w:ascii="Arial" w:eastAsia="Times New Roman" w:hAnsi="Arial" w:cs="Arial"/>
          <w:color w:val="000000"/>
          <w:sz w:val="24"/>
          <w:szCs w:val="24"/>
          <w:shd w:val="clear" w:color="auto" w:fill="FFFFFF"/>
          <w:lang w:eastAsia="en-AU"/>
        </w:rPr>
        <w:t xml:space="preserve"> education through Webinars and face to face workshops</w:t>
      </w:r>
      <w:r w:rsidR="005867AA" w:rsidRPr="00E021D4">
        <w:rPr>
          <w:rFonts w:ascii="Arial" w:eastAsia="Times New Roman" w:hAnsi="Arial" w:cs="Arial"/>
          <w:color w:val="000000"/>
          <w:sz w:val="20"/>
          <w:szCs w:val="20"/>
          <w:shd w:val="clear" w:color="auto" w:fill="FFFFFF"/>
          <w:vertAlign w:val="superscript"/>
          <w:lang w:eastAsia="en-AU"/>
        </w:rPr>
        <w:footnoteReference w:id="72"/>
      </w:r>
      <w:r w:rsidR="005867AA" w:rsidRPr="00E021D4">
        <w:rPr>
          <w:rFonts w:ascii="Arial" w:eastAsia="Times New Roman" w:hAnsi="Arial" w:cs="Arial"/>
          <w:color w:val="000000"/>
          <w:sz w:val="24"/>
          <w:szCs w:val="24"/>
          <w:shd w:val="clear" w:color="auto" w:fill="FFFFFF"/>
          <w:lang w:eastAsia="en-AU"/>
        </w:rPr>
        <w:t>.</w:t>
      </w:r>
    </w:p>
    <w:p w14:paraId="4F4AF62F" w14:textId="13CBBFCD" w:rsidR="00142AFE" w:rsidRPr="00E021D4" w:rsidRDefault="00142AFE" w:rsidP="00142AFE">
      <w:pPr>
        <w:spacing w:before="240" w:after="120" w:line="240" w:lineRule="auto"/>
        <w:rPr>
          <w:rFonts w:ascii="Arial" w:hAnsi="Arial" w:cs="Arial"/>
          <w:sz w:val="24"/>
          <w:szCs w:val="24"/>
        </w:rPr>
      </w:pPr>
      <w:r w:rsidRPr="00E021D4">
        <w:rPr>
          <w:rFonts w:ascii="Arial" w:hAnsi="Arial" w:cs="Arial"/>
          <w:sz w:val="24"/>
          <w:szCs w:val="24"/>
        </w:rPr>
        <w:t>The Commission identifies engagement capabilities as important to ensuring the Commission establishes and maintains effective stakeholder relationships and supports the delivery of consumer centric outcomes.</w:t>
      </w:r>
      <w:r w:rsidR="005867AA" w:rsidRPr="00E021D4">
        <w:rPr>
          <w:rFonts w:ascii="Arial" w:hAnsi="Arial" w:cs="Arial"/>
          <w:sz w:val="24"/>
          <w:szCs w:val="24"/>
          <w:vertAlign w:val="superscript"/>
        </w:rPr>
        <w:footnoteReference w:id="73"/>
      </w:r>
    </w:p>
    <w:p w14:paraId="09D34CE2" w14:textId="179ACADF" w:rsidR="00142AFE" w:rsidRPr="00E021D4" w:rsidRDefault="00142AFE" w:rsidP="00142AFE">
      <w:pPr>
        <w:spacing w:before="120" w:after="120" w:line="240" w:lineRule="auto"/>
        <w:rPr>
          <w:rFonts w:ascii="Arial" w:hAnsi="Arial" w:cs="Arial"/>
          <w:sz w:val="24"/>
          <w:szCs w:val="24"/>
        </w:rPr>
      </w:pPr>
      <w:r w:rsidRPr="00E021D4">
        <w:rPr>
          <w:rFonts w:ascii="Arial" w:hAnsi="Arial" w:cs="Arial"/>
          <w:sz w:val="24"/>
          <w:szCs w:val="24"/>
        </w:rPr>
        <w:t xml:space="preserve">The Commission’s </w:t>
      </w:r>
      <w:r w:rsidRPr="00E021D4">
        <w:rPr>
          <w:rFonts w:ascii="Arial" w:hAnsi="Arial" w:cs="Arial"/>
          <w:i/>
          <w:iCs/>
          <w:sz w:val="24"/>
          <w:szCs w:val="24"/>
        </w:rPr>
        <w:t>Enriching Life Through Care</w:t>
      </w:r>
      <w:r w:rsidRPr="00E021D4">
        <w:rPr>
          <w:rFonts w:ascii="Arial" w:hAnsi="Arial" w:cs="Arial"/>
          <w:sz w:val="24"/>
          <w:szCs w:val="24"/>
        </w:rPr>
        <w:t xml:space="preserve"> program provides roundtable forums for the Commission to connect with senior sector leaders and hear directly about how providers are responding to consumer aged care expectations. </w:t>
      </w:r>
      <w:r w:rsidR="00E4677F">
        <w:rPr>
          <w:rFonts w:ascii="Arial" w:hAnsi="Arial" w:cs="Arial"/>
          <w:sz w:val="24"/>
          <w:szCs w:val="24"/>
        </w:rPr>
        <w:t>The Commission should actively build upon this important initiative.</w:t>
      </w:r>
    </w:p>
    <w:p w14:paraId="0A392B7C" w14:textId="77777777" w:rsidR="00142AFE" w:rsidRPr="00E021D4" w:rsidRDefault="00142AFE" w:rsidP="00142AFE">
      <w:pPr>
        <w:spacing w:before="240" w:after="120" w:line="240" w:lineRule="auto"/>
        <w:textAlignment w:val="baseline"/>
        <w:rPr>
          <w:rFonts w:ascii="Arial" w:eastAsia="Arial" w:hAnsi="Arial" w:cs="Arial"/>
          <w:i/>
          <w:iCs/>
          <w:color w:val="000000"/>
          <w:sz w:val="24"/>
          <w:szCs w:val="24"/>
          <w:lang w:eastAsia="en-AU"/>
        </w:rPr>
      </w:pPr>
      <w:r w:rsidRPr="00E021D4">
        <w:rPr>
          <w:rFonts w:ascii="Arial" w:eastAsia="Arial" w:hAnsi="Arial" w:cs="Arial"/>
          <w:i/>
          <w:iCs/>
          <w:color w:val="000000"/>
          <w:sz w:val="24"/>
          <w:szCs w:val="24"/>
          <w:lang w:eastAsia="en-AU"/>
        </w:rPr>
        <w:t>What the Commission needs to do</w:t>
      </w:r>
    </w:p>
    <w:p w14:paraId="430624F1" w14:textId="359575C9" w:rsidR="0099789E" w:rsidRDefault="0099789E" w:rsidP="0099789E">
      <w:pPr>
        <w:spacing w:before="120" w:after="120" w:line="240" w:lineRule="auto"/>
        <w:rPr>
          <w:rFonts w:ascii="Arial" w:hAnsi="Arial" w:cs="Arial"/>
          <w:sz w:val="24"/>
          <w:szCs w:val="24"/>
        </w:rPr>
      </w:pPr>
      <w:r w:rsidRPr="00E021D4">
        <w:rPr>
          <w:rFonts w:ascii="Arial" w:hAnsi="Arial" w:cs="Arial"/>
          <w:sz w:val="24"/>
          <w:szCs w:val="24"/>
        </w:rPr>
        <w:t xml:space="preserve">The Commission </w:t>
      </w:r>
      <w:r w:rsidR="00520850">
        <w:rPr>
          <w:rFonts w:ascii="Arial" w:hAnsi="Arial" w:cs="Arial"/>
          <w:sz w:val="24"/>
          <w:szCs w:val="24"/>
        </w:rPr>
        <w:t xml:space="preserve">has </w:t>
      </w:r>
      <w:r w:rsidRPr="00E021D4">
        <w:rPr>
          <w:rFonts w:ascii="Arial" w:hAnsi="Arial" w:cs="Arial"/>
          <w:sz w:val="24"/>
          <w:szCs w:val="24"/>
        </w:rPr>
        <w:t>identified the importance of effective engagement and communications in its drive towards becoming a world-class regulator</w:t>
      </w:r>
      <w:r w:rsidR="005867AA" w:rsidRPr="00E021D4">
        <w:rPr>
          <w:rFonts w:ascii="Arial" w:hAnsi="Arial" w:cs="Arial"/>
          <w:sz w:val="24"/>
          <w:szCs w:val="24"/>
          <w:vertAlign w:val="superscript"/>
        </w:rPr>
        <w:footnoteReference w:id="74"/>
      </w:r>
      <w:r w:rsidR="005867AA" w:rsidRPr="00E021D4">
        <w:rPr>
          <w:rFonts w:ascii="Arial" w:hAnsi="Arial" w:cs="Arial"/>
          <w:sz w:val="24"/>
          <w:szCs w:val="24"/>
        </w:rPr>
        <w:t xml:space="preserve"> </w:t>
      </w:r>
      <w:r w:rsidRPr="00E021D4">
        <w:rPr>
          <w:rFonts w:ascii="Arial" w:hAnsi="Arial" w:cs="Arial"/>
          <w:sz w:val="24"/>
          <w:szCs w:val="24"/>
        </w:rPr>
        <w:t xml:space="preserve">and that it still has much to </w:t>
      </w:r>
      <w:r>
        <w:rPr>
          <w:rFonts w:ascii="Arial" w:hAnsi="Arial" w:cs="Arial"/>
          <w:sz w:val="24"/>
          <w:szCs w:val="24"/>
        </w:rPr>
        <w:t xml:space="preserve">do to </w:t>
      </w:r>
      <w:r w:rsidRPr="00E021D4">
        <w:rPr>
          <w:rFonts w:ascii="Arial" w:hAnsi="Arial" w:cs="Arial"/>
          <w:sz w:val="24"/>
          <w:szCs w:val="24"/>
        </w:rPr>
        <w:t>get there</w:t>
      </w:r>
      <w:r>
        <w:rPr>
          <w:rFonts w:ascii="Arial" w:hAnsi="Arial" w:cs="Arial"/>
          <w:sz w:val="24"/>
          <w:szCs w:val="24"/>
        </w:rPr>
        <w:t>. Identified improvements include:</w:t>
      </w:r>
    </w:p>
    <w:p w14:paraId="5DC4083E" w14:textId="77777777" w:rsidR="0099789E" w:rsidRPr="004C132D" w:rsidRDefault="0099789E" w:rsidP="001750D5">
      <w:pPr>
        <w:pStyle w:val="ListParagraph"/>
        <w:numPr>
          <w:ilvl w:val="0"/>
          <w:numId w:val="104"/>
        </w:numPr>
        <w:spacing w:before="120" w:after="120" w:line="240" w:lineRule="auto"/>
        <w:rPr>
          <w:rFonts w:ascii="Arial" w:hAnsi="Arial" w:cs="Arial"/>
          <w:sz w:val="24"/>
          <w:szCs w:val="24"/>
        </w:rPr>
      </w:pPr>
      <w:r w:rsidRPr="004C132D">
        <w:rPr>
          <w:rFonts w:ascii="Arial" w:hAnsi="Arial" w:cs="Arial"/>
          <w:sz w:val="24"/>
          <w:szCs w:val="24"/>
        </w:rPr>
        <w:t xml:space="preserve">using co-design principles to ensure communication and education products are simpler, </w:t>
      </w:r>
      <w:proofErr w:type="gramStart"/>
      <w:r w:rsidRPr="004C132D">
        <w:rPr>
          <w:rFonts w:ascii="Arial" w:hAnsi="Arial" w:cs="Arial"/>
          <w:sz w:val="24"/>
          <w:szCs w:val="24"/>
        </w:rPr>
        <w:t>clearer</w:t>
      </w:r>
      <w:proofErr w:type="gramEnd"/>
      <w:r w:rsidRPr="004C132D">
        <w:rPr>
          <w:rFonts w:ascii="Arial" w:hAnsi="Arial" w:cs="Arial"/>
          <w:sz w:val="24"/>
          <w:szCs w:val="24"/>
        </w:rPr>
        <w:t xml:space="preserve"> and more accessible to a broader audience</w:t>
      </w:r>
    </w:p>
    <w:p w14:paraId="447D126F" w14:textId="77777777" w:rsidR="0099789E" w:rsidRPr="004C132D" w:rsidRDefault="0099789E" w:rsidP="001750D5">
      <w:pPr>
        <w:pStyle w:val="ListParagraph"/>
        <w:numPr>
          <w:ilvl w:val="0"/>
          <w:numId w:val="104"/>
        </w:numPr>
        <w:spacing w:before="120" w:after="120" w:line="240" w:lineRule="auto"/>
        <w:rPr>
          <w:rFonts w:ascii="Arial" w:hAnsi="Arial" w:cs="Arial"/>
          <w:sz w:val="24"/>
          <w:szCs w:val="24"/>
        </w:rPr>
      </w:pPr>
      <w:r w:rsidRPr="004C132D">
        <w:rPr>
          <w:rFonts w:ascii="Arial" w:hAnsi="Arial" w:cs="Arial"/>
          <w:sz w:val="24"/>
          <w:szCs w:val="24"/>
        </w:rPr>
        <w:t xml:space="preserve">using more contemporary, </w:t>
      </w:r>
      <w:proofErr w:type="gramStart"/>
      <w:r w:rsidRPr="004C132D">
        <w:rPr>
          <w:rFonts w:ascii="Arial" w:hAnsi="Arial" w:cs="Arial"/>
          <w:sz w:val="24"/>
          <w:szCs w:val="24"/>
        </w:rPr>
        <w:t>engaging</w:t>
      </w:r>
      <w:proofErr w:type="gramEnd"/>
      <w:r w:rsidRPr="004C132D">
        <w:rPr>
          <w:rFonts w:ascii="Arial" w:hAnsi="Arial" w:cs="Arial"/>
          <w:sz w:val="24"/>
          <w:szCs w:val="24"/>
        </w:rPr>
        <w:t xml:space="preserve"> and responsible communication channels and products which reflect the diversity in the community</w:t>
      </w:r>
      <w:r>
        <w:rPr>
          <w:rFonts w:ascii="Arial" w:hAnsi="Arial" w:cs="Arial"/>
          <w:sz w:val="24"/>
          <w:szCs w:val="24"/>
        </w:rPr>
        <w:t>, and</w:t>
      </w:r>
    </w:p>
    <w:p w14:paraId="0D38F2FC" w14:textId="3F61990A" w:rsidR="0099789E" w:rsidRPr="004C132D" w:rsidRDefault="0099789E" w:rsidP="001750D5">
      <w:pPr>
        <w:pStyle w:val="ListParagraph"/>
        <w:numPr>
          <w:ilvl w:val="0"/>
          <w:numId w:val="104"/>
        </w:numPr>
        <w:spacing w:before="120" w:after="120" w:line="240" w:lineRule="auto"/>
        <w:rPr>
          <w:rFonts w:ascii="Arial" w:hAnsi="Arial" w:cs="Arial"/>
          <w:sz w:val="24"/>
          <w:szCs w:val="24"/>
        </w:rPr>
      </w:pPr>
      <w:r w:rsidRPr="004C132D">
        <w:rPr>
          <w:rFonts w:ascii="Arial" w:hAnsi="Arial" w:cs="Arial"/>
          <w:sz w:val="24"/>
          <w:szCs w:val="24"/>
        </w:rPr>
        <w:lastRenderedPageBreak/>
        <w:t>expanding its networks with</w:t>
      </w:r>
      <w:r>
        <w:rPr>
          <w:rFonts w:ascii="Arial" w:hAnsi="Arial" w:cs="Arial"/>
          <w:sz w:val="24"/>
          <w:szCs w:val="24"/>
        </w:rPr>
        <w:t>in the sector and with</w:t>
      </w:r>
      <w:r w:rsidRPr="004C132D">
        <w:rPr>
          <w:rFonts w:ascii="Arial" w:hAnsi="Arial" w:cs="Arial"/>
          <w:sz w:val="24"/>
          <w:szCs w:val="24"/>
        </w:rPr>
        <w:t xml:space="preserve"> other regulators </w:t>
      </w:r>
      <w:r>
        <w:rPr>
          <w:rFonts w:ascii="Arial" w:hAnsi="Arial" w:cs="Arial"/>
          <w:sz w:val="24"/>
          <w:szCs w:val="24"/>
        </w:rPr>
        <w:t>to</w:t>
      </w:r>
      <w:r w:rsidRPr="004C132D">
        <w:rPr>
          <w:rFonts w:ascii="Arial" w:hAnsi="Arial" w:cs="Arial"/>
          <w:sz w:val="24"/>
          <w:szCs w:val="24"/>
        </w:rPr>
        <w:t xml:space="preserve"> creat</w:t>
      </w:r>
      <w:r>
        <w:rPr>
          <w:rFonts w:ascii="Arial" w:hAnsi="Arial" w:cs="Arial"/>
          <w:sz w:val="24"/>
          <w:szCs w:val="24"/>
        </w:rPr>
        <w:t>e</w:t>
      </w:r>
      <w:r w:rsidRPr="004C132D">
        <w:rPr>
          <w:rFonts w:ascii="Arial" w:hAnsi="Arial" w:cs="Arial"/>
          <w:sz w:val="24"/>
          <w:szCs w:val="24"/>
        </w:rPr>
        <w:t xml:space="preserve"> more connection opportunities to learn</w:t>
      </w:r>
      <w:r>
        <w:rPr>
          <w:rFonts w:ascii="Arial" w:hAnsi="Arial" w:cs="Arial"/>
          <w:sz w:val="24"/>
          <w:szCs w:val="24"/>
        </w:rPr>
        <w:t xml:space="preserve"> and</w:t>
      </w:r>
      <w:r w:rsidRPr="004C132D">
        <w:rPr>
          <w:rFonts w:ascii="Arial" w:hAnsi="Arial" w:cs="Arial"/>
          <w:sz w:val="24"/>
          <w:szCs w:val="24"/>
        </w:rPr>
        <w:t xml:space="preserve"> share expertise and information</w:t>
      </w:r>
      <w:r>
        <w:rPr>
          <w:rFonts w:ascii="Arial" w:hAnsi="Arial" w:cs="Arial"/>
          <w:sz w:val="24"/>
          <w:szCs w:val="24"/>
        </w:rPr>
        <w:t xml:space="preserve"> </w:t>
      </w:r>
      <w:r w:rsidRPr="004C132D">
        <w:rPr>
          <w:rFonts w:ascii="Arial" w:hAnsi="Arial" w:cs="Arial"/>
          <w:sz w:val="24"/>
          <w:szCs w:val="24"/>
        </w:rPr>
        <w:t>and influence provider behaviour</w:t>
      </w:r>
      <w:r>
        <w:rPr>
          <w:rFonts w:ascii="Arial" w:hAnsi="Arial" w:cs="Arial"/>
          <w:sz w:val="24"/>
          <w:szCs w:val="24"/>
        </w:rPr>
        <w:t>.</w:t>
      </w:r>
      <w:r w:rsidR="005867AA" w:rsidRPr="00E021D4">
        <w:rPr>
          <w:vertAlign w:val="superscript"/>
        </w:rPr>
        <w:footnoteReference w:id="75"/>
      </w:r>
    </w:p>
    <w:p w14:paraId="5989F9D0" w14:textId="4761725B" w:rsidR="00142AFE" w:rsidRPr="00E021D4" w:rsidRDefault="00142AFE" w:rsidP="00142AFE">
      <w:pPr>
        <w:spacing w:before="120" w:after="120" w:line="240" w:lineRule="auto"/>
        <w:rPr>
          <w:rFonts w:ascii="Arial" w:hAnsi="Arial" w:cs="Arial"/>
          <w:sz w:val="24"/>
          <w:szCs w:val="24"/>
        </w:rPr>
      </w:pPr>
      <w:r w:rsidRPr="00E021D4">
        <w:rPr>
          <w:rFonts w:ascii="Arial" w:hAnsi="Arial" w:cs="Arial"/>
          <w:sz w:val="24"/>
          <w:szCs w:val="24"/>
        </w:rPr>
        <w:t>In its assessment of the maturity of the Commission’s engagement capabilities, the Grosvenor report</w:t>
      </w:r>
      <w:r w:rsidR="005867AA" w:rsidRPr="00E021D4">
        <w:rPr>
          <w:rFonts w:ascii="Arial" w:hAnsi="Arial" w:cs="Arial"/>
          <w:sz w:val="24"/>
          <w:szCs w:val="24"/>
          <w:vertAlign w:val="superscript"/>
        </w:rPr>
        <w:footnoteReference w:id="76"/>
      </w:r>
      <w:r w:rsidR="005867AA" w:rsidRPr="00E021D4">
        <w:rPr>
          <w:rFonts w:ascii="Arial" w:hAnsi="Arial" w:cs="Arial"/>
          <w:sz w:val="24"/>
          <w:szCs w:val="24"/>
        </w:rPr>
        <w:t xml:space="preserve"> </w:t>
      </w:r>
      <w:r w:rsidRPr="00E021D4">
        <w:rPr>
          <w:rFonts w:ascii="Arial" w:hAnsi="Arial" w:cs="Arial"/>
          <w:sz w:val="24"/>
          <w:szCs w:val="24"/>
        </w:rPr>
        <w:t>found that:</w:t>
      </w:r>
    </w:p>
    <w:p w14:paraId="1D418232" w14:textId="0D2DFB6C" w:rsidR="00142AFE" w:rsidRPr="00E021D4" w:rsidRDefault="00781A59" w:rsidP="001750D5">
      <w:pPr>
        <w:numPr>
          <w:ilvl w:val="0"/>
          <w:numId w:val="49"/>
        </w:numPr>
        <w:spacing w:before="120" w:after="120" w:line="240" w:lineRule="auto"/>
        <w:ind w:left="357" w:hanging="357"/>
        <w:rPr>
          <w:rFonts w:ascii="Arial" w:hAnsi="Arial" w:cs="Arial"/>
          <w:sz w:val="24"/>
          <w:szCs w:val="24"/>
        </w:rPr>
      </w:pPr>
      <w:r>
        <w:rPr>
          <w:rFonts w:ascii="Arial" w:hAnsi="Arial" w:cs="Arial"/>
          <w:sz w:val="24"/>
          <w:szCs w:val="24"/>
        </w:rPr>
        <w:t>a</w:t>
      </w:r>
      <w:r w:rsidR="00142AFE" w:rsidRPr="00E021D4">
        <w:rPr>
          <w:rFonts w:ascii="Arial" w:hAnsi="Arial" w:cs="Arial"/>
          <w:sz w:val="24"/>
          <w:szCs w:val="24"/>
        </w:rPr>
        <w:t xml:space="preserve"> key role for the Commission is to elevate the consumer voice and engage broadly to ensure the system is built around people’s needs, preferences and circumstances to ensure services are inclusive, </w:t>
      </w:r>
      <w:proofErr w:type="gramStart"/>
      <w:r w:rsidR="00142AFE" w:rsidRPr="00E021D4">
        <w:rPr>
          <w:rFonts w:ascii="Arial" w:hAnsi="Arial" w:cs="Arial"/>
          <w:sz w:val="24"/>
          <w:szCs w:val="24"/>
        </w:rPr>
        <w:t>relevant</w:t>
      </w:r>
      <w:proofErr w:type="gramEnd"/>
      <w:r w:rsidR="00142AFE" w:rsidRPr="00E021D4">
        <w:rPr>
          <w:rFonts w:ascii="Arial" w:hAnsi="Arial" w:cs="Arial"/>
          <w:sz w:val="24"/>
          <w:szCs w:val="24"/>
        </w:rPr>
        <w:t xml:space="preserve"> and appropriate, and</w:t>
      </w:r>
    </w:p>
    <w:p w14:paraId="752C85A3" w14:textId="4F02C022" w:rsidR="00142AFE" w:rsidRPr="00E021D4" w:rsidRDefault="00781A59" w:rsidP="001750D5">
      <w:pPr>
        <w:numPr>
          <w:ilvl w:val="0"/>
          <w:numId w:val="49"/>
        </w:numPr>
        <w:spacing w:before="120" w:after="120" w:line="240" w:lineRule="auto"/>
        <w:ind w:left="357" w:hanging="357"/>
        <w:rPr>
          <w:rFonts w:ascii="Arial" w:hAnsi="Arial" w:cs="Arial"/>
          <w:sz w:val="24"/>
          <w:szCs w:val="24"/>
        </w:rPr>
      </w:pPr>
      <w:r>
        <w:rPr>
          <w:rFonts w:ascii="Arial" w:hAnsi="Arial" w:cs="Arial"/>
          <w:sz w:val="24"/>
          <w:szCs w:val="24"/>
        </w:rPr>
        <w:t>i</w:t>
      </w:r>
      <w:r w:rsidR="00142AFE" w:rsidRPr="00E021D4">
        <w:rPr>
          <w:rFonts w:ascii="Arial" w:hAnsi="Arial" w:cs="Arial"/>
          <w:sz w:val="24"/>
          <w:szCs w:val="24"/>
        </w:rPr>
        <w:t>t is important for the Commission to educate providers and support them to be accountable for meeting quality and safety standards.</w:t>
      </w:r>
    </w:p>
    <w:p w14:paraId="480FB760" w14:textId="402768FF" w:rsidR="00142AFE" w:rsidRDefault="00142AFE" w:rsidP="00142AFE">
      <w:pPr>
        <w:spacing w:before="240" w:after="120" w:line="240" w:lineRule="auto"/>
        <w:textAlignment w:val="baseline"/>
        <w:rPr>
          <w:rFonts w:ascii="Arial" w:eastAsia="Times New Roman" w:hAnsi="Arial" w:cs="Arial"/>
          <w:color w:val="000000"/>
          <w:sz w:val="24"/>
          <w:szCs w:val="24"/>
          <w:shd w:val="clear" w:color="auto" w:fill="FFFFFF"/>
          <w:lang w:eastAsia="en-AU"/>
        </w:rPr>
      </w:pPr>
      <w:r w:rsidRPr="00E021D4">
        <w:rPr>
          <w:rFonts w:ascii="Arial" w:eastAsia="Times New Roman" w:hAnsi="Arial" w:cs="Arial"/>
          <w:color w:val="000000"/>
          <w:sz w:val="24"/>
          <w:szCs w:val="24"/>
          <w:shd w:val="clear" w:color="auto" w:fill="FFFFFF"/>
          <w:lang w:eastAsia="en-AU"/>
        </w:rPr>
        <w:t>Stakeholder feedback to the Review strongly suggests that the Commission could do more to improve its communication and engagement with consumers</w:t>
      </w:r>
      <w:r w:rsidR="00055154">
        <w:rPr>
          <w:rFonts w:ascii="Arial" w:eastAsia="Times New Roman" w:hAnsi="Arial" w:cs="Arial"/>
          <w:color w:val="000000"/>
          <w:sz w:val="24"/>
          <w:szCs w:val="24"/>
          <w:shd w:val="clear" w:color="auto" w:fill="FFFFFF"/>
          <w:lang w:eastAsia="en-AU"/>
        </w:rPr>
        <w:t xml:space="preserve">, </w:t>
      </w:r>
      <w:r w:rsidRPr="00E021D4">
        <w:rPr>
          <w:rFonts w:ascii="Arial" w:eastAsia="Times New Roman" w:hAnsi="Arial" w:cs="Arial"/>
          <w:color w:val="000000"/>
          <w:sz w:val="24"/>
          <w:szCs w:val="24"/>
          <w:shd w:val="clear" w:color="auto" w:fill="FFFFFF"/>
          <w:lang w:eastAsia="en-AU"/>
        </w:rPr>
        <w:t>their representatives, and with providers:</w:t>
      </w:r>
    </w:p>
    <w:p w14:paraId="24B41024" w14:textId="77777777" w:rsidR="00567AF2" w:rsidRDefault="007F742C" w:rsidP="00EB419A">
      <w:pPr>
        <w:numPr>
          <w:ilvl w:val="0"/>
          <w:numId w:val="49"/>
        </w:numPr>
        <w:spacing w:before="120" w:after="120" w:line="240" w:lineRule="auto"/>
        <w:ind w:left="357" w:hanging="357"/>
        <w:rPr>
          <w:rFonts w:ascii="Arial" w:hAnsi="Arial" w:cs="Arial"/>
          <w:sz w:val="24"/>
          <w:szCs w:val="24"/>
        </w:rPr>
      </w:pPr>
      <w:r w:rsidRPr="00EB419A">
        <w:rPr>
          <w:rFonts w:ascii="Arial" w:hAnsi="Arial" w:cs="Arial"/>
          <w:sz w:val="24"/>
          <w:szCs w:val="24"/>
        </w:rPr>
        <w:t xml:space="preserve">improve </w:t>
      </w:r>
      <w:r w:rsidR="00EB419A" w:rsidRPr="00EB419A">
        <w:rPr>
          <w:rFonts w:ascii="Arial" w:hAnsi="Arial" w:cs="Arial"/>
          <w:sz w:val="24"/>
          <w:szCs w:val="24"/>
        </w:rPr>
        <w:t xml:space="preserve">web design and </w:t>
      </w:r>
      <w:r w:rsidR="00EB419A">
        <w:rPr>
          <w:rFonts w:ascii="Arial" w:hAnsi="Arial" w:cs="Arial"/>
          <w:sz w:val="24"/>
          <w:szCs w:val="24"/>
        </w:rPr>
        <w:t>usability</w:t>
      </w:r>
    </w:p>
    <w:p w14:paraId="5CE938B4" w14:textId="751C9569" w:rsidR="007F742C" w:rsidRPr="00EB419A" w:rsidRDefault="00567AF2" w:rsidP="00EB419A">
      <w:pPr>
        <w:numPr>
          <w:ilvl w:val="0"/>
          <w:numId w:val="49"/>
        </w:numPr>
        <w:spacing w:before="120" w:after="120" w:line="240" w:lineRule="auto"/>
        <w:ind w:left="357" w:hanging="357"/>
        <w:rPr>
          <w:rFonts w:ascii="Arial" w:hAnsi="Arial" w:cs="Arial"/>
          <w:sz w:val="24"/>
          <w:szCs w:val="24"/>
        </w:rPr>
      </w:pPr>
      <w:r>
        <w:rPr>
          <w:rFonts w:ascii="Arial" w:hAnsi="Arial" w:cs="Arial"/>
          <w:sz w:val="24"/>
          <w:szCs w:val="24"/>
        </w:rPr>
        <w:t>f</w:t>
      </w:r>
      <w:r w:rsidR="00EB419A">
        <w:rPr>
          <w:rFonts w:ascii="Arial" w:hAnsi="Arial" w:cs="Arial"/>
          <w:sz w:val="24"/>
          <w:szCs w:val="24"/>
        </w:rPr>
        <w:t>ocus on easy to find information and transparency</w:t>
      </w:r>
    </w:p>
    <w:p w14:paraId="7EF0EAE9" w14:textId="0C878E15" w:rsidR="00EB419A" w:rsidRDefault="00EB419A" w:rsidP="00EB419A">
      <w:pPr>
        <w:numPr>
          <w:ilvl w:val="0"/>
          <w:numId w:val="49"/>
        </w:numPr>
        <w:spacing w:before="120" w:after="120" w:line="240" w:lineRule="auto"/>
        <w:ind w:left="357" w:hanging="357"/>
        <w:rPr>
          <w:rFonts w:ascii="Arial" w:hAnsi="Arial" w:cs="Arial"/>
          <w:sz w:val="24"/>
          <w:szCs w:val="24"/>
        </w:rPr>
      </w:pPr>
      <w:r>
        <w:rPr>
          <w:rFonts w:ascii="Arial" w:hAnsi="Arial" w:cs="Arial"/>
          <w:sz w:val="24"/>
          <w:szCs w:val="24"/>
        </w:rPr>
        <w:t>consider offering information in other languages, as per the Department’s website</w:t>
      </w:r>
    </w:p>
    <w:p w14:paraId="4762636A" w14:textId="646B83E1" w:rsidR="00EB419A" w:rsidRDefault="00EB419A" w:rsidP="00EB419A">
      <w:pPr>
        <w:numPr>
          <w:ilvl w:val="0"/>
          <w:numId w:val="49"/>
        </w:numPr>
        <w:spacing w:before="120" w:after="120" w:line="240" w:lineRule="auto"/>
        <w:ind w:left="357" w:hanging="357"/>
        <w:rPr>
          <w:rFonts w:ascii="Arial" w:hAnsi="Arial" w:cs="Arial"/>
          <w:sz w:val="24"/>
          <w:szCs w:val="24"/>
        </w:rPr>
      </w:pPr>
      <w:r>
        <w:rPr>
          <w:rFonts w:ascii="Arial" w:hAnsi="Arial" w:cs="Arial"/>
          <w:sz w:val="24"/>
          <w:szCs w:val="24"/>
        </w:rPr>
        <w:t xml:space="preserve">consider including a webchat service and a provider portal as per the </w:t>
      </w:r>
      <w:r w:rsidR="00520850">
        <w:rPr>
          <w:rFonts w:ascii="Arial" w:hAnsi="Arial" w:cs="Arial"/>
          <w:sz w:val="24"/>
          <w:szCs w:val="24"/>
        </w:rPr>
        <w:t xml:space="preserve">United Kingdom </w:t>
      </w:r>
      <w:r>
        <w:rPr>
          <w:rFonts w:ascii="Arial" w:hAnsi="Arial" w:cs="Arial"/>
          <w:sz w:val="24"/>
          <w:szCs w:val="24"/>
        </w:rPr>
        <w:t xml:space="preserve">Care </w:t>
      </w:r>
      <w:r w:rsidR="00C56007">
        <w:rPr>
          <w:rFonts w:ascii="Arial" w:hAnsi="Arial" w:cs="Arial"/>
          <w:sz w:val="24"/>
          <w:szCs w:val="24"/>
        </w:rPr>
        <w:t xml:space="preserve">Quality </w:t>
      </w:r>
      <w:r>
        <w:rPr>
          <w:rFonts w:ascii="Arial" w:hAnsi="Arial" w:cs="Arial"/>
          <w:sz w:val="24"/>
          <w:szCs w:val="24"/>
        </w:rPr>
        <w:t>Commission website</w:t>
      </w:r>
      <w:r w:rsidR="005867AA" w:rsidRPr="00E021D4">
        <w:rPr>
          <w:rFonts w:ascii="Arial" w:eastAsia="Times New Roman" w:hAnsi="Arial" w:cs="Arial"/>
          <w:color w:val="000000"/>
          <w:sz w:val="24"/>
          <w:szCs w:val="24"/>
          <w:shd w:val="clear" w:color="auto" w:fill="FFFFFF"/>
          <w:vertAlign w:val="superscript"/>
          <w:lang w:eastAsia="en-AU"/>
        </w:rPr>
        <w:footnoteReference w:id="77"/>
      </w:r>
      <w:r>
        <w:rPr>
          <w:rFonts w:ascii="Arial" w:hAnsi="Arial" w:cs="Arial"/>
          <w:sz w:val="24"/>
          <w:szCs w:val="24"/>
        </w:rPr>
        <w:t>, and</w:t>
      </w:r>
    </w:p>
    <w:p w14:paraId="4C15A345" w14:textId="77777777" w:rsidR="00EB419A" w:rsidRDefault="00EB419A" w:rsidP="00EB419A">
      <w:pPr>
        <w:numPr>
          <w:ilvl w:val="0"/>
          <w:numId w:val="49"/>
        </w:numPr>
        <w:spacing w:before="120" w:after="120" w:line="240" w:lineRule="auto"/>
        <w:ind w:left="357" w:hanging="357"/>
        <w:rPr>
          <w:rFonts w:ascii="Arial" w:hAnsi="Arial" w:cs="Arial"/>
          <w:sz w:val="24"/>
          <w:szCs w:val="24"/>
        </w:rPr>
      </w:pPr>
      <w:r>
        <w:rPr>
          <w:rFonts w:ascii="Arial" w:hAnsi="Arial" w:cs="Arial"/>
          <w:sz w:val="24"/>
          <w:szCs w:val="24"/>
        </w:rPr>
        <w:t>consider opportunities to consult with and co-design content with users.</w:t>
      </w:r>
    </w:p>
    <w:p w14:paraId="0D35DCDB" w14:textId="0919EB3C" w:rsidR="0090528E" w:rsidRPr="00E021D4" w:rsidRDefault="0090528E" w:rsidP="00D27DE4">
      <w:pPr>
        <w:spacing w:before="120" w:after="120" w:line="240" w:lineRule="auto"/>
        <w:textAlignment w:val="baseline"/>
        <w:rPr>
          <w:rFonts w:ascii="Arial" w:eastAsia="Times New Roman" w:hAnsi="Arial" w:cs="Arial"/>
          <w:color w:val="000000"/>
          <w:sz w:val="24"/>
          <w:szCs w:val="24"/>
          <w:shd w:val="clear" w:color="auto" w:fill="FFFFFF"/>
          <w:lang w:eastAsia="en-AU"/>
        </w:rPr>
      </w:pPr>
      <w:r>
        <w:rPr>
          <w:rFonts w:ascii="Arial" w:eastAsia="Times New Roman" w:hAnsi="Arial" w:cs="Arial"/>
          <w:color w:val="000000"/>
          <w:sz w:val="24"/>
          <w:szCs w:val="24"/>
          <w:shd w:val="clear" w:color="auto" w:fill="FFFFFF"/>
          <w:lang w:eastAsia="en-AU"/>
        </w:rPr>
        <w:t xml:space="preserve">As noted earlier, the </w:t>
      </w:r>
      <w:r w:rsidR="0099789E">
        <w:rPr>
          <w:rFonts w:ascii="Arial" w:eastAsia="Times New Roman" w:hAnsi="Arial" w:cs="Arial"/>
          <w:color w:val="000000"/>
          <w:sz w:val="24"/>
          <w:szCs w:val="24"/>
          <w:shd w:val="clear" w:color="auto" w:fill="FFFFFF"/>
          <w:lang w:eastAsia="en-AU"/>
        </w:rPr>
        <w:t xml:space="preserve">ELG </w:t>
      </w:r>
      <w:r>
        <w:rPr>
          <w:rFonts w:ascii="Arial" w:eastAsia="Times New Roman" w:hAnsi="Arial" w:cs="Arial"/>
          <w:color w:val="000000"/>
          <w:sz w:val="24"/>
          <w:szCs w:val="24"/>
          <w:shd w:val="clear" w:color="auto" w:fill="FFFFFF"/>
          <w:lang w:eastAsia="en-AU"/>
        </w:rPr>
        <w:t xml:space="preserve">team of the Commissioner and Deputy Commissioners should more actively communicate the work of the Commission through media and other communication channels, including correcting erroneous reporting as this arises. </w:t>
      </w:r>
    </w:p>
    <w:p w14:paraId="5CF5989F" w14:textId="391E6B39" w:rsidR="000D073A" w:rsidRPr="005D0AF3" w:rsidRDefault="00142AFE" w:rsidP="00142AFE">
      <w:pPr>
        <w:spacing w:before="120" w:after="120" w:line="240" w:lineRule="auto"/>
        <w:rPr>
          <w:rFonts w:ascii="Arial" w:hAnsi="Arial" w:cs="Arial"/>
          <w:color w:val="000000"/>
          <w:sz w:val="24"/>
          <w:szCs w:val="24"/>
          <w:shd w:val="clear" w:color="auto" w:fill="FFFFFF"/>
        </w:rPr>
      </w:pPr>
      <w:r w:rsidRPr="005D0AF3">
        <w:rPr>
          <w:rFonts w:ascii="Arial" w:hAnsi="Arial"/>
          <w:b/>
          <w:bCs/>
        </w:rPr>
        <w:t xml:space="preserve">Recommendation </w:t>
      </w:r>
      <w:r w:rsidR="00321162" w:rsidRPr="005D0AF3">
        <w:rPr>
          <w:rFonts w:ascii="Arial" w:hAnsi="Arial"/>
          <w:b/>
          <w:bCs/>
        </w:rPr>
        <w:t>4.</w:t>
      </w:r>
      <w:r w:rsidR="00593CF8">
        <w:rPr>
          <w:rFonts w:ascii="Arial" w:hAnsi="Arial"/>
          <w:b/>
          <w:bCs/>
        </w:rPr>
        <w:t>1</w:t>
      </w:r>
      <w:r w:rsidR="00DF21A0">
        <w:rPr>
          <w:rFonts w:ascii="Arial" w:hAnsi="Arial"/>
          <w:b/>
          <w:bCs/>
        </w:rPr>
        <w:t>7</w:t>
      </w:r>
      <w:r w:rsidRPr="005D0AF3">
        <w:rPr>
          <w:rFonts w:ascii="Arial" w:hAnsi="Arial" w:cs="Arial"/>
          <w:color w:val="000000"/>
          <w:sz w:val="24"/>
          <w:szCs w:val="24"/>
          <w:shd w:val="clear" w:color="auto" w:fill="FFFFFF"/>
        </w:rPr>
        <w:t xml:space="preserve">: </w:t>
      </w:r>
      <w:r w:rsidR="000D073A" w:rsidRPr="005D0AF3">
        <w:rPr>
          <w:rFonts w:ascii="Arial" w:hAnsi="Arial" w:cs="Arial"/>
          <w:sz w:val="24"/>
          <w:szCs w:val="24"/>
        </w:rPr>
        <w:t xml:space="preserve">The Commission </w:t>
      </w:r>
      <w:r w:rsidR="00972D22">
        <w:rPr>
          <w:rFonts w:ascii="Arial" w:hAnsi="Arial" w:cs="Arial"/>
          <w:sz w:val="24"/>
          <w:szCs w:val="24"/>
        </w:rPr>
        <w:t>to</w:t>
      </w:r>
      <w:r w:rsidR="000D073A" w:rsidRPr="005D0AF3">
        <w:rPr>
          <w:rFonts w:ascii="Arial" w:hAnsi="Arial" w:cs="Arial"/>
          <w:sz w:val="24"/>
          <w:szCs w:val="24"/>
        </w:rPr>
        <w:t xml:space="preserve"> develop a new, comprehensive communications and engagement strategy, including an external review of its current arrangements, and improved mechanisms and processes for communication and engagement with consumers from diverse backgrounds.</w:t>
      </w:r>
    </w:p>
    <w:p w14:paraId="59A3391E" w14:textId="57D79322" w:rsidR="00142AFE" w:rsidRPr="005D0AF3" w:rsidRDefault="00F46267" w:rsidP="001750D5">
      <w:pPr>
        <w:numPr>
          <w:ilvl w:val="0"/>
          <w:numId w:val="50"/>
        </w:numPr>
        <w:spacing w:before="120" w:after="120" w:line="240" w:lineRule="auto"/>
        <w:ind w:left="357" w:hanging="357"/>
        <w:rPr>
          <w:rFonts w:ascii="Arial" w:hAnsi="Arial" w:cs="Arial"/>
          <w:sz w:val="24"/>
          <w:szCs w:val="24"/>
        </w:rPr>
      </w:pPr>
      <w:r w:rsidRPr="005D0AF3">
        <w:rPr>
          <w:rFonts w:ascii="Arial" w:hAnsi="Arial" w:cs="Arial"/>
          <w:sz w:val="24"/>
          <w:szCs w:val="24"/>
        </w:rPr>
        <w:t xml:space="preserve">The </w:t>
      </w:r>
      <w:r w:rsidR="00142AFE" w:rsidRPr="005D0AF3">
        <w:rPr>
          <w:rFonts w:ascii="Arial" w:hAnsi="Arial" w:cs="Arial"/>
          <w:sz w:val="24"/>
          <w:szCs w:val="24"/>
        </w:rPr>
        <w:t xml:space="preserve">external review </w:t>
      </w:r>
      <w:r w:rsidRPr="005D0AF3">
        <w:rPr>
          <w:rFonts w:ascii="Arial" w:hAnsi="Arial" w:cs="Arial"/>
          <w:sz w:val="24"/>
          <w:szCs w:val="24"/>
        </w:rPr>
        <w:t>should consider</w:t>
      </w:r>
      <w:r w:rsidR="00142AFE" w:rsidRPr="005D0AF3">
        <w:rPr>
          <w:rFonts w:ascii="Arial" w:hAnsi="Arial" w:cs="Arial"/>
          <w:sz w:val="24"/>
          <w:szCs w:val="24"/>
        </w:rPr>
        <w:t xml:space="preserve"> its current strategy, processes and products for communication and engagement with aged care consumers, their families</w:t>
      </w:r>
      <w:r w:rsidR="00224303" w:rsidRPr="005D0AF3">
        <w:rPr>
          <w:rFonts w:ascii="Arial" w:hAnsi="Arial" w:cs="Arial"/>
          <w:sz w:val="24"/>
          <w:szCs w:val="24"/>
        </w:rPr>
        <w:t xml:space="preserve"> and carers</w:t>
      </w:r>
      <w:r w:rsidR="00142AFE" w:rsidRPr="005D0AF3">
        <w:rPr>
          <w:rFonts w:ascii="Arial" w:hAnsi="Arial" w:cs="Arial"/>
          <w:sz w:val="24"/>
          <w:szCs w:val="24"/>
        </w:rPr>
        <w:t xml:space="preserve">, providers, peak </w:t>
      </w:r>
      <w:proofErr w:type="gramStart"/>
      <w:r w:rsidR="00142AFE" w:rsidRPr="005D0AF3">
        <w:rPr>
          <w:rFonts w:ascii="Arial" w:hAnsi="Arial" w:cs="Arial"/>
          <w:sz w:val="24"/>
          <w:szCs w:val="24"/>
        </w:rPr>
        <w:t>bodies</w:t>
      </w:r>
      <w:proofErr w:type="gramEnd"/>
      <w:r w:rsidR="00142AFE" w:rsidRPr="005D0AF3">
        <w:rPr>
          <w:rFonts w:ascii="Arial" w:hAnsi="Arial" w:cs="Arial"/>
          <w:sz w:val="24"/>
          <w:szCs w:val="24"/>
        </w:rPr>
        <w:t xml:space="preserve"> and the broader community</w:t>
      </w:r>
      <w:r w:rsidRPr="005D0AF3">
        <w:rPr>
          <w:rFonts w:ascii="Arial" w:hAnsi="Arial" w:cs="Arial"/>
          <w:sz w:val="24"/>
          <w:szCs w:val="24"/>
        </w:rPr>
        <w:t>.</w:t>
      </w:r>
    </w:p>
    <w:p w14:paraId="169CA606" w14:textId="41E7586C" w:rsidR="00224303" w:rsidRPr="005D0AF3" w:rsidRDefault="00F46267" w:rsidP="001750D5">
      <w:pPr>
        <w:numPr>
          <w:ilvl w:val="0"/>
          <w:numId w:val="50"/>
        </w:numPr>
        <w:spacing w:before="120" w:after="120" w:line="240" w:lineRule="auto"/>
        <w:ind w:left="357" w:hanging="357"/>
        <w:rPr>
          <w:rFonts w:ascii="Arial" w:hAnsi="Arial" w:cs="Arial"/>
          <w:sz w:val="24"/>
          <w:szCs w:val="24"/>
        </w:rPr>
      </w:pPr>
      <w:r w:rsidRPr="005D0AF3">
        <w:rPr>
          <w:rFonts w:ascii="Arial" w:hAnsi="Arial" w:cs="Arial"/>
          <w:sz w:val="24"/>
          <w:szCs w:val="24"/>
        </w:rPr>
        <w:t>I</w:t>
      </w:r>
      <w:r w:rsidR="00142AFE" w:rsidRPr="005D0AF3">
        <w:rPr>
          <w:rFonts w:ascii="Arial" w:hAnsi="Arial" w:cs="Arial"/>
          <w:sz w:val="24"/>
          <w:szCs w:val="24"/>
        </w:rPr>
        <w:t xml:space="preserve">mproved mechanisms and processes </w:t>
      </w:r>
      <w:r w:rsidRPr="005D0AF3">
        <w:rPr>
          <w:rFonts w:ascii="Arial" w:hAnsi="Arial" w:cs="Arial"/>
          <w:sz w:val="24"/>
          <w:szCs w:val="24"/>
        </w:rPr>
        <w:t xml:space="preserve">are required </w:t>
      </w:r>
      <w:r w:rsidR="00142AFE" w:rsidRPr="005D0AF3">
        <w:rPr>
          <w:rFonts w:ascii="Arial" w:hAnsi="Arial" w:cs="Arial"/>
          <w:sz w:val="24"/>
          <w:szCs w:val="24"/>
        </w:rPr>
        <w:t>for communication and engagement with consumers with high care needs and consumers from diverse backgrounds e.g. First Nations people, CALD, and those living in rural and remote communities, and embed co-design principles and practice in their development.</w:t>
      </w:r>
      <w:bookmarkStart w:id="17" w:name="_Toc129118886"/>
      <w:bookmarkStart w:id="18" w:name="_Hlk129180082"/>
      <w:bookmarkEnd w:id="11"/>
      <w:r w:rsidR="00224303" w:rsidRPr="005D0AF3">
        <w:rPr>
          <w:rFonts w:ascii="Calibri" w:eastAsia="Times New Roman" w:hAnsi="Calibri" w:cs="Times New Roman"/>
          <w:b/>
          <w:caps/>
          <w:color w:val="8EAADB" w:themeColor="accent1" w:themeTint="99"/>
          <w:sz w:val="36"/>
          <w:szCs w:val="36"/>
          <w:lang w:val="en-US" w:eastAsia="en-AU"/>
        </w:rPr>
        <w:br w:type="page"/>
      </w:r>
    </w:p>
    <w:p w14:paraId="0B5611FB" w14:textId="74DBFB19" w:rsidR="00B05540" w:rsidRPr="000E132D" w:rsidRDefault="00D2238A" w:rsidP="000E132D">
      <w:pPr>
        <w:pStyle w:val="Heading3"/>
      </w:pPr>
      <w:bookmarkStart w:id="19" w:name="_Toc131163554"/>
      <w:r w:rsidRPr="000E132D">
        <w:lastRenderedPageBreak/>
        <w:t>CHAPTER</w:t>
      </w:r>
      <w:r w:rsidR="003120DB" w:rsidRPr="000E132D">
        <w:t xml:space="preserve"> </w:t>
      </w:r>
      <w:r w:rsidR="00B05540" w:rsidRPr="000E132D">
        <w:t>5: REGULATORY FUNCTIONS AND OUTCOMES</w:t>
      </w:r>
      <w:bookmarkEnd w:id="17"/>
      <w:bookmarkEnd w:id="19"/>
    </w:p>
    <w:p w14:paraId="7FFC7052" w14:textId="20138AD9" w:rsidR="00B05540" w:rsidRDefault="003120DB" w:rsidP="00B05540">
      <w:pPr>
        <w:spacing w:before="120" w:after="120" w:line="240" w:lineRule="auto"/>
        <w:rPr>
          <w:rFonts w:ascii="Arial" w:hAnsi="Arial" w:cs="Arial"/>
          <w:color w:val="000000" w:themeColor="text1"/>
          <w:sz w:val="24"/>
          <w:szCs w:val="24"/>
          <w:lang w:val="en-US"/>
        </w:rPr>
      </w:pPr>
      <w:r>
        <w:rPr>
          <w:rFonts w:ascii="Arial" w:hAnsi="Arial" w:cs="Arial"/>
          <w:color w:val="000000" w:themeColor="text1"/>
          <w:sz w:val="24"/>
          <w:szCs w:val="24"/>
          <w:lang w:val="en-US"/>
        </w:rPr>
        <w:t>Chapter</w:t>
      </w:r>
      <w:r w:rsidR="00B05540" w:rsidRPr="00E66BF3">
        <w:rPr>
          <w:rFonts w:ascii="Arial" w:hAnsi="Arial" w:cs="Arial"/>
          <w:color w:val="000000" w:themeColor="text1"/>
          <w:sz w:val="24"/>
          <w:szCs w:val="24"/>
          <w:lang w:val="en-US"/>
        </w:rPr>
        <w:t xml:space="preserve"> </w:t>
      </w:r>
      <w:r w:rsidR="00B05540">
        <w:rPr>
          <w:rFonts w:ascii="Arial" w:hAnsi="Arial" w:cs="Arial"/>
          <w:color w:val="000000" w:themeColor="text1"/>
          <w:sz w:val="24"/>
          <w:szCs w:val="24"/>
          <w:lang w:val="en-US"/>
        </w:rPr>
        <w:t>4</w:t>
      </w:r>
      <w:r w:rsidR="00B05540" w:rsidRPr="00E66BF3">
        <w:rPr>
          <w:rFonts w:ascii="Arial" w:hAnsi="Arial" w:cs="Arial"/>
          <w:color w:val="000000" w:themeColor="text1"/>
          <w:sz w:val="24"/>
          <w:szCs w:val="24"/>
          <w:lang w:val="en-US"/>
        </w:rPr>
        <w:t xml:space="preserve"> consider</w:t>
      </w:r>
      <w:r w:rsidR="00520850">
        <w:rPr>
          <w:rFonts w:ascii="Arial" w:hAnsi="Arial" w:cs="Arial"/>
          <w:color w:val="000000" w:themeColor="text1"/>
          <w:sz w:val="24"/>
          <w:szCs w:val="24"/>
          <w:lang w:val="en-US"/>
        </w:rPr>
        <w:t>ed</w:t>
      </w:r>
      <w:r w:rsidR="00B05540" w:rsidRPr="00E66BF3">
        <w:rPr>
          <w:rFonts w:ascii="Arial" w:hAnsi="Arial" w:cs="Arial"/>
          <w:color w:val="000000" w:themeColor="text1"/>
          <w:sz w:val="24"/>
          <w:szCs w:val="24"/>
          <w:lang w:val="en-US"/>
        </w:rPr>
        <w:t xml:space="preserve"> the key elements or features of a contemporary, high performing, best practice regulator, and the extent to which the Commission is exhibiting those elements</w:t>
      </w:r>
      <w:r w:rsidR="00B05540" w:rsidRPr="00E66BF3">
        <w:t xml:space="preserve">. </w:t>
      </w:r>
      <w:r w:rsidR="00B05540" w:rsidRPr="00E66BF3">
        <w:rPr>
          <w:rFonts w:ascii="Arial" w:hAnsi="Arial" w:cs="Arial"/>
          <w:color w:val="000000" w:themeColor="text1"/>
          <w:sz w:val="24"/>
          <w:szCs w:val="24"/>
          <w:lang w:val="en-US"/>
        </w:rPr>
        <w:t xml:space="preserve">This </w:t>
      </w:r>
      <w:r>
        <w:rPr>
          <w:rFonts w:ascii="Arial" w:hAnsi="Arial" w:cs="Arial"/>
          <w:color w:val="000000" w:themeColor="text1"/>
          <w:sz w:val="24"/>
          <w:szCs w:val="24"/>
          <w:lang w:val="en-US"/>
        </w:rPr>
        <w:t>Chapter</w:t>
      </w:r>
      <w:r w:rsidR="00B05540" w:rsidRPr="00E66BF3">
        <w:rPr>
          <w:rFonts w:ascii="Arial" w:hAnsi="Arial" w:cs="Arial"/>
          <w:color w:val="000000" w:themeColor="text1"/>
          <w:sz w:val="24"/>
          <w:szCs w:val="24"/>
          <w:lang w:val="en-US"/>
        </w:rPr>
        <w:t xml:space="preserve"> builds on the broader commentary, identifying areas where the Commission is not always demonstrating regulatory best practice and including recommendations which will support the Commission to do so.</w:t>
      </w:r>
    </w:p>
    <w:p w14:paraId="126DE517" w14:textId="77777777" w:rsidR="00B05540" w:rsidRPr="00BA2B4A" w:rsidRDefault="00B05540" w:rsidP="00BA2B4A">
      <w:pPr>
        <w:rPr>
          <w:rFonts w:ascii="Arial" w:hAnsi="Arial" w:cs="Arial"/>
          <w:b/>
          <w:bCs/>
          <w:sz w:val="28"/>
          <w:szCs w:val="28"/>
        </w:rPr>
      </w:pPr>
      <w:r w:rsidRPr="00BA2B4A">
        <w:rPr>
          <w:rFonts w:ascii="Arial" w:hAnsi="Arial" w:cs="Arial"/>
          <w:b/>
          <w:bCs/>
          <w:sz w:val="28"/>
          <w:szCs w:val="28"/>
        </w:rPr>
        <w:t xml:space="preserve">5.1 Accreditation </w:t>
      </w:r>
    </w:p>
    <w:p w14:paraId="1CFA5B08" w14:textId="7F7761CF" w:rsidR="00B05540" w:rsidRDefault="00B05540" w:rsidP="00B05540">
      <w:pPr>
        <w:spacing w:before="120" w:after="120" w:line="240" w:lineRule="auto"/>
        <w:rPr>
          <w:rFonts w:ascii="Arial" w:eastAsia="Times New Roman" w:hAnsi="Arial" w:cs="Arial"/>
          <w:color w:val="000000" w:themeColor="text1"/>
          <w:sz w:val="24"/>
        </w:rPr>
      </w:pPr>
      <w:r w:rsidRPr="00E66BF3">
        <w:rPr>
          <w:rFonts w:ascii="Arial" w:eastAsia="Times New Roman" w:hAnsi="Arial" w:cs="Arial"/>
          <w:color w:val="000000" w:themeColor="text1"/>
          <w:sz w:val="24"/>
        </w:rPr>
        <w:t xml:space="preserve">Residential services must be accredited </w:t>
      </w:r>
      <w:r w:rsidR="00520850">
        <w:rPr>
          <w:rFonts w:ascii="Arial" w:eastAsia="Times New Roman" w:hAnsi="Arial" w:cs="Arial"/>
          <w:color w:val="000000" w:themeColor="text1"/>
          <w:sz w:val="24"/>
        </w:rPr>
        <w:t xml:space="preserve">by the Commission </w:t>
      </w:r>
      <w:r w:rsidRPr="00E66BF3">
        <w:rPr>
          <w:rFonts w:ascii="Arial" w:eastAsia="Times New Roman" w:hAnsi="Arial" w:cs="Arial"/>
          <w:color w:val="000000" w:themeColor="text1"/>
          <w:sz w:val="24"/>
        </w:rPr>
        <w:t xml:space="preserve">to receive </w:t>
      </w:r>
      <w:r>
        <w:rPr>
          <w:rFonts w:ascii="Arial" w:eastAsia="Times New Roman" w:hAnsi="Arial" w:cs="Arial"/>
          <w:color w:val="000000" w:themeColor="text1"/>
          <w:sz w:val="24"/>
        </w:rPr>
        <w:t xml:space="preserve">Commonwealth </w:t>
      </w:r>
      <w:r w:rsidRPr="00E66BF3">
        <w:rPr>
          <w:rFonts w:ascii="Arial" w:eastAsia="Times New Roman" w:hAnsi="Arial" w:cs="Arial"/>
          <w:color w:val="000000" w:themeColor="text1"/>
          <w:sz w:val="24"/>
        </w:rPr>
        <w:t>subsidy</w:t>
      </w:r>
      <w:r>
        <w:rPr>
          <w:rFonts w:ascii="Arial" w:eastAsia="Times New Roman" w:hAnsi="Arial" w:cs="Arial"/>
          <w:color w:val="000000" w:themeColor="text1"/>
          <w:sz w:val="24"/>
        </w:rPr>
        <w:t xml:space="preserve"> under the </w:t>
      </w:r>
      <w:r w:rsidRPr="00EA517D">
        <w:rPr>
          <w:rFonts w:ascii="Arial" w:eastAsia="Times New Roman" w:hAnsi="Arial" w:cs="Arial"/>
          <w:i/>
          <w:iCs/>
          <w:color w:val="000000" w:themeColor="text1"/>
          <w:sz w:val="24"/>
        </w:rPr>
        <w:t>Aged Care Act 1997</w:t>
      </w:r>
      <w:r>
        <w:rPr>
          <w:rFonts w:ascii="Arial" w:eastAsia="Times New Roman" w:hAnsi="Arial" w:cs="Arial"/>
          <w:color w:val="000000" w:themeColor="text1"/>
          <w:sz w:val="24"/>
        </w:rPr>
        <w:t xml:space="preserve">. </w:t>
      </w:r>
      <w:r w:rsidR="00520850">
        <w:rPr>
          <w:rFonts w:ascii="Arial" w:eastAsia="Times New Roman" w:hAnsi="Arial" w:cs="Arial"/>
          <w:color w:val="000000" w:themeColor="text1"/>
          <w:sz w:val="24"/>
        </w:rPr>
        <w:t>R</w:t>
      </w:r>
      <w:r>
        <w:rPr>
          <w:rFonts w:ascii="Arial" w:eastAsia="Times New Roman" w:hAnsi="Arial" w:cs="Arial"/>
          <w:color w:val="000000" w:themeColor="text1"/>
          <w:sz w:val="24"/>
        </w:rPr>
        <w:t>e-accredit</w:t>
      </w:r>
      <w:r w:rsidR="00520850">
        <w:rPr>
          <w:rFonts w:ascii="Arial" w:eastAsia="Times New Roman" w:hAnsi="Arial" w:cs="Arial"/>
          <w:color w:val="000000" w:themeColor="text1"/>
          <w:sz w:val="24"/>
        </w:rPr>
        <w:t>ation</w:t>
      </w:r>
      <w:r>
        <w:rPr>
          <w:rFonts w:ascii="Arial" w:eastAsia="Times New Roman" w:hAnsi="Arial" w:cs="Arial"/>
          <w:color w:val="000000" w:themeColor="text1"/>
          <w:sz w:val="24"/>
        </w:rPr>
        <w:t xml:space="preserve"> is </w:t>
      </w:r>
      <w:r w:rsidR="00520850">
        <w:rPr>
          <w:rFonts w:ascii="Arial" w:eastAsia="Times New Roman" w:hAnsi="Arial" w:cs="Arial"/>
          <w:color w:val="000000" w:themeColor="text1"/>
          <w:sz w:val="24"/>
        </w:rPr>
        <w:t xml:space="preserve">also </w:t>
      </w:r>
      <w:r>
        <w:rPr>
          <w:rFonts w:ascii="Arial" w:eastAsia="Times New Roman" w:hAnsi="Arial" w:cs="Arial"/>
          <w:color w:val="000000" w:themeColor="text1"/>
          <w:sz w:val="24"/>
        </w:rPr>
        <w:t xml:space="preserve">made by the Commission following a site audit in which the service is assessed against the Aged Care Quality Standards (Quality Standards). Audits must be conducted on site by registered quality assessors and are generally unannounced. A Commission delegate makes the re-accreditation decision based on the assessment team’s audit report and the provider’s response to this report. The </w:t>
      </w:r>
      <w:r w:rsidR="008D1329">
        <w:rPr>
          <w:rFonts w:ascii="Arial" w:eastAsia="Times New Roman" w:hAnsi="Arial" w:cs="Arial"/>
          <w:color w:val="000000" w:themeColor="text1"/>
          <w:sz w:val="24"/>
        </w:rPr>
        <w:t>re-</w:t>
      </w:r>
      <w:r>
        <w:rPr>
          <w:rFonts w:ascii="Arial" w:eastAsia="Times New Roman" w:hAnsi="Arial" w:cs="Arial"/>
          <w:color w:val="000000" w:themeColor="text1"/>
          <w:sz w:val="24"/>
        </w:rPr>
        <w:t xml:space="preserve">accreditation decision includes determining the period of </w:t>
      </w:r>
      <w:r w:rsidR="008D1329">
        <w:rPr>
          <w:rFonts w:ascii="Arial" w:eastAsia="Times New Roman" w:hAnsi="Arial" w:cs="Arial"/>
          <w:color w:val="000000" w:themeColor="text1"/>
          <w:sz w:val="24"/>
        </w:rPr>
        <w:t>re-</w:t>
      </w:r>
      <w:r>
        <w:rPr>
          <w:rFonts w:ascii="Arial" w:eastAsia="Times New Roman" w:hAnsi="Arial" w:cs="Arial"/>
          <w:color w:val="000000" w:themeColor="text1"/>
          <w:sz w:val="24"/>
        </w:rPr>
        <w:t>accreditation, which is typically three years if there is a finding of full compliance or minimal non-compliance. Shorter periods are conferred where there is a finding of significant non-compliance.</w:t>
      </w:r>
    </w:p>
    <w:p w14:paraId="4B82F3CF" w14:textId="5D28B021" w:rsidR="00B05540" w:rsidRPr="00BC2BC7" w:rsidRDefault="00B05540" w:rsidP="00B05540">
      <w:pPr>
        <w:spacing w:before="120" w:after="120" w:line="240" w:lineRule="auto"/>
        <w:rPr>
          <w:rFonts w:ascii="Arial" w:eastAsia="Times New Roman" w:hAnsi="Arial" w:cs="Arial"/>
          <w:color w:val="000000" w:themeColor="text1"/>
          <w:sz w:val="24"/>
        </w:rPr>
      </w:pPr>
      <w:r w:rsidRPr="00BC2BC7">
        <w:rPr>
          <w:rFonts w:ascii="Arial" w:eastAsia="Times New Roman" w:hAnsi="Arial" w:cs="Arial"/>
          <w:color w:val="000000" w:themeColor="text1"/>
          <w:sz w:val="24"/>
        </w:rPr>
        <w:t xml:space="preserve">The Review heard considerable commentary about the Commission’s capacity to deliver the reaccreditation program in the context of the COVID-19 pandemic and environmental disasters, </w:t>
      </w:r>
      <w:r>
        <w:rPr>
          <w:rFonts w:ascii="Arial" w:eastAsia="Times New Roman" w:hAnsi="Arial" w:cs="Arial"/>
          <w:color w:val="000000" w:themeColor="text1"/>
          <w:sz w:val="24"/>
        </w:rPr>
        <w:t xml:space="preserve">and </w:t>
      </w:r>
      <w:r w:rsidRPr="00BC2BC7">
        <w:rPr>
          <w:rFonts w:ascii="Arial" w:eastAsia="Times New Roman" w:hAnsi="Arial" w:cs="Arial"/>
          <w:color w:val="000000" w:themeColor="text1"/>
          <w:sz w:val="24"/>
        </w:rPr>
        <w:t xml:space="preserve">initiatives </w:t>
      </w:r>
      <w:r>
        <w:rPr>
          <w:rFonts w:ascii="Arial" w:eastAsia="Times New Roman" w:hAnsi="Arial" w:cs="Arial"/>
          <w:color w:val="000000" w:themeColor="text1"/>
          <w:sz w:val="24"/>
        </w:rPr>
        <w:t xml:space="preserve">employed to address these challenges, including </w:t>
      </w:r>
      <w:r w:rsidRPr="00BC2BC7">
        <w:rPr>
          <w:rFonts w:ascii="Arial" w:eastAsia="Times New Roman" w:hAnsi="Arial" w:cs="Arial"/>
          <w:color w:val="000000" w:themeColor="text1"/>
          <w:sz w:val="24"/>
        </w:rPr>
        <w:t xml:space="preserve">the Commission’s Third-Party Provider </w:t>
      </w:r>
      <w:r w:rsidR="001D1BE2">
        <w:rPr>
          <w:rFonts w:ascii="Arial" w:eastAsia="Times New Roman" w:hAnsi="Arial" w:cs="Arial"/>
          <w:color w:val="000000" w:themeColor="text1"/>
          <w:sz w:val="24"/>
        </w:rPr>
        <w:t xml:space="preserve">(TPP) </w:t>
      </w:r>
      <w:r w:rsidRPr="00BC2BC7">
        <w:rPr>
          <w:rFonts w:ascii="Arial" w:eastAsia="Times New Roman" w:hAnsi="Arial" w:cs="Arial"/>
          <w:color w:val="000000" w:themeColor="text1"/>
          <w:sz w:val="24"/>
        </w:rPr>
        <w:t>Program</w:t>
      </w:r>
      <w:r>
        <w:rPr>
          <w:rFonts w:ascii="Arial" w:eastAsia="Times New Roman" w:hAnsi="Arial" w:cs="Arial"/>
          <w:color w:val="000000" w:themeColor="text1"/>
          <w:sz w:val="24"/>
        </w:rPr>
        <w:t xml:space="preserve"> and </w:t>
      </w:r>
      <w:r w:rsidR="008D1329">
        <w:rPr>
          <w:rFonts w:ascii="Arial" w:eastAsia="Times New Roman" w:hAnsi="Arial" w:cs="Arial"/>
          <w:color w:val="000000" w:themeColor="text1"/>
          <w:sz w:val="24"/>
        </w:rPr>
        <w:t xml:space="preserve">the Department’s </w:t>
      </w:r>
      <w:r>
        <w:rPr>
          <w:rFonts w:ascii="Arial" w:eastAsia="Times New Roman" w:hAnsi="Arial" w:cs="Arial"/>
          <w:color w:val="000000" w:themeColor="text1"/>
          <w:sz w:val="24"/>
        </w:rPr>
        <w:t>ex</w:t>
      </w:r>
      <w:r w:rsidRPr="00BC2BC7">
        <w:rPr>
          <w:rFonts w:ascii="Arial" w:eastAsia="Times New Roman" w:hAnsi="Arial" w:cs="Arial"/>
          <w:color w:val="000000" w:themeColor="text1"/>
          <w:sz w:val="24"/>
        </w:rPr>
        <w:t>ceptional circumstances (EC) decision</w:t>
      </w:r>
      <w:r>
        <w:rPr>
          <w:rFonts w:ascii="Arial" w:eastAsia="Times New Roman" w:hAnsi="Arial" w:cs="Arial"/>
          <w:color w:val="000000" w:themeColor="text1"/>
          <w:sz w:val="24"/>
        </w:rPr>
        <w:t>s</w:t>
      </w:r>
      <w:r w:rsidRPr="00BC2BC7">
        <w:rPr>
          <w:rFonts w:ascii="Arial" w:eastAsia="Times New Roman" w:hAnsi="Arial" w:cs="Arial"/>
          <w:color w:val="000000" w:themeColor="text1"/>
          <w:sz w:val="24"/>
        </w:rPr>
        <w:t xml:space="preserve">. </w:t>
      </w:r>
    </w:p>
    <w:p w14:paraId="79D024FC" w14:textId="4F174F33" w:rsidR="00B05540" w:rsidRDefault="00B05540" w:rsidP="00B05540">
      <w:pPr>
        <w:spacing w:before="120" w:after="120" w:line="240" w:lineRule="auto"/>
        <w:rPr>
          <w:rFonts w:ascii="Arial" w:hAnsi="Arial" w:cs="Arial"/>
          <w:color w:val="000000"/>
          <w:sz w:val="24"/>
          <w:szCs w:val="24"/>
          <w:shd w:val="clear" w:color="auto" w:fill="FFFFFF"/>
        </w:rPr>
      </w:pPr>
      <w:r>
        <w:rPr>
          <w:rFonts w:ascii="Arial" w:eastAsia="Times New Roman" w:hAnsi="Arial" w:cs="Arial"/>
          <w:color w:val="000000" w:themeColor="text1"/>
          <w:sz w:val="24"/>
        </w:rPr>
        <w:t xml:space="preserve">Issues </w:t>
      </w:r>
      <w:r w:rsidRPr="00E66BF3">
        <w:rPr>
          <w:rFonts w:ascii="Arial" w:hAnsi="Arial" w:cs="Arial"/>
          <w:color w:val="000000"/>
          <w:sz w:val="24"/>
          <w:szCs w:val="24"/>
          <w:shd w:val="clear" w:color="auto" w:fill="FFFFFF"/>
        </w:rPr>
        <w:t>around</w:t>
      </w:r>
      <w:r>
        <w:rPr>
          <w:rFonts w:ascii="Arial" w:hAnsi="Arial" w:cs="Arial"/>
          <w:color w:val="000000"/>
          <w:sz w:val="24"/>
          <w:szCs w:val="24"/>
          <w:shd w:val="clear" w:color="auto" w:fill="FFFFFF"/>
        </w:rPr>
        <w:t xml:space="preserve"> q</w:t>
      </w:r>
      <w:r w:rsidRPr="00BC2BC7">
        <w:rPr>
          <w:rFonts w:ascii="Arial" w:hAnsi="Arial" w:cs="Arial"/>
          <w:color w:val="000000"/>
          <w:sz w:val="24"/>
          <w:szCs w:val="24"/>
          <w:shd w:val="clear" w:color="auto" w:fill="FFFFFF"/>
        </w:rPr>
        <w:t>uality assessor and decision maker capabilities</w:t>
      </w:r>
      <w:r>
        <w:rPr>
          <w:rFonts w:ascii="Arial" w:hAnsi="Arial" w:cs="Arial"/>
          <w:color w:val="000000"/>
          <w:sz w:val="24"/>
          <w:szCs w:val="24"/>
          <w:shd w:val="clear" w:color="auto" w:fill="FFFFFF"/>
        </w:rPr>
        <w:t xml:space="preserve">, </w:t>
      </w:r>
      <w:r w:rsidRPr="00BC2BC7">
        <w:rPr>
          <w:rFonts w:ascii="Arial" w:hAnsi="Arial" w:cs="Arial"/>
          <w:color w:val="000000"/>
          <w:sz w:val="24"/>
          <w:szCs w:val="24"/>
          <w:shd w:val="clear" w:color="auto" w:fill="FFFFFF"/>
        </w:rPr>
        <w:t>recruitment</w:t>
      </w:r>
      <w:r>
        <w:rPr>
          <w:rFonts w:ascii="Arial" w:hAnsi="Arial" w:cs="Arial"/>
          <w:color w:val="000000"/>
          <w:sz w:val="24"/>
          <w:szCs w:val="24"/>
          <w:shd w:val="clear" w:color="auto" w:fill="FFFFFF"/>
        </w:rPr>
        <w:t xml:space="preserve"> and r</w:t>
      </w:r>
      <w:r w:rsidRPr="00BC2BC7">
        <w:rPr>
          <w:rFonts w:ascii="Arial" w:hAnsi="Arial" w:cs="Arial"/>
          <w:color w:val="000000"/>
          <w:sz w:val="24"/>
          <w:szCs w:val="24"/>
          <w:shd w:val="clear" w:color="auto" w:fill="FFFFFF"/>
        </w:rPr>
        <w:t>etention</w:t>
      </w:r>
      <w:r>
        <w:rPr>
          <w:rFonts w:ascii="Arial" w:hAnsi="Arial" w:cs="Arial"/>
          <w:color w:val="000000"/>
          <w:sz w:val="24"/>
          <w:szCs w:val="24"/>
          <w:shd w:val="clear" w:color="auto" w:fill="FFFFFF"/>
        </w:rPr>
        <w:t xml:space="preserve"> and the </w:t>
      </w:r>
      <w:r w:rsidRPr="00BC2BC7">
        <w:rPr>
          <w:rFonts w:ascii="Arial" w:hAnsi="Arial" w:cs="Arial"/>
          <w:color w:val="000000"/>
          <w:sz w:val="24"/>
          <w:szCs w:val="24"/>
          <w:shd w:val="clear" w:color="auto" w:fill="FFFFFF"/>
        </w:rPr>
        <w:t>broader quality assessment framework</w:t>
      </w:r>
      <w:r>
        <w:rPr>
          <w:rFonts w:ascii="Arial" w:hAnsi="Arial" w:cs="Arial"/>
          <w:color w:val="000000"/>
          <w:sz w:val="24"/>
          <w:szCs w:val="24"/>
          <w:shd w:val="clear" w:color="auto" w:fill="FFFFFF"/>
        </w:rPr>
        <w:t xml:space="preserve"> were also raised in this context. </w:t>
      </w:r>
    </w:p>
    <w:p w14:paraId="4C463530" w14:textId="77777777" w:rsidR="00232621" w:rsidRPr="00BC2BC7" w:rsidRDefault="00232621" w:rsidP="00B05540">
      <w:pPr>
        <w:spacing w:before="120" w:after="120" w:line="240" w:lineRule="auto"/>
        <w:rPr>
          <w:rFonts w:ascii="Arial" w:eastAsia="Times New Roman" w:hAnsi="Arial" w:cs="Arial"/>
          <w:color w:val="000000" w:themeColor="text1"/>
          <w:sz w:val="24"/>
        </w:rPr>
      </w:pPr>
    </w:p>
    <w:p w14:paraId="4127E11E" w14:textId="77777777" w:rsidR="00B05540" w:rsidRPr="00224303" w:rsidRDefault="00B05540" w:rsidP="00B05540">
      <w:pPr>
        <w:spacing w:before="120" w:after="120" w:line="240" w:lineRule="auto"/>
        <w:rPr>
          <w:rFonts w:ascii="Arial" w:hAnsi="Arial" w:cs="Arial"/>
          <w:i/>
          <w:iCs/>
          <w:color w:val="000000"/>
          <w:sz w:val="24"/>
          <w:szCs w:val="24"/>
          <w:shd w:val="clear" w:color="auto" w:fill="FFFFFF"/>
        </w:rPr>
      </w:pPr>
      <w:r w:rsidRPr="00224303">
        <w:rPr>
          <w:rFonts w:ascii="Arial" w:hAnsi="Arial" w:cs="Arial"/>
          <w:i/>
          <w:iCs/>
          <w:color w:val="000000"/>
          <w:sz w:val="24"/>
          <w:szCs w:val="24"/>
          <w:shd w:val="clear" w:color="auto" w:fill="FFFFFF"/>
        </w:rPr>
        <w:t>Quality assessors and decision makers</w:t>
      </w:r>
    </w:p>
    <w:p w14:paraId="31F40242" w14:textId="77777777" w:rsidR="00B05540" w:rsidRPr="00E66BF3" w:rsidRDefault="00B05540" w:rsidP="00B05540">
      <w:pPr>
        <w:spacing w:before="120" w:after="120" w:line="240" w:lineRule="auto"/>
        <w:rPr>
          <w:rFonts w:ascii="Arial" w:hAnsi="Arial" w:cs="Arial"/>
          <w:color w:val="000000"/>
          <w:sz w:val="24"/>
          <w:szCs w:val="24"/>
          <w:shd w:val="clear" w:color="auto" w:fill="FFFFFF"/>
        </w:rPr>
      </w:pPr>
      <w:r w:rsidRPr="00E66BF3">
        <w:rPr>
          <w:rFonts w:ascii="Arial" w:hAnsi="Arial" w:cs="Arial"/>
          <w:color w:val="000000"/>
          <w:sz w:val="24"/>
          <w:szCs w:val="24"/>
          <w:shd w:val="clear" w:color="auto" w:fill="FFFFFF"/>
        </w:rPr>
        <w:t xml:space="preserve">Stakeholders expressed a range of concerns around </w:t>
      </w:r>
      <w:r>
        <w:rPr>
          <w:rFonts w:ascii="Arial" w:hAnsi="Arial" w:cs="Arial"/>
          <w:color w:val="000000"/>
          <w:sz w:val="24"/>
          <w:szCs w:val="24"/>
          <w:shd w:val="clear" w:color="auto" w:fill="FFFFFF"/>
        </w:rPr>
        <w:t xml:space="preserve">the capabilities of </w:t>
      </w:r>
      <w:r w:rsidRPr="00E66BF3">
        <w:rPr>
          <w:rFonts w:ascii="Arial" w:hAnsi="Arial" w:cs="Arial"/>
          <w:color w:val="000000"/>
          <w:sz w:val="24"/>
          <w:szCs w:val="24"/>
          <w:shd w:val="clear" w:color="auto" w:fill="FFFFFF"/>
        </w:rPr>
        <w:t>quality assessor</w:t>
      </w:r>
      <w:r>
        <w:rPr>
          <w:rFonts w:ascii="Arial" w:hAnsi="Arial" w:cs="Arial"/>
          <w:color w:val="000000"/>
          <w:sz w:val="24"/>
          <w:szCs w:val="24"/>
          <w:shd w:val="clear" w:color="auto" w:fill="FFFFFF"/>
        </w:rPr>
        <w:t>s</w:t>
      </w:r>
      <w:r w:rsidRPr="00E66BF3">
        <w:rPr>
          <w:rFonts w:ascii="Arial" w:hAnsi="Arial" w:cs="Arial"/>
          <w:color w:val="000000"/>
          <w:sz w:val="24"/>
          <w:szCs w:val="24"/>
          <w:shd w:val="clear" w:color="auto" w:fill="FFFFFF"/>
        </w:rPr>
        <w:t xml:space="preserve"> and decision maker</w:t>
      </w:r>
      <w:r>
        <w:rPr>
          <w:rFonts w:ascii="Arial" w:hAnsi="Arial" w:cs="Arial"/>
          <w:color w:val="000000"/>
          <w:sz w:val="24"/>
          <w:szCs w:val="24"/>
          <w:shd w:val="clear" w:color="auto" w:fill="FFFFFF"/>
        </w:rPr>
        <w:t>s in the Quality Assessment and Monitoring Group (QAMG), including:</w:t>
      </w:r>
      <w:r w:rsidRPr="00E66BF3">
        <w:rPr>
          <w:rFonts w:ascii="Arial" w:hAnsi="Arial" w:cs="Arial"/>
          <w:color w:val="000000"/>
          <w:sz w:val="24"/>
          <w:szCs w:val="24"/>
          <w:shd w:val="clear" w:color="auto" w:fill="FFFFFF"/>
        </w:rPr>
        <w:t xml:space="preserve"> </w:t>
      </w:r>
    </w:p>
    <w:p w14:paraId="790766F4" w14:textId="3CDE6D33" w:rsidR="00B05540" w:rsidRDefault="001D1BE2"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t>l</w:t>
      </w:r>
      <w:r w:rsidR="00B05540" w:rsidRPr="00E66BF3">
        <w:rPr>
          <w:rFonts w:ascii="Arial" w:eastAsiaTheme="minorEastAsia" w:hAnsi="Arial" w:cs="Arial"/>
          <w:sz w:val="24"/>
          <w:szCs w:val="24"/>
        </w:rPr>
        <w:t>ack of timely assessments</w:t>
      </w:r>
    </w:p>
    <w:p w14:paraId="2C059BB3" w14:textId="3C100C94" w:rsidR="00B05540" w:rsidRPr="00E66BF3" w:rsidRDefault="001D1BE2"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t>v</w:t>
      </w:r>
      <w:r w:rsidR="00B05540" w:rsidRPr="00E66BF3">
        <w:rPr>
          <w:rFonts w:ascii="Arial" w:eastAsiaTheme="minorEastAsia" w:hAnsi="Arial" w:cs="Arial"/>
          <w:sz w:val="24"/>
          <w:szCs w:val="24"/>
        </w:rPr>
        <w:t>arying interpretation of the Quality Standards leading to inconsistencies in assessments and assessment outcomes</w:t>
      </w:r>
    </w:p>
    <w:p w14:paraId="6E32DBA5" w14:textId="5EDF9797" w:rsidR="00B05540" w:rsidRPr="00FE11D3" w:rsidRDefault="001D1BE2"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t>t</w:t>
      </w:r>
      <w:r w:rsidR="00B05540" w:rsidRPr="00FE11D3">
        <w:rPr>
          <w:rFonts w:ascii="Arial" w:eastAsiaTheme="minorEastAsia" w:hAnsi="Arial" w:cs="Arial"/>
          <w:sz w:val="24"/>
          <w:szCs w:val="24"/>
        </w:rPr>
        <w:t xml:space="preserve">he quality of written assessments, including poorly evidenced reports and decisions which fail to reflect materials provided during or after the assessment </w:t>
      </w:r>
    </w:p>
    <w:p w14:paraId="30213CEF" w14:textId="4EBF5571" w:rsidR="00B05540" w:rsidRPr="00E66BF3" w:rsidRDefault="001D1BE2"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t>t</w:t>
      </w:r>
      <w:r w:rsidR="00B05540" w:rsidRPr="00E66BF3">
        <w:rPr>
          <w:rFonts w:ascii="Arial" w:eastAsiaTheme="minorEastAsia" w:hAnsi="Arial" w:cs="Arial"/>
          <w:sz w:val="24"/>
          <w:szCs w:val="24"/>
        </w:rPr>
        <w:t>he cultural capability of assessors and their ability to flexibly consider very different contexts and models of care, including in relation to special needs groups</w:t>
      </w:r>
    </w:p>
    <w:p w14:paraId="062B5732" w14:textId="77909868" w:rsidR="00B05540" w:rsidRPr="00E66BF3" w:rsidRDefault="001D1BE2"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t>a</w:t>
      </w:r>
      <w:r w:rsidR="00B05540" w:rsidRPr="00E66BF3">
        <w:rPr>
          <w:rFonts w:ascii="Arial" w:eastAsiaTheme="minorEastAsia" w:hAnsi="Arial" w:cs="Arial"/>
          <w:sz w:val="24"/>
          <w:szCs w:val="24"/>
        </w:rPr>
        <w:t>ssessors not being aware of relevant state-based legislation</w:t>
      </w:r>
    </w:p>
    <w:p w14:paraId="47BCDFBF" w14:textId="35645CC2" w:rsidR="00B05540" w:rsidRPr="00E66BF3" w:rsidRDefault="001D1BE2"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t>a</w:t>
      </w:r>
      <w:r w:rsidR="00B05540" w:rsidRPr="00E66BF3">
        <w:rPr>
          <w:rFonts w:ascii="Arial" w:eastAsiaTheme="minorEastAsia" w:hAnsi="Arial" w:cs="Arial"/>
          <w:sz w:val="24"/>
          <w:szCs w:val="24"/>
        </w:rPr>
        <w:t>ssessors lacking the skills and experience to assess clinical matters</w:t>
      </w:r>
    </w:p>
    <w:p w14:paraId="33E08046" w14:textId="69816CDF" w:rsidR="00B05540" w:rsidRPr="00E66BF3" w:rsidRDefault="001D1BE2"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lastRenderedPageBreak/>
        <w:t>l</w:t>
      </w:r>
      <w:r w:rsidR="00B05540" w:rsidRPr="00E66BF3">
        <w:rPr>
          <w:rFonts w:ascii="Arial" w:eastAsiaTheme="minorEastAsia" w:hAnsi="Arial" w:cs="Arial"/>
          <w:sz w:val="24"/>
          <w:szCs w:val="24"/>
        </w:rPr>
        <w:t>engthy periods elapsing between assessments being undertaken, decisions being made, and non-compliance being followed up</w:t>
      </w:r>
      <w:r>
        <w:rPr>
          <w:rFonts w:ascii="Arial" w:eastAsiaTheme="minorEastAsia" w:hAnsi="Arial" w:cs="Arial"/>
          <w:sz w:val="24"/>
          <w:szCs w:val="24"/>
        </w:rPr>
        <w:t>, and</w:t>
      </w:r>
    </w:p>
    <w:p w14:paraId="46A5C7C2" w14:textId="66474907" w:rsidR="00B05540" w:rsidRPr="00E66BF3" w:rsidRDefault="001D1BE2" w:rsidP="001750D5">
      <w:pPr>
        <w:numPr>
          <w:ilvl w:val="0"/>
          <w:numId w:val="17"/>
        </w:numPr>
        <w:spacing w:before="120" w:after="120" w:line="240" w:lineRule="auto"/>
        <w:ind w:left="357" w:hanging="357"/>
        <w:rPr>
          <w:rFonts w:ascii="Arial" w:hAnsi="Arial" w:cs="Arial"/>
          <w:sz w:val="24"/>
          <w:szCs w:val="24"/>
        </w:rPr>
      </w:pPr>
      <w:r>
        <w:rPr>
          <w:rFonts w:ascii="Arial" w:eastAsiaTheme="minorEastAsia" w:hAnsi="Arial" w:cs="Arial"/>
          <w:sz w:val="24"/>
          <w:szCs w:val="24"/>
        </w:rPr>
        <w:t>a</w:t>
      </w:r>
      <w:r w:rsidR="00B05540" w:rsidRPr="00E66BF3">
        <w:rPr>
          <w:rFonts w:ascii="Arial" w:eastAsiaTheme="minorEastAsia" w:hAnsi="Arial" w:cs="Arial"/>
          <w:sz w:val="24"/>
          <w:szCs w:val="24"/>
        </w:rPr>
        <w:t xml:space="preserve"> general</w:t>
      </w:r>
      <w:r w:rsidR="00B05540" w:rsidRPr="00E66BF3">
        <w:rPr>
          <w:rFonts w:ascii="Arial" w:hAnsi="Arial" w:cs="Arial"/>
          <w:sz w:val="24"/>
          <w:szCs w:val="24"/>
        </w:rPr>
        <w:t xml:space="preserve"> lack of transparency in quality assessment processes and decision making.</w:t>
      </w:r>
    </w:p>
    <w:p w14:paraId="60ED3E82" w14:textId="6A3A7469" w:rsidR="00B05540" w:rsidRPr="00922452" w:rsidRDefault="00B05540" w:rsidP="00B05540">
      <w:pPr>
        <w:spacing w:before="120" w:after="120" w:line="240" w:lineRule="auto"/>
        <w:rPr>
          <w:rFonts w:ascii="Arial" w:hAnsi="Arial" w:cs="Arial"/>
          <w:sz w:val="24"/>
          <w:szCs w:val="24"/>
        </w:rPr>
      </w:pPr>
      <w:r w:rsidRPr="00E17138">
        <w:rPr>
          <w:rFonts w:ascii="Arial" w:hAnsi="Arial" w:cs="Arial"/>
          <w:sz w:val="24"/>
          <w:szCs w:val="24"/>
        </w:rPr>
        <w:t xml:space="preserve">These issues </w:t>
      </w:r>
      <w:r>
        <w:rPr>
          <w:rFonts w:ascii="Arial" w:hAnsi="Arial" w:cs="Arial"/>
          <w:sz w:val="24"/>
          <w:szCs w:val="24"/>
        </w:rPr>
        <w:t>can have a significant and compounding impact on</w:t>
      </w:r>
      <w:r w:rsidRPr="00E17138">
        <w:rPr>
          <w:rFonts w:ascii="Arial" w:hAnsi="Arial" w:cs="Arial"/>
          <w:sz w:val="24"/>
          <w:szCs w:val="24"/>
        </w:rPr>
        <w:t xml:space="preserve"> </w:t>
      </w:r>
      <w:r>
        <w:rPr>
          <w:rFonts w:ascii="Arial" w:hAnsi="Arial" w:cs="Arial"/>
          <w:sz w:val="24"/>
          <w:szCs w:val="24"/>
        </w:rPr>
        <w:t xml:space="preserve">providers. When the QAMG finds a provider has not met a Quality Standard or other provider responsibility, its decision and supporting information is referred to delegated decision makers in the Commission’s </w:t>
      </w:r>
      <w:r w:rsidR="00520850">
        <w:rPr>
          <w:rFonts w:ascii="Arial" w:hAnsi="Arial" w:cs="Arial"/>
          <w:sz w:val="24"/>
          <w:szCs w:val="24"/>
        </w:rPr>
        <w:t>C</w:t>
      </w:r>
      <w:r>
        <w:rPr>
          <w:rFonts w:ascii="Arial" w:hAnsi="Arial" w:cs="Arial"/>
          <w:sz w:val="24"/>
          <w:szCs w:val="24"/>
        </w:rPr>
        <w:t xml:space="preserve">ompliance group, who must then </w:t>
      </w:r>
      <w:proofErr w:type="gramStart"/>
      <w:r>
        <w:rPr>
          <w:rFonts w:ascii="Arial" w:hAnsi="Arial" w:cs="Arial"/>
          <w:sz w:val="24"/>
          <w:szCs w:val="24"/>
        </w:rPr>
        <w:t>make a decision</w:t>
      </w:r>
      <w:proofErr w:type="gramEnd"/>
      <w:r>
        <w:rPr>
          <w:rFonts w:ascii="Arial" w:hAnsi="Arial" w:cs="Arial"/>
          <w:sz w:val="24"/>
          <w:szCs w:val="24"/>
        </w:rPr>
        <w:t xml:space="preserve"> on compliance. This can ultimately result in a </w:t>
      </w:r>
      <w:r w:rsidR="00033025">
        <w:rPr>
          <w:rFonts w:ascii="Arial" w:hAnsi="Arial" w:cs="Arial"/>
          <w:sz w:val="24"/>
          <w:szCs w:val="24"/>
        </w:rPr>
        <w:t xml:space="preserve">decision to issue a </w:t>
      </w:r>
      <w:r>
        <w:rPr>
          <w:rFonts w:ascii="Arial" w:hAnsi="Arial" w:cs="Arial"/>
          <w:sz w:val="24"/>
          <w:szCs w:val="24"/>
        </w:rPr>
        <w:t xml:space="preserve">notice of non-compliance or sanction against the provider. It is </w:t>
      </w:r>
      <w:r w:rsidRPr="00922452">
        <w:rPr>
          <w:rFonts w:ascii="Arial" w:hAnsi="Arial" w:cs="Arial"/>
          <w:sz w:val="24"/>
          <w:szCs w:val="24"/>
        </w:rPr>
        <w:t xml:space="preserve">therefore critical that all information provided by the QAMG is accurate and relevant. </w:t>
      </w:r>
    </w:p>
    <w:p w14:paraId="0883E3B0" w14:textId="173C7523" w:rsidR="00B05540" w:rsidRPr="00BE0F34" w:rsidRDefault="00B05540" w:rsidP="00B05540">
      <w:pPr>
        <w:spacing w:before="120" w:after="120" w:line="240" w:lineRule="auto"/>
        <w:rPr>
          <w:rFonts w:ascii="Arial" w:hAnsi="Arial" w:cs="Arial"/>
          <w:sz w:val="24"/>
          <w:szCs w:val="24"/>
          <w:shd w:val="clear" w:color="auto" w:fill="FFFFFF"/>
        </w:rPr>
      </w:pPr>
      <w:r w:rsidRPr="00922452">
        <w:rPr>
          <w:rFonts w:ascii="Arial" w:hAnsi="Arial" w:cs="Arial"/>
          <w:sz w:val="24"/>
          <w:szCs w:val="24"/>
        </w:rPr>
        <w:t xml:space="preserve">The Review heard </w:t>
      </w:r>
      <w:r w:rsidRPr="00922452">
        <w:rPr>
          <w:rFonts w:ascii="Arial" w:hAnsi="Arial" w:cs="Arial"/>
          <w:sz w:val="24"/>
          <w:szCs w:val="24"/>
          <w:shd w:val="clear" w:color="auto" w:fill="FFFFFF"/>
        </w:rPr>
        <w:t xml:space="preserve">maintaining an adequate number of capable quality assessors has been an ongoing challenge for the Commission and that </w:t>
      </w:r>
      <w:r>
        <w:rPr>
          <w:rFonts w:ascii="Arial" w:hAnsi="Arial" w:cs="Arial"/>
          <w:sz w:val="24"/>
          <w:szCs w:val="24"/>
          <w:shd w:val="clear" w:color="auto" w:fill="FFFFFF"/>
        </w:rPr>
        <w:t>retaining</w:t>
      </w:r>
      <w:r w:rsidRPr="00922452">
        <w:rPr>
          <w:rFonts w:ascii="Arial" w:hAnsi="Arial" w:cs="Arial"/>
          <w:sz w:val="24"/>
          <w:szCs w:val="24"/>
          <w:shd w:val="clear" w:color="auto" w:fill="FFFFFF"/>
        </w:rPr>
        <w:t xml:space="preserve"> skilled </w:t>
      </w:r>
      <w:r w:rsidRPr="00922452">
        <w:rPr>
          <w:rFonts w:ascii="Arial" w:hAnsi="Arial" w:cs="Arial"/>
          <w:sz w:val="24"/>
          <w:szCs w:val="24"/>
        </w:rPr>
        <w:t>decision makers</w:t>
      </w:r>
      <w:r w:rsidRPr="00922452">
        <w:rPr>
          <w:rFonts w:ascii="Arial" w:hAnsi="Arial" w:cs="Arial"/>
          <w:sz w:val="24"/>
          <w:szCs w:val="24"/>
          <w:shd w:val="clear" w:color="auto" w:fill="FFFFFF"/>
        </w:rPr>
        <w:t xml:space="preserve"> and </w:t>
      </w:r>
      <w:r w:rsidRPr="00922452">
        <w:rPr>
          <w:rFonts w:ascii="Arial" w:hAnsi="Arial" w:cs="Arial"/>
          <w:sz w:val="24"/>
          <w:szCs w:val="24"/>
        </w:rPr>
        <w:t xml:space="preserve">compliance officers </w:t>
      </w:r>
      <w:r w:rsidRPr="00922452">
        <w:rPr>
          <w:rFonts w:ascii="Arial" w:hAnsi="Arial" w:cs="Arial"/>
          <w:sz w:val="24"/>
          <w:szCs w:val="24"/>
          <w:shd w:val="clear" w:color="auto" w:fill="FFFFFF"/>
        </w:rPr>
        <w:t xml:space="preserve">is </w:t>
      </w:r>
      <w:r>
        <w:rPr>
          <w:rFonts w:ascii="Arial" w:hAnsi="Arial" w:cs="Arial"/>
          <w:sz w:val="24"/>
          <w:szCs w:val="24"/>
          <w:shd w:val="clear" w:color="auto" w:fill="FFFFFF"/>
        </w:rPr>
        <w:t>also problematic, creating a loss of</w:t>
      </w:r>
      <w:r w:rsidRPr="00922452">
        <w:rPr>
          <w:rFonts w:ascii="Arial" w:hAnsi="Arial" w:cs="Arial"/>
          <w:sz w:val="24"/>
          <w:szCs w:val="24"/>
        </w:rPr>
        <w:t xml:space="preserve"> </w:t>
      </w:r>
      <w:r>
        <w:rPr>
          <w:rFonts w:ascii="Arial" w:hAnsi="Arial" w:cs="Arial"/>
          <w:sz w:val="24"/>
          <w:szCs w:val="24"/>
        </w:rPr>
        <w:t xml:space="preserve">regulatory </w:t>
      </w:r>
      <w:r w:rsidRPr="00922452">
        <w:rPr>
          <w:rFonts w:ascii="Arial" w:hAnsi="Arial" w:cs="Arial"/>
          <w:sz w:val="24"/>
          <w:szCs w:val="24"/>
        </w:rPr>
        <w:t>consistency and expertis</w:t>
      </w:r>
      <w:r>
        <w:rPr>
          <w:rFonts w:ascii="Arial" w:hAnsi="Arial" w:cs="Arial"/>
          <w:sz w:val="24"/>
          <w:szCs w:val="24"/>
        </w:rPr>
        <w:t>e.</w:t>
      </w:r>
      <w:r w:rsidRPr="00922452">
        <w:rPr>
          <w:rFonts w:ascii="Arial" w:hAnsi="Arial" w:cs="Arial"/>
          <w:sz w:val="24"/>
          <w:szCs w:val="24"/>
          <w:shd w:val="clear" w:color="auto" w:fill="FFFFFF"/>
        </w:rPr>
        <w:t xml:space="preserve"> </w:t>
      </w:r>
      <w:r w:rsidRPr="00922452">
        <w:rPr>
          <w:rFonts w:ascii="Arial" w:hAnsi="Arial" w:cs="Arial"/>
          <w:sz w:val="24"/>
          <w:szCs w:val="24"/>
        </w:rPr>
        <w:t xml:space="preserve">As of 1 December 2022, the Commission had 344 active registered quality assessors, approximately 50 per cent of which are supplied through the </w:t>
      </w:r>
      <w:r>
        <w:rPr>
          <w:rFonts w:ascii="Arial" w:hAnsi="Arial" w:cs="Arial"/>
          <w:sz w:val="24"/>
          <w:szCs w:val="24"/>
        </w:rPr>
        <w:t xml:space="preserve">TPP </w:t>
      </w:r>
      <w:r w:rsidRPr="00922452">
        <w:rPr>
          <w:rFonts w:ascii="Arial" w:hAnsi="Arial" w:cs="Arial"/>
          <w:sz w:val="24"/>
          <w:szCs w:val="24"/>
        </w:rPr>
        <w:t>Program</w:t>
      </w:r>
      <w:r>
        <w:rPr>
          <w:rFonts w:ascii="Arial" w:hAnsi="Arial" w:cs="Arial"/>
          <w:sz w:val="24"/>
          <w:szCs w:val="24"/>
        </w:rPr>
        <w:t xml:space="preserve">. </w:t>
      </w:r>
      <w:r w:rsidR="00033025">
        <w:rPr>
          <w:rFonts w:ascii="Arial" w:hAnsi="Arial" w:cs="Arial"/>
          <w:sz w:val="24"/>
          <w:szCs w:val="24"/>
        </w:rPr>
        <w:t xml:space="preserve">When </w:t>
      </w:r>
      <w:r w:rsidR="00DC36C7">
        <w:rPr>
          <w:rFonts w:ascii="Arial" w:hAnsi="Arial" w:cs="Arial"/>
          <w:sz w:val="24"/>
          <w:szCs w:val="24"/>
        </w:rPr>
        <w:t xml:space="preserve">the </w:t>
      </w:r>
      <w:r w:rsidR="00033025">
        <w:rPr>
          <w:rFonts w:ascii="Arial" w:hAnsi="Arial" w:cs="Arial"/>
          <w:sz w:val="24"/>
          <w:szCs w:val="24"/>
        </w:rPr>
        <w:t>TPP</w:t>
      </w:r>
      <w:r w:rsidR="00DC36C7">
        <w:rPr>
          <w:rFonts w:ascii="Arial" w:hAnsi="Arial" w:cs="Arial"/>
          <w:sz w:val="24"/>
          <w:szCs w:val="24"/>
        </w:rPr>
        <w:t xml:space="preserve"> Program</w:t>
      </w:r>
      <w:r w:rsidR="00033025">
        <w:rPr>
          <w:rFonts w:ascii="Arial" w:hAnsi="Arial" w:cs="Arial"/>
          <w:sz w:val="24"/>
          <w:szCs w:val="24"/>
        </w:rPr>
        <w:t xml:space="preserve"> commenced, 60 per cent of TPP assessors did not seek ongoing registration after 1 year. There has been considerable improvement in retention, with 28 per cent of assessors now not seeking registration beyond a year.</w:t>
      </w:r>
      <w:r w:rsidR="009200C1" w:rsidRPr="00922452">
        <w:rPr>
          <w:vertAlign w:val="superscript"/>
        </w:rPr>
        <w:footnoteReference w:id="78"/>
      </w:r>
      <w:r w:rsidRPr="00922452">
        <w:rPr>
          <w:rFonts w:ascii="Arial" w:hAnsi="Arial" w:cs="Arial"/>
          <w:sz w:val="24"/>
          <w:szCs w:val="24"/>
        </w:rPr>
        <w:t xml:space="preserve"> The vacancy rate in the </w:t>
      </w:r>
      <w:r w:rsidR="00033025">
        <w:rPr>
          <w:rFonts w:ascii="Arial" w:hAnsi="Arial" w:cs="Arial"/>
          <w:sz w:val="24"/>
          <w:szCs w:val="24"/>
        </w:rPr>
        <w:t xml:space="preserve">Approvals, </w:t>
      </w:r>
      <w:r w:rsidR="00520850">
        <w:rPr>
          <w:rFonts w:ascii="Arial" w:hAnsi="Arial" w:cs="Arial"/>
          <w:sz w:val="24"/>
          <w:szCs w:val="24"/>
        </w:rPr>
        <w:t>C</w:t>
      </w:r>
      <w:r w:rsidRPr="00922452">
        <w:rPr>
          <w:rFonts w:ascii="Arial" w:hAnsi="Arial" w:cs="Arial"/>
          <w:sz w:val="24"/>
          <w:szCs w:val="24"/>
        </w:rPr>
        <w:t xml:space="preserve">ompliance </w:t>
      </w:r>
      <w:r w:rsidR="00033025">
        <w:rPr>
          <w:rFonts w:ascii="Arial" w:hAnsi="Arial" w:cs="Arial"/>
          <w:sz w:val="24"/>
          <w:szCs w:val="24"/>
        </w:rPr>
        <w:t>and Investigations G</w:t>
      </w:r>
      <w:r w:rsidRPr="00922452">
        <w:rPr>
          <w:rFonts w:ascii="Arial" w:hAnsi="Arial" w:cs="Arial"/>
          <w:sz w:val="24"/>
          <w:szCs w:val="24"/>
        </w:rPr>
        <w:t xml:space="preserve">roup is </w:t>
      </w:r>
      <w:r w:rsidR="00D73C7D">
        <w:rPr>
          <w:rFonts w:ascii="Arial" w:hAnsi="Arial" w:cs="Arial"/>
          <w:sz w:val="24"/>
          <w:szCs w:val="24"/>
        </w:rPr>
        <w:t>26</w:t>
      </w:r>
      <w:r w:rsidR="00033025">
        <w:rPr>
          <w:rFonts w:ascii="Arial" w:hAnsi="Arial" w:cs="Arial"/>
          <w:sz w:val="24"/>
          <w:szCs w:val="24"/>
        </w:rPr>
        <w:t xml:space="preserve"> </w:t>
      </w:r>
      <w:r w:rsidR="00C30229">
        <w:rPr>
          <w:rFonts w:ascii="Arial" w:hAnsi="Arial" w:cs="Arial"/>
          <w:sz w:val="24"/>
          <w:szCs w:val="24"/>
        </w:rPr>
        <w:t>per cent</w:t>
      </w:r>
      <w:r w:rsidRPr="00922452">
        <w:rPr>
          <w:rFonts w:ascii="Arial" w:hAnsi="Arial" w:cs="Arial"/>
          <w:sz w:val="24"/>
          <w:szCs w:val="24"/>
        </w:rPr>
        <w:t>.</w:t>
      </w:r>
      <w:r w:rsidR="009200C1">
        <w:rPr>
          <w:rStyle w:val="FootnoteReference"/>
          <w:rFonts w:ascii="Arial" w:hAnsi="Arial" w:cs="Arial"/>
          <w:sz w:val="24"/>
          <w:szCs w:val="24"/>
        </w:rPr>
        <w:footnoteReference w:id="79"/>
      </w:r>
    </w:p>
    <w:p w14:paraId="46C27DFA" w14:textId="088453D2" w:rsidR="00B05540" w:rsidRPr="00BB6D82" w:rsidRDefault="00B05540" w:rsidP="00B05540">
      <w:pPr>
        <w:spacing w:before="120" w:after="120" w:line="240" w:lineRule="auto"/>
        <w:rPr>
          <w:rFonts w:ascii="Arial" w:hAnsi="Arial" w:cs="Arial"/>
          <w:color w:val="313131"/>
          <w:sz w:val="24"/>
          <w:szCs w:val="24"/>
        </w:rPr>
      </w:pPr>
      <w:r w:rsidRPr="00E66BF3">
        <w:rPr>
          <w:rFonts w:ascii="Arial" w:hAnsi="Arial" w:cs="Arial"/>
          <w:sz w:val="24"/>
          <w:szCs w:val="24"/>
          <w:shd w:val="clear" w:color="auto" w:fill="FFFFFF"/>
        </w:rPr>
        <w:t xml:space="preserve">The Commission </w:t>
      </w:r>
      <w:r w:rsidR="00520850">
        <w:rPr>
          <w:rFonts w:ascii="Arial" w:hAnsi="Arial" w:cs="Arial"/>
          <w:sz w:val="24"/>
          <w:szCs w:val="24"/>
          <w:shd w:val="clear" w:color="auto" w:fill="FFFFFF"/>
        </w:rPr>
        <w:t>indicated</w:t>
      </w:r>
      <w:r w:rsidR="00520850" w:rsidRPr="00E66BF3">
        <w:rPr>
          <w:rFonts w:ascii="Arial" w:hAnsi="Arial" w:cs="Arial"/>
          <w:color w:val="000000"/>
          <w:sz w:val="24"/>
          <w:szCs w:val="24"/>
          <w:shd w:val="clear" w:color="auto" w:fill="FFFFFF"/>
        </w:rPr>
        <w:t xml:space="preserve"> </w:t>
      </w:r>
      <w:r w:rsidRPr="00E66BF3">
        <w:rPr>
          <w:rFonts w:ascii="Arial" w:hAnsi="Arial" w:cs="Arial"/>
          <w:color w:val="000000"/>
          <w:sz w:val="24"/>
          <w:szCs w:val="24"/>
          <w:shd w:val="clear" w:color="auto" w:fill="FFFFFF"/>
        </w:rPr>
        <w:t xml:space="preserve">it has made </w:t>
      </w:r>
      <w:r>
        <w:rPr>
          <w:rFonts w:ascii="Arial" w:hAnsi="Arial" w:cs="Arial"/>
          <w:color w:val="000000"/>
          <w:sz w:val="24"/>
          <w:szCs w:val="24"/>
          <w:shd w:val="clear" w:color="auto" w:fill="FFFFFF"/>
        </w:rPr>
        <w:t>“</w:t>
      </w:r>
      <w:r w:rsidRPr="00E66BF3">
        <w:rPr>
          <w:rFonts w:ascii="Arial" w:hAnsi="Arial" w:cs="Arial"/>
          <w:i/>
          <w:iCs/>
          <w:sz w:val="24"/>
          <w:szCs w:val="24"/>
          <w:shd w:val="clear" w:color="auto" w:fill="FFFFFF"/>
        </w:rPr>
        <w:t>a significant effort in recent years to implement improvements in the recruitment, training, registration, supervision and performance monitoring processes of the quality assessor workforce”</w:t>
      </w:r>
      <w:r w:rsidR="009200C1" w:rsidRPr="009200C1">
        <w:rPr>
          <w:rFonts w:ascii="Arial" w:hAnsi="Arial" w:cs="Arial"/>
          <w:i/>
          <w:iCs/>
          <w:sz w:val="24"/>
          <w:szCs w:val="24"/>
          <w:shd w:val="clear" w:color="auto" w:fill="FFFFFF"/>
          <w:vertAlign w:val="superscript"/>
        </w:rPr>
        <w:t xml:space="preserve"> </w:t>
      </w:r>
      <w:r w:rsidR="009200C1" w:rsidRPr="00E66BF3">
        <w:rPr>
          <w:rFonts w:ascii="Arial" w:hAnsi="Arial" w:cs="Arial"/>
          <w:i/>
          <w:iCs/>
          <w:sz w:val="24"/>
          <w:szCs w:val="24"/>
          <w:shd w:val="clear" w:color="auto" w:fill="FFFFFF"/>
          <w:vertAlign w:val="superscript"/>
        </w:rPr>
        <w:footnoteReference w:id="80"/>
      </w:r>
      <w:r>
        <w:rPr>
          <w:rFonts w:ascii="Arial" w:hAnsi="Arial" w:cs="Arial"/>
          <w:i/>
          <w:iCs/>
          <w:sz w:val="24"/>
          <w:szCs w:val="24"/>
          <w:shd w:val="clear" w:color="auto" w:fill="FFFFFF"/>
        </w:rPr>
        <w:t xml:space="preserve"> </w:t>
      </w:r>
      <w:r>
        <w:rPr>
          <w:rFonts w:ascii="Arial" w:hAnsi="Arial" w:cs="Arial"/>
          <w:sz w:val="24"/>
          <w:szCs w:val="24"/>
          <w:shd w:val="clear" w:color="auto" w:fill="FFFFFF"/>
        </w:rPr>
        <w:t xml:space="preserve">and </w:t>
      </w:r>
      <w:r w:rsidRPr="00E66BF3">
        <w:rPr>
          <w:rFonts w:ascii="Arial" w:hAnsi="Arial" w:cs="Arial"/>
          <w:sz w:val="24"/>
          <w:szCs w:val="24"/>
          <w:shd w:val="clear" w:color="auto" w:fill="FFFFFF"/>
        </w:rPr>
        <w:t>outlined a range of measures to improve capability</w:t>
      </w:r>
      <w:r w:rsidR="00520850">
        <w:rPr>
          <w:rFonts w:ascii="Arial" w:hAnsi="Arial" w:cs="Arial"/>
          <w:sz w:val="24"/>
          <w:szCs w:val="24"/>
          <w:shd w:val="clear" w:color="auto" w:fill="FFFFFF"/>
        </w:rPr>
        <w:t xml:space="preserve">. This </w:t>
      </w:r>
      <w:r w:rsidRPr="00E66BF3">
        <w:rPr>
          <w:rFonts w:ascii="Arial" w:hAnsi="Arial" w:cs="Arial"/>
          <w:sz w:val="24"/>
          <w:szCs w:val="24"/>
          <w:shd w:val="clear" w:color="auto" w:fill="FFFFFF"/>
        </w:rPr>
        <w:t>includ</w:t>
      </w:r>
      <w:r w:rsidR="00520850">
        <w:rPr>
          <w:rFonts w:ascii="Arial" w:hAnsi="Arial" w:cs="Arial"/>
          <w:sz w:val="24"/>
          <w:szCs w:val="24"/>
          <w:shd w:val="clear" w:color="auto" w:fill="FFFFFF"/>
        </w:rPr>
        <w:t>ed</w:t>
      </w:r>
      <w:r w:rsidRPr="00E66BF3">
        <w:rPr>
          <w:rFonts w:ascii="Arial" w:hAnsi="Arial" w:cs="Arial"/>
          <w:sz w:val="24"/>
          <w:szCs w:val="24"/>
          <w:shd w:val="clear" w:color="auto" w:fill="FFFFFF"/>
        </w:rPr>
        <w:t xml:space="preserve"> establishing a business improvement project in 2022 to explore and map the development journey of quality assessors, with a focus on </w:t>
      </w:r>
      <w:r>
        <w:rPr>
          <w:rFonts w:ascii="Arial" w:hAnsi="Arial" w:cs="Arial"/>
          <w:sz w:val="24"/>
          <w:szCs w:val="24"/>
          <w:shd w:val="clear" w:color="auto" w:fill="FFFFFF"/>
        </w:rPr>
        <w:t>providing</w:t>
      </w:r>
      <w:r w:rsidRPr="00E66BF3">
        <w:rPr>
          <w:rFonts w:ascii="Arial" w:hAnsi="Arial" w:cs="Arial"/>
          <w:sz w:val="24"/>
          <w:szCs w:val="24"/>
          <w:shd w:val="clear" w:color="auto" w:fill="FFFFFF"/>
        </w:rPr>
        <w:t xml:space="preserve"> the right foundational training.</w:t>
      </w:r>
      <w:r>
        <w:rPr>
          <w:rFonts w:ascii="Arial" w:hAnsi="Arial" w:cs="Arial"/>
          <w:sz w:val="24"/>
          <w:szCs w:val="24"/>
          <w:shd w:val="clear" w:color="auto" w:fill="FFFFFF"/>
        </w:rPr>
        <w:t xml:space="preserve"> </w:t>
      </w:r>
      <w:r w:rsidR="00833D08">
        <w:rPr>
          <w:rFonts w:ascii="Arial" w:hAnsi="Arial" w:cs="Arial"/>
          <w:color w:val="000000"/>
          <w:sz w:val="24"/>
          <w:szCs w:val="24"/>
          <w:shd w:val="clear" w:color="auto" w:fill="FFFFFF"/>
        </w:rPr>
        <w:t>I</w:t>
      </w:r>
      <w:r w:rsidRPr="00E66BF3">
        <w:rPr>
          <w:rFonts w:ascii="Arial" w:hAnsi="Arial" w:cs="Arial"/>
          <w:color w:val="000000"/>
          <w:sz w:val="24"/>
          <w:szCs w:val="24"/>
          <w:shd w:val="clear" w:color="auto" w:fill="FFFFFF"/>
        </w:rPr>
        <w:t xml:space="preserve"> understand the Commission is currently implementing recommendations from this project</w:t>
      </w:r>
      <w:r>
        <w:rPr>
          <w:rFonts w:ascii="Arial" w:hAnsi="Arial" w:cs="Arial"/>
          <w:color w:val="000000"/>
          <w:sz w:val="24"/>
          <w:szCs w:val="24"/>
          <w:shd w:val="clear" w:color="auto" w:fill="FFFFFF"/>
        </w:rPr>
        <w:t>.</w:t>
      </w:r>
      <w:r w:rsidRPr="00E66BF3">
        <w:rPr>
          <w:rFonts w:ascii="Arial" w:hAnsi="Arial" w:cs="Arial"/>
          <w:color w:val="000000"/>
          <w:sz w:val="24"/>
          <w:szCs w:val="24"/>
          <w:shd w:val="clear" w:color="auto" w:fill="FFFFFF"/>
        </w:rPr>
        <w:t xml:space="preserve"> </w:t>
      </w:r>
    </w:p>
    <w:p w14:paraId="2E67ABA6" w14:textId="026ED2BE" w:rsidR="00B05540" w:rsidRPr="00E66BF3" w:rsidRDefault="00B05540" w:rsidP="00B05540">
      <w:pPr>
        <w:spacing w:after="120"/>
        <w:rPr>
          <w:rFonts w:ascii="Arial" w:hAnsi="Arial" w:cs="Arial"/>
          <w:sz w:val="24"/>
          <w:szCs w:val="24"/>
          <w:shd w:val="clear" w:color="auto" w:fill="FFFFFF"/>
        </w:rPr>
      </w:pPr>
      <w:r w:rsidRPr="00E66BF3">
        <w:rPr>
          <w:rFonts w:ascii="Arial" w:hAnsi="Arial" w:cs="Arial"/>
          <w:color w:val="000000"/>
          <w:sz w:val="24"/>
          <w:szCs w:val="24"/>
          <w:shd w:val="clear" w:color="auto" w:fill="FFFFFF"/>
        </w:rPr>
        <w:t xml:space="preserve">The Commission also advised it has started a Quality Assessor Retention Project to support staff to stay in the role and is developing a Quality Assurance Framework to ensure that the QAMG’s activities and decisions </w:t>
      </w:r>
      <w:r w:rsidRPr="00E66BF3">
        <w:rPr>
          <w:rFonts w:ascii="Arial" w:hAnsi="Arial" w:cs="Arial"/>
          <w:sz w:val="24"/>
          <w:szCs w:val="24"/>
          <w:shd w:val="clear" w:color="auto" w:fill="FFFFFF"/>
        </w:rPr>
        <w:t>“</w:t>
      </w:r>
      <w:r w:rsidRPr="00E66BF3">
        <w:rPr>
          <w:rFonts w:ascii="Arial" w:hAnsi="Arial" w:cs="Arial"/>
          <w:i/>
          <w:iCs/>
          <w:sz w:val="24"/>
          <w:szCs w:val="24"/>
          <w:shd w:val="clear" w:color="auto" w:fill="FFFFFF"/>
        </w:rPr>
        <w:t>comply with the Commission’s quality assurance approach and applicable legal and regulatory requirements; and are consistently consumer-centric, risk-based, responsive and intelligence-led</w:t>
      </w:r>
      <w:r w:rsidRPr="00E66BF3">
        <w:rPr>
          <w:rFonts w:ascii="Arial" w:hAnsi="Arial" w:cs="Arial"/>
          <w:sz w:val="24"/>
          <w:szCs w:val="24"/>
          <w:shd w:val="clear" w:color="auto" w:fill="FFFFFF"/>
        </w:rPr>
        <w:t>.”</w:t>
      </w:r>
      <w:r w:rsidR="009200C1" w:rsidRPr="009200C1">
        <w:rPr>
          <w:rFonts w:ascii="Arial" w:hAnsi="Arial" w:cs="Arial"/>
          <w:sz w:val="24"/>
          <w:szCs w:val="24"/>
          <w:shd w:val="clear" w:color="auto" w:fill="FFFFFF"/>
          <w:vertAlign w:val="superscript"/>
        </w:rPr>
        <w:t xml:space="preserve"> </w:t>
      </w:r>
      <w:r w:rsidR="009200C1" w:rsidRPr="00E66BF3">
        <w:rPr>
          <w:rFonts w:ascii="Arial" w:hAnsi="Arial" w:cs="Arial"/>
          <w:sz w:val="24"/>
          <w:szCs w:val="24"/>
          <w:shd w:val="clear" w:color="auto" w:fill="FFFFFF"/>
          <w:vertAlign w:val="superscript"/>
        </w:rPr>
        <w:footnoteReference w:id="81"/>
      </w:r>
      <w:r w:rsidRPr="00E66BF3">
        <w:rPr>
          <w:rFonts w:ascii="Arial" w:hAnsi="Arial" w:cs="Arial"/>
          <w:sz w:val="24"/>
          <w:szCs w:val="24"/>
          <w:shd w:val="clear" w:color="auto" w:fill="FFFFFF"/>
        </w:rPr>
        <w:t xml:space="preserve"> </w:t>
      </w:r>
    </w:p>
    <w:p w14:paraId="1DFEBE03" w14:textId="40B90889" w:rsidR="00B05540" w:rsidRDefault="00B05540" w:rsidP="00B05540">
      <w:pPr>
        <w:spacing w:before="120" w:after="120" w:line="240" w:lineRule="auto"/>
        <w:rPr>
          <w:rFonts w:ascii="Arial" w:hAnsi="Arial" w:cs="Arial"/>
          <w:sz w:val="24"/>
          <w:szCs w:val="24"/>
        </w:rPr>
      </w:pPr>
      <w:r w:rsidRPr="00BD70A6">
        <w:rPr>
          <w:rFonts w:ascii="Arial" w:eastAsiaTheme="minorEastAsia" w:hAnsi="Arial" w:cs="Arial"/>
          <w:sz w:val="24"/>
          <w:szCs w:val="24"/>
        </w:rPr>
        <w:t>While it is clear the Commission has placed significant focus on recruiting and training assessment staff, continued staff turnover and relatively high use of contracted assessors (primarily through the TPP program) indicates more needs to be done to retain and support permanent assessment staff. Similarly, it</w:t>
      </w:r>
      <w:r w:rsidRPr="00BD70A6">
        <w:rPr>
          <w:rFonts w:ascii="Arial" w:hAnsi="Arial" w:cs="Arial"/>
          <w:sz w:val="24"/>
          <w:szCs w:val="24"/>
        </w:rPr>
        <w:t xml:space="preserve"> is critical that poor retention rates in </w:t>
      </w:r>
      <w:r w:rsidR="00AD6008">
        <w:rPr>
          <w:rFonts w:ascii="Arial" w:hAnsi="Arial" w:cs="Arial"/>
          <w:sz w:val="24"/>
          <w:szCs w:val="24"/>
        </w:rPr>
        <w:t>other areas (such as the existing</w:t>
      </w:r>
      <w:r w:rsidRPr="00BD70A6">
        <w:rPr>
          <w:rFonts w:ascii="Arial" w:hAnsi="Arial" w:cs="Arial"/>
          <w:sz w:val="24"/>
          <w:szCs w:val="24"/>
        </w:rPr>
        <w:t xml:space="preserve"> </w:t>
      </w:r>
      <w:r w:rsidR="00520850">
        <w:rPr>
          <w:rFonts w:ascii="Arial" w:hAnsi="Arial" w:cs="Arial"/>
          <w:sz w:val="24"/>
          <w:szCs w:val="24"/>
        </w:rPr>
        <w:t>C</w:t>
      </w:r>
      <w:r w:rsidRPr="00BD70A6">
        <w:rPr>
          <w:rFonts w:ascii="Arial" w:hAnsi="Arial" w:cs="Arial"/>
          <w:sz w:val="24"/>
          <w:szCs w:val="24"/>
        </w:rPr>
        <w:t>ompliance group</w:t>
      </w:r>
      <w:r w:rsidR="00AD6008">
        <w:rPr>
          <w:rFonts w:ascii="Arial" w:hAnsi="Arial" w:cs="Arial"/>
          <w:sz w:val="24"/>
          <w:szCs w:val="24"/>
        </w:rPr>
        <w:t>)</w:t>
      </w:r>
      <w:r w:rsidRPr="00BD70A6">
        <w:rPr>
          <w:rFonts w:ascii="Arial" w:hAnsi="Arial" w:cs="Arial"/>
          <w:sz w:val="24"/>
          <w:szCs w:val="24"/>
        </w:rPr>
        <w:t xml:space="preserve"> are understood and addressed to ensure delegated decision makers are experienced and supported in their work. </w:t>
      </w:r>
    </w:p>
    <w:p w14:paraId="50CC4DFC" w14:textId="5790608D" w:rsidR="00B05540" w:rsidRDefault="00B05540" w:rsidP="00D73C7D">
      <w:pPr>
        <w:keepLines/>
        <w:rPr>
          <w:rFonts w:ascii="Arial" w:hAnsi="Arial" w:cs="Arial"/>
          <w:color w:val="000000"/>
          <w:sz w:val="24"/>
          <w:szCs w:val="24"/>
          <w:shd w:val="clear" w:color="auto" w:fill="FFFFFF"/>
        </w:rPr>
      </w:pPr>
      <w:r w:rsidRPr="00DE7B88">
        <w:rPr>
          <w:rFonts w:ascii="Arial" w:eastAsiaTheme="minorEastAsia" w:hAnsi="Arial" w:cs="Arial"/>
          <w:sz w:val="24"/>
          <w:szCs w:val="24"/>
        </w:rPr>
        <w:lastRenderedPageBreak/>
        <w:t xml:space="preserve">Quality assurance issues across the Commission’s regulatory functions also require urgent attention. While the Commission’s 2022-23 Operational Plan refers to adopting </w:t>
      </w:r>
      <w:r>
        <w:rPr>
          <w:rFonts w:ascii="Arial" w:eastAsiaTheme="minorEastAsia" w:hAnsi="Arial" w:cs="Arial"/>
          <w:sz w:val="24"/>
          <w:szCs w:val="24"/>
        </w:rPr>
        <w:t xml:space="preserve">a </w:t>
      </w:r>
      <w:r w:rsidRPr="00DE7B88">
        <w:rPr>
          <w:rFonts w:ascii="Arial" w:eastAsiaTheme="minorEastAsia" w:hAnsi="Arial" w:cs="Arial"/>
          <w:sz w:val="24"/>
          <w:szCs w:val="24"/>
        </w:rPr>
        <w:t>whole of Commission Quality Assurance Framework</w:t>
      </w:r>
      <w:r>
        <w:rPr>
          <w:rFonts w:ascii="Arial" w:eastAsiaTheme="minorEastAsia" w:hAnsi="Arial" w:cs="Arial"/>
          <w:sz w:val="24"/>
          <w:szCs w:val="24"/>
        </w:rPr>
        <w:t xml:space="preserve"> by June 2023,</w:t>
      </w:r>
      <w:r w:rsidRPr="00DE7B88">
        <w:rPr>
          <w:rFonts w:ascii="Arial" w:eastAsiaTheme="minorEastAsia" w:hAnsi="Arial" w:cs="Arial"/>
          <w:sz w:val="24"/>
          <w:szCs w:val="24"/>
        </w:rPr>
        <w:t xml:space="preserve"> t</w:t>
      </w:r>
      <w:r w:rsidRPr="00DE7B88">
        <w:rPr>
          <w:rFonts w:ascii="Arial" w:hAnsi="Arial" w:cs="Arial"/>
          <w:color w:val="000000"/>
          <w:sz w:val="24"/>
          <w:szCs w:val="24"/>
          <w:shd w:val="clear" w:color="auto" w:fill="FFFFFF"/>
        </w:rPr>
        <w:t xml:space="preserve">his </w:t>
      </w:r>
      <w:r>
        <w:rPr>
          <w:rFonts w:ascii="Arial" w:hAnsi="Arial" w:cs="Arial"/>
          <w:color w:val="000000"/>
          <w:sz w:val="24"/>
          <w:szCs w:val="24"/>
          <w:shd w:val="clear" w:color="auto" w:fill="FFFFFF"/>
        </w:rPr>
        <w:t xml:space="preserve">framework </w:t>
      </w:r>
      <w:r w:rsidRPr="00DE7B88">
        <w:rPr>
          <w:rFonts w:ascii="Arial" w:hAnsi="Arial" w:cs="Arial"/>
          <w:color w:val="000000"/>
          <w:sz w:val="24"/>
          <w:szCs w:val="24"/>
          <w:shd w:val="clear" w:color="auto" w:fill="FFFFFF"/>
        </w:rPr>
        <w:t xml:space="preserve">is not yet in place and </w:t>
      </w:r>
      <w:r>
        <w:rPr>
          <w:rFonts w:ascii="Arial" w:hAnsi="Arial" w:cs="Arial"/>
          <w:color w:val="000000"/>
          <w:sz w:val="24"/>
          <w:szCs w:val="24"/>
          <w:shd w:val="clear" w:color="auto" w:fill="FFFFFF"/>
        </w:rPr>
        <w:t>only</w:t>
      </w:r>
      <w:r w:rsidRPr="00DE7B88">
        <w:rPr>
          <w:rFonts w:ascii="Arial" w:hAnsi="Arial" w:cs="Arial"/>
          <w:color w:val="000000"/>
          <w:sz w:val="24"/>
          <w:szCs w:val="24"/>
          <w:shd w:val="clear" w:color="auto" w:fill="FFFFFF"/>
        </w:rPr>
        <w:t xml:space="preserve"> the </w:t>
      </w:r>
      <w:r w:rsidR="001D1BE2">
        <w:rPr>
          <w:rFonts w:ascii="Arial" w:hAnsi="Arial" w:cs="Arial"/>
          <w:color w:val="000000"/>
          <w:sz w:val="24"/>
          <w:szCs w:val="24"/>
          <w:shd w:val="clear" w:color="auto" w:fill="FFFFFF"/>
        </w:rPr>
        <w:t>QAMG</w:t>
      </w:r>
      <w:r>
        <w:rPr>
          <w:rFonts w:ascii="Arial" w:hAnsi="Arial" w:cs="Arial"/>
          <w:color w:val="000000"/>
          <w:sz w:val="24"/>
          <w:szCs w:val="24"/>
          <w:shd w:val="clear" w:color="auto" w:fill="FFFFFF"/>
        </w:rPr>
        <w:t xml:space="preserve"> has identified quality assurance a</w:t>
      </w:r>
      <w:r w:rsidRPr="00DE7B88">
        <w:rPr>
          <w:rFonts w:ascii="Arial" w:hAnsi="Arial" w:cs="Arial"/>
          <w:color w:val="000000"/>
          <w:sz w:val="24"/>
          <w:szCs w:val="24"/>
          <w:shd w:val="clear" w:color="auto" w:fill="FFFFFF"/>
        </w:rPr>
        <w:t>s a priority.</w:t>
      </w:r>
      <w:r w:rsidR="009200C1">
        <w:rPr>
          <w:rStyle w:val="FootnoteReference"/>
          <w:rFonts w:ascii="Arial" w:hAnsi="Arial" w:cs="Arial"/>
          <w:color w:val="000000"/>
          <w:sz w:val="24"/>
          <w:szCs w:val="24"/>
          <w:shd w:val="clear" w:color="auto" w:fill="FFFFFF"/>
        </w:rPr>
        <w:footnoteReference w:id="82"/>
      </w:r>
    </w:p>
    <w:p w14:paraId="4AD95059" w14:textId="77777777" w:rsidR="00520850" w:rsidRPr="00232621" w:rsidRDefault="00520850" w:rsidP="00520850">
      <w:pPr>
        <w:spacing w:before="120" w:after="120" w:line="240" w:lineRule="auto"/>
        <w:rPr>
          <w:rFonts w:ascii="Arial" w:hAnsi="Arial" w:cs="Arial"/>
          <w:i/>
          <w:iCs/>
          <w:color w:val="000000"/>
          <w:sz w:val="24"/>
          <w:szCs w:val="24"/>
          <w:shd w:val="clear" w:color="auto" w:fill="FFFFFF"/>
        </w:rPr>
      </w:pPr>
      <w:r w:rsidRPr="00232621">
        <w:rPr>
          <w:rFonts w:ascii="Arial" w:hAnsi="Arial" w:cs="Arial"/>
          <w:i/>
          <w:iCs/>
          <w:color w:val="000000"/>
          <w:sz w:val="24"/>
          <w:szCs w:val="24"/>
          <w:shd w:val="clear" w:color="auto" w:fill="FFFFFF"/>
        </w:rPr>
        <w:t xml:space="preserve">Third Party Provider </w:t>
      </w:r>
      <w:r>
        <w:rPr>
          <w:rFonts w:ascii="Arial" w:hAnsi="Arial" w:cs="Arial"/>
          <w:i/>
          <w:iCs/>
          <w:color w:val="000000"/>
          <w:sz w:val="24"/>
          <w:szCs w:val="24"/>
          <w:shd w:val="clear" w:color="auto" w:fill="FFFFFF"/>
        </w:rPr>
        <w:t xml:space="preserve">(TPP) </w:t>
      </w:r>
      <w:r w:rsidRPr="00232621">
        <w:rPr>
          <w:rFonts w:ascii="Arial" w:hAnsi="Arial" w:cs="Arial"/>
          <w:i/>
          <w:iCs/>
          <w:color w:val="000000"/>
          <w:sz w:val="24"/>
          <w:szCs w:val="24"/>
          <w:shd w:val="clear" w:color="auto" w:fill="FFFFFF"/>
        </w:rPr>
        <w:t xml:space="preserve">Program </w:t>
      </w:r>
    </w:p>
    <w:p w14:paraId="0DEC451F" w14:textId="77777777" w:rsidR="00520850" w:rsidRPr="00E66BF3" w:rsidRDefault="00520850" w:rsidP="00520850">
      <w:pPr>
        <w:spacing w:before="120" w:after="120" w:line="240" w:lineRule="auto"/>
        <w:rPr>
          <w:rFonts w:ascii="Arial" w:eastAsia="Times New Roman" w:hAnsi="Arial" w:cs="Arial"/>
          <w:color w:val="000000" w:themeColor="text1"/>
          <w:sz w:val="24"/>
        </w:rPr>
      </w:pPr>
      <w:r w:rsidRPr="00E66BF3">
        <w:rPr>
          <w:rFonts w:ascii="Arial" w:eastAsia="Times New Roman" w:hAnsi="Arial" w:cs="Arial"/>
          <w:color w:val="000000" w:themeColor="text1"/>
          <w:sz w:val="24"/>
        </w:rPr>
        <w:t xml:space="preserve">In 2021 the Commission appointed four organisations, under separate Deeds of Standing Offer, to deliver site audits under </w:t>
      </w:r>
      <w:r>
        <w:rPr>
          <w:rFonts w:ascii="Arial" w:eastAsia="Times New Roman" w:hAnsi="Arial" w:cs="Arial"/>
          <w:color w:val="000000" w:themeColor="text1"/>
          <w:sz w:val="24"/>
        </w:rPr>
        <w:t xml:space="preserve">the TPP Program. The program was described as </w:t>
      </w:r>
      <w:r w:rsidRPr="00E66BF3">
        <w:rPr>
          <w:rFonts w:ascii="Arial" w:eastAsia="Times New Roman" w:hAnsi="Arial" w:cs="Arial"/>
          <w:color w:val="000000" w:themeColor="text1"/>
          <w:sz w:val="24"/>
        </w:rPr>
        <w:t xml:space="preserve">one of </w:t>
      </w:r>
      <w:proofErr w:type="gramStart"/>
      <w:r w:rsidRPr="00E66BF3">
        <w:rPr>
          <w:rFonts w:ascii="Arial" w:eastAsia="Times New Roman" w:hAnsi="Arial" w:cs="Arial"/>
          <w:color w:val="000000" w:themeColor="text1"/>
          <w:sz w:val="24"/>
        </w:rPr>
        <w:t>a number of</w:t>
      </w:r>
      <w:proofErr w:type="gramEnd"/>
      <w:r w:rsidRPr="00E66BF3">
        <w:rPr>
          <w:rFonts w:ascii="Arial" w:eastAsia="Times New Roman" w:hAnsi="Arial" w:cs="Arial"/>
          <w:color w:val="000000" w:themeColor="text1"/>
          <w:sz w:val="24"/>
        </w:rPr>
        <w:t xml:space="preserve"> ‘treatment strategies</w:t>
      </w:r>
      <w:r>
        <w:rPr>
          <w:rFonts w:ascii="Arial" w:eastAsia="Times New Roman" w:hAnsi="Arial" w:cs="Arial"/>
          <w:color w:val="000000" w:themeColor="text1"/>
          <w:sz w:val="24"/>
        </w:rPr>
        <w:t>’</w:t>
      </w:r>
      <w:r w:rsidRPr="00E66BF3">
        <w:rPr>
          <w:rFonts w:ascii="Arial" w:eastAsia="Times New Roman" w:hAnsi="Arial" w:cs="Arial"/>
          <w:color w:val="000000" w:themeColor="text1"/>
          <w:sz w:val="24"/>
        </w:rPr>
        <w:t xml:space="preserve"> employed by the Commission to address a ‘backlog’ of site audits under the </w:t>
      </w:r>
      <w:r>
        <w:rPr>
          <w:rFonts w:ascii="Arial" w:eastAsia="Times New Roman" w:hAnsi="Arial" w:cs="Arial"/>
          <w:color w:val="000000" w:themeColor="text1"/>
          <w:sz w:val="24"/>
        </w:rPr>
        <w:t>re-</w:t>
      </w:r>
      <w:r w:rsidRPr="00E66BF3">
        <w:rPr>
          <w:rFonts w:ascii="Arial" w:eastAsia="Times New Roman" w:hAnsi="Arial" w:cs="Arial"/>
          <w:color w:val="000000" w:themeColor="text1"/>
          <w:sz w:val="24"/>
        </w:rPr>
        <w:t>accreditation program. This backlog was attributed to a combination of factors, including:</w:t>
      </w:r>
    </w:p>
    <w:p w14:paraId="3C24611F" w14:textId="58D4E314" w:rsidR="00520850" w:rsidRPr="007E2EAC" w:rsidRDefault="00520850" w:rsidP="00520850">
      <w:pPr>
        <w:numPr>
          <w:ilvl w:val="0"/>
          <w:numId w:val="44"/>
        </w:numPr>
        <w:spacing w:before="120" w:after="120" w:line="240" w:lineRule="auto"/>
        <w:ind w:left="357" w:hanging="357"/>
        <w:rPr>
          <w:rFonts w:ascii="Arial" w:eastAsia="Times New Roman" w:hAnsi="Arial" w:cs="Arial"/>
          <w:color w:val="000000" w:themeColor="text1"/>
          <w:sz w:val="24"/>
        </w:rPr>
      </w:pPr>
      <w:r>
        <w:rPr>
          <w:rFonts w:ascii="Arial" w:eastAsia="Times New Roman" w:hAnsi="Arial" w:cs="Arial"/>
          <w:color w:val="000000" w:themeColor="text1"/>
          <w:sz w:val="24"/>
        </w:rPr>
        <w:t>h</w:t>
      </w:r>
      <w:r w:rsidRPr="007E2EAC">
        <w:rPr>
          <w:rFonts w:ascii="Arial" w:eastAsia="Times New Roman" w:hAnsi="Arial" w:cs="Arial"/>
          <w:color w:val="000000" w:themeColor="text1"/>
          <w:sz w:val="24"/>
        </w:rPr>
        <w:t>igher rates of non-compliance with</w:t>
      </w:r>
      <w:r>
        <w:rPr>
          <w:rFonts w:ascii="Arial" w:eastAsia="Times New Roman" w:hAnsi="Arial" w:cs="Arial"/>
          <w:color w:val="000000" w:themeColor="text1"/>
          <w:sz w:val="24"/>
        </w:rPr>
        <w:t xml:space="preserve"> the</w:t>
      </w:r>
      <w:r w:rsidRPr="007E2EAC">
        <w:rPr>
          <w:rFonts w:ascii="Arial" w:eastAsia="Times New Roman" w:hAnsi="Arial" w:cs="Arial"/>
          <w:color w:val="000000" w:themeColor="text1"/>
          <w:sz w:val="24"/>
        </w:rPr>
        <w:t xml:space="preserve"> new Quality Standards introduced in 2019</w:t>
      </w:r>
      <w:r>
        <w:rPr>
          <w:rFonts w:ascii="Arial" w:eastAsia="Times New Roman" w:hAnsi="Arial" w:cs="Arial"/>
          <w:color w:val="000000" w:themeColor="text1"/>
          <w:sz w:val="24"/>
        </w:rPr>
        <w:t xml:space="preserve"> when p</w:t>
      </w:r>
      <w:r w:rsidRPr="007E2EAC">
        <w:rPr>
          <w:rFonts w:ascii="Arial" w:eastAsia="Times New Roman" w:hAnsi="Arial" w:cs="Arial"/>
          <w:color w:val="000000" w:themeColor="text1"/>
          <w:sz w:val="24"/>
        </w:rPr>
        <w:t>roviders moved to consumer-centric standards with a larger number of requirements, resulting in shorter periods of accreditation that were generally two years or less</w:t>
      </w:r>
      <w:r w:rsidR="009200C1" w:rsidRPr="007E2EAC">
        <w:rPr>
          <w:rStyle w:val="FootnoteReference"/>
          <w:rFonts w:ascii="Arial" w:eastAsia="Times New Roman" w:hAnsi="Arial" w:cs="Arial"/>
          <w:color w:val="000000" w:themeColor="text1"/>
          <w:sz w:val="24"/>
        </w:rPr>
        <w:footnoteReference w:id="83"/>
      </w:r>
    </w:p>
    <w:p w14:paraId="5AAEB834" w14:textId="77777777" w:rsidR="00520850" w:rsidRPr="00E66BF3" w:rsidRDefault="00520850" w:rsidP="00520850">
      <w:pPr>
        <w:numPr>
          <w:ilvl w:val="0"/>
          <w:numId w:val="44"/>
        </w:numPr>
        <w:spacing w:before="120" w:after="120" w:line="240" w:lineRule="auto"/>
        <w:ind w:left="357" w:hanging="357"/>
        <w:rPr>
          <w:rFonts w:ascii="Arial" w:eastAsia="Times New Roman" w:hAnsi="Arial" w:cs="Arial"/>
          <w:color w:val="000000" w:themeColor="text1"/>
          <w:sz w:val="24"/>
        </w:rPr>
      </w:pPr>
      <w:r>
        <w:rPr>
          <w:rFonts w:ascii="Arial" w:eastAsia="Times New Roman" w:hAnsi="Arial" w:cs="Arial"/>
          <w:color w:val="000000" w:themeColor="text1"/>
          <w:sz w:val="24"/>
        </w:rPr>
        <w:t>w</w:t>
      </w:r>
      <w:r w:rsidRPr="00E66BF3">
        <w:rPr>
          <w:rFonts w:ascii="Arial" w:eastAsia="Times New Roman" w:hAnsi="Arial" w:cs="Arial"/>
          <w:color w:val="000000" w:themeColor="text1"/>
          <w:sz w:val="24"/>
        </w:rPr>
        <w:t>orkforce shortages, particularly in relation to quality assessors</w:t>
      </w:r>
      <w:r>
        <w:rPr>
          <w:rFonts w:ascii="Arial" w:eastAsia="Times New Roman" w:hAnsi="Arial" w:cs="Arial"/>
          <w:color w:val="000000" w:themeColor="text1"/>
          <w:sz w:val="24"/>
        </w:rPr>
        <w:t>, and</w:t>
      </w:r>
    </w:p>
    <w:p w14:paraId="7BDD89D7" w14:textId="77777777" w:rsidR="00520850" w:rsidRPr="00E66BF3" w:rsidRDefault="00520850" w:rsidP="00520850">
      <w:pPr>
        <w:numPr>
          <w:ilvl w:val="0"/>
          <w:numId w:val="44"/>
        </w:numPr>
        <w:spacing w:before="120" w:after="120" w:line="240" w:lineRule="auto"/>
        <w:ind w:left="357" w:hanging="357"/>
        <w:rPr>
          <w:rFonts w:ascii="Arial" w:eastAsia="Times New Roman" w:hAnsi="Arial" w:cs="Arial"/>
          <w:color w:val="000000" w:themeColor="text1"/>
          <w:sz w:val="24"/>
        </w:rPr>
      </w:pPr>
      <w:r>
        <w:rPr>
          <w:rFonts w:ascii="Arial" w:eastAsia="Times New Roman" w:hAnsi="Arial" w:cs="Arial"/>
          <w:color w:val="000000" w:themeColor="text1"/>
          <w:sz w:val="24"/>
        </w:rPr>
        <w:t>a</w:t>
      </w:r>
      <w:r w:rsidRPr="00E66BF3">
        <w:rPr>
          <w:rFonts w:ascii="Arial" w:eastAsia="Times New Roman" w:hAnsi="Arial" w:cs="Arial"/>
          <w:color w:val="000000" w:themeColor="text1"/>
          <w:sz w:val="24"/>
        </w:rPr>
        <w:t xml:space="preserve">dditional regulatory activities to address COVID-19 pandemic risks. </w:t>
      </w:r>
    </w:p>
    <w:p w14:paraId="7CFDECF8" w14:textId="691DCE62" w:rsidR="00520850" w:rsidRDefault="00520850" w:rsidP="00520850">
      <w:pPr>
        <w:spacing w:before="120" w:after="120" w:line="240" w:lineRule="auto"/>
        <w:rPr>
          <w:rFonts w:ascii="Arial" w:eastAsia="Times New Roman" w:hAnsi="Arial" w:cs="Arial"/>
          <w:color w:val="000000" w:themeColor="text1"/>
          <w:sz w:val="24"/>
        </w:rPr>
      </w:pPr>
      <w:r w:rsidRPr="00E66BF3">
        <w:rPr>
          <w:rFonts w:ascii="Arial" w:eastAsia="Times New Roman" w:hAnsi="Arial" w:cs="Arial"/>
          <w:color w:val="000000" w:themeColor="text1"/>
          <w:sz w:val="24"/>
        </w:rPr>
        <w:t xml:space="preserve">The Commission sought and received significant funding to deliver this program in 2021-22 and 2022-23. </w:t>
      </w:r>
      <w:r>
        <w:rPr>
          <w:rFonts w:ascii="Arial" w:eastAsia="Times New Roman" w:hAnsi="Arial" w:cs="Arial"/>
          <w:color w:val="000000" w:themeColor="text1"/>
          <w:sz w:val="24"/>
        </w:rPr>
        <w:t>I</w:t>
      </w:r>
      <w:r w:rsidRPr="00E66BF3">
        <w:rPr>
          <w:rFonts w:ascii="Arial" w:eastAsia="Times New Roman" w:hAnsi="Arial" w:cs="Arial"/>
          <w:color w:val="000000" w:themeColor="text1"/>
          <w:sz w:val="24"/>
        </w:rPr>
        <w:t xml:space="preserve"> understand additional funding is being sought to extend the program </w:t>
      </w:r>
      <w:r w:rsidR="008D1329">
        <w:rPr>
          <w:rFonts w:ascii="Arial" w:eastAsia="Times New Roman" w:hAnsi="Arial" w:cs="Arial"/>
          <w:color w:val="000000" w:themeColor="text1"/>
          <w:sz w:val="24"/>
        </w:rPr>
        <w:t>in 2023-24</w:t>
      </w:r>
      <w:r>
        <w:rPr>
          <w:rFonts w:ascii="Arial" w:eastAsia="Times New Roman" w:hAnsi="Arial" w:cs="Arial"/>
          <w:color w:val="000000" w:themeColor="text1"/>
          <w:sz w:val="24"/>
        </w:rPr>
        <w:t>.</w:t>
      </w:r>
      <w:r w:rsidRPr="00E66BF3">
        <w:rPr>
          <w:rFonts w:ascii="Arial" w:eastAsia="Times New Roman" w:hAnsi="Arial" w:cs="Arial"/>
          <w:color w:val="000000" w:themeColor="text1"/>
          <w:sz w:val="24"/>
        </w:rPr>
        <w:t xml:space="preserve"> </w:t>
      </w:r>
    </w:p>
    <w:p w14:paraId="3478EDA4" w14:textId="3783867B" w:rsidR="00520850" w:rsidRDefault="00520850" w:rsidP="00520850">
      <w:pPr>
        <w:spacing w:after="120"/>
        <w:rPr>
          <w:rFonts w:ascii="Arial" w:hAnsi="Arial" w:cs="Arial"/>
          <w:sz w:val="24"/>
          <w:szCs w:val="24"/>
          <w:shd w:val="clear" w:color="auto" w:fill="FFFFFF"/>
        </w:rPr>
      </w:pPr>
      <w:r>
        <w:rPr>
          <w:rFonts w:ascii="Arial" w:hAnsi="Arial" w:cs="Arial"/>
          <w:color w:val="000000"/>
          <w:sz w:val="24"/>
          <w:szCs w:val="24"/>
          <w:shd w:val="clear" w:color="auto" w:fill="FFFFFF"/>
        </w:rPr>
        <w:t xml:space="preserve">I note </w:t>
      </w:r>
      <w:r w:rsidRPr="00E66BF3">
        <w:rPr>
          <w:rFonts w:ascii="Arial" w:hAnsi="Arial" w:cs="Arial"/>
          <w:color w:val="000000"/>
          <w:sz w:val="24"/>
          <w:szCs w:val="24"/>
          <w:shd w:val="clear" w:color="auto" w:fill="FFFFFF"/>
        </w:rPr>
        <w:t xml:space="preserve">the Commission has a dedicated quality assurance team </w:t>
      </w:r>
      <w:r w:rsidRPr="00E66BF3">
        <w:rPr>
          <w:rFonts w:ascii="Arial" w:hAnsi="Arial" w:cs="Arial"/>
          <w:i/>
          <w:iCs/>
          <w:sz w:val="24"/>
          <w:szCs w:val="24"/>
          <w:shd w:val="clear" w:color="auto" w:fill="FFFFFF"/>
        </w:rPr>
        <w:t>“to drive the performance of Third</w:t>
      </w:r>
      <w:r>
        <w:rPr>
          <w:rFonts w:ascii="Arial" w:hAnsi="Arial" w:cs="Arial"/>
          <w:i/>
          <w:iCs/>
          <w:sz w:val="24"/>
          <w:szCs w:val="24"/>
          <w:shd w:val="clear" w:color="auto" w:fill="FFFFFF"/>
        </w:rPr>
        <w:t>-</w:t>
      </w:r>
      <w:r w:rsidRPr="00E66BF3">
        <w:rPr>
          <w:rFonts w:ascii="Arial" w:hAnsi="Arial" w:cs="Arial"/>
          <w:i/>
          <w:iCs/>
          <w:sz w:val="24"/>
          <w:szCs w:val="24"/>
          <w:shd w:val="clear" w:color="auto" w:fill="FFFFFF"/>
        </w:rPr>
        <w:t>Party Provider contractors”</w:t>
      </w:r>
      <w:r w:rsidRPr="00E66BF3">
        <w:rPr>
          <w:rFonts w:ascii="Arial" w:hAnsi="Arial" w:cs="Arial"/>
          <w:sz w:val="24"/>
          <w:szCs w:val="24"/>
          <w:shd w:val="clear" w:color="auto" w:fill="FFFFFF"/>
        </w:rPr>
        <w:t xml:space="preserve"> </w:t>
      </w:r>
      <w:r>
        <w:rPr>
          <w:rFonts w:ascii="Arial" w:hAnsi="Arial" w:cs="Arial"/>
          <w:sz w:val="24"/>
          <w:szCs w:val="24"/>
          <w:shd w:val="clear" w:color="auto" w:fill="FFFFFF"/>
        </w:rPr>
        <w:t xml:space="preserve">and </w:t>
      </w:r>
      <w:r w:rsidRPr="00E66BF3">
        <w:rPr>
          <w:rFonts w:ascii="Arial" w:hAnsi="Arial" w:cs="Arial"/>
          <w:sz w:val="24"/>
          <w:szCs w:val="24"/>
          <w:shd w:val="clear" w:color="auto" w:fill="FFFFFF"/>
        </w:rPr>
        <w:t>understand these arrangements were introduced because several suppliers</w:t>
      </w:r>
      <w:r>
        <w:rPr>
          <w:rFonts w:ascii="Arial" w:hAnsi="Arial" w:cs="Arial"/>
          <w:sz w:val="24"/>
          <w:szCs w:val="24"/>
          <w:shd w:val="clear" w:color="auto" w:fill="FFFFFF"/>
        </w:rPr>
        <w:t xml:space="preserve"> </w:t>
      </w:r>
      <w:r w:rsidRPr="00E66BF3">
        <w:rPr>
          <w:rFonts w:ascii="Arial" w:hAnsi="Arial" w:cs="Arial"/>
          <w:i/>
          <w:iCs/>
          <w:sz w:val="24"/>
          <w:szCs w:val="24"/>
          <w:shd w:val="clear" w:color="auto" w:fill="FFFFFF"/>
        </w:rPr>
        <w:t>“underestimated the complexities, volume and standards or work involved in report preparation and gathering/documenting the evidence required by the Commission to make a decision on compliance”.</w:t>
      </w:r>
      <w:r w:rsidR="009200C1" w:rsidRPr="00E66BF3">
        <w:rPr>
          <w:rFonts w:ascii="Arial" w:hAnsi="Arial" w:cs="Arial"/>
          <w:sz w:val="24"/>
          <w:szCs w:val="24"/>
          <w:shd w:val="clear" w:color="auto" w:fill="FFFFFF"/>
          <w:vertAlign w:val="superscript"/>
        </w:rPr>
        <w:footnoteReference w:id="84"/>
      </w:r>
    </w:p>
    <w:p w14:paraId="1E4176AF" w14:textId="54B24EE1" w:rsidR="00520850" w:rsidRDefault="00520850" w:rsidP="00520850">
      <w:pPr>
        <w:spacing w:after="120"/>
        <w:rPr>
          <w:rFonts w:ascii="Arial" w:hAnsi="Arial" w:cs="Arial"/>
          <w:sz w:val="24"/>
          <w:szCs w:val="24"/>
          <w:shd w:val="clear" w:color="auto" w:fill="FFFFFF"/>
        </w:rPr>
      </w:pPr>
      <w:r>
        <w:rPr>
          <w:rFonts w:ascii="Arial" w:hAnsi="Arial" w:cs="Arial"/>
          <w:sz w:val="24"/>
          <w:szCs w:val="24"/>
          <w:shd w:val="clear" w:color="auto" w:fill="FFFFFF"/>
        </w:rPr>
        <w:t>While I</w:t>
      </w:r>
      <w:r w:rsidRPr="00BF11D1">
        <w:rPr>
          <w:rFonts w:ascii="Arial" w:hAnsi="Arial" w:cs="Arial"/>
          <w:sz w:val="24"/>
          <w:szCs w:val="24"/>
          <w:shd w:val="clear" w:color="auto" w:fill="FFFFFF"/>
        </w:rPr>
        <w:t xml:space="preserve"> acknowledge </w:t>
      </w:r>
      <w:r>
        <w:rPr>
          <w:rFonts w:ascii="Arial" w:hAnsi="Arial" w:cs="Arial"/>
          <w:sz w:val="24"/>
          <w:szCs w:val="24"/>
          <w:shd w:val="clear" w:color="auto" w:fill="FFFFFF"/>
        </w:rPr>
        <w:t>TPP</w:t>
      </w:r>
      <w:r w:rsidRPr="00BF11D1">
        <w:rPr>
          <w:rFonts w:ascii="Arial" w:hAnsi="Arial" w:cs="Arial"/>
          <w:sz w:val="24"/>
          <w:szCs w:val="24"/>
          <w:shd w:val="clear" w:color="auto" w:fill="FFFFFF"/>
        </w:rPr>
        <w:t xml:space="preserve"> </w:t>
      </w:r>
      <w:r>
        <w:rPr>
          <w:rFonts w:ascii="Arial" w:hAnsi="Arial" w:cs="Arial"/>
          <w:sz w:val="24"/>
          <w:szCs w:val="24"/>
          <w:shd w:val="clear" w:color="auto" w:fill="FFFFFF"/>
        </w:rPr>
        <w:t>suppliers have</w:t>
      </w:r>
      <w:r w:rsidRPr="00BF11D1">
        <w:rPr>
          <w:rFonts w:ascii="Arial" w:hAnsi="Arial" w:cs="Arial"/>
          <w:sz w:val="24"/>
          <w:szCs w:val="24"/>
          <w:shd w:val="clear" w:color="auto" w:fill="FFFFFF"/>
        </w:rPr>
        <w:t xml:space="preserve"> contributed to the delivery of the accreditation program and that there is broad parity in costs between audits </w:t>
      </w:r>
      <w:r>
        <w:rPr>
          <w:rFonts w:ascii="Arial" w:hAnsi="Arial" w:cs="Arial"/>
          <w:sz w:val="24"/>
          <w:szCs w:val="24"/>
          <w:shd w:val="clear" w:color="auto" w:fill="FFFFFF"/>
        </w:rPr>
        <w:t>delivered by the Commission and TPP</w:t>
      </w:r>
      <w:r w:rsidRPr="00BF11D1">
        <w:rPr>
          <w:rFonts w:ascii="Arial" w:hAnsi="Arial" w:cs="Arial"/>
          <w:sz w:val="24"/>
          <w:szCs w:val="24"/>
          <w:shd w:val="clear" w:color="auto" w:fill="FFFFFF"/>
        </w:rPr>
        <w:t xml:space="preserve"> suppliers</w:t>
      </w:r>
      <w:r>
        <w:rPr>
          <w:rFonts w:ascii="Arial" w:hAnsi="Arial" w:cs="Arial"/>
          <w:sz w:val="24"/>
          <w:szCs w:val="24"/>
          <w:shd w:val="clear" w:color="auto" w:fill="FFFFFF"/>
        </w:rPr>
        <w:t>, I</w:t>
      </w:r>
      <w:r w:rsidRPr="00BF11D1">
        <w:rPr>
          <w:rFonts w:ascii="Arial" w:hAnsi="Arial" w:cs="Arial"/>
          <w:sz w:val="24"/>
          <w:szCs w:val="24"/>
          <w:shd w:val="clear" w:color="auto" w:fill="FFFFFF"/>
        </w:rPr>
        <w:t xml:space="preserve"> consider </w:t>
      </w:r>
      <w:r>
        <w:rPr>
          <w:rFonts w:ascii="Arial" w:hAnsi="Arial" w:cs="Arial"/>
          <w:sz w:val="24"/>
          <w:szCs w:val="24"/>
          <w:shd w:val="clear" w:color="auto" w:fill="FFFFFF"/>
        </w:rPr>
        <w:t xml:space="preserve">this </w:t>
      </w:r>
      <w:r w:rsidRPr="00BF11D1">
        <w:rPr>
          <w:rFonts w:ascii="Arial" w:hAnsi="Arial" w:cs="Arial"/>
          <w:sz w:val="24"/>
          <w:szCs w:val="24"/>
          <w:shd w:val="clear" w:color="auto" w:fill="FFFFFF"/>
        </w:rPr>
        <w:t xml:space="preserve">is a core function of the Commission and that the </w:t>
      </w:r>
      <w:r>
        <w:rPr>
          <w:rFonts w:ascii="Arial" w:hAnsi="Arial" w:cs="Arial"/>
          <w:sz w:val="24"/>
          <w:szCs w:val="24"/>
          <w:shd w:val="clear" w:color="auto" w:fill="FFFFFF"/>
        </w:rPr>
        <w:t xml:space="preserve">high proportion </w:t>
      </w:r>
      <w:r w:rsidRPr="00BF11D1">
        <w:rPr>
          <w:rFonts w:ascii="Arial" w:hAnsi="Arial" w:cs="Arial"/>
          <w:sz w:val="24"/>
          <w:szCs w:val="24"/>
          <w:shd w:val="clear" w:color="auto" w:fill="FFFFFF"/>
        </w:rPr>
        <w:t>of</w:t>
      </w:r>
      <w:r>
        <w:rPr>
          <w:rFonts w:ascii="Arial" w:hAnsi="Arial" w:cs="Arial"/>
          <w:sz w:val="24"/>
          <w:szCs w:val="24"/>
          <w:shd w:val="clear" w:color="auto" w:fill="FFFFFF"/>
        </w:rPr>
        <w:t xml:space="preserve"> assessments undertaken by TPP </w:t>
      </w:r>
      <w:r w:rsidRPr="00BF11D1">
        <w:rPr>
          <w:rFonts w:ascii="Arial" w:hAnsi="Arial" w:cs="Arial"/>
          <w:sz w:val="24"/>
          <w:szCs w:val="24"/>
          <w:shd w:val="clear" w:color="auto" w:fill="FFFFFF"/>
        </w:rPr>
        <w:t>assessors</w:t>
      </w:r>
      <w:r>
        <w:rPr>
          <w:rFonts w:ascii="Arial" w:hAnsi="Arial" w:cs="Arial"/>
          <w:sz w:val="24"/>
          <w:szCs w:val="24"/>
          <w:shd w:val="clear" w:color="auto" w:fill="FFFFFF"/>
        </w:rPr>
        <w:t>,</w:t>
      </w:r>
      <w:r w:rsidRPr="00BF11D1">
        <w:rPr>
          <w:rFonts w:ascii="Arial" w:hAnsi="Arial" w:cs="Arial"/>
          <w:sz w:val="24"/>
          <w:szCs w:val="24"/>
          <w:shd w:val="clear" w:color="auto" w:fill="FFFFFF"/>
        </w:rPr>
        <w:t xml:space="preserve"> represents a significant</w:t>
      </w:r>
      <w:r>
        <w:rPr>
          <w:rFonts w:ascii="Arial" w:hAnsi="Arial" w:cs="Arial"/>
          <w:sz w:val="24"/>
          <w:szCs w:val="24"/>
          <w:shd w:val="clear" w:color="auto" w:fill="FFFFFF"/>
        </w:rPr>
        <w:t xml:space="preserve"> risk for the Commission</w:t>
      </w:r>
      <w:r w:rsidRPr="00BF11D1">
        <w:rPr>
          <w:rFonts w:ascii="Arial" w:hAnsi="Arial" w:cs="Arial"/>
          <w:sz w:val="24"/>
          <w:szCs w:val="24"/>
          <w:shd w:val="clear" w:color="auto" w:fill="FFFFFF"/>
        </w:rPr>
        <w:t xml:space="preserve">. As deeds of offer </w:t>
      </w:r>
      <w:r>
        <w:rPr>
          <w:rFonts w:ascii="Arial" w:hAnsi="Arial" w:cs="Arial"/>
          <w:sz w:val="24"/>
          <w:szCs w:val="24"/>
          <w:shd w:val="clear" w:color="auto" w:fill="FFFFFF"/>
        </w:rPr>
        <w:t xml:space="preserve">with TPP suppliers </w:t>
      </w:r>
      <w:r w:rsidRPr="00BF11D1">
        <w:rPr>
          <w:rFonts w:ascii="Arial" w:hAnsi="Arial" w:cs="Arial"/>
          <w:sz w:val="24"/>
          <w:szCs w:val="24"/>
          <w:shd w:val="clear" w:color="auto" w:fill="FFFFFF"/>
        </w:rPr>
        <w:t>are reviewed</w:t>
      </w:r>
      <w:r>
        <w:rPr>
          <w:rFonts w:ascii="Arial" w:hAnsi="Arial" w:cs="Arial"/>
          <w:sz w:val="24"/>
          <w:szCs w:val="24"/>
          <w:shd w:val="clear" w:color="auto" w:fill="FFFFFF"/>
        </w:rPr>
        <w:t>,</w:t>
      </w:r>
      <w:r w:rsidRPr="00BF11D1">
        <w:rPr>
          <w:rFonts w:ascii="Arial" w:hAnsi="Arial" w:cs="Arial"/>
          <w:sz w:val="24"/>
          <w:szCs w:val="24"/>
          <w:shd w:val="clear" w:color="auto" w:fill="FFFFFF"/>
        </w:rPr>
        <w:t xml:space="preserve"> the Commission should seek </w:t>
      </w:r>
      <w:r>
        <w:rPr>
          <w:rFonts w:ascii="Arial" w:hAnsi="Arial" w:cs="Arial"/>
          <w:sz w:val="24"/>
          <w:szCs w:val="24"/>
          <w:shd w:val="clear" w:color="auto" w:fill="FFFFFF"/>
        </w:rPr>
        <w:t xml:space="preserve">to reach a better balance to ensure </w:t>
      </w:r>
      <w:r w:rsidRPr="00BF11D1">
        <w:rPr>
          <w:rFonts w:ascii="Arial" w:hAnsi="Arial" w:cs="Arial"/>
          <w:sz w:val="24"/>
          <w:szCs w:val="24"/>
          <w:shd w:val="clear" w:color="auto" w:fill="FFFFFF"/>
        </w:rPr>
        <w:t xml:space="preserve">more activity </w:t>
      </w:r>
      <w:r>
        <w:rPr>
          <w:rFonts w:ascii="Arial" w:hAnsi="Arial" w:cs="Arial"/>
          <w:sz w:val="24"/>
          <w:szCs w:val="24"/>
          <w:shd w:val="clear" w:color="auto" w:fill="FFFFFF"/>
        </w:rPr>
        <w:t xml:space="preserve">is brought in house and </w:t>
      </w:r>
      <w:r w:rsidRPr="00BF11D1">
        <w:rPr>
          <w:rFonts w:ascii="Arial" w:hAnsi="Arial" w:cs="Arial"/>
          <w:sz w:val="24"/>
          <w:szCs w:val="24"/>
          <w:shd w:val="clear" w:color="auto" w:fill="FFFFFF"/>
        </w:rPr>
        <w:t>undertaken by its permanent quality assessor workforce</w:t>
      </w:r>
      <w:r>
        <w:rPr>
          <w:rFonts w:ascii="Arial" w:hAnsi="Arial" w:cs="Arial"/>
          <w:sz w:val="24"/>
          <w:szCs w:val="24"/>
          <w:shd w:val="clear" w:color="auto" w:fill="FFFFFF"/>
        </w:rPr>
        <w:t>.</w:t>
      </w:r>
    </w:p>
    <w:p w14:paraId="34AB292E" w14:textId="354F0666" w:rsidR="00520850" w:rsidRPr="005D0AF3" w:rsidRDefault="00520850" w:rsidP="00520850">
      <w:pPr>
        <w:spacing w:before="120" w:after="120" w:line="240" w:lineRule="auto"/>
        <w:rPr>
          <w:rFonts w:ascii="Arial" w:hAnsi="Arial" w:cs="Arial"/>
          <w:color w:val="000000"/>
          <w:sz w:val="24"/>
          <w:szCs w:val="24"/>
          <w:shd w:val="clear" w:color="auto" w:fill="FFFFFF"/>
        </w:rPr>
      </w:pPr>
      <w:r w:rsidRPr="005D0AF3">
        <w:rPr>
          <w:rFonts w:ascii="Arial" w:hAnsi="Arial"/>
          <w:b/>
          <w:bCs/>
        </w:rPr>
        <w:t xml:space="preserve">Recommendation </w:t>
      </w:r>
      <w:r>
        <w:rPr>
          <w:rFonts w:ascii="Arial" w:hAnsi="Arial"/>
          <w:b/>
          <w:bCs/>
        </w:rPr>
        <w:t>5.1</w:t>
      </w:r>
      <w:r w:rsidRPr="005D0AF3">
        <w:rPr>
          <w:rFonts w:ascii="Arial" w:hAnsi="Arial" w:cs="Arial"/>
          <w:color w:val="000000"/>
          <w:sz w:val="24"/>
          <w:szCs w:val="24"/>
          <w:shd w:val="clear" w:color="auto" w:fill="FFFFFF"/>
        </w:rPr>
        <w:t xml:space="preserve">: </w:t>
      </w:r>
      <w:r w:rsidR="00AA4062" w:rsidRPr="005D0AF3">
        <w:rPr>
          <w:rFonts w:ascii="Arial" w:hAnsi="Arial" w:cs="Arial"/>
          <w:sz w:val="24"/>
          <w:szCs w:val="24"/>
        </w:rPr>
        <w:t xml:space="preserve">The Commission </w:t>
      </w:r>
      <w:r w:rsidR="00AA4062">
        <w:rPr>
          <w:rFonts w:ascii="Arial" w:hAnsi="Arial" w:cs="Arial"/>
          <w:sz w:val="24"/>
          <w:szCs w:val="24"/>
        </w:rPr>
        <w:t>to</w:t>
      </w:r>
      <w:r w:rsidR="00AA4062" w:rsidRPr="005D0AF3">
        <w:rPr>
          <w:rFonts w:ascii="Arial" w:hAnsi="Arial" w:cs="Arial"/>
          <w:sz w:val="24"/>
          <w:szCs w:val="24"/>
        </w:rPr>
        <w:t xml:space="preserve"> </w:t>
      </w:r>
      <w:r w:rsidR="00AA4062">
        <w:rPr>
          <w:rFonts w:ascii="Arial" w:hAnsi="Arial" w:cs="Arial"/>
          <w:sz w:val="24"/>
          <w:szCs w:val="24"/>
        </w:rPr>
        <w:t xml:space="preserve">actively work towards having a significantly higher proportion of </w:t>
      </w:r>
      <w:r w:rsidR="001A1291">
        <w:rPr>
          <w:rFonts w:ascii="Arial" w:hAnsi="Arial" w:cs="Arial"/>
          <w:sz w:val="24"/>
          <w:szCs w:val="24"/>
        </w:rPr>
        <w:t>accreditation site audits</w:t>
      </w:r>
      <w:r w:rsidR="00AA4062">
        <w:rPr>
          <w:rFonts w:ascii="Arial" w:hAnsi="Arial" w:cs="Arial"/>
          <w:sz w:val="24"/>
          <w:szCs w:val="24"/>
        </w:rPr>
        <w:t xml:space="preserve"> undertaken by its permanent quality assessor </w:t>
      </w:r>
      <w:proofErr w:type="gramStart"/>
      <w:r w:rsidR="00AA4062">
        <w:rPr>
          <w:rFonts w:ascii="Arial" w:hAnsi="Arial" w:cs="Arial"/>
          <w:sz w:val="24"/>
          <w:szCs w:val="24"/>
        </w:rPr>
        <w:t>workforce, and</w:t>
      </w:r>
      <w:proofErr w:type="gramEnd"/>
      <w:r w:rsidR="00AA4062">
        <w:rPr>
          <w:rFonts w:ascii="Arial" w:hAnsi="Arial" w:cs="Arial"/>
          <w:sz w:val="24"/>
          <w:szCs w:val="24"/>
        </w:rPr>
        <w:t xml:space="preserve"> do so gradually as deeds of offer with Third Party Provider suppliers are reviewed</w:t>
      </w:r>
      <w:r w:rsidR="00AA4062" w:rsidRPr="005D0AF3">
        <w:rPr>
          <w:rFonts w:ascii="Arial" w:hAnsi="Arial" w:cs="Arial"/>
          <w:sz w:val="24"/>
          <w:szCs w:val="24"/>
        </w:rPr>
        <w:t>.</w:t>
      </w:r>
    </w:p>
    <w:p w14:paraId="48D88EAB" w14:textId="77777777" w:rsidR="00B05540" w:rsidRPr="00224303" w:rsidRDefault="00B05540" w:rsidP="00D73C7D">
      <w:pPr>
        <w:keepNext/>
        <w:spacing w:before="120" w:after="120" w:line="240" w:lineRule="auto"/>
        <w:rPr>
          <w:rFonts w:ascii="Arial" w:eastAsia="Times New Roman" w:hAnsi="Arial" w:cs="Arial"/>
          <w:i/>
          <w:iCs/>
          <w:color w:val="000000" w:themeColor="text1"/>
          <w:sz w:val="24"/>
        </w:rPr>
      </w:pPr>
      <w:r w:rsidRPr="00224303">
        <w:rPr>
          <w:rFonts w:ascii="Arial" w:eastAsia="Times New Roman" w:hAnsi="Arial" w:cs="Arial"/>
          <w:i/>
          <w:iCs/>
          <w:color w:val="000000" w:themeColor="text1"/>
          <w:sz w:val="24"/>
        </w:rPr>
        <w:lastRenderedPageBreak/>
        <w:t>Broader quality assessment framework</w:t>
      </w:r>
    </w:p>
    <w:p w14:paraId="36E612F5" w14:textId="77777777" w:rsidR="00B05540" w:rsidRDefault="00B05540" w:rsidP="00B05540">
      <w:pPr>
        <w:spacing w:before="120" w:after="120" w:line="240" w:lineRule="auto"/>
        <w:rPr>
          <w:rFonts w:ascii="Arial" w:eastAsiaTheme="minorEastAsia" w:hAnsi="Arial" w:cs="Arial"/>
          <w:sz w:val="24"/>
          <w:szCs w:val="24"/>
        </w:rPr>
      </w:pPr>
      <w:bookmarkStart w:id="20" w:name="_Hlk129858074"/>
      <w:r>
        <w:rPr>
          <w:rFonts w:ascii="Arial" w:eastAsiaTheme="minorEastAsia" w:hAnsi="Arial" w:cs="Arial"/>
          <w:sz w:val="24"/>
          <w:szCs w:val="24"/>
        </w:rPr>
        <w:t>The Review also heard concerns about the current quality assessment framework, including:</w:t>
      </w:r>
    </w:p>
    <w:p w14:paraId="33721CDE" w14:textId="130D9EBE" w:rsidR="00B05540" w:rsidRPr="00412CEF" w:rsidRDefault="00612795" w:rsidP="001750D5">
      <w:pPr>
        <w:pStyle w:val="ListParagraph"/>
        <w:numPr>
          <w:ilvl w:val="0"/>
          <w:numId w:val="71"/>
        </w:numPr>
        <w:spacing w:before="120" w:after="120" w:line="240" w:lineRule="auto"/>
        <w:rPr>
          <w:rFonts w:ascii="Arial" w:eastAsiaTheme="minorEastAsia" w:hAnsi="Arial" w:cs="Arial"/>
          <w:sz w:val="24"/>
          <w:szCs w:val="24"/>
        </w:rPr>
      </w:pPr>
      <w:r>
        <w:rPr>
          <w:rFonts w:ascii="Arial" w:eastAsiaTheme="minorEastAsia" w:hAnsi="Arial" w:cs="Arial"/>
          <w:sz w:val="24"/>
          <w:szCs w:val="24"/>
        </w:rPr>
        <w:t>t</w:t>
      </w:r>
      <w:r w:rsidR="00B05540" w:rsidRPr="00412CEF">
        <w:rPr>
          <w:rFonts w:ascii="Arial" w:eastAsiaTheme="minorEastAsia" w:hAnsi="Arial" w:cs="Arial"/>
          <w:sz w:val="24"/>
          <w:szCs w:val="24"/>
        </w:rPr>
        <w:t>he binary nature of assessment against the Quality Standards, where</w:t>
      </w:r>
      <w:r w:rsidR="00520850">
        <w:rPr>
          <w:rFonts w:ascii="Arial" w:eastAsiaTheme="minorEastAsia" w:hAnsi="Arial" w:cs="Arial"/>
          <w:sz w:val="24"/>
          <w:szCs w:val="24"/>
        </w:rPr>
        <w:t>by</w:t>
      </w:r>
      <w:r w:rsidR="00B05540" w:rsidRPr="00412CEF">
        <w:rPr>
          <w:rFonts w:ascii="Arial" w:eastAsiaTheme="minorEastAsia" w:hAnsi="Arial" w:cs="Arial"/>
          <w:sz w:val="24"/>
          <w:szCs w:val="24"/>
        </w:rPr>
        <w:t xml:space="preserve"> a requirement is met or not met, encourages providers to do the bare minimum, rather than incentivising excellence and innovation </w:t>
      </w:r>
    </w:p>
    <w:p w14:paraId="5B60A37E" w14:textId="578901E0" w:rsidR="00612795" w:rsidRDefault="00612795" w:rsidP="001750D5">
      <w:pPr>
        <w:numPr>
          <w:ilvl w:val="0"/>
          <w:numId w:val="17"/>
        </w:numPr>
        <w:spacing w:before="120" w:after="120" w:line="240" w:lineRule="auto"/>
        <w:ind w:left="357" w:hanging="357"/>
        <w:rPr>
          <w:rFonts w:ascii="Arial" w:eastAsiaTheme="minorEastAsia" w:hAnsi="Arial" w:cs="Arial"/>
          <w:sz w:val="24"/>
          <w:szCs w:val="24"/>
        </w:rPr>
      </w:pPr>
      <w:r>
        <w:rPr>
          <w:rFonts w:ascii="Arial" w:eastAsiaTheme="minorEastAsia" w:hAnsi="Arial" w:cs="Arial"/>
          <w:sz w:val="24"/>
          <w:szCs w:val="24"/>
        </w:rPr>
        <w:t>t</w:t>
      </w:r>
      <w:r w:rsidR="00B05540" w:rsidRPr="00E66BF3">
        <w:rPr>
          <w:rFonts w:ascii="Arial" w:eastAsiaTheme="minorEastAsia" w:hAnsi="Arial" w:cs="Arial"/>
          <w:sz w:val="24"/>
          <w:szCs w:val="24"/>
        </w:rPr>
        <w:t>he assessment methodology of ‘pass’ or ‘fail’ is subjective and unsound, with one unmet requirement under a particular Standard resulting in failure of the entire Standard</w:t>
      </w:r>
      <w:r>
        <w:rPr>
          <w:rFonts w:ascii="Arial" w:eastAsiaTheme="minorEastAsia" w:hAnsi="Arial" w:cs="Arial"/>
          <w:sz w:val="24"/>
          <w:szCs w:val="24"/>
        </w:rPr>
        <w:t xml:space="preserve">, </w:t>
      </w:r>
    </w:p>
    <w:p w14:paraId="3BCA3EA6" w14:textId="4BCAE058" w:rsidR="00B05540" w:rsidRPr="00CD389D" w:rsidRDefault="007A0A09" w:rsidP="00CD389D">
      <w:pPr>
        <w:numPr>
          <w:ilvl w:val="0"/>
          <w:numId w:val="17"/>
        </w:numPr>
        <w:spacing w:before="120" w:after="120" w:line="240" w:lineRule="auto"/>
        <w:ind w:left="357" w:hanging="357"/>
        <w:rPr>
          <w:rFonts w:ascii="Arial" w:eastAsiaTheme="minorEastAsia" w:hAnsi="Arial" w:cs="Arial"/>
          <w:sz w:val="24"/>
          <w:szCs w:val="24"/>
        </w:rPr>
      </w:pPr>
      <w:r w:rsidRPr="00CD389D">
        <w:rPr>
          <w:rFonts w:ascii="Arial" w:eastAsiaTheme="minorEastAsia" w:hAnsi="Arial" w:cs="Arial"/>
          <w:sz w:val="24"/>
          <w:szCs w:val="24"/>
        </w:rPr>
        <w:t xml:space="preserve">allied health needs not being </w:t>
      </w:r>
      <w:r w:rsidR="00974DCA" w:rsidRPr="00CD389D">
        <w:rPr>
          <w:rFonts w:ascii="Arial" w:eastAsiaTheme="minorEastAsia" w:hAnsi="Arial" w:cs="Arial"/>
          <w:sz w:val="24"/>
          <w:szCs w:val="24"/>
        </w:rPr>
        <w:t xml:space="preserve">explicitly </w:t>
      </w:r>
      <w:r w:rsidRPr="00CD389D">
        <w:rPr>
          <w:rFonts w:ascii="Arial" w:eastAsiaTheme="minorEastAsia" w:hAnsi="Arial" w:cs="Arial"/>
          <w:sz w:val="24"/>
          <w:szCs w:val="24"/>
        </w:rPr>
        <w:t xml:space="preserve">assessed as part of the Standards, resulting in the risk of consumers being left with unmet needs even while providers may be found to have met the Standards, </w:t>
      </w:r>
      <w:r w:rsidR="00974DCA" w:rsidRPr="00CD389D">
        <w:rPr>
          <w:rFonts w:ascii="Arial" w:eastAsiaTheme="minorEastAsia" w:hAnsi="Arial" w:cs="Arial"/>
          <w:sz w:val="24"/>
          <w:szCs w:val="24"/>
        </w:rPr>
        <w:t xml:space="preserve">and </w:t>
      </w:r>
    </w:p>
    <w:p w14:paraId="58D24384" w14:textId="0C8F889D" w:rsidR="00B05540" w:rsidRPr="000B38AC" w:rsidRDefault="00612795" w:rsidP="001750D5">
      <w:pPr>
        <w:numPr>
          <w:ilvl w:val="0"/>
          <w:numId w:val="17"/>
        </w:numPr>
        <w:spacing w:before="120" w:after="120" w:line="240" w:lineRule="auto"/>
        <w:ind w:left="357" w:hanging="357"/>
        <w:rPr>
          <w:rFonts w:ascii="Arial" w:eastAsiaTheme="minorEastAsia" w:hAnsi="Arial" w:cs="Arial"/>
          <w:sz w:val="24"/>
          <w:szCs w:val="24"/>
        </w:rPr>
      </w:pPr>
      <w:r w:rsidRPr="000B38AC">
        <w:rPr>
          <w:rFonts w:ascii="Arial" w:eastAsiaTheme="minorEastAsia" w:hAnsi="Arial" w:cs="Arial"/>
          <w:sz w:val="24"/>
          <w:szCs w:val="24"/>
        </w:rPr>
        <w:t>a</w:t>
      </w:r>
      <w:r w:rsidR="00B05540" w:rsidRPr="000B38AC">
        <w:rPr>
          <w:rFonts w:ascii="Arial" w:eastAsiaTheme="minorEastAsia" w:hAnsi="Arial" w:cs="Arial"/>
          <w:sz w:val="24"/>
          <w:szCs w:val="24"/>
        </w:rPr>
        <w:t>ll Standards having the same weight even though some Standards are more critical than others for the consumer.</w:t>
      </w:r>
      <w:r w:rsidR="009200C1" w:rsidRPr="009200C1">
        <w:rPr>
          <w:rFonts w:ascii="Arial" w:eastAsiaTheme="minorEastAsia" w:hAnsi="Arial" w:cs="Arial"/>
          <w:sz w:val="24"/>
          <w:szCs w:val="24"/>
          <w:vertAlign w:val="superscript"/>
        </w:rPr>
        <w:t xml:space="preserve"> </w:t>
      </w:r>
    </w:p>
    <w:p w14:paraId="1574F74C" w14:textId="10B73835" w:rsidR="00B05540" w:rsidRDefault="00055154" w:rsidP="00B05540">
      <w:pPr>
        <w:spacing w:before="120" w:after="120" w:line="240" w:lineRule="auto"/>
        <w:rPr>
          <w:rFonts w:ascii="Arial" w:eastAsia="Times New Roman" w:hAnsi="Arial" w:cs="Arial"/>
          <w:color w:val="000000" w:themeColor="text1"/>
          <w:sz w:val="24"/>
          <w:highlight w:val="green"/>
        </w:rPr>
      </w:pPr>
      <w:r w:rsidRPr="000B38AC">
        <w:rPr>
          <w:rFonts w:ascii="Arial" w:eastAsia="Times New Roman" w:hAnsi="Arial" w:cs="Arial"/>
          <w:color w:val="000000" w:themeColor="text1"/>
          <w:sz w:val="24"/>
        </w:rPr>
        <w:t>The Review considers these shortcomings should be addressed</w:t>
      </w:r>
      <w:r>
        <w:rPr>
          <w:rFonts w:ascii="Arial" w:eastAsia="Times New Roman" w:hAnsi="Arial" w:cs="Arial"/>
          <w:color w:val="000000" w:themeColor="text1"/>
          <w:sz w:val="24"/>
        </w:rPr>
        <w:t xml:space="preserve"> </w:t>
      </w:r>
      <w:r w:rsidRPr="00055154">
        <w:rPr>
          <w:rFonts w:ascii="Arial" w:hAnsi="Arial" w:cs="Arial"/>
          <w:sz w:val="24"/>
          <w:szCs w:val="24"/>
        </w:rPr>
        <w:t>through the design of a new regulatory system for aged care and a new assessment methodology for strengthened standards.</w:t>
      </w:r>
      <w:r w:rsidR="00B05540" w:rsidRPr="00055154">
        <w:rPr>
          <w:rFonts w:ascii="Arial" w:eastAsia="Times New Roman" w:hAnsi="Arial" w:cs="Arial"/>
          <w:color w:val="000000" w:themeColor="text1"/>
          <w:sz w:val="24"/>
        </w:rPr>
        <w:t xml:space="preserve"> </w:t>
      </w:r>
      <w:bookmarkEnd w:id="20"/>
      <w:r w:rsidR="00B05540" w:rsidRPr="000B38AC">
        <w:rPr>
          <w:rFonts w:ascii="Arial" w:eastAsia="Times New Roman" w:hAnsi="Arial" w:cs="Arial"/>
          <w:color w:val="000000" w:themeColor="text1"/>
          <w:sz w:val="24"/>
        </w:rPr>
        <w:t>The Commission</w:t>
      </w:r>
      <w:r w:rsidR="00B05540" w:rsidRPr="002E0A23">
        <w:rPr>
          <w:rFonts w:ascii="Arial" w:eastAsia="Times New Roman" w:hAnsi="Arial" w:cs="Arial"/>
          <w:color w:val="000000" w:themeColor="text1"/>
          <w:sz w:val="24"/>
        </w:rPr>
        <w:t xml:space="preserve"> will shortly commence a pilot of </w:t>
      </w:r>
      <w:r w:rsidR="00B05540">
        <w:rPr>
          <w:rFonts w:ascii="Arial" w:eastAsia="Times New Roman" w:hAnsi="Arial" w:cs="Arial"/>
          <w:color w:val="000000" w:themeColor="text1"/>
          <w:sz w:val="24"/>
        </w:rPr>
        <w:t xml:space="preserve">these </w:t>
      </w:r>
      <w:r w:rsidR="00B05540" w:rsidRPr="002E0A23">
        <w:rPr>
          <w:rFonts w:ascii="Arial" w:eastAsia="Times New Roman" w:hAnsi="Arial" w:cs="Arial"/>
          <w:color w:val="000000" w:themeColor="text1"/>
          <w:sz w:val="24"/>
        </w:rPr>
        <w:t xml:space="preserve">strengthened </w:t>
      </w:r>
      <w:r w:rsidR="00B05540">
        <w:rPr>
          <w:rFonts w:ascii="Arial" w:eastAsia="Times New Roman" w:hAnsi="Arial" w:cs="Arial"/>
          <w:color w:val="000000" w:themeColor="text1"/>
          <w:sz w:val="24"/>
        </w:rPr>
        <w:t>s</w:t>
      </w:r>
      <w:r w:rsidR="00B05540" w:rsidRPr="002E0A23">
        <w:rPr>
          <w:rFonts w:ascii="Arial" w:eastAsia="Times New Roman" w:hAnsi="Arial" w:cs="Arial"/>
          <w:color w:val="000000" w:themeColor="text1"/>
          <w:sz w:val="24"/>
        </w:rPr>
        <w:t>tandards</w:t>
      </w:r>
      <w:r w:rsidR="00B05540">
        <w:rPr>
          <w:rFonts w:ascii="Arial" w:eastAsia="Times New Roman" w:hAnsi="Arial" w:cs="Arial"/>
          <w:color w:val="000000" w:themeColor="text1"/>
          <w:sz w:val="24"/>
        </w:rPr>
        <w:t xml:space="preserve">. The pilot </w:t>
      </w:r>
      <w:r w:rsidR="00B05540" w:rsidRPr="002E0A23">
        <w:rPr>
          <w:rFonts w:ascii="Arial" w:eastAsia="Times New Roman" w:hAnsi="Arial" w:cs="Arial"/>
          <w:color w:val="000000" w:themeColor="text1"/>
          <w:sz w:val="24"/>
        </w:rPr>
        <w:t>will inform how the Commission assesses provider performance</w:t>
      </w:r>
      <w:r w:rsidR="00B05540">
        <w:rPr>
          <w:rFonts w:ascii="Arial" w:eastAsia="Times New Roman" w:hAnsi="Arial" w:cs="Arial"/>
          <w:color w:val="000000" w:themeColor="text1"/>
          <w:sz w:val="24"/>
        </w:rPr>
        <w:t xml:space="preserve"> by testing a </w:t>
      </w:r>
      <w:r w:rsidR="00B05540" w:rsidRPr="002E0A23">
        <w:rPr>
          <w:rFonts w:ascii="Arial" w:eastAsia="Times New Roman" w:hAnsi="Arial" w:cs="Arial"/>
          <w:color w:val="000000" w:themeColor="text1"/>
          <w:sz w:val="24"/>
        </w:rPr>
        <w:t>re</w:t>
      </w:r>
      <w:r w:rsidR="00B05540">
        <w:rPr>
          <w:rFonts w:ascii="Arial" w:eastAsia="Times New Roman" w:hAnsi="Arial" w:cs="Arial"/>
          <w:color w:val="000000" w:themeColor="text1"/>
          <w:sz w:val="24"/>
        </w:rPr>
        <w:t>-</w:t>
      </w:r>
      <w:r w:rsidR="00B05540" w:rsidRPr="002E0A23">
        <w:rPr>
          <w:rFonts w:ascii="Arial" w:eastAsia="Times New Roman" w:hAnsi="Arial" w:cs="Arial"/>
          <w:color w:val="000000" w:themeColor="text1"/>
          <w:sz w:val="24"/>
        </w:rPr>
        <w:t>designed approach to auditing and assessment across a variety of service types and sizes</w:t>
      </w:r>
      <w:r w:rsidR="00B05540">
        <w:rPr>
          <w:rFonts w:ascii="Arial" w:eastAsia="Times New Roman" w:hAnsi="Arial" w:cs="Arial"/>
          <w:color w:val="000000" w:themeColor="text1"/>
          <w:sz w:val="24"/>
        </w:rPr>
        <w:t xml:space="preserve"> and considering </w:t>
      </w:r>
      <w:r w:rsidR="00B05540" w:rsidRPr="002E0A23">
        <w:rPr>
          <w:rFonts w:ascii="Arial" w:eastAsia="Times New Roman" w:hAnsi="Arial" w:cs="Arial"/>
          <w:color w:val="000000" w:themeColor="text1"/>
          <w:sz w:val="24"/>
        </w:rPr>
        <w:t xml:space="preserve">how graded assessment </w:t>
      </w:r>
      <w:r w:rsidR="00B05540">
        <w:rPr>
          <w:rFonts w:ascii="Arial" w:eastAsia="Times New Roman" w:hAnsi="Arial" w:cs="Arial"/>
          <w:color w:val="000000" w:themeColor="text1"/>
          <w:sz w:val="24"/>
        </w:rPr>
        <w:t xml:space="preserve">can be used </w:t>
      </w:r>
      <w:r w:rsidR="00B05540" w:rsidRPr="002E0A23">
        <w:rPr>
          <w:rFonts w:ascii="Arial" w:eastAsia="Times New Roman" w:hAnsi="Arial" w:cs="Arial"/>
          <w:color w:val="000000" w:themeColor="text1"/>
          <w:sz w:val="24"/>
        </w:rPr>
        <w:t>to better differentiate performance</w:t>
      </w:r>
      <w:r w:rsidR="00B05540">
        <w:t xml:space="preserve">. </w:t>
      </w:r>
      <w:r w:rsidR="005C65B7" w:rsidRPr="002E0A23">
        <w:rPr>
          <w:rStyle w:val="FootnoteReference"/>
          <w:rFonts w:ascii="Arial" w:eastAsia="Times New Roman" w:hAnsi="Arial" w:cs="Arial"/>
          <w:color w:val="000000" w:themeColor="text1"/>
          <w:sz w:val="24"/>
        </w:rPr>
        <w:footnoteReference w:id="85"/>
      </w:r>
    </w:p>
    <w:p w14:paraId="034E7D74" w14:textId="251E9B98" w:rsidR="00B05540" w:rsidRPr="005D0AF3" w:rsidRDefault="00B05540" w:rsidP="00B05540">
      <w:pPr>
        <w:rPr>
          <w:rFonts w:ascii="Arial" w:eastAsia="Times New Roman" w:hAnsi="Arial" w:cs="Arial"/>
          <w:sz w:val="24"/>
          <w:szCs w:val="24"/>
        </w:rPr>
      </w:pPr>
      <w:r w:rsidRPr="005D0AF3">
        <w:rPr>
          <w:rFonts w:ascii="Arial" w:hAnsi="Arial" w:cs="Arial"/>
          <w:b/>
          <w:bCs/>
          <w:sz w:val="24"/>
          <w:szCs w:val="24"/>
        </w:rPr>
        <w:t xml:space="preserve">Recommendation </w:t>
      </w:r>
      <w:r w:rsidR="00671BA5">
        <w:rPr>
          <w:rFonts w:ascii="Arial" w:hAnsi="Arial" w:cs="Arial"/>
          <w:b/>
          <w:bCs/>
          <w:sz w:val="24"/>
          <w:szCs w:val="24"/>
        </w:rPr>
        <w:t>5.2</w:t>
      </w:r>
      <w:r w:rsidRPr="005D0AF3">
        <w:rPr>
          <w:rFonts w:ascii="Arial" w:hAnsi="Arial" w:cs="Arial"/>
          <w:b/>
          <w:bCs/>
          <w:sz w:val="24"/>
          <w:szCs w:val="24"/>
        </w:rPr>
        <w:t xml:space="preserve">: </w:t>
      </w:r>
      <w:r w:rsidRPr="005D0AF3">
        <w:rPr>
          <w:rFonts w:ascii="Arial" w:eastAsia="Times New Roman" w:hAnsi="Arial" w:cs="Arial"/>
          <w:sz w:val="24"/>
          <w:szCs w:val="24"/>
        </w:rPr>
        <w:t xml:space="preserve">The Commission </w:t>
      </w:r>
      <w:r w:rsidR="00604F40">
        <w:rPr>
          <w:rFonts w:ascii="Arial" w:eastAsia="Times New Roman" w:hAnsi="Arial" w:cs="Arial"/>
          <w:sz w:val="24"/>
          <w:szCs w:val="24"/>
        </w:rPr>
        <w:t>to</w:t>
      </w:r>
      <w:r w:rsidR="00224303" w:rsidRPr="005D0AF3">
        <w:rPr>
          <w:rFonts w:ascii="Arial" w:eastAsia="Times New Roman" w:hAnsi="Arial" w:cs="Arial"/>
          <w:sz w:val="24"/>
          <w:szCs w:val="24"/>
        </w:rPr>
        <w:t xml:space="preserve"> </w:t>
      </w:r>
      <w:r w:rsidRPr="005D0AF3">
        <w:rPr>
          <w:rFonts w:ascii="Arial" w:eastAsia="Times New Roman" w:hAnsi="Arial" w:cs="Arial"/>
          <w:sz w:val="24"/>
          <w:szCs w:val="24"/>
        </w:rPr>
        <w:t xml:space="preserve">implement the Quality Assurance Framework across all its regulatory functions by June </w:t>
      </w:r>
      <w:r w:rsidR="0073073B" w:rsidRPr="005D0AF3">
        <w:rPr>
          <w:rFonts w:ascii="Arial" w:eastAsia="Times New Roman" w:hAnsi="Arial" w:cs="Arial"/>
          <w:sz w:val="24"/>
          <w:szCs w:val="24"/>
        </w:rPr>
        <w:t>2023</w:t>
      </w:r>
      <w:r w:rsidR="007D6517">
        <w:rPr>
          <w:rFonts w:ascii="Arial" w:eastAsia="Times New Roman" w:hAnsi="Arial" w:cs="Arial"/>
          <w:sz w:val="24"/>
          <w:szCs w:val="24"/>
        </w:rPr>
        <w:t xml:space="preserve"> if possible and by no later than </w:t>
      </w:r>
      <w:proofErr w:type="gramStart"/>
      <w:r w:rsidR="007D6517">
        <w:rPr>
          <w:rFonts w:ascii="Arial" w:eastAsia="Times New Roman" w:hAnsi="Arial" w:cs="Arial"/>
          <w:sz w:val="24"/>
          <w:szCs w:val="24"/>
        </w:rPr>
        <w:t>30 September 2023,</w:t>
      </w:r>
      <w:r w:rsidRPr="005D0AF3">
        <w:rPr>
          <w:rFonts w:ascii="Arial" w:eastAsia="Times New Roman" w:hAnsi="Arial" w:cs="Arial"/>
          <w:sz w:val="24"/>
          <w:szCs w:val="24"/>
        </w:rPr>
        <w:t xml:space="preserve"> and</w:t>
      </w:r>
      <w:bookmarkStart w:id="21" w:name="_Hlk129166238"/>
      <w:proofErr w:type="gramEnd"/>
      <w:r w:rsidRPr="005D0AF3">
        <w:rPr>
          <w:rFonts w:ascii="Arial" w:eastAsia="Times New Roman" w:hAnsi="Arial" w:cs="Arial"/>
          <w:color w:val="313131"/>
          <w:sz w:val="24"/>
          <w:szCs w:val="24"/>
          <w:lang w:eastAsia="en-AU"/>
        </w:rPr>
        <w:t xml:space="preserve"> ensure </w:t>
      </w:r>
      <w:r w:rsidRPr="005D0AF3">
        <w:rPr>
          <w:rFonts w:ascii="Arial" w:eastAsia="Times New Roman" w:hAnsi="Arial" w:cs="Arial"/>
          <w:sz w:val="24"/>
          <w:szCs w:val="24"/>
        </w:rPr>
        <w:t xml:space="preserve">regular reporting of assurance activities and </w:t>
      </w:r>
      <w:r w:rsidR="00B91BB9" w:rsidRPr="005D0AF3">
        <w:rPr>
          <w:rFonts w:ascii="Arial" w:eastAsia="Times New Roman" w:hAnsi="Arial" w:cs="Arial"/>
          <w:sz w:val="24"/>
          <w:szCs w:val="24"/>
        </w:rPr>
        <w:t xml:space="preserve">key </w:t>
      </w:r>
      <w:r w:rsidRPr="005D0AF3">
        <w:rPr>
          <w:rFonts w:ascii="Arial" w:eastAsia="Times New Roman" w:hAnsi="Arial" w:cs="Arial"/>
          <w:sz w:val="24"/>
          <w:szCs w:val="24"/>
        </w:rPr>
        <w:t>findings on the Commission’s website</w:t>
      </w:r>
      <w:r w:rsidR="00B91BB9" w:rsidRPr="005D0AF3">
        <w:rPr>
          <w:rFonts w:ascii="Arial" w:eastAsia="Times New Roman" w:hAnsi="Arial" w:cs="Arial"/>
          <w:sz w:val="24"/>
          <w:szCs w:val="24"/>
        </w:rPr>
        <w:t xml:space="preserve"> to provide greater assurance to providers and consumers</w:t>
      </w:r>
      <w:r w:rsidRPr="005D0AF3">
        <w:rPr>
          <w:rFonts w:ascii="Arial" w:eastAsia="Times New Roman" w:hAnsi="Arial" w:cs="Arial"/>
          <w:sz w:val="24"/>
          <w:szCs w:val="24"/>
        </w:rPr>
        <w:t xml:space="preserve">. </w:t>
      </w:r>
    </w:p>
    <w:bookmarkEnd w:id="21"/>
    <w:p w14:paraId="204A5643" w14:textId="6D2B2CB6" w:rsidR="00232621" w:rsidRPr="001364C7" w:rsidRDefault="00B05540" w:rsidP="001364C7">
      <w:pPr>
        <w:spacing w:before="120" w:after="360" w:line="240" w:lineRule="auto"/>
        <w:rPr>
          <w:rFonts w:ascii="Arial" w:hAnsi="Arial" w:cs="Arial"/>
          <w:b/>
          <w:bCs/>
          <w:sz w:val="24"/>
          <w:szCs w:val="24"/>
        </w:rPr>
      </w:pPr>
      <w:r w:rsidRPr="005D0AF3">
        <w:rPr>
          <w:rFonts w:ascii="Arial" w:hAnsi="Arial" w:cs="Arial"/>
          <w:b/>
          <w:bCs/>
          <w:sz w:val="24"/>
          <w:szCs w:val="24"/>
        </w:rPr>
        <w:t xml:space="preserve">Recommendation </w:t>
      </w:r>
      <w:r w:rsidR="00671BA5">
        <w:rPr>
          <w:rFonts w:ascii="Arial" w:hAnsi="Arial" w:cs="Arial"/>
          <w:b/>
          <w:bCs/>
          <w:sz w:val="24"/>
          <w:szCs w:val="24"/>
        </w:rPr>
        <w:t>5.3</w:t>
      </w:r>
      <w:r w:rsidRPr="005D0AF3">
        <w:rPr>
          <w:rFonts w:ascii="Arial" w:hAnsi="Arial" w:cs="Arial"/>
          <w:b/>
          <w:bCs/>
          <w:sz w:val="24"/>
          <w:szCs w:val="24"/>
        </w:rPr>
        <w:t xml:space="preserve">: </w:t>
      </w:r>
      <w:r w:rsidR="00604F40" w:rsidRPr="00EB67F5">
        <w:rPr>
          <w:rFonts w:ascii="Arial" w:eastAsia="Times New Roman" w:hAnsi="Arial" w:cs="Arial"/>
          <w:sz w:val="24"/>
          <w:szCs w:val="24"/>
        </w:rPr>
        <w:t xml:space="preserve">The Commission </w:t>
      </w:r>
      <w:r w:rsidR="00604F40">
        <w:rPr>
          <w:rFonts w:ascii="Arial" w:eastAsia="Times New Roman" w:hAnsi="Arial" w:cs="Arial"/>
          <w:sz w:val="24"/>
          <w:szCs w:val="24"/>
        </w:rPr>
        <w:t>to</w:t>
      </w:r>
      <w:r w:rsidR="00604F40" w:rsidRPr="00EB67F5">
        <w:rPr>
          <w:rFonts w:ascii="Arial" w:eastAsia="Times New Roman" w:hAnsi="Arial" w:cs="Arial"/>
          <w:sz w:val="24"/>
          <w:szCs w:val="24"/>
        </w:rPr>
        <w:t xml:space="preserve"> review the </w:t>
      </w:r>
      <w:r w:rsidR="00604F40" w:rsidRPr="00EB67F5">
        <w:rPr>
          <w:rFonts w:ascii="Arial" w:hAnsi="Arial" w:cs="Arial"/>
          <w:color w:val="000000"/>
          <w:sz w:val="24"/>
          <w:szCs w:val="24"/>
          <w:shd w:val="clear" w:color="auto" w:fill="FFFFFF"/>
        </w:rPr>
        <w:t>Quality Assessor Retention Project and urgently implement measures to retain assessment staff</w:t>
      </w:r>
      <w:r w:rsidR="00604F40">
        <w:rPr>
          <w:rFonts w:ascii="Arial" w:hAnsi="Arial" w:cs="Arial"/>
          <w:color w:val="000000"/>
          <w:sz w:val="24"/>
          <w:szCs w:val="24"/>
          <w:shd w:val="clear" w:color="auto" w:fill="FFFFFF"/>
        </w:rPr>
        <w:t xml:space="preserve"> and extend the project to consider and address retention issues in other parts of the Commission’s workforce</w:t>
      </w:r>
      <w:r w:rsidR="00604F40" w:rsidRPr="00EB67F5">
        <w:rPr>
          <w:rFonts w:ascii="Arial" w:hAnsi="Arial" w:cs="Arial"/>
          <w:color w:val="000000"/>
          <w:sz w:val="24"/>
          <w:szCs w:val="24"/>
          <w:shd w:val="clear" w:color="auto" w:fill="FFFFFF"/>
        </w:rPr>
        <w:t>.</w:t>
      </w:r>
    </w:p>
    <w:p w14:paraId="3212119D" w14:textId="77777777" w:rsidR="00B05540" w:rsidRPr="00224303" w:rsidRDefault="00B05540" w:rsidP="00B05540">
      <w:pPr>
        <w:spacing w:after="120"/>
        <w:rPr>
          <w:rFonts w:ascii="Arial" w:hAnsi="Arial" w:cs="Arial"/>
          <w:i/>
          <w:iCs/>
          <w:sz w:val="24"/>
          <w:szCs w:val="24"/>
          <w:shd w:val="clear" w:color="auto" w:fill="FFFFFF"/>
        </w:rPr>
      </w:pPr>
      <w:r w:rsidRPr="00224303">
        <w:rPr>
          <w:rFonts w:ascii="Arial" w:hAnsi="Arial" w:cs="Arial"/>
          <w:i/>
          <w:iCs/>
          <w:color w:val="000000"/>
          <w:sz w:val="24"/>
          <w:szCs w:val="24"/>
          <w:shd w:val="clear" w:color="auto" w:fill="FFFFFF"/>
        </w:rPr>
        <w:t>Exceptional circumstances</w:t>
      </w:r>
    </w:p>
    <w:p w14:paraId="7A3A730C" w14:textId="183539D4" w:rsidR="00B05540" w:rsidRPr="00E66BF3" w:rsidRDefault="00671BA5" w:rsidP="00B05540">
      <w:pPr>
        <w:spacing w:before="120" w:after="120" w:line="240" w:lineRule="auto"/>
        <w:rPr>
          <w:rFonts w:ascii="Arial" w:eastAsia="Times New Roman" w:hAnsi="Arial" w:cs="Arial"/>
          <w:color w:val="000000" w:themeColor="text1"/>
          <w:sz w:val="24"/>
        </w:rPr>
      </w:pPr>
      <w:r>
        <w:rPr>
          <w:rFonts w:ascii="Arial" w:eastAsia="Times New Roman" w:hAnsi="Arial" w:cs="Arial"/>
          <w:color w:val="000000" w:themeColor="text1"/>
          <w:sz w:val="24"/>
        </w:rPr>
        <w:t>T</w:t>
      </w:r>
      <w:r w:rsidR="00B05540">
        <w:rPr>
          <w:rFonts w:ascii="Arial" w:eastAsia="Times New Roman" w:hAnsi="Arial" w:cs="Arial"/>
          <w:color w:val="000000" w:themeColor="text1"/>
          <w:sz w:val="24"/>
        </w:rPr>
        <w:t xml:space="preserve">he </w:t>
      </w:r>
      <w:r w:rsidR="00B05540" w:rsidRPr="00E66BF3">
        <w:rPr>
          <w:rFonts w:ascii="Arial" w:eastAsia="Times New Roman" w:hAnsi="Arial" w:cs="Arial"/>
          <w:color w:val="000000" w:themeColor="text1"/>
          <w:sz w:val="24"/>
        </w:rPr>
        <w:t xml:space="preserve">COVID-19 pandemic significantly disrupted the Commission’s ability to deliver the </w:t>
      </w:r>
      <w:r w:rsidR="00B05540">
        <w:rPr>
          <w:rFonts w:ascii="Arial" w:eastAsia="Times New Roman" w:hAnsi="Arial" w:cs="Arial"/>
          <w:color w:val="000000" w:themeColor="text1"/>
          <w:sz w:val="24"/>
        </w:rPr>
        <w:t>re-</w:t>
      </w:r>
      <w:r w:rsidR="00B05540" w:rsidRPr="00E66BF3">
        <w:rPr>
          <w:rFonts w:ascii="Arial" w:eastAsia="Times New Roman" w:hAnsi="Arial" w:cs="Arial"/>
          <w:color w:val="000000" w:themeColor="text1"/>
          <w:sz w:val="24"/>
        </w:rPr>
        <w:t xml:space="preserve">accreditation program as </w:t>
      </w:r>
      <w:r w:rsidR="00B05540">
        <w:rPr>
          <w:rFonts w:ascii="Arial" w:eastAsia="Times New Roman" w:hAnsi="Arial" w:cs="Arial"/>
          <w:color w:val="000000" w:themeColor="text1"/>
          <w:sz w:val="24"/>
        </w:rPr>
        <w:t xml:space="preserve">quality </w:t>
      </w:r>
      <w:r w:rsidR="00B05540" w:rsidRPr="00E66BF3">
        <w:rPr>
          <w:rFonts w:ascii="Arial" w:eastAsia="Times New Roman" w:hAnsi="Arial" w:cs="Arial"/>
          <w:color w:val="000000" w:themeColor="text1"/>
          <w:sz w:val="24"/>
        </w:rPr>
        <w:t xml:space="preserve">assessors were frequently unable to conduct onsite visits. </w:t>
      </w:r>
      <w:r>
        <w:rPr>
          <w:rFonts w:ascii="Arial" w:eastAsia="Times New Roman" w:hAnsi="Arial" w:cs="Arial"/>
          <w:color w:val="000000" w:themeColor="text1"/>
          <w:sz w:val="24"/>
        </w:rPr>
        <w:t>T</w:t>
      </w:r>
      <w:r w:rsidR="00B05540" w:rsidRPr="00E66BF3">
        <w:rPr>
          <w:rFonts w:ascii="Arial" w:eastAsia="Times New Roman" w:hAnsi="Arial" w:cs="Arial"/>
          <w:color w:val="000000" w:themeColor="text1"/>
          <w:sz w:val="24"/>
        </w:rPr>
        <w:t xml:space="preserve">he Commission initially managed this issue by using an own motion reconsideration power to extend accreditation periods for up to 18 months for lower risk services. In addition, the Commission worked with the </w:t>
      </w:r>
      <w:r w:rsidR="00B05540">
        <w:rPr>
          <w:rFonts w:ascii="Arial" w:eastAsia="Times New Roman" w:hAnsi="Arial" w:cs="Arial"/>
          <w:color w:val="000000" w:themeColor="text1"/>
          <w:sz w:val="24"/>
        </w:rPr>
        <w:t>D</w:t>
      </w:r>
      <w:r w:rsidR="00B05540" w:rsidRPr="00E66BF3">
        <w:rPr>
          <w:rFonts w:ascii="Arial" w:eastAsia="Times New Roman" w:hAnsi="Arial" w:cs="Arial"/>
          <w:color w:val="000000" w:themeColor="text1"/>
          <w:sz w:val="24"/>
        </w:rPr>
        <w:t xml:space="preserve">epartment to ensure continuity of accreditation and subsidy via exceptional circumstances (EC) provisions set out in the </w:t>
      </w:r>
      <w:r w:rsidR="00B05540" w:rsidRPr="00E66BF3">
        <w:rPr>
          <w:rFonts w:ascii="Arial" w:eastAsia="Times New Roman" w:hAnsi="Arial" w:cs="Arial"/>
          <w:i/>
          <w:iCs/>
          <w:color w:val="000000" w:themeColor="text1"/>
          <w:sz w:val="24"/>
        </w:rPr>
        <w:t>Aged Care Act 1997</w:t>
      </w:r>
      <w:r w:rsidR="00B05540" w:rsidRPr="00E66BF3">
        <w:rPr>
          <w:rFonts w:ascii="Arial" w:eastAsia="Times New Roman" w:hAnsi="Arial" w:cs="Arial"/>
          <w:color w:val="000000" w:themeColor="text1"/>
          <w:sz w:val="24"/>
        </w:rPr>
        <w:t xml:space="preserve">, the delegation for which sits with the </w:t>
      </w:r>
      <w:r w:rsidR="00B05540">
        <w:rPr>
          <w:rFonts w:ascii="Arial" w:eastAsia="Times New Roman" w:hAnsi="Arial" w:cs="Arial"/>
          <w:color w:val="000000" w:themeColor="text1"/>
          <w:sz w:val="24"/>
        </w:rPr>
        <w:t>D</w:t>
      </w:r>
      <w:r w:rsidR="00B05540" w:rsidRPr="00E66BF3">
        <w:rPr>
          <w:rFonts w:ascii="Arial" w:eastAsia="Times New Roman" w:hAnsi="Arial" w:cs="Arial"/>
          <w:color w:val="000000" w:themeColor="text1"/>
          <w:sz w:val="24"/>
        </w:rPr>
        <w:t>epartment.</w:t>
      </w:r>
    </w:p>
    <w:p w14:paraId="2F5C8A59" w14:textId="14EA331B" w:rsidR="00B05540" w:rsidRPr="00E66BF3" w:rsidRDefault="00B05540" w:rsidP="007D6517">
      <w:pPr>
        <w:keepLines/>
        <w:spacing w:before="120" w:after="120" w:line="240" w:lineRule="auto"/>
        <w:rPr>
          <w:rFonts w:ascii="Arial" w:eastAsia="Times New Roman" w:hAnsi="Arial" w:cs="Arial"/>
          <w:color w:val="000000" w:themeColor="text1"/>
          <w:sz w:val="24"/>
        </w:rPr>
      </w:pPr>
      <w:r w:rsidRPr="00E66BF3">
        <w:rPr>
          <w:rFonts w:ascii="Arial" w:eastAsia="Times New Roman" w:hAnsi="Arial" w:cs="Arial"/>
          <w:color w:val="000000" w:themeColor="text1"/>
          <w:sz w:val="24"/>
        </w:rPr>
        <w:lastRenderedPageBreak/>
        <w:t xml:space="preserve">The </w:t>
      </w:r>
      <w:r>
        <w:rPr>
          <w:rFonts w:ascii="Arial" w:eastAsia="Times New Roman" w:hAnsi="Arial" w:cs="Arial"/>
          <w:color w:val="000000" w:themeColor="text1"/>
          <w:sz w:val="24"/>
        </w:rPr>
        <w:t>D</w:t>
      </w:r>
      <w:r w:rsidRPr="00E66BF3">
        <w:rPr>
          <w:rFonts w:ascii="Arial" w:eastAsia="Times New Roman" w:hAnsi="Arial" w:cs="Arial"/>
          <w:color w:val="000000" w:themeColor="text1"/>
          <w:sz w:val="24"/>
        </w:rPr>
        <w:t xml:space="preserve">epartment </w:t>
      </w:r>
      <w:r w:rsidR="00671BA5">
        <w:rPr>
          <w:rFonts w:ascii="Arial" w:eastAsia="Times New Roman" w:hAnsi="Arial" w:cs="Arial"/>
          <w:color w:val="000000" w:themeColor="text1"/>
          <w:sz w:val="24"/>
        </w:rPr>
        <w:t xml:space="preserve">has </w:t>
      </w:r>
      <w:r w:rsidRPr="00E66BF3">
        <w:rPr>
          <w:rFonts w:ascii="Arial" w:eastAsia="Times New Roman" w:hAnsi="Arial" w:cs="Arial"/>
          <w:color w:val="000000" w:themeColor="text1"/>
          <w:sz w:val="24"/>
        </w:rPr>
        <w:t xml:space="preserve">expressed concerns about the number of EC requests and the risks associated with not having visibility, through an onsite audit, of the quality and safety of care delivered at services, for potentially five or more years. </w:t>
      </w:r>
      <w:r w:rsidR="00833D08">
        <w:rPr>
          <w:rFonts w:ascii="Arial" w:eastAsia="Times New Roman" w:hAnsi="Arial" w:cs="Arial"/>
          <w:color w:val="000000" w:themeColor="text1"/>
          <w:sz w:val="24"/>
        </w:rPr>
        <w:t>I</w:t>
      </w:r>
      <w:r w:rsidRPr="00E66BF3">
        <w:rPr>
          <w:rFonts w:ascii="Arial" w:eastAsia="Times New Roman" w:hAnsi="Arial" w:cs="Arial"/>
          <w:color w:val="000000" w:themeColor="text1"/>
          <w:sz w:val="24"/>
        </w:rPr>
        <w:t xml:space="preserve"> note the Commission has visited impacted services to undertake other monitoring activities. </w:t>
      </w:r>
    </w:p>
    <w:p w14:paraId="00048B04" w14:textId="77777777" w:rsidR="009B7859" w:rsidRDefault="00B05540" w:rsidP="009B7859">
      <w:pPr>
        <w:spacing w:before="120" w:after="120" w:line="240" w:lineRule="auto"/>
        <w:rPr>
          <w:rFonts w:ascii="Arial" w:eastAsia="Times New Roman" w:hAnsi="Arial" w:cs="Arial"/>
          <w:color w:val="000000" w:themeColor="text1"/>
          <w:sz w:val="24"/>
        </w:rPr>
      </w:pPr>
      <w:r w:rsidRPr="00E66BF3">
        <w:rPr>
          <w:rFonts w:ascii="Arial" w:eastAsia="Times New Roman" w:hAnsi="Arial" w:cs="Arial"/>
          <w:color w:val="000000" w:themeColor="text1"/>
          <w:sz w:val="24"/>
        </w:rPr>
        <w:t>The Department processes EC decisions based on referrals from the Commission. In April 2020 there were 13 services on EC, w</w:t>
      </w:r>
      <w:r>
        <w:rPr>
          <w:rFonts w:ascii="Arial" w:eastAsia="Times New Roman" w:hAnsi="Arial" w:cs="Arial"/>
          <w:color w:val="000000" w:themeColor="text1"/>
          <w:sz w:val="24"/>
        </w:rPr>
        <w:t xml:space="preserve">hilst </w:t>
      </w:r>
      <w:r w:rsidRPr="00E66BF3">
        <w:rPr>
          <w:rFonts w:ascii="Arial" w:eastAsia="Times New Roman" w:hAnsi="Arial" w:cs="Arial"/>
          <w:color w:val="000000" w:themeColor="text1"/>
          <w:sz w:val="24"/>
        </w:rPr>
        <w:t>the total number of services peak</w:t>
      </w:r>
      <w:r>
        <w:rPr>
          <w:rFonts w:ascii="Arial" w:eastAsia="Times New Roman" w:hAnsi="Arial" w:cs="Arial"/>
          <w:color w:val="000000" w:themeColor="text1"/>
          <w:sz w:val="24"/>
        </w:rPr>
        <w:t xml:space="preserve">ed at 863 </w:t>
      </w:r>
      <w:r w:rsidRPr="00E66BF3">
        <w:rPr>
          <w:rFonts w:ascii="Arial" w:eastAsia="Times New Roman" w:hAnsi="Arial" w:cs="Arial"/>
          <w:color w:val="000000" w:themeColor="text1"/>
          <w:sz w:val="24"/>
        </w:rPr>
        <w:t xml:space="preserve">in November 2021. </w:t>
      </w:r>
    </w:p>
    <w:p w14:paraId="71C539A4" w14:textId="3AC09A73" w:rsidR="009B7859" w:rsidRDefault="009B7859" w:rsidP="009B7859">
      <w:pPr>
        <w:spacing w:before="120" w:after="120" w:line="240" w:lineRule="auto"/>
        <w:rPr>
          <w:rFonts w:ascii="Arial" w:eastAsia="Times New Roman" w:hAnsi="Arial" w:cs="Arial"/>
          <w:color w:val="000000" w:themeColor="text1"/>
          <w:sz w:val="24"/>
        </w:rPr>
      </w:pPr>
      <w:r w:rsidRPr="00E66BF3">
        <w:rPr>
          <w:rFonts w:ascii="Arial" w:eastAsia="Times New Roman" w:hAnsi="Arial" w:cs="Arial"/>
          <w:color w:val="000000" w:themeColor="text1"/>
          <w:sz w:val="24"/>
        </w:rPr>
        <w:t xml:space="preserve">As of </w:t>
      </w:r>
      <w:r w:rsidR="0073073B">
        <w:rPr>
          <w:rFonts w:ascii="Arial" w:eastAsia="Times New Roman" w:hAnsi="Arial" w:cs="Arial"/>
          <w:color w:val="000000" w:themeColor="text1"/>
          <w:sz w:val="24"/>
        </w:rPr>
        <w:t>February</w:t>
      </w:r>
      <w:r w:rsidR="0073073B" w:rsidRPr="00E66BF3">
        <w:rPr>
          <w:rFonts w:ascii="Arial" w:eastAsia="Times New Roman" w:hAnsi="Arial" w:cs="Arial"/>
          <w:color w:val="000000" w:themeColor="text1"/>
          <w:sz w:val="24"/>
        </w:rPr>
        <w:t xml:space="preserve"> </w:t>
      </w:r>
      <w:r w:rsidRPr="00E66BF3">
        <w:rPr>
          <w:rFonts w:ascii="Arial" w:eastAsia="Times New Roman" w:hAnsi="Arial" w:cs="Arial"/>
          <w:color w:val="000000" w:themeColor="text1"/>
          <w:sz w:val="24"/>
        </w:rPr>
        <w:t xml:space="preserve">2023, there were </w:t>
      </w:r>
      <w:r w:rsidR="0073073B">
        <w:rPr>
          <w:rFonts w:ascii="Arial" w:eastAsia="Times New Roman" w:hAnsi="Arial" w:cs="Arial"/>
          <w:color w:val="000000" w:themeColor="text1"/>
          <w:sz w:val="24"/>
        </w:rPr>
        <w:t xml:space="preserve">503 </w:t>
      </w:r>
      <w:r w:rsidR="0073073B" w:rsidRPr="00E66BF3">
        <w:rPr>
          <w:rFonts w:ascii="Arial" w:eastAsia="Times New Roman" w:hAnsi="Arial" w:cs="Arial"/>
          <w:color w:val="000000" w:themeColor="text1"/>
          <w:sz w:val="24"/>
        </w:rPr>
        <w:t xml:space="preserve">services </w:t>
      </w:r>
      <w:r w:rsidRPr="00E66BF3">
        <w:rPr>
          <w:rFonts w:ascii="Arial" w:eastAsia="Times New Roman" w:hAnsi="Arial" w:cs="Arial"/>
          <w:color w:val="000000" w:themeColor="text1"/>
          <w:sz w:val="24"/>
        </w:rPr>
        <w:t xml:space="preserve">on EC. The Commission </w:t>
      </w:r>
      <w:r>
        <w:rPr>
          <w:rFonts w:ascii="Arial" w:eastAsia="Times New Roman" w:hAnsi="Arial" w:cs="Arial"/>
          <w:color w:val="000000" w:themeColor="text1"/>
          <w:sz w:val="24"/>
        </w:rPr>
        <w:t>advises</w:t>
      </w:r>
      <w:r w:rsidRPr="00E66BF3">
        <w:rPr>
          <w:rFonts w:ascii="Arial" w:eastAsia="Times New Roman" w:hAnsi="Arial" w:cs="Arial"/>
          <w:color w:val="000000" w:themeColor="text1"/>
          <w:sz w:val="24"/>
        </w:rPr>
        <w:t xml:space="preserve"> </w:t>
      </w:r>
      <w:r>
        <w:rPr>
          <w:rFonts w:ascii="Arial" w:eastAsia="Times New Roman" w:hAnsi="Arial" w:cs="Arial"/>
          <w:color w:val="000000" w:themeColor="text1"/>
          <w:sz w:val="24"/>
        </w:rPr>
        <w:t>they are focused on this issue and that their forecasting indicates “</w:t>
      </w:r>
      <w:r w:rsidRPr="00E66BF3">
        <w:rPr>
          <w:rFonts w:ascii="Arial" w:hAnsi="Arial" w:cs="Arial"/>
          <w:i/>
          <w:iCs/>
          <w:color w:val="000000"/>
          <w:sz w:val="24"/>
          <w:szCs w:val="24"/>
        </w:rPr>
        <w:t xml:space="preserve">the requirement for additional exceptional circumstance decisions will be significantly lower from July </w:t>
      </w:r>
      <w:proofErr w:type="gramStart"/>
      <w:r w:rsidRPr="00E66BF3">
        <w:rPr>
          <w:rFonts w:ascii="Arial" w:hAnsi="Arial" w:cs="Arial"/>
          <w:i/>
          <w:iCs/>
          <w:color w:val="000000"/>
          <w:sz w:val="24"/>
          <w:szCs w:val="24"/>
        </w:rPr>
        <w:t>2023</w:t>
      </w:r>
      <w:r w:rsidRPr="00E66BF3">
        <w:rPr>
          <w:rFonts w:ascii="Calibri" w:hAnsi="Calibri" w:cs="Calibri"/>
          <w:i/>
          <w:iCs/>
          <w:color w:val="000000"/>
        </w:rPr>
        <w:t>.</w:t>
      </w:r>
      <w:r>
        <w:rPr>
          <w:rFonts w:ascii="Arial" w:eastAsia="Times New Roman" w:hAnsi="Arial" w:cs="Arial"/>
          <w:color w:val="000000" w:themeColor="text1"/>
          <w:sz w:val="24"/>
          <w:vertAlign w:val="superscript"/>
        </w:rPr>
        <w:t>“</w:t>
      </w:r>
      <w:proofErr w:type="gramEnd"/>
      <w:r w:rsidR="005C65B7" w:rsidRPr="00E66BF3">
        <w:rPr>
          <w:rFonts w:ascii="Arial" w:eastAsia="Times New Roman" w:hAnsi="Arial" w:cs="Arial"/>
          <w:color w:val="000000" w:themeColor="text1"/>
          <w:sz w:val="24"/>
          <w:vertAlign w:val="superscript"/>
        </w:rPr>
        <w:footnoteReference w:id="86"/>
      </w:r>
    </w:p>
    <w:p w14:paraId="064DA8F2" w14:textId="273E563F" w:rsidR="009B7859" w:rsidRDefault="009B7859" w:rsidP="001364C7">
      <w:pPr>
        <w:spacing w:before="120" w:after="360" w:line="240" w:lineRule="auto"/>
        <w:rPr>
          <w:rFonts w:ascii="Arial" w:eastAsia="Times New Roman" w:hAnsi="Arial" w:cs="Arial"/>
          <w:color w:val="000000" w:themeColor="text1"/>
          <w:sz w:val="24"/>
        </w:rPr>
      </w:pPr>
      <w:r>
        <w:rPr>
          <w:rFonts w:ascii="Arial" w:eastAsia="Times New Roman" w:hAnsi="Arial" w:cs="Arial"/>
          <w:color w:val="000000" w:themeColor="text1"/>
          <w:sz w:val="24"/>
        </w:rPr>
        <w:t>W</w:t>
      </w:r>
      <w:r w:rsidRPr="00E66BF3">
        <w:rPr>
          <w:rFonts w:ascii="Arial" w:eastAsia="Times New Roman" w:hAnsi="Arial" w:cs="Arial"/>
          <w:color w:val="000000" w:themeColor="text1"/>
          <w:sz w:val="24"/>
        </w:rPr>
        <w:t xml:space="preserve">hile the number of requests for EC decisions is trending down, </w:t>
      </w:r>
      <w:r>
        <w:rPr>
          <w:rFonts w:ascii="Arial" w:eastAsia="Times New Roman" w:hAnsi="Arial" w:cs="Arial"/>
          <w:color w:val="000000" w:themeColor="text1"/>
          <w:sz w:val="24"/>
        </w:rPr>
        <w:t xml:space="preserve">I consider the </w:t>
      </w:r>
      <w:r w:rsidRPr="00E66BF3">
        <w:rPr>
          <w:rFonts w:ascii="Arial" w:eastAsia="Times New Roman" w:hAnsi="Arial" w:cs="Arial"/>
          <w:color w:val="000000" w:themeColor="text1"/>
          <w:sz w:val="24"/>
        </w:rPr>
        <w:t xml:space="preserve">Commission must </w:t>
      </w:r>
      <w:r>
        <w:rPr>
          <w:rFonts w:ascii="Arial" w:eastAsia="Times New Roman" w:hAnsi="Arial" w:cs="Arial"/>
          <w:color w:val="000000" w:themeColor="text1"/>
          <w:sz w:val="24"/>
        </w:rPr>
        <w:t>increase</w:t>
      </w:r>
      <w:r w:rsidRPr="00E66BF3">
        <w:rPr>
          <w:rFonts w:ascii="Arial" w:eastAsia="Times New Roman" w:hAnsi="Arial" w:cs="Arial"/>
          <w:color w:val="000000" w:themeColor="text1"/>
          <w:sz w:val="24"/>
        </w:rPr>
        <w:t xml:space="preserve"> its efforts to reduce the number of services covered by EC decisions</w:t>
      </w:r>
      <w:r>
        <w:rPr>
          <w:rFonts w:ascii="Arial" w:eastAsia="Times New Roman" w:hAnsi="Arial" w:cs="Arial"/>
          <w:color w:val="000000" w:themeColor="text1"/>
          <w:sz w:val="24"/>
        </w:rPr>
        <w:t xml:space="preserve"> and work closely with the Department to ensure improved information sharing to identify and address risk and transparent reporting of progress.</w:t>
      </w:r>
    </w:p>
    <w:p w14:paraId="4B10D862" w14:textId="09F20034" w:rsidR="00B05540" w:rsidRDefault="00B05540" w:rsidP="00D73C7D">
      <w:pPr>
        <w:keepNext/>
        <w:spacing w:before="120" w:after="120" w:line="240" w:lineRule="auto"/>
        <w:rPr>
          <w:rFonts w:ascii="Arial" w:eastAsia="Times New Roman" w:hAnsi="Arial" w:cs="Arial"/>
          <w:b/>
          <w:bCs/>
          <w:color w:val="000000" w:themeColor="text1"/>
          <w:sz w:val="20"/>
          <w:szCs w:val="20"/>
        </w:rPr>
      </w:pPr>
      <w:r w:rsidRPr="00AB19BC">
        <w:rPr>
          <w:rFonts w:ascii="Arial" w:eastAsia="Times New Roman" w:hAnsi="Arial" w:cs="Arial"/>
          <w:b/>
          <w:bCs/>
          <w:color w:val="000000" w:themeColor="text1"/>
          <w:sz w:val="24"/>
          <w:szCs w:val="24"/>
        </w:rPr>
        <w:t xml:space="preserve">Figure </w:t>
      </w:r>
      <w:r w:rsidR="00496A8A">
        <w:rPr>
          <w:rFonts w:ascii="Arial" w:eastAsia="Times New Roman" w:hAnsi="Arial" w:cs="Arial"/>
          <w:b/>
          <w:bCs/>
          <w:color w:val="000000" w:themeColor="text1"/>
          <w:sz w:val="24"/>
          <w:szCs w:val="24"/>
        </w:rPr>
        <w:t>5</w:t>
      </w:r>
      <w:r w:rsidRPr="00AB19BC">
        <w:rPr>
          <w:rFonts w:ascii="Arial" w:eastAsia="Times New Roman" w:hAnsi="Arial" w:cs="Arial"/>
          <w:b/>
          <w:bCs/>
          <w:color w:val="000000" w:themeColor="text1"/>
          <w:sz w:val="24"/>
          <w:szCs w:val="24"/>
        </w:rPr>
        <w:t>: Number of services on an EC – April 202</w:t>
      </w:r>
      <w:r w:rsidR="00974DCA">
        <w:rPr>
          <w:rFonts w:ascii="Arial" w:eastAsia="Times New Roman" w:hAnsi="Arial" w:cs="Arial"/>
          <w:b/>
          <w:bCs/>
          <w:color w:val="000000" w:themeColor="text1"/>
          <w:sz w:val="24"/>
          <w:szCs w:val="24"/>
        </w:rPr>
        <w:t>0</w:t>
      </w:r>
      <w:r w:rsidRPr="00AB19BC">
        <w:rPr>
          <w:rFonts w:ascii="Arial" w:eastAsia="Times New Roman" w:hAnsi="Arial" w:cs="Arial"/>
          <w:b/>
          <w:bCs/>
          <w:color w:val="000000" w:themeColor="text1"/>
          <w:sz w:val="24"/>
          <w:szCs w:val="24"/>
        </w:rPr>
        <w:t>-</w:t>
      </w:r>
      <w:r w:rsidR="00201481">
        <w:rPr>
          <w:rFonts w:ascii="Arial" w:eastAsia="Times New Roman" w:hAnsi="Arial" w:cs="Arial"/>
          <w:b/>
          <w:bCs/>
          <w:color w:val="000000" w:themeColor="text1"/>
          <w:sz w:val="24"/>
          <w:szCs w:val="24"/>
        </w:rPr>
        <w:t>February 2023</w:t>
      </w:r>
      <w:r w:rsidR="005C65B7">
        <w:rPr>
          <w:rStyle w:val="FootnoteReference"/>
          <w:rFonts w:ascii="Arial" w:eastAsia="Times New Roman" w:hAnsi="Arial" w:cs="Arial"/>
          <w:b/>
          <w:bCs/>
          <w:color w:val="000000" w:themeColor="text1"/>
          <w:sz w:val="20"/>
          <w:szCs w:val="20"/>
        </w:rPr>
        <w:footnoteReference w:id="87"/>
      </w:r>
    </w:p>
    <w:p w14:paraId="5D932FEF" w14:textId="72CED4C4" w:rsidR="00386B72" w:rsidRDefault="00985742" w:rsidP="00B05540">
      <w:pPr>
        <w:spacing w:before="120" w:after="120" w:line="240" w:lineRule="auto"/>
        <w:rPr>
          <w:rFonts w:ascii="Arial" w:eastAsia="Times New Roman" w:hAnsi="Arial" w:cs="Arial"/>
          <w:b/>
          <w:bCs/>
          <w:color w:val="000000" w:themeColor="text1"/>
          <w:sz w:val="20"/>
          <w:szCs w:val="20"/>
        </w:rPr>
      </w:pPr>
      <w:r>
        <w:rPr>
          <w:noProof/>
        </w:rPr>
        <w:drawing>
          <wp:inline distT="0" distB="0" distL="0" distR="0" wp14:anchorId="03C54B5C" wp14:editId="269CAC68">
            <wp:extent cx="5731510" cy="3038475"/>
            <wp:effectExtent l="0" t="0" r="2540" b="9525"/>
            <wp:docPr id="2" name="Graphic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a:extLst>
                        <a:ext uri="{C183D7F6-B498-43B3-948B-1728B52AA6E4}">
                          <adec:decorative xmlns:adec="http://schemas.microsoft.com/office/drawing/2017/decorative" val="1"/>
                        </a:ext>
                      </a:extLst>
                    </pic:cNvPr>
                    <pic:cNvPicPr/>
                  </pic:nvPicPr>
                  <pic:blipFill>
                    <a:blip r:embed="rId22">
                      <a:extLst>
                        <a:ext uri="{96DAC541-7B7A-43D3-8B79-37D633B846F1}">
                          <asvg:svgBlip xmlns:asvg="http://schemas.microsoft.com/office/drawing/2016/SVG/main" r:embed="rId23"/>
                        </a:ext>
                      </a:extLst>
                    </a:blip>
                    <a:stretch>
                      <a:fillRect/>
                    </a:stretch>
                  </pic:blipFill>
                  <pic:spPr>
                    <a:xfrm>
                      <a:off x="0" y="0"/>
                      <a:ext cx="5731510" cy="3038475"/>
                    </a:xfrm>
                    <a:prstGeom prst="rect">
                      <a:avLst/>
                    </a:prstGeom>
                  </pic:spPr>
                </pic:pic>
              </a:graphicData>
            </a:graphic>
          </wp:inline>
        </w:drawing>
      </w:r>
    </w:p>
    <w:p w14:paraId="5A33D4B5" w14:textId="331D5F70" w:rsidR="00D73C7D" w:rsidRPr="001364C7" w:rsidRDefault="00B05540" w:rsidP="001364C7">
      <w:pPr>
        <w:spacing w:before="120" w:after="120" w:line="240" w:lineRule="auto"/>
        <w:rPr>
          <w:rFonts w:eastAsia="Times New Roman"/>
        </w:rPr>
      </w:pPr>
      <w:r w:rsidRPr="005D0AF3">
        <w:rPr>
          <w:rFonts w:ascii="Arial" w:hAnsi="Arial" w:cs="Arial"/>
          <w:b/>
          <w:bCs/>
          <w:sz w:val="24"/>
          <w:szCs w:val="24"/>
        </w:rPr>
        <w:t xml:space="preserve">Recommendation </w:t>
      </w:r>
      <w:r w:rsidR="00671BA5">
        <w:rPr>
          <w:rFonts w:ascii="Arial" w:hAnsi="Arial" w:cs="Arial"/>
          <w:b/>
          <w:bCs/>
          <w:sz w:val="24"/>
          <w:szCs w:val="24"/>
        </w:rPr>
        <w:t>5.4</w:t>
      </w:r>
      <w:r w:rsidRPr="005D0AF3">
        <w:rPr>
          <w:rFonts w:ascii="Arial" w:hAnsi="Arial" w:cs="Arial"/>
          <w:b/>
          <w:bCs/>
          <w:sz w:val="24"/>
          <w:szCs w:val="24"/>
        </w:rPr>
        <w:t xml:space="preserve">: </w:t>
      </w:r>
      <w:r w:rsidRPr="005D0AF3">
        <w:rPr>
          <w:rFonts w:ascii="Arial" w:hAnsi="Arial" w:cs="Arial"/>
          <w:sz w:val="24"/>
          <w:szCs w:val="24"/>
        </w:rPr>
        <w:t xml:space="preserve">The Commission and the Department </w:t>
      </w:r>
      <w:r w:rsidR="00604F40">
        <w:rPr>
          <w:rFonts w:ascii="Arial" w:hAnsi="Arial" w:cs="Arial"/>
          <w:sz w:val="24"/>
          <w:szCs w:val="24"/>
        </w:rPr>
        <w:t>to</w:t>
      </w:r>
      <w:r w:rsidR="00224303" w:rsidRPr="005D0AF3">
        <w:rPr>
          <w:rFonts w:ascii="Arial" w:hAnsi="Arial" w:cs="Arial"/>
          <w:sz w:val="24"/>
          <w:szCs w:val="24"/>
        </w:rPr>
        <w:t xml:space="preserve"> </w:t>
      </w:r>
      <w:r w:rsidRPr="005D0AF3">
        <w:rPr>
          <w:rFonts w:ascii="Arial" w:hAnsi="Arial" w:cs="Arial"/>
          <w:sz w:val="24"/>
          <w:szCs w:val="24"/>
        </w:rPr>
        <w:t xml:space="preserve">develop a new approach to the use of Exceptional Circumstances decisions and accreditation visits during crises and work together to substantially reduce the number of services covered by EC decisions, by December 2023. Progress </w:t>
      </w:r>
      <w:r w:rsidR="00604F40">
        <w:rPr>
          <w:rFonts w:ascii="Arial" w:hAnsi="Arial" w:cs="Arial"/>
          <w:sz w:val="24"/>
          <w:szCs w:val="24"/>
        </w:rPr>
        <w:t>to</w:t>
      </w:r>
      <w:r w:rsidRPr="005D0AF3">
        <w:rPr>
          <w:rFonts w:ascii="Arial" w:hAnsi="Arial" w:cs="Arial"/>
          <w:sz w:val="24"/>
          <w:szCs w:val="24"/>
        </w:rPr>
        <w:t xml:space="preserve"> be reported to the Joint Strategic Committee</w:t>
      </w:r>
      <w:r w:rsidR="00604F40">
        <w:rPr>
          <w:rFonts w:ascii="Arial" w:hAnsi="Arial" w:cs="Arial"/>
          <w:sz w:val="24"/>
          <w:szCs w:val="24"/>
        </w:rPr>
        <w:t xml:space="preserve"> (see Recommendation 4.2)</w:t>
      </w:r>
      <w:r w:rsidRPr="005D0AF3">
        <w:rPr>
          <w:rFonts w:ascii="Arial" w:hAnsi="Arial" w:cs="Arial"/>
          <w:sz w:val="24"/>
          <w:szCs w:val="24"/>
        </w:rPr>
        <w:t>.</w:t>
      </w:r>
      <w:bookmarkStart w:id="22" w:name="_Toc129118890"/>
    </w:p>
    <w:p w14:paraId="5C32A8DA" w14:textId="71B2249F" w:rsidR="00B05540" w:rsidRPr="00BA2B4A" w:rsidRDefault="00B05540" w:rsidP="007D6517">
      <w:pPr>
        <w:keepNext/>
        <w:rPr>
          <w:rFonts w:ascii="Arial" w:hAnsi="Arial" w:cs="Arial"/>
          <w:b/>
          <w:bCs/>
          <w:sz w:val="28"/>
          <w:szCs w:val="28"/>
        </w:rPr>
      </w:pPr>
      <w:r w:rsidRPr="00BA2B4A">
        <w:rPr>
          <w:rFonts w:ascii="Arial" w:hAnsi="Arial" w:cs="Arial"/>
          <w:b/>
          <w:bCs/>
          <w:sz w:val="28"/>
          <w:szCs w:val="28"/>
        </w:rPr>
        <w:lastRenderedPageBreak/>
        <w:t>5.2 Reconsiderations of reviewable decisions</w:t>
      </w:r>
      <w:bookmarkEnd w:id="22"/>
      <w:r w:rsidRPr="00BA2B4A">
        <w:rPr>
          <w:rFonts w:ascii="Arial" w:hAnsi="Arial" w:cs="Arial"/>
          <w:b/>
          <w:bCs/>
          <w:sz w:val="28"/>
          <w:szCs w:val="28"/>
        </w:rPr>
        <w:t xml:space="preserve"> </w:t>
      </w:r>
    </w:p>
    <w:p w14:paraId="1E84A384" w14:textId="7E0E8321" w:rsidR="00B05540" w:rsidRPr="00E66BF3" w:rsidRDefault="00B05540" w:rsidP="00B05540">
      <w:pPr>
        <w:tabs>
          <w:tab w:val="right" w:leader="dot" w:pos="9016"/>
        </w:tabs>
        <w:spacing w:after="100" w:line="240" w:lineRule="auto"/>
        <w:rPr>
          <w:rFonts w:ascii="Arial" w:hAnsi="Arial" w:cs="Arial"/>
          <w:color w:val="000000"/>
          <w:sz w:val="24"/>
          <w:szCs w:val="24"/>
          <w:shd w:val="clear" w:color="auto" w:fill="FFFFFF"/>
        </w:rPr>
      </w:pPr>
      <w:r>
        <w:rPr>
          <w:rFonts w:ascii="Arial" w:hAnsi="Arial" w:cs="Arial"/>
          <w:color w:val="000000"/>
          <w:sz w:val="24"/>
          <w:szCs w:val="24"/>
          <w:shd w:val="clear" w:color="auto" w:fill="FFFFFF"/>
        </w:rPr>
        <w:t>In</w:t>
      </w:r>
      <w:r w:rsidRPr="00E66BF3">
        <w:rPr>
          <w:rFonts w:ascii="Arial" w:hAnsi="Arial" w:cs="Arial"/>
          <w:sz w:val="24"/>
          <w:szCs w:val="24"/>
        </w:rPr>
        <w:t xml:space="preserve"> its series on the governance of regulators</w:t>
      </w:r>
      <w:r>
        <w:rPr>
          <w:rFonts w:ascii="Arial" w:hAnsi="Arial" w:cs="Arial"/>
          <w:sz w:val="24"/>
          <w:szCs w:val="24"/>
        </w:rPr>
        <w:t xml:space="preserve"> the OECD</w:t>
      </w:r>
      <w:r w:rsidRPr="00E66BF3">
        <w:rPr>
          <w:rFonts w:ascii="Arial" w:hAnsi="Arial" w:cs="Arial"/>
          <w:sz w:val="24"/>
          <w:szCs w:val="24"/>
        </w:rPr>
        <w:t xml:space="preserve"> </w:t>
      </w:r>
      <w:r w:rsidRPr="00E66BF3">
        <w:rPr>
          <w:rFonts w:ascii="Arial" w:hAnsi="Arial" w:cs="Arial"/>
          <w:color w:val="000000"/>
          <w:sz w:val="24"/>
          <w:szCs w:val="24"/>
          <w:shd w:val="clear" w:color="auto" w:fill="FFFFFF"/>
        </w:rPr>
        <w:t xml:space="preserve">notes that an integral part of </w:t>
      </w:r>
      <w:r>
        <w:rPr>
          <w:rFonts w:ascii="Arial" w:hAnsi="Arial" w:cs="Arial"/>
          <w:color w:val="000000"/>
          <w:sz w:val="24"/>
          <w:szCs w:val="24"/>
          <w:shd w:val="clear" w:color="auto" w:fill="FFFFFF"/>
        </w:rPr>
        <w:t xml:space="preserve">building trust and confidence is </w:t>
      </w:r>
      <w:r w:rsidRPr="00E66BF3">
        <w:rPr>
          <w:rFonts w:ascii="Arial" w:hAnsi="Arial" w:cs="Arial"/>
          <w:color w:val="000000"/>
          <w:sz w:val="24"/>
          <w:szCs w:val="24"/>
          <w:shd w:val="clear" w:color="auto" w:fill="FFFFFF"/>
        </w:rPr>
        <w:t>ensuring processes for internal review of delegated decisions and information and access to appeal processes</w:t>
      </w:r>
      <w:r w:rsidR="005C65B7" w:rsidRPr="00E66BF3">
        <w:rPr>
          <w:rFonts w:ascii="Arial" w:hAnsi="Arial" w:cs="Arial"/>
          <w:color w:val="000000"/>
          <w:sz w:val="24"/>
          <w:szCs w:val="24"/>
          <w:shd w:val="clear" w:color="auto" w:fill="FFFFFF"/>
          <w:vertAlign w:val="superscript"/>
        </w:rPr>
        <w:footnoteReference w:id="88"/>
      </w:r>
      <w:r w:rsidRPr="00E66BF3">
        <w:rPr>
          <w:rFonts w:ascii="Arial" w:hAnsi="Arial" w:cs="Arial"/>
          <w:color w:val="000000"/>
          <w:sz w:val="24"/>
          <w:szCs w:val="24"/>
          <w:shd w:val="clear" w:color="auto" w:fill="FFFFFF"/>
        </w:rPr>
        <w:t>.</w:t>
      </w:r>
    </w:p>
    <w:p w14:paraId="6181BD24" w14:textId="717FAD80" w:rsidR="00B05540" w:rsidRPr="00461017" w:rsidRDefault="00B05540" w:rsidP="00B05540">
      <w:pPr>
        <w:spacing w:before="120" w:after="120" w:line="240" w:lineRule="auto"/>
        <w:rPr>
          <w:rFonts w:ascii="Arial" w:hAnsi="Arial" w:cs="Arial"/>
          <w:color w:val="000000" w:themeColor="text1"/>
          <w:sz w:val="24"/>
          <w:szCs w:val="24"/>
          <w:lang w:val="en-US"/>
        </w:rPr>
      </w:pPr>
      <w:r>
        <w:rPr>
          <w:rFonts w:ascii="Arial" w:hAnsi="Arial" w:cs="Arial"/>
          <w:color w:val="000000" w:themeColor="text1"/>
          <w:sz w:val="24"/>
          <w:szCs w:val="24"/>
          <w:lang w:val="en-US"/>
        </w:rPr>
        <w:t>Affected persons</w:t>
      </w:r>
      <w:r w:rsidRPr="00461017">
        <w:rPr>
          <w:rFonts w:ascii="Arial" w:hAnsi="Arial" w:cs="Arial"/>
          <w:color w:val="000000" w:themeColor="text1"/>
          <w:sz w:val="24"/>
          <w:szCs w:val="24"/>
          <w:lang w:val="en-US"/>
        </w:rPr>
        <w:t xml:space="preserve"> </w:t>
      </w:r>
      <w:r>
        <w:rPr>
          <w:rFonts w:ascii="Arial" w:hAnsi="Arial" w:cs="Arial"/>
          <w:color w:val="000000" w:themeColor="text1"/>
          <w:sz w:val="24"/>
          <w:szCs w:val="24"/>
          <w:lang w:val="en-US"/>
        </w:rPr>
        <w:t xml:space="preserve">can apply for reconsideration of certain </w:t>
      </w:r>
      <w:r w:rsidRPr="00461017">
        <w:rPr>
          <w:rFonts w:ascii="Arial" w:hAnsi="Arial" w:cs="Arial"/>
          <w:color w:val="000000" w:themeColor="text1"/>
          <w:sz w:val="24"/>
          <w:szCs w:val="24"/>
          <w:lang w:val="en-US"/>
        </w:rPr>
        <w:t xml:space="preserve">decisions made </w:t>
      </w:r>
      <w:r>
        <w:rPr>
          <w:rFonts w:ascii="Arial" w:hAnsi="Arial" w:cs="Arial"/>
          <w:color w:val="000000" w:themeColor="text1"/>
          <w:sz w:val="24"/>
          <w:szCs w:val="24"/>
          <w:lang w:val="en-US"/>
        </w:rPr>
        <w:t>by the Commission under the Commission Act and Rules</w:t>
      </w:r>
      <w:r w:rsidR="00701DF9">
        <w:rPr>
          <w:rStyle w:val="FootnoteReference"/>
          <w:rFonts w:ascii="Arial" w:hAnsi="Arial" w:cs="Arial"/>
          <w:color w:val="000000" w:themeColor="text1"/>
          <w:sz w:val="24"/>
          <w:szCs w:val="24"/>
          <w:lang w:val="en-US"/>
        </w:rPr>
        <w:footnoteReference w:id="89"/>
      </w:r>
      <w:r w:rsidRPr="00461017">
        <w:rPr>
          <w:rFonts w:ascii="Arial" w:hAnsi="Arial" w:cs="Arial"/>
          <w:color w:val="000000" w:themeColor="text1"/>
          <w:sz w:val="24"/>
          <w:szCs w:val="24"/>
          <w:lang w:val="en-US"/>
        </w:rPr>
        <w:t xml:space="preserve">. </w:t>
      </w:r>
      <w:r w:rsidRPr="00376A4B">
        <w:rPr>
          <w:rFonts w:ascii="Arial" w:hAnsi="Arial" w:cs="Arial"/>
          <w:sz w:val="24"/>
        </w:rPr>
        <w:t>The Commission may also reconsider a decision on its own initiative.</w:t>
      </w:r>
      <w:r>
        <w:rPr>
          <w:rFonts w:ascii="Arial" w:hAnsi="Arial" w:cs="Arial"/>
          <w:sz w:val="24"/>
        </w:rPr>
        <w:t xml:space="preserve"> Reviewable decisions include </w:t>
      </w:r>
      <w:r>
        <w:rPr>
          <w:rFonts w:ascii="Arial" w:hAnsi="Arial" w:cs="Arial"/>
          <w:color w:val="000000" w:themeColor="text1"/>
          <w:sz w:val="24"/>
          <w:szCs w:val="24"/>
          <w:lang w:val="en-US"/>
        </w:rPr>
        <w:t>decisions relating to</w:t>
      </w:r>
      <w:r w:rsidRPr="00461017">
        <w:rPr>
          <w:rFonts w:ascii="Arial" w:hAnsi="Arial" w:cs="Arial"/>
          <w:color w:val="000000" w:themeColor="text1"/>
          <w:sz w:val="24"/>
          <w:szCs w:val="24"/>
          <w:lang w:val="en-US"/>
        </w:rPr>
        <w:t>:</w:t>
      </w:r>
    </w:p>
    <w:p w14:paraId="49420524" w14:textId="77777777" w:rsidR="00B05540" w:rsidRPr="00461017" w:rsidRDefault="00B05540" w:rsidP="001750D5">
      <w:pPr>
        <w:pStyle w:val="ListParagraph"/>
        <w:numPr>
          <w:ilvl w:val="0"/>
          <w:numId w:val="72"/>
        </w:numPr>
        <w:spacing w:before="120" w:after="120" w:line="240" w:lineRule="auto"/>
        <w:rPr>
          <w:rFonts w:ascii="Arial" w:hAnsi="Arial" w:cs="Arial"/>
          <w:color w:val="000000" w:themeColor="text1"/>
          <w:sz w:val="24"/>
          <w:szCs w:val="24"/>
          <w:lang w:val="en-US"/>
        </w:rPr>
      </w:pPr>
      <w:r>
        <w:rPr>
          <w:rFonts w:ascii="Arial" w:hAnsi="Arial" w:cs="Arial"/>
          <w:sz w:val="24"/>
          <w:szCs w:val="24"/>
        </w:rPr>
        <w:t xml:space="preserve">the approval and revocation </w:t>
      </w:r>
      <w:r w:rsidRPr="00461017">
        <w:rPr>
          <w:rFonts w:ascii="Arial" w:hAnsi="Arial" w:cs="Arial"/>
          <w:sz w:val="24"/>
          <w:szCs w:val="24"/>
        </w:rPr>
        <w:t>of a person or body as a provider of aged care</w:t>
      </w:r>
    </w:p>
    <w:p w14:paraId="04CC019C" w14:textId="77777777" w:rsidR="00B05540" w:rsidRPr="00D71BBF" w:rsidRDefault="00B05540" w:rsidP="001750D5">
      <w:pPr>
        <w:pStyle w:val="ListParagraph"/>
        <w:numPr>
          <w:ilvl w:val="0"/>
          <w:numId w:val="72"/>
        </w:numPr>
        <w:spacing w:before="120" w:after="120" w:line="240" w:lineRule="auto"/>
        <w:rPr>
          <w:rFonts w:ascii="Arial" w:hAnsi="Arial" w:cs="Arial"/>
          <w:color w:val="000000" w:themeColor="text1"/>
          <w:sz w:val="24"/>
          <w:szCs w:val="24"/>
          <w:lang w:val="en-US"/>
        </w:rPr>
      </w:pPr>
      <w:r w:rsidRPr="00D71BBF">
        <w:rPr>
          <w:rFonts w:ascii="Arial" w:hAnsi="Arial" w:cs="Arial"/>
          <w:sz w:val="24"/>
          <w:szCs w:val="24"/>
        </w:rPr>
        <w:t>giving a compliance notice to an approved provider, and imposing and not lifting a sanction on an approved provider</w:t>
      </w:r>
    </w:p>
    <w:p w14:paraId="216674BF" w14:textId="77777777" w:rsidR="00B05540" w:rsidRPr="00926BF8" w:rsidRDefault="00B05540" w:rsidP="001750D5">
      <w:pPr>
        <w:pStyle w:val="ListParagraph"/>
        <w:numPr>
          <w:ilvl w:val="0"/>
          <w:numId w:val="72"/>
        </w:numPr>
        <w:spacing w:before="120" w:after="120" w:line="240" w:lineRule="auto"/>
        <w:rPr>
          <w:rFonts w:ascii="Arial" w:hAnsi="Arial" w:cs="Arial"/>
          <w:color w:val="000000" w:themeColor="text1"/>
          <w:sz w:val="24"/>
          <w:szCs w:val="24"/>
          <w:lang w:val="en-US"/>
        </w:rPr>
      </w:pPr>
      <w:r w:rsidRPr="00926BF8">
        <w:rPr>
          <w:rFonts w:ascii="Arial" w:hAnsi="Arial" w:cs="Arial"/>
          <w:color w:val="000000" w:themeColor="text1"/>
          <w:sz w:val="24"/>
          <w:szCs w:val="24"/>
          <w:lang w:val="en-US"/>
        </w:rPr>
        <w:t>accrediting and not accrediting commencing and existing services, the period of accreditation</w:t>
      </w:r>
      <w:r>
        <w:rPr>
          <w:rFonts w:ascii="Arial" w:hAnsi="Arial" w:cs="Arial"/>
          <w:color w:val="000000" w:themeColor="text1"/>
          <w:sz w:val="24"/>
          <w:szCs w:val="24"/>
          <w:lang w:val="en-US"/>
        </w:rPr>
        <w:t xml:space="preserve"> and</w:t>
      </w:r>
      <w:r w:rsidRPr="00926BF8">
        <w:rPr>
          <w:rFonts w:ascii="Arial" w:hAnsi="Arial" w:cs="Arial"/>
          <w:color w:val="000000" w:themeColor="text1"/>
          <w:sz w:val="24"/>
          <w:szCs w:val="24"/>
          <w:lang w:val="en-US"/>
        </w:rPr>
        <w:t xml:space="preserve"> date of effect when a decision is made to revoke accreditation</w:t>
      </w:r>
    </w:p>
    <w:p w14:paraId="72998A44" w14:textId="2289CF3D" w:rsidR="00B05540" w:rsidRPr="00461017" w:rsidRDefault="00B05540" w:rsidP="001750D5">
      <w:pPr>
        <w:pStyle w:val="ListParagraph"/>
        <w:numPr>
          <w:ilvl w:val="0"/>
          <w:numId w:val="72"/>
        </w:numPr>
        <w:spacing w:before="120" w:after="120" w:line="240" w:lineRule="auto"/>
        <w:rPr>
          <w:rFonts w:ascii="Arial" w:hAnsi="Arial" w:cs="Arial"/>
          <w:color w:val="000000" w:themeColor="text1"/>
          <w:sz w:val="24"/>
          <w:szCs w:val="24"/>
          <w:lang w:val="en-US"/>
        </w:rPr>
      </w:pPr>
      <w:r>
        <w:rPr>
          <w:rFonts w:ascii="Arial" w:hAnsi="Arial" w:cs="Arial"/>
          <w:color w:val="000000" w:themeColor="text1"/>
          <w:sz w:val="24"/>
          <w:szCs w:val="24"/>
          <w:lang w:val="en-US"/>
        </w:rPr>
        <w:t>registration of a person as a quality assessor, including cancelling a person’s registration and refusing to register them for a further period</w:t>
      </w:r>
    </w:p>
    <w:p w14:paraId="7CD0DAD7" w14:textId="1BE00A6A" w:rsidR="00201481" w:rsidRDefault="00B05540" w:rsidP="00201481">
      <w:pPr>
        <w:pStyle w:val="ListParagraph"/>
        <w:numPr>
          <w:ilvl w:val="0"/>
          <w:numId w:val="114"/>
        </w:numPr>
        <w:spacing w:line="240" w:lineRule="auto"/>
        <w:rPr>
          <w:rFonts w:ascii="Arial" w:hAnsi="Arial" w:cs="Arial"/>
          <w:sz w:val="24"/>
          <w:szCs w:val="24"/>
        </w:rPr>
      </w:pPr>
      <w:r>
        <w:rPr>
          <w:rFonts w:ascii="Arial" w:hAnsi="Arial" w:cs="Arial"/>
          <w:color w:val="000000" w:themeColor="text1"/>
          <w:sz w:val="24"/>
          <w:szCs w:val="24"/>
          <w:lang w:val="en-US"/>
        </w:rPr>
        <w:t>taking n</w:t>
      </w:r>
      <w:r w:rsidRPr="00461017">
        <w:rPr>
          <w:rFonts w:ascii="Arial" w:hAnsi="Arial" w:cs="Arial"/>
          <w:color w:val="000000" w:themeColor="text1"/>
          <w:sz w:val="24"/>
          <w:szCs w:val="24"/>
          <w:lang w:val="en-US"/>
        </w:rPr>
        <w:t xml:space="preserve">o </w:t>
      </w:r>
      <w:r w:rsidRPr="00461017">
        <w:rPr>
          <w:rFonts w:ascii="Arial" w:hAnsi="Arial" w:cs="Arial"/>
          <w:sz w:val="24"/>
          <w:szCs w:val="24"/>
        </w:rPr>
        <w:t>further action in relation to an issue raised in a complaint or to end a resolution process in relation to an issue raised in a complaint</w:t>
      </w:r>
    </w:p>
    <w:p w14:paraId="3AB8E197" w14:textId="7A635839" w:rsidR="00201481" w:rsidRPr="00201481" w:rsidRDefault="00201481" w:rsidP="00201481">
      <w:pPr>
        <w:pStyle w:val="ListParagraph"/>
        <w:numPr>
          <w:ilvl w:val="0"/>
          <w:numId w:val="72"/>
        </w:numPr>
        <w:spacing w:before="120" w:after="120" w:line="240" w:lineRule="auto"/>
        <w:rPr>
          <w:rFonts w:ascii="Arial" w:hAnsi="Arial" w:cs="Arial"/>
          <w:color w:val="000000" w:themeColor="text1"/>
          <w:sz w:val="24"/>
          <w:szCs w:val="24"/>
          <w:lang w:val="en-US"/>
        </w:rPr>
      </w:pPr>
      <w:r w:rsidRPr="00201481">
        <w:rPr>
          <w:rFonts w:ascii="Arial" w:hAnsi="Arial" w:cs="Arial"/>
          <w:color w:val="000000" w:themeColor="text1"/>
          <w:sz w:val="24"/>
          <w:szCs w:val="24"/>
          <w:lang w:val="en-US"/>
        </w:rPr>
        <w:t xml:space="preserve">the making of a banning order </w:t>
      </w:r>
      <w:r w:rsidR="00CD389D">
        <w:rPr>
          <w:rFonts w:ascii="Arial" w:hAnsi="Arial" w:cs="Arial"/>
          <w:color w:val="000000" w:themeColor="text1"/>
          <w:sz w:val="24"/>
          <w:szCs w:val="24"/>
          <w:lang w:val="en-US"/>
        </w:rPr>
        <w:t>against</w:t>
      </w:r>
      <w:r w:rsidRPr="00201481">
        <w:rPr>
          <w:rFonts w:ascii="Arial" w:hAnsi="Arial" w:cs="Arial"/>
          <w:color w:val="000000" w:themeColor="text1"/>
          <w:sz w:val="24"/>
          <w:szCs w:val="24"/>
          <w:lang w:val="en-US"/>
        </w:rPr>
        <w:t xml:space="preserve"> an individual (including decisions not to vary or revoke the banning order or a condition of the banning order)</w:t>
      </w:r>
    </w:p>
    <w:p w14:paraId="075A4C77" w14:textId="39BE751B" w:rsidR="00B05540" w:rsidRPr="00A81FD4" w:rsidRDefault="00201481" w:rsidP="00201481">
      <w:pPr>
        <w:pStyle w:val="ListParagraph"/>
        <w:numPr>
          <w:ilvl w:val="0"/>
          <w:numId w:val="72"/>
        </w:numPr>
        <w:spacing w:before="120" w:after="120" w:line="240" w:lineRule="auto"/>
        <w:rPr>
          <w:rFonts w:ascii="Arial" w:hAnsi="Arial" w:cs="Arial"/>
          <w:color w:val="000000" w:themeColor="text1"/>
          <w:sz w:val="24"/>
          <w:szCs w:val="24"/>
          <w:lang w:val="en-US"/>
        </w:rPr>
      </w:pPr>
      <w:r w:rsidRPr="00201481">
        <w:rPr>
          <w:rFonts w:ascii="Arial" w:hAnsi="Arial" w:cs="Arial"/>
          <w:color w:val="000000" w:themeColor="text1"/>
          <w:sz w:val="24"/>
          <w:szCs w:val="24"/>
          <w:lang w:val="en-US"/>
        </w:rPr>
        <w:t>suitability of an approved provider or an individual who is one of the key personnel of an approved pr</w:t>
      </w:r>
      <w:r w:rsidRPr="00A81FD4">
        <w:rPr>
          <w:rFonts w:ascii="Arial" w:hAnsi="Arial" w:cs="Arial"/>
          <w:color w:val="000000" w:themeColor="text1"/>
          <w:sz w:val="24"/>
          <w:szCs w:val="24"/>
          <w:lang w:val="en-US"/>
        </w:rPr>
        <w:t xml:space="preserve">ovider (including decision not to vary or revoke the suitability determination) </w:t>
      </w:r>
    </w:p>
    <w:p w14:paraId="2E342B27" w14:textId="54BC6CD7" w:rsidR="00B05540" w:rsidRDefault="00201481" w:rsidP="00B05540">
      <w:pPr>
        <w:spacing w:before="120" w:after="120" w:line="240" w:lineRule="auto"/>
        <w:rPr>
          <w:rFonts w:ascii="Arial" w:hAnsi="Arial" w:cs="Arial"/>
          <w:color w:val="000000"/>
          <w:sz w:val="24"/>
          <w:szCs w:val="24"/>
          <w:shd w:val="clear" w:color="auto" w:fill="FFFFFF"/>
        </w:rPr>
      </w:pPr>
      <w:r>
        <w:rPr>
          <w:rFonts w:ascii="Arial" w:hAnsi="Arial" w:cs="Arial"/>
          <w:color w:val="000000"/>
          <w:sz w:val="24"/>
          <w:szCs w:val="24"/>
          <w:shd w:val="clear" w:color="auto" w:fill="FFFFFF"/>
        </w:rPr>
        <w:t>Performance assessment decisions made in the Quality Assessment and Monitoring Group (QAMG) are preliminary decisions that inform the accreditation decision</w:t>
      </w:r>
      <w:r w:rsidR="00701DF9">
        <w:rPr>
          <w:rFonts w:ascii="Arial" w:hAnsi="Arial" w:cs="Arial"/>
          <w:color w:val="000000"/>
          <w:sz w:val="24"/>
          <w:szCs w:val="24"/>
          <w:shd w:val="clear" w:color="auto" w:fill="FFFFFF"/>
        </w:rPr>
        <w:t>. T</w:t>
      </w:r>
      <w:r>
        <w:rPr>
          <w:rFonts w:ascii="Arial" w:hAnsi="Arial" w:cs="Arial"/>
          <w:color w:val="000000"/>
          <w:sz w:val="24"/>
          <w:szCs w:val="24"/>
          <w:shd w:val="clear" w:color="auto" w:fill="FFFFFF"/>
        </w:rPr>
        <w:t>hese decisions are not reviewable decisions under the legislation</w:t>
      </w:r>
      <w:r w:rsidR="00B05540">
        <w:rPr>
          <w:rFonts w:ascii="Arial" w:hAnsi="Arial" w:cs="Arial"/>
          <w:color w:val="000000"/>
          <w:sz w:val="24"/>
          <w:szCs w:val="24"/>
          <w:shd w:val="clear" w:color="auto" w:fill="FFFFFF"/>
        </w:rPr>
        <w:t>.</w:t>
      </w:r>
      <w:r w:rsidR="005C65B7" w:rsidRPr="00E66BF3">
        <w:rPr>
          <w:rFonts w:ascii="Arial" w:hAnsi="Arial" w:cs="Arial"/>
          <w:color w:val="000000"/>
          <w:sz w:val="24"/>
          <w:szCs w:val="24"/>
          <w:shd w:val="clear" w:color="auto" w:fill="FFFFFF"/>
          <w:vertAlign w:val="superscript"/>
        </w:rPr>
        <w:footnoteReference w:id="90"/>
      </w:r>
    </w:p>
    <w:p w14:paraId="22683A4E" w14:textId="7CB99205" w:rsidR="00B05540" w:rsidRPr="00376A4B" w:rsidRDefault="00701DF9" w:rsidP="00B05540">
      <w:pPr>
        <w:spacing w:before="120" w:after="120" w:line="240" w:lineRule="auto"/>
        <w:rPr>
          <w:rFonts w:ascii="Arial" w:hAnsi="Arial" w:cs="Arial"/>
          <w:color w:val="000000" w:themeColor="text1"/>
          <w:sz w:val="24"/>
          <w:szCs w:val="24"/>
          <w:lang w:val="en-US"/>
        </w:rPr>
      </w:pPr>
      <w:r>
        <w:rPr>
          <w:rFonts w:ascii="Arial" w:hAnsi="Arial" w:cs="Arial"/>
          <w:color w:val="000000" w:themeColor="text1"/>
          <w:sz w:val="24"/>
          <w:szCs w:val="24"/>
          <w:lang w:val="en-US"/>
        </w:rPr>
        <w:t xml:space="preserve">Sections 74K, 74L and 74M of the Commission Act set out the process for requesting a reconsideration of a reviewable decision. </w:t>
      </w:r>
      <w:r w:rsidR="00B05540" w:rsidRPr="00204964">
        <w:rPr>
          <w:rFonts w:ascii="Arial" w:hAnsi="Arial" w:cs="Arial"/>
          <w:color w:val="000000" w:themeColor="text1"/>
          <w:sz w:val="24"/>
          <w:szCs w:val="24"/>
          <w:lang w:val="en-US"/>
        </w:rPr>
        <w:t xml:space="preserve">The Commission’s website </w:t>
      </w:r>
      <w:r w:rsidR="00B05540">
        <w:rPr>
          <w:rFonts w:ascii="Arial" w:hAnsi="Arial" w:cs="Arial"/>
          <w:color w:val="000000" w:themeColor="text1"/>
          <w:sz w:val="24"/>
          <w:szCs w:val="24"/>
          <w:lang w:val="en-US"/>
        </w:rPr>
        <w:t>includes</w:t>
      </w:r>
      <w:r w:rsidR="00B05540" w:rsidRPr="00204964">
        <w:rPr>
          <w:rFonts w:ascii="Arial" w:hAnsi="Arial" w:cs="Arial"/>
          <w:color w:val="000000" w:themeColor="text1"/>
          <w:sz w:val="24"/>
          <w:szCs w:val="24"/>
          <w:lang w:val="en-US"/>
        </w:rPr>
        <w:t xml:space="preserve"> information on the </w:t>
      </w:r>
      <w:r w:rsidR="00B05540">
        <w:rPr>
          <w:rFonts w:ascii="Arial" w:hAnsi="Arial" w:cs="Arial"/>
          <w:color w:val="000000" w:themeColor="text1"/>
          <w:sz w:val="24"/>
          <w:szCs w:val="24"/>
          <w:lang w:val="en-US"/>
        </w:rPr>
        <w:t>Commission’s process and responsibilities, including a Regulatory Bulletin published in March 2022</w:t>
      </w:r>
      <w:r w:rsidR="00B05540" w:rsidRPr="00204964">
        <w:rPr>
          <w:rFonts w:ascii="Arial" w:hAnsi="Arial" w:cs="Arial"/>
          <w:color w:val="000000" w:themeColor="text1"/>
          <w:sz w:val="24"/>
          <w:szCs w:val="24"/>
          <w:lang w:val="en-US"/>
        </w:rPr>
        <w:t>.</w:t>
      </w:r>
      <w:r w:rsidR="00B05540">
        <w:rPr>
          <w:rFonts w:ascii="Arial" w:hAnsi="Arial" w:cs="Arial"/>
          <w:color w:val="000000" w:themeColor="text1"/>
          <w:sz w:val="24"/>
          <w:szCs w:val="24"/>
          <w:lang w:val="en-US"/>
        </w:rPr>
        <w:t xml:space="preserve"> </w:t>
      </w:r>
      <w:r w:rsidR="00B05540" w:rsidRPr="00376A4B">
        <w:rPr>
          <w:rFonts w:ascii="Arial" w:hAnsi="Arial" w:cs="Arial"/>
          <w:color w:val="000000" w:themeColor="text1"/>
          <w:sz w:val="24"/>
          <w:szCs w:val="24"/>
          <w:lang w:val="en-US"/>
        </w:rPr>
        <w:t xml:space="preserve">Requests must be </w:t>
      </w:r>
      <w:r w:rsidR="00B05540">
        <w:rPr>
          <w:rFonts w:ascii="Arial" w:hAnsi="Arial" w:cs="Arial"/>
          <w:color w:val="000000" w:themeColor="text1"/>
          <w:sz w:val="24"/>
          <w:szCs w:val="24"/>
          <w:lang w:val="en-US"/>
        </w:rPr>
        <w:t xml:space="preserve">in writing, set out the reasons for the request and be made </w:t>
      </w:r>
      <w:r w:rsidR="00B05540" w:rsidRPr="00376A4B">
        <w:rPr>
          <w:rFonts w:ascii="Arial" w:hAnsi="Arial" w:cs="Arial"/>
          <w:color w:val="000000" w:themeColor="text1"/>
          <w:sz w:val="24"/>
          <w:szCs w:val="24"/>
          <w:lang w:val="en-US"/>
        </w:rPr>
        <w:t xml:space="preserve">within a specified timeframe. The </w:t>
      </w:r>
      <w:r w:rsidR="00B05540">
        <w:rPr>
          <w:rFonts w:ascii="Arial" w:hAnsi="Arial" w:cs="Arial"/>
          <w:color w:val="000000" w:themeColor="text1"/>
          <w:sz w:val="24"/>
          <w:szCs w:val="24"/>
          <w:lang w:val="en-US"/>
        </w:rPr>
        <w:t xml:space="preserve">reconsideration </w:t>
      </w:r>
      <w:r w:rsidR="00B05540" w:rsidRPr="00376A4B">
        <w:rPr>
          <w:rFonts w:ascii="Arial" w:hAnsi="Arial" w:cs="Arial"/>
          <w:color w:val="000000" w:themeColor="text1"/>
          <w:sz w:val="24"/>
          <w:szCs w:val="24"/>
          <w:lang w:val="en-US"/>
        </w:rPr>
        <w:t>decision must be made by a Commission decision-maker who was not involved in making the original decision and is at least</w:t>
      </w:r>
      <w:r w:rsidR="00B05540">
        <w:rPr>
          <w:rFonts w:ascii="Arial" w:hAnsi="Arial" w:cs="Arial"/>
          <w:color w:val="000000" w:themeColor="text1"/>
          <w:sz w:val="24"/>
          <w:szCs w:val="24"/>
          <w:lang w:val="en-US"/>
        </w:rPr>
        <w:t xml:space="preserve"> at</w:t>
      </w:r>
      <w:r w:rsidR="00B05540" w:rsidRPr="00376A4B">
        <w:rPr>
          <w:rFonts w:ascii="Arial" w:hAnsi="Arial" w:cs="Arial"/>
          <w:color w:val="000000" w:themeColor="text1"/>
          <w:sz w:val="24"/>
          <w:szCs w:val="24"/>
          <w:lang w:val="en-US"/>
        </w:rPr>
        <w:t xml:space="preserve"> the same level as the person who made the decision. The decision-maker reconsiders the original decision on its merits based on administrative law principles and </w:t>
      </w:r>
      <w:r w:rsidR="00B05540" w:rsidRPr="00376A4B">
        <w:rPr>
          <w:rFonts w:ascii="Arial" w:hAnsi="Arial" w:cs="Arial"/>
          <w:sz w:val="24"/>
          <w:szCs w:val="24"/>
        </w:rPr>
        <w:t xml:space="preserve">can consider </w:t>
      </w:r>
      <w:r w:rsidR="00B05540">
        <w:rPr>
          <w:rFonts w:ascii="Arial" w:hAnsi="Arial" w:cs="Arial"/>
          <w:sz w:val="24"/>
          <w:szCs w:val="24"/>
        </w:rPr>
        <w:t xml:space="preserve">all </w:t>
      </w:r>
      <w:r w:rsidR="00B05540" w:rsidRPr="00376A4B">
        <w:rPr>
          <w:rFonts w:ascii="Arial" w:hAnsi="Arial" w:cs="Arial"/>
          <w:sz w:val="24"/>
          <w:szCs w:val="24"/>
        </w:rPr>
        <w:t>relevant information following the original decision, including information or evidence up to the time of the reconsideration decision.</w:t>
      </w:r>
      <w:r w:rsidR="005C65B7">
        <w:rPr>
          <w:rStyle w:val="FootnoteReference"/>
          <w:rFonts w:ascii="Arial" w:hAnsi="Arial" w:cs="Arial"/>
          <w:color w:val="000000" w:themeColor="text1"/>
          <w:sz w:val="24"/>
          <w:szCs w:val="24"/>
          <w:lang w:val="en-US"/>
        </w:rPr>
        <w:footnoteReference w:id="91"/>
      </w:r>
      <w:r w:rsidR="005C65B7">
        <w:rPr>
          <w:rFonts w:ascii="Arial" w:hAnsi="Arial" w:cs="Arial"/>
          <w:sz w:val="24"/>
          <w:szCs w:val="24"/>
        </w:rPr>
        <w:t xml:space="preserve"> </w:t>
      </w:r>
      <w:r w:rsidR="00B05540">
        <w:rPr>
          <w:rFonts w:ascii="Arial" w:hAnsi="Arial" w:cs="Arial"/>
          <w:color w:val="000000" w:themeColor="text1"/>
          <w:sz w:val="24"/>
          <w:szCs w:val="24"/>
          <w:lang w:val="en-US"/>
        </w:rPr>
        <w:t>All reconsideration decisions are made by a team in an area within the Commission which is separate from the operational areas in which the original decisions are made.</w:t>
      </w:r>
    </w:p>
    <w:p w14:paraId="13919296" w14:textId="35F99290" w:rsidR="00B05540" w:rsidRPr="00E66BF3" w:rsidRDefault="00B05540" w:rsidP="007D6517">
      <w:pPr>
        <w:keepLines/>
        <w:spacing w:before="120" w:after="120" w:line="240" w:lineRule="auto"/>
        <w:rPr>
          <w:rFonts w:ascii="Arial" w:hAnsi="Arial" w:cs="Arial"/>
          <w:color w:val="000000"/>
          <w:sz w:val="24"/>
          <w:szCs w:val="24"/>
          <w:shd w:val="clear" w:color="auto" w:fill="FFFFFF"/>
        </w:rPr>
      </w:pPr>
      <w:r w:rsidRPr="00E66BF3">
        <w:rPr>
          <w:rFonts w:ascii="Arial" w:hAnsi="Arial" w:cs="Arial"/>
          <w:color w:val="000000"/>
          <w:sz w:val="24"/>
          <w:szCs w:val="24"/>
          <w:shd w:val="clear" w:color="auto" w:fill="FFFFFF"/>
        </w:rPr>
        <w:lastRenderedPageBreak/>
        <w:t xml:space="preserve">The </w:t>
      </w:r>
      <w:r>
        <w:rPr>
          <w:rFonts w:ascii="Arial" w:hAnsi="Arial" w:cs="Arial"/>
          <w:color w:val="000000"/>
          <w:sz w:val="24"/>
          <w:szCs w:val="24"/>
          <w:shd w:val="clear" w:color="auto" w:fill="FFFFFF"/>
        </w:rPr>
        <w:t>R</w:t>
      </w:r>
      <w:r w:rsidRPr="00E66BF3">
        <w:rPr>
          <w:rFonts w:ascii="Arial" w:hAnsi="Arial" w:cs="Arial"/>
          <w:color w:val="000000"/>
          <w:sz w:val="24"/>
          <w:szCs w:val="24"/>
          <w:shd w:val="clear" w:color="auto" w:fill="FFFFFF"/>
        </w:rPr>
        <w:t>eview heard examples of</w:t>
      </w:r>
      <w:r>
        <w:rPr>
          <w:rFonts w:ascii="Arial" w:hAnsi="Arial" w:cs="Arial"/>
          <w:color w:val="000000"/>
          <w:sz w:val="24"/>
          <w:szCs w:val="24"/>
          <w:shd w:val="clear" w:color="auto" w:fill="FFFFFF"/>
        </w:rPr>
        <w:t xml:space="preserve"> QAMG</w:t>
      </w:r>
      <w:r w:rsidRPr="00E66BF3">
        <w:rPr>
          <w:rFonts w:ascii="Arial" w:hAnsi="Arial" w:cs="Arial"/>
          <w:color w:val="000000"/>
          <w:sz w:val="24"/>
          <w:szCs w:val="24"/>
          <w:shd w:val="clear" w:color="auto" w:fill="FFFFFF"/>
        </w:rPr>
        <w:t xml:space="preserve"> decision-makers refusing to change assessment reports after factual errors had been corrected</w:t>
      </w:r>
      <w:r>
        <w:rPr>
          <w:rFonts w:ascii="Arial" w:hAnsi="Arial" w:cs="Arial"/>
          <w:color w:val="000000"/>
          <w:sz w:val="24"/>
          <w:szCs w:val="24"/>
          <w:shd w:val="clear" w:color="auto" w:fill="FFFFFF"/>
        </w:rPr>
        <w:t xml:space="preserve"> </w:t>
      </w:r>
      <w:r w:rsidRPr="00E66BF3">
        <w:rPr>
          <w:rFonts w:ascii="Arial" w:hAnsi="Arial" w:cs="Arial"/>
          <w:color w:val="000000"/>
          <w:sz w:val="24"/>
          <w:szCs w:val="24"/>
          <w:shd w:val="clear" w:color="auto" w:fill="FFFFFF"/>
        </w:rPr>
        <w:t>and reports of providers being fearful of the Commission’s reaction to them raising concerns about assessment processes and experiences.</w:t>
      </w:r>
      <w:r w:rsidR="005C65B7">
        <w:rPr>
          <w:rFonts w:ascii="Arial" w:hAnsi="Arial" w:cs="Arial"/>
          <w:color w:val="000000"/>
          <w:sz w:val="24"/>
          <w:szCs w:val="24"/>
          <w:shd w:val="clear" w:color="auto" w:fill="FFFFFF"/>
        </w:rPr>
        <w:t xml:space="preserve"> </w:t>
      </w:r>
      <w:r w:rsidRPr="00E66BF3">
        <w:rPr>
          <w:rFonts w:ascii="Arial" w:hAnsi="Arial" w:cs="Arial"/>
          <w:color w:val="000000"/>
          <w:sz w:val="24"/>
          <w:szCs w:val="24"/>
          <w:shd w:val="clear" w:color="auto" w:fill="FFFFFF"/>
        </w:rPr>
        <w:t>Provider peak bodies suggested independent review mechanisms were necessary, and that compliance decisions should not be published until after an appeals process is exhausted.</w:t>
      </w:r>
      <w:r w:rsidR="005C65B7" w:rsidRPr="005C65B7">
        <w:rPr>
          <w:rFonts w:ascii="Arial" w:hAnsi="Arial" w:cs="Arial"/>
          <w:color w:val="000000"/>
          <w:sz w:val="24"/>
          <w:szCs w:val="24"/>
          <w:shd w:val="clear" w:color="auto" w:fill="FFFFFF"/>
          <w:vertAlign w:val="superscript"/>
        </w:rPr>
        <w:t xml:space="preserve"> </w:t>
      </w:r>
    </w:p>
    <w:p w14:paraId="52B14C93" w14:textId="38742E94" w:rsidR="00B05540" w:rsidRDefault="00B05540" w:rsidP="00D73C7D">
      <w:pPr>
        <w:keepLines/>
        <w:rPr>
          <w:rFonts w:ascii="Arial" w:hAnsi="Arial" w:cs="Arial"/>
          <w:color w:val="000000"/>
          <w:sz w:val="24"/>
          <w:szCs w:val="24"/>
          <w:shd w:val="clear" w:color="auto" w:fill="FFFFFF"/>
        </w:rPr>
      </w:pPr>
      <w:r>
        <w:rPr>
          <w:rFonts w:ascii="Arial" w:hAnsi="Arial" w:cs="Arial"/>
          <w:color w:val="000000"/>
          <w:sz w:val="24"/>
          <w:szCs w:val="24"/>
          <w:shd w:val="clear" w:color="auto" w:fill="FFFFFF"/>
        </w:rPr>
        <w:t>As many</w:t>
      </w:r>
      <w:r w:rsidRPr="00E66BF3">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QAMG </w:t>
      </w:r>
      <w:r w:rsidRPr="00E66BF3">
        <w:rPr>
          <w:rFonts w:ascii="Arial" w:hAnsi="Arial" w:cs="Arial"/>
          <w:color w:val="000000"/>
          <w:sz w:val="24"/>
          <w:szCs w:val="24"/>
          <w:shd w:val="clear" w:color="auto" w:fill="FFFFFF"/>
        </w:rPr>
        <w:t>performance</w:t>
      </w:r>
      <w:r>
        <w:rPr>
          <w:rFonts w:ascii="Arial" w:hAnsi="Arial" w:cs="Arial"/>
          <w:color w:val="000000"/>
          <w:sz w:val="24"/>
          <w:szCs w:val="24"/>
          <w:shd w:val="clear" w:color="auto" w:fill="FFFFFF"/>
        </w:rPr>
        <w:t xml:space="preserve"> assessment </w:t>
      </w:r>
      <w:r w:rsidRPr="00E66BF3">
        <w:rPr>
          <w:rFonts w:ascii="Arial" w:hAnsi="Arial" w:cs="Arial"/>
          <w:color w:val="000000"/>
          <w:sz w:val="24"/>
          <w:szCs w:val="24"/>
          <w:shd w:val="clear" w:color="auto" w:fill="FFFFFF"/>
        </w:rPr>
        <w:t>decisions are not reviewable under the legislation</w:t>
      </w:r>
      <w:r w:rsidRPr="00AB15E1">
        <w:rPr>
          <w:rFonts w:ascii="Arial" w:hAnsi="Arial" w:cs="Arial"/>
          <w:color w:val="000000"/>
          <w:sz w:val="24"/>
          <w:szCs w:val="24"/>
          <w:shd w:val="clear" w:color="auto" w:fill="FFFFFF"/>
        </w:rPr>
        <w:t>, the impact on providers of poor</w:t>
      </w:r>
      <w:r w:rsidRPr="00E66BF3">
        <w:rPr>
          <w:rFonts w:ascii="Arial" w:hAnsi="Arial" w:cs="Arial"/>
          <w:sz w:val="24"/>
          <w:szCs w:val="24"/>
        </w:rPr>
        <w:t>-quality assessment reports and administrative decision making which fails to encompass procedural fairness is significant</w:t>
      </w:r>
      <w:r w:rsidRPr="00E66BF3">
        <w:rPr>
          <w:rFonts w:ascii="Arial" w:hAnsi="Arial" w:cs="Arial"/>
          <w:sz w:val="24"/>
          <w:szCs w:val="24"/>
          <w:shd w:val="clear" w:color="auto" w:fill="FFFFFF"/>
        </w:rPr>
        <w:t>.</w:t>
      </w:r>
      <w:r w:rsidRPr="00E66BF3">
        <w:rPr>
          <w:rFonts w:ascii="Arial" w:hAnsi="Arial" w:cs="Arial"/>
          <w:sz w:val="24"/>
          <w:szCs w:val="24"/>
        </w:rPr>
        <w:t xml:space="preserve"> The practical implications include providers being required to remedy issues which do not exist, being subject to further unnecessary assessment from the </w:t>
      </w:r>
      <w:r w:rsidRPr="00E66BF3">
        <w:rPr>
          <w:rFonts w:ascii="Arial" w:hAnsi="Arial" w:cs="Arial"/>
          <w:color w:val="000000"/>
          <w:sz w:val="24"/>
          <w:szCs w:val="24"/>
          <w:shd w:val="clear" w:color="auto" w:fill="FFFFFF"/>
        </w:rPr>
        <w:t xml:space="preserve">Commission, having published assessment reports and a star rating </w:t>
      </w:r>
      <w:r w:rsidRPr="00E66BF3">
        <w:rPr>
          <w:rFonts w:ascii="Arial" w:hAnsi="Arial" w:cs="Arial"/>
          <w:sz w:val="24"/>
          <w:szCs w:val="24"/>
        </w:rPr>
        <w:t>which are unfairly based on inaccurate information</w:t>
      </w:r>
      <w:r>
        <w:rPr>
          <w:rFonts w:ascii="Arial" w:hAnsi="Arial" w:cs="Arial"/>
          <w:sz w:val="24"/>
          <w:szCs w:val="24"/>
        </w:rPr>
        <w:t xml:space="preserve">, and possible </w:t>
      </w:r>
      <w:r w:rsidRPr="00E66BF3">
        <w:rPr>
          <w:rFonts w:ascii="Arial" w:hAnsi="Arial" w:cs="Arial"/>
          <w:sz w:val="24"/>
          <w:szCs w:val="24"/>
        </w:rPr>
        <w:t>impacts on ongoing funding</w:t>
      </w:r>
      <w:r w:rsidRPr="00E66BF3">
        <w:rPr>
          <w:rFonts w:ascii="Arial" w:hAnsi="Arial" w:cs="Arial"/>
          <w:color w:val="000000"/>
          <w:sz w:val="24"/>
          <w:szCs w:val="24"/>
          <w:shd w:val="clear" w:color="auto" w:fill="FFFFFF"/>
        </w:rPr>
        <w:t>.</w:t>
      </w:r>
    </w:p>
    <w:p w14:paraId="76D37333" w14:textId="77777777" w:rsidR="00B05540" w:rsidRPr="00E66BF3" w:rsidRDefault="00B05540" w:rsidP="00B05540">
      <w:pPr>
        <w:spacing w:before="120" w:after="120" w:line="240" w:lineRule="auto"/>
        <w:rPr>
          <w:rFonts w:ascii="Arial" w:hAnsi="Arial" w:cs="Arial"/>
          <w:color w:val="000000"/>
          <w:sz w:val="24"/>
          <w:szCs w:val="24"/>
          <w:shd w:val="clear" w:color="auto" w:fill="FFFFFF"/>
        </w:rPr>
      </w:pPr>
      <w:r w:rsidRPr="00E66BF3">
        <w:rPr>
          <w:rFonts w:ascii="Arial" w:hAnsi="Arial" w:cs="Arial"/>
          <w:color w:val="000000"/>
          <w:sz w:val="24"/>
          <w:szCs w:val="24"/>
          <w:shd w:val="clear" w:color="auto" w:fill="FFFFFF"/>
        </w:rPr>
        <w:t xml:space="preserve">There also appeared to be a level of confusion regarding who can review decisions, with some stakeholders believing the original decision maker, or someone at a lower level to the original decision maker, is involved – neither of which is the case. </w:t>
      </w:r>
    </w:p>
    <w:p w14:paraId="28F75687" w14:textId="77777777" w:rsidR="00B05540" w:rsidRPr="00E66BF3" w:rsidRDefault="00B05540" w:rsidP="00B05540">
      <w:pPr>
        <w:spacing w:before="120" w:after="120"/>
        <w:rPr>
          <w:rFonts w:ascii="Arial" w:hAnsi="Arial" w:cs="Arial"/>
          <w:color w:val="000000"/>
          <w:sz w:val="24"/>
          <w:szCs w:val="24"/>
          <w:shd w:val="clear" w:color="auto" w:fill="FFFFFF"/>
        </w:rPr>
      </w:pPr>
      <w:r w:rsidRPr="00E66BF3">
        <w:rPr>
          <w:rFonts w:ascii="Arial" w:eastAsia="Times New Roman" w:hAnsi="Arial" w:cs="Arial"/>
          <w:sz w:val="24"/>
          <w:szCs w:val="24"/>
        </w:rPr>
        <w:t xml:space="preserve">The </w:t>
      </w:r>
      <w:r>
        <w:rPr>
          <w:rFonts w:ascii="Arial" w:eastAsia="Times New Roman" w:hAnsi="Arial" w:cs="Arial"/>
          <w:sz w:val="24"/>
          <w:szCs w:val="24"/>
        </w:rPr>
        <w:t xml:space="preserve">Review also notes the </w:t>
      </w:r>
      <w:r w:rsidRPr="00E66BF3">
        <w:rPr>
          <w:rFonts w:ascii="Arial" w:hAnsi="Arial" w:cs="Arial"/>
          <w:color w:val="000000"/>
          <w:sz w:val="24"/>
          <w:szCs w:val="24"/>
          <w:shd w:val="clear" w:color="auto" w:fill="FFFFFF"/>
        </w:rPr>
        <w:t xml:space="preserve">number of </w:t>
      </w:r>
      <w:r>
        <w:rPr>
          <w:rFonts w:ascii="Arial" w:hAnsi="Arial" w:cs="Arial"/>
          <w:color w:val="000000"/>
          <w:sz w:val="24"/>
          <w:szCs w:val="24"/>
          <w:shd w:val="clear" w:color="auto" w:fill="FFFFFF"/>
        </w:rPr>
        <w:t>reconsideration</w:t>
      </w:r>
      <w:r w:rsidRPr="00E66BF3">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 xml:space="preserve">requests </w:t>
      </w:r>
      <w:r w:rsidRPr="00E66BF3">
        <w:rPr>
          <w:rFonts w:ascii="Arial" w:hAnsi="Arial" w:cs="Arial"/>
          <w:color w:val="000000"/>
          <w:sz w:val="24"/>
          <w:szCs w:val="24"/>
          <w:shd w:val="clear" w:color="auto" w:fill="FFFFFF"/>
        </w:rPr>
        <w:t xml:space="preserve">in 2021-22 appears low. Conversely, the number of decisions upheld following review is high. </w:t>
      </w:r>
    </w:p>
    <w:p w14:paraId="33BF3B35" w14:textId="77777777" w:rsidR="00B05540" w:rsidRPr="00E66BF3" w:rsidRDefault="00B05540" w:rsidP="001750D5">
      <w:pPr>
        <w:numPr>
          <w:ilvl w:val="0"/>
          <w:numId w:val="7"/>
        </w:numPr>
        <w:spacing w:before="120" w:after="120" w:line="240" w:lineRule="auto"/>
        <w:ind w:left="357" w:hanging="357"/>
        <w:rPr>
          <w:rFonts w:ascii="Arial" w:eastAsia="Times New Roman" w:hAnsi="Arial" w:cs="Arial"/>
          <w:sz w:val="24"/>
          <w:szCs w:val="24"/>
        </w:rPr>
      </w:pPr>
      <w:r w:rsidRPr="00E66BF3">
        <w:rPr>
          <w:rFonts w:ascii="Arial" w:eastAsia="Times New Roman" w:hAnsi="Arial" w:cs="Arial"/>
          <w:sz w:val="24"/>
          <w:szCs w:val="24"/>
        </w:rPr>
        <w:t xml:space="preserve">Complaints: 121 requests for review were received – 80 were finalised, and 5 were set aside </w:t>
      </w:r>
      <w:proofErr w:type="gramStart"/>
      <w:r w:rsidRPr="00E66BF3">
        <w:rPr>
          <w:rFonts w:ascii="Arial" w:eastAsia="Times New Roman" w:hAnsi="Arial" w:cs="Arial"/>
          <w:sz w:val="24"/>
          <w:szCs w:val="24"/>
        </w:rPr>
        <w:t>in order to</w:t>
      </w:r>
      <w:proofErr w:type="gramEnd"/>
      <w:r w:rsidRPr="00E66BF3">
        <w:rPr>
          <w:rFonts w:ascii="Arial" w:eastAsia="Times New Roman" w:hAnsi="Arial" w:cs="Arial"/>
          <w:sz w:val="24"/>
          <w:szCs w:val="24"/>
        </w:rPr>
        <w:t xml:space="preserve"> undertake a new resolution process.</w:t>
      </w:r>
    </w:p>
    <w:p w14:paraId="4A4F22A4" w14:textId="77777777" w:rsidR="00B05540" w:rsidRPr="00E66BF3" w:rsidRDefault="00B05540" w:rsidP="001750D5">
      <w:pPr>
        <w:numPr>
          <w:ilvl w:val="0"/>
          <w:numId w:val="7"/>
        </w:numPr>
        <w:spacing w:before="120" w:after="120" w:line="240" w:lineRule="auto"/>
        <w:ind w:left="357" w:hanging="357"/>
        <w:rPr>
          <w:rFonts w:ascii="Arial" w:eastAsia="Times New Roman" w:hAnsi="Arial" w:cs="Arial"/>
          <w:sz w:val="24"/>
          <w:szCs w:val="24"/>
        </w:rPr>
      </w:pPr>
      <w:r w:rsidRPr="00E66BF3">
        <w:rPr>
          <w:rFonts w:ascii="Arial" w:eastAsia="Times New Roman" w:hAnsi="Arial" w:cs="Arial"/>
          <w:sz w:val="24"/>
          <w:szCs w:val="24"/>
        </w:rPr>
        <w:t>Accreditation: 4 requests for review were received and all 4 decisions were affirmed.</w:t>
      </w:r>
    </w:p>
    <w:p w14:paraId="58F0C4DE" w14:textId="3E566319" w:rsidR="00B05540" w:rsidRPr="00E66BF3" w:rsidRDefault="00B05540" w:rsidP="001750D5">
      <w:pPr>
        <w:numPr>
          <w:ilvl w:val="0"/>
          <w:numId w:val="7"/>
        </w:numPr>
        <w:spacing w:before="120" w:after="120" w:line="240" w:lineRule="auto"/>
        <w:ind w:left="357" w:hanging="357"/>
        <w:rPr>
          <w:rFonts w:ascii="Arial" w:eastAsia="Times New Roman" w:hAnsi="Arial" w:cs="Arial"/>
          <w:sz w:val="24"/>
          <w:szCs w:val="24"/>
        </w:rPr>
      </w:pPr>
      <w:r w:rsidRPr="00E66BF3">
        <w:rPr>
          <w:rFonts w:ascii="Arial" w:eastAsia="Times New Roman" w:hAnsi="Arial" w:cs="Arial"/>
          <w:sz w:val="24"/>
          <w:szCs w:val="24"/>
        </w:rPr>
        <w:t>Compliance matters: 3 requests were received – 2 decisions were affirmed, and 1 decision was varied.</w:t>
      </w:r>
      <w:r w:rsidR="004110E7" w:rsidRPr="00E66BF3">
        <w:rPr>
          <w:rFonts w:ascii="Arial" w:eastAsia="Times New Roman" w:hAnsi="Arial" w:cs="Arial"/>
          <w:sz w:val="24"/>
          <w:szCs w:val="24"/>
          <w:vertAlign w:val="superscript"/>
        </w:rPr>
        <w:footnoteReference w:id="92"/>
      </w:r>
    </w:p>
    <w:p w14:paraId="27BD69F1" w14:textId="77777777" w:rsidR="00B05540" w:rsidRDefault="00B05540" w:rsidP="00B05540">
      <w:pPr>
        <w:spacing w:before="120" w:after="120"/>
        <w:rPr>
          <w:rFonts w:ascii="Arial" w:hAnsi="Arial" w:cs="Arial"/>
          <w:color w:val="000000"/>
          <w:sz w:val="24"/>
          <w:szCs w:val="24"/>
          <w:shd w:val="clear" w:color="auto" w:fill="FFFFFF"/>
        </w:rPr>
      </w:pPr>
      <w:r w:rsidRPr="00E66BF3">
        <w:rPr>
          <w:rFonts w:ascii="Arial" w:hAnsi="Arial" w:cs="Arial"/>
          <w:color w:val="000000"/>
          <w:sz w:val="24"/>
          <w:szCs w:val="24"/>
          <w:shd w:val="clear" w:color="auto" w:fill="FFFFFF"/>
        </w:rPr>
        <w:t xml:space="preserve">The review process requires attention to prevent a situation where approved providers are impacted by incorrect administrative decisions. </w:t>
      </w:r>
      <w:r>
        <w:rPr>
          <w:rFonts w:ascii="Arial" w:hAnsi="Arial" w:cs="Arial"/>
          <w:color w:val="000000"/>
          <w:sz w:val="24"/>
          <w:szCs w:val="24"/>
          <w:shd w:val="clear" w:color="auto" w:fill="FFFFFF"/>
        </w:rPr>
        <w:t>The</w:t>
      </w:r>
      <w:r w:rsidRPr="00E66BF3">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Commission should review its current processes to assure itself that:</w:t>
      </w:r>
    </w:p>
    <w:p w14:paraId="28960E9B" w14:textId="77777777" w:rsidR="00B05540" w:rsidRDefault="00B05540" w:rsidP="001750D5">
      <w:pPr>
        <w:numPr>
          <w:ilvl w:val="0"/>
          <w:numId w:val="7"/>
        </w:numPr>
        <w:spacing w:before="120" w:after="120" w:line="240" w:lineRule="auto"/>
        <w:ind w:left="357" w:hanging="357"/>
        <w:rPr>
          <w:rFonts w:ascii="Arial" w:hAnsi="Arial" w:cs="Arial"/>
          <w:color w:val="000000"/>
          <w:sz w:val="24"/>
          <w:szCs w:val="24"/>
          <w:shd w:val="clear" w:color="auto" w:fill="FFFFFF"/>
        </w:rPr>
      </w:pPr>
      <w:r>
        <w:rPr>
          <w:rFonts w:ascii="Arial" w:eastAsia="Times New Roman" w:hAnsi="Arial" w:cs="Arial"/>
          <w:sz w:val="24"/>
          <w:szCs w:val="24"/>
        </w:rPr>
        <w:t xml:space="preserve">all </w:t>
      </w:r>
      <w:r w:rsidRPr="00373200">
        <w:rPr>
          <w:rFonts w:ascii="Arial" w:eastAsia="Times New Roman" w:hAnsi="Arial" w:cs="Arial"/>
          <w:sz w:val="24"/>
          <w:szCs w:val="24"/>
        </w:rPr>
        <w:t>administrative</w:t>
      </w:r>
      <w:r w:rsidRPr="00E66BF3">
        <w:rPr>
          <w:rFonts w:ascii="Arial" w:hAnsi="Arial" w:cs="Arial"/>
          <w:color w:val="000000"/>
          <w:sz w:val="24"/>
          <w:szCs w:val="24"/>
          <w:shd w:val="clear" w:color="auto" w:fill="FFFFFF"/>
        </w:rPr>
        <w:t xml:space="preserve"> decision</w:t>
      </w:r>
      <w:r>
        <w:rPr>
          <w:rFonts w:ascii="Arial" w:hAnsi="Arial" w:cs="Arial"/>
          <w:color w:val="000000"/>
          <w:sz w:val="24"/>
          <w:szCs w:val="24"/>
          <w:shd w:val="clear" w:color="auto" w:fill="FFFFFF"/>
        </w:rPr>
        <w:t xml:space="preserve"> making i</w:t>
      </w:r>
      <w:r w:rsidRPr="00E66BF3">
        <w:rPr>
          <w:rFonts w:ascii="Arial" w:hAnsi="Arial" w:cs="Arial"/>
          <w:color w:val="000000"/>
          <w:sz w:val="24"/>
          <w:szCs w:val="24"/>
          <w:shd w:val="clear" w:color="auto" w:fill="FFFFFF"/>
        </w:rPr>
        <w:t>ncorporates procedural fairness</w:t>
      </w:r>
    </w:p>
    <w:p w14:paraId="1FBB11CC" w14:textId="77777777" w:rsidR="00B05540" w:rsidRPr="00373200" w:rsidRDefault="00B05540" w:rsidP="001750D5">
      <w:pPr>
        <w:numPr>
          <w:ilvl w:val="0"/>
          <w:numId w:val="73"/>
        </w:numPr>
        <w:spacing w:before="120" w:after="120" w:line="240" w:lineRule="auto"/>
        <w:rPr>
          <w:rFonts w:ascii="Arial" w:hAnsi="Arial" w:cs="Arial"/>
          <w:color w:val="000000"/>
          <w:sz w:val="24"/>
          <w:szCs w:val="24"/>
          <w:shd w:val="clear" w:color="auto" w:fill="FFFFFF"/>
        </w:rPr>
      </w:pPr>
      <w:r w:rsidRPr="00373200">
        <w:rPr>
          <w:rFonts w:ascii="Arial" w:hAnsi="Arial" w:cs="Arial"/>
          <w:color w:val="000000"/>
          <w:sz w:val="24"/>
          <w:szCs w:val="24"/>
          <w:shd w:val="clear" w:color="auto" w:fill="FFFFFF"/>
        </w:rPr>
        <w:t xml:space="preserve">reconsideration decisions </w:t>
      </w:r>
      <w:r>
        <w:rPr>
          <w:rFonts w:ascii="Arial" w:hAnsi="Arial" w:cs="Arial"/>
          <w:color w:val="000000"/>
          <w:sz w:val="24"/>
          <w:szCs w:val="24"/>
          <w:shd w:val="clear" w:color="auto" w:fill="FFFFFF"/>
        </w:rPr>
        <w:t xml:space="preserve">include consideration of whether the </w:t>
      </w:r>
      <w:r w:rsidRPr="00373200">
        <w:rPr>
          <w:rFonts w:ascii="Arial" w:hAnsi="Arial" w:cs="Arial"/>
          <w:color w:val="000000"/>
          <w:sz w:val="24"/>
          <w:szCs w:val="24"/>
          <w:shd w:val="clear" w:color="auto" w:fill="FFFFFF"/>
        </w:rPr>
        <w:t xml:space="preserve">facts relied upon </w:t>
      </w:r>
      <w:r>
        <w:rPr>
          <w:rFonts w:ascii="Arial" w:hAnsi="Arial" w:cs="Arial"/>
          <w:color w:val="000000"/>
          <w:sz w:val="24"/>
          <w:szCs w:val="24"/>
          <w:shd w:val="clear" w:color="auto" w:fill="FFFFFF"/>
        </w:rPr>
        <w:t xml:space="preserve">by the original decision maker </w:t>
      </w:r>
      <w:r w:rsidRPr="00373200">
        <w:rPr>
          <w:rFonts w:ascii="Arial" w:hAnsi="Arial" w:cs="Arial"/>
          <w:color w:val="000000"/>
          <w:sz w:val="24"/>
          <w:szCs w:val="24"/>
          <w:shd w:val="clear" w:color="auto" w:fill="FFFFFF"/>
        </w:rPr>
        <w:t xml:space="preserve">were accurate in the first place, and </w:t>
      </w:r>
    </w:p>
    <w:p w14:paraId="66A68F81" w14:textId="77777777" w:rsidR="00B05540" w:rsidRPr="00773CE7" w:rsidRDefault="00B05540" w:rsidP="001750D5">
      <w:pPr>
        <w:pStyle w:val="ListParagraph"/>
        <w:numPr>
          <w:ilvl w:val="0"/>
          <w:numId w:val="73"/>
        </w:numPr>
        <w:spacing w:before="120" w:after="120"/>
        <w:rPr>
          <w:rFonts w:ascii="Arial" w:hAnsi="Arial" w:cs="Arial"/>
          <w:color w:val="000000"/>
          <w:sz w:val="24"/>
          <w:szCs w:val="24"/>
          <w:shd w:val="clear" w:color="auto" w:fill="FFFFFF"/>
        </w:rPr>
      </w:pPr>
      <w:r>
        <w:rPr>
          <w:rFonts w:ascii="Arial" w:hAnsi="Arial" w:cs="Arial"/>
          <w:color w:val="000000"/>
          <w:sz w:val="24"/>
          <w:szCs w:val="24"/>
          <w:shd w:val="clear" w:color="auto" w:fill="FFFFFF"/>
        </w:rPr>
        <w:t>t</w:t>
      </w:r>
      <w:r w:rsidRPr="00773CE7">
        <w:rPr>
          <w:rFonts w:ascii="Arial" w:hAnsi="Arial" w:cs="Arial"/>
          <w:color w:val="000000"/>
          <w:sz w:val="24"/>
          <w:szCs w:val="24"/>
          <w:shd w:val="clear" w:color="auto" w:fill="FFFFFF"/>
        </w:rPr>
        <w:t xml:space="preserve">he information on review rights is understood and supported in practice by a genuine commitment across the organisation to procedural fairness. </w:t>
      </w:r>
    </w:p>
    <w:p w14:paraId="0332EC73" w14:textId="1BFFE375" w:rsidR="00B05540" w:rsidRPr="005D0AF3" w:rsidRDefault="00B05540" w:rsidP="00B05540">
      <w:pPr>
        <w:spacing w:before="120" w:after="120" w:line="240" w:lineRule="auto"/>
        <w:rPr>
          <w:rFonts w:ascii="Arial" w:eastAsia="Times New Roman" w:hAnsi="Arial" w:cs="Arial"/>
          <w:color w:val="313131"/>
          <w:sz w:val="24"/>
          <w:szCs w:val="24"/>
          <w:lang w:eastAsia="en-AU"/>
        </w:rPr>
      </w:pPr>
      <w:r w:rsidRPr="005D0AF3">
        <w:rPr>
          <w:rFonts w:ascii="Arial" w:hAnsi="Arial" w:cs="Arial"/>
          <w:b/>
          <w:bCs/>
          <w:sz w:val="24"/>
          <w:szCs w:val="24"/>
        </w:rPr>
        <w:t xml:space="preserve">Recommendation </w:t>
      </w:r>
      <w:r w:rsidR="00671BA5">
        <w:rPr>
          <w:rFonts w:ascii="Arial" w:hAnsi="Arial" w:cs="Arial"/>
          <w:b/>
          <w:bCs/>
          <w:sz w:val="24"/>
          <w:szCs w:val="24"/>
        </w:rPr>
        <w:t>5.</w:t>
      </w:r>
      <w:r w:rsidR="00701DF9" w:rsidRPr="00701DF9">
        <w:rPr>
          <w:rFonts w:ascii="Arial" w:hAnsi="Arial" w:cs="Arial"/>
          <w:b/>
          <w:bCs/>
          <w:sz w:val="24"/>
          <w:szCs w:val="24"/>
        </w:rPr>
        <w:t xml:space="preserve"> </w:t>
      </w:r>
      <w:r w:rsidR="00701DF9" w:rsidRPr="00626A3B">
        <w:rPr>
          <w:rFonts w:ascii="Arial" w:hAnsi="Arial" w:cs="Arial"/>
          <w:b/>
          <w:bCs/>
          <w:sz w:val="24"/>
          <w:szCs w:val="24"/>
        </w:rPr>
        <w:t>5</w:t>
      </w:r>
      <w:r w:rsidRPr="005D0AF3">
        <w:rPr>
          <w:rFonts w:ascii="Arial" w:hAnsi="Arial" w:cs="Arial"/>
          <w:b/>
          <w:bCs/>
          <w:sz w:val="24"/>
          <w:szCs w:val="24"/>
        </w:rPr>
        <w:t xml:space="preserve">: </w:t>
      </w:r>
      <w:r w:rsidRPr="005D0AF3">
        <w:rPr>
          <w:rFonts w:ascii="Arial" w:eastAsia="Times New Roman" w:hAnsi="Arial" w:cs="Arial"/>
          <w:color w:val="313131"/>
          <w:sz w:val="24"/>
          <w:szCs w:val="24"/>
          <w:lang w:eastAsia="en-AU"/>
        </w:rPr>
        <w:t xml:space="preserve">The Commission </w:t>
      </w:r>
      <w:r w:rsidR="00604F40">
        <w:rPr>
          <w:rFonts w:ascii="Arial" w:eastAsia="Times New Roman" w:hAnsi="Arial" w:cs="Arial"/>
          <w:color w:val="313131"/>
          <w:sz w:val="24"/>
          <w:szCs w:val="24"/>
          <w:lang w:eastAsia="en-AU"/>
        </w:rPr>
        <w:t>to</w:t>
      </w:r>
      <w:r w:rsidRPr="005D0AF3">
        <w:rPr>
          <w:rFonts w:ascii="Arial" w:eastAsia="Times New Roman" w:hAnsi="Arial" w:cs="Arial"/>
          <w:color w:val="313131"/>
          <w:sz w:val="24"/>
          <w:szCs w:val="24"/>
          <w:lang w:eastAsia="en-AU"/>
        </w:rPr>
        <w:t xml:space="preserve"> embed </w:t>
      </w:r>
      <w:r w:rsidR="00CD389D">
        <w:rPr>
          <w:rFonts w:ascii="Arial" w:eastAsia="Times New Roman" w:hAnsi="Arial" w:cs="Arial"/>
          <w:color w:val="313131"/>
          <w:sz w:val="24"/>
          <w:szCs w:val="24"/>
          <w:lang w:eastAsia="en-AU"/>
        </w:rPr>
        <w:t xml:space="preserve">in policy </w:t>
      </w:r>
      <w:r w:rsidRPr="005D0AF3">
        <w:rPr>
          <w:rFonts w:ascii="Arial" w:eastAsia="Times New Roman" w:hAnsi="Arial" w:cs="Arial"/>
          <w:color w:val="313131"/>
          <w:sz w:val="24"/>
          <w:szCs w:val="24"/>
          <w:lang w:eastAsia="en-AU"/>
        </w:rPr>
        <w:t xml:space="preserve">the right to seek a review of decisions preceding a formal compliance decision </w:t>
      </w:r>
      <w:proofErr w:type="gramStart"/>
      <w:r w:rsidRPr="005D0AF3">
        <w:rPr>
          <w:rFonts w:ascii="Arial" w:eastAsia="Times New Roman" w:hAnsi="Arial" w:cs="Arial"/>
          <w:color w:val="313131"/>
          <w:sz w:val="24"/>
          <w:szCs w:val="24"/>
          <w:lang w:eastAsia="en-AU"/>
        </w:rPr>
        <w:t>in order to</w:t>
      </w:r>
      <w:proofErr w:type="gramEnd"/>
      <w:r w:rsidRPr="005D0AF3">
        <w:rPr>
          <w:rFonts w:ascii="Arial" w:eastAsia="Times New Roman" w:hAnsi="Arial" w:cs="Arial"/>
          <w:color w:val="313131"/>
          <w:sz w:val="24"/>
          <w:szCs w:val="24"/>
          <w:lang w:eastAsia="en-AU"/>
        </w:rPr>
        <w:t xml:space="preserve"> strengthen procedural fairness and actively promote this </w:t>
      </w:r>
      <w:r w:rsidR="00701DF9">
        <w:rPr>
          <w:rFonts w:ascii="Arial" w:eastAsia="Times New Roman" w:hAnsi="Arial" w:cs="Arial"/>
          <w:color w:val="313131"/>
          <w:sz w:val="24"/>
          <w:szCs w:val="24"/>
          <w:lang w:eastAsia="en-AU"/>
        </w:rPr>
        <w:t>by improving the transparency and communication of decision review arrangements. Reviews must be undertaken by separate reviewers</w:t>
      </w:r>
      <w:r w:rsidRPr="005D0AF3">
        <w:rPr>
          <w:rFonts w:ascii="Arial" w:eastAsia="Times New Roman" w:hAnsi="Arial" w:cs="Arial"/>
          <w:color w:val="313131"/>
          <w:sz w:val="24"/>
          <w:szCs w:val="24"/>
          <w:lang w:eastAsia="en-AU"/>
        </w:rPr>
        <w:t xml:space="preserve"> </w:t>
      </w:r>
      <w:r w:rsidR="00671BA5">
        <w:rPr>
          <w:rFonts w:ascii="Arial" w:eastAsia="Times New Roman" w:hAnsi="Arial" w:cs="Arial"/>
          <w:color w:val="313131"/>
          <w:sz w:val="24"/>
          <w:szCs w:val="24"/>
          <w:lang w:eastAsia="en-AU"/>
        </w:rPr>
        <w:t>(</w:t>
      </w:r>
      <w:r w:rsidRPr="005D0AF3">
        <w:rPr>
          <w:rFonts w:ascii="Arial" w:eastAsia="Times New Roman" w:hAnsi="Arial" w:cs="Arial"/>
          <w:color w:val="313131"/>
          <w:sz w:val="24"/>
          <w:szCs w:val="24"/>
          <w:lang w:eastAsia="en-AU"/>
        </w:rPr>
        <w:t>Authorised Review Officers</w:t>
      </w:r>
      <w:r w:rsidR="00671BA5">
        <w:rPr>
          <w:rFonts w:ascii="Arial" w:eastAsia="Times New Roman" w:hAnsi="Arial" w:cs="Arial"/>
          <w:color w:val="313131"/>
          <w:sz w:val="24"/>
          <w:szCs w:val="24"/>
          <w:lang w:eastAsia="en-AU"/>
        </w:rPr>
        <w:t>)</w:t>
      </w:r>
      <w:r w:rsidRPr="005D0AF3">
        <w:rPr>
          <w:rFonts w:ascii="Arial" w:eastAsia="Times New Roman" w:hAnsi="Arial" w:cs="Arial"/>
          <w:color w:val="313131"/>
          <w:sz w:val="24"/>
          <w:szCs w:val="24"/>
          <w:lang w:eastAsia="en-AU"/>
        </w:rPr>
        <w:t xml:space="preserve">. </w:t>
      </w:r>
    </w:p>
    <w:p w14:paraId="0D2B3E6C" w14:textId="08E318B8" w:rsidR="00232621" w:rsidRPr="00E66BF3" w:rsidRDefault="00B05540" w:rsidP="001364C7">
      <w:pPr>
        <w:spacing w:before="120" w:after="360" w:line="240" w:lineRule="auto"/>
        <w:rPr>
          <w:rFonts w:ascii="Arial" w:eastAsia="Times New Roman" w:hAnsi="Arial" w:cs="Arial"/>
          <w:color w:val="313131"/>
          <w:sz w:val="24"/>
          <w:szCs w:val="24"/>
          <w:lang w:eastAsia="en-AU"/>
        </w:rPr>
      </w:pPr>
      <w:r w:rsidRPr="005D0AF3">
        <w:rPr>
          <w:rFonts w:ascii="Arial" w:hAnsi="Arial" w:cs="Arial"/>
          <w:b/>
          <w:bCs/>
          <w:sz w:val="24"/>
          <w:szCs w:val="24"/>
        </w:rPr>
        <w:t xml:space="preserve">Recommendation </w:t>
      </w:r>
      <w:r w:rsidR="00671BA5">
        <w:rPr>
          <w:rFonts w:ascii="Arial" w:hAnsi="Arial" w:cs="Arial"/>
          <w:b/>
          <w:bCs/>
          <w:sz w:val="24"/>
          <w:szCs w:val="24"/>
        </w:rPr>
        <w:t>5.6</w:t>
      </w:r>
      <w:r w:rsidRPr="005D0AF3">
        <w:rPr>
          <w:rFonts w:ascii="Arial" w:hAnsi="Arial" w:cs="Arial"/>
          <w:b/>
          <w:bCs/>
          <w:sz w:val="24"/>
          <w:szCs w:val="24"/>
        </w:rPr>
        <w:t xml:space="preserve">: </w:t>
      </w:r>
      <w:r w:rsidRPr="005D0AF3">
        <w:rPr>
          <w:rFonts w:ascii="Arial" w:eastAsia="Times New Roman" w:hAnsi="Arial" w:cs="Arial"/>
          <w:color w:val="313131"/>
          <w:sz w:val="24"/>
          <w:szCs w:val="24"/>
          <w:lang w:eastAsia="en-AU"/>
        </w:rPr>
        <w:t xml:space="preserve">The Department </w:t>
      </w:r>
      <w:r w:rsidR="00604F40">
        <w:rPr>
          <w:rFonts w:ascii="Arial" w:eastAsia="Times New Roman" w:hAnsi="Arial" w:cs="Arial"/>
          <w:color w:val="313131"/>
          <w:sz w:val="24"/>
          <w:szCs w:val="24"/>
          <w:lang w:eastAsia="en-AU"/>
        </w:rPr>
        <w:t>to</w:t>
      </w:r>
      <w:r w:rsidRPr="005D0AF3">
        <w:rPr>
          <w:rFonts w:ascii="Arial" w:eastAsia="Times New Roman" w:hAnsi="Arial" w:cs="Arial"/>
          <w:color w:val="313131"/>
          <w:sz w:val="24"/>
          <w:szCs w:val="24"/>
          <w:lang w:eastAsia="en-AU"/>
        </w:rPr>
        <w:t xml:space="preserve"> consider </w:t>
      </w:r>
      <w:r w:rsidR="00B13F49">
        <w:rPr>
          <w:rFonts w:ascii="Arial" w:eastAsia="Times New Roman" w:hAnsi="Arial" w:cs="Arial"/>
          <w:color w:val="313131"/>
          <w:sz w:val="24"/>
          <w:szCs w:val="24"/>
          <w:lang w:eastAsia="en-AU"/>
        </w:rPr>
        <w:t>expanding the range of</w:t>
      </w:r>
      <w:r w:rsidRPr="005D0AF3">
        <w:rPr>
          <w:rFonts w:ascii="Arial" w:eastAsia="Times New Roman" w:hAnsi="Arial" w:cs="Arial"/>
          <w:color w:val="313131"/>
          <w:sz w:val="24"/>
          <w:szCs w:val="24"/>
          <w:lang w:eastAsia="en-AU"/>
        </w:rPr>
        <w:t xml:space="preserve"> reviewable decisions under the new Aged Care Act.</w:t>
      </w:r>
    </w:p>
    <w:p w14:paraId="1296F199" w14:textId="77777777" w:rsidR="00B05540" w:rsidRPr="00BA2B4A" w:rsidRDefault="00B05540" w:rsidP="00BA2B4A">
      <w:pPr>
        <w:rPr>
          <w:rFonts w:ascii="Arial" w:hAnsi="Arial" w:cs="Arial"/>
          <w:b/>
          <w:bCs/>
          <w:sz w:val="28"/>
          <w:szCs w:val="28"/>
        </w:rPr>
      </w:pPr>
      <w:bookmarkStart w:id="23" w:name="_Toc129118891"/>
      <w:r w:rsidRPr="00BA2B4A">
        <w:rPr>
          <w:rFonts w:ascii="Arial" w:hAnsi="Arial" w:cs="Arial"/>
          <w:b/>
          <w:bCs/>
          <w:sz w:val="28"/>
          <w:szCs w:val="28"/>
        </w:rPr>
        <w:lastRenderedPageBreak/>
        <w:t>5.3 Complaints processes</w:t>
      </w:r>
      <w:bookmarkEnd w:id="23"/>
    </w:p>
    <w:p w14:paraId="43BF2AC3" w14:textId="18896A6D" w:rsidR="00B05540" w:rsidRPr="00E66BF3" w:rsidRDefault="00B05540" w:rsidP="00B05540">
      <w:pPr>
        <w:spacing w:before="120" w:after="120" w:line="240" w:lineRule="auto"/>
        <w:rPr>
          <w:rFonts w:ascii="Arial" w:eastAsia="Times New Roman" w:hAnsi="Arial" w:cs="Arial"/>
          <w:sz w:val="24"/>
          <w:szCs w:val="24"/>
        </w:rPr>
      </w:pPr>
      <w:r w:rsidRPr="00E66BF3">
        <w:rPr>
          <w:rFonts w:ascii="Arial" w:eastAsia="Times New Roman" w:hAnsi="Arial" w:cs="Arial"/>
          <w:sz w:val="24"/>
          <w:szCs w:val="24"/>
        </w:rPr>
        <w:t xml:space="preserve">The Royal Commission recognised that an effective and transparent complaints management process is vital in identifying and addressing quality and safety issues before consumers are significantly affected and informing a culture of continuous improvement in the sector. </w:t>
      </w:r>
    </w:p>
    <w:p w14:paraId="17D84CD0" w14:textId="5C2BA973" w:rsidR="00B05540" w:rsidRPr="00E66BF3" w:rsidRDefault="00B05540" w:rsidP="00B05540">
      <w:pPr>
        <w:spacing w:before="120" w:after="120" w:line="240" w:lineRule="auto"/>
        <w:rPr>
          <w:rFonts w:ascii="Arial" w:eastAsia="Times New Roman" w:hAnsi="Arial" w:cs="Arial"/>
          <w:sz w:val="24"/>
          <w:szCs w:val="24"/>
        </w:rPr>
      </w:pPr>
      <w:r w:rsidRPr="00E66BF3">
        <w:rPr>
          <w:rFonts w:ascii="Arial" w:eastAsia="Times New Roman" w:hAnsi="Arial" w:cs="Arial"/>
          <w:sz w:val="24"/>
          <w:szCs w:val="24"/>
        </w:rPr>
        <w:t xml:space="preserve">The </w:t>
      </w:r>
      <w:r w:rsidR="001D1BE2">
        <w:rPr>
          <w:rFonts w:ascii="Arial" w:eastAsia="Times New Roman" w:hAnsi="Arial" w:cs="Arial"/>
          <w:sz w:val="24"/>
          <w:szCs w:val="24"/>
        </w:rPr>
        <w:t xml:space="preserve">Royal </w:t>
      </w:r>
      <w:r w:rsidRPr="00E66BF3">
        <w:rPr>
          <w:rFonts w:ascii="Arial" w:eastAsia="Times New Roman" w:hAnsi="Arial" w:cs="Arial"/>
          <w:sz w:val="24"/>
          <w:szCs w:val="24"/>
        </w:rPr>
        <w:t xml:space="preserve">Commission highlighted the importance of a strengthened and more transparent complaints process, where the regulator </w:t>
      </w:r>
      <w:r w:rsidRPr="00E66BF3">
        <w:rPr>
          <w:rFonts w:ascii="Arial" w:hAnsi="Arial" w:cs="Arial"/>
          <w:color w:val="000000"/>
          <w:sz w:val="24"/>
          <w:shd w:val="clear" w:color="auto" w:fill="FFFFFF"/>
        </w:rPr>
        <w:t xml:space="preserve">closely </w:t>
      </w:r>
      <w:r w:rsidRPr="00E66BF3">
        <w:rPr>
          <w:rFonts w:ascii="Arial" w:eastAsia="Times New Roman" w:hAnsi="Arial" w:cs="Arial"/>
          <w:sz w:val="24"/>
          <w:szCs w:val="24"/>
        </w:rPr>
        <w:t>examines</w:t>
      </w:r>
      <w:r w:rsidRPr="00E66BF3">
        <w:rPr>
          <w:rFonts w:ascii="Arial" w:hAnsi="Arial" w:cs="Arial"/>
          <w:color w:val="000000"/>
          <w:sz w:val="24"/>
          <w:shd w:val="clear" w:color="auto" w:fill="FFFFFF"/>
        </w:rPr>
        <w:t xml:space="preserve"> provider complaints handling arrangements, talks to more consumers about their experiences when assessing provider performance, provides better information to older people on how to make a complaint and access advocacy, seeks complainants’ views before closing their complaint</w:t>
      </w:r>
      <w:r>
        <w:rPr>
          <w:rFonts w:ascii="Arial" w:hAnsi="Arial" w:cs="Arial"/>
          <w:color w:val="000000"/>
          <w:sz w:val="24"/>
          <w:shd w:val="clear" w:color="auto" w:fill="FFFFFF"/>
        </w:rPr>
        <w:t xml:space="preserve">, </w:t>
      </w:r>
      <w:r w:rsidRPr="00E66BF3">
        <w:rPr>
          <w:rFonts w:ascii="Arial" w:hAnsi="Arial" w:cs="Arial"/>
          <w:color w:val="000000"/>
          <w:sz w:val="24"/>
          <w:shd w:val="clear" w:color="auto" w:fill="FFFFFF"/>
        </w:rPr>
        <w:t>provides complainants with better information on the outcome of their complaint and reports more detailed information on complaints, including the number, nature and outcome of complaints by provider and service.</w:t>
      </w:r>
      <w:r w:rsidR="004110E7" w:rsidRPr="00E66BF3">
        <w:rPr>
          <w:rFonts w:ascii="Arial" w:hAnsi="Arial" w:cs="Arial"/>
          <w:color w:val="000000"/>
          <w:sz w:val="24"/>
          <w:shd w:val="clear" w:color="auto" w:fill="FFFFFF"/>
          <w:vertAlign w:val="superscript"/>
        </w:rPr>
        <w:footnoteReference w:id="93"/>
      </w:r>
    </w:p>
    <w:p w14:paraId="60079676" w14:textId="681E1505" w:rsidR="00B05540" w:rsidRPr="00E66BF3" w:rsidRDefault="00B05540" w:rsidP="00B05540">
      <w:pPr>
        <w:spacing w:before="120" w:after="120" w:line="240" w:lineRule="auto"/>
        <w:rPr>
          <w:rFonts w:ascii="Arial" w:eastAsia="Times New Roman" w:hAnsi="Arial" w:cs="Arial"/>
          <w:sz w:val="24"/>
          <w:szCs w:val="24"/>
        </w:rPr>
      </w:pPr>
      <w:r w:rsidRPr="00E66BF3">
        <w:rPr>
          <w:rFonts w:ascii="Arial" w:eastAsia="Times New Roman" w:hAnsi="Arial" w:cs="Arial"/>
          <w:sz w:val="24"/>
          <w:szCs w:val="24"/>
        </w:rPr>
        <w:t xml:space="preserve">The Review heard several of the issues identified in the Royal Commission continue. Examples were provided of complainants waiting a long time to receive a response from the Commission, not receiving advice that their complaint had been finalised, “feeling ignored” and believing that the Commission is focused on closing complaints rather than resolving </w:t>
      </w:r>
      <w:proofErr w:type="gramStart"/>
      <w:r w:rsidRPr="00E66BF3">
        <w:rPr>
          <w:rFonts w:ascii="Arial" w:eastAsia="Times New Roman" w:hAnsi="Arial" w:cs="Arial"/>
          <w:sz w:val="24"/>
          <w:szCs w:val="24"/>
        </w:rPr>
        <w:t>them</w:t>
      </w:r>
      <w:r w:rsidR="00D85D66">
        <w:rPr>
          <w:rFonts w:ascii="Arial" w:eastAsia="Times New Roman" w:hAnsi="Arial" w:cs="Arial"/>
          <w:sz w:val="24"/>
          <w:szCs w:val="24"/>
        </w:rPr>
        <w:t>, and</w:t>
      </w:r>
      <w:proofErr w:type="gramEnd"/>
      <w:r w:rsidR="00D85D66">
        <w:rPr>
          <w:rFonts w:ascii="Arial" w:eastAsia="Times New Roman" w:hAnsi="Arial" w:cs="Arial"/>
          <w:sz w:val="24"/>
          <w:szCs w:val="24"/>
        </w:rPr>
        <w:t xml:space="preserve"> concerns that complaints have not been appropriately addressed</w:t>
      </w:r>
      <w:r w:rsidR="004110E7" w:rsidRPr="00E66BF3">
        <w:rPr>
          <w:rFonts w:ascii="Arial" w:eastAsia="Times New Roman" w:hAnsi="Arial" w:cs="Arial"/>
          <w:sz w:val="24"/>
          <w:szCs w:val="24"/>
        </w:rPr>
        <w:t>.</w:t>
      </w:r>
    </w:p>
    <w:p w14:paraId="1E2410F9" w14:textId="24D922E5" w:rsidR="00B05540" w:rsidRPr="00E66BF3" w:rsidRDefault="00B05540" w:rsidP="00B05540">
      <w:pPr>
        <w:spacing w:before="120" w:after="120" w:line="240" w:lineRule="auto"/>
        <w:ind w:left="720"/>
        <w:rPr>
          <w:rFonts w:ascii="Arial" w:eastAsia="Times New Roman" w:hAnsi="Arial" w:cs="Arial"/>
          <w:sz w:val="24"/>
          <w:szCs w:val="24"/>
        </w:rPr>
      </w:pPr>
      <w:r w:rsidRPr="00E66BF3">
        <w:rPr>
          <w:rFonts w:ascii="Arial" w:eastAsia="Times New Roman" w:hAnsi="Arial" w:cs="Arial"/>
          <w:sz w:val="24"/>
          <w:szCs w:val="24"/>
        </w:rPr>
        <w:t xml:space="preserve">“… </w:t>
      </w:r>
      <w:r w:rsidRPr="00E66BF3">
        <w:rPr>
          <w:rFonts w:ascii="Arial" w:eastAsia="Times New Roman" w:hAnsi="Arial" w:cs="Arial"/>
          <w:i/>
          <w:iCs/>
          <w:sz w:val="24"/>
          <w:szCs w:val="24"/>
        </w:rPr>
        <w:t xml:space="preserve">carers </w:t>
      </w:r>
      <w:r w:rsidR="00D85D66">
        <w:rPr>
          <w:rFonts w:ascii="Arial" w:eastAsia="Times New Roman" w:hAnsi="Arial" w:cs="Arial"/>
          <w:i/>
          <w:iCs/>
          <w:sz w:val="24"/>
          <w:szCs w:val="24"/>
        </w:rPr>
        <w:t xml:space="preserve">who </w:t>
      </w:r>
      <w:r w:rsidRPr="00E66BF3">
        <w:rPr>
          <w:rFonts w:ascii="Arial" w:eastAsia="Times New Roman" w:hAnsi="Arial" w:cs="Arial"/>
          <w:i/>
          <w:iCs/>
          <w:sz w:val="24"/>
          <w:szCs w:val="24"/>
        </w:rPr>
        <w:t>make complaints report that they are not provided enough information about the progress or outcome of complaints”.</w:t>
      </w:r>
      <w:r w:rsidR="00C02A3E">
        <w:rPr>
          <w:rFonts w:ascii="Arial" w:eastAsia="Times New Roman" w:hAnsi="Arial" w:cs="Arial"/>
          <w:i/>
          <w:iCs/>
          <w:sz w:val="24"/>
          <w:szCs w:val="24"/>
        </w:rPr>
        <w:t xml:space="preserve"> (Peak body)</w:t>
      </w:r>
    </w:p>
    <w:p w14:paraId="62B9C115" w14:textId="29323C51" w:rsidR="00CD5E82" w:rsidRDefault="00B05540" w:rsidP="00B05540">
      <w:pPr>
        <w:spacing w:before="120" w:after="120" w:line="240" w:lineRule="auto"/>
        <w:rPr>
          <w:rFonts w:ascii="Arial" w:eastAsia="Times New Roman" w:hAnsi="Arial" w:cs="Arial"/>
          <w:sz w:val="24"/>
          <w:szCs w:val="24"/>
        </w:rPr>
      </w:pPr>
      <w:r w:rsidRPr="00E66BF3">
        <w:rPr>
          <w:rFonts w:ascii="Arial" w:eastAsia="Times New Roman" w:hAnsi="Arial" w:cs="Arial"/>
          <w:sz w:val="24"/>
          <w:szCs w:val="24"/>
        </w:rPr>
        <w:t xml:space="preserve">Similarly, there was a call for </w:t>
      </w:r>
      <w:r w:rsidR="00D85D66">
        <w:rPr>
          <w:rFonts w:ascii="Arial" w:eastAsia="Times New Roman" w:hAnsi="Arial" w:cs="Arial"/>
          <w:sz w:val="24"/>
          <w:szCs w:val="24"/>
        </w:rPr>
        <w:t>increased understanding of</w:t>
      </w:r>
      <w:r w:rsidRPr="00E66BF3">
        <w:rPr>
          <w:rFonts w:ascii="Arial" w:eastAsia="Times New Roman" w:hAnsi="Arial" w:cs="Arial"/>
          <w:sz w:val="24"/>
          <w:szCs w:val="24"/>
        </w:rPr>
        <w:t xml:space="preserve"> complaints processes to </w:t>
      </w:r>
    </w:p>
    <w:p w14:paraId="68ABEDB5" w14:textId="488AAF3B" w:rsidR="00B05540" w:rsidRPr="00E66BF3" w:rsidRDefault="00B05540" w:rsidP="00CD5E82">
      <w:pPr>
        <w:spacing w:before="120" w:after="120" w:line="240" w:lineRule="auto"/>
        <w:ind w:left="720"/>
        <w:rPr>
          <w:rFonts w:ascii="Arial" w:eastAsia="Times New Roman" w:hAnsi="Arial" w:cs="Arial"/>
          <w:sz w:val="24"/>
          <w:szCs w:val="24"/>
        </w:rPr>
      </w:pPr>
      <w:r>
        <w:rPr>
          <w:rFonts w:ascii="Arial" w:eastAsia="Times New Roman" w:hAnsi="Arial" w:cs="Arial"/>
          <w:i/>
          <w:iCs/>
          <w:sz w:val="24"/>
          <w:szCs w:val="24"/>
        </w:rPr>
        <w:t xml:space="preserve">“… </w:t>
      </w:r>
      <w:r w:rsidRPr="00E66BF3">
        <w:rPr>
          <w:rFonts w:ascii="Arial" w:eastAsia="Times New Roman" w:hAnsi="Arial" w:cs="Arial"/>
          <w:i/>
          <w:iCs/>
          <w:sz w:val="24"/>
          <w:szCs w:val="24"/>
        </w:rPr>
        <w:t>address concerns reported by carers that they are hesitant to make complaints about aged care services due to potential retribution by providers following reporting of concerns</w:t>
      </w:r>
      <w:r w:rsidRPr="00E66BF3">
        <w:rPr>
          <w:rFonts w:ascii="Arial" w:eastAsia="Times New Roman" w:hAnsi="Arial" w:cs="Arial"/>
          <w:sz w:val="24"/>
          <w:szCs w:val="24"/>
        </w:rPr>
        <w:t>”</w:t>
      </w:r>
      <w:r w:rsidR="00D85D66">
        <w:rPr>
          <w:rFonts w:ascii="Arial" w:eastAsia="Times New Roman" w:hAnsi="Arial" w:cs="Arial"/>
          <w:sz w:val="24"/>
          <w:szCs w:val="24"/>
        </w:rPr>
        <w:t xml:space="preserve"> </w:t>
      </w:r>
      <w:r w:rsidR="00D85D66" w:rsidRPr="00D85D66">
        <w:rPr>
          <w:rFonts w:ascii="Arial" w:eastAsia="Times New Roman" w:hAnsi="Arial" w:cs="Arial"/>
          <w:i/>
          <w:iCs/>
          <w:sz w:val="24"/>
          <w:szCs w:val="24"/>
        </w:rPr>
        <w:t>(Peak body)</w:t>
      </w:r>
      <w:r w:rsidR="004110E7" w:rsidRPr="00D85D66">
        <w:rPr>
          <w:rFonts w:ascii="Arial" w:eastAsia="Times New Roman" w:hAnsi="Arial" w:cs="Arial"/>
          <w:i/>
          <w:iCs/>
          <w:sz w:val="24"/>
          <w:szCs w:val="24"/>
        </w:rPr>
        <w:t>.</w:t>
      </w:r>
      <w:r w:rsidRPr="00E66BF3">
        <w:rPr>
          <w:rFonts w:ascii="Arial" w:eastAsia="Times New Roman" w:hAnsi="Arial" w:cs="Arial"/>
          <w:sz w:val="24"/>
          <w:szCs w:val="24"/>
        </w:rPr>
        <w:t xml:space="preserve"> </w:t>
      </w:r>
    </w:p>
    <w:p w14:paraId="26CB1D03" w14:textId="0487FCF3" w:rsidR="00B05540" w:rsidRPr="00E66BF3" w:rsidRDefault="00B05540" w:rsidP="00B05540">
      <w:pPr>
        <w:spacing w:before="120" w:after="120" w:line="240" w:lineRule="auto"/>
        <w:rPr>
          <w:rFonts w:ascii="Arial" w:eastAsia="Times New Roman" w:hAnsi="Arial" w:cs="Arial"/>
          <w:sz w:val="24"/>
          <w:szCs w:val="24"/>
        </w:rPr>
      </w:pPr>
      <w:r w:rsidRPr="00E66BF3">
        <w:rPr>
          <w:rFonts w:ascii="Arial" w:eastAsia="Times New Roman" w:hAnsi="Arial" w:cs="Arial"/>
          <w:sz w:val="24"/>
          <w:szCs w:val="24"/>
        </w:rPr>
        <w:t xml:space="preserve">Some stakeholders believe the Commission sides with providers as evidence provided by complainants may be contrary to the Commission’s findings and complainants are not able to review material from the provider. Other issues included inconsistency in complaints handling across states, concerns around the transparency of outcomes and not being able to resolve complaints in a timely manner, as evidenced by the Commission not meeting its performance measure related to complaints resolution </w:t>
      </w:r>
      <w:r w:rsidRPr="00BA7E98">
        <w:rPr>
          <w:rFonts w:ascii="Arial" w:eastAsia="Times New Roman" w:hAnsi="Arial" w:cs="Arial"/>
          <w:sz w:val="24"/>
          <w:szCs w:val="24"/>
        </w:rPr>
        <w:t xml:space="preserve">(see </w:t>
      </w:r>
      <w:r w:rsidR="00671BA5">
        <w:rPr>
          <w:rFonts w:ascii="Arial" w:eastAsia="Times New Roman" w:hAnsi="Arial" w:cs="Arial"/>
          <w:sz w:val="24"/>
          <w:szCs w:val="24"/>
        </w:rPr>
        <w:t>Section</w:t>
      </w:r>
      <w:r w:rsidR="00671BA5" w:rsidRPr="00BA7E98">
        <w:rPr>
          <w:rFonts w:ascii="Arial" w:eastAsia="Times New Roman" w:hAnsi="Arial" w:cs="Arial"/>
          <w:sz w:val="24"/>
          <w:szCs w:val="24"/>
        </w:rPr>
        <w:t xml:space="preserve"> </w:t>
      </w:r>
      <w:r w:rsidR="007A0A09" w:rsidRPr="00BA7E98">
        <w:rPr>
          <w:rFonts w:ascii="Arial" w:eastAsia="Times New Roman" w:hAnsi="Arial" w:cs="Arial"/>
          <w:sz w:val="24"/>
          <w:szCs w:val="24"/>
        </w:rPr>
        <w:t>3.</w:t>
      </w:r>
      <w:r w:rsidR="005C39F0" w:rsidRPr="00BA7E98">
        <w:rPr>
          <w:rFonts w:ascii="Arial" w:eastAsia="Times New Roman" w:hAnsi="Arial" w:cs="Arial"/>
          <w:sz w:val="24"/>
          <w:szCs w:val="24"/>
        </w:rPr>
        <w:t>10</w:t>
      </w:r>
      <w:r w:rsidRPr="00BA7E98">
        <w:rPr>
          <w:rFonts w:ascii="Arial" w:eastAsia="Times New Roman" w:hAnsi="Arial" w:cs="Arial"/>
          <w:sz w:val="24"/>
          <w:szCs w:val="24"/>
        </w:rPr>
        <w:t>).</w:t>
      </w:r>
      <w:r w:rsidRPr="00E66BF3">
        <w:rPr>
          <w:rFonts w:ascii="Arial" w:eastAsia="Times New Roman" w:hAnsi="Arial" w:cs="Arial"/>
          <w:sz w:val="24"/>
          <w:szCs w:val="24"/>
        </w:rPr>
        <w:t xml:space="preserve"> </w:t>
      </w:r>
    </w:p>
    <w:p w14:paraId="5924B0EA" w14:textId="6FFFB78A" w:rsidR="00B05540" w:rsidRPr="00E66BF3" w:rsidRDefault="00B05540" w:rsidP="00B05540">
      <w:pPr>
        <w:spacing w:before="120" w:after="120" w:line="240" w:lineRule="auto"/>
        <w:rPr>
          <w:rFonts w:ascii="Arial" w:eastAsia="Times New Roman" w:hAnsi="Arial" w:cs="Arial"/>
          <w:sz w:val="24"/>
          <w:szCs w:val="24"/>
        </w:rPr>
      </w:pPr>
      <w:r w:rsidRPr="00E66BF3">
        <w:rPr>
          <w:rFonts w:ascii="Arial" w:eastAsia="Times New Roman" w:hAnsi="Arial" w:cs="Arial"/>
          <w:sz w:val="24"/>
          <w:szCs w:val="24"/>
        </w:rPr>
        <w:t>Staff also raised concerns around high caseloads, IT systems which don’t support the sharing of information across operational areas, difficulties getting timely input from the Commission’s clinical unit and feeling as if they work in silos</w:t>
      </w:r>
      <w:r w:rsidR="007A0A09">
        <w:rPr>
          <w:rFonts w:ascii="Arial" w:eastAsia="Times New Roman" w:hAnsi="Arial" w:cs="Arial"/>
          <w:sz w:val="24"/>
          <w:szCs w:val="24"/>
        </w:rPr>
        <w:t xml:space="preserve"> </w:t>
      </w:r>
      <w:r w:rsidR="007A0A09" w:rsidRPr="00BA7E98">
        <w:rPr>
          <w:rFonts w:ascii="Arial" w:eastAsia="Times New Roman" w:hAnsi="Arial" w:cs="Arial"/>
          <w:sz w:val="24"/>
          <w:szCs w:val="24"/>
        </w:rPr>
        <w:t xml:space="preserve">(see </w:t>
      </w:r>
      <w:r w:rsidR="00987DE8">
        <w:rPr>
          <w:rFonts w:ascii="Arial" w:eastAsia="Times New Roman" w:hAnsi="Arial" w:cs="Arial"/>
          <w:sz w:val="24"/>
          <w:szCs w:val="24"/>
        </w:rPr>
        <w:t>Section</w:t>
      </w:r>
      <w:r w:rsidR="00987DE8" w:rsidRPr="00BA7E98">
        <w:rPr>
          <w:rFonts w:ascii="Arial" w:eastAsia="Times New Roman" w:hAnsi="Arial" w:cs="Arial"/>
          <w:sz w:val="24"/>
          <w:szCs w:val="24"/>
        </w:rPr>
        <w:t xml:space="preserve"> </w:t>
      </w:r>
      <w:r w:rsidR="007A0A09" w:rsidRPr="00BA7E98">
        <w:rPr>
          <w:rFonts w:ascii="Arial" w:eastAsia="Times New Roman" w:hAnsi="Arial" w:cs="Arial"/>
          <w:sz w:val="24"/>
          <w:szCs w:val="24"/>
        </w:rPr>
        <w:t>4.2)</w:t>
      </w:r>
      <w:r w:rsidRPr="00BA7E98">
        <w:rPr>
          <w:rFonts w:ascii="Arial" w:eastAsia="Times New Roman" w:hAnsi="Arial" w:cs="Arial"/>
          <w:sz w:val="24"/>
          <w:szCs w:val="24"/>
        </w:rPr>
        <w:t>.</w:t>
      </w:r>
      <w:r w:rsidRPr="00E66BF3">
        <w:rPr>
          <w:rFonts w:ascii="Arial" w:eastAsia="Times New Roman" w:hAnsi="Arial" w:cs="Arial"/>
          <w:sz w:val="24"/>
          <w:szCs w:val="24"/>
        </w:rPr>
        <w:t xml:space="preserve"> </w:t>
      </w:r>
    </w:p>
    <w:p w14:paraId="6FA3DD04" w14:textId="0120EEF1" w:rsidR="00B05540" w:rsidRPr="00E66BF3" w:rsidRDefault="00833D08" w:rsidP="00B05540">
      <w:pPr>
        <w:spacing w:before="120" w:after="120" w:line="240" w:lineRule="auto"/>
        <w:rPr>
          <w:rFonts w:ascii="Arial" w:hAnsi="Arial" w:cs="Arial"/>
          <w:color w:val="000000"/>
          <w:sz w:val="24"/>
          <w:szCs w:val="24"/>
          <w:shd w:val="clear" w:color="auto" w:fill="FFFFFF"/>
        </w:rPr>
      </w:pPr>
      <w:r>
        <w:rPr>
          <w:rFonts w:ascii="Arial" w:hAnsi="Arial" w:cs="Arial"/>
          <w:color w:val="000000"/>
          <w:sz w:val="24"/>
          <w:szCs w:val="24"/>
          <w:shd w:val="clear" w:color="auto" w:fill="FFFFFF"/>
        </w:rPr>
        <w:t>I</w:t>
      </w:r>
      <w:r w:rsidR="00B05540" w:rsidRPr="00E66BF3">
        <w:rPr>
          <w:rFonts w:ascii="Arial" w:hAnsi="Arial" w:cs="Arial"/>
          <w:color w:val="000000"/>
          <w:sz w:val="24"/>
          <w:szCs w:val="24"/>
          <w:shd w:val="clear" w:color="auto" w:fill="FFFFFF"/>
        </w:rPr>
        <w:t xml:space="preserve"> appreciate the Commission is dealing with an increasingly large volume of contacts (</w:t>
      </w:r>
      <w:r w:rsidR="00201481">
        <w:rPr>
          <w:rFonts w:ascii="Arial" w:hAnsi="Arial" w:cs="Arial"/>
          <w:color w:val="000000"/>
          <w:sz w:val="24"/>
          <w:szCs w:val="24"/>
          <w:shd w:val="clear" w:color="auto" w:fill="FFFFFF"/>
        </w:rPr>
        <w:t>60,606</w:t>
      </w:r>
      <w:r w:rsidR="00B05540" w:rsidRPr="00E66BF3">
        <w:rPr>
          <w:rFonts w:ascii="Arial" w:hAnsi="Arial" w:cs="Arial"/>
          <w:color w:val="000000"/>
          <w:sz w:val="24"/>
          <w:szCs w:val="24"/>
          <w:shd w:val="clear" w:color="auto" w:fill="FFFFFF"/>
        </w:rPr>
        <w:t xml:space="preserve"> calls, </w:t>
      </w:r>
      <w:r w:rsidR="00201481">
        <w:rPr>
          <w:rFonts w:ascii="Arial" w:hAnsi="Arial" w:cs="Arial"/>
          <w:color w:val="000000"/>
          <w:sz w:val="24"/>
          <w:szCs w:val="24"/>
          <w:shd w:val="clear" w:color="auto" w:fill="FFFFFF"/>
        </w:rPr>
        <w:t>17,469</w:t>
      </w:r>
      <w:r w:rsidR="00B05540" w:rsidRPr="00E66BF3">
        <w:rPr>
          <w:rFonts w:ascii="Arial" w:hAnsi="Arial" w:cs="Arial"/>
          <w:color w:val="000000"/>
          <w:sz w:val="24"/>
          <w:szCs w:val="24"/>
          <w:shd w:val="clear" w:color="auto" w:fill="FFFFFF"/>
        </w:rPr>
        <w:t xml:space="preserve"> emails, </w:t>
      </w:r>
      <w:r w:rsidR="00201481">
        <w:rPr>
          <w:rFonts w:ascii="Arial" w:hAnsi="Arial" w:cs="Arial"/>
          <w:color w:val="000000"/>
          <w:sz w:val="24"/>
          <w:szCs w:val="24"/>
          <w:shd w:val="clear" w:color="auto" w:fill="FFFFFF"/>
        </w:rPr>
        <w:t>14,196</w:t>
      </w:r>
      <w:r w:rsidR="00B05540" w:rsidRPr="00E66BF3">
        <w:rPr>
          <w:rFonts w:ascii="Arial" w:hAnsi="Arial" w:cs="Arial"/>
          <w:color w:val="000000"/>
          <w:sz w:val="24"/>
          <w:szCs w:val="24"/>
          <w:shd w:val="clear" w:color="auto" w:fill="FFFFFF"/>
        </w:rPr>
        <w:t xml:space="preserve"> web form</w:t>
      </w:r>
      <w:r w:rsidR="00201481">
        <w:rPr>
          <w:rFonts w:ascii="Arial" w:hAnsi="Arial" w:cs="Arial"/>
          <w:color w:val="000000"/>
          <w:sz w:val="24"/>
          <w:szCs w:val="24"/>
          <w:shd w:val="clear" w:color="auto" w:fill="FFFFFF"/>
        </w:rPr>
        <w:t>s</w:t>
      </w:r>
      <w:r w:rsidR="00B05540" w:rsidRPr="00E66BF3">
        <w:rPr>
          <w:rFonts w:ascii="Arial" w:hAnsi="Arial" w:cs="Arial"/>
          <w:color w:val="000000"/>
          <w:sz w:val="24"/>
          <w:szCs w:val="24"/>
          <w:shd w:val="clear" w:color="auto" w:fill="FFFFFF"/>
        </w:rPr>
        <w:t xml:space="preserve"> and 600 contacts through other channels </w:t>
      </w:r>
      <w:r w:rsidR="00201481">
        <w:rPr>
          <w:rFonts w:ascii="Arial" w:hAnsi="Arial" w:cs="Arial"/>
          <w:color w:val="000000"/>
          <w:sz w:val="24"/>
          <w:szCs w:val="24"/>
          <w:shd w:val="clear" w:color="auto" w:fill="FFFFFF"/>
        </w:rPr>
        <w:t>between July 2022 and the end of February 2023</w:t>
      </w:r>
      <w:r w:rsidR="00B05540" w:rsidRPr="00E66BF3">
        <w:rPr>
          <w:rFonts w:ascii="Arial" w:hAnsi="Arial" w:cs="Arial"/>
          <w:color w:val="000000"/>
          <w:sz w:val="24"/>
          <w:szCs w:val="24"/>
          <w:shd w:val="clear" w:color="auto" w:fill="FFFFFF"/>
        </w:rPr>
        <w:t>) and acknowledge strategies implemented by the Commission to improve understanding of its complaints handling processes and make it easier for people to provide feedback, raise a complaint or make an enquiry, including:</w:t>
      </w:r>
    </w:p>
    <w:p w14:paraId="7C62E4C0" w14:textId="36EDEEDD" w:rsidR="00B05540" w:rsidRDefault="001D1BE2" w:rsidP="001750D5">
      <w:pPr>
        <w:numPr>
          <w:ilvl w:val="0"/>
          <w:numId w:val="46"/>
        </w:numPr>
        <w:spacing w:before="120" w:after="120" w:line="240" w:lineRule="auto"/>
        <w:contextualSpacing/>
        <w:rPr>
          <w:rFonts w:ascii="Arial" w:hAnsi="Arial" w:cs="Arial"/>
          <w:color w:val="000000"/>
          <w:sz w:val="24"/>
          <w:szCs w:val="24"/>
          <w:shd w:val="clear" w:color="auto" w:fill="FFFFFF"/>
        </w:rPr>
      </w:pPr>
      <w:r>
        <w:rPr>
          <w:rFonts w:ascii="Arial" w:hAnsi="Arial" w:cs="Arial"/>
          <w:color w:val="000000"/>
          <w:sz w:val="24"/>
          <w:szCs w:val="24"/>
          <w:shd w:val="clear" w:color="auto" w:fill="FFFFFF"/>
        </w:rPr>
        <w:lastRenderedPageBreak/>
        <w:t>e</w:t>
      </w:r>
      <w:r w:rsidR="00B05540" w:rsidRPr="00E66BF3">
        <w:rPr>
          <w:rFonts w:ascii="Arial" w:hAnsi="Arial" w:cs="Arial"/>
          <w:color w:val="000000"/>
          <w:sz w:val="24"/>
          <w:szCs w:val="24"/>
          <w:shd w:val="clear" w:color="auto" w:fill="FFFFFF"/>
        </w:rPr>
        <w:t xml:space="preserve">ducation and training materials, including a best practice feedback and complaints handling module on the Commission’s online learning system, a Guide on Open </w:t>
      </w:r>
      <w:proofErr w:type="gramStart"/>
      <w:r w:rsidR="00B05540" w:rsidRPr="00E66BF3">
        <w:rPr>
          <w:rFonts w:ascii="Arial" w:hAnsi="Arial" w:cs="Arial"/>
          <w:color w:val="000000"/>
          <w:sz w:val="24"/>
          <w:szCs w:val="24"/>
          <w:shd w:val="clear" w:color="auto" w:fill="FFFFFF"/>
        </w:rPr>
        <w:t>Disclosure</w:t>
      </w:r>
      <w:proofErr w:type="gramEnd"/>
      <w:r w:rsidR="00B05540" w:rsidRPr="00E66BF3">
        <w:rPr>
          <w:rFonts w:ascii="Arial" w:hAnsi="Arial" w:cs="Arial"/>
          <w:color w:val="000000"/>
          <w:sz w:val="24"/>
          <w:szCs w:val="24"/>
          <w:shd w:val="clear" w:color="auto" w:fill="FFFFFF"/>
        </w:rPr>
        <w:t xml:space="preserve"> and factsheets on making and resolving complaints</w:t>
      </w:r>
      <w:r>
        <w:rPr>
          <w:rFonts w:ascii="Arial" w:hAnsi="Arial" w:cs="Arial"/>
          <w:color w:val="000000"/>
          <w:sz w:val="24"/>
          <w:szCs w:val="24"/>
          <w:shd w:val="clear" w:color="auto" w:fill="FFFFFF"/>
        </w:rPr>
        <w:t>, and</w:t>
      </w:r>
      <w:r w:rsidR="004110E7" w:rsidRPr="00E66BF3">
        <w:rPr>
          <w:rFonts w:ascii="Arial" w:hAnsi="Arial" w:cs="Arial"/>
          <w:color w:val="000000"/>
          <w:sz w:val="24"/>
          <w:szCs w:val="24"/>
          <w:shd w:val="clear" w:color="auto" w:fill="FFFFFF"/>
          <w:vertAlign w:val="superscript"/>
        </w:rPr>
        <w:footnoteReference w:id="94"/>
      </w:r>
    </w:p>
    <w:p w14:paraId="78EE9527" w14:textId="4EA3037E" w:rsidR="00B05540" w:rsidRPr="00E66BF3" w:rsidRDefault="00B05540" w:rsidP="00D73C7D">
      <w:pPr>
        <w:keepLines/>
        <w:numPr>
          <w:ilvl w:val="0"/>
          <w:numId w:val="46"/>
        </w:numPr>
        <w:spacing w:before="120" w:after="120" w:line="240" w:lineRule="auto"/>
        <w:ind w:left="357" w:hanging="357"/>
        <w:contextualSpacing/>
        <w:rPr>
          <w:rFonts w:ascii="Arial" w:hAnsi="Arial" w:cs="Arial"/>
          <w:color w:val="000000"/>
          <w:sz w:val="24"/>
          <w:szCs w:val="24"/>
          <w:shd w:val="clear" w:color="auto" w:fill="FFFFFF"/>
        </w:rPr>
      </w:pPr>
      <w:r w:rsidRPr="00E66BF3">
        <w:rPr>
          <w:rFonts w:ascii="Arial" w:hAnsi="Arial" w:cs="Arial"/>
          <w:color w:val="000000"/>
          <w:sz w:val="24"/>
          <w:szCs w:val="24"/>
          <w:shd w:val="clear" w:color="auto" w:fill="FFFFFF"/>
        </w:rPr>
        <w:t>a ‘New Front Door’, which the Commission describes as a best practice contemporary call centre, focused on providing improved customer service and achieving better outcomes for consumers, as well as improved job satisfaction for Commission staff.</w:t>
      </w:r>
      <w:r w:rsidR="004110E7" w:rsidRPr="00E66BF3">
        <w:rPr>
          <w:rFonts w:ascii="Arial" w:hAnsi="Arial" w:cs="Arial"/>
          <w:color w:val="000000"/>
          <w:sz w:val="24"/>
          <w:szCs w:val="24"/>
          <w:shd w:val="clear" w:color="auto" w:fill="FFFFFF"/>
          <w:vertAlign w:val="superscript"/>
        </w:rPr>
        <w:footnoteReference w:id="95"/>
      </w:r>
      <w:r w:rsidRPr="00E66BF3">
        <w:rPr>
          <w:rFonts w:ascii="Arial" w:hAnsi="Arial" w:cs="Arial"/>
          <w:color w:val="000000"/>
          <w:sz w:val="24"/>
          <w:szCs w:val="24"/>
          <w:shd w:val="clear" w:color="auto" w:fill="FFFFFF"/>
        </w:rPr>
        <w:t xml:space="preserve"> </w:t>
      </w:r>
    </w:p>
    <w:p w14:paraId="73DCFFA9" w14:textId="677B4214" w:rsidR="00B05540" w:rsidRPr="00E66BF3" w:rsidRDefault="00833D08" w:rsidP="00B05540">
      <w:pPr>
        <w:spacing w:before="240" w:after="120" w:line="240" w:lineRule="auto"/>
        <w:rPr>
          <w:rFonts w:ascii="Arial" w:eastAsia="Times New Roman" w:hAnsi="Arial" w:cs="Arial"/>
          <w:sz w:val="24"/>
          <w:szCs w:val="24"/>
          <w:lang w:eastAsia="en-GB"/>
        </w:rPr>
      </w:pPr>
      <w:r>
        <w:rPr>
          <w:rFonts w:ascii="Arial" w:eastAsia="Times New Roman" w:hAnsi="Arial" w:cs="Arial"/>
          <w:sz w:val="24"/>
          <w:szCs w:val="24"/>
        </w:rPr>
        <w:t>I</w:t>
      </w:r>
      <w:r w:rsidR="00B05540" w:rsidRPr="00E66BF3">
        <w:rPr>
          <w:rFonts w:ascii="Arial" w:eastAsia="Times New Roman" w:hAnsi="Arial" w:cs="Arial"/>
          <w:sz w:val="24"/>
          <w:szCs w:val="24"/>
        </w:rPr>
        <w:t xml:space="preserve"> also understand a dedicated Aged Care Complaints Commissioner will </w:t>
      </w:r>
      <w:r w:rsidR="00B05540">
        <w:rPr>
          <w:rFonts w:ascii="Arial" w:eastAsia="Times New Roman" w:hAnsi="Arial" w:cs="Arial"/>
          <w:sz w:val="24"/>
          <w:szCs w:val="24"/>
        </w:rPr>
        <w:t xml:space="preserve">shortly </w:t>
      </w:r>
      <w:r w:rsidR="00B05540" w:rsidRPr="00E66BF3">
        <w:rPr>
          <w:rFonts w:ascii="Arial" w:eastAsia="Times New Roman" w:hAnsi="Arial" w:cs="Arial"/>
          <w:sz w:val="24"/>
          <w:szCs w:val="24"/>
        </w:rPr>
        <w:t>be appointed to oversee improved complaints management (as recommended by the Royal Commission</w:t>
      </w:r>
      <w:r w:rsidR="004110E7" w:rsidRPr="00E66BF3">
        <w:rPr>
          <w:rFonts w:ascii="Arial" w:eastAsia="Times New Roman" w:hAnsi="Arial" w:cs="Arial"/>
          <w:sz w:val="24"/>
          <w:szCs w:val="24"/>
          <w:vertAlign w:val="superscript"/>
        </w:rPr>
        <w:footnoteReference w:id="96"/>
      </w:r>
      <w:r w:rsidR="00B05540" w:rsidRPr="00E66BF3">
        <w:rPr>
          <w:rFonts w:ascii="Arial" w:eastAsia="Times New Roman" w:hAnsi="Arial" w:cs="Arial"/>
          <w:sz w:val="24"/>
          <w:szCs w:val="24"/>
        </w:rPr>
        <w:t xml:space="preserve">) and that this role will be supported by a significant number of additional staff to ensure a </w:t>
      </w:r>
      <w:r w:rsidR="00B05540" w:rsidRPr="00E66BF3">
        <w:rPr>
          <w:rFonts w:ascii="Arial" w:eastAsia="Times New Roman" w:hAnsi="Arial" w:cs="Arial"/>
          <w:sz w:val="24"/>
          <w:szCs w:val="24"/>
          <w:lang w:eastAsia="en-GB"/>
        </w:rPr>
        <w:t>new fast-tracked improved complaints process, which focus</w:t>
      </w:r>
      <w:r w:rsidR="00B05540">
        <w:rPr>
          <w:rFonts w:ascii="Arial" w:eastAsia="Times New Roman" w:hAnsi="Arial" w:cs="Arial"/>
          <w:sz w:val="24"/>
          <w:szCs w:val="24"/>
          <w:lang w:eastAsia="en-GB"/>
        </w:rPr>
        <w:t>es</w:t>
      </w:r>
      <w:r w:rsidR="00B05540" w:rsidRPr="00E66BF3">
        <w:rPr>
          <w:rFonts w:ascii="Arial" w:eastAsia="Times New Roman" w:hAnsi="Arial" w:cs="Arial"/>
          <w:sz w:val="24"/>
          <w:szCs w:val="24"/>
          <w:lang w:eastAsia="en-GB"/>
        </w:rPr>
        <w:t xml:space="preserve"> on ensuring consumers feel safe and heard </w:t>
      </w:r>
    </w:p>
    <w:p w14:paraId="0048F866" w14:textId="4A617213" w:rsidR="00B05540" w:rsidRPr="00C8779A" w:rsidRDefault="00B05540" w:rsidP="00B05540">
      <w:pPr>
        <w:spacing w:before="120" w:after="120" w:line="240" w:lineRule="auto"/>
        <w:ind w:left="720"/>
        <w:rPr>
          <w:rFonts w:ascii="Arial" w:eastAsia="Times New Roman" w:hAnsi="Arial" w:cs="Arial"/>
          <w:i/>
          <w:iCs/>
          <w:sz w:val="24"/>
          <w:szCs w:val="24"/>
          <w:lang w:eastAsia="en-GB"/>
        </w:rPr>
      </w:pPr>
      <w:r w:rsidRPr="00C8779A">
        <w:rPr>
          <w:rFonts w:ascii="Arial" w:hAnsi="Arial" w:cs="Arial"/>
          <w:i/>
          <w:iCs/>
          <w:sz w:val="24"/>
          <w:szCs w:val="24"/>
          <w:lang w:val="en-GB"/>
        </w:rPr>
        <w:t xml:space="preserve">“… it’s important that they are given a safe and responsive means to voice their complaints and concerns, knowing that they will be taken </w:t>
      </w:r>
      <w:proofErr w:type="gramStart"/>
      <w:r w:rsidRPr="00C8779A">
        <w:rPr>
          <w:rFonts w:ascii="Arial" w:hAnsi="Arial" w:cs="Arial"/>
          <w:i/>
          <w:iCs/>
          <w:sz w:val="24"/>
          <w:szCs w:val="24"/>
          <w:lang w:val="en-GB"/>
        </w:rPr>
        <w:t>seriously</w:t>
      </w:r>
      <w:proofErr w:type="gramEnd"/>
      <w:r w:rsidRPr="00C8779A">
        <w:rPr>
          <w:rFonts w:ascii="Arial" w:hAnsi="Arial" w:cs="Arial"/>
          <w:i/>
          <w:iCs/>
          <w:sz w:val="24"/>
          <w:szCs w:val="24"/>
          <w:lang w:val="en-GB"/>
        </w:rPr>
        <w:t xml:space="preserve"> and action will be taken to rectify the situation</w:t>
      </w:r>
      <w:r w:rsidRPr="00C8779A">
        <w:rPr>
          <w:rFonts w:ascii="Arial" w:eastAsia="Times New Roman" w:hAnsi="Arial" w:cs="Arial"/>
          <w:i/>
          <w:iCs/>
          <w:sz w:val="24"/>
          <w:szCs w:val="24"/>
          <w:lang w:eastAsia="en-GB"/>
        </w:rPr>
        <w:t>.</w:t>
      </w:r>
      <w:r w:rsidR="004110E7" w:rsidRPr="004110E7">
        <w:rPr>
          <w:rFonts w:ascii="Arial" w:eastAsia="Times New Roman" w:hAnsi="Arial" w:cs="Arial"/>
          <w:i/>
          <w:iCs/>
          <w:sz w:val="24"/>
          <w:szCs w:val="24"/>
          <w:vertAlign w:val="superscript"/>
          <w:lang w:eastAsia="en-GB"/>
        </w:rPr>
        <w:t xml:space="preserve"> </w:t>
      </w:r>
      <w:r w:rsidR="004110E7" w:rsidRPr="00C8779A">
        <w:rPr>
          <w:rFonts w:ascii="Arial" w:eastAsia="Times New Roman" w:hAnsi="Arial" w:cs="Arial"/>
          <w:i/>
          <w:iCs/>
          <w:sz w:val="24"/>
          <w:szCs w:val="24"/>
          <w:vertAlign w:val="superscript"/>
          <w:lang w:eastAsia="en-GB"/>
        </w:rPr>
        <w:footnoteReference w:id="97"/>
      </w:r>
    </w:p>
    <w:p w14:paraId="0A6E1A3B" w14:textId="77777777" w:rsidR="00B05540" w:rsidRDefault="00B05540" w:rsidP="00B05540">
      <w:pPr>
        <w:spacing w:before="120" w:after="120" w:line="240" w:lineRule="auto"/>
        <w:rPr>
          <w:rFonts w:eastAsia="Times New Roman"/>
        </w:rPr>
      </w:pPr>
      <w:r w:rsidRPr="00E66BF3">
        <w:rPr>
          <w:rFonts w:ascii="Arial" w:hAnsi="Arial" w:cs="Arial"/>
          <w:sz w:val="24"/>
          <w:szCs w:val="24"/>
          <w:shd w:val="clear" w:color="auto" w:fill="FFFFFF"/>
        </w:rPr>
        <w:t xml:space="preserve">The appointment of an Aged Care Complaints Commissioner is an important next step in developing and leading improvements in complaints processes. </w:t>
      </w:r>
    </w:p>
    <w:p w14:paraId="38194FB7" w14:textId="7FDFD9AD" w:rsidR="007A57C4" w:rsidRPr="00E66BF3" w:rsidRDefault="007A57C4" w:rsidP="007A57C4">
      <w:pPr>
        <w:spacing w:before="120" w:after="120" w:line="240" w:lineRule="auto"/>
        <w:rPr>
          <w:rFonts w:ascii="Arial" w:eastAsia="Times New Roman" w:hAnsi="Arial" w:cs="Arial"/>
          <w:sz w:val="24"/>
          <w:szCs w:val="24"/>
        </w:rPr>
      </w:pPr>
      <w:r>
        <w:rPr>
          <w:rFonts w:ascii="Arial" w:eastAsia="Times New Roman" w:hAnsi="Arial" w:cs="Arial"/>
          <w:sz w:val="24"/>
          <w:szCs w:val="24"/>
        </w:rPr>
        <w:t>I</w:t>
      </w:r>
      <w:r w:rsidRPr="00E66BF3">
        <w:rPr>
          <w:rFonts w:ascii="Arial" w:eastAsia="Times New Roman" w:hAnsi="Arial" w:cs="Arial"/>
          <w:sz w:val="24"/>
          <w:szCs w:val="24"/>
        </w:rPr>
        <w:t xml:space="preserve"> understand the new Complaints Commissioner will also have oversight </w:t>
      </w:r>
      <w:r>
        <w:rPr>
          <w:rFonts w:ascii="Arial" w:eastAsia="Times New Roman" w:hAnsi="Arial" w:cs="Arial"/>
          <w:sz w:val="24"/>
          <w:szCs w:val="24"/>
        </w:rPr>
        <w:t xml:space="preserve">of </w:t>
      </w:r>
      <w:r w:rsidRPr="00E66BF3">
        <w:rPr>
          <w:rFonts w:ascii="Arial" w:eastAsia="Times New Roman" w:hAnsi="Arial" w:cs="Arial"/>
          <w:sz w:val="24"/>
          <w:szCs w:val="24"/>
        </w:rPr>
        <w:t>the Serious Incident Response Scheme (SIRS). The Review heard significant concerns from staff around the volume of notifications and the assessment of risk. The Commission advised a revised operating model is currently being implemented to better manage the high reporting volume - more than 51,000 notifications were received by the Commission between commencement in April 2021 and July 2022.</w:t>
      </w:r>
      <w:r w:rsidRPr="00E66BF3">
        <w:rPr>
          <w:rFonts w:ascii="Arial" w:eastAsia="Times New Roman" w:hAnsi="Arial" w:cs="Arial"/>
          <w:sz w:val="24"/>
          <w:szCs w:val="24"/>
          <w:vertAlign w:val="superscript"/>
        </w:rPr>
        <w:footnoteReference w:id="98"/>
      </w:r>
      <w:r>
        <w:rPr>
          <w:rFonts w:ascii="Arial" w:eastAsia="Times New Roman" w:hAnsi="Arial" w:cs="Arial"/>
          <w:sz w:val="24"/>
          <w:szCs w:val="24"/>
        </w:rPr>
        <w:t xml:space="preserve"> I consider the Aged Care Complaints Commissioner should prioritise a thoroughgoing review of this new operating model.</w:t>
      </w:r>
    </w:p>
    <w:p w14:paraId="53453CD3" w14:textId="17BCB96C" w:rsidR="00B05540" w:rsidRPr="005D0AF3" w:rsidRDefault="00B05540" w:rsidP="00B05540">
      <w:pPr>
        <w:spacing w:before="120" w:after="120" w:line="240" w:lineRule="auto"/>
        <w:rPr>
          <w:rFonts w:ascii="Arial" w:hAnsi="Arial" w:cs="Arial"/>
          <w:sz w:val="24"/>
          <w:szCs w:val="24"/>
          <w:shd w:val="clear" w:color="auto" w:fill="FFFFFF"/>
        </w:rPr>
      </w:pPr>
      <w:r w:rsidRPr="005D0AF3">
        <w:rPr>
          <w:rFonts w:ascii="Arial" w:hAnsi="Arial" w:cs="Arial"/>
          <w:b/>
          <w:bCs/>
          <w:sz w:val="24"/>
          <w:szCs w:val="24"/>
        </w:rPr>
        <w:t xml:space="preserve">Recommendation </w:t>
      </w:r>
      <w:r w:rsidR="00671BA5">
        <w:rPr>
          <w:rFonts w:ascii="Arial" w:hAnsi="Arial" w:cs="Arial"/>
          <w:b/>
          <w:bCs/>
          <w:sz w:val="24"/>
          <w:szCs w:val="24"/>
        </w:rPr>
        <w:t>5.7</w:t>
      </w:r>
      <w:r w:rsidRPr="005D0AF3">
        <w:rPr>
          <w:rFonts w:ascii="Arial" w:hAnsi="Arial" w:cs="Arial"/>
          <w:b/>
          <w:bCs/>
          <w:sz w:val="24"/>
          <w:szCs w:val="24"/>
        </w:rPr>
        <w:t xml:space="preserve">: </w:t>
      </w:r>
      <w:r w:rsidRPr="005D0AF3">
        <w:rPr>
          <w:rFonts w:ascii="Arial" w:hAnsi="Arial" w:cs="Arial"/>
          <w:sz w:val="24"/>
          <w:szCs w:val="24"/>
          <w:shd w:val="clear" w:color="auto" w:fill="FFFFFF"/>
        </w:rPr>
        <w:t xml:space="preserve">The Aged Care Complaints Commissioner </w:t>
      </w:r>
      <w:r w:rsidR="00604F40">
        <w:rPr>
          <w:rFonts w:ascii="Arial" w:hAnsi="Arial" w:cs="Arial"/>
          <w:sz w:val="24"/>
          <w:szCs w:val="24"/>
          <w:shd w:val="clear" w:color="auto" w:fill="FFFFFF"/>
        </w:rPr>
        <w:t>to</w:t>
      </w:r>
      <w:r w:rsidR="00224303" w:rsidRPr="005D0AF3">
        <w:rPr>
          <w:rFonts w:ascii="Arial" w:hAnsi="Arial" w:cs="Arial"/>
          <w:sz w:val="24"/>
          <w:szCs w:val="24"/>
          <w:shd w:val="clear" w:color="auto" w:fill="FFFFFF"/>
        </w:rPr>
        <w:t xml:space="preserve"> </w:t>
      </w:r>
      <w:r w:rsidRPr="005D0AF3">
        <w:rPr>
          <w:rFonts w:ascii="Arial" w:hAnsi="Arial" w:cs="Arial"/>
          <w:sz w:val="24"/>
          <w:szCs w:val="24"/>
          <w:shd w:val="clear" w:color="auto" w:fill="FFFFFF"/>
        </w:rPr>
        <w:t>deliver an enhanced complaints management system which:</w:t>
      </w:r>
    </w:p>
    <w:p w14:paraId="223B4399" w14:textId="59ACA46F" w:rsidR="00B05540" w:rsidRPr="005D0AF3" w:rsidRDefault="00B05540" w:rsidP="001750D5">
      <w:pPr>
        <w:numPr>
          <w:ilvl w:val="0"/>
          <w:numId w:val="45"/>
        </w:numPr>
        <w:spacing w:before="120" w:after="120" w:line="240" w:lineRule="auto"/>
        <w:ind w:left="357" w:hanging="357"/>
        <w:rPr>
          <w:rFonts w:ascii="Arial" w:hAnsi="Arial" w:cs="Arial"/>
          <w:sz w:val="24"/>
          <w:szCs w:val="24"/>
        </w:rPr>
      </w:pPr>
      <w:r w:rsidRPr="005D0AF3">
        <w:rPr>
          <w:rFonts w:ascii="Arial" w:hAnsi="Arial" w:cs="Arial"/>
          <w:sz w:val="24"/>
          <w:szCs w:val="24"/>
        </w:rPr>
        <w:t>ensures timely responses to compla</w:t>
      </w:r>
      <w:r w:rsidR="00414900" w:rsidRPr="005D0AF3">
        <w:rPr>
          <w:rFonts w:ascii="Arial" w:hAnsi="Arial" w:cs="Arial"/>
          <w:sz w:val="24"/>
          <w:szCs w:val="24"/>
        </w:rPr>
        <w:t>i</w:t>
      </w:r>
      <w:r w:rsidR="00B91BB9" w:rsidRPr="005D0AF3">
        <w:rPr>
          <w:rFonts w:ascii="Arial" w:hAnsi="Arial" w:cs="Arial"/>
          <w:sz w:val="24"/>
          <w:szCs w:val="24"/>
        </w:rPr>
        <w:t>nants</w:t>
      </w:r>
      <w:r w:rsidR="001A7218" w:rsidRPr="005D0AF3">
        <w:rPr>
          <w:rFonts w:ascii="Arial" w:hAnsi="Arial" w:cs="Arial"/>
          <w:sz w:val="24"/>
          <w:szCs w:val="24"/>
        </w:rPr>
        <w:t xml:space="preserve"> </w:t>
      </w:r>
      <w:r w:rsidR="00414900" w:rsidRPr="005D0AF3">
        <w:rPr>
          <w:rFonts w:ascii="Arial" w:hAnsi="Arial" w:cs="Arial"/>
          <w:sz w:val="24"/>
          <w:szCs w:val="24"/>
        </w:rPr>
        <w:t>that explain the status of their complaint</w:t>
      </w:r>
    </w:p>
    <w:p w14:paraId="569D0000" w14:textId="77777777" w:rsidR="00B05540" w:rsidRPr="005D0AF3" w:rsidRDefault="00B05540" w:rsidP="001750D5">
      <w:pPr>
        <w:numPr>
          <w:ilvl w:val="0"/>
          <w:numId w:val="45"/>
        </w:numPr>
        <w:spacing w:before="120" w:after="120" w:line="240" w:lineRule="auto"/>
        <w:ind w:left="357" w:hanging="357"/>
        <w:rPr>
          <w:rFonts w:ascii="Arial" w:hAnsi="Arial" w:cs="Arial"/>
          <w:sz w:val="24"/>
          <w:szCs w:val="24"/>
        </w:rPr>
      </w:pPr>
      <w:r w:rsidRPr="005D0AF3">
        <w:rPr>
          <w:rFonts w:ascii="Arial" w:hAnsi="Arial" w:cs="Arial"/>
          <w:sz w:val="24"/>
          <w:szCs w:val="24"/>
        </w:rPr>
        <w:t>is transparent and accountable, with more detailed, published information on complaints and notifications, including at the provider and sector level</w:t>
      </w:r>
    </w:p>
    <w:p w14:paraId="6015DB69" w14:textId="77777777" w:rsidR="00B05540" w:rsidRPr="005D0AF3" w:rsidRDefault="00B05540" w:rsidP="001750D5">
      <w:pPr>
        <w:numPr>
          <w:ilvl w:val="0"/>
          <w:numId w:val="45"/>
        </w:numPr>
        <w:spacing w:before="120" w:after="120" w:line="240" w:lineRule="auto"/>
        <w:ind w:left="357" w:hanging="357"/>
        <w:rPr>
          <w:rFonts w:ascii="Arial" w:hAnsi="Arial" w:cs="Arial"/>
          <w:sz w:val="24"/>
          <w:szCs w:val="24"/>
        </w:rPr>
      </w:pPr>
      <w:r w:rsidRPr="005D0AF3">
        <w:rPr>
          <w:rFonts w:ascii="Arial" w:hAnsi="Arial" w:cs="Arial"/>
          <w:sz w:val="24"/>
          <w:szCs w:val="24"/>
        </w:rPr>
        <w:t xml:space="preserve">integrates information from contacts, </w:t>
      </w:r>
      <w:proofErr w:type="gramStart"/>
      <w:r w:rsidRPr="005D0AF3">
        <w:rPr>
          <w:rFonts w:ascii="Arial" w:hAnsi="Arial" w:cs="Arial"/>
          <w:sz w:val="24"/>
          <w:szCs w:val="24"/>
        </w:rPr>
        <w:t>complaints</w:t>
      </w:r>
      <w:proofErr w:type="gramEnd"/>
      <w:r w:rsidRPr="005D0AF3">
        <w:rPr>
          <w:rFonts w:ascii="Arial" w:hAnsi="Arial" w:cs="Arial"/>
          <w:sz w:val="24"/>
          <w:szCs w:val="24"/>
        </w:rPr>
        <w:t xml:space="preserve"> and notifications with other regulatory areas in the Commission, and</w:t>
      </w:r>
    </w:p>
    <w:p w14:paraId="418F3C10" w14:textId="094E21D9" w:rsidR="00B05540" w:rsidRDefault="00B05540" w:rsidP="001750D5">
      <w:pPr>
        <w:numPr>
          <w:ilvl w:val="0"/>
          <w:numId w:val="45"/>
        </w:numPr>
        <w:spacing w:before="120" w:after="120" w:line="240" w:lineRule="auto"/>
        <w:ind w:left="357" w:hanging="357"/>
        <w:rPr>
          <w:rFonts w:ascii="Arial" w:hAnsi="Arial" w:cs="Arial"/>
          <w:sz w:val="24"/>
          <w:szCs w:val="24"/>
        </w:rPr>
      </w:pPr>
      <w:r w:rsidRPr="005D0AF3">
        <w:rPr>
          <w:rFonts w:ascii="Arial" w:hAnsi="Arial" w:cs="Arial"/>
          <w:sz w:val="24"/>
          <w:szCs w:val="24"/>
        </w:rPr>
        <w:t>promotes open disclosure and supports the sector to use complaints to inform continuous improvement.</w:t>
      </w:r>
    </w:p>
    <w:p w14:paraId="15752BB8" w14:textId="5F2400A6" w:rsidR="00155CBF" w:rsidRPr="005D0AF3" w:rsidRDefault="00155CBF" w:rsidP="00155CBF">
      <w:pPr>
        <w:spacing w:before="120" w:after="120" w:line="240" w:lineRule="auto"/>
        <w:rPr>
          <w:rFonts w:ascii="Arial" w:hAnsi="Arial" w:cs="Arial"/>
          <w:sz w:val="24"/>
          <w:szCs w:val="24"/>
        </w:rPr>
      </w:pPr>
      <w:r>
        <w:rPr>
          <w:rFonts w:ascii="Arial" w:hAnsi="Arial" w:cs="Arial"/>
          <w:sz w:val="24"/>
          <w:szCs w:val="24"/>
        </w:rPr>
        <w:t xml:space="preserve">Priority is to be given to enhancements which can be made without amendment to primary legislation, with any requested changes to primary legislation to be referred </w:t>
      </w:r>
      <w:r w:rsidR="00CD389D">
        <w:rPr>
          <w:rFonts w:ascii="Arial" w:hAnsi="Arial" w:cs="Arial"/>
          <w:sz w:val="24"/>
          <w:szCs w:val="24"/>
        </w:rPr>
        <w:t xml:space="preserve">to </w:t>
      </w:r>
      <w:r>
        <w:rPr>
          <w:rFonts w:ascii="Arial" w:hAnsi="Arial" w:cs="Arial"/>
          <w:sz w:val="24"/>
          <w:szCs w:val="24"/>
        </w:rPr>
        <w:t>the Department for consideration at part of the new Aged Care Act</w:t>
      </w:r>
      <w:r w:rsidR="007D6517">
        <w:rPr>
          <w:rFonts w:ascii="Arial" w:hAnsi="Arial" w:cs="Arial"/>
          <w:sz w:val="24"/>
          <w:szCs w:val="24"/>
        </w:rPr>
        <w:t>.</w:t>
      </w:r>
    </w:p>
    <w:p w14:paraId="2F000163" w14:textId="44136217" w:rsidR="00B05540" w:rsidRDefault="00B05540" w:rsidP="00B05540">
      <w:pPr>
        <w:spacing w:before="120" w:after="120" w:line="240" w:lineRule="auto"/>
        <w:rPr>
          <w:rFonts w:ascii="Arial" w:hAnsi="Arial" w:cs="Arial"/>
          <w:sz w:val="24"/>
          <w:szCs w:val="24"/>
        </w:rPr>
      </w:pPr>
      <w:r w:rsidRPr="005D0AF3">
        <w:rPr>
          <w:rFonts w:ascii="Arial" w:hAnsi="Arial" w:cs="Arial"/>
          <w:b/>
          <w:bCs/>
          <w:sz w:val="24"/>
          <w:szCs w:val="24"/>
        </w:rPr>
        <w:lastRenderedPageBreak/>
        <w:t xml:space="preserve">Recommendation </w:t>
      </w:r>
      <w:r w:rsidR="00671BA5">
        <w:rPr>
          <w:rFonts w:ascii="Arial" w:hAnsi="Arial" w:cs="Arial"/>
          <w:b/>
          <w:bCs/>
          <w:sz w:val="24"/>
          <w:szCs w:val="24"/>
        </w:rPr>
        <w:t>5.8</w:t>
      </w:r>
      <w:r w:rsidRPr="005D0AF3">
        <w:rPr>
          <w:rFonts w:ascii="Arial" w:hAnsi="Arial" w:cs="Arial"/>
          <w:b/>
          <w:bCs/>
          <w:sz w:val="24"/>
          <w:szCs w:val="24"/>
        </w:rPr>
        <w:t xml:space="preserve">: </w:t>
      </w:r>
      <w:r w:rsidRPr="005D0AF3">
        <w:rPr>
          <w:rFonts w:ascii="Arial" w:hAnsi="Arial" w:cs="Arial"/>
          <w:sz w:val="24"/>
          <w:szCs w:val="24"/>
        </w:rPr>
        <w:t xml:space="preserve">The </w:t>
      </w:r>
      <w:r w:rsidR="0095190E">
        <w:rPr>
          <w:rFonts w:ascii="Arial" w:hAnsi="Arial" w:cs="Arial"/>
          <w:sz w:val="24"/>
          <w:szCs w:val="24"/>
        </w:rPr>
        <w:t xml:space="preserve">Aged Care </w:t>
      </w:r>
      <w:r w:rsidR="00EB4C10" w:rsidRPr="005D0AF3">
        <w:rPr>
          <w:rFonts w:ascii="Arial" w:hAnsi="Arial" w:cs="Arial"/>
          <w:sz w:val="24"/>
          <w:szCs w:val="24"/>
        </w:rPr>
        <w:t>Complaints</w:t>
      </w:r>
      <w:r w:rsidRPr="005D0AF3">
        <w:rPr>
          <w:rFonts w:ascii="Arial" w:hAnsi="Arial" w:cs="Arial"/>
          <w:sz w:val="24"/>
          <w:szCs w:val="24"/>
        </w:rPr>
        <w:t xml:space="preserve"> Commissioner </w:t>
      </w:r>
      <w:r w:rsidR="00604F40">
        <w:rPr>
          <w:rFonts w:ascii="Arial" w:hAnsi="Arial" w:cs="Arial"/>
          <w:sz w:val="24"/>
          <w:szCs w:val="24"/>
        </w:rPr>
        <w:t>to</w:t>
      </w:r>
      <w:r w:rsidR="00224303" w:rsidRPr="005D0AF3">
        <w:rPr>
          <w:rFonts w:ascii="Arial" w:hAnsi="Arial" w:cs="Arial"/>
          <w:sz w:val="24"/>
          <w:szCs w:val="24"/>
        </w:rPr>
        <w:t xml:space="preserve"> </w:t>
      </w:r>
      <w:r w:rsidRPr="005D0AF3">
        <w:rPr>
          <w:rFonts w:ascii="Arial" w:hAnsi="Arial" w:cs="Arial"/>
          <w:sz w:val="24"/>
          <w:szCs w:val="24"/>
        </w:rPr>
        <w:t xml:space="preserve">prioritise a </w:t>
      </w:r>
      <w:r w:rsidR="007A57C4">
        <w:rPr>
          <w:rFonts w:ascii="Arial" w:hAnsi="Arial" w:cs="Arial"/>
          <w:sz w:val="24"/>
          <w:szCs w:val="24"/>
        </w:rPr>
        <w:t xml:space="preserve">thoroughgoing </w:t>
      </w:r>
      <w:r w:rsidRPr="005D0AF3">
        <w:rPr>
          <w:rFonts w:ascii="Arial" w:hAnsi="Arial" w:cs="Arial"/>
          <w:sz w:val="24"/>
          <w:szCs w:val="24"/>
        </w:rPr>
        <w:t>review of the revised operating model for SIRS to determine whether it is effective in managing the high volume of notifications and identifying and addressing risks associated with serious incidents.</w:t>
      </w:r>
      <w:r w:rsidRPr="00E66BF3">
        <w:rPr>
          <w:rFonts w:ascii="Arial" w:hAnsi="Arial" w:cs="Arial"/>
          <w:sz w:val="24"/>
          <w:szCs w:val="24"/>
        </w:rPr>
        <w:t xml:space="preserve"> </w:t>
      </w:r>
      <w:bookmarkEnd w:id="18"/>
    </w:p>
    <w:p w14:paraId="5D58790E" w14:textId="77777777" w:rsidR="007D6517" w:rsidRPr="007D6517" w:rsidRDefault="007D6517" w:rsidP="00BA2B4A">
      <w:pPr>
        <w:rPr>
          <w:rFonts w:ascii="Arial" w:hAnsi="Arial" w:cs="Arial"/>
          <w:sz w:val="24"/>
          <w:szCs w:val="24"/>
        </w:rPr>
      </w:pPr>
    </w:p>
    <w:p w14:paraId="6AE26D39" w14:textId="0339D978" w:rsidR="00261EEF" w:rsidRPr="00BA2B4A" w:rsidRDefault="00261EEF" w:rsidP="00BA2B4A">
      <w:pPr>
        <w:rPr>
          <w:rFonts w:ascii="Arial" w:hAnsi="Arial" w:cs="Arial"/>
          <w:b/>
          <w:bCs/>
          <w:sz w:val="28"/>
          <w:szCs w:val="28"/>
        </w:rPr>
      </w:pPr>
      <w:r w:rsidRPr="00BA2B4A">
        <w:rPr>
          <w:rFonts w:ascii="Arial" w:hAnsi="Arial" w:cs="Arial"/>
          <w:b/>
          <w:bCs/>
          <w:sz w:val="28"/>
          <w:szCs w:val="28"/>
        </w:rPr>
        <w:t>5.4 Financial and prudential regulation</w:t>
      </w:r>
    </w:p>
    <w:p w14:paraId="41A3A248" w14:textId="6E487F88" w:rsidR="00412E9C" w:rsidRDefault="007A57C4" w:rsidP="00412E9C">
      <w:pPr>
        <w:rPr>
          <w:rFonts w:ascii="Arial" w:eastAsia="Times New Roman" w:hAnsi="Arial" w:cs="Arial"/>
          <w:sz w:val="24"/>
          <w:szCs w:val="24"/>
        </w:rPr>
      </w:pPr>
      <w:r>
        <w:rPr>
          <w:rFonts w:ascii="Arial" w:eastAsia="Times New Roman" w:hAnsi="Arial" w:cs="Arial"/>
          <w:sz w:val="24"/>
          <w:szCs w:val="24"/>
        </w:rPr>
        <w:t xml:space="preserve">Financial and prudential regulation is a recent addition </w:t>
      </w:r>
      <w:r w:rsidR="00412E9C">
        <w:rPr>
          <w:rFonts w:ascii="Arial" w:eastAsia="Times New Roman" w:hAnsi="Arial" w:cs="Arial"/>
          <w:sz w:val="24"/>
          <w:szCs w:val="24"/>
        </w:rPr>
        <w:t>to the responsibilities of the Commission. The Commission will continue to acquire additional responsibilities from the Department</w:t>
      </w:r>
      <w:r>
        <w:rPr>
          <w:rFonts w:ascii="Arial" w:eastAsia="Times New Roman" w:hAnsi="Arial" w:cs="Arial"/>
          <w:sz w:val="24"/>
          <w:szCs w:val="24"/>
        </w:rPr>
        <w:t xml:space="preserve">, with financial </w:t>
      </w:r>
      <w:r w:rsidR="00CE026C">
        <w:rPr>
          <w:rFonts w:ascii="Arial" w:eastAsia="Times New Roman" w:hAnsi="Arial" w:cs="Arial"/>
          <w:sz w:val="24"/>
          <w:szCs w:val="24"/>
        </w:rPr>
        <w:t xml:space="preserve">viability </w:t>
      </w:r>
      <w:r w:rsidR="00CE026C" w:rsidRPr="00DC36C7">
        <w:rPr>
          <w:rFonts w:ascii="Arial" w:eastAsia="Times New Roman" w:hAnsi="Arial" w:cs="Arial"/>
          <w:sz w:val="24"/>
          <w:szCs w:val="24"/>
        </w:rPr>
        <w:t xml:space="preserve">monitoring </w:t>
      </w:r>
      <w:r w:rsidR="00CE026C" w:rsidRPr="00DC36C7">
        <w:rPr>
          <w:rFonts w:ascii="Arial" w:hAnsi="Arial" w:cs="Arial"/>
          <w:sz w:val="24"/>
          <w:szCs w:val="24"/>
        </w:rPr>
        <w:t>and associated case management commencing from July 2023. Subject to Government decision, further responsibilities for the Commission are expected to commence with the new Aged Care Act, including the making of prudential standards.</w:t>
      </w:r>
      <w:r w:rsidR="00412E9C" w:rsidRPr="00DC36C7">
        <w:rPr>
          <w:rFonts w:ascii="Arial" w:eastAsia="Times New Roman" w:hAnsi="Arial" w:cs="Arial"/>
          <w:sz w:val="24"/>
          <w:szCs w:val="24"/>
        </w:rPr>
        <w:t xml:space="preserve"> These </w:t>
      </w:r>
      <w:r w:rsidR="00412E9C">
        <w:rPr>
          <w:rFonts w:ascii="Arial" w:eastAsia="Times New Roman" w:hAnsi="Arial" w:cs="Arial"/>
          <w:sz w:val="24"/>
          <w:szCs w:val="24"/>
        </w:rPr>
        <w:t xml:space="preserve">functions require new skills sets among Commission staff. Recruitment to new positions will likely be a challenge in a tight labour market. </w:t>
      </w:r>
      <w:r w:rsidR="00694CAC">
        <w:rPr>
          <w:rFonts w:ascii="Arial" w:eastAsia="Times New Roman" w:hAnsi="Arial" w:cs="Arial"/>
          <w:sz w:val="24"/>
          <w:szCs w:val="24"/>
        </w:rPr>
        <w:t>However, the range of functions across the Commission is also an opportunity, as staff can develop new skills and transfer within the Commission to build upon their expertise and experience.</w:t>
      </w:r>
    </w:p>
    <w:p w14:paraId="3D956C63" w14:textId="70171A4A" w:rsidR="00412E9C" w:rsidRPr="00B859AD" w:rsidRDefault="00833D08" w:rsidP="00412E9C">
      <w:pPr>
        <w:rPr>
          <w:rFonts w:ascii="Fira Sans" w:eastAsia="Times New Roman" w:hAnsi="Fira Sans" w:cs="Times New Roman"/>
          <w:color w:val="313131"/>
          <w:sz w:val="24"/>
          <w:szCs w:val="24"/>
        </w:rPr>
      </w:pPr>
      <w:r>
        <w:rPr>
          <w:rFonts w:ascii="Arial" w:eastAsia="Times New Roman" w:hAnsi="Arial" w:cs="Arial"/>
          <w:sz w:val="24"/>
          <w:szCs w:val="24"/>
        </w:rPr>
        <w:t>I</w:t>
      </w:r>
      <w:r w:rsidR="00412E9C">
        <w:rPr>
          <w:rFonts w:ascii="Arial" w:eastAsia="Times New Roman" w:hAnsi="Arial" w:cs="Arial"/>
          <w:sz w:val="24"/>
          <w:szCs w:val="24"/>
        </w:rPr>
        <w:t xml:space="preserve"> note activities underway within the Commission to improve the sector’s understanding of its expanded role, including publication of prudential and financial factsheets and monthly insight reports and an u</w:t>
      </w:r>
      <w:r w:rsidR="00412E9C" w:rsidRPr="00B859AD">
        <w:rPr>
          <w:rFonts w:ascii="Arial" w:eastAsia="Times New Roman" w:hAnsi="Arial" w:cs="Arial"/>
          <w:sz w:val="24"/>
          <w:szCs w:val="24"/>
        </w:rPr>
        <w:t>pcoming campaign on investment management strategies</w:t>
      </w:r>
      <w:r w:rsidR="00412E9C" w:rsidRPr="00A41F55">
        <w:rPr>
          <w:rFonts w:ascii="Arial" w:eastAsia="Times New Roman" w:hAnsi="Arial" w:cs="Arial"/>
          <w:sz w:val="24"/>
          <w:szCs w:val="24"/>
        </w:rPr>
        <w:t xml:space="preserve"> to </w:t>
      </w:r>
      <w:r w:rsidR="00412E9C" w:rsidRPr="00B859AD">
        <w:rPr>
          <w:rFonts w:ascii="Arial" w:eastAsia="Times New Roman" w:hAnsi="Arial" w:cs="Arial"/>
          <w:sz w:val="24"/>
          <w:szCs w:val="24"/>
        </w:rPr>
        <w:t>help residential providers better understand their obligations when investing refundable deposit balances</w:t>
      </w:r>
      <w:r w:rsidR="00412E9C" w:rsidRPr="00B859AD">
        <w:rPr>
          <w:rFonts w:ascii="Fira Sans" w:eastAsia="Times New Roman" w:hAnsi="Fira Sans" w:cs="Times New Roman"/>
          <w:color w:val="313131"/>
          <w:sz w:val="24"/>
          <w:szCs w:val="24"/>
        </w:rPr>
        <w:t>.</w:t>
      </w:r>
      <w:r w:rsidR="00F7295A" w:rsidRPr="00F7295A">
        <w:rPr>
          <w:rStyle w:val="FootnoteReference"/>
          <w:rFonts w:ascii="Fira Sans" w:eastAsia="Times New Roman" w:hAnsi="Fira Sans" w:cs="Times New Roman"/>
          <w:color w:val="313131"/>
          <w:sz w:val="24"/>
          <w:szCs w:val="24"/>
        </w:rPr>
        <w:t xml:space="preserve"> </w:t>
      </w:r>
      <w:r w:rsidR="00F7295A">
        <w:rPr>
          <w:rStyle w:val="FootnoteReference"/>
          <w:rFonts w:ascii="Fira Sans" w:eastAsia="Times New Roman" w:hAnsi="Fira Sans" w:cs="Times New Roman"/>
          <w:color w:val="313131"/>
          <w:sz w:val="24"/>
          <w:szCs w:val="24"/>
        </w:rPr>
        <w:footnoteReference w:id="99"/>
      </w:r>
    </w:p>
    <w:p w14:paraId="5E681D03" w14:textId="72ECB827" w:rsidR="00671BA5" w:rsidRPr="00CA6DEB" w:rsidRDefault="0058417F" w:rsidP="00671BA5">
      <w:pPr>
        <w:rPr>
          <w:rFonts w:ascii="Arial" w:eastAsia="Times New Roman" w:hAnsi="Arial" w:cs="Arial"/>
          <w:sz w:val="24"/>
          <w:szCs w:val="24"/>
        </w:rPr>
      </w:pPr>
      <w:r>
        <w:rPr>
          <w:rFonts w:ascii="Arial" w:eastAsia="Times New Roman" w:hAnsi="Arial" w:cs="Arial"/>
          <w:sz w:val="24"/>
          <w:szCs w:val="24"/>
        </w:rPr>
        <w:t>I</w:t>
      </w:r>
      <w:r w:rsidR="00412E9C">
        <w:rPr>
          <w:rFonts w:ascii="Arial" w:eastAsia="Times New Roman" w:hAnsi="Arial" w:cs="Arial"/>
          <w:sz w:val="24"/>
          <w:szCs w:val="24"/>
        </w:rPr>
        <w:t xml:space="preserve"> also recognise the strong collaboration and proactive approaches between the Commission and the Department to support the successful transition of these functions. </w:t>
      </w:r>
      <w:r w:rsidR="00CA6DEB">
        <w:rPr>
          <w:rFonts w:ascii="Arial" w:eastAsia="Times New Roman" w:hAnsi="Arial" w:cs="Arial"/>
          <w:sz w:val="24"/>
          <w:szCs w:val="24"/>
        </w:rPr>
        <w:t>A</w:t>
      </w:r>
      <w:r w:rsidR="00671BA5" w:rsidRPr="00CA6DEB">
        <w:rPr>
          <w:rFonts w:ascii="Arial" w:eastAsia="Times New Roman" w:hAnsi="Arial" w:cs="Arial"/>
          <w:sz w:val="24"/>
          <w:szCs w:val="24"/>
        </w:rPr>
        <w:t xml:space="preserve"> joint operating model has been collaboratively developed to ensure respective functions work together in a day-to-day operational sense, while also meeting shared objectives and strategic outcomes. For example, the functions of the ACQSC to identify and monitor viability risk will help inform both its regulatory levers to manage those risks, and the Department’s support program levers to manage those risks (where appropriate), to collectively ensure that aged care services, particularly in thin markets, continue to deliver essential services to residents.</w:t>
      </w:r>
    </w:p>
    <w:p w14:paraId="286BEFB4" w14:textId="56B9AAE4" w:rsidR="00412E9C" w:rsidRDefault="00055154" w:rsidP="00412E9C">
      <w:pPr>
        <w:rPr>
          <w:rFonts w:ascii="Arial" w:eastAsia="Times New Roman" w:hAnsi="Arial" w:cs="Arial"/>
          <w:sz w:val="24"/>
          <w:szCs w:val="24"/>
        </w:rPr>
      </w:pPr>
      <w:r>
        <w:rPr>
          <w:rFonts w:ascii="Arial" w:eastAsia="Times New Roman" w:hAnsi="Arial" w:cs="Arial"/>
          <w:sz w:val="24"/>
          <w:szCs w:val="24"/>
        </w:rPr>
        <w:t xml:space="preserve">The Review understands the Commission and Department are currently scenario testing the joint operating model. </w:t>
      </w:r>
      <w:r w:rsidR="00412E9C">
        <w:rPr>
          <w:rFonts w:ascii="Arial" w:eastAsia="Times New Roman" w:hAnsi="Arial" w:cs="Arial"/>
          <w:sz w:val="24"/>
          <w:szCs w:val="24"/>
        </w:rPr>
        <w:t>It is vital this work is implemented and that these materials are shared with the sector as soon as possible to complement existing information products</w:t>
      </w:r>
      <w:r w:rsidR="00412E9C" w:rsidRPr="000A622F">
        <w:rPr>
          <w:rFonts w:ascii="Arial" w:eastAsia="Times New Roman" w:hAnsi="Arial" w:cs="Arial"/>
          <w:sz w:val="24"/>
          <w:szCs w:val="24"/>
        </w:rPr>
        <w:t xml:space="preserve"> </w:t>
      </w:r>
      <w:r w:rsidR="00412E9C">
        <w:rPr>
          <w:rFonts w:ascii="Arial" w:eastAsia="Times New Roman" w:hAnsi="Arial" w:cs="Arial"/>
          <w:sz w:val="24"/>
          <w:szCs w:val="24"/>
        </w:rPr>
        <w:t>and provide greater transparency and assurance on the Commission’s regulatory approach.</w:t>
      </w:r>
      <w:r w:rsidR="00F7295A">
        <w:rPr>
          <w:rStyle w:val="FootnoteReference"/>
          <w:rFonts w:ascii="Arial" w:eastAsia="Times New Roman" w:hAnsi="Arial" w:cs="Arial"/>
          <w:sz w:val="24"/>
          <w:szCs w:val="24"/>
        </w:rPr>
        <w:footnoteReference w:id="100"/>
      </w:r>
    </w:p>
    <w:p w14:paraId="1ECC112B" w14:textId="1AD7272D" w:rsidR="00412E9C" w:rsidRDefault="00412E9C" w:rsidP="007D6517">
      <w:pPr>
        <w:keepLines/>
        <w:spacing w:before="240"/>
        <w:rPr>
          <w:rFonts w:ascii="Arial" w:eastAsia="Times New Roman" w:hAnsi="Arial" w:cs="Arial"/>
          <w:sz w:val="24"/>
          <w:szCs w:val="24"/>
        </w:rPr>
      </w:pPr>
      <w:r>
        <w:rPr>
          <w:rFonts w:ascii="Arial" w:eastAsia="Times New Roman" w:hAnsi="Arial" w:cs="Arial"/>
          <w:sz w:val="24"/>
          <w:szCs w:val="24"/>
        </w:rPr>
        <w:lastRenderedPageBreak/>
        <w:t xml:space="preserve">It will also be essential for the Commission </w:t>
      </w:r>
      <w:r w:rsidR="00CA6DEB">
        <w:rPr>
          <w:rFonts w:ascii="Arial" w:eastAsia="Times New Roman" w:hAnsi="Arial" w:cs="Arial"/>
          <w:sz w:val="24"/>
          <w:szCs w:val="24"/>
        </w:rPr>
        <w:t xml:space="preserve">to </w:t>
      </w:r>
      <w:r>
        <w:rPr>
          <w:rFonts w:ascii="Arial" w:eastAsia="Times New Roman" w:hAnsi="Arial" w:cs="Arial"/>
          <w:sz w:val="24"/>
          <w:szCs w:val="24"/>
        </w:rPr>
        <w:t xml:space="preserve">consider how to best integrate prudential activities with other regulatory activities, to minimise burden on providers, enhance intelligence and understanding of risk, and drive provider improvements. </w:t>
      </w:r>
      <w:r w:rsidR="00CA6DEB">
        <w:rPr>
          <w:rFonts w:ascii="Arial" w:eastAsia="Times New Roman" w:hAnsi="Arial" w:cs="Arial"/>
          <w:sz w:val="24"/>
          <w:szCs w:val="24"/>
        </w:rPr>
        <w:t xml:space="preserve">Financial risk can often be an early indicator of risks to the quality of care in a service. For this reason, it is important that the Commission’s financial and prudential functions be fully integrated with other information as it implements a more sophisticated risk-based approach </w:t>
      </w:r>
      <w:proofErr w:type="gramStart"/>
      <w:r w:rsidR="00CA6DEB">
        <w:rPr>
          <w:rFonts w:ascii="Arial" w:eastAsia="Times New Roman" w:hAnsi="Arial" w:cs="Arial"/>
          <w:sz w:val="24"/>
          <w:szCs w:val="24"/>
        </w:rPr>
        <w:t>through the use of</w:t>
      </w:r>
      <w:proofErr w:type="gramEnd"/>
      <w:r w:rsidR="00CA6DEB">
        <w:rPr>
          <w:rFonts w:ascii="Arial" w:eastAsia="Times New Roman" w:hAnsi="Arial" w:cs="Arial"/>
          <w:sz w:val="24"/>
          <w:szCs w:val="24"/>
        </w:rPr>
        <w:t xml:space="preserve"> data analytics.</w:t>
      </w:r>
    </w:p>
    <w:p w14:paraId="15BB7311" w14:textId="2BDDDE59" w:rsidR="00412E9C" w:rsidRDefault="00412E9C" w:rsidP="00D73C7D">
      <w:pPr>
        <w:keepLines/>
        <w:rPr>
          <w:rFonts w:ascii="Arial" w:eastAsia="Times New Roman" w:hAnsi="Arial" w:cs="Arial"/>
          <w:sz w:val="24"/>
          <w:szCs w:val="24"/>
        </w:rPr>
      </w:pPr>
      <w:r>
        <w:rPr>
          <w:rFonts w:ascii="Arial" w:eastAsia="Times New Roman" w:hAnsi="Arial" w:cs="Arial"/>
          <w:sz w:val="24"/>
          <w:szCs w:val="24"/>
        </w:rPr>
        <w:t>Equally, the Commission must continue to work closely with the Department after the transfer of functions to ensure early identification and mitigation of risk, at both the provider and sector level, and to review and re-calibrate the joint operating model, where required.</w:t>
      </w:r>
    </w:p>
    <w:p w14:paraId="35D9CD8A" w14:textId="522077B2" w:rsidR="00CA6DEB" w:rsidRDefault="00CA6DEB" w:rsidP="00CA6DEB">
      <w:pPr>
        <w:spacing w:before="120" w:after="120" w:line="240" w:lineRule="auto"/>
        <w:rPr>
          <w:rFonts w:ascii="Arial" w:hAnsi="Arial" w:cs="Arial"/>
          <w:sz w:val="24"/>
          <w:szCs w:val="24"/>
        </w:rPr>
      </w:pPr>
      <w:r w:rsidRPr="005D0AF3">
        <w:rPr>
          <w:rFonts w:ascii="Arial" w:hAnsi="Arial" w:cs="Arial"/>
          <w:b/>
          <w:bCs/>
          <w:sz w:val="24"/>
          <w:szCs w:val="24"/>
        </w:rPr>
        <w:t xml:space="preserve">Recommendation </w:t>
      </w:r>
      <w:r>
        <w:rPr>
          <w:rFonts w:ascii="Arial" w:hAnsi="Arial" w:cs="Arial"/>
          <w:b/>
          <w:bCs/>
          <w:sz w:val="24"/>
          <w:szCs w:val="24"/>
        </w:rPr>
        <w:t>5.9</w:t>
      </w:r>
      <w:r w:rsidRPr="005D0AF3">
        <w:rPr>
          <w:rFonts w:ascii="Arial" w:hAnsi="Arial" w:cs="Arial"/>
          <w:b/>
          <w:bCs/>
          <w:sz w:val="24"/>
          <w:szCs w:val="24"/>
        </w:rPr>
        <w:t xml:space="preserve">: </w:t>
      </w:r>
      <w:r w:rsidRPr="005D0AF3">
        <w:rPr>
          <w:rFonts w:ascii="Arial" w:hAnsi="Arial" w:cs="Arial"/>
          <w:sz w:val="24"/>
          <w:szCs w:val="24"/>
        </w:rPr>
        <w:t xml:space="preserve">The </w:t>
      </w:r>
      <w:r>
        <w:rPr>
          <w:rFonts w:ascii="Arial" w:hAnsi="Arial" w:cs="Arial"/>
          <w:sz w:val="24"/>
          <w:szCs w:val="24"/>
        </w:rPr>
        <w:t xml:space="preserve">Commission to fully integrate its financial and prudential regulatory functions </w:t>
      </w:r>
      <w:r w:rsidR="001A03ED">
        <w:rPr>
          <w:rFonts w:ascii="Arial" w:hAnsi="Arial" w:cs="Arial"/>
          <w:sz w:val="24"/>
          <w:szCs w:val="24"/>
        </w:rPr>
        <w:t xml:space="preserve">into existing assessment functions </w:t>
      </w:r>
      <w:r>
        <w:rPr>
          <w:rFonts w:ascii="Arial" w:hAnsi="Arial" w:cs="Arial"/>
          <w:sz w:val="24"/>
          <w:szCs w:val="24"/>
        </w:rPr>
        <w:t xml:space="preserve">to support its implementation of a more </w:t>
      </w:r>
      <w:r w:rsidR="001A03ED">
        <w:rPr>
          <w:rFonts w:ascii="Arial" w:hAnsi="Arial" w:cs="Arial"/>
          <w:sz w:val="24"/>
          <w:szCs w:val="24"/>
        </w:rPr>
        <w:t>sophisticated</w:t>
      </w:r>
      <w:r>
        <w:rPr>
          <w:rFonts w:ascii="Arial" w:hAnsi="Arial" w:cs="Arial"/>
          <w:sz w:val="24"/>
          <w:szCs w:val="24"/>
        </w:rPr>
        <w:t xml:space="preserve"> risk-based approach </w:t>
      </w:r>
      <w:proofErr w:type="gramStart"/>
      <w:r>
        <w:rPr>
          <w:rFonts w:ascii="Arial" w:hAnsi="Arial" w:cs="Arial"/>
          <w:sz w:val="24"/>
          <w:szCs w:val="24"/>
        </w:rPr>
        <w:t>through the use of</w:t>
      </w:r>
      <w:proofErr w:type="gramEnd"/>
      <w:r>
        <w:rPr>
          <w:rFonts w:ascii="Arial" w:hAnsi="Arial" w:cs="Arial"/>
          <w:sz w:val="24"/>
          <w:szCs w:val="24"/>
        </w:rPr>
        <w:t xml:space="preserve"> data analytics.</w:t>
      </w:r>
    </w:p>
    <w:p w14:paraId="5A3B44F7" w14:textId="2ED1A940" w:rsidR="00261EEF" w:rsidRPr="00261EEF" w:rsidRDefault="00261EEF" w:rsidP="00261EEF">
      <w:pPr>
        <w:spacing w:before="120" w:after="120"/>
        <w:rPr>
          <w:rFonts w:ascii="Arial" w:hAnsi="Arial" w:cs="Arial"/>
          <w:sz w:val="24"/>
          <w:szCs w:val="24"/>
        </w:rPr>
      </w:pPr>
    </w:p>
    <w:p w14:paraId="3C56B6D8" w14:textId="06BCD6D6" w:rsidR="00261EEF" w:rsidRPr="00BA2B4A" w:rsidRDefault="00AC5919" w:rsidP="00BA2B4A">
      <w:pPr>
        <w:rPr>
          <w:rFonts w:ascii="Arial" w:hAnsi="Arial" w:cs="Arial"/>
          <w:b/>
          <w:bCs/>
          <w:sz w:val="28"/>
          <w:szCs w:val="28"/>
        </w:rPr>
      </w:pPr>
      <w:r w:rsidRPr="00BA2B4A">
        <w:rPr>
          <w:rFonts w:ascii="Arial" w:hAnsi="Arial" w:cs="Arial"/>
          <w:b/>
          <w:bCs/>
          <w:sz w:val="28"/>
          <w:szCs w:val="28"/>
        </w:rPr>
        <w:t>5.5 Chief Clinical Advisor Group</w:t>
      </w:r>
    </w:p>
    <w:p w14:paraId="41D7172A" w14:textId="77777777" w:rsidR="00EB67F5" w:rsidRDefault="00EB67F5" w:rsidP="00EB67F5">
      <w:pPr>
        <w:spacing w:line="252" w:lineRule="auto"/>
        <w:rPr>
          <w:rFonts w:ascii="Calibri" w:hAnsi="Calibri" w:cs="Calibri"/>
        </w:rPr>
      </w:pPr>
      <w:r w:rsidRPr="00AB02B7">
        <w:rPr>
          <w:rFonts w:ascii="Arial" w:eastAsia="Times New Roman" w:hAnsi="Arial" w:cs="Arial"/>
          <w:sz w:val="24"/>
          <w:szCs w:val="24"/>
        </w:rPr>
        <w:t xml:space="preserve">The introduction of the Chief Clinical Advisor and supporting functions and staff has been an important development for the Commission in </w:t>
      </w:r>
      <w:r>
        <w:rPr>
          <w:rFonts w:ascii="Arial" w:eastAsia="Times New Roman" w:hAnsi="Arial" w:cs="Arial"/>
          <w:sz w:val="24"/>
          <w:szCs w:val="24"/>
        </w:rPr>
        <w:t>assisting</w:t>
      </w:r>
      <w:r w:rsidRPr="00AB02B7">
        <w:rPr>
          <w:rFonts w:ascii="Arial" w:eastAsia="Times New Roman" w:hAnsi="Arial" w:cs="Arial"/>
          <w:sz w:val="24"/>
          <w:szCs w:val="24"/>
        </w:rPr>
        <w:t xml:space="preserve"> its internal operations</w:t>
      </w:r>
      <w:r>
        <w:rPr>
          <w:rFonts w:ascii="Arial" w:eastAsia="Times New Roman" w:hAnsi="Arial" w:cs="Arial"/>
          <w:sz w:val="24"/>
          <w:szCs w:val="24"/>
        </w:rPr>
        <w:t xml:space="preserve"> and</w:t>
      </w:r>
      <w:r w:rsidRPr="00AB02B7">
        <w:rPr>
          <w:rFonts w:ascii="Arial" w:eastAsia="Times New Roman" w:hAnsi="Arial" w:cs="Arial"/>
          <w:sz w:val="24"/>
          <w:szCs w:val="24"/>
        </w:rPr>
        <w:t xml:space="preserve"> enhancing clinical knowledge more generally in the sector</w:t>
      </w:r>
      <w:r>
        <w:rPr>
          <w:rFonts w:ascii="Arial" w:eastAsia="Times New Roman" w:hAnsi="Arial" w:cs="Arial"/>
          <w:sz w:val="24"/>
          <w:szCs w:val="24"/>
        </w:rPr>
        <w:t xml:space="preserve">. </w:t>
      </w:r>
    </w:p>
    <w:p w14:paraId="73A07CF2" w14:textId="24281647" w:rsidR="00EB67F5" w:rsidRDefault="00EB67F5" w:rsidP="00EB67F5">
      <w:pPr>
        <w:spacing w:line="252" w:lineRule="auto"/>
        <w:rPr>
          <w:rFonts w:ascii="Arial" w:eastAsia="Times New Roman" w:hAnsi="Arial" w:cs="Arial"/>
          <w:sz w:val="24"/>
          <w:szCs w:val="24"/>
        </w:rPr>
      </w:pPr>
      <w:r>
        <w:rPr>
          <w:rFonts w:ascii="Arial" w:eastAsia="Times New Roman" w:hAnsi="Arial" w:cs="Arial"/>
          <w:sz w:val="24"/>
          <w:szCs w:val="24"/>
        </w:rPr>
        <w:t>The Chief Clinical Adviser Group comprises:</w:t>
      </w:r>
    </w:p>
    <w:p w14:paraId="6EE6562F" w14:textId="77777777" w:rsidR="00EB67F5" w:rsidRPr="00D41835" w:rsidRDefault="00EB67F5" w:rsidP="001750D5">
      <w:pPr>
        <w:pStyle w:val="ListParagraph"/>
        <w:numPr>
          <w:ilvl w:val="0"/>
          <w:numId w:val="99"/>
        </w:numPr>
        <w:spacing w:line="252" w:lineRule="auto"/>
        <w:rPr>
          <w:rFonts w:ascii="Arial" w:eastAsia="Times New Roman" w:hAnsi="Arial" w:cs="Arial"/>
          <w:sz w:val="24"/>
          <w:szCs w:val="24"/>
        </w:rPr>
      </w:pPr>
      <w:r>
        <w:rPr>
          <w:rFonts w:ascii="Arial" w:eastAsia="Times New Roman" w:hAnsi="Arial" w:cs="Arial"/>
          <w:sz w:val="24"/>
          <w:szCs w:val="24"/>
        </w:rPr>
        <w:t>a</w:t>
      </w:r>
      <w:r w:rsidRPr="00D41835">
        <w:rPr>
          <w:rFonts w:ascii="Arial" w:eastAsia="Times New Roman" w:hAnsi="Arial" w:cs="Arial"/>
          <w:sz w:val="24"/>
          <w:szCs w:val="24"/>
        </w:rPr>
        <w:t xml:space="preserve"> Clinical Unit</w:t>
      </w:r>
      <w:r>
        <w:rPr>
          <w:rFonts w:ascii="Arial" w:eastAsia="Times New Roman" w:hAnsi="Arial" w:cs="Arial"/>
          <w:sz w:val="24"/>
          <w:szCs w:val="24"/>
        </w:rPr>
        <w:t>, which provides clinical support and advice to Commission staff</w:t>
      </w:r>
    </w:p>
    <w:p w14:paraId="15853619" w14:textId="77777777" w:rsidR="00EB67F5" w:rsidRPr="00D41835" w:rsidRDefault="00EB67F5" w:rsidP="001750D5">
      <w:pPr>
        <w:pStyle w:val="ListParagraph"/>
        <w:numPr>
          <w:ilvl w:val="0"/>
          <w:numId w:val="99"/>
        </w:numPr>
        <w:spacing w:line="252" w:lineRule="auto"/>
        <w:rPr>
          <w:rFonts w:ascii="Arial" w:eastAsia="Times New Roman" w:hAnsi="Arial" w:cs="Arial"/>
          <w:sz w:val="24"/>
          <w:szCs w:val="24"/>
        </w:rPr>
      </w:pPr>
      <w:r>
        <w:rPr>
          <w:rFonts w:ascii="Arial" w:eastAsia="Times New Roman" w:hAnsi="Arial" w:cs="Arial"/>
          <w:sz w:val="24"/>
          <w:szCs w:val="24"/>
        </w:rPr>
        <w:t>a</w:t>
      </w:r>
      <w:r w:rsidRPr="00D41835">
        <w:rPr>
          <w:rFonts w:ascii="Arial" w:eastAsia="Times New Roman" w:hAnsi="Arial" w:cs="Arial"/>
          <w:sz w:val="24"/>
          <w:szCs w:val="24"/>
        </w:rPr>
        <w:t xml:space="preserve"> Restrictive Practices Unit, which provides support and advice to Commission staff </w:t>
      </w:r>
      <w:r>
        <w:rPr>
          <w:rFonts w:ascii="Arial" w:eastAsia="Times New Roman" w:hAnsi="Arial" w:cs="Arial"/>
          <w:sz w:val="24"/>
          <w:szCs w:val="24"/>
        </w:rPr>
        <w:t>on issues relating to b</w:t>
      </w:r>
      <w:r w:rsidRPr="00D41835">
        <w:rPr>
          <w:rFonts w:ascii="Arial" w:eastAsia="Times New Roman" w:hAnsi="Arial" w:cs="Arial"/>
          <w:sz w:val="24"/>
          <w:szCs w:val="24"/>
        </w:rPr>
        <w:t>ehaviour support and restrictive practices</w:t>
      </w:r>
    </w:p>
    <w:p w14:paraId="32791BA6" w14:textId="665185A1" w:rsidR="00EB67F5" w:rsidRPr="00D41835" w:rsidRDefault="00EB67F5" w:rsidP="001750D5">
      <w:pPr>
        <w:pStyle w:val="ListParagraph"/>
        <w:numPr>
          <w:ilvl w:val="0"/>
          <w:numId w:val="99"/>
        </w:numPr>
        <w:spacing w:line="252" w:lineRule="auto"/>
        <w:rPr>
          <w:rFonts w:ascii="Arial" w:eastAsia="Times New Roman" w:hAnsi="Arial" w:cs="Arial"/>
          <w:sz w:val="24"/>
          <w:szCs w:val="24"/>
        </w:rPr>
      </w:pPr>
      <w:r>
        <w:rPr>
          <w:rFonts w:ascii="Arial" w:eastAsia="Times New Roman" w:hAnsi="Arial" w:cs="Arial"/>
          <w:sz w:val="24"/>
          <w:szCs w:val="24"/>
        </w:rPr>
        <w:t>a</w:t>
      </w:r>
      <w:r w:rsidRPr="00D41835">
        <w:rPr>
          <w:rFonts w:ascii="Arial" w:eastAsia="Times New Roman" w:hAnsi="Arial" w:cs="Arial"/>
          <w:sz w:val="24"/>
          <w:szCs w:val="24"/>
        </w:rPr>
        <w:t xml:space="preserve"> Clinical Pharmacy Unit</w:t>
      </w:r>
      <w:r>
        <w:rPr>
          <w:rFonts w:ascii="Arial" w:eastAsia="Times New Roman" w:hAnsi="Arial" w:cs="Arial"/>
          <w:sz w:val="24"/>
          <w:szCs w:val="24"/>
        </w:rPr>
        <w:t>, which educates, guides, and supports residential providers on medication issues and delivers a Pharmacy Outreach Program</w:t>
      </w:r>
    </w:p>
    <w:p w14:paraId="6B267C7B" w14:textId="3E11313B" w:rsidR="00EB67F5" w:rsidRPr="00435ACA" w:rsidRDefault="00EB67F5" w:rsidP="001750D5">
      <w:pPr>
        <w:pStyle w:val="ListParagraph"/>
        <w:numPr>
          <w:ilvl w:val="0"/>
          <w:numId w:val="99"/>
        </w:numPr>
        <w:spacing w:line="252" w:lineRule="auto"/>
        <w:rPr>
          <w:rFonts w:ascii="Arial" w:eastAsia="Times New Roman" w:hAnsi="Arial" w:cs="Arial"/>
          <w:sz w:val="24"/>
          <w:szCs w:val="24"/>
        </w:rPr>
      </w:pPr>
      <w:r w:rsidRPr="00435ACA">
        <w:rPr>
          <w:rFonts w:ascii="Arial" w:eastAsia="Times New Roman" w:hAnsi="Arial" w:cs="Arial"/>
          <w:sz w:val="24"/>
          <w:szCs w:val="24"/>
        </w:rPr>
        <w:t>specialised clinical consultants, including an infectious diseases physician and a consultant pharmacist.</w:t>
      </w:r>
      <w:r w:rsidR="00F7295A">
        <w:rPr>
          <w:rStyle w:val="FootnoteReference"/>
          <w:rFonts w:ascii="Arial" w:eastAsia="Times New Roman" w:hAnsi="Arial" w:cs="Arial"/>
          <w:sz w:val="24"/>
          <w:szCs w:val="24"/>
        </w:rPr>
        <w:footnoteReference w:id="101"/>
      </w:r>
    </w:p>
    <w:p w14:paraId="2975A47B" w14:textId="39F84C16" w:rsidR="00EB67F5" w:rsidRDefault="00EB67F5" w:rsidP="00EB67F5">
      <w:pPr>
        <w:spacing w:line="252" w:lineRule="auto"/>
        <w:rPr>
          <w:rFonts w:ascii="Arial" w:eastAsia="Times New Roman" w:hAnsi="Arial" w:cs="Arial"/>
          <w:sz w:val="24"/>
          <w:szCs w:val="24"/>
        </w:rPr>
      </w:pPr>
      <w:r>
        <w:rPr>
          <w:rFonts w:ascii="Arial" w:eastAsia="Times New Roman" w:hAnsi="Arial" w:cs="Arial"/>
          <w:sz w:val="24"/>
          <w:szCs w:val="24"/>
        </w:rPr>
        <w:t xml:space="preserve">The Review heard the Clinical Unit, and to a lesser degree </w:t>
      </w:r>
      <w:r w:rsidR="001A03ED">
        <w:rPr>
          <w:rFonts w:ascii="Arial" w:eastAsia="Times New Roman" w:hAnsi="Arial" w:cs="Arial"/>
          <w:sz w:val="24"/>
          <w:szCs w:val="24"/>
        </w:rPr>
        <w:t xml:space="preserve">the </w:t>
      </w:r>
      <w:r>
        <w:rPr>
          <w:rFonts w:ascii="Arial" w:eastAsia="Times New Roman" w:hAnsi="Arial" w:cs="Arial"/>
          <w:sz w:val="24"/>
          <w:szCs w:val="24"/>
        </w:rPr>
        <w:t>Restrictive Practices Unit, are experiencing recruitment issues and that it is challenging to find staff with the right skills mix who can assess issues and provide clear and succinct advice which assists regulatory officers and delegates to make sound, evidence-based decisions.</w:t>
      </w:r>
    </w:p>
    <w:p w14:paraId="2133BEEE" w14:textId="77777777" w:rsidR="00EB67F5" w:rsidRDefault="00EB67F5" w:rsidP="00EB67F5">
      <w:pPr>
        <w:spacing w:line="252" w:lineRule="auto"/>
        <w:rPr>
          <w:rFonts w:ascii="Arial" w:eastAsia="Times New Roman" w:hAnsi="Arial" w:cs="Arial"/>
          <w:sz w:val="24"/>
          <w:szCs w:val="24"/>
        </w:rPr>
      </w:pPr>
      <w:r>
        <w:rPr>
          <w:rFonts w:ascii="Arial" w:eastAsia="Times New Roman" w:hAnsi="Arial" w:cs="Arial"/>
          <w:sz w:val="24"/>
          <w:szCs w:val="24"/>
        </w:rPr>
        <w:t>The Review also heard concerns from Commission staff that</w:t>
      </w:r>
      <w:r w:rsidRPr="00AB02B7">
        <w:rPr>
          <w:rFonts w:ascii="Arial" w:eastAsia="Times New Roman" w:hAnsi="Arial" w:cs="Arial"/>
          <w:sz w:val="24"/>
          <w:szCs w:val="24"/>
        </w:rPr>
        <w:t xml:space="preserve"> delays in responding to requests for advice</w:t>
      </w:r>
      <w:r w:rsidRPr="00C977DE">
        <w:rPr>
          <w:rFonts w:ascii="Arial" w:eastAsia="Times New Roman" w:hAnsi="Arial" w:cs="Arial"/>
          <w:sz w:val="24"/>
          <w:szCs w:val="24"/>
        </w:rPr>
        <w:t xml:space="preserve"> </w:t>
      </w:r>
      <w:r>
        <w:rPr>
          <w:rFonts w:ascii="Arial" w:eastAsia="Times New Roman" w:hAnsi="Arial" w:cs="Arial"/>
          <w:sz w:val="24"/>
          <w:szCs w:val="24"/>
        </w:rPr>
        <w:t xml:space="preserve">can prevent them from assessing and responding to risk quickly. Quality assessors expressed frustration at not having real time access to clinical advice to assist them in responding to issues identified during an assessment. Similarly, complaints handling can be delayed whilst waiting for clinical advice. </w:t>
      </w:r>
    </w:p>
    <w:p w14:paraId="5930656F" w14:textId="5E208813" w:rsidR="00EB67F5" w:rsidRPr="00476F25" w:rsidRDefault="00EB67F5" w:rsidP="007D6517">
      <w:pPr>
        <w:keepLines/>
        <w:spacing w:line="252" w:lineRule="auto"/>
        <w:rPr>
          <w:rFonts w:ascii="Arial" w:eastAsia="Times New Roman" w:hAnsi="Arial" w:cs="Arial"/>
          <w:sz w:val="24"/>
          <w:szCs w:val="24"/>
        </w:rPr>
      </w:pPr>
      <w:r>
        <w:rPr>
          <w:rFonts w:ascii="Arial" w:eastAsia="Times New Roman" w:hAnsi="Arial" w:cs="Arial"/>
          <w:sz w:val="24"/>
          <w:szCs w:val="24"/>
        </w:rPr>
        <w:lastRenderedPageBreak/>
        <w:t xml:space="preserve">The Commission advised </w:t>
      </w:r>
      <w:r w:rsidRPr="00AB02B7">
        <w:rPr>
          <w:rFonts w:ascii="Arial" w:eastAsia="Times New Roman" w:hAnsi="Arial" w:cs="Arial"/>
          <w:sz w:val="24"/>
          <w:szCs w:val="24"/>
        </w:rPr>
        <w:t>a Clinical Advice Framework</w:t>
      </w:r>
      <w:r>
        <w:rPr>
          <w:rFonts w:ascii="Arial" w:eastAsia="Times New Roman" w:hAnsi="Arial" w:cs="Arial"/>
          <w:sz w:val="24"/>
          <w:szCs w:val="24"/>
        </w:rPr>
        <w:t xml:space="preserve"> which includes</w:t>
      </w:r>
      <w:r w:rsidRPr="00AB02B7">
        <w:rPr>
          <w:rFonts w:ascii="Arial" w:eastAsia="Times New Roman" w:hAnsi="Arial" w:cs="Arial"/>
          <w:sz w:val="24"/>
          <w:szCs w:val="24"/>
        </w:rPr>
        <w:t xml:space="preserve"> education for all staff in core clinical </w:t>
      </w:r>
      <w:r w:rsidRPr="00DA143D">
        <w:rPr>
          <w:rFonts w:ascii="Arial" w:eastAsia="Times New Roman" w:hAnsi="Arial" w:cs="Arial"/>
          <w:sz w:val="24"/>
          <w:szCs w:val="24"/>
        </w:rPr>
        <w:t>knowledge</w:t>
      </w:r>
      <w:r>
        <w:rPr>
          <w:rFonts w:ascii="Arial" w:eastAsia="Times New Roman" w:hAnsi="Arial" w:cs="Arial"/>
          <w:sz w:val="24"/>
          <w:szCs w:val="24"/>
        </w:rPr>
        <w:t xml:space="preserve"> </w:t>
      </w:r>
      <w:r w:rsidRPr="00AB02B7">
        <w:rPr>
          <w:rFonts w:ascii="Arial" w:eastAsia="Times New Roman" w:hAnsi="Arial" w:cs="Arial"/>
          <w:sz w:val="24"/>
          <w:szCs w:val="24"/>
        </w:rPr>
        <w:t xml:space="preserve">is </w:t>
      </w:r>
      <w:r>
        <w:rPr>
          <w:rFonts w:ascii="Arial" w:eastAsia="Times New Roman" w:hAnsi="Arial" w:cs="Arial"/>
          <w:sz w:val="24"/>
          <w:szCs w:val="24"/>
        </w:rPr>
        <w:t xml:space="preserve">almost complete. While this recognises the desire of regulatory staff to feel more confident when dealing with clinical issues, </w:t>
      </w:r>
      <w:r w:rsidRPr="00476F25">
        <w:rPr>
          <w:rFonts w:ascii="Arial" w:eastAsia="Times New Roman" w:hAnsi="Arial" w:cs="Arial"/>
          <w:sz w:val="24"/>
          <w:szCs w:val="24"/>
        </w:rPr>
        <w:t>the C</w:t>
      </w:r>
      <w:r w:rsidRPr="00AB02B7">
        <w:rPr>
          <w:rFonts w:ascii="Arial" w:eastAsia="Times New Roman" w:hAnsi="Arial" w:cs="Arial"/>
          <w:sz w:val="24"/>
          <w:szCs w:val="24"/>
        </w:rPr>
        <w:t xml:space="preserve">ommission could </w:t>
      </w:r>
      <w:r>
        <w:rPr>
          <w:rFonts w:ascii="Arial" w:eastAsia="Times New Roman" w:hAnsi="Arial" w:cs="Arial"/>
          <w:sz w:val="24"/>
          <w:szCs w:val="24"/>
        </w:rPr>
        <w:t xml:space="preserve">build on this by implementing </w:t>
      </w:r>
      <w:r w:rsidRPr="00AB02B7">
        <w:rPr>
          <w:rFonts w:ascii="Arial" w:eastAsia="Times New Roman" w:hAnsi="Arial" w:cs="Arial"/>
          <w:sz w:val="24"/>
          <w:szCs w:val="24"/>
        </w:rPr>
        <w:t>a ‘hub and spokes’ model where</w:t>
      </w:r>
      <w:r>
        <w:rPr>
          <w:rFonts w:ascii="Arial" w:eastAsia="Times New Roman" w:hAnsi="Arial" w:cs="Arial"/>
          <w:sz w:val="24"/>
          <w:szCs w:val="24"/>
        </w:rPr>
        <w:t xml:space="preserve"> some</w:t>
      </w:r>
      <w:r w:rsidRPr="00AB02B7">
        <w:rPr>
          <w:rFonts w:ascii="Arial" w:eastAsia="Times New Roman" w:hAnsi="Arial" w:cs="Arial"/>
          <w:sz w:val="24"/>
          <w:szCs w:val="24"/>
        </w:rPr>
        <w:t xml:space="preserve"> </w:t>
      </w:r>
      <w:r>
        <w:rPr>
          <w:rFonts w:ascii="Arial" w:eastAsia="Times New Roman" w:hAnsi="Arial" w:cs="Arial"/>
          <w:sz w:val="24"/>
          <w:szCs w:val="24"/>
        </w:rPr>
        <w:t>clinicians</w:t>
      </w:r>
      <w:r w:rsidRPr="00AB02B7">
        <w:rPr>
          <w:rFonts w:ascii="Arial" w:eastAsia="Times New Roman" w:hAnsi="Arial" w:cs="Arial"/>
          <w:sz w:val="24"/>
          <w:szCs w:val="24"/>
        </w:rPr>
        <w:t xml:space="preserve"> </w:t>
      </w:r>
      <w:proofErr w:type="gramStart"/>
      <w:r w:rsidRPr="00AB02B7">
        <w:rPr>
          <w:rFonts w:ascii="Arial" w:eastAsia="Times New Roman" w:hAnsi="Arial" w:cs="Arial"/>
          <w:sz w:val="24"/>
          <w:szCs w:val="24"/>
        </w:rPr>
        <w:t>are located in</w:t>
      </w:r>
      <w:proofErr w:type="gramEnd"/>
      <w:r w:rsidRPr="00AB02B7">
        <w:rPr>
          <w:rFonts w:ascii="Arial" w:eastAsia="Times New Roman" w:hAnsi="Arial" w:cs="Arial"/>
          <w:sz w:val="24"/>
          <w:szCs w:val="24"/>
        </w:rPr>
        <w:t xml:space="preserve"> </w:t>
      </w:r>
      <w:r>
        <w:rPr>
          <w:rFonts w:ascii="Arial" w:eastAsia="Times New Roman" w:hAnsi="Arial" w:cs="Arial"/>
          <w:sz w:val="24"/>
          <w:szCs w:val="24"/>
        </w:rPr>
        <w:t xml:space="preserve">regulatory </w:t>
      </w:r>
      <w:r w:rsidRPr="00AB02B7">
        <w:rPr>
          <w:rFonts w:ascii="Arial" w:eastAsia="Times New Roman" w:hAnsi="Arial" w:cs="Arial"/>
          <w:sz w:val="24"/>
          <w:szCs w:val="24"/>
        </w:rPr>
        <w:t xml:space="preserve">areas </w:t>
      </w:r>
      <w:r>
        <w:rPr>
          <w:rFonts w:ascii="Arial" w:eastAsia="Times New Roman" w:hAnsi="Arial" w:cs="Arial"/>
          <w:sz w:val="24"/>
          <w:szCs w:val="24"/>
        </w:rPr>
        <w:t xml:space="preserve">to </w:t>
      </w:r>
      <w:r w:rsidRPr="00AB02B7">
        <w:rPr>
          <w:rFonts w:ascii="Arial" w:eastAsia="Times New Roman" w:hAnsi="Arial" w:cs="Arial"/>
          <w:sz w:val="24"/>
          <w:szCs w:val="24"/>
        </w:rPr>
        <w:t>bolster clinical expertise and</w:t>
      </w:r>
      <w:r>
        <w:rPr>
          <w:rFonts w:ascii="Arial" w:eastAsia="Times New Roman" w:hAnsi="Arial" w:cs="Arial"/>
          <w:sz w:val="24"/>
          <w:szCs w:val="24"/>
        </w:rPr>
        <w:t xml:space="preserve"> </w:t>
      </w:r>
      <w:r w:rsidRPr="00AB02B7">
        <w:rPr>
          <w:rFonts w:ascii="Arial" w:eastAsia="Times New Roman" w:hAnsi="Arial" w:cs="Arial"/>
          <w:sz w:val="24"/>
          <w:szCs w:val="24"/>
        </w:rPr>
        <w:t>shape the advice provided.</w:t>
      </w:r>
      <w:r w:rsidR="00145081">
        <w:rPr>
          <w:rFonts w:ascii="Arial" w:eastAsia="Times New Roman" w:hAnsi="Arial" w:cs="Arial"/>
          <w:sz w:val="24"/>
          <w:szCs w:val="24"/>
        </w:rPr>
        <w:t xml:space="preserve"> </w:t>
      </w:r>
      <w:r>
        <w:rPr>
          <w:rFonts w:ascii="Arial" w:eastAsia="Times New Roman" w:hAnsi="Arial" w:cs="Arial"/>
          <w:sz w:val="24"/>
          <w:szCs w:val="24"/>
        </w:rPr>
        <w:t>This model would arguably help address criticisms from the sector regarding the perceived</w:t>
      </w:r>
      <w:r w:rsidRPr="00476F25">
        <w:rPr>
          <w:rFonts w:ascii="Arial" w:eastAsia="Times New Roman" w:hAnsi="Arial" w:cs="Arial"/>
          <w:sz w:val="24"/>
          <w:szCs w:val="24"/>
        </w:rPr>
        <w:t xml:space="preserve"> lack of clinical expertise an</w:t>
      </w:r>
      <w:r>
        <w:rPr>
          <w:rFonts w:ascii="Arial" w:eastAsia="Times New Roman" w:hAnsi="Arial" w:cs="Arial"/>
          <w:sz w:val="24"/>
          <w:szCs w:val="24"/>
        </w:rPr>
        <w:t>d</w:t>
      </w:r>
      <w:r w:rsidRPr="00476F25">
        <w:rPr>
          <w:rFonts w:ascii="Arial" w:eastAsia="Times New Roman" w:hAnsi="Arial" w:cs="Arial"/>
          <w:sz w:val="24"/>
          <w:szCs w:val="24"/>
        </w:rPr>
        <w:t xml:space="preserve"> capability within </w:t>
      </w:r>
      <w:r>
        <w:rPr>
          <w:rFonts w:ascii="Arial" w:eastAsia="Times New Roman" w:hAnsi="Arial" w:cs="Arial"/>
          <w:sz w:val="24"/>
          <w:szCs w:val="24"/>
        </w:rPr>
        <w:t xml:space="preserve">quality assessors specifically, and </w:t>
      </w:r>
      <w:r w:rsidRPr="00476F25">
        <w:rPr>
          <w:rFonts w:ascii="Arial" w:eastAsia="Times New Roman" w:hAnsi="Arial" w:cs="Arial"/>
          <w:sz w:val="24"/>
          <w:szCs w:val="24"/>
        </w:rPr>
        <w:t>regulatory officers</w:t>
      </w:r>
      <w:r>
        <w:rPr>
          <w:rFonts w:ascii="Arial" w:eastAsia="Times New Roman" w:hAnsi="Arial" w:cs="Arial"/>
          <w:sz w:val="24"/>
          <w:szCs w:val="24"/>
        </w:rPr>
        <w:t xml:space="preserve"> more broadly </w:t>
      </w:r>
      <w:r w:rsidRPr="00BA7E98">
        <w:rPr>
          <w:rFonts w:ascii="Arial" w:eastAsia="Times New Roman" w:hAnsi="Arial" w:cs="Arial"/>
          <w:sz w:val="24"/>
          <w:szCs w:val="24"/>
        </w:rPr>
        <w:t xml:space="preserve">(see </w:t>
      </w:r>
      <w:r w:rsidR="001A03ED">
        <w:rPr>
          <w:rFonts w:ascii="Arial" w:eastAsia="Times New Roman" w:hAnsi="Arial" w:cs="Arial"/>
          <w:sz w:val="24"/>
          <w:szCs w:val="24"/>
        </w:rPr>
        <w:t>Section</w:t>
      </w:r>
      <w:r w:rsidR="001A03ED" w:rsidRPr="00BA7E98">
        <w:rPr>
          <w:rFonts w:ascii="Arial" w:eastAsia="Times New Roman" w:hAnsi="Arial" w:cs="Arial"/>
          <w:sz w:val="24"/>
          <w:szCs w:val="24"/>
        </w:rPr>
        <w:t xml:space="preserve"> </w:t>
      </w:r>
      <w:r w:rsidRPr="00BA7E98">
        <w:rPr>
          <w:rFonts w:ascii="Arial" w:eastAsia="Times New Roman" w:hAnsi="Arial" w:cs="Arial"/>
          <w:sz w:val="24"/>
          <w:szCs w:val="24"/>
        </w:rPr>
        <w:t>5.1</w:t>
      </w:r>
      <w:r>
        <w:rPr>
          <w:rFonts w:ascii="Arial" w:eastAsia="Times New Roman" w:hAnsi="Arial" w:cs="Arial"/>
          <w:sz w:val="24"/>
          <w:szCs w:val="24"/>
        </w:rPr>
        <w:t xml:space="preserve">). </w:t>
      </w:r>
      <w:r w:rsidR="0058417F">
        <w:rPr>
          <w:rFonts w:ascii="Arial" w:eastAsia="Times New Roman" w:hAnsi="Arial" w:cs="Arial"/>
          <w:sz w:val="24"/>
          <w:szCs w:val="24"/>
        </w:rPr>
        <w:t>I</w:t>
      </w:r>
      <w:r w:rsidR="00BA7E98">
        <w:rPr>
          <w:rFonts w:ascii="Arial" w:eastAsia="Times New Roman" w:hAnsi="Arial" w:cs="Arial"/>
          <w:sz w:val="24"/>
          <w:szCs w:val="24"/>
        </w:rPr>
        <w:t> </w:t>
      </w:r>
      <w:r>
        <w:rPr>
          <w:rFonts w:ascii="Arial" w:eastAsia="Times New Roman" w:hAnsi="Arial" w:cs="Arial"/>
          <w:sz w:val="24"/>
          <w:szCs w:val="24"/>
        </w:rPr>
        <w:t xml:space="preserve">consider </w:t>
      </w:r>
      <w:r w:rsidR="001A03ED">
        <w:rPr>
          <w:rFonts w:ascii="Arial" w:eastAsia="Times New Roman" w:hAnsi="Arial" w:cs="Arial"/>
          <w:sz w:val="24"/>
          <w:szCs w:val="24"/>
        </w:rPr>
        <w:t xml:space="preserve">that </w:t>
      </w:r>
      <w:r>
        <w:rPr>
          <w:rFonts w:ascii="Arial" w:eastAsia="Times New Roman" w:hAnsi="Arial" w:cs="Arial"/>
          <w:sz w:val="24"/>
          <w:szCs w:val="24"/>
        </w:rPr>
        <w:t xml:space="preserve">implementation of this framework is critical and that </w:t>
      </w:r>
      <w:r w:rsidR="001A03ED">
        <w:rPr>
          <w:rFonts w:ascii="Arial" w:eastAsia="Times New Roman" w:hAnsi="Arial" w:cs="Arial"/>
          <w:sz w:val="24"/>
          <w:szCs w:val="24"/>
        </w:rPr>
        <w:t>it</w:t>
      </w:r>
      <w:r>
        <w:rPr>
          <w:rFonts w:ascii="Arial" w:eastAsia="Times New Roman" w:hAnsi="Arial" w:cs="Arial"/>
          <w:sz w:val="24"/>
          <w:szCs w:val="24"/>
        </w:rPr>
        <w:t xml:space="preserve"> </w:t>
      </w:r>
      <w:r w:rsidRPr="00AB02B7">
        <w:rPr>
          <w:rFonts w:ascii="Arial" w:eastAsia="Times New Roman" w:hAnsi="Arial" w:cs="Arial"/>
          <w:sz w:val="24"/>
          <w:szCs w:val="24"/>
        </w:rPr>
        <w:t>should continue to be enhanced over time.</w:t>
      </w:r>
    </w:p>
    <w:p w14:paraId="30B03D46" w14:textId="2C0750FC" w:rsidR="00EB67F5" w:rsidRPr="00AB02B7" w:rsidRDefault="0058417F" w:rsidP="00EB67F5">
      <w:pPr>
        <w:spacing w:line="252" w:lineRule="auto"/>
        <w:rPr>
          <w:rFonts w:ascii="Calibri" w:hAnsi="Calibri" w:cs="Calibri"/>
        </w:rPr>
      </w:pPr>
      <w:r>
        <w:rPr>
          <w:rFonts w:ascii="Arial" w:eastAsia="Times New Roman" w:hAnsi="Arial" w:cs="Arial"/>
          <w:sz w:val="24"/>
          <w:szCs w:val="24"/>
        </w:rPr>
        <w:t>I</w:t>
      </w:r>
      <w:r w:rsidR="00EB67F5">
        <w:rPr>
          <w:rFonts w:ascii="Arial" w:eastAsia="Times New Roman" w:hAnsi="Arial" w:cs="Arial"/>
          <w:sz w:val="24"/>
          <w:szCs w:val="24"/>
        </w:rPr>
        <w:t xml:space="preserve"> acknowledge there is also good work underway to support and inform the sector through the Restrictive Practices Unit, the Clinical Pharmacy Unit, under the direction of specialised consultants and through campaign activities, including the recent food and nutrition campaign. The Review received little feedback on these areas, so it remains unclear how effective the Commission’s outreach is in lifting clinical capability across the sector. </w:t>
      </w:r>
      <w:r w:rsidR="00EB67F5" w:rsidRPr="00AB02B7">
        <w:rPr>
          <w:rFonts w:ascii="Arial" w:eastAsia="Times New Roman" w:hAnsi="Arial" w:cs="Arial"/>
          <w:sz w:val="24"/>
          <w:szCs w:val="24"/>
        </w:rPr>
        <w:t xml:space="preserve">More generally, and over time, </w:t>
      </w:r>
      <w:r w:rsidR="00EB67F5">
        <w:rPr>
          <w:rFonts w:ascii="Arial" w:eastAsia="Times New Roman" w:hAnsi="Arial" w:cs="Arial"/>
          <w:sz w:val="24"/>
          <w:szCs w:val="24"/>
        </w:rPr>
        <w:t xml:space="preserve">the Commission may wish to consider </w:t>
      </w:r>
      <w:r w:rsidR="00EB67F5" w:rsidRPr="00AB02B7">
        <w:rPr>
          <w:rFonts w:ascii="Arial" w:eastAsia="Times New Roman" w:hAnsi="Arial" w:cs="Arial"/>
          <w:sz w:val="24"/>
          <w:szCs w:val="24"/>
        </w:rPr>
        <w:t>outsourcing clinical advice</w:t>
      </w:r>
      <w:r w:rsidR="00EB67F5" w:rsidRPr="00AB02B7">
        <w:rPr>
          <w:rFonts w:ascii="Calibri" w:hAnsi="Calibri" w:cs="Calibri"/>
        </w:rPr>
        <w:t>.</w:t>
      </w:r>
      <w:r w:rsidR="00F7295A" w:rsidRPr="00AB02B7">
        <w:rPr>
          <w:rFonts w:ascii="Calibri" w:hAnsi="Calibri" w:cs="Calibri"/>
          <w:vertAlign w:val="superscript"/>
        </w:rPr>
        <w:footnoteReference w:id="102"/>
      </w:r>
    </w:p>
    <w:p w14:paraId="11109DE4" w14:textId="00AF0F35" w:rsidR="00EB67F5" w:rsidRPr="00EB67F5" w:rsidRDefault="001A03ED" w:rsidP="002D5F76">
      <w:pPr>
        <w:spacing w:before="120" w:after="360" w:line="240" w:lineRule="auto"/>
        <w:rPr>
          <w:rFonts w:ascii="Arial" w:hAnsi="Arial" w:cs="Arial"/>
          <w:sz w:val="24"/>
          <w:szCs w:val="24"/>
        </w:rPr>
      </w:pPr>
      <w:r w:rsidRPr="005D0AF3">
        <w:rPr>
          <w:rFonts w:ascii="Arial" w:hAnsi="Arial" w:cs="Arial"/>
          <w:b/>
          <w:bCs/>
          <w:sz w:val="24"/>
          <w:szCs w:val="24"/>
        </w:rPr>
        <w:t xml:space="preserve">Recommendation </w:t>
      </w:r>
      <w:r>
        <w:rPr>
          <w:rFonts w:ascii="Arial" w:hAnsi="Arial" w:cs="Arial"/>
          <w:b/>
          <w:bCs/>
          <w:sz w:val="24"/>
          <w:szCs w:val="24"/>
        </w:rPr>
        <w:t>5.10</w:t>
      </w:r>
      <w:r w:rsidRPr="005D0AF3">
        <w:rPr>
          <w:rFonts w:ascii="Arial" w:hAnsi="Arial" w:cs="Arial"/>
          <w:b/>
          <w:bCs/>
          <w:sz w:val="24"/>
          <w:szCs w:val="24"/>
        </w:rPr>
        <w:t xml:space="preserve">: </w:t>
      </w:r>
      <w:r w:rsidRPr="005D0AF3">
        <w:rPr>
          <w:rFonts w:ascii="Arial" w:hAnsi="Arial" w:cs="Arial"/>
          <w:sz w:val="24"/>
          <w:szCs w:val="24"/>
        </w:rPr>
        <w:t xml:space="preserve">The </w:t>
      </w:r>
      <w:r>
        <w:rPr>
          <w:rFonts w:ascii="Arial" w:hAnsi="Arial" w:cs="Arial"/>
          <w:sz w:val="24"/>
          <w:szCs w:val="24"/>
        </w:rPr>
        <w:t xml:space="preserve">Commission to </w:t>
      </w:r>
      <w:r>
        <w:rPr>
          <w:rFonts w:ascii="Arial" w:eastAsia="Times New Roman" w:hAnsi="Arial" w:cs="Arial"/>
          <w:sz w:val="24"/>
          <w:szCs w:val="24"/>
        </w:rPr>
        <w:t xml:space="preserve">pilot </w:t>
      </w:r>
      <w:r w:rsidRPr="00AB02B7">
        <w:rPr>
          <w:rFonts w:ascii="Arial" w:eastAsia="Times New Roman" w:hAnsi="Arial" w:cs="Arial"/>
          <w:sz w:val="24"/>
          <w:szCs w:val="24"/>
        </w:rPr>
        <w:t xml:space="preserve">a </w:t>
      </w:r>
      <w:r w:rsidR="00AA4062">
        <w:rPr>
          <w:rFonts w:ascii="Arial" w:eastAsia="Times New Roman" w:hAnsi="Arial" w:cs="Arial"/>
          <w:sz w:val="24"/>
          <w:szCs w:val="24"/>
        </w:rPr>
        <w:t xml:space="preserve">Clinical Advice </w:t>
      </w:r>
      <w:r w:rsidRPr="00AB02B7">
        <w:rPr>
          <w:rFonts w:ascii="Arial" w:eastAsia="Times New Roman" w:hAnsi="Arial" w:cs="Arial"/>
          <w:sz w:val="24"/>
          <w:szCs w:val="24"/>
        </w:rPr>
        <w:t>‘hub and spokes’ model where</w:t>
      </w:r>
      <w:r>
        <w:rPr>
          <w:rFonts w:ascii="Arial" w:eastAsia="Times New Roman" w:hAnsi="Arial" w:cs="Arial"/>
          <w:sz w:val="24"/>
          <w:szCs w:val="24"/>
        </w:rPr>
        <w:t xml:space="preserve"> some</w:t>
      </w:r>
      <w:r w:rsidRPr="00AB02B7">
        <w:rPr>
          <w:rFonts w:ascii="Arial" w:eastAsia="Times New Roman" w:hAnsi="Arial" w:cs="Arial"/>
          <w:sz w:val="24"/>
          <w:szCs w:val="24"/>
        </w:rPr>
        <w:t xml:space="preserve"> </w:t>
      </w:r>
      <w:r>
        <w:rPr>
          <w:rFonts w:ascii="Arial" w:eastAsia="Times New Roman" w:hAnsi="Arial" w:cs="Arial"/>
          <w:sz w:val="24"/>
          <w:szCs w:val="24"/>
        </w:rPr>
        <w:t>clinicians</w:t>
      </w:r>
      <w:r w:rsidRPr="00AB02B7">
        <w:rPr>
          <w:rFonts w:ascii="Arial" w:eastAsia="Times New Roman" w:hAnsi="Arial" w:cs="Arial"/>
          <w:sz w:val="24"/>
          <w:szCs w:val="24"/>
        </w:rPr>
        <w:t xml:space="preserve"> are </w:t>
      </w:r>
      <w:r w:rsidR="00AA4062">
        <w:rPr>
          <w:rFonts w:ascii="Arial" w:eastAsia="Times New Roman" w:hAnsi="Arial" w:cs="Arial"/>
          <w:sz w:val="24"/>
          <w:szCs w:val="24"/>
        </w:rPr>
        <w:t>embedded</w:t>
      </w:r>
      <w:r w:rsidRPr="00AB02B7">
        <w:rPr>
          <w:rFonts w:ascii="Arial" w:eastAsia="Times New Roman" w:hAnsi="Arial" w:cs="Arial"/>
          <w:sz w:val="24"/>
          <w:szCs w:val="24"/>
        </w:rPr>
        <w:t xml:space="preserve"> in </w:t>
      </w:r>
      <w:r>
        <w:rPr>
          <w:rFonts w:ascii="Arial" w:eastAsia="Times New Roman" w:hAnsi="Arial" w:cs="Arial"/>
          <w:sz w:val="24"/>
          <w:szCs w:val="24"/>
        </w:rPr>
        <w:t xml:space="preserve">regulatory </w:t>
      </w:r>
      <w:r w:rsidRPr="00AB02B7">
        <w:rPr>
          <w:rFonts w:ascii="Arial" w:eastAsia="Times New Roman" w:hAnsi="Arial" w:cs="Arial"/>
          <w:sz w:val="24"/>
          <w:szCs w:val="24"/>
        </w:rPr>
        <w:t xml:space="preserve">areas </w:t>
      </w:r>
      <w:r>
        <w:rPr>
          <w:rFonts w:ascii="Arial" w:eastAsia="Times New Roman" w:hAnsi="Arial" w:cs="Arial"/>
          <w:sz w:val="24"/>
          <w:szCs w:val="24"/>
        </w:rPr>
        <w:t xml:space="preserve">to </w:t>
      </w:r>
      <w:r w:rsidRPr="00AB02B7">
        <w:rPr>
          <w:rFonts w:ascii="Arial" w:eastAsia="Times New Roman" w:hAnsi="Arial" w:cs="Arial"/>
          <w:sz w:val="24"/>
          <w:szCs w:val="24"/>
        </w:rPr>
        <w:t>bolster clinical expertise and</w:t>
      </w:r>
      <w:r>
        <w:rPr>
          <w:rFonts w:ascii="Arial" w:eastAsia="Times New Roman" w:hAnsi="Arial" w:cs="Arial"/>
          <w:sz w:val="24"/>
          <w:szCs w:val="24"/>
        </w:rPr>
        <w:t xml:space="preserve"> </w:t>
      </w:r>
      <w:r w:rsidRPr="00AB02B7">
        <w:rPr>
          <w:rFonts w:ascii="Arial" w:eastAsia="Times New Roman" w:hAnsi="Arial" w:cs="Arial"/>
          <w:sz w:val="24"/>
          <w:szCs w:val="24"/>
        </w:rPr>
        <w:t>shape the advice provided.</w:t>
      </w:r>
    </w:p>
    <w:p w14:paraId="6F75CA03" w14:textId="39E95420" w:rsidR="00ED21DE" w:rsidRPr="00BA2B4A" w:rsidRDefault="00ED21DE" w:rsidP="00BA2B4A">
      <w:pPr>
        <w:rPr>
          <w:rFonts w:ascii="Arial" w:hAnsi="Arial" w:cs="Arial"/>
          <w:b/>
          <w:bCs/>
          <w:sz w:val="28"/>
          <w:szCs w:val="28"/>
        </w:rPr>
      </w:pPr>
      <w:r w:rsidRPr="00BA2B4A">
        <w:rPr>
          <w:rFonts w:ascii="Arial" w:hAnsi="Arial" w:cs="Arial"/>
          <w:b/>
          <w:bCs/>
          <w:sz w:val="28"/>
          <w:szCs w:val="28"/>
        </w:rPr>
        <w:t>5.</w:t>
      </w:r>
      <w:r w:rsidR="00EB67F5" w:rsidRPr="00BA2B4A">
        <w:rPr>
          <w:rFonts w:ascii="Arial" w:hAnsi="Arial" w:cs="Arial"/>
          <w:b/>
          <w:bCs/>
          <w:sz w:val="28"/>
          <w:szCs w:val="28"/>
        </w:rPr>
        <w:t>6</w:t>
      </w:r>
      <w:r w:rsidRPr="00BA2B4A">
        <w:rPr>
          <w:rFonts w:ascii="Arial" w:hAnsi="Arial" w:cs="Arial"/>
          <w:b/>
          <w:bCs/>
          <w:sz w:val="28"/>
          <w:szCs w:val="28"/>
        </w:rPr>
        <w:t xml:space="preserve"> The functions of the Commission</w:t>
      </w:r>
    </w:p>
    <w:p w14:paraId="1E3469CA" w14:textId="5D54EADB" w:rsidR="00ED21DE" w:rsidRDefault="00ED21DE" w:rsidP="00ED21DE">
      <w:pPr>
        <w:spacing w:before="120" w:after="120"/>
        <w:rPr>
          <w:rFonts w:ascii="Arial" w:hAnsi="Arial" w:cs="Arial"/>
          <w:sz w:val="24"/>
          <w:szCs w:val="24"/>
        </w:rPr>
      </w:pPr>
      <w:r>
        <w:rPr>
          <w:rFonts w:ascii="Arial" w:hAnsi="Arial" w:cs="Arial"/>
          <w:sz w:val="24"/>
          <w:szCs w:val="24"/>
        </w:rPr>
        <w:t>As noted earlier, t</w:t>
      </w:r>
      <w:r w:rsidRPr="00501CDD">
        <w:rPr>
          <w:rFonts w:ascii="Arial" w:hAnsi="Arial" w:cs="Arial"/>
          <w:sz w:val="24"/>
          <w:szCs w:val="24"/>
        </w:rPr>
        <w:t xml:space="preserve">he </w:t>
      </w:r>
      <w:r>
        <w:rPr>
          <w:rFonts w:ascii="Arial" w:hAnsi="Arial" w:cs="Arial"/>
          <w:sz w:val="24"/>
          <w:szCs w:val="24"/>
        </w:rPr>
        <w:t>Commission</w:t>
      </w:r>
      <w:r w:rsidRPr="00501CDD">
        <w:rPr>
          <w:rFonts w:ascii="Arial" w:hAnsi="Arial" w:cs="Arial"/>
          <w:sz w:val="24"/>
          <w:szCs w:val="24"/>
        </w:rPr>
        <w:t xml:space="preserve"> has experienced an intense period of change since it</w:t>
      </w:r>
      <w:r w:rsidR="007A0A09">
        <w:rPr>
          <w:rFonts w:ascii="Arial" w:hAnsi="Arial" w:cs="Arial"/>
          <w:sz w:val="24"/>
          <w:szCs w:val="24"/>
        </w:rPr>
        <w:t xml:space="preserve"> was established </w:t>
      </w:r>
      <w:r>
        <w:rPr>
          <w:rFonts w:ascii="Arial" w:hAnsi="Arial" w:cs="Arial"/>
          <w:sz w:val="24"/>
          <w:szCs w:val="24"/>
        </w:rPr>
        <w:t xml:space="preserve">on 1 January 2019, bringing together the functions of the Australian Aged Care Quality Agency and the Aged Care Complaints Commissioner. The Commission’s regulatory functions have continued to expand as reforms from the Royal Commission are progressively implemented. </w:t>
      </w:r>
    </w:p>
    <w:p w14:paraId="08CA7582" w14:textId="483300A3" w:rsidR="001A03ED" w:rsidRPr="002D5F76" w:rsidRDefault="00786D55" w:rsidP="002D5F76">
      <w:pPr>
        <w:spacing w:before="120" w:after="360"/>
        <w:rPr>
          <w:rFonts w:ascii="Arial" w:hAnsi="Arial" w:cs="Arial"/>
          <w:b/>
          <w:bCs/>
          <w:sz w:val="24"/>
          <w:szCs w:val="24"/>
          <w:highlight w:val="yellow"/>
        </w:rPr>
      </w:pPr>
      <w:r>
        <w:rPr>
          <w:rFonts w:ascii="Arial" w:hAnsi="Arial" w:cs="Arial"/>
          <w:sz w:val="24"/>
          <w:szCs w:val="24"/>
        </w:rPr>
        <w:t>Table 7 summarises these developments.</w:t>
      </w:r>
    </w:p>
    <w:p w14:paraId="5BCB1E62" w14:textId="7B947146" w:rsidR="00ED21DE" w:rsidRDefault="00ED21DE" w:rsidP="00D73C7D">
      <w:pPr>
        <w:keepNext/>
        <w:spacing w:after="120"/>
        <w:rPr>
          <w:rFonts w:ascii="Arial" w:hAnsi="Arial" w:cs="Arial"/>
          <w:b/>
          <w:bCs/>
          <w:sz w:val="24"/>
          <w:szCs w:val="24"/>
        </w:rPr>
      </w:pPr>
      <w:r w:rsidRPr="00BA7E98">
        <w:rPr>
          <w:rFonts w:ascii="Arial" w:hAnsi="Arial" w:cs="Arial"/>
          <w:b/>
          <w:bCs/>
          <w:sz w:val="24"/>
          <w:szCs w:val="24"/>
        </w:rPr>
        <w:t xml:space="preserve">Table </w:t>
      </w:r>
      <w:r w:rsidR="00786D55" w:rsidRPr="00BA7E98">
        <w:rPr>
          <w:rFonts w:ascii="Arial" w:hAnsi="Arial" w:cs="Arial"/>
          <w:b/>
          <w:bCs/>
          <w:sz w:val="24"/>
          <w:szCs w:val="24"/>
        </w:rPr>
        <w:t>7</w:t>
      </w:r>
      <w:r w:rsidR="00824518" w:rsidRPr="00BA7E98">
        <w:rPr>
          <w:rFonts w:ascii="Arial" w:hAnsi="Arial" w:cs="Arial"/>
          <w:b/>
          <w:bCs/>
          <w:sz w:val="24"/>
          <w:szCs w:val="24"/>
        </w:rPr>
        <w:t>: Functions timeline</w:t>
      </w:r>
    </w:p>
    <w:tbl>
      <w:tblPr>
        <w:tblStyle w:val="TableGrid"/>
        <w:tblW w:w="10167" w:type="dxa"/>
        <w:tblInd w:w="-5" w:type="dxa"/>
        <w:tblLook w:val="04A0" w:firstRow="1" w:lastRow="0" w:firstColumn="1" w:lastColumn="0" w:noHBand="0" w:noVBand="1"/>
      </w:tblPr>
      <w:tblGrid>
        <w:gridCol w:w="1843"/>
        <w:gridCol w:w="8324"/>
      </w:tblGrid>
      <w:tr w:rsidR="00055154" w:rsidRPr="00BA7E98" w14:paraId="2FF71DEC" w14:textId="77777777" w:rsidTr="006D6D72">
        <w:trPr>
          <w:trHeight w:val="490"/>
          <w:tblHeader/>
        </w:trPr>
        <w:tc>
          <w:tcPr>
            <w:tcW w:w="10167" w:type="dxa"/>
            <w:gridSpan w:val="2"/>
            <w:shd w:val="clear" w:color="auto" w:fill="8EAADB" w:themeFill="accent1" w:themeFillTint="99"/>
          </w:tcPr>
          <w:p w14:paraId="7A692D2D" w14:textId="77777777" w:rsidR="00055154" w:rsidRPr="00BA7E98" w:rsidRDefault="00055154" w:rsidP="006D6D72">
            <w:pPr>
              <w:spacing w:after="60"/>
              <w:jc w:val="center"/>
              <w:rPr>
                <w:rFonts w:ascii="Arial" w:eastAsiaTheme="minorEastAsia" w:hAnsi="Arial" w:cs="Arial"/>
                <w:b/>
                <w:sz w:val="20"/>
                <w:szCs w:val="20"/>
              </w:rPr>
            </w:pPr>
            <w:r w:rsidRPr="00BA7E98">
              <w:rPr>
                <w:rFonts w:ascii="Arial" w:hAnsi="Arial" w:cs="Arial"/>
                <w:b/>
                <w:bCs/>
                <w:sz w:val="20"/>
                <w:szCs w:val="20"/>
              </w:rPr>
              <w:t>Commission Functions Timeline</w:t>
            </w:r>
          </w:p>
        </w:tc>
      </w:tr>
      <w:tr w:rsidR="00055154" w:rsidRPr="00BA7E98" w14:paraId="6DF47A96" w14:textId="77777777" w:rsidTr="006D6D72">
        <w:trPr>
          <w:trHeight w:val="224"/>
          <w:tblHeader/>
        </w:trPr>
        <w:tc>
          <w:tcPr>
            <w:tcW w:w="1843" w:type="dxa"/>
            <w:shd w:val="clear" w:color="auto" w:fill="8EAADB" w:themeFill="accent1" w:themeFillTint="99"/>
          </w:tcPr>
          <w:p w14:paraId="3643A2E7" w14:textId="77777777" w:rsidR="00055154" w:rsidRPr="00BA7E98" w:rsidRDefault="00055154" w:rsidP="006D6D72">
            <w:pPr>
              <w:spacing w:after="60"/>
              <w:jc w:val="center"/>
              <w:rPr>
                <w:rFonts w:ascii="Arial" w:eastAsiaTheme="minorEastAsia" w:hAnsi="Arial" w:cs="Arial"/>
                <w:b/>
                <w:sz w:val="20"/>
                <w:szCs w:val="20"/>
              </w:rPr>
            </w:pPr>
            <w:r w:rsidRPr="00BA7E98">
              <w:rPr>
                <w:rFonts w:ascii="Arial" w:eastAsiaTheme="minorEastAsia" w:hAnsi="Arial" w:cs="Arial"/>
                <w:b/>
                <w:sz w:val="20"/>
                <w:szCs w:val="20"/>
              </w:rPr>
              <w:t>Date</w:t>
            </w:r>
          </w:p>
        </w:tc>
        <w:tc>
          <w:tcPr>
            <w:tcW w:w="8324" w:type="dxa"/>
            <w:shd w:val="clear" w:color="auto" w:fill="8EAADB" w:themeFill="accent1" w:themeFillTint="99"/>
          </w:tcPr>
          <w:p w14:paraId="5BCD4C49" w14:textId="77777777" w:rsidR="00055154" w:rsidRPr="00BA7E98" w:rsidRDefault="00055154" w:rsidP="006D6D72">
            <w:pPr>
              <w:spacing w:after="60"/>
              <w:jc w:val="center"/>
              <w:rPr>
                <w:rFonts w:ascii="Arial" w:eastAsiaTheme="minorEastAsia" w:hAnsi="Arial" w:cs="Arial"/>
                <w:b/>
                <w:sz w:val="20"/>
                <w:szCs w:val="20"/>
              </w:rPr>
            </w:pPr>
            <w:r w:rsidRPr="00BA7E98">
              <w:rPr>
                <w:rFonts w:ascii="Arial" w:eastAsiaTheme="minorEastAsia" w:hAnsi="Arial" w:cs="Arial"/>
                <w:b/>
                <w:sz w:val="20"/>
                <w:szCs w:val="20"/>
              </w:rPr>
              <w:t>Function/s</w:t>
            </w:r>
          </w:p>
        </w:tc>
      </w:tr>
      <w:tr w:rsidR="00055154" w:rsidRPr="00BA7E98" w14:paraId="591ECA6E" w14:textId="77777777" w:rsidTr="007D6517">
        <w:trPr>
          <w:trHeight w:val="328"/>
        </w:trPr>
        <w:tc>
          <w:tcPr>
            <w:tcW w:w="1843" w:type="dxa"/>
          </w:tcPr>
          <w:p w14:paraId="570FC62D"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January 2019</w:t>
            </w:r>
          </w:p>
          <w:p w14:paraId="13328597" w14:textId="77777777" w:rsidR="00055154" w:rsidRPr="00BA7E98" w:rsidRDefault="00055154" w:rsidP="006D6D72">
            <w:pPr>
              <w:spacing w:after="60"/>
              <w:rPr>
                <w:rFonts w:ascii="Arial" w:eastAsiaTheme="minorEastAsia" w:hAnsi="Arial" w:cs="Arial"/>
                <w:sz w:val="20"/>
                <w:szCs w:val="20"/>
              </w:rPr>
            </w:pPr>
          </w:p>
        </w:tc>
        <w:tc>
          <w:tcPr>
            <w:tcW w:w="8324" w:type="dxa"/>
          </w:tcPr>
          <w:p w14:paraId="143BB226" w14:textId="77777777" w:rsidR="00055154" w:rsidRPr="00BA7E98" w:rsidRDefault="00055154" w:rsidP="006D6D72">
            <w:pPr>
              <w:pStyle w:val="sotext"/>
              <w:shd w:val="clear" w:color="auto" w:fill="FFFFFF"/>
              <w:spacing w:before="0" w:beforeAutospacing="0" w:after="60" w:afterAutospacing="0"/>
              <w:rPr>
                <w:rFonts w:ascii="Arial" w:eastAsiaTheme="minorEastAsia" w:hAnsi="Arial" w:cs="Arial"/>
                <w:sz w:val="20"/>
                <w:szCs w:val="20"/>
                <w:lang w:eastAsia="en-US"/>
              </w:rPr>
            </w:pPr>
            <w:r w:rsidRPr="00BA7E98">
              <w:rPr>
                <w:rFonts w:ascii="Arial" w:eastAsiaTheme="minorEastAsia" w:hAnsi="Arial" w:cs="Arial"/>
                <w:sz w:val="20"/>
                <w:szCs w:val="20"/>
                <w:lang w:eastAsia="en-US"/>
              </w:rPr>
              <w:t>Establishment of the Aged Care Quality and Safety Commission and Commissioner of the Commission, with the following functions:</w:t>
            </w:r>
          </w:p>
          <w:p w14:paraId="512E096F" w14:textId="77777777" w:rsidR="00055154" w:rsidRPr="00BA7E98" w:rsidRDefault="00055154" w:rsidP="006D6D72">
            <w:pPr>
              <w:pStyle w:val="sopara"/>
              <w:shd w:val="clear" w:color="auto" w:fill="FFFFFF"/>
              <w:spacing w:before="0" w:beforeAutospacing="0" w:after="60" w:afterAutospacing="0"/>
              <w:ind w:left="310" w:hanging="310"/>
              <w:rPr>
                <w:rFonts w:ascii="Arial" w:eastAsiaTheme="minorEastAsia" w:hAnsi="Arial" w:cs="Arial"/>
                <w:sz w:val="20"/>
                <w:szCs w:val="20"/>
                <w:lang w:eastAsia="en-US"/>
              </w:rPr>
            </w:pPr>
            <w:r w:rsidRPr="00BA7E98">
              <w:rPr>
                <w:rFonts w:ascii="Arial" w:eastAsiaTheme="minorEastAsia" w:hAnsi="Arial" w:cs="Arial"/>
                <w:sz w:val="20"/>
                <w:szCs w:val="20"/>
                <w:lang w:eastAsia="en-US"/>
              </w:rPr>
              <w:t>(a) protecting and enhancing the safety, health, well</w:t>
            </w:r>
            <w:r w:rsidRPr="00BA7E98">
              <w:rPr>
                <w:rFonts w:ascii="Arial" w:eastAsiaTheme="minorEastAsia" w:hAnsi="Arial" w:cs="Arial"/>
                <w:sz w:val="20"/>
                <w:szCs w:val="20"/>
                <w:lang w:eastAsia="en-US"/>
              </w:rPr>
              <w:noBreakHyphen/>
              <w:t>being and quality of life of aged care consumers</w:t>
            </w:r>
          </w:p>
          <w:p w14:paraId="6E2CD8EA" w14:textId="77777777" w:rsidR="00055154" w:rsidRPr="00BA7E98" w:rsidRDefault="00055154" w:rsidP="006D6D72">
            <w:pPr>
              <w:pStyle w:val="sopara"/>
              <w:shd w:val="clear" w:color="auto" w:fill="FFFFFF" w:themeFill="background1"/>
              <w:spacing w:before="0" w:beforeAutospacing="0" w:after="60" w:afterAutospacing="0"/>
              <w:ind w:left="310" w:hanging="310"/>
              <w:rPr>
                <w:rFonts w:ascii="Arial" w:eastAsiaTheme="minorEastAsia" w:hAnsi="Arial" w:cs="Arial"/>
                <w:sz w:val="20"/>
                <w:szCs w:val="20"/>
                <w:lang w:eastAsia="en-US"/>
              </w:rPr>
            </w:pPr>
            <w:r w:rsidRPr="00BA7E98">
              <w:rPr>
                <w:rFonts w:ascii="Arial" w:eastAsiaTheme="minorEastAsia" w:hAnsi="Arial" w:cs="Arial"/>
                <w:sz w:val="20"/>
                <w:szCs w:val="20"/>
                <w:lang w:eastAsia="en-US"/>
              </w:rPr>
              <w:t>(b) promoting the provision of quality care and services by approved providers of aged care services and service providers of Commonwealth funded aged care services</w:t>
            </w:r>
          </w:p>
          <w:p w14:paraId="498A70EF" w14:textId="77777777" w:rsidR="00055154" w:rsidRPr="00BA7E98" w:rsidRDefault="00055154" w:rsidP="006D6D72">
            <w:pPr>
              <w:pStyle w:val="sopara"/>
              <w:shd w:val="clear" w:color="auto" w:fill="FFFFFF"/>
              <w:spacing w:before="0" w:beforeAutospacing="0" w:after="60" w:afterAutospacing="0"/>
              <w:ind w:left="310" w:hanging="310"/>
              <w:rPr>
                <w:rFonts w:ascii="Arial" w:eastAsiaTheme="minorEastAsia" w:hAnsi="Arial" w:cs="Arial"/>
                <w:sz w:val="20"/>
                <w:szCs w:val="20"/>
                <w:lang w:eastAsia="en-US"/>
              </w:rPr>
            </w:pPr>
            <w:r w:rsidRPr="00BA7E98">
              <w:rPr>
                <w:rFonts w:ascii="Arial" w:eastAsiaTheme="minorEastAsia" w:hAnsi="Arial" w:cs="Arial"/>
                <w:sz w:val="20"/>
                <w:szCs w:val="20"/>
                <w:lang w:eastAsia="en-US"/>
              </w:rPr>
              <w:t>(c) consumer engagement functions</w:t>
            </w:r>
          </w:p>
          <w:p w14:paraId="5F1B5844" w14:textId="77777777" w:rsidR="00055154" w:rsidRPr="00BA7E98" w:rsidRDefault="00055154" w:rsidP="006D6D72">
            <w:pPr>
              <w:pStyle w:val="sopara"/>
              <w:shd w:val="clear" w:color="auto" w:fill="FFFFFF"/>
              <w:spacing w:before="0" w:beforeAutospacing="0" w:after="60" w:afterAutospacing="0"/>
              <w:ind w:left="310" w:hanging="310"/>
              <w:rPr>
                <w:rFonts w:ascii="Arial" w:eastAsiaTheme="minorEastAsia" w:hAnsi="Arial" w:cs="Arial"/>
                <w:sz w:val="20"/>
                <w:szCs w:val="20"/>
                <w:lang w:eastAsia="en-US"/>
              </w:rPr>
            </w:pPr>
            <w:r w:rsidRPr="00BA7E98">
              <w:rPr>
                <w:rFonts w:ascii="Arial" w:eastAsiaTheme="minorEastAsia" w:hAnsi="Arial" w:cs="Arial"/>
                <w:sz w:val="20"/>
                <w:szCs w:val="20"/>
                <w:lang w:eastAsia="en-US"/>
              </w:rPr>
              <w:t>(d) complaints functions</w:t>
            </w:r>
          </w:p>
          <w:p w14:paraId="37160192" w14:textId="77777777" w:rsidR="00055154" w:rsidRPr="00BA7E98" w:rsidRDefault="00055154" w:rsidP="006D6D72">
            <w:pPr>
              <w:pStyle w:val="sopara"/>
              <w:shd w:val="clear" w:color="auto" w:fill="FFFFFF" w:themeFill="background1"/>
              <w:spacing w:before="0" w:beforeAutospacing="0" w:after="60" w:afterAutospacing="0"/>
              <w:ind w:left="310" w:hanging="310"/>
              <w:rPr>
                <w:rFonts w:ascii="Arial" w:eastAsiaTheme="minorEastAsia" w:hAnsi="Arial" w:cs="Arial"/>
                <w:sz w:val="20"/>
                <w:szCs w:val="20"/>
                <w:lang w:eastAsia="en-US"/>
              </w:rPr>
            </w:pPr>
            <w:r w:rsidRPr="00BA7E98">
              <w:rPr>
                <w:rFonts w:ascii="Arial" w:eastAsiaTheme="minorEastAsia" w:hAnsi="Arial" w:cs="Arial"/>
                <w:sz w:val="20"/>
                <w:szCs w:val="20"/>
                <w:lang w:eastAsia="en-US"/>
              </w:rPr>
              <w:t>(e) regulatory functions</w:t>
            </w:r>
            <w:r>
              <w:rPr>
                <w:rFonts w:ascii="Arial" w:eastAsiaTheme="minorEastAsia" w:hAnsi="Arial" w:cs="Arial"/>
                <w:sz w:val="20"/>
                <w:szCs w:val="20"/>
                <w:lang w:eastAsia="en-US"/>
              </w:rPr>
              <w:t>, and</w:t>
            </w:r>
          </w:p>
          <w:p w14:paraId="624701D9" w14:textId="77777777" w:rsidR="00055154" w:rsidRPr="00BA7E98" w:rsidRDefault="00055154" w:rsidP="006D6D72">
            <w:pPr>
              <w:pStyle w:val="sopara"/>
              <w:shd w:val="clear" w:color="auto" w:fill="FFFFFF"/>
              <w:spacing w:before="0" w:beforeAutospacing="0" w:after="60" w:afterAutospacing="0"/>
              <w:ind w:left="312" w:hanging="312"/>
              <w:rPr>
                <w:rFonts w:ascii="Arial" w:eastAsiaTheme="minorEastAsia" w:hAnsi="Arial" w:cs="Arial"/>
                <w:sz w:val="20"/>
                <w:szCs w:val="20"/>
              </w:rPr>
            </w:pPr>
            <w:r w:rsidRPr="00BA7E98">
              <w:rPr>
                <w:rFonts w:ascii="Arial" w:eastAsiaTheme="minorEastAsia" w:hAnsi="Arial" w:cs="Arial"/>
                <w:sz w:val="20"/>
                <w:szCs w:val="20"/>
                <w:lang w:eastAsia="en-US"/>
              </w:rPr>
              <w:t>(f) education functions</w:t>
            </w:r>
            <w:r w:rsidRPr="00BA7E98">
              <w:rPr>
                <w:rFonts w:ascii="Arial" w:hAnsi="Arial" w:cs="Arial"/>
                <w:color w:val="000000"/>
                <w:sz w:val="20"/>
                <w:szCs w:val="20"/>
              </w:rPr>
              <w:t>.</w:t>
            </w:r>
          </w:p>
        </w:tc>
      </w:tr>
      <w:tr w:rsidR="00055154" w:rsidRPr="00BA7E98" w14:paraId="623B7FCE" w14:textId="77777777" w:rsidTr="006D6D72">
        <w:trPr>
          <w:trHeight w:val="938"/>
        </w:trPr>
        <w:tc>
          <w:tcPr>
            <w:tcW w:w="1843" w:type="dxa"/>
          </w:tcPr>
          <w:p w14:paraId="0D48CDAF"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lastRenderedPageBreak/>
              <w:t>1 July 2019</w:t>
            </w:r>
          </w:p>
        </w:tc>
        <w:tc>
          <w:tcPr>
            <w:tcW w:w="8324" w:type="dxa"/>
          </w:tcPr>
          <w:p w14:paraId="3D075F62"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Commencement of:</w:t>
            </w:r>
          </w:p>
          <w:p w14:paraId="5EE2FDE7" w14:textId="77777777" w:rsidR="00055154" w:rsidRPr="00BA7E98" w:rsidRDefault="00055154" w:rsidP="006D6D72">
            <w:pPr>
              <w:pStyle w:val="ListParagraph"/>
              <w:numPr>
                <w:ilvl w:val="0"/>
                <w:numId w:val="75"/>
              </w:numPr>
              <w:spacing w:after="60"/>
              <w:rPr>
                <w:rFonts w:ascii="Arial" w:eastAsiaTheme="minorEastAsia" w:hAnsi="Arial" w:cs="Arial"/>
                <w:sz w:val="20"/>
                <w:szCs w:val="20"/>
              </w:rPr>
            </w:pPr>
            <w:r w:rsidRPr="00BA7E98">
              <w:rPr>
                <w:rFonts w:ascii="Arial" w:eastAsiaTheme="minorEastAsia" w:hAnsi="Arial" w:cs="Arial"/>
                <w:sz w:val="20"/>
                <w:szCs w:val="20"/>
              </w:rPr>
              <w:t xml:space="preserve">new Aged Care Quality Standards (single set of Standards applicable to all </w:t>
            </w:r>
            <w:proofErr w:type="gramStart"/>
            <w:r w:rsidRPr="00BA7E98">
              <w:rPr>
                <w:rFonts w:ascii="Arial" w:eastAsiaTheme="minorEastAsia" w:hAnsi="Arial" w:cs="Arial"/>
                <w:sz w:val="20"/>
                <w:szCs w:val="20"/>
              </w:rPr>
              <w:t>services</w:t>
            </w:r>
            <w:proofErr w:type="gramEnd"/>
            <w:r w:rsidRPr="00BA7E98">
              <w:rPr>
                <w:rFonts w:ascii="Arial" w:eastAsiaTheme="minorEastAsia" w:hAnsi="Arial" w:cs="Arial"/>
                <w:sz w:val="20"/>
                <w:szCs w:val="20"/>
              </w:rPr>
              <w:t xml:space="preserve"> types – replaced Accreditation Standards (residential) and Home Care Standards (home care). </w:t>
            </w:r>
          </w:p>
          <w:p w14:paraId="453375D0" w14:textId="77777777" w:rsidR="00055154" w:rsidRPr="00BA7E98" w:rsidRDefault="00055154" w:rsidP="006D6D72">
            <w:pPr>
              <w:pStyle w:val="ListParagraph"/>
              <w:numPr>
                <w:ilvl w:val="0"/>
                <w:numId w:val="75"/>
              </w:numPr>
              <w:spacing w:after="60"/>
              <w:rPr>
                <w:rFonts w:ascii="Arial" w:eastAsiaTheme="minorEastAsia" w:hAnsi="Arial" w:cs="Arial"/>
                <w:sz w:val="20"/>
                <w:szCs w:val="20"/>
              </w:rPr>
            </w:pPr>
            <w:r w:rsidRPr="00BA7E98">
              <w:rPr>
                <w:rFonts w:ascii="Arial" w:eastAsiaTheme="minorEastAsia" w:hAnsi="Arial" w:cs="Arial"/>
                <w:sz w:val="20"/>
                <w:szCs w:val="20"/>
              </w:rPr>
              <w:t>Charter of Aged Care Rights (replaced Charter of Rights and Responsibilities)</w:t>
            </w:r>
          </w:p>
        </w:tc>
      </w:tr>
      <w:tr w:rsidR="00055154" w:rsidRPr="00BA7E98" w14:paraId="3B00C1C5" w14:textId="77777777" w:rsidTr="006D6D72">
        <w:trPr>
          <w:trHeight w:val="210"/>
        </w:trPr>
        <w:tc>
          <w:tcPr>
            <w:tcW w:w="1843" w:type="dxa"/>
          </w:tcPr>
          <w:p w14:paraId="1FA2FA79"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July 2019</w:t>
            </w:r>
          </w:p>
        </w:tc>
        <w:tc>
          <w:tcPr>
            <w:tcW w:w="8324" w:type="dxa"/>
          </w:tcPr>
          <w:p w14:paraId="4A6FB85E"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Commencement of National Aged Care Mandatory Quality Indicator Program (NACQIP)</w:t>
            </w:r>
            <w:r>
              <w:rPr>
                <w:rFonts w:ascii="Arial" w:eastAsiaTheme="minorEastAsia" w:hAnsi="Arial" w:cs="Arial"/>
                <w:sz w:val="20"/>
                <w:szCs w:val="20"/>
              </w:rPr>
              <w:t xml:space="preserve"> </w:t>
            </w:r>
            <w:r w:rsidRPr="00BA7E98">
              <w:rPr>
                <w:rFonts w:ascii="Arial" w:eastAsiaTheme="minorEastAsia" w:hAnsi="Arial" w:cs="Arial"/>
                <w:sz w:val="20"/>
                <w:szCs w:val="20"/>
              </w:rPr>
              <w:t>- all residential providers to collect data on 3 quality indicators.</w:t>
            </w:r>
          </w:p>
        </w:tc>
      </w:tr>
      <w:tr w:rsidR="00055154" w:rsidRPr="00BA7E98" w14:paraId="2C1AD322" w14:textId="77777777" w:rsidTr="006D6D72">
        <w:trPr>
          <w:trHeight w:val="910"/>
        </w:trPr>
        <w:tc>
          <w:tcPr>
            <w:tcW w:w="1843" w:type="dxa"/>
          </w:tcPr>
          <w:p w14:paraId="27167151"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 xml:space="preserve">1 January 2020 </w:t>
            </w:r>
          </w:p>
        </w:tc>
        <w:tc>
          <w:tcPr>
            <w:tcW w:w="8324" w:type="dxa"/>
          </w:tcPr>
          <w:p w14:paraId="23060698"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Transfer of functions from Department of Health</w:t>
            </w:r>
          </w:p>
          <w:p w14:paraId="3937CAB6" w14:textId="77777777" w:rsidR="00055154" w:rsidRPr="00BA7E98" w:rsidRDefault="00055154" w:rsidP="006D6D72">
            <w:pPr>
              <w:pStyle w:val="ListParagraph"/>
              <w:numPr>
                <w:ilvl w:val="0"/>
                <w:numId w:val="74"/>
              </w:numPr>
              <w:spacing w:after="60"/>
              <w:rPr>
                <w:rStyle w:val="eop"/>
                <w:rFonts w:ascii="Arial" w:eastAsiaTheme="minorEastAsia" w:hAnsi="Arial" w:cs="Arial"/>
                <w:sz w:val="20"/>
                <w:szCs w:val="20"/>
              </w:rPr>
            </w:pPr>
            <w:r w:rsidRPr="00BA7E98">
              <w:rPr>
                <w:rStyle w:val="normaltextrun"/>
                <w:rFonts w:ascii="Arial" w:hAnsi="Arial" w:cs="Arial"/>
                <w:color w:val="000000"/>
                <w:position w:val="1"/>
                <w:sz w:val="20"/>
                <w:szCs w:val="20"/>
              </w:rPr>
              <w:t>approval of all residential and home care providers</w:t>
            </w:r>
          </w:p>
          <w:p w14:paraId="2C688BA0" w14:textId="77777777" w:rsidR="00055154" w:rsidRPr="00BA7E98" w:rsidRDefault="00055154" w:rsidP="006D6D72">
            <w:pPr>
              <w:pStyle w:val="ListParagraph"/>
              <w:numPr>
                <w:ilvl w:val="0"/>
                <w:numId w:val="74"/>
              </w:numPr>
              <w:spacing w:after="60"/>
              <w:rPr>
                <w:rStyle w:val="normaltextrun"/>
                <w:rFonts w:ascii="Arial" w:eastAsiaTheme="minorEastAsia" w:hAnsi="Arial" w:cs="Arial"/>
                <w:sz w:val="20"/>
                <w:szCs w:val="20"/>
              </w:rPr>
            </w:pPr>
            <w:r w:rsidRPr="00BA7E98">
              <w:rPr>
                <w:rStyle w:val="normaltextrun"/>
                <w:rFonts w:ascii="Arial" w:hAnsi="Arial" w:cs="Arial"/>
                <w:color w:val="000000"/>
                <w:position w:val="1"/>
                <w:sz w:val="20"/>
                <w:szCs w:val="20"/>
              </w:rPr>
              <w:t>aged care compliance activity (including prudential compliance)</w:t>
            </w:r>
          </w:p>
          <w:p w14:paraId="41C134FE" w14:textId="77777777" w:rsidR="00055154" w:rsidRPr="00BA7E98" w:rsidRDefault="00055154" w:rsidP="006D6D72">
            <w:pPr>
              <w:pStyle w:val="ListParagraph"/>
              <w:numPr>
                <w:ilvl w:val="0"/>
                <w:numId w:val="74"/>
              </w:numPr>
              <w:spacing w:after="60"/>
              <w:rPr>
                <w:rFonts w:ascii="Arial" w:eastAsiaTheme="minorEastAsia" w:hAnsi="Arial" w:cs="Arial"/>
                <w:sz w:val="20"/>
                <w:szCs w:val="20"/>
              </w:rPr>
            </w:pPr>
            <w:r w:rsidRPr="00BA7E98">
              <w:rPr>
                <w:rStyle w:val="normaltextrun"/>
                <w:rFonts w:ascii="Arial" w:hAnsi="Arial" w:cs="Arial"/>
                <w:color w:val="000000"/>
                <w:position w:val="1"/>
                <w:sz w:val="20"/>
                <w:szCs w:val="20"/>
              </w:rPr>
              <w:t>administration of compulsory reporting arrangements for assaults</w:t>
            </w:r>
          </w:p>
        </w:tc>
      </w:tr>
      <w:tr w:rsidR="00055154" w:rsidRPr="00BA7E98" w14:paraId="3E99E7C1" w14:textId="77777777" w:rsidTr="006D6D72">
        <w:trPr>
          <w:trHeight w:val="316"/>
        </w:trPr>
        <w:tc>
          <w:tcPr>
            <w:tcW w:w="1843" w:type="dxa"/>
          </w:tcPr>
          <w:p w14:paraId="1C22978B" w14:textId="77777777" w:rsidR="00055154" w:rsidRPr="00BA7E98" w:rsidRDefault="00055154" w:rsidP="006D6D72">
            <w:pPr>
              <w:spacing w:after="60"/>
              <w:rPr>
                <w:rFonts w:ascii="Arial" w:eastAsiaTheme="minorEastAsia" w:hAnsi="Arial" w:cs="Arial"/>
                <w:sz w:val="20"/>
                <w:szCs w:val="20"/>
              </w:rPr>
            </w:pPr>
            <w:r w:rsidRPr="00BA7E98">
              <w:rPr>
                <w:rStyle w:val="normaltextrun"/>
                <w:rFonts w:ascii="Arial" w:hAnsi="Arial" w:cs="Arial"/>
                <w:color w:val="000000" w:themeColor="text1"/>
                <w:sz w:val="20"/>
                <w:szCs w:val="20"/>
              </w:rPr>
              <w:t>1 October 2020</w:t>
            </w:r>
          </w:p>
        </w:tc>
        <w:tc>
          <w:tcPr>
            <w:tcW w:w="8324" w:type="dxa"/>
          </w:tcPr>
          <w:p w14:paraId="761C8151" w14:textId="33E4570E" w:rsidR="00055154" w:rsidRPr="00BA7E98" w:rsidRDefault="00055154" w:rsidP="006D6D72">
            <w:pPr>
              <w:spacing w:after="60"/>
              <w:rPr>
                <w:rFonts w:ascii="Arial" w:eastAsiaTheme="minorEastAsia" w:hAnsi="Arial" w:cs="Arial"/>
                <w:sz w:val="20"/>
                <w:szCs w:val="20"/>
              </w:rPr>
            </w:pPr>
            <w:r w:rsidRPr="00BA7E98">
              <w:rPr>
                <w:rStyle w:val="normaltextrun"/>
                <w:rFonts w:ascii="Arial" w:hAnsi="Arial" w:cs="Arial"/>
                <w:color w:val="000000" w:themeColor="text1"/>
                <w:sz w:val="20"/>
                <w:szCs w:val="20"/>
              </w:rPr>
              <w:t>Management of certain aspects of NACQIP transferred from the Department.</w:t>
            </w:r>
          </w:p>
        </w:tc>
      </w:tr>
      <w:tr w:rsidR="00055154" w:rsidRPr="00BA7E98" w14:paraId="17AE6D52" w14:textId="77777777" w:rsidTr="006D6D72">
        <w:trPr>
          <w:trHeight w:val="318"/>
        </w:trPr>
        <w:tc>
          <w:tcPr>
            <w:tcW w:w="1843" w:type="dxa"/>
          </w:tcPr>
          <w:p w14:paraId="315C9D2C"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 xml:space="preserve">1 April 2021 </w:t>
            </w:r>
          </w:p>
        </w:tc>
        <w:tc>
          <w:tcPr>
            <w:tcW w:w="8324" w:type="dxa"/>
          </w:tcPr>
          <w:p w14:paraId="49067474"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Serious incident response scheme (SIRS) – residential – 1</w:t>
            </w:r>
            <w:r w:rsidRPr="00BA7E98">
              <w:rPr>
                <w:rFonts w:ascii="Arial" w:eastAsiaTheme="minorEastAsia" w:hAnsi="Arial" w:cs="Arial"/>
                <w:sz w:val="20"/>
                <w:szCs w:val="20"/>
                <w:vertAlign w:val="superscript"/>
              </w:rPr>
              <w:t>st</w:t>
            </w:r>
            <w:r w:rsidRPr="00BA7E98">
              <w:rPr>
                <w:rFonts w:ascii="Arial" w:eastAsiaTheme="minorEastAsia" w:hAnsi="Arial" w:cs="Arial"/>
                <w:sz w:val="20"/>
                <w:szCs w:val="20"/>
              </w:rPr>
              <w:t xml:space="preserve"> stage (Priority 1 rollout)</w:t>
            </w:r>
          </w:p>
        </w:tc>
      </w:tr>
      <w:tr w:rsidR="00055154" w:rsidRPr="00BA7E98" w14:paraId="3281F799" w14:textId="77777777" w:rsidTr="006D6D72">
        <w:trPr>
          <w:trHeight w:val="224"/>
        </w:trPr>
        <w:tc>
          <w:tcPr>
            <w:tcW w:w="1843" w:type="dxa"/>
          </w:tcPr>
          <w:p w14:paraId="19A49AD7"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July 2021</w:t>
            </w:r>
          </w:p>
        </w:tc>
        <w:tc>
          <w:tcPr>
            <w:tcW w:w="8324" w:type="dxa"/>
          </w:tcPr>
          <w:p w14:paraId="5AD4D87C"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 xml:space="preserve">Expansion of NACQIP – all residential care providers to collect data on 2 additional quality indicators, bringing the number to 5 in total. </w:t>
            </w:r>
          </w:p>
        </w:tc>
      </w:tr>
      <w:tr w:rsidR="00055154" w:rsidRPr="00BA7E98" w14:paraId="1FAAF341" w14:textId="77777777" w:rsidTr="006D6D72">
        <w:trPr>
          <w:trHeight w:val="94"/>
        </w:trPr>
        <w:tc>
          <w:tcPr>
            <w:tcW w:w="1843" w:type="dxa"/>
          </w:tcPr>
          <w:p w14:paraId="3F04674C"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July 2021</w:t>
            </w:r>
          </w:p>
        </w:tc>
        <w:tc>
          <w:tcPr>
            <w:tcW w:w="8324" w:type="dxa"/>
          </w:tcPr>
          <w:p w14:paraId="26FBA9B9"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Strengthened provider obligations regarding use of restrictive practice in residential care or short-term restorative care in a residential care setting.</w:t>
            </w:r>
          </w:p>
        </w:tc>
      </w:tr>
      <w:tr w:rsidR="00055154" w:rsidRPr="00BA7E98" w14:paraId="351D66EF" w14:textId="77777777" w:rsidTr="006D6D72">
        <w:trPr>
          <w:trHeight w:val="224"/>
        </w:trPr>
        <w:tc>
          <w:tcPr>
            <w:tcW w:w="1843" w:type="dxa"/>
          </w:tcPr>
          <w:p w14:paraId="7C42BE4E"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Sept</w:t>
            </w:r>
            <w:r>
              <w:rPr>
                <w:rFonts w:ascii="Arial" w:eastAsiaTheme="minorEastAsia" w:hAnsi="Arial" w:cs="Arial"/>
                <w:sz w:val="20"/>
                <w:szCs w:val="20"/>
              </w:rPr>
              <w:t xml:space="preserve"> 2021</w:t>
            </w:r>
          </w:p>
        </w:tc>
        <w:tc>
          <w:tcPr>
            <w:tcW w:w="8324" w:type="dxa"/>
          </w:tcPr>
          <w:p w14:paraId="278BB14C"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 xml:space="preserve">Strengthened provider obligations regarding </w:t>
            </w:r>
            <w:proofErr w:type="spellStart"/>
            <w:r w:rsidRPr="00BA7E98">
              <w:rPr>
                <w:rFonts w:ascii="Arial" w:eastAsiaTheme="minorEastAsia" w:hAnsi="Arial" w:cs="Arial"/>
                <w:sz w:val="20"/>
                <w:szCs w:val="20"/>
              </w:rPr>
              <w:t>behaviour</w:t>
            </w:r>
            <w:proofErr w:type="spellEnd"/>
            <w:r w:rsidRPr="00BA7E98">
              <w:rPr>
                <w:rFonts w:ascii="Arial" w:eastAsiaTheme="minorEastAsia" w:hAnsi="Arial" w:cs="Arial"/>
                <w:sz w:val="20"/>
                <w:szCs w:val="20"/>
              </w:rPr>
              <w:t xml:space="preserve"> support plans</w:t>
            </w:r>
          </w:p>
        </w:tc>
      </w:tr>
      <w:tr w:rsidR="00055154" w:rsidRPr="00BA7E98" w14:paraId="596747BC" w14:textId="77777777" w:rsidTr="006D6D72">
        <w:trPr>
          <w:trHeight w:val="224"/>
        </w:trPr>
        <w:tc>
          <w:tcPr>
            <w:tcW w:w="1843" w:type="dxa"/>
          </w:tcPr>
          <w:p w14:paraId="4402ACC0"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October 2021</w:t>
            </w:r>
          </w:p>
        </w:tc>
        <w:tc>
          <w:tcPr>
            <w:tcW w:w="8324" w:type="dxa"/>
          </w:tcPr>
          <w:p w14:paraId="35AA17FE"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SIRS – residential – 2nd stage (Priority 2 rollout)</w:t>
            </w:r>
          </w:p>
        </w:tc>
      </w:tr>
      <w:tr w:rsidR="00055154" w:rsidRPr="00BA7E98" w14:paraId="09863444" w14:textId="77777777" w:rsidTr="006D6D72">
        <w:trPr>
          <w:trHeight w:val="224"/>
        </w:trPr>
        <w:tc>
          <w:tcPr>
            <w:tcW w:w="1843" w:type="dxa"/>
          </w:tcPr>
          <w:p w14:paraId="6A37D6AE" w14:textId="77777777" w:rsidR="00055154" w:rsidRPr="00BA7E98" w:rsidRDefault="00055154" w:rsidP="006D6D72">
            <w:pPr>
              <w:spacing w:after="60"/>
              <w:rPr>
                <w:rFonts w:ascii="Arial" w:eastAsiaTheme="minorEastAsia" w:hAnsi="Arial" w:cs="Arial"/>
                <w:color w:val="313131"/>
                <w:sz w:val="20"/>
                <w:szCs w:val="20"/>
              </w:rPr>
            </w:pPr>
            <w:r w:rsidRPr="00BA7E98">
              <w:rPr>
                <w:rFonts w:ascii="Arial" w:eastAsiaTheme="minorEastAsia" w:hAnsi="Arial" w:cs="Arial"/>
                <w:color w:val="313131"/>
                <w:sz w:val="20"/>
                <w:szCs w:val="20"/>
              </w:rPr>
              <w:t>1 July 2022</w:t>
            </w:r>
          </w:p>
        </w:tc>
        <w:tc>
          <w:tcPr>
            <w:tcW w:w="8324" w:type="dxa"/>
          </w:tcPr>
          <w:p w14:paraId="7B33B3D0" w14:textId="349A8684" w:rsidR="00055154" w:rsidRPr="00BA7E98" w:rsidRDefault="00A81FD4" w:rsidP="006D6D72">
            <w:pPr>
              <w:spacing w:after="60"/>
              <w:rPr>
                <w:rFonts w:ascii="Arial" w:eastAsiaTheme="minorEastAsia" w:hAnsi="Arial" w:cs="Arial"/>
                <w:sz w:val="20"/>
                <w:szCs w:val="20"/>
              </w:rPr>
            </w:pPr>
            <w:r>
              <w:rPr>
                <w:rFonts w:ascii="Arial" w:eastAsiaTheme="minorEastAsia" w:hAnsi="Arial" w:cs="Arial"/>
                <w:sz w:val="20"/>
                <w:szCs w:val="20"/>
              </w:rPr>
              <w:t>New f</w:t>
            </w:r>
            <w:r w:rsidR="00055154" w:rsidRPr="00BA7E98">
              <w:rPr>
                <w:rFonts w:ascii="Arial" w:eastAsiaTheme="minorEastAsia" w:hAnsi="Arial" w:cs="Arial"/>
                <w:sz w:val="20"/>
                <w:szCs w:val="20"/>
              </w:rPr>
              <w:t xml:space="preserve">inancial reporting </w:t>
            </w:r>
            <w:r>
              <w:rPr>
                <w:rFonts w:ascii="Arial" w:eastAsiaTheme="minorEastAsia" w:hAnsi="Arial" w:cs="Arial"/>
                <w:sz w:val="20"/>
                <w:szCs w:val="20"/>
              </w:rPr>
              <w:t>requirements for providers</w:t>
            </w:r>
          </w:p>
        </w:tc>
      </w:tr>
      <w:tr w:rsidR="00055154" w:rsidRPr="00BA7E98" w14:paraId="153E0787" w14:textId="77777777" w:rsidTr="006D6D72">
        <w:trPr>
          <w:trHeight w:val="268"/>
        </w:trPr>
        <w:tc>
          <w:tcPr>
            <w:tcW w:w="1843" w:type="dxa"/>
          </w:tcPr>
          <w:p w14:paraId="7C8FD85C"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December 2022</w:t>
            </w:r>
          </w:p>
        </w:tc>
        <w:tc>
          <w:tcPr>
            <w:tcW w:w="8324" w:type="dxa"/>
          </w:tcPr>
          <w:p w14:paraId="356C4273"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 xml:space="preserve">SIRS – home services </w:t>
            </w:r>
          </w:p>
        </w:tc>
      </w:tr>
      <w:tr w:rsidR="00055154" w:rsidRPr="00BA7E98" w14:paraId="1F9F23CA" w14:textId="77777777" w:rsidTr="006D6D72">
        <w:trPr>
          <w:trHeight w:val="210"/>
        </w:trPr>
        <w:tc>
          <w:tcPr>
            <w:tcW w:w="1843" w:type="dxa"/>
          </w:tcPr>
          <w:p w14:paraId="07B3800B"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December 2022</w:t>
            </w:r>
          </w:p>
        </w:tc>
        <w:tc>
          <w:tcPr>
            <w:tcW w:w="8324" w:type="dxa"/>
          </w:tcPr>
          <w:p w14:paraId="0C43C9BE" w14:textId="45FEF6E8"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Code of Conduct</w:t>
            </w:r>
            <w:r w:rsidR="00A81FD4">
              <w:rPr>
                <w:rFonts w:ascii="Arial" w:eastAsiaTheme="minorEastAsia" w:hAnsi="Arial" w:cs="Arial"/>
                <w:sz w:val="20"/>
                <w:szCs w:val="20"/>
              </w:rPr>
              <w:t xml:space="preserve"> for aged care providers, governing </w:t>
            </w:r>
            <w:proofErr w:type="gramStart"/>
            <w:r w:rsidR="00A81FD4">
              <w:rPr>
                <w:rFonts w:ascii="Arial" w:eastAsiaTheme="minorEastAsia" w:hAnsi="Arial" w:cs="Arial"/>
                <w:sz w:val="20"/>
                <w:szCs w:val="20"/>
              </w:rPr>
              <w:t>persons</w:t>
            </w:r>
            <w:proofErr w:type="gramEnd"/>
            <w:r w:rsidR="00A81FD4">
              <w:rPr>
                <w:rFonts w:ascii="Arial" w:eastAsiaTheme="minorEastAsia" w:hAnsi="Arial" w:cs="Arial"/>
                <w:sz w:val="20"/>
                <w:szCs w:val="20"/>
              </w:rPr>
              <w:t xml:space="preserve"> and workers</w:t>
            </w:r>
          </w:p>
        </w:tc>
      </w:tr>
      <w:tr w:rsidR="00055154" w:rsidRPr="00BA7E98" w14:paraId="43E7DDFE" w14:textId="77777777" w:rsidTr="006D6D72">
        <w:trPr>
          <w:trHeight w:val="224"/>
        </w:trPr>
        <w:tc>
          <w:tcPr>
            <w:tcW w:w="1843" w:type="dxa"/>
          </w:tcPr>
          <w:p w14:paraId="372CC4D7"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December 2022</w:t>
            </w:r>
          </w:p>
        </w:tc>
        <w:tc>
          <w:tcPr>
            <w:tcW w:w="8324" w:type="dxa"/>
          </w:tcPr>
          <w:p w14:paraId="4B883862"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Strengthened provider governance requirements</w:t>
            </w:r>
          </w:p>
        </w:tc>
      </w:tr>
      <w:tr w:rsidR="00055154" w:rsidRPr="00BA7E98" w14:paraId="5641817B" w14:textId="77777777" w:rsidTr="006D6D72">
        <w:trPr>
          <w:trHeight w:val="224"/>
        </w:trPr>
        <w:tc>
          <w:tcPr>
            <w:tcW w:w="1843" w:type="dxa"/>
          </w:tcPr>
          <w:p w14:paraId="313C43AC"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 xml:space="preserve">1 December 2022 </w:t>
            </w:r>
          </w:p>
        </w:tc>
        <w:tc>
          <w:tcPr>
            <w:tcW w:w="8324" w:type="dxa"/>
          </w:tcPr>
          <w:p w14:paraId="6FFCF4A0" w14:textId="77777777" w:rsidR="00055154" w:rsidRPr="00BA7E98" w:rsidRDefault="00055154" w:rsidP="006D6D72">
            <w:pPr>
              <w:pStyle w:val="NormalWeb"/>
              <w:shd w:val="clear" w:color="auto" w:fill="FFFFFF" w:themeFill="background1"/>
              <w:spacing w:after="60"/>
              <w:rPr>
                <w:rFonts w:ascii="Arial" w:eastAsiaTheme="minorEastAsia" w:hAnsi="Arial" w:cs="Arial"/>
                <w:sz w:val="20"/>
                <w:szCs w:val="20"/>
              </w:rPr>
            </w:pPr>
            <w:r w:rsidRPr="00BA7E98">
              <w:rPr>
                <w:rFonts w:ascii="Arial" w:eastAsiaTheme="minorEastAsia" w:hAnsi="Arial" w:cs="Arial"/>
                <w:color w:val="313131"/>
                <w:sz w:val="20"/>
                <w:szCs w:val="20"/>
              </w:rPr>
              <w:t>Regulatory functions for transition care services move to the Commission.</w:t>
            </w:r>
          </w:p>
        </w:tc>
      </w:tr>
      <w:tr w:rsidR="00055154" w:rsidRPr="00BA7E98" w14:paraId="1F2B28F6" w14:textId="77777777" w:rsidTr="006D6D72">
        <w:trPr>
          <w:trHeight w:val="224"/>
        </w:trPr>
        <w:tc>
          <w:tcPr>
            <w:tcW w:w="1843" w:type="dxa"/>
          </w:tcPr>
          <w:p w14:paraId="2A112021"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December 2022</w:t>
            </w:r>
          </w:p>
        </w:tc>
        <w:tc>
          <w:tcPr>
            <w:tcW w:w="8324" w:type="dxa"/>
          </w:tcPr>
          <w:p w14:paraId="6E0A60A9" w14:textId="5A0A9F11"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Aged Care Complaints Commissioner and ‘new fast t</w:t>
            </w:r>
            <w:r w:rsidR="001A03ED">
              <w:rPr>
                <w:rFonts w:ascii="Arial" w:eastAsiaTheme="minorEastAsia" w:hAnsi="Arial" w:cs="Arial"/>
                <w:sz w:val="20"/>
                <w:szCs w:val="20"/>
              </w:rPr>
              <w:t>r</w:t>
            </w:r>
            <w:r w:rsidRPr="00BA7E98">
              <w:rPr>
                <w:rFonts w:ascii="Arial" w:eastAsiaTheme="minorEastAsia" w:hAnsi="Arial" w:cs="Arial"/>
                <w:sz w:val="20"/>
                <w:szCs w:val="20"/>
              </w:rPr>
              <w:t>acked’ complaints scheme (not yet in place)</w:t>
            </w:r>
          </w:p>
        </w:tc>
      </w:tr>
      <w:tr w:rsidR="00055154" w:rsidRPr="00BA7E98" w14:paraId="7F61B2AF" w14:textId="77777777" w:rsidTr="006D6D72">
        <w:trPr>
          <w:trHeight w:val="224"/>
        </w:trPr>
        <w:tc>
          <w:tcPr>
            <w:tcW w:w="1843" w:type="dxa"/>
          </w:tcPr>
          <w:p w14:paraId="55CF18B1"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April 2023</w:t>
            </w:r>
          </w:p>
        </w:tc>
        <w:tc>
          <w:tcPr>
            <w:tcW w:w="8324" w:type="dxa"/>
          </w:tcPr>
          <w:p w14:paraId="04F32867" w14:textId="28D6DFCF"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 xml:space="preserve">Expansion of NACQIP – all residential aged care providers to collect data on </w:t>
            </w:r>
            <w:r w:rsidR="00A81FD4">
              <w:rPr>
                <w:rFonts w:ascii="Arial" w:eastAsiaTheme="minorEastAsia" w:hAnsi="Arial" w:cs="Arial"/>
                <w:sz w:val="20"/>
                <w:szCs w:val="20"/>
              </w:rPr>
              <w:t>6</w:t>
            </w:r>
            <w:r w:rsidRPr="00BA7E98">
              <w:rPr>
                <w:rFonts w:ascii="Arial" w:eastAsiaTheme="minorEastAsia" w:hAnsi="Arial" w:cs="Arial"/>
                <w:sz w:val="20"/>
                <w:szCs w:val="20"/>
              </w:rPr>
              <w:t xml:space="preserve"> additional quality indicators, bringing the number to </w:t>
            </w:r>
            <w:r w:rsidR="00A81FD4">
              <w:rPr>
                <w:rFonts w:ascii="Arial" w:eastAsiaTheme="minorEastAsia" w:hAnsi="Arial" w:cs="Arial"/>
                <w:sz w:val="20"/>
                <w:szCs w:val="20"/>
              </w:rPr>
              <w:t>11</w:t>
            </w:r>
            <w:r w:rsidR="00A81FD4" w:rsidRPr="00BA7E98">
              <w:rPr>
                <w:rFonts w:ascii="Arial" w:eastAsiaTheme="minorEastAsia" w:hAnsi="Arial" w:cs="Arial"/>
                <w:sz w:val="20"/>
                <w:szCs w:val="20"/>
              </w:rPr>
              <w:t xml:space="preserve"> </w:t>
            </w:r>
            <w:r w:rsidRPr="00BA7E98">
              <w:rPr>
                <w:rFonts w:ascii="Arial" w:eastAsiaTheme="minorEastAsia" w:hAnsi="Arial" w:cs="Arial"/>
                <w:sz w:val="20"/>
                <w:szCs w:val="20"/>
              </w:rPr>
              <w:t>in total.</w:t>
            </w:r>
          </w:p>
        </w:tc>
      </w:tr>
      <w:tr w:rsidR="00055154" w:rsidRPr="00BA7E98" w14:paraId="0E5DCEE8" w14:textId="77777777" w:rsidTr="006D6D72">
        <w:trPr>
          <w:trHeight w:val="267"/>
        </w:trPr>
        <w:tc>
          <w:tcPr>
            <w:tcW w:w="1843" w:type="dxa"/>
          </w:tcPr>
          <w:p w14:paraId="6210D769"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July 2023</w:t>
            </w:r>
          </w:p>
        </w:tc>
        <w:tc>
          <w:tcPr>
            <w:tcW w:w="8324" w:type="dxa"/>
          </w:tcPr>
          <w:p w14:paraId="3B24D074"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24/7 registered nurse requirements in residential care</w:t>
            </w:r>
          </w:p>
        </w:tc>
      </w:tr>
      <w:tr w:rsidR="00055154" w:rsidRPr="00BA7E98" w14:paraId="49DF8769" w14:textId="77777777" w:rsidTr="006D6D72">
        <w:trPr>
          <w:trHeight w:val="207"/>
        </w:trPr>
        <w:tc>
          <w:tcPr>
            <w:tcW w:w="1843" w:type="dxa"/>
          </w:tcPr>
          <w:p w14:paraId="3FD748D0"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October 2023</w:t>
            </w:r>
          </w:p>
        </w:tc>
        <w:tc>
          <w:tcPr>
            <w:tcW w:w="8324" w:type="dxa"/>
          </w:tcPr>
          <w:p w14:paraId="411125AF"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Care minute requirements</w:t>
            </w:r>
          </w:p>
        </w:tc>
      </w:tr>
      <w:tr w:rsidR="00055154" w:rsidRPr="00BA7E98" w14:paraId="064829C9" w14:textId="77777777" w:rsidTr="006D6D72">
        <w:trPr>
          <w:trHeight w:val="267"/>
        </w:trPr>
        <w:tc>
          <w:tcPr>
            <w:tcW w:w="1843" w:type="dxa"/>
          </w:tcPr>
          <w:p w14:paraId="1F5AA302" w14:textId="77777777"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1 July 2024</w:t>
            </w:r>
          </w:p>
        </w:tc>
        <w:tc>
          <w:tcPr>
            <w:tcW w:w="8324" w:type="dxa"/>
          </w:tcPr>
          <w:p w14:paraId="732C51B9" w14:textId="52998201" w:rsidR="00055154" w:rsidRPr="00BA7E98" w:rsidRDefault="00055154" w:rsidP="006D6D72">
            <w:pPr>
              <w:spacing w:after="60"/>
              <w:rPr>
                <w:rFonts w:ascii="Arial" w:eastAsiaTheme="minorEastAsia" w:hAnsi="Arial" w:cs="Arial"/>
                <w:sz w:val="20"/>
                <w:szCs w:val="20"/>
              </w:rPr>
            </w:pPr>
            <w:r w:rsidRPr="00BA7E98">
              <w:rPr>
                <w:rFonts w:ascii="Arial" w:eastAsiaTheme="minorEastAsia" w:hAnsi="Arial" w:cs="Arial"/>
                <w:sz w:val="20"/>
                <w:szCs w:val="20"/>
              </w:rPr>
              <w:t>New Aged Care Act</w:t>
            </w:r>
            <w:r w:rsidR="00A81FD4">
              <w:rPr>
                <w:rFonts w:ascii="Arial" w:eastAsiaTheme="minorEastAsia" w:hAnsi="Arial" w:cs="Arial"/>
                <w:sz w:val="20"/>
                <w:szCs w:val="20"/>
              </w:rPr>
              <w:t>, including new regulatory model and strengthened Quality Standards</w:t>
            </w:r>
          </w:p>
        </w:tc>
      </w:tr>
    </w:tbl>
    <w:p w14:paraId="381C022A" w14:textId="00BA9FC8" w:rsidR="00ED21DE" w:rsidRDefault="007A0A09" w:rsidP="002D5F76">
      <w:pPr>
        <w:spacing w:before="120" w:after="360"/>
        <w:rPr>
          <w:rFonts w:ascii="Arial" w:hAnsi="Arial" w:cs="Arial"/>
          <w:sz w:val="24"/>
          <w:szCs w:val="24"/>
        </w:rPr>
      </w:pPr>
      <w:proofErr w:type="gramStart"/>
      <w:r>
        <w:rPr>
          <w:rFonts w:ascii="Arial" w:hAnsi="Arial" w:cs="Arial"/>
          <w:sz w:val="24"/>
          <w:szCs w:val="24"/>
        </w:rPr>
        <w:t>A</w:t>
      </w:r>
      <w:r w:rsidR="00ED21DE" w:rsidRPr="00501CDD">
        <w:rPr>
          <w:rFonts w:ascii="Arial" w:hAnsi="Arial" w:cs="Arial"/>
          <w:sz w:val="24"/>
          <w:szCs w:val="24"/>
        </w:rPr>
        <w:t xml:space="preserve"> number of</w:t>
      </w:r>
      <w:proofErr w:type="gramEnd"/>
      <w:r w:rsidR="00ED21DE" w:rsidRPr="00501CDD">
        <w:rPr>
          <w:rFonts w:ascii="Arial" w:hAnsi="Arial" w:cs="Arial"/>
          <w:sz w:val="24"/>
          <w:szCs w:val="24"/>
        </w:rPr>
        <w:t xml:space="preserve"> stakeholders argue the </w:t>
      </w:r>
      <w:r w:rsidR="00ED21DE">
        <w:rPr>
          <w:rFonts w:ascii="Arial" w:hAnsi="Arial" w:cs="Arial"/>
          <w:sz w:val="24"/>
          <w:szCs w:val="24"/>
        </w:rPr>
        <w:t>Commission</w:t>
      </w:r>
      <w:r w:rsidR="00ED21DE" w:rsidRPr="00501CDD">
        <w:rPr>
          <w:rFonts w:ascii="Arial" w:hAnsi="Arial" w:cs="Arial"/>
          <w:sz w:val="24"/>
          <w:szCs w:val="24"/>
        </w:rPr>
        <w:t xml:space="preserve"> is overloaded and that </w:t>
      </w:r>
      <w:r>
        <w:rPr>
          <w:rFonts w:ascii="Arial" w:hAnsi="Arial" w:cs="Arial"/>
          <w:sz w:val="24"/>
          <w:szCs w:val="24"/>
        </w:rPr>
        <w:t xml:space="preserve">implementing </w:t>
      </w:r>
      <w:r w:rsidR="00ED21DE" w:rsidRPr="00501CDD">
        <w:rPr>
          <w:rFonts w:ascii="Arial" w:hAnsi="Arial" w:cs="Arial"/>
          <w:sz w:val="24"/>
          <w:szCs w:val="24"/>
        </w:rPr>
        <w:t xml:space="preserve">new functions </w:t>
      </w:r>
      <w:r w:rsidR="00ED21DE">
        <w:rPr>
          <w:rFonts w:ascii="Arial" w:hAnsi="Arial" w:cs="Arial"/>
          <w:sz w:val="24"/>
          <w:szCs w:val="24"/>
        </w:rPr>
        <w:t xml:space="preserve">in short time frames </w:t>
      </w:r>
      <w:r>
        <w:rPr>
          <w:rFonts w:ascii="Arial" w:hAnsi="Arial" w:cs="Arial"/>
          <w:sz w:val="24"/>
          <w:szCs w:val="24"/>
        </w:rPr>
        <w:t xml:space="preserve">compromises </w:t>
      </w:r>
      <w:r w:rsidR="00ED21DE">
        <w:rPr>
          <w:rFonts w:ascii="Arial" w:hAnsi="Arial" w:cs="Arial"/>
          <w:sz w:val="24"/>
          <w:szCs w:val="24"/>
        </w:rPr>
        <w:t xml:space="preserve">the Commission’s </w:t>
      </w:r>
      <w:r w:rsidR="001D1BE2">
        <w:rPr>
          <w:rFonts w:ascii="Arial" w:hAnsi="Arial" w:cs="Arial"/>
          <w:sz w:val="24"/>
          <w:szCs w:val="24"/>
        </w:rPr>
        <w:t>BAU</w:t>
      </w:r>
      <w:r w:rsidR="00ED21DE">
        <w:rPr>
          <w:rFonts w:ascii="Arial" w:hAnsi="Arial" w:cs="Arial"/>
          <w:sz w:val="24"/>
          <w:szCs w:val="24"/>
        </w:rPr>
        <w:t xml:space="preserve"> activity and impact</w:t>
      </w:r>
      <w:r>
        <w:rPr>
          <w:rFonts w:ascii="Arial" w:hAnsi="Arial" w:cs="Arial"/>
          <w:sz w:val="24"/>
          <w:szCs w:val="24"/>
        </w:rPr>
        <w:t>s its</w:t>
      </w:r>
      <w:r w:rsidR="00ED21DE">
        <w:rPr>
          <w:rFonts w:ascii="Arial" w:hAnsi="Arial" w:cs="Arial"/>
          <w:sz w:val="24"/>
          <w:szCs w:val="24"/>
        </w:rPr>
        <w:t xml:space="preserve"> ability to contribute to development of the new Aged Care Act and regulatory framework. It was also argued that functions are not well integrated. </w:t>
      </w:r>
    </w:p>
    <w:p w14:paraId="258BC673" w14:textId="510111E8" w:rsidR="00ED21DE" w:rsidRDefault="00ED21DE" w:rsidP="00ED21DE">
      <w:pPr>
        <w:spacing w:before="120" w:after="120"/>
        <w:rPr>
          <w:rFonts w:ascii="Arial" w:hAnsi="Arial" w:cs="Arial"/>
          <w:sz w:val="24"/>
          <w:szCs w:val="24"/>
        </w:rPr>
      </w:pPr>
      <w:r>
        <w:rPr>
          <w:rFonts w:ascii="Arial" w:hAnsi="Arial" w:cs="Arial"/>
          <w:sz w:val="24"/>
          <w:szCs w:val="24"/>
        </w:rPr>
        <w:t>Some stakeholders suggested certain functions should be moved out of the Commission to lift this load.</w:t>
      </w:r>
    </w:p>
    <w:p w14:paraId="7E48DE4C" w14:textId="617528F7" w:rsidR="00ED21DE" w:rsidRPr="00501CDD" w:rsidRDefault="00ED21DE" w:rsidP="00ED21DE">
      <w:pPr>
        <w:spacing w:before="120" w:after="120"/>
        <w:ind w:left="720"/>
        <w:rPr>
          <w:rFonts w:ascii="Arial" w:hAnsi="Arial" w:cs="Arial"/>
          <w:i/>
          <w:iCs/>
          <w:color w:val="000000"/>
          <w:sz w:val="24"/>
          <w:szCs w:val="24"/>
          <w:shd w:val="clear" w:color="auto" w:fill="FFFFFF"/>
        </w:rPr>
      </w:pPr>
      <w:r w:rsidRPr="00501CDD">
        <w:rPr>
          <w:rFonts w:ascii="Arial" w:hAnsi="Arial" w:cs="Arial"/>
          <w:i/>
          <w:iCs/>
          <w:color w:val="000000"/>
          <w:sz w:val="24"/>
          <w:szCs w:val="24"/>
          <w:shd w:val="clear" w:color="auto" w:fill="FFFFFF"/>
        </w:rPr>
        <w:t xml:space="preserve">“The Commission keeps getting more functions – it has reached organisational capacity. </w:t>
      </w:r>
      <w:proofErr w:type="gramStart"/>
      <w:r w:rsidRPr="00501CDD">
        <w:rPr>
          <w:rFonts w:ascii="Arial" w:hAnsi="Arial" w:cs="Arial"/>
          <w:i/>
          <w:iCs/>
          <w:color w:val="000000"/>
          <w:sz w:val="24"/>
          <w:szCs w:val="24"/>
          <w:shd w:val="clear" w:color="auto" w:fill="FFFFFF"/>
        </w:rPr>
        <w:t>Has to</w:t>
      </w:r>
      <w:proofErr w:type="gramEnd"/>
      <w:r w:rsidRPr="00501CDD">
        <w:rPr>
          <w:rFonts w:ascii="Arial" w:hAnsi="Arial" w:cs="Arial"/>
          <w:i/>
          <w:iCs/>
          <w:color w:val="000000"/>
          <w:sz w:val="24"/>
          <w:szCs w:val="24"/>
          <w:shd w:val="clear" w:color="auto" w:fill="FFFFFF"/>
        </w:rPr>
        <w:t xml:space="preserve"> focus on too many things. Does it all have to sit with the commission?” </w:t>
      </w:r>
      <w:r w:rsidR="002722F8">
        <w:rPr>
          <w:rFonts w:ascii="Arial" w:hAnsi="Arial" w:cs="Arial"/>
          <w:i/>
          <w:iCs/>
          <w:color w:val="000000"/>
          <w:sz w:val="24"/>
          <w:szCs w:val="24"/>
          <w:shd w:val="clear" w:color="auto" w:fill="FFFFFF"/>
        </w:rPr>
        <w:t>(Government advisory group)</w:t>
      </w:r>
    </w:p>
    <w:p w14:paraId="4C851679" w14:textId="25C315D9" w:rsidR="00ED21DE" w:rsidRPr="00501CDD" w:rsidRDefault="00ED21DE" w:rsidP="00ED21DE">
      <w:pPr>
        <w:spacing w:before="120" w:after="120"/>
        <w:ind w:left="720"/>
        <w:rPr>
          <w:rFonts w:ascii="Arial" w:hAnsi="Arial" w:cs="Arial"/>
          <w:i/>
          <w:iCs/>
          <w:color w:val="000000"/>
          <w:sz w:val="24"/>
          <w:szCs w:val="24"/>
          <w:shd w:val="clear" w:color="auto" w:fill="FFFFFF"/>
        </w:rPr>
      </w:pPr>
      <w:r w:rsidRPr="00501CDD">
        <w:rPr>
          <w:rFonts w:ascii="Arial" w:hAnsi="Arial" w:cs="Arial"/>
          <w:i/>
          <w:iCs/>
          <w:color w:val="000000"/>
          <w:sz w:val="24"/>
          <w:szCs w:val="24"/>
          <w:shd w:val="clear" w:color="auto" w:fill="FFFFFF"/>
        </w:rPr>
        <w:t xml:space="preserve">“The current model creates role conflict and a lack of capacity for the regulator to focus on the care of individuals. The promotion and provision of incentives </w:t>
      </w:r>
      <w:r w:rsidRPr="00501CDD">
        <w:rPr>
          <w:rFonts w:ascii="Arial" w:hAnsi="Arial" w:cs="Arial"/>
          <w:i/>
          <w:iCs/>
          <w:color w:val="000000"/>
          <w:sz w:val="24"/>
          <w:szCs w:val="24"/>
          <w:shd w:val="clear" w:color="auto" w:fill="FFFFFF"/>
        </w:rPr>
        <w:lastRenderedPageBreak/>
        <w:t xml:space="preserve">for existing providers to meet and improve quality standards, and audit and accreditation, requires a different approach and conflicts with complaints management and community education. All these functions should not be delivered by one </w:t>
      </w:r>
      <w:proofErr w:type="gramStart"/>
      <w:r w:rsidRPr="00501CDD">
        <w:rPr>
          <w:rFonts w:ascii="Arial" w:hAnsi="Arial" w:cs="Arial"/>
          <w:i/>
          <w:iCs/>
          <w:color w:val="000000"/>
          <w:sz w:val="24"/>
          <w:szCs w:val="24"/>
          <w:shd w:val="clear" w:color="auto" w:fill="FFFFFF"/>
        </w:rPr>
        <w:t>agency.“</w:t>
      </w:r>
      <w:proofErr w:type="gramEnd"/>
      <w:r w:rsidR="00145081">
        <w:rPr>
          <w:rFonts w:ascii="Arial" w:hAnsi="Arial" w:cs="Arial"/>
          <w:i/>
          <w:iCs/>
          <w:color w:val="000000"/>
          <w:sz w:val="24"/>
          <w:szCs w:val="24"/>
          <w:shd w:val="clear" w:color="auto" w:fill="FFFFFF"/>
        </w:rPr>
        <w:t xml:space="preserve"> </w:t>
      </w:r>
      <w:r w:rsidRPr="00501CDD">
        <w:rPr>
          <w:rFonts w:ascii="Arial" w:hAnsi="Arial" w:cs="Arial"/>
          <w:i/>
          <w:iCs/>
          <w:color w:val="000000"/>
          <w:sz w:val="24"/>
          <w:szCs w:val="24"/>
          <w:shd w:val="clear" w:color="auto" w:fill="FFFFFF"/>
        </w:rPr>
        <w:t>(Community Group)</w:t>
      </w:r>
    </w:p>
    <w:p w14:paraId="08E076B7" w14:textId="3118D204" w:rsidR="007A0A09" w:rsidRPr="003B7EBF" w:rsidRDefault="007A0A09" w:rsidP="007A0A09">
      <w:pPr>
        <w:spacing w:before="120" w:after="120"/>
        <w:rPr>
          <w:rFonts w:ascii="Arial" w:hAnsi="Arial" w:cs="Arial"/>
          <w:sz w:val="24"/>
          <w:szCs w:val="24"/>
        </w:rPr>
      </w:pPr>
      <w:r w:rsidRPr="00501CDD">
        <w:rPr>
          <w:rFonts w:ascii="Arial" w:hAnsi="Arial" w:cs="Arial"/>
          <w:sz w:val="24"/>
          <w:szCs w:val="24"/>
        </w:rPr>
        <w:t>The</w:t>
      </w:r>
      <w:r>
        <w:rPr>
          <w:rFonts w:ascii="Arial" w:hAnsi="Arial" w:cs="Arial"/>
          <w:sz w:val="24"/>
          <w:szCs w:val="24"/>
        </w:rPr>
        <w:t xml:space="preserve"> Review heard </w:t>
      </w:r>
      <w:r w:rsidRPr="00501CDD">
        <w:rPr>
          <w:rFonts w:ascii="Arial" w:hAnsi="Arial" w:cs="Arial"/>
          <w:sz w:val="24"/>
          <w:szCs w:val="24"/>
        </w:rPr>
        <w:t>th</w:t>
      </w:r>
      <w:r>
        <w:rPr>
          <w:rFonts w:ascii="Arial" w:hAnsi="Arial" w:cs="Arial"/>
          <w:sz w:val="24"/>
          <w:szCs w:val="24"/>
        </w:rPr>
        <w:t>at th</w:t>
      </w:r>
      <w:r w:rsidRPr="00501CDD">
        <w:rPr>
          <w:rFonts w:ascii="Arial" w:hAnsi="Arial" w:cs="Arial"/>
          <w:sz w:val="24"/>
          <w:szCs w:val="24"/>
        </w:rPr>
        <w:t>ere is a lack of clarity between the responsibilities associated with regulation and stewardship.</w:t>
      </w:r>
      <w:r>
        <w:rPr>
          <w:rFonts w:ascii="Arial" w:hAnsi="Arial" w:cs="Arial"/>
          <w:sz w:val="24"/>
          <w:szCs w:val="24"/>
        </w:rPr>
        <w:t xml:space="preserve"> There was also</w:t>
      </w:r>
      <w:r w:rsidRPr="00501CDD">
        <w:rPr>
          <w:rFonts w:ascii="Arial" w:hAnsi="Arial" w:cs="Arial"/>
          <w:sz w:val="24"/>
          <w:szCs w:val="24"/>
        </w:rPr>
        <w:t xml:space="preserve"> a perception that some of the Commission’s roles and functions are fundamentally contradictory</w:t>
      </w:r>
      <w:r>
        <w:rPr>
          <w:rFonts w:ascii="Arial" w:hAnsi="Arial" w:cs="Arial"/>
          <w:sz w:val="24"/>
          <w:szCs w:val="24"/>
        </w:rPr>
        <w:t xml:space="preserve">, with some stakeholders noting </w:t>
      </w:r>
      <w:r w:rsidRPr="00501CDD">
        <w:rPr>
          <w:rFonts w:ascii="Arial" w:eastAsia="Times New Roman" w:hAnsi="Arial" w:cs="Arial"/>
          <w:sz w:val="24"/>
          <w:szCs w:val="24"/>
          <w:lang w:eastAsia="en-AU"/>
        </w:rPr>
        <w:t>there may be tension</w:t>
      </w:r>
      <w:r>
        <w:rPr>
          <w:rFonts w:ascii="Arial" w:eastAsia="Times New Roman" w:hAnsi="Arial" w:cs="Arial"/>
          <w:sz w:val="24"/>
          <w:szCs w:val="24"/>
          <w:lang w:eastAsia="en-AU"/>
        </w:rPr>
        <w:t>s</w:t>
      </w:r>
      <w:r w:rsidRPr="00501CDD">
        <w:rPr>
          <w:rFonts w:ascii="Arial" w:eastAsia="Times New Roman" w:hAnsi="Arial" w:cs="Arial"/>
          <w:sz w:val="24"/>
          <w:szCs w:val="24"/>
          <w:lang w:eastAsia="en-AU"/>
        </w:rPr>
        <w:t xml:space="preserve"> relating to trade-offs between regulatory posture and other objectives such as education and continuous improvement.</w:t>
      </w:r>
    </w:p>
    <w:p w14:paraId="5133B8B5" w14:textId="38533DDC" w:rsidR="00ED21DE" w:rsidRDefault="00ED21DE" w:rsidP="00ED21DE">
      <w:pPr>
        <w:spacing w:before="120" w:after="120"/>
        <w:textAlignment w:val="baseline"/>
        <w:rPr>
          <w:rFonts w:ascii="Arial" w:hAnsi="Arial" w:cs="Arial"/>
          <w:color w:val="000000"/>
          <w:sz w:val="24"/>
          <w:szCs w:val="24"/>
          <w:shd w:val="clear" w:color="auto" w:fill="FFFFFF"/>
        </w:rPr>
      </w:pPr>
      <w:r>
        <w:rPr>
          <w:rFonts w:ascii="Arial" w:hAnsi="Arial" w:cs="Arial"/>
          <w:color w:val="000000"/>
          <w:sz w:val="24"/>
          <w:szCs w:val="24"/>
          <w:shd w:val="clear" w:color="auto" w:fill="FFFFFF"/>
        </w:rPr>
        <w:t>However, t</w:t>
      </w:r>
      <w:r w:rsidRPr="00501CDD">
        <w:rPr>
          <w:rFonts w:ascii="Arial" w:hAnsi="Arial" w:cs="Arial"/>
          <w:color w:val="000000"/>
          <w:sz w:val="24"/>
          <w:szCs w:val="24"/>
          <w:shd w:val="clear" w:color="auto" w:fill="FFFFFF"/>
        </w:rPr>
        <w:t>here was also strong support from stakeholders for integrating functions.</w:t>
      </w:r>
      <w:r w:rsidR="0047063C">
        <w:rPr>
          <w:rFonts w:ascii="Arial" w:hAnsi="Arial" w:cs="Arial"/>
          <w:color w:val="000000"/>
          <w:sz w:val="24"/>
          <w:szCs w:val="24"/>
          <w:shd w:val="clear" w:color="auto" w:fill="FFFFFF"/>
        </w:rPr>
        <w:t xml:space="preserve"> </w:t>
      </w:r>
      <w:r w:rsidRPr="00501CDD">
        <w:rPr>
          <w:rFonts w:ascii="Arial" w:hAnsi="Arial" w:cs="Arial"/>
          <w:color w:val="000000"/>
          <w:sz w:val="24"/>
          <w:szCs w:val="24"/>
          <w:shd w:val="clear" w:color="auto" w:fill="FFFFFF"/>
        </w:rPr>
        <w:t xml:space="preserve">For example, </w:t>
      </w:r>
      <w:r w:rsidR="002722F8">
        <w:rPr>
          <w:rFonts w:ascii="Arial" w:hAnsi="Arial" w:cs="Arial"/>
          <w:color w:val="000000"/>
          <w:sz w:val="24"/>
          <w:szCs w:val="24"/>
          <w:shd w:val="clear" w:color="auto" w:fill="FFFFFF"/>
        </w:rPr>
        <w:t xml:space="preserve">some stakeholders </w:t>
      </w:r>
      <w:r w:rsidRPr="00501CDD">
        <w:rPr>
          <w:rFonts w:ascii="Arial" w:hAnsi="Arial" w:cs="Arial"/>
          <w:color w:val="000000"/>
          <w:sz w:val="24"/>
          <w:szCs w:val="24"/>
          <w:shd w:val="clear" w:color="auto" w:fill="FFFFFF"/>
        </w:rPr>
        <w:t>held the view that quality and complaints should be together and should share intelligence.</w:t>
      </w:r>
    </w:p>
    <w:p w14:paraId="4841DEEE" w14:textId="2839D676" w:rsidR="00ED21DE" w:rsidRPr="002722F8" w:rsidRDefault="00ED21DE" w:rsidP="00ED21DE">
      <w:pPr>
        <w:spacing w:before="120" w:after="120"/>
        <w:ind w:left="720"/>
        <w:textAlignment w:val="baseline"/>
        <w:rPr>
          <w:rFonts w:ascii="Arial" w:hAnsi="Arial" w:cs="Arial"/>
          <w:i/>
          <w:iCs/>
          <w:sz w:val="24"/>
          <w:szCs w:val="24"/>
        </w:rPr>
      </w:pPr>
      <w:r w:rsidRPr="00501CDD">
        <w:rPr>
          <w:rFonts w:ascii="Arial" w:hAnsi="Arial" w:cs="Arial"/>
          <w:color w:val="000000"/>
          <w:sz w:val="24"/>
          <w:szCs w:val="24"/>
          <w:shd w:val="clear" w:color="auto" w:fill="FFFFFF"/>
        </w:rPr>
        <w:t>“</w:t>
      </w:r>
      <w:r w:rsidRPr="002722F8">
        <w:rPr>
          <w:rFonts w:ascii="Arial" w:hAnsi="Arial" w:cs="Arial"/>
          <w:i/>
          <w:iCs/>
          <w:color w:val="000000"/>
          <w:sz w:val="24"/>
          <w:szCs w:val="24"/>
          <w:bdr w:val="none" w:sz="0" w:space="0" w:color="auto" w:frame="1"/>
        </w:rPr>
        <w:t>The crux of the issue is continuous improvement. There is lots of reporting on what is wrong, but what can we learn from this and how can it help to improve things</w:t>
      </w:r>
      <w:r w:rsidR="00D560C3">
        <w:rPr>
          <w:rFonts w:ascii="Arial" w:hAnsi="Arial" w:cs="Arial"/>
          <w:i/>
          <w:iCs/>
          <w:color w:val="000000"/>
          <w:sz w:val="24"/>
          <w:szCs w:val="24"/>
          <w:bdr w:val="none" w:sz="0" w:space="0" w:color="auto" w:frame="1"/>
        </w:rPr>
        <w:t>. T</w:t>
      </w:r>
      <w:r w:rsidRPr="002722F8">
        <w:rPr>
          <w:rFonts w:ascii="Arial" w:hAnsi="Arial" w:cs="Arial"/>
          <w:i/>
          <w:iCs/>
          <w:color w:val="000000"/>
          <w:sz w:val="24"/>
          <w:szCs w:val="24"/>
          <w:bdr w:val="none" w:sz="0" w:space="0" w:color="auto" w:frame="1"/>
        </w:rPr>
        <w:t>hese functions need to be together to drive risk approach”.</w:t>
      </w:r>
      <w:r w:rsidR="002722F8" w:rsidRPr="002722F8">
        <w:rPr>
          <w:rFonts w:ascii="Arial" w:hAnsi="Arial" w:cs="Arial"/>
          <w:i/>
          <w:iCs/>
          <w:color w:val="000000"/>
          <w:sz w:val="24"/>
          <w:szCs w:val="24"/>
          <w:bdr w:val="none" w:sz="0" w:space="0" w:color="auto" w:frame="1"/>
        </w:rPr>
        <w:t xml:space="preserve"> (Government advisory group)</w:t>
      </w:r>
    </w:p>
    <w:p w14:paraId="22122EDF" w14:textId="6C2A7800" w:rsidR="00ED21DE" w:rsidRDefault="00CE026C" w:rsidP="00ED21DE">
      <w:pPr>
        <w:spacing w:before="120" w:after="120"/>
        <w:textAlignment w:val="baseline"/>
        <w:rPr>
          <w:rFonts w:ascii="Arial" w:eastAsia="Times New Roman" w:hAnsi="Arial" w:cs="Arial"/>
          <w:color w:val="000000"/>
          <w:sz w:val="24"/>
          <w:szCs w:val="24"/>
          <w:shd w:val="clear" w:color="auto" w:fill="FFFFFF"/>
          <w:lang w:eastAsia="en-AU"/>
        </w:rPr>
      </w:pPr>
      <w:r w:rsidRPr="00501CDD">
        <w:rPr>
          <w:rFonts w:ascii="Arial" w:eastAsia="Times New Roman" w:hAnsi="Arial" w:cs="Arial"/>
          <w:sz w:val="24"/>
          <w:szCs w:val="24"/>
          <w:lang w:eastAsia="en-AU"/>
        </w:rPr>
        <w:t>A</w:t>
      </w:r>
      <w:r>
        <w:rPr>
          <w:rFonts w:ascii="Arial" w:eastAsia="Times New Roman" w:hAnsi="Arial" w:cs="Arial"/>
          <w:sz w:val="24"/>
          <w:szCs w:val="24"/>
          <w:lang w:eastAsia="en-AU"/>
        </w:rPr>
        <w:t>nother</w:t>
      </w:r>
      <w:r w:rsidRPr="00501CDD">
        <w:rPr>
          <w:rFonts w:ascii="Arial" w:eastAsia="Times New Roman" w:hAnsi="Arial" w:cs="Arial"/>
          <w:sz w:val="24"/>
          <w:szCs w:val="24"/>
          <w:lang w:eastAsia="en-AU"/>
        </w:rPr>
        <w:t xml:space="preserve"> key example is prudential functions. </w:t>
      </w:r>
      <w:r w:rsidR="00ED21DE" w:rsidRPr="00501CDD">
        <w:rPr>
          <w:rFonts w:ascii="Arial" w:eastAsia="Times New Roman" w:hAnsi="Arial" w:cs="Arial"/>
          <w:sz w:val="24"/>
          <w:szCs w:val="24"/>
          <w:lang w:eastAsia="en-AU"/>
        </w:rPr>
        <w:t xml:space="preserve">The Department retains high level policy around financial and prudential strategy and market </w:t>
      </w:r>
      <w:proofErr w:type="gramStart"/>
      <w:r w:rsidR="00ED21DE" w:rsidRPr="00501CDD">
        <w:rPr>
          <w:rFonts w:ascii="Arial" w:eastAsia="Times New Roman" w:hAnsi="Arial" w:cs="Arial"/>
          <w:sz w:val="24"/>
          <w:szCs w:val="24"/>
          <w:lang w:eastAsia="en-AU"/>
        </w:rPr>
        <w:t>segmentation</w:t>
      </w:r>
      <w:proofErr w:type="gramEnd"/>
      <w:r w:rsidR="00224303">
        <w:rPr>
          <w:rFonts w:ascii="Arial" w:eastAsia="Times New Roman" w:hAnsi="Arial" w:cs="Arial"/>
          <w:sz w:val="24"/>
          <w:szCs w:val="24"/>
          <w:lang w:eastAsia="en-AU"/>
        </w:rPr>
        <w:t xml:space="preserve"> </w:t>
      </w:r>
      <w:r w:rsidR="00ED21DE" w:rsidRPr="00501CDD">
        <w:rPr>
          <w:rFonts w:ascii="Arial" w:eastAsia="Times New Roman" w:hAnsi="Arial" w:cs="Arial"/>
          <w:sz w:val="24"/>
          <w:szCs w:val="24"/>
          <w:lang w:eastAsia="en-AU"/>
        </w:rPr>
        <w:t xml:space="preserve">but financial monitoring functions </w:t>
      </w:r>
      <w:r w:rsidR="00ED21DE">
        <w:rPr>
          <w:rFonts w:ascii="Arial" w:eastAsia="Times New Roman" w:hAnsi="Arial" w:cs="Arial"/>
          <w:sz w:val="24"/>
          <w:szCs w:val="24"/>
          <w:lang w:eastAsia="en-AU"/>
        </w:rPr>
        <w:t>have been</w:t>
      </w:r>
      <w:r w:rsidR="00ED21DE" w:rsidRPr="00501CDD">
        <w:rPr>
          <w:rFonts w:ascii="Arial" w:eastAsia="Times New Roman" w:hAnsi="Arial" w:cs="Arial"/>
          <w:sz w:val="24"/>
          <w:szCs w:val="24"/>
          <w:lang w:eastAsia="en-AU"/>
        </w:rPr>
        <w:t xml:space="preserve"> transferred to the </w:t>
      </w:r>
      <w:r w:rsidR="00ED21DE">
        <w:rPr>
          <w:rFonts w:ascii="Arial" w:eastAsia="Times New Roman" w:hAnsi="Arial" w:cs="Arial"/>
          <w:sz w:val="24"/>
          <w:szCs w:val="24"/>
          <w:lang w:eastAsia="en-AU"/>
        </w:rPr>
        <w:t>Commission</w:t>
      </w:r>
      <w:r w:rsidR="00ED21DE" w:rsidRPr="00501CDD">
        <w:rPr>
          <w:rFonts w:ascii="Arial" w:eastAsia="Times New Roman" w:hAnsi="Arial" w:cs="Arial"/>
          <w:sz w:val="24"/>
          <w:szCs w:val="24"/>
          <w:lang w:eastAsia="en-AU"/>
        </w:rPr>
        <w:t>.</w:t>
      </w:r>
      <w:r w:rsidR="00F7295A" w:rsidRPr="00501CDD">
        <w:rPr>
          <w:rFonts w:ascii="Arial" w:eastAsia="Times New Roman" w:hAnsi="Arial" w:cs="Arial"/>
          <w:sz w:val="24"/>
          <w:szCs w:val="24"/>
          <w:vertAlign w:val="superscript"/>
          <w:lang w:eastAsia="en-AU"/>
        </w:rPr>
        <w:footnoteReference w:id="103"/>
      </w:r>
      <w:r w:rsidR="00F7295A">
        <w:rPr>
          <w:rFonts w:ascii="Arial" w:eastAsia="Times New Roman" w:hAnsi="Arial" w:cs="Arial"/>
          <w:sz w:val="24"/>
          <w:szCs w:val="24"/>
          <w:lang w:eastAsia="en-AU"/>
        </w:rPr>
        <w:t xml:space="preserve"> </w:t>
      </w:r>
      <w:r w:rsidR="00ED21DE" w:rsidRPr="00501CDD">
        <w:rPr>
          <w:rFonts w:ascii="Arial" w:eastAsia="Times New Roman" w:hAnsi="Arial" w:cs="Arial"/>
          <w:sz w:val="24"/>
          <w:szCs w:val="24"/>
          <w:lang w:eastAsia="en-AU"/>
        </w:rPr>
        <w:t>The Department</w:t>
      </w:r>
      <w:r w:rsidR="00ED21DE">
        <w:rPr>
          <w:rFonts w:ascii="Arial" w:eastAsia="Times New Roman" w:hAnsi="Arial" w:cs="Arial"/>
          <w:sz w:val="24"/>
          <w:szCs w:val="24"/>
          <w:lang w:eastAsia="en-AU"/>
        </w:rPr>
        <w:t xml:space="preserve"> pr</w:t>
      </w:r>
      <w:r w:rsidR="00ED21DE" w:rsidRPr="00501CDD">
        <w:rPr>
          <w:rFonts w:ascii="Arial" w:eastAsia="Times New Roman" w:hAnsi="Arial" w:cs="Arial"/>
          <w:sz w:val="24"/>
          <w:szCs w:val="24"/>
          <w:lang w:eastAsia="en-AU"/>
        </w:rPr>
        <w:t xml:space="preserve">ovided </w:t>
      </w:r>
      <w:r w:rsidR="009B7859">
        <w:rPr>
          <w:rFonts w:ascii="Arial" w:eastAsia="Times New Roman" w:hAnsi="Arial" w:cs="Arial"/>
          <w:sz w:val="24"/>
          <w:szCs w:val="24"/>
          <w:lang w:eastAsia="en-AU"/>
        </w:rPr>
        <w:t xml:space="preserve">as </w:t>
      </w:r>
      <w:r w:rsidR="00ED21DE" w:rsidRPr="00501CDD">
        <w:rPr>
          <w:rFonts w:ascii="Arial" w:eastAsia="Times New Roman" w:hAnsi="Arial" w:cs="Arial"/>
          <w:sz w:val="24"/>
          <w:szCs w:val="24"/>
          <w:lang w:eastAsia="en-AU"/>
        </w:rPr>
        <w:t xml:space="preserve">an example of the pitfalls of looking at these issues in isolation, </w:t>
      </w:r>
      <w:r w:rsidR="009B7859">
        <w:rPr>
          <w:rFonts w:ascii="Arial" w:eastAsia="Times New Roman" w:hAnsi="Arial" w:cs="Arial"/>
          <w:sz w:val="24"/>
          <w:szCs w:val="24"/>
          <w:lang w:eastAsia="en-AU"/>
        </w:rPr>
        <w:t>that sanctioning</w:t>
      </w:r>
      <w:r w:rsidR="00ED21DE" w:rsidRPr="00501CDD">
        <w:rPr>
          <w:rFonts w:ascii="Arial" w:eastAsia="Times New Roman" w:hAnsi="Arial" w:cs="Arial"/>
          <w:sz w:val="24"/>
          <w:szCs w:val="24"/>
          <w:lang w:eastAsia="en-AU"/>
        </w:rPr>
        <w:t xml:space="preserve"> providers with financial issues </w:t>
      </w:r>
      <w:r w:rsidR="009B7859">
        <w:rPr>
          <w:rFonts w:ascii="Arial" w:eastAsia="Times New Roman" w:hAnsi="Arial" w:cs="Arial"/>
          <w:sz w:val="24"/>
          <w:szCs w:val="24"/>
          <w:lang w:eastAsia="en-AU"/>
        </w:rPr>
        <w:t>could result</w:t>
      </w:r>
      <w:r w:rsidR="00ED21DE" w:rsidRPr="00501CDD">
        <w:rPr>
          <w:rFonts w:ascii="Arial" w:eastAsia="Times New Roman" w:hAnsi="Arial" w:cs="Arial"/>
          <w:sz w:val="24"/>
          <w:szCs w:val="24"/>
          <w:lang w:eastAsia="en-AU"/>
        </w:rPr>
        <w:t xml:space="preserve"> in the Department having to intervene to prevent forced closure. </w:t>
      </w:r>
    </w:p>
    <w:p w14:paraId="6092BB69" w14:textId="2B45E201" w:rsidR="00D733DD" w:rsidRPr="002722F8" w:rsidRDefault="00ED21DE" w:rsidP="00ED21DE">
      <w:pPr>
        <w:spacing w:before="120" w:after="120"/>
        <w:ind w:left="720"/>
        <w:textAlignment w:val="baseline"/>
        <w:rPr>
          <w:rFonts w:ascii="Arial" w:eastAsia="Times New Roman" w:hAnsi="Arial" w:cs="Arial"/>
          <w:i/>
          <w:iCs/>
          <w:color w:val="000000"/>
          <w:sz w:val="24"/>
          <w:szCs w:val="24"/>
          <w:shd w:val="clear" w:color="auto" w:fill="FFFFFF"/>
          <w:lang w:eastAsia="en-AU"/>
        </w:rPr>
      </w:pPr>
      <w:r w:rsidRPr="002722F8">
        <w:rPr>
          <w:rFonts w:ascii="Arial" w:eastAsia="Times New Roman" w:hAnsi="Arial" w:cs="Arial"/>
          <w:i/>
          <w:iCs/>
          <w:color w:val="000000"/>
          <w:sz w:val="24"/>
          <w:szCs w:val="24"/>
          <w:shd w:val="clear" w:color="auto" w:fill="FFFFFF"/>
          <w:lang w:eastAsia="en-AU"/>
        </w:rPr>
        <w:t xml:space="preserve">“The regulator should retain responsibility for prudential regulation because poor or deceptive financial management is often associated with poor quality </w:t>
      </w:r>
      <w:proofErr w:type="gramStart"/>
      <w:r w:rsidRPr="002722F8">
        <w:rPr>
          <w:rFonts w:ascii="Arial" w:eastAsia="Times New Roman" w:hAnsi="Arial" w:cs="Arial"/>
          <w:i/>
          <w:iCs/>
          <w:color w:val="000000"/>
          <w:sz w:val="24"/>
          <w:szCs w:val="24"/>
          <w:shd w:val="clear" w:color="auto" w:fill="FFFFFF"/>
          <w:lang w:eastAsia="en-AU"/>
        </w:rPr>
        <w:t>performance.“</w:t>
      </w:r>
      <w:proofErr w:type="gramEnd"/>
      <w:r w:rsidR="002722F8" w:rsidRPr="002722F8">
        <w:rPr>
          <w:rFonts w:ascii="Arial" w:eastAsia="Times New Roman" w:hAnsi="Arial" w:cs="Arial"/>
          <w:i/>
          <w:iCs/>
          <w:color w:val="000000"/>
          <w:sz w:val="24"/>
          <w:szCs w:val="24"/>
          <w:shd w:val="clear" w:color="auto" w:fill="FFFFFF"/>
          <w:lang w:eastAsia="en-AU"/>
        </w:rPr>
        <w:t xml:space="preserve"> (Peak body)</w:t>
      </w:r>
    </w:p>
    <w:p w14:paraId="568CD7A9" w14:textId="7BD18139" w:rsidR="00ED21DE" w:rsidRPr="00501CDD" w:rsidRDefault="00ED21DE" w:rsidP="00ED21DE">
      <w:pPr>
        <w:spacing w:before="120" w:after="120"/>
        <w:textAlignment w:val="baseline"/>
        <w:rPr>
          <w:rFonts w:ascii="Arial" w:hAnsi="Arial" w:cs="Arial"/>
          <w:sz w:val="24"/>
          <w:szCs w:val="24"/>
        </w:rPr>
      </w:pPr>
      <w:r>
        <w:rPr>
          <w:rFonts w:ascii="Arial" w:hAnsi="Arial" w:cs="Arial"/>
          <w:sz w:val="24"/>
          <w:szCs w:val="24"/>
        </w:rPr>
        <w:t>I see sign</w:t>
      </w:r>
      <w:r w:rsidR="00397B66">
        <w:rPr>
          <w:rFonts w:ascii="Arial" w:hAnsi="Arial" w:cs="Arial"/>
          <w:sz w:val="24"/>
          <w:szCs w:val="24"/>
        </w:rPr>
        <w:t>i</w:t>
      </w:r>
      <w:r>
        <w:rPr>
          <w:rFonts w:ascii="Arial" w:hAnsi="Arial" w:cs="Arial"/>
          <w:sz w:val="24"/>
          <w:szCs w:val="24"/>
        </w:rPr>
        <w:t>ficant</w:t>
      </w:r>
      <w:r w:rsidRPr="00501CDD">
        <w:rPr>
          <w:rFonts w:ascii="Arial" w:hAnsi="Arial" w:cs="Arial"/>
          <w:sz w:val="24"/>
          <w:szCs w:val="24"/>
        </w:rPr>
        <w:t xml:space="preserve"> benefits in joining a range of functions in the context of the new regulatory principles of risk-based regulation. Systemic issues </w:t>
      </w:r>
      <w:r>
        <w:rPr>
          <w:rFonts w:ascii="Arial" w:hAnsi="Arial" w:cs="Arial"/>
          <w:sz w:val="24"/>
          <w:szCs w:val="24"/>
        </w:rPr>
        <w:t xml:space="preserve">identified </w:t>
      </w:r>
      <w:r w:rsidRPr="00501CDD">
        <w:rPr>
          <w:rFonts w:ascii="Arial" w:hAnsi="Arial" w:cs="Arial"/>
          <w:sz w:val="24"/>
          <w:szCs w:val="24"/>
        </w:rPr>
        <w:t>across the organisation</w:t>
      </w:r>
      <w:r>
        <w:rPr>
          <w:rFonts w:ascii="Arial" w:hAnsi="Arial" w:cs="Arial"/>
          <w:sz w:val="24"/>
          <w:szCs w:val="24"/>
        </w:rPr>
        <w:t>, as well as t</w:t>
      </w:r>
      <w:r w:rsidRPr="00501CDD">
        <w:rPr>
          <w:rFonts w:ascii="Arial" w:hAnsi="Arial" w:cs="Arial"/>
          <w:sz w:val="24"/>
          <w:szCs w:val="24"/>
        </w:rPr>
        <w:t xml:space="preserve">he identification of patterns and trends </w:t>
      </w:r>
      <w:r>
        <w:rPr>
          <w:rFonts w:ascii="Arial" w:hAnsi="Arial" w:cs="Arial"/>
          <w:sz w:val="24"/>
          <w:szCs w:val="24"/>
        </w:rPr>
        <w:t xml:space="preserve">will, with the right skills and tools, </w:t>
      </w:r>
      <w:r w:rsidRPr="00501CDD">
        <w:rPr>
          <w:rFonts w:ascii="Arial" w:hAnsi="Arial" w:cs="Arial"/>
          <w:sz w:val="24"/>
          <w:szCs w:val="24"/>
        </w:rPr>
        <w:t>inform</w:t>
      </w:r>
      <w:r>
        <w:rPr>
          <w:rFonts w:ascii="Arial" w:hAnsi="Arial" w:cs="Arial"/>
          <w:sz w:val="24"/>
          <w:szCs w:val="24"/>
        </w:rPr>
        <w:t xml:space="preserve"> and shape</w:t>
      </w:r>
      <w:r w:rsidRPr="00501CDD">
        <w:rPr>
          <w:rFonts w:ascii="Arial" w:hAnsi="Arial" w:cs="Arial"/>
          <w:sz w:val="24"/>
          <w:szCs w:val="24"/>
        </w:rPr>
        <w:t xml:space="preserve"> intelligence-led targeted interventions. This joined</w:t>
      </w:r>
      <w:r>
        <w:rPr>
          <w:rFonts w:ascii="Arial" w:hAnsi="Arial" w:cs="Arial"/>
          <w:sz w:val="24"/>
          <w:szCs w:val="24"/>
        </w:rPr>
        <w:t>-</w:t>
      </w:r>
      <w:r w:rsidRPr="00501CDD">
        <w:rPr>
          <w:rFonts w:ascii="Arial" w:hAnsi="Arial" w:cs="Arial"/>
          <w:sz w:val="24"/>
          <w:szCs w:val="24"/>
        </w:rPr>
        <w:t xml:space="preserve">up approach </w:t>
      </w:r>
      <w:r>
        <w:rPr>
          <w:rFonts w:ascii="Arial" w:hAnsi="Arial" w:cs="Arial"/>
          <w:sz w:val="24"/>
          <w:szCs w:val="24"/>
        </w:rPr>
        <w:t>better enables</w:t>
      </w:r>
      <w:r w:rsidRPr="00501CDD">
        <w:rPr>
          <w:rFonts w:ascii="Arial" w:hAnsi="Arial" w:cs="Arial"/>
          <w:sz w:val="24"/>
          <w:szCs w:val="24"/>
        </w:rPr>
        <w:t xml:space="preserve"> the </w:t>
      </w:r>
      <w:r>
        <w:rPr>
          <w:rFonts w:ascii="Arial" w:hAnsi="Arial" w:cs="Arial"/>
          <w:sz w:val="24"/>
          <w:szCs w:val="24"/>
        </w:rPr>
        <w:t>Commission</w:t>
      </w:r>
      <w:r w:rsidRPr="00501CDD">
        <w:rPr>
          <w:rFonts w:ascii="Arial" w:hAnsi="Arial" w:cs="Arial"/>
          <w:sz w:val="24"/>
          <w:szCs w:val="24"/>
        </w:rPr>
        <w:t xml:space="preserve"> to build sector capability</w:t>
      </w:r>
      <w:r>
        <w:rPr>
          <w:rFonts w:ascii="Arial" w:hAnsi="Arial" w:cs="Arial"/>
          <w:sz w:val="24"/>
          <w:szCs w:val="24"/>
        </w:rPr>
        <w:t>, which is a key goal</w:t>
      </w:r>
      <w:r w:rsidRPr="00501CDD">
        <w:rPr>
          <w:rFonts w:ascii="Arial" w:hAnsi="Arial" w:cs="Arial"/>
          <w:sz w:val="24"/>
          <w:szCs w:val="24"/>
        </w:rPr>
        <w:t xml:space="preserve">. </w:t>
      </w:r>
    </w:p>
    <w:p w14:paraId="743A5378" w14:textId="794CD018" w:rsidR="00ED21DE" w:rsidRPr="00501CDD" w:rsidRDefault="00ED21DE" w:rsidP="00ED21DE">
      <w:pPr>
        <w:spacing w:before="120" w:after="120"/>
        <w:textAlignment w:val="baseline"/>
        <w:rPr>
          <w:rFonts w:ascii="Arial" w:eastAsia="Times New Roman" w:hAnsi="Arial" w:cs="Arial"/>
          <w:sz w:val="24"/>
          <w:szCs w:val="24"/>
          <w:lang w:eastAsia="en-AU"/>
        </w:rPr>
      </w:pPr>
      <w:r>
        <w:rPr>
          <w:rFonts w:ascii="Arial" w:eastAsia="Times New Roman" w:hAnsi="Arial" w:cs="Arial"/>
          <w:sz w:val="24"/>
          <w:szCs w:val="24"/>
          <w:lang w:eastAsia="en-AU"/>
        </w:rPr>
        <w:t xml:space="preserve">On balance, therefore, I support the Commission retaining all existing functions. </w:t>
      </w:r>
      <w:r w:rsidR="002722F8">
        <w:rPr>
          <w:rFonts w:ascii="Arial" w:eastAsia="Times New Roman" w:hAnsi="Arial" w:cs="Arial"/>
          <w:sz w:val="24"/>
          <w:szCs w:val="24"/>
          <w:lang w:eastAsia="en-AU"/>
        </w:rPr>
        <w:t>The</w:t>
      </w:r>
      <w:r>
        <w:rPr>
          <w:rFonts w:ascii="Arial" w:eastAsia="Times New Roman" w:hAnsi="Arial" w:cs="Arial"/>
          <w:sz w:val="24"/>
          <w:szCs w:val="24"/>
          <w:lang w:eastAsia="en-AU"/>
        </w:rPr>
        <w:t xml:space="preserve"> recommendations around better integration of functions through structure and culture changes, enhanced leadership and internal governance arrangements will go a long way to addressing concerns that have been raised.</w:t>
      </w:r>
    </w:p>
    <w:p w14:paraId="7CA12411" w14:textId="29ED1741" w:rsidR="00ED21DE" w:rsidRPr="002E6DE6" w:rsidRDefault="00ED21DE" w:rsidP="007D6517">
      <w:pPr>
        <w:keepLines/>
        <w:spacing w:before="120" w:after="120"/>
        <w:textAlignment w:val="baseline"/>
        <w:rPr>
          <w:rFonts w:ascii="Arial" w:eastAsia="Times New Roman" w:hAnsi="Arial" w:cs="Arial"/>
          <w:sz w:val="24"/>
          <w:szCs w:val="24"/>
          <w:lang w:eastAsia="en-AU"/>
        </w:rPr>
      </w:pPr>
      <w:r>
        <w:rPr>
          <w:rFonts w:ascii="Arial" w:hAnsi="Arial" w:cs="Arial"/>
          <w:sz w:val="24"/>
          <w:szCs w:val="24"/>
        </w:rPr>
        <w:t>However, I am recommending that before any additional functions are added,</w:t>
      </w:r>
      <w:r w:rsidR="00694CAC">
        <w:rPr>
          <w:rFonts w:ascii="Arial" w:hAnsi="Arial" w:cs="Arial"/>
          <w:sz w:val="24"/>
          <w:szCs w:val="24"/>
        </w:rPr>
        <w:t xml:space="preserve"> bar those already agreed,</w:t>
      </w:r>
      <w:r>
        <w:rPr>
          <w:rFonts w:ascii="Arial" w:hAnsi="Arial" w:cs="Arial"/>
          <w:sz w:val="24"/>
          <w:szCs w:val="24"/>
        </w:rPr>
        <w:t xml:space="preserve"> the Commission should be supported to bed down recent new functions and given some time to</w:t>
      </w:r>
      <w:r>
        <w:rPr>
          <w:rFonts w:ascii="Arial" w:hAnsi="Arial" w:cs="Arial"/>
          <w:color w:val="000000"/>
          <w:sz w:val="24"/>
          <w:szCs w:val="24"/>
        </w:rPr>
        <w:t xml:space="preserve"> lift internal capability and implement recommendations from this review.</w:t>
      </w:r>
    </w:p>
    <w:p w14:paraId="4CF19B95" w14:textId="6DC57738" w:rsidR="00ED21DE" w:rsidRDefault="00ED21DE" w:rsidP="00ED21DE">
      <w:pPr>
        <w:spacing w:before="120" w:after="120"/>
      </w:pPr>
      <w:r w:rsidRPr="005D0AF3">
        <w:rPr>
          <w:rFonts w:ascii="Arial" w:hAnsi="Arial" w:cs="Arial"/>
          <w:b/>
          <w:bCs/>
          <w:sz w:val="24"/>
          <w:szCs w:val="24"/>
        </w:rPr>
        <w:lastRenderedPageBreak/>
        <w:t xml:space="preserve">Recommendation </w:t>
      </w:r>
      <w:r w:rsidR="00D560C3">
        <w:rPr>
          <w:rFonts w:ascii="Arial" w:hAnsi="Arial" w:cs="Arial"/>
          <w:b/>
          <w:bCs/>
          <w:sz w:val="24"/>
          <w:szCs w:val="24"/>
        </w:rPr>
        <w:t>5.11</w:t>
      </w:r>
      <w:r w:rsidRPr="005D0AF3">
        <w:rPr>
          <w:rFonts w:ascii="Arial" w:hAnsi="Arial" w:cs="Arial"/>
          <w:b/>
          <w:bCs/>
          <w:sz w:val="24"/>
          <w:szCs w:val="24"/>
        </w:rPr>
        <w:t xml:space="preserve">: </w:t>
      </w:r>
      <w:r w:rsidRPr="005D0AF3">
        <w:rPr>
          <w:rFonts w:ascii="Arial" w:hAnsi="Arial" w:cs="Arial"/>
          <w:sz w:val="24"/>
          <w:szCs w:val="24"/>
        </w:rPr>
        <w:t xml:space="preserve">No new functions </w:t>
      </w:r>
      <w:r w:rsidR="00224303" w:rsidRPr="005D0AF3">
        <w:rPr>
          <w:rFonts w:ascii="Arial" w:hAnsi="Arial" w:cs="Arial"/>
          <w:sz w:val="24"/>
          <w:szCs w:val="24"/>
        </w:rPr>
        <w:t xml:space="preserve">should </w:t>
      </w:r>
      <w:r w:rsidRPr="005D0AF3">
        <w:rPr>
          <w:rFonts w:ascii="Arial" w:hAnsi="Arial" w:cs="Arial"/>
          <w:sz w:val="24"/>
          <w:szCs w:val="24"/>
        </w:rPr>
        <w:t>be added to the Commission before the commencement of the new Aged Care Act.</w:t>
      </w:r>
    </w:p>
    <w:p w14:paraId="7F25C729" w14:textId="705FD0ED" w:rsidR="003A3372" w:rsidRPr="008E7890" w:rsidRDefault="003A3372" w:rsidP="000F2A86">
      <w:pPr>
        <w:spacing w:before="120" w:line="240" w:lineRule="auto"/>
        <w:rPr>
          <w:rFonts w:ascii="Arial" w:hAnsi="Arial" w:cs="Arial"/>
          <w:sz w:val="24"/>
          <w:szCs w:val="24"/>
        </w:rPr>
      </w:pPr>
      <w:r>
        <w:rPr>
          <w:rFonts w:ascii="Arial" w:hAnsi="Arial" w:cs="Arial"/>
          <w:b/>
          <w:bCs/>
          <w:sz w:val="32"/>
          <w:szCs w:val="32"/>
        </w:rPr>
        <w:br w:type="page"/>
      </w:r>
    </w:p>
    <w:p w14:paraId="394D52E0" w14:textId="4B7B961B" w:rsidR="00202A0C" w:rsidRPr="000E132D" w:rsidRDefault="00D2238A" w:rsidP="000E132D">
      <w:pPr>
        <w:pStyle w:val="Heading3"/>
      </w:pPr>
      <w:bookmarkStart w:id="24" w:name="_Toc131163555"/>
      <w:bookmarkStart w:id="25" w:name="_Hlk129342115"/>
      <w:r w:rsidRPr="000E132D">
        <w:lastRenderedPageBreak/>
        <w:t>CHAPTER 6: RETAINING THE COMMISSION IN ITS CURRENT FORM</w:t>
      </w:r>
      <w:bookmarkEnd w:id="24"/>
    </w:p>
    <w:bookmarkEnd w:id="25"/>
    <w:p w14:paraId="667121F5" w14:textId="07CF4CB2" w:rsidR="00202A0C" w:rsidRDefault="00202A0C" w:rsidP="00202A0C">
      <w:pPr>
        <w:spacing w:before="120" w:after="120"/>
        <w:rPr>
          <w:rFonts w:ascii="Arial" w:hAnsi="Arial" w:cs="Arial"/>
          <w:sz w:val="24"/>
          <w:szCs w:val="24"/>
        </w:rPr>
      </w:pPr>
      <w:r w:rsidRPr="00501CDD">
        <w:rPr>
          <w:rFonts w:ascii="Arial" w:hAnsi="Arial" w:cs="Arial"/>
          <w:sz w:val="24"/>
          <w:szCs w:val="24"/>
        </w:rPr>
        <w:t xml:space="preserve">Under </w:t>
      </w:r>
      <w:r>
        <w:rPr>
          <w:rFonts w:ascii="Arial" w:hAnsi="Arial" w:cs="Arial"/>
          <w:sz w:val="24"/>
          <w:szCs w:val="24"/>
        </w:rPr>
        <w:t>the</w:t>
      </w:r>
      <w:r w:rsidRPr="00501CDD">
        <w:rPr>
          <w:rFonts w:ascii="Arial" w:hAnsi="Arial" w:cs="Arial"/>
          <w:sz w:val="24"/>
          <w:szCs w:val="24"/>
        </w:rPr>
        <w:t xml:space="preserve"> </w:t>
      </w:r>
      <w:r w:rsidR="00A00FB7">
        <w:rPr>
          <w:rFonts w:ascii="Arial" w:hAnsi="Arial" w:cs="Arial"/>
          <w:sz w:val="24"/>
          <w:szCs w:val="24"/>
        </w:rPr>
        <w:t>Review T</w:t>
      </w:r>
      <w:r w:rsidRPr="00501CDD">
        <w:rPr>
          <w:rFonts w:ascii="Arial" w:hAnsi="Arial" w:cs="Arial"/>
          <w:sz w:val="24"/>
          <w:szCs w:val="24"/>
        </w:rPr>
        <w:t xml:space="preserve">erms of </w:t>
      </w:r>
      <w:r w:rsidR="00A00FB7">
        <w:rPr>
          <w:rFonts w:ascii="Arial" w:hAnsi="Arial" w:cs="Arial"/>
          <w:sz w:val="24"/>
          <w:szCs w:val="24"/>
        </w:rPr>
        <w:t>R</w:t>
      </w:r>
      <w:r w:rsidRPr="00501CDD">
        <w:rPr>
          <w:rFonts w:ascii="Arial" w:hAnsi="Arial" w:cs="Arial"/>
          <w:sz w:val="24"/>
          <w:szCs w:val="24"/>
        </w:rPr>
        <w:t>eference,</w:t>
      </w:r>
      <w:r>
        <w:rPr>
          <w:rFonts w:ascii="Arial" w:hAnsi="Arial" w:cs="Arial"/>
          <w:sz w:val="24"/>
          <w:szCs w:val="24"/>
        </w:rPr>
        <w:t xml:space="preserve"> I was</w:t>
      </w:r>
      <w:r w:rsidRPr="00501CDD">
        <w:rPr>
          <w:rFonts w:ascii="Arial" w:hAnsi="Arial" w:cs="Arial"/>
          <w:sz w:val="24"/>
          <w:szCs w:val="24"/>
        </w:rPr>
        <w:t xml:space="preserve"> tasked to </w:t>
      </w:r>
      <w:r>
        <w:rPr>
          <w:rFonts w:ascii="Arial" w:hAnsi="Arial" w:cs="Arial"/>
          <w:sz w:val="24"/>
          <w:szCs w:val="24"/>
        </w:rPr>
        <w:t>‘</w:t>
      </w:r>
      <w:r w:rsidRPr="00501CDD">
        <w:rPr>
          <w:rFonts w:ascii="Arial" w:hAnsi="Arial" w:cs="Arial"/>
          <w:sz w:val="24"/>
          <w:szCs w:val="24"/>
        </w:rPr>
        <w:t xml:space="preserve">provide options for the design, form, structure, governance, powers, workforce, </w:t>
      </w:r>
      <w:proofErr w:type="gramStart"/>
      <w:r w:rsidRPr="00501CDD">
        <w:rPr>
          <w:rFonts w:ascii="Arial" w:hAnsi="Arial" w:cs="Arial"/>
          <w:sz w:val="24"/>
          <w:szCs w:val="24"/>
        </w:rPr>
        <w:t>resourcing</w:t>
      </w:r>
      <w:proofErr w:type="gramEnd"/>
      <w:r w:rsidRPr="00501CDD">
        <w:rPr>
          <w:rFonts w:ascii="Arial" w:hAnsi="Arial" w:cs="Arial"/>
          <w:sz w:val="24"/>
          <w:szCs w:val="24"/>
        </w:rPr>
        <w:t xml:space="preserve"> and proposed timing of establishment of a culturally sensitive and capable new aged care regulatory Authority to ensure effective performance of the new authority for its existing and additional responsibilities</w:t>
      </w:r>
      <w:r>
        <w:rPr>
          <w:rFonts w:ascii="Arial" w:hAnsi="Arial" w:cs="Arial"/>
          <w:sz w:val="24"/>
          <w:szCs w:val="24"/>
        </w:rPr>
        <w:t xml:space="preserve">’. This </w:t>
      </w:r>
      <w:r w:rsidR="00A00FB7">
        <w:rPr>
          <w:rFonts w:ascii="Arial" w:hAnsi="Arial" w:cs="Arial"/>
          <w:sz w:val="24"/>
          <w:szCs w:val="24"/>
        </w:rPr>
        <w:t>C</w:t>
      </w:r>
      <w:r>
        <w:rPr>
          <w:rFonts w:ascii="Arial" w:hAnsi="Arial" w:cs="Arial"/>
          <w:sz w:val="24"/>
          <w:szCs w:val="24"/>
        </w:rPr>
        <w:t>hapter sets out the factors I have considered, and the position I have arrived</w:t>
      </w:r>
      <w:r w:rsidR="00A00FB7">
        <w:rPr>
          <w:rFonts w:ascii="Arial" w:hAnsi="Arial" w:cs="Arial"/>
          <w:sz w:val="24"/>
          <w:szCs w:val="24"/>
        </w:rPr>
        <w:t xml:space="preserve"> at</w:t>
      </w:r>
      <w:r>
        <w:rPr>
          <w:rFonts w:ascii="Arial" w:hAnsi="Arial" w:cs="Arial"/>
          <w:sz w:val="24"/>
          <w:szCs w:val="24"/>
        </w:rPr>
        <w:t>.</w:t>
      </w:r>
    </w:p>
    <w:p w14:paraId="1D3091E4" w14:textId="77777777" w:rsidR="00202A0C" w:rsidRPr="002E6DE6" w:rsidRDefault="00202A0C" w:rsidP="00202A0C">
      <w:pPr>
        <w:spacing w:before="120" w:after="120"/>
        <w:rPr>
          <w:rFonts w:ascii="Arial" w:hAnsi="Arial" w:cs="Arial"/>
          <w:i/>
          <w:iCs/>
          <w:sz w:val="24"/>
          <w:szCs w:val="24"/>
        </w:rPr>
      </w:pPr>
      <w:r w:rsidRPr="002E6DE6">
        <w:rPr>
          <w:rFonts w:ascii="Arial" w:hAnsi="Arial" w:cs="Arial"/>
          <w:i/>
          <w:iCs/>
          <w:sz w:val="24"/>
          <w:szCs w:val="24"/>
        </w:rPr>
        <w:t>Structures for regulators</w:t>
      </w:r>
    </w:p>
    <w:p w14:paraId="6B59A228" w14:textId="0BFD9549" w:rsidR="00202A0C" w:rsidRPr="00501CDD" w:rsidRDefault="00202A0C" w:rsidP="00202A0C">
      <w:pPr>
        <w:spacing w:before="120" w:after="120" w:line="240" w:lineRule="auto"/>
        <w:textAlignment w:val="baseline"/>
        <w:rPr>
          <w:rFonts w:ascii="Arial" w:eastAsia="Times New Roman" w:hAnsi="Arial" w:cs="Arial"/>
          <w:sz w:val="24"/>
          <w:szCs w:val="24"/>
          <w:lang w:eastAsia="en-AU"/>
        </w:rPr>
      </w:pPr>
      <w:proofErr w:type="gramStart"/>
      <w:r w:rsidRPr="00501CDD">
        <w:rPr>
          <w:rFonts w:ascii="Arial" w:eastAsia="Times New Roman" w:hAnsi="Arial" w:cs="Arial"/>
          <w:sz w:val="24"/>
          <w:szCs w:val="24"/>
          <w:lang w:eastAsia="en-AU"/>
        </w:rPr>
        <w:t>A number of</w:t>
      </w:r>
      <w:proofErr w:type="gramEnd"/>
      <w:r w:rsidRPr="00501CDD">
        <w:rPr>
          <w:rFonts w:ascii="Arial" w:eastAsia="Times New Roman" w:hAnsi="Arial" w:cs="Arial"/>
          <w:sz w:val="24"/>
          <w:szCs w:val="24"/>
          <w:lang w:eastAsia="en-AU"/>
        </w:rPr>
        <w:t xml:space="preserve"> policy and regulatory imperatives underpin the selection of appropriate governance structures and other arrangements for </w:t>
      </w:r>
      <w:r>
        <w:rPr>
          <w:rFonts w:ascii="Arial" w:eastAsia="Times New Roman" w:hAnsi="Arial" w:cs="Arial"/>
          <w:sz w:val="24"/>
          <w:szCs w:val="24"/>
          <w:lang w:eastAsia="en-AU"/>
        </w:rPr>
        <w:t>Australian Government</w:t>
      </w:r>
      <w:r w:rsidRPr="00501CDD">
        <w:rPr>
          <w:rFonts w:ascii="Arial" w:eastAsia="Times New Roman" w:hAnsi="Arial" w:cs="Arial"/>
          <w:sz w:val="24"/>
          <w:szCs w:val="24"/>
          <w:lang w:eastAsia="en-AU"/>
        </w:rPr>
        <w:t xml:space="preserve"> public sector bodies. The OECD</w:t>
      </w:r>
      <w:r w:rsidR="00F7295A">
        <w:rPr>
          <w:rStyle w:val="FootnoteReference"/>
          <w:rFonts w:ascii="Arial" w:eastAsia="Times New Roman" w:hAnsi="Arial" w:cs="Arial"/>
          <w:sz w:val="24"/>
          <w:szCs w:val="24"/>
          <w:lang w:eastAsia="en-AU"/>
        </w:rPr>
        <w:footnoteReference w:id="104"/>
      </w:r>
      <w:r w:rsidR="00F7295A">
        <w:rPr>
          <w:rFonts w:ascii="Arial" w:eastAsia="Times New Roman" w:hAnsi="Arial" w:cs="Arial"/>
          <w:sz w:val="24"/>
          <w:szCs w:val="24"/>
          <w:lang w:eastAsia="en-AU"/>
        </w:rPr>
        <w:t xml:space="preserve"> </w:t>
      </w:r>
      <w:r w:rsidRPr="00501CDD">
        <w:rPr>
          <w:rFonts w:ascii="Arial" w:eastAsia="Times New Roman" w:hAnsi="Arial" w:cs="Arial"/>
          <w:sz w:val="24"/>
          <w:szCs w:val="24"/>
          <w:lang w:eastAsia="en-AU"/>
        </w:rPr>
        <w:t xml:space="preserve">notes that a regulator requires governance arrangements that ensure its effective functioning, preserve its regulatory </w:t>
      </w:r>
      <w:proofErr w:type="gramStart"/>
      <w:r w:rsidRPr="00501CDD">
        <w:rPr>
          <w:rFonts w:ascii="Arial" w:eastAsia="Times New Roman" w:hAnsi="Arial" w:cs="Arial"/>
          <w:sz w:val="24"/>
          <w:szCs w:val="24"/>
          <w:lang w:eastAsia="en-AU"/>
        </w:rPr>
        <w:t>integrity</w:t>
      </w:r>
      <w:proofErr w:type="gramEnd"/>
      <w:r w:rsidRPr="00501CDD">
        <w:rPr>
          <w:rFonts w:ascii="Arial" w:eastAsia="Times New Roman" w:hAnsi="Arial" w:cs="Arial"/>
          <w:sz w:val="24"/>
          <w:szCs w:val="24"/>
          <w:lang w:eastAsia="en-AU"/>
        </w:rPr>
        <w:t xml:space="preserve"> and delivers the regulatory objectives of its mandate. The framework identifies three main governance structures for independent regulators:</w:t>
      </w:r>
    </w:p>
    <w:p w14:paraId="68AEB990" w14:textId="1A54B902" w:rsidR="00202A0C" w:rsidRPr="008E7890" w:rsidRDefault="00D560C3" w:rsidP="001750D5">
      <w:pPr>
        <w:numPr>
          <w:ilvl w:val="0"/>
          <w:numId w:val="38"/>
        </w:numPr>
        <w:spacing w:before="120" w:after="120" w:line="240" w:lineRule="auto"/>
        <w:ind w:left="357" w:hanging="357"/>
        <w:textAlignment w:val="baseline"/>
        <w:rPr>
          <w:rFonts w:ascii="Arial" w:eastAsia="Times New Roman" w:hAnsi="Arial" w:cs="Arial"/>
          <w:sz w:val="24"/>
          <w:szCs w:val="24"/>
          <w:lang w:eastAsia="en-AU"/>
        </w:rPr>
      </w:pPr>
      <w:r>
        <w:rPr>
          <w:rFonts w:ascii="Arial" w:eastAsia="Times New Roman" w:hAnsi="Arial" w:cs="Arial"/>
          <w:sz w:val="24"/>
          <w:szCs w:val="24"/>
          <w:lang w:eastAsia="en-AU"/>
        </w:rPr>
        <w:t>s</w:t>
      </w:r>
      <w:r w:rsidR="00202A0C" w:rsidRPr="00501CDD">
        <w:rPr>
          <w:rFonts w:ascii="Arial" w:eastAsia="Times New Roman" w:hAnsi="Arial" w:cs="Arial"/>
          <w:sz w:val="24"/>
          <w:szCs w:val="24"/>
          <w:lang w:eastAsia="en-AU"/>
        </w:rPr>
        <w:t xml:space="preserve">trategic oversight </w:t>
      </w:r>
      <w:r>
        <w:rPr>
          <w:rFonts w:ascii="Arial" w:eastAsia="Times New Roman" w:hAnsi="Arial" w:cs="Arial"/>
          <w:sz w:val="24"/>
          <w:szCs w:val="24"/>
          <w:lang w:eastAsia="en-AU"/>
        </w:rPr>
        <w:t xml:space="preserve">by a Board </w:t>
      </w:r>
      <w:r w:rsidR="00202A0C" w:rsidRPr="00501CDD">
        <w:rPr>
          <w:rFonts w:ascii="Arial" w:eastAsia="Times New Roman" w:hAnsi="Arial" w:cs="Arial"/>
          <w:sz w:val="24"/>
          <w:szCs w:val="24"/>
          <w:lang w:eastAsia="en-AU"/>
        </w:rPr>
        <w:t>with regulatory decisions delegated to Chief Executive Officer (CEO) and staff</w:t>
      </w:r>
    </w:p>
    <w:p w14:paraId="1211ABD9" w14:textId="3F4A5100" w:rsidR="00202A0C" w:rsidRPr="008E7890" w:rsidRDefault="00D560C3" w:rsidP="001750D5">
      <w:pPr>
        <w:numPr>
          <w:ilvl w:val="0"/>
          <w:numId w:val="38"/>
        </w:numPr>
        <w:spacing w:before="120" w:after="120" w:line="240" w:lineRule="auto"/>
        <w:ind w:left="357" w:hanging="357"/>
        <w:textAlignment w:val="baseline"/>
        <w:rPr>
          <w:rFonts w:ascii="Arial" w:eastAsia="Times New Roman" w:hAnsi="Arial" w:cs="Arial"/>
          <w:sz w:val="24"/>
          <w:szCs w:val="24"/>
          <w:lang w:eastAsia="en-AU"/>
        </w:rPr>
      </w:pPr>
      <w:r>
        <w:rPr>
          <w:rFonts w:ascii="Arial" w:eastAsia="Times New Roman" w:hAnsi="Arial" w:cs="Arial"/>
          <w:sz w:val="24"/>
          <w:szCs w:val="24"/>
          <w:lang w:eastAsia="en-AU"/>
        </w:rPr>
        <w:t>t</w:t>
      </w:r>
      <w:r w:rsidR="00202A0C" w:rsidRPr="00501CDD">
        <w:rPr>
          <w:rFonts w:ascii="Arial" w:eastAsia="Times New Roman" w:hAnsi="Arial" w:cs="Arial"/>
          <w:sz w:val="24"/>
          <w:szCs w:val="24"/>
          <w:lang w:eastAsia="en-AU"/>
        </w:rPr>
        <w:t xml:space="preserve">he Board makes </w:t>
      </w:r>
      <w:r>
        <w:rPr>
          <w:rFonts w:ascii="Arial" w:eastAsia="Times New Roman" w:hAnsi="Arial" w:cs="Arial"/>
          <w:sz w:val="24"/>
          <w:szCs w:val="24"/>
          <w:lang w:eastAsia="en-AU"/>
        </w:rPr>
        <w:t>most</w:t>
      </w:r>
      <w:r w:rsidRPr="00501CDD">
        <w:rPr>
          <w:rFonts w:ascii="Arial" w:eastAsia="Times New Roman" w:hAnsi="Arial" w:cs="Arial"/>
          <w:sz w:val="24"/>
          <w:szCs w:val="24"/>
          <w:lang w:eastAsia="en-AU"/>
        </w:rPr>
        <w:t xml:space="preserve"> </w:t>
      </w:r>
      <w:r w:rsidR="00202A0C" w:rsidRPr="00501CDD">
        <w:rPr>
          <w:rFonts w:ascii="Arial" w:eastAsia="Times New Roman" w:hAnsi="Arial" w:cs="Arial"/>
          <w:sz w:val="24"/>
          <w:szCs w:val="24"/>
          <w:lang w:eastAsia="en-AU"/>
        </w:rPr>
        <w:t>regulatory decisions</w:t>
      </w:r>
      <w:r w:rsidR="00A00FB7">
        <w:rPr>
          <w:rFonts w:ascii="Arial" w:eastAsia="Times New Roman" w:hAnsi="Arial" w:cs="Arial"/>
          <w:sz w:val="24"/>
          <w:szCs w:val="24"/>
          <w:lang w:eastAsia="en-AU"/>
        </w:rPr>
        <w:t>, and</w:t>
      </w:r>
    </w:p>
    <w:p w14:paraId="4AFA51D6" w14:textId="21124D96" w:rsidR="00202A0C" w:rsidRPr="00501CDD" w:rsidRDefault="00202A0C" w:rsidP="001750D5">
      <w:pPr>
        <w:numPr>
          <w:ilvl w:val="0"/>
          <w:numId w:val="38"/>
        </w:numPr>
        <w:spacing w:before="120" w:after="120" w:line="240" w:lineRule="auto"/>
        <w:ind w:left="357" w:hanging="357"/>
        <w:textAlignment w:val="baseline"/>
        <w:rPr>
          <w:rFonts w:ascii="Arial" w:eastAsia="Times New Roman" w:hAnsi="Arial" w:cs="Arial"/>
          <w:sz w:val="24"/>
          <w:szCs w:val="24"/>
          <w:lang w:eastAsia="en-AU"/>
        </w:rPr>
      </w:pPr>
      <w:r w:rsidRPr="00501CDD">
        <w:rPr>
          <w:rFonts w:ascii="Arial" w:eastAsia="Times New Roman" w:hAnsi="Arial" w:cs="Arial"/>
          <w:sz w:val="24"/>
          <w:szCs w:val="24"/>
          <w:lang w:eastAsia="en-AU"/>
        </w:rPr>
        <w:t>an individual makes substantive regulatory decisions and delegates other decisions to staff.</w:t>
      </w:r>
    </w:p>
    <w:p w14:paraId="00226CD1" w14:textId="56372C23" w:rsidR="00202A0C" w:rsidRDefault="00202A0C" w:rsidP="00202A0C">
      <w:pPr>
        <w:spacing w:before="120" w:after="120"/>
        <w:rPr>
          <w:rFonts w:ascii="Arial" w:hAnsi="Arial" w:cs="Arial"/>
          <w:sz w:val="24"/>
          <w:szCs w:val="24"/>
        </w:rPr>
      </w:pPr>
      <w:r w:rsidRPr="00501CDD">
        <w:rPr>
          <w:rFonts w:ascii="Arial" w:hAnsi="Arial" w:cs="Arial"/>
          <w:sz w:val="24"/>
          <w:szCs w:val="24"/>
        </w:rPr>
        <w:t xml:space="preserve">All Commonwealth entities are governed by an accountable authority that is the person or group of persons that has responsibility and control over the entity’s operations. The accountable authority is designated in an Act or </w:t>
      </w:r>
      <w:r>
        <w:rPr>
          <w:rFonts w:ascii="Arial" w:hAnsi="Arial" w:cs="Arial"/>
          <w:sz w:val="24"/>
          <w:szCs w:val="24"/>
        </w:rPr>
        <w:t>the</w:t>
      </w:r>
      <w:r w:rsidRPr="00501CDD">
        <w:rPr>
          <w:rFonts w:ascii="Arial" w:hAnsi="Arial" w:cs="Arial"/>
          <w:sz w:val="24"/>
          <w:szCs w:val="24"/>
        </w:rPr>
        <w:t xml:space="preserve"> </w:t>
      </w:r>
      <w:r>
        <w:rPr>
          <w:rFonts w:ascii="Arial" w:hAnsi="Arial" w:cs="Arial"/>
          <w:sz w:val="24"/>
          <w:szCs w:val="24"/>
        </w:rPr>
        <w:t>Public Performance Public Governance Performance and Accountability (</w:t>
      </w:r>
      <w:r w:rsidRPr="00501CDD">
        <w:rPr>
          <w:rFonts w:ascii="Arial" w:hAnsi="Arial" w:cs="Arial"/>
          <w:sz w:val="24"/>
          <w:szCs w:val="24"/>
        </w:rPr>
        <w:t>PGPA</w:t>
      </w:r>
      <w:r>
        <w:rPr>
          <w:rFonts w:ascii="Arial" w:hAnsi="Arial" w:cs="Arial"/>
          <w:sz w:val="24"/>
          <w:szCs w:val="24"/>
        </w:rPr>
        <w:t>)</w:t>
      </w:r>
      <w:r w:rsidRPr="00501CDD">
        <w:rPr>
          <w:rFonts w:ascii="Arial" w:hAnsi="Arial" w:cs="Arial"/>
          <w:sz w:val="24"/>
          <w:szCs w:val="24"/>
        </w:rPr>
        <w:t xml:space="preserve"> Rule. In governing their entity, the accountable authority has oversight of decisions made to ensure proper use of resources, financial sustainability, the performance of the entity in achieving its purposes and the establishment of appropriate systems of risk management and internal control.</w:t>
      </w:r>
      <w:r w:rsidR="00F7295A">
        <w:rPr>
          <w:rStyle w:val="FootnoteReference"/>
          <w:rFonts w:ascii="Arial" w:hAnsi="Arial" w:cs="Arial"/>
          <w:sz w:val="24"/>
          <w:szCs w:val="24"/>
        </w:rPr>
        <w:footnoteReference w:id="105"/>
      </w:r>
    </w:p>
    <w:p w14:paraId="43B53AE2" w14:textId="1DA520D8" w:rsidR="00202A0C" w:rsidRPr="00501CDD" w:rsidRDefault="00202A0C" w:rsidP="00202A0C">
      <w:pPr>
        <w:spacing w:before="120" w:after="120"/>
        <w:rPr>
          <w:rFonts w:ascii="Arial" w:hAnsi="Arial" w:cs="Arial"/>
          <w:sz w:val="24"/>
          <w:szCs w:val="24"/>
        </w:rPr>
      </w:pPr>
      <w:r w:rsidRPr="00501CDD">
        <w:rPr>
          <w:rFonts w:ascii="Arial" w:hAnsi="Arial" w:cs="Arial"/>
          <w:sz w:val="24"/>
          <w:szCs w:val="24"/>
        </w:rPr>
        <w:t>Corporate boards are generally, but not exclusively, reserved for commercially focused bodies that are legally and financially at arm’s length from government</w:t>
      </w:r>
      <w:r w:rsidR="00D560C3">
        <w:rPr>
          <w:rFonts w:ascii="Arial" w:hAnsi="Arial" w:cs="Arial"/>
          <w:sz w:val="24"/>
          <w:szCs w:val="24"/>
        </w:rPr>
        <w:t xml:space="preserve"> such as Australia Post</w:t>
      </w:r>
      <w:r>
        <w:rPr>
          <w:rFonts w:ascii="Arial" w:hAnsi="Arial" w:cs="Arial"/>
          <w:sz w:val="24"/>
          <w:szCs w:val="24"/>
        </w:rPr>
        <w:t>.</w:t>
      </w:r>
      <w:r w:rsidRPr="00501CDD">
        <w:rPr>
          <w:rFonts w:ascii="Arial" w:hAnsi="Arial" w:cs="Arial"/>
          <w:sz w:val="24"/>
          <w:szCs w:val="24"/>
        </w:rPr>
        <w:t xml:space="preserve"> D</w:t>
      </w:r>
      <w:r w:rsidR="00A00FB7">
        <w:rPr>
          <w:rFonts w:ascii="Arial" w:hAnsi="Arial" w:cs="Arial"/>
          <w:sz w:val="24"/>
          <w:szCs w:val="24"/>
        </w:rPr>
        <w:t xml:space="preserve">epartment of Finance </w:t>
      </w:r>
      <w:r w:rsidR="00A81F6E">
        <w:rPr>
          <w:rFonts w:ascii="Arial" w:hAnsi="Arial" w:cs="Arial"/>
          <w:sz w:val="24"/>
          <w:szCs w:val="24"/>
        </w:rPr>
        <w:t>(</w:t>
      </w:r>
      <w:proofErr w:type="spellStart"/>
      <w:r w:rsidR="00A81F6E">
        <w:rPr>
          <w:rFonts w:ascii="Arial" w:hAnsi="Arial" w:cs="Arial"/>
          <w:sz w:val="24"/>
          <w:szCs w:val="24"/>
        </w:rPr>
        <w:t>DoF</w:t>
      </w:r>
      <w:proofErr w:type="spellEnd"/>
      <w:r w:rsidR="00A81F6E">
        <w:rPr>
          <w:rFonts w:ascii="Arial" w:hAnsi="Arial" w:cs="Arial"/>
          <w:sz w:val="24"/>
          <w:szCs w:val="24"/>
        </w:rPr>
        <w:t xml:space="preserve">) </w:t>
      </w:r>
      <w:r w:rsidRPr="00501CDD">
        <w:rPr>
          <w:rFonts w:ascii="Arial" w:hAnsi="Arial" w:cs="Arial"/>
          <w:sz w:val="24"/>
          <w:szCs w:val="24"/>
        </w:rPr>
        <w:t xml:space="preserve">Drafting Direction no 3.6 (86) notes </w:t>
      </w:r>
      <w:r w:rsidR="00D560C3">
        <w:rPr>
          <w:rFonts w:ascii="Arial" w:hAnsi="Arial" w:cs="Arial"/>
          <w:sz w:val="24"/>
          <w:szCs w:val="24"/>
        </w:rPr>
        <w:t>that,</w:t>
      </w:r>
      <w:r w:rsidR="00C56007">
        <w:rPr>
          <w:rFonts w:ascii="Arial" w:hAnsi="Arial" w:cs="Arial"/>
          <w:sz w:val="24"/>
          <w:szCs w:val="24"/>
        </w:rPr>
        <w:t xml:space="preserve"> </w:t>
      </w:r>
      <w:r w:rsidRPr="00501CDD">
        <w:rPr>
          <w:rFonts w:ascii="Arial" w:hAnsi="Arial" w:cs="Arial"/>
          <w:sz w:val="24"/>
          <w:szCs w:val="24"/>
        </w:rPr>
        <w:t>in general: (a) a non-corporate statutory body will have a CEO and not a governing board (but may in some cases have an advisory committee); and (b) a corporate statutory body will usually have a separate governing board (and a CEO who may or may not be part of the governing board).</w:t>
      </w:r>
    </w:p>
    <w:p w14:paraId="1AA0C958" w14:textId="11CF4F7C" w:rsidR="00202A0C" w:rsidRDefault="00D560C3" w:rsidP="00D73C7D">
      <w:pPr>
        <w:keepLines/>
        <w:spacing w:before="120" w:after="120"/>
        <w:rPr>
          <w:rFonts w:ascii="Arial" w:hAnsi="Arial" w:cs="Arial"/>
          <w:sz w:val="24"/>
          <w:szCs w:val="24"/>
        </w:rPr>
      </w:pPr>
      <w:r>
        <w:rPr>
          <w:rFonts w:ascii="Arial" w:hAnsi="Arial" w:cs="Arial"/>
          <w:sz w:val="24"/>
          <w:szCs w:val="24"/>
        </w:rPr>
        <w:lastRenderedPageBreak/>
        <w:t xml:space="preserve">The </w:t>
      </w:r>
      <w:r w:rsidR="00202A0C" w:rsidRPr="00AF4995">
        <w:rPr>
          <w:rFonts w:ascii="Arial" w:hAnsi="Arial" w:cs="Arial"/>
          <w:sz w:val="24"/>
          <w:szCs w:val="24"/>
        </w:rPr>
        <w:t>OECD</w:t>
      </w:r>
      <w:r w:rsidR="00F7295A">
        <w:rPr>
          <w:rStyle w:val="FootnoteReference"/>
          <w:rFonts w:ascii="Arial" w:hAnsi="Arial" w:cs="Arial"/>
          <w:sz w:val="24"/>
          <w:szCs w:val="24"/>
        </w:rPr>
        <w:footnoteReference w:id="106"/>
      </w:r>
      <w:r w:rsidR="00F7295A">
        <w:rPr>
          <w:rFonts w:ascii="Arial" w:eastAsia="Times New Roman" w:hAnsi="Arial" w:cs="Arial"/>
          <w:sz w:val="24"/>
          <w:szCs w:val="24"/>
          <w:lang w:eastAsia="en-AU"/>
        </w:rPr>
        <w:t xml:space="preserve"> </w:t>
      </w:r>
      <w:r w:rsidR="00202A0C">
        <w:rPr>
          <w:rFonts w:ascii="Arial" w:eastAsia="Times New Roman" w:hAnsi="Arial" w:cs="Arial"/>
          <w:sz w:val="24"/>
          <w:szCs w:val="24"/>
          <w:lang w:eastAsia="en-AU"/>
        </w:rPr>
        <w:t>notes that generally s</w:t>
      </w:r>
      <w:r w:rsidR="00202A0C" w:rsidRPr="002E6DE6">
        <w:rPr>
          <w:rFonts w:ascii="Arial" w:eastAsia="Times New Roman" w:hAnsi="Arial" w:cs="Arial"/>
          <w:sz w:val="24"/>
          <w:szCs w:val="24"/>
          <w:lang w:eastAsia="en-AU"/>
        </w:rPr>
        <w:t xml:space="preserve">ingle member regulator models, where consolidation of decision-making power rests solely with the Commissioner, </w:t>
      </w:r>
      <w:r w:rsidR="00202A0C">
        <w:rPr>
          <w:rFonts w:ascii="Arial" w:eastAsia="Times New Roman" w:hAnsi="Arial" w:cs="Arial"/>
          <w:sz w:val="24"/>
          <w:szCs w:val="24"/>
          <w:lang w:eastAsia="en-AU"/>
        </w:rPr>
        <w:t xml:space="preserve">are considered to </w:t>
      </w:r>
      <w:r w:rsidR="00202A0C" w:rsidRPr="002E6DE6">
        <w:rPr>
          <w:rFonts w:ascii="Arial" w:eastAsia="Times New Roman" w:hAnsi="Arial" w:cs="Arial"/>
          <w:sz w:val="24"/>
          <w:szCs w:val="24"/>
          <w:lang w:eastAsia="en-AU"/>
        </w:rPr>
        <w:t xml:space="preserve">offer </w:t>
      </w:r>
      <w:r w:rsidR="00202A0C">
        <w:rPr>
          <w:rFonts w:ascii="Arial" w:eastAsia="Times New Roman" w:hAnsi="Arial" w:cs="Arial"/>
          <w:sz w:val="24"/>
          <w:szCs w:val="24"/>
          <w:lang w:eastAsia="en-AU"/>
        </w:rPr>
        <w:t xml:space="preserve">a lower </w:t>
      </w:r>
      <w:r w:rsidR="00202A0C" w:rsidRPr="002E6DE6">
        <w:rPr>
          <w:rFonts w:ascii="Arial" w:eastAsia="Times New Roman" w:hAnsi="Arial" w:cs="Arial"/>
          <w:sz w:val="24"/>
          <w:szCs w:val="24"/>
          <w:lang w:eastAsia="en-AU"/>
        </w:rPr>
        <w:t xml:space="preserve">level of accountability and strategic oversight </w:t>
      </w:r>
      <w:r w:rsidR="00202A0C">
        <w:rPr>
          <w:rFonts w:ascii="Arial" w:eastAsia="Times New Roman" w:hAnsi="Arial" w:cs="Arial"/>
          <w:sz w:val="24"/>
          <w:szCs w:val="24"/>
          <w:lang w:eastAsia="en-AU"/>
        </w:rPr>
        <w:t>compared with</w:t>
      </w:r>
      <w:r w:rsidR="00202A0C" w:rsidRPr="002E6DE6">
        <w:rPr>
          <w:rFonts w:ascii="Arial" w:eastAsia="Times New Roman" w:hAnsi="Arial" w:cs="Arial"/>
          <w:sz w:val="24"/>
          <w:szCs w:val="24"/>
          <w:lang w:eastAsia="en-AU"/>
        </w:rPr>
        <w:t xml:space="preserve"> multi-member authorities</w:t>
      </w:r>
      <w:r w:rsidR="00202A0C">
        <w:rPr>
          <w:rFonts w:ascii="Arial" w:hAnsi="Arial" w:cs="Arial"/>
          <w:sz w:val="24"/>
          <w:szCs w:val="24"/>
        </w:rPr>
        <w:t>.</w:t>
      </w:r>
    </w:p>
    <w:p w14:paraId="255903A5" w14:textId="6F0D2233" w:rsidR="00202A0C" w:rsidRPr="00AF4995" w:rsidRDefault="00202A0C" w:rsidP="00202A0C">
      <w:pPr>
        <w:spacing w:before="120" w:after="120"/>
        <w:rPr>
          <w:rFonts w:ascii="Arial" w:hAnsi="Arial" w:cs="Arial"/>
          <w:sz w:val="24"/>
          <w:szCs w:val="24"/>
        </w:rPr>
      </w:pPr>
      <w:r w:rsidRPr="00501CDD">
        <w:rPr>
          <w:rFonts w:ascii="Arial" w:hAnsi="Arial" w:cs="Arial"/>
          <w:sz w:val="24"/>
          <w:szCs w:val="24"/>
        </w:rPr>
        <w:t>A c</w:t>
      </w:r>
      <w:hyperlink r:id="rId24" w:history="1">
        <w:r w:rsidRPr="00501CDD">
          <w:rPr>
            <w:rFonts w:ascii="Arial" w:hAnsi="Arial" w:cs="Arial"/>
            <w:sz w:val="24"/>
            <w:szCs w:val="24"/>
          </w:rPr>
          <w:t xml:space="preserve">omparison of </w:t>
        </w:r>
        <w:r w:rsidR="009B7859">
          <w:rPr>
            <w:rFonts w:ascii="Arial" w:hAnsi="Arial" w:cs="Arial"/>
            <w:sz w:val="24"/>
            <w:szCs w:val="24"/>
          </w:rPr>
          <w:t xml:space="preserve">selected </w:t>
        </w:r>
        <w:r w:rsidRPr="00501CDD">
          <w:rPr>
            <w:rFonts w:ascii="Arial" w:hAnsi="Arial" w:cs="Arial"/>
            <w:sz w:val="24"/>
            <w:szCs w:val="24"/>
          </w:rPr>
          <w:t>Australian regulators</w:t>
        </w:r>
      </w:hyperlink>
      <w:r w:rsidRPr="00501CDD">
        <w:rPr>
          <w:rFonts w:ascii="Arial" w:hAnsi="Arial" w:cs="Arial"/>
          <w:sz w:val="24"/>
          <w:szCs w:val="24"/>
        </w:rPr>
        <w:t xml:space="preserve"> </w:t>
      </w:r>
      <w:r>
        <w:rPr>
          <w:rFonts w:ascii="Arial" w:hAnsi="Arial" w:cs="Arial"/>
          <w:sz w:val="24"/>
          <w:szCs w:val="24"/>
        </w:rPr>
        <w:t xml:space="preserve">at </w:t>
      </w:r>
      <w:r w:rsidR="00232621" w:rsidRPr="00BA7E98">
        <w:rPr>
          <w:rFonts w:ascii="Arial" w:hAnsi="Arial" w:cs="Arial"/>
          <w:sz w:val="24"/>
          <w:szCs w:val="24"/>
        </w:rPr>
        <w:t>Appendix</w:t>
      </w:r>
      <w:r w:rsidRPr="00BA7E98">
        <w:rPr>
          <w:rFonts w:ascii="Arial" w:hAnsi="Arial" w:cs="Arial"/>
          <w:sz w:val="24"/>
          <w:szCs w:val="24"/>
        </w:rPr>
        <w:t xml:space="preserve"> </w:t>
      </w:r>
      <w:r w:rsidR="00232621" w:rsidRPr="00BA7E98">
        <w:rPr>
          <w:rFonts w:ascii="Arial" w:hAnsi="Arial" w:cs="Arial"/>
          <w:sz w:val="24"/>
          <w:szCs w:val="24"/>
        </w:rPr>
        <w:t>E</w:t>
      </w:r>
      <w:r w:rsidRPr="00BA7E98">
        <w:rPr>
          <w:rFonts w:ascii="Arial" w:hAnsi="Arial" w:cs="Arial"/>
          <w:sz w:val="24"/>
          <w:szCs w:val="24"/>
        </w:rPr>
        <w:t>, s</w:t>
      </w:r>
      <w:r w:rsidRPr="00501CDD">
        <w:rPr>
          <w:rFonts w:ascii="Arial" w:hAnsi="Arial" w:cs="Arial"/>
          <w:sz w:val="24"/>
          <w:szCs w:val="24"/>
        </w:rPr>
        <w:t>hows a range of structures are used including corporate and non-corporate, with governing boards and without.</w:t>
      </w:r>
    </w:p>
    <w:p w14:paraId="6EC5FA7C" w14:textId="4BF65017" w:rsidR="008E7890" w:rsidRPr="008E7890" w:rsidRDefault="00202A0C" w:rsidP="002D5F76">
      <w:pPr>
        <w:spacing w:before="120" w:after="360" w:line="240" w:lineRule="auto"/>
        <w:rPr>
          <w:rFonts w:ascii="Arial" w:hAnsi="Arial" w:cs="Arial"/>
          <w:sz w:val="24"/>
          <w:szCs w:val="24"/>
        </w:rPr>
      </w:pPr>
      <w:r>
        <w:rPr>
          <w:rFonts w:ascii="Arial" w:hAnsi="Arial" w:cs="Arial"/>
          <w:sz w:val="24"/>
          <w:szCs w:val="24"/>
        </w:rPr>
        <w:t>G</w:t>
      </w:r>
      <w:r w:rsidRPr="00501CDD">
        <w:rPr>
          <w:rFonts w:ascii="Arial" w:hAnsi="Arial" w:cs="Arial"/>
          <w:sz w:val="24"/>
          <w:szCs w:val="24"/>
        </w:rPr>
        <w:t xml:space="preserve">uidance developed by </w:t>
      </w:r>
      <w:proofErr w:type="spellStart"/>
      <w:r>
        <w:rPr>
          <w:rFonts w:ascii="Arial" w:hAnsi="Arial" w:cs="Arial"/>
          <w:sz w:val="24"/>
          <w:szCs w:val="24"/>
        </w:rPr>
        <w:t>DoF</w:t>
      </w:r>
      <w:proofErr w:type="spellEnd"/>
      <w:r w:rsidR="00F7295A">
        <w:rPr>
          <w:rStyle w:val="FootnoteReference"/>
          <w:rFonts w:ascii="Arial" w:hAnsi="Arial" w:cs="Arial"/>
          <w:sz w:val="24"/>
          <w:szCs w:val="24"/>
        </w:rPr>
        <w:footnoteReference w:id="107"/>
      </w:r>
      <w:r w:rsidRPr="00501CDD">
        <w:rPr>
          <w:rFonts w:ascii="Arial" w:hAnsi="Arial" w:cs="Arial"/>
          <w:sz w:val="24"/>
          <w:szCs w:val="24"/>
        </w:rPr>
        <w:t xml:space="preserve"> recommends avoiding unnecessary proliferation of Government bodies, </w:t>
      </w:r>
      <w:r>
        <w:rPr>
          <w:rFonts w:ascii="Arial" w:hAnsi="Arial" w:cs="Arial"/>
          <w:sz w:val="24"/>
          <w:szCs w:val="24"/>
        </w:rPr>
        <w:t>and</w:t>
      </w:r>
      <w:r w:rsidRPr="00501CDD">
        <w:rPr>
          <w:rFonts w:ascii="Arial" w:hAnsi="Arial" w:cs="Arial"/>
          <w:sz w:val="24"/>
          <w:szCs w:val="24"/>
        </w:rPr>
        <w:t xml:space="preserve"> that governmental functions and activities be allocated to, and performed by, existing government entities. If new entities are needed, then the preference is for new Commonwealth governmental authorities rather than new government-owned companies. </w:t>
      </w:r>
      <w:proofErr w:type="spellStart"/>
      <w:r w:rsidRPr="00501CDD">
        <w:rPr>
          <w:rFonts w:ascii="Arial" w:hAnsi="Arial" w:cs="Arial"/>
          <w:sz w:val="24"/>
          <w:szCs w:val="24"/>
        </w:rPr>
        <w:t>DoF</w:t>
      </w:r>
      <w:r>
        <w:rPr>
          <w:rFonts w:ascii="Arial" w:hAnsi="Arial" w:cs="Arial"/>
          <w:sz w:val="24"/>
          <w:szCs w:val="24"/>
        </w:rPr>
        <w:t>’s</w:t>
      </w:r>
      <w:proofErr w:type="spellEnd"/>
      <w:r w:rsidRPr="00501CDD">
        <w:rPr>
          <w:rFonts w:ascii="Arial" w:hAnsi="Arial" w:cs="Arial"/>
          <w:sz w:val="24"/>
          <w:szCs w:val="24"/>
        </w:rPr>
        <w:t xml:space="preserve"> guiding principle </w:t>
      </w:r>
      <w:r>
        <w:rPr>
          <w:rFonts w:ascii="Arial" w:hAnsi="Arial" w:cs="Arial"/>
          <w:sz w:val="24"/>
          <w:szCs w:val="24"/>
        </w:rPr>
        <w:t>is to</w:t>
      </w:r>
      <w:r w:rsidRPr="00501CDD">
        <w:rPr>
          <w:rFonts w:ascii="Arial" w:hAnsi="Arial" w:cs="Arial"/>
          <w:sz w:val="24"/>
          <w:szCs w:val="24"/>
        </w:rPr>
        <w:t xml:space="preserve"> ‘maximise efficiency by leveraging existing capabilities.’</w:t>
      </w:r>
    </w:p>
    <w:p w14:paraId="602A9B68" w14:textId="183CC7B4" w:rsidR="003E029A" w:rsidRPr="00BA2B4A" w:rsidRDefault="003E029A" w:rsidP="00BA2B4A">
      <w:pPr>
        <w:rPr>
          <w:rFonts w:ascii="Arial" w:hAnsi="Arial" w:cs="Arial"/>
          <w:b/>
          <w:bCs/>
          <w:sz w:val="28"/>
          <w:szCs w:val="28"/>
        </w:rPr>
      </w:pPr>
      <w:r w:rsidRPr="00BA2B4A">
        <w:rPr>
          <w:rFonts w:ascii="Arial" w:hAnsi="Arial" w:cs="Arial"/>
          <w:b/>
          <w:bCs/>
          <w:sz w:val="28"/>
          <w:szCs w:val="28"/>
        </w:rPr>
        <w:t>6.1 Current arrangements</w:t>
      </w:r>
    </w:p>
    <w:p w14:paraId="51255EB1" w14:textId="0F8799F9" w:rsidR="00202A0C" w:rsidRPr="002E6DE6" w:rsidRDefault="00202A0C" w:rsidP="00202A0C">
      <w:pPr>
        <w:spacing w:before="120" w:after="120"/>
        <w:rPr>
          <w:rFonts w:ascii="Arial" w:hAnsi="Arial" w:cs="Arial"/>
          <w:i/>
          <w:iCs/>
          <w:sz w:val="24"/>
          <w:szCs w:val="24"/>
        </w:rPr>
      </w:pPr>
      <w:r w:rsidRPr="002E6DE6">
        <w:rPr>
          <w:rFonts w:ascii="Arial" w:hAnsi="Arial" w:cs="Arial"/>
          <w:i/>
          <w:iCs/>
          <w:sz w:val="24"/>
          <w:szCs w:val="24"/>
        </w:rPr>
        <w:t>Structure of the Commission</w:t>
      </w:r>
    </w:p>
    <w:p w14:paraId="21AE8F6F" w14:textId="3F9C9322" w:rsidR="00202A0C" w:rsidRDefault="00202A0C" w:rsidP="00202A0C">
      <w:pPr>
        <w:spacing w:before="120" w:after="120" w:line="240" w:lineRule="auto"/>
        <w:rPr>
          <w:rFonts w:ascii="Arial" w:hAnsi="Arial" w:cs="Arial"/>
          <w:color w:val="000000" w:themeColor="text1"/>
          <w:sz w:val="24"/>
          <w:szCs w:val="24"/>
          <w:lang w:val="en-US"/>
        </w:rPr>
      </w:pPr>
      <w:r w:rsidRPr="00501CDD">
        <w:rPr>
          <w:rFonts w:ascii="Arial" w:hAnsi="Arial" w:cs="Arial"/>
          <w:sz w:val="24"/>
          <w:szCs w:val="24"/>
        </w:rPr>
        <w:t xml:space="preserve">The </w:t>
      </w:r>
      <w:r>
        <w:rPr>
          <w:rFonts w:ascii="Arial" w:hAnsi="Arial" w:cs="Arial"/>
          <w:sz w:val="24"/>
          <w:szCs w:val="24"/>
        </w:rPr>
        <w:t>Commissioner is an</w:t>
      </w:r>
      <w:r w:rsidRPr="00501CDD">
        <w:rPr>
          <w:rFonts w:ascii="Arial" w:hAnsi="Arial" w:cs="Arial"/>
          <w:sz w:val="24"/>
          <w:szCs w:val="24"/>
        </w:rPr>
        <w:t xml:space="preserve"> accountable authority under </w:t>
      </w:r>
      <w:r w:rsidRPr="00501CDD">
        <w:rPr>
          <w:rFonts w:ascii="Arial" w:hAnsi="Arial" w:cs="Arial"/>
          <w:color w:val="000000" w:themeColor="text1"/>
          <w:sz w:val="24"/>
          <w:szCs w:val="24"/>
          <w:lang w:val="en-US"/>
        </w:rPr>
        <w:t xml:space="preserve">section 33(2) of </w:t>
      </w:r>
      <w:r>
        <w:rPr>
          <w:rFonts w:ascii="Arial" w:hAnsi="Arial" w:cs="Arial"/>
          <w:sz w:val="24"/>
          <w:szCs w:val="24"/>
        </w:rPr>
        <w:t xml:space="preserve">the </w:t>
      </w:r>
      <w:r w:rsidRPr="00501CDD">
        <w:rPr>
          <w:rFonts w:ascii="Arial" w:hAnsi="Arial" w:cs="Arial"/>
          <w:i/>
          <w:iCs/>
          <w:color w:val="000000" w:themeColor="text1"/>
          <w:sz w:val="24"/>
          <w:szCs w:val="24"/>
          <w:lang w:val="en-US"/>
        </w:rPr>
        <w:t>Aged Care Quality and Safety Commission Act 2018</w:t>
      </w:r>
      <w:r w:rsidR="00A1528A">
        <w:rPr>
          <w:rFonts w:ascii="Arial" w:hAnsi="Arial" w:cs="Arial"/>
          <w:i/>
          <w:iCs/>
          <w:color w:val="000000" w:themeColor="text1"/>
          <w:sz w:val="24"/>
          <w:szCs w:val="24"/>
          <w:lang w:val="en-US"/>
        </w:rPr>
        <w:t xml:space="preserve"> </w:t>
      </w:r>
      <w:r w:rsidR="00A1528A" w:rsidRPr="00A1528A">
        <w:rPr>
          <w:rFonts w:ascii="Arial" w:hAnsi="Arial" w:cs="Arial"/>
          <w:color w:val="000000" w:themeColor="text1"/>
          <w:sz w:val="24"/>
          <w:szCs w:val="24"/>
          <w:lang w:val="en-US"/>
        </w:rPr>
        <w:t>(the Commission Act</w:t>
      </w:r>
      <w:r w:rsidRPr="00A1528A">
        <w:rPr>
          <w:rFonts w:ascii="Arial" w:hAnsi="Arial" w:cs="Arial"/>
          <w:color w:val="000000" w:themeColor="text1"/>
          <w:sz w:val="24"/>
          <w:szCs w:val="24"/>
          <w:lang w:val="en-US"/>
        </w:rPr>
        <w:t>)</w:t>
      </w:r>
      <w:r w:rsidRPr="00501CDD">
        <w:rPr>
          <w:rFonts w:ascii="Arial" w:hAnsi="Arial" w:cs="Arial"/>
          <w:color w:val="000000" w:themeColor="text1"/>
          <w:sz w:val="24"/>
          <w:szCs w:val="24"/>
          <w:lang w:val="en-US"/>
        </w:rPr>
        <w:t xml:space="preserve">. The Commissioner and the staff of the Commission together constitute a Statutory Agency for the purposes of the </w:t>
      </w:r>
      <w:r w:rsidRPr="00501CDD">
        <w:rPr>
          <w:rFonts w:ascii="Arial" w:hAnsi="Arial" w:cs="Arial"/>
          <w:i/>
          <w:iCs/>
          <w:color w:val="000000" w:themeColor="text1"/>
          <w:sz w:val="24"/>
          <w:szCs w:val="24"/>
          <w:lang w:val="en-US"/>
        </w:rPr>
        <w:t>Public Service Act 1999</w:t>
      </w:r>
      <w:r w:rsidRPr="00501CDD">
        <w:rPr>
          <w:rFonts w:ascii="Arial" w:hAnsi="Arial" w:cs="Arial"/>
          <w:color w:val="000000" w:themeColor="text1"/>
          <w:sz w:val="24"/>
          <w:szCs w:val="24"/>
          <w:lang w:val="en-US"/>
        </w:rPr>
        <w:t>.</w:t>
      </w:r>
    </w:p>
    <w:p w14:paraId="40C154B7" w14:textId="62E9C80C" w:rsidR="00202A0C" w:rsidRPr="00501CDD" w:rsidRDefault="00202A0C" w:rsidP="00202A0C">
      <w:pPr>
        <w:spacing w:before="120" w:after="120" w:line="252" w:lineRule="auto"/>
        <w:rPr>
          <w:rFonts w:ascii="Arial" w:hAnsi="Arial" w:cs="Arial"/>
          <w:sz w:val="24"/>
          <w:szCs w:val="24"/>
        </w:rPr>
      </w:pPr>
      <w:r>
        <w:rPr>
          <w:rFonts w:ascii="Arial" w:hAnsi="Arial" w:cs="Arial"/>
          <w:sz w:val="24"/>
          <w:szCs w:val="24"/>
        </w:rPr>
        <w:t xml:space="preserve">The Commission is an independent regulator </w:t>
      </w:r>
      <w:r w:rsidR="00A81F6E">
        <w:rPr>
          <w:rFonts w:ascii="Arial" w:hAnsi="Arial" w:cs="Arial"/>
          <w:sz w:val="24"/>
          <w:szCs w:val="24"/>
        </w:rPr>
        <w:t xml:space="preserve">and </w:t>
      </w:r>
      <w:r w:rsidRPr="00501CDD">
        <w:rPr>
          <w:rFonts w:ascii="Arial" w:hAnsi="Arial" w:cs="Arial"/>
          <w:sz w:val="24"/>
          <w:szCs w:val="24"/>
        </w:rPr>
        <w:t>is “not subject to the direction on individual regulatory decisions by executive government”.</w:t>
      </w:r>
      <w:r w:rsidR="00F7295A">
        <w:rPr>
          <w:rStyle w:val="FootnoteReference"/>
          <w:rFonts w:ascii="Arial" w:hAnsi="Arial" w:cs="Arial"/>
          <w:sz w:val="24"/>
          <w:szCs w:val="24"/>
        </w:rPr>
        <w:footnoteReference w:id="108"/>
      </w:r>
      <w:r w:rsidR="0047063C">
        <w:rPr>
          <w:rFonts w:ascii="Arial" w:hAnsi="Arial" w:cs="Arial"/>
          <w:sz w:val="24"/>
          <w:szCs w:val="24"/>
        </w:rPr>
        <w:t xml:space="preserve"> </w:t>
      </w:r>
      <w:r w:rsidRPr="00501CDD">
        <w:rPr>
          <w:rFonts w:ascii="Arial" w:hAnsi="Arial" w:cs="Arial"/>
          <w:sz w:val="24"/>
          <w:szCs w:val="24"/>
        </w:rPr>
        <w:t xml:space="preserve">The Commission Act </w:t>
      </w:r>
      <w:r w:rsidR="00A81F6E">
        <w:rPr>
          <w:rFonts w:ascii="Arial" w:hAnsi="Arial" w:cs="Arial"/>
          <w:sz w:val="24"/>
          <w:szCs w:val="24"/>
        </w:rPr>
        <w:t>provides for this</w:t>
      </w:r>
      <w:r w:rsidRPr="00501CDD">
        <w:rPr>
          <w:rFonts w:ascii="Arial" w:hAnsi="Arial" w:cs="Arial"/>
          <w:sz w:val="24"/>
          <w:szCs w:val="24"/>
        </w:rPr>
        <w:t xml:space="preserve"> under</w:t>
      </w:r>
      <w:r>
        <w:rPr>
          <w:rFonts w:ascii="Arial" w:hAnsi="Arial" w:cs="Arial"/>
          <w:sz w:val="24"/>
          <w:szCs w:val="24"/>
        </w:rPr>
        <w:t xml:space="preserve"> </w:t>
      </w:r>
      <w:r w:rsidRPr="002E6DE6">
        <w:rPr>
          <w:rFonts w:ascii="Arial" w:hAnsi="Arial" w:cs="Arial"/>
          <w:i/>
          <w:iCs/>
          <w:sz w:val="24"/>
          <w:szCs w:val="24"/>
        </w:rPr>
        <w:t>section</w:t>
      </w:r>
      <w:r>
        <w:rPr>
          <w:rFonts w:ascii="Arial" w:hAnsi="Arial" w:cs="Arial"/>
          <w:i/>
          <w:iCs/>
          <w:sz w:val="24"/>
          <w:szCs w:val="24"/>
        </w:rPr>
        <w:t> </w:t>
      </w:r>
      <w:r w:rsidRPr="002E6DE6">
        <w:rPr>
          <w:rFonts w:ascii="Arial" w:hAnsi="Arial" w:cs="Arial"/>
          <w:i/>
          <w:iCs/>
          <w:sz w:val="24"/>
          <w:szCs w:val="24"/>
        </w:rPr>
        <w:t>22</w:t>
      </w:r>
      <w:r w:rsidRPr="00501CDD">
        <w:rPr>
          <w:rFonts w:ascii="Arial" w:hAnsi="Arial" w:cs="Arial"/>
          <w:sz w:val="24"/>
          <w:szCs w:val="24"/>
        </w:rPr>
        <w:t xml:space="preserve"> </w:t>
      </w:r>
    </w:p>
    <w:p w14:paraId="53DBBD95" w14:textId="77777777" w:rsidR="00202A0C" w:rsidRPr="00501CDD" w:rsidRDefault="00202A0C" w:rsidP="00202A0C">
      <w:pPr>
        <w:spacing w:before="120" w:after="120" w:line="252" w:lineRule="auto"/>
        <w:ind w:left="720"/>
        <w:rPr>
          <w:rFonts w:ascii="Arial" w:hAnsi="Arial" w:cs="Arial"/>
          <w:sz w:val="24"/>
          <w:szCs w:val="24"/>
        </w:rPr>
      </w:pPr>
      <w:r w:rsidRPr="00501CDD">
        <w:rPr>
          <w:rFonts w:ascii="Arial" w:hAnsi="Arial" w:cs="Arial"/>
          <w:sz w:val="24"/>
          <w:szCs w:val="24"/>
        </w:rPr>
        <w:t>“A direction given by the Minister under subsection (1):</w:t>
      </w:r>
    </w:p>
    <w:p w14:paraId="3004D373" w14:textId="166560B1" w:rsidR="00202A0C" w:rsidRPr="00501CDD" w:rsidRDefault="00202A0C" w:rsidP="00202A0C">
      <w:pPr>
        <w:spacing w:before="120" w:after="120" w:line="252" w:lineRule="auto"/>
        <w:ind w:left="1440"/>
        <w:rPr>
          <w:rFonts w:ascii="Arial" w:hAnsi="Arial" w:cs="Arial"/>
          <w:sz w:val="24"/>
          <w:szCs w:val="24"/>
        </w:rPr>
      </w:pPr>
      <w:r w:rsidRPr="00501CDD">
        <w:rPr>
          <w:rFonts w:ascii="Arial" w:hAnsi="Arial" w:cs="Arial"/>
          <w:sz w:val="24"/>
          <w:szCs w:val="24"/>
        </w:rPr>
        <w:t>(a) must be of a general nature only; and</w:t>
      </w:r>
    </w:p>
    <w:p w14:paraId="44309FD8" w14:textId="4A3B11D5" w:rsidR="00202A0C" w:rsidRPr="00501CDD" w:rsidRDefault="00202A0C" w:rsidP="00202A0C">
      <w:pPr>
        <w:spacing w:before="120" w:after="120" w:line="252" w:lineRule="auto"/>
        <w:ind w:left="1440"/>
        <w:rPr>
          <w:rFonts w:ascii="Arial" w:hAnsi="Arial" w:cs="Arial"/>
          <w:sz w:val="24"/>
          <w:szCs w:val="24"/>
        </w:rPr>
      </w:pPr>
      <w:r w:rsidRPr="00501CDD">
        <w:rPr>
          <w:rFonts w:ascii="Arial" w:hAnsi="Arial" w:cs="Arial"/>
          <w:sz w:val="24"/>
          <w:szCs w:val="24"/>
        </w:rPr>
        <w:t xml:space="preserve">(b) must not relate to a particular aged care consumer, approved </w:t>
      </w:r>
      <w:proofErr w:type="gramStart"/>
      <w:r w:rsidRPr="00501CDD">
        <w:rPr>
          <w:rFonts w:ascii="Arial" w:hAnsi="Arial" w:cs="Arial"/>
          <w:sz w:val="24"/>
          <w:szCs w:val="24"/>
        </w:rPr>
        <w:t>provider</w:t>
      </w:r>
      <w:proofErr w:type="gramEnd"/>
      <w:r w:rsidRPr="00501CDD">
        <w:rPr>
          <w:rFonts w:ascii="Arial" w:hAnsi="Arial" w:cs="Arial"/>
          <w:sz w:val="24"/>
          <w:szCs w:val="24"/>
        </w:rPr>
        <w:t xml:space="preserve"> or service provider of a Commonwealth</w:t>
      </w:r>
      <w:r w:rsidRPr="00501CDD">
        <w:rPr>
          <w:rFonts w:ascii="Arial" w:hAnsi="Arial" w:cs="Arial"/>
          <w:sz w:val="24"/>
          <w:szCs w:val="24"/>
        </w:rPr>
        <w:noBreakHyphen/>
        <w:t>funded aged care service.</w:t>
      </w:r>
      <w:r>
        <w:rPr>
          <w:rFonts w:ascii="Arial" w:hAnsi="Arial" w:cs="Arial"/>
          <w:sz w:val="24"/>
          <w:szCs w:val="24"/>
        </w:rPr>
        <w:t>”</w:t>
      </w:r>
    </w:p>
    <w:p w14:paraId="1870FCBC" w14:textId="3594DCB6" w:rsidR="00202A0C" w:rsidRPr="00C809D9" w:rsidRDefault="00202A0C" w:rsidP="00202A0C">
      <w:pPr>
        <w:spacing w:before="120" w:after="120" w:line="240" w:lineRule="auto"/>
        <w:rPr>
          <w:rFonts w:ascii="Arial" w:hAnsi="Arial" w:cs="Arial"/>
          <w:color w:val="000000" w:themeColor="text1"/>
          <w:sz w:val="24"/>
          <w:szCs w:val="24"/>
          <w:lang w:val="en-US"/>
        </w:rPr>
      </w:pPr>
      <w:r>
        <w:rPr>
          <w:rFonts w:ascii="Arial" w:hAnsi="Arial" w:cs="Arial"/>
          <w:color w:val="000000" w:themeColor="text1"/>
          <w:sz w:val="24"/>
          <w:szCs w:val="24"/>
          <w:lang w:val="en-US"/>
        </w:rPr>
        <w:t xml:space="preserve">A description of the Commission’s legislative framework in set out in </w:t>
      </w:r>
      <w:r w:rsidRPr="00BA7E98">
        <w:rPr>
          <w:rFonts w:ascii="Arial" w:hAnsi="Arial" w:cs="Arial"/>
          <w:color w:val="000000" w:themeColor="text1"/>
          <w:sz w:val="24"/>
          <w:szCs w:val="24"/>
          <w:lang w:val="en-US"/>
        </w:rPr>
        <w:t>Chapter 2.</w:t>
      </w:r>
    </w:p>
    <w:p w14:paraId="419C74EA" w14:textId="77777777" w:rsidR="00202A0C" w:rsidRPr="002E6DE6" w:rsidRDefault="00202A0C" w:rsidP="00202A0C">
      <w:pPr>
        <w:spacing w:before="120" w:after="120" w:line="240" w:lineRule="auto"/>
        <w:rPr>
          <w:rFonts w:ascii="Arial" w:hAnsi="Arial" w:cs="Arial"/>
          <w:i/>
          <w:iCs/>
          <w:color w:val="000000" w:themeColor="text1"/>
          <w:sz w:val="24"/>
          <w:szCs w:val="24"/>
          <w:lang w:val="en-US"/>
        </w:rPr>
      </w:pPr>
      <w:r>
        <w:rPr>
          <w:rFonts w:ascii="Arial" w:hAnsi="Arial" w:cs="Arial"/>
          <w:i/>
          <w:iCs/>
          <w:color w:val="000000" w:themeColor="text1"/>
          <w:sz w:val="24"/>
          <w:szCs w:val="24"/>
          <w:lang w:val="en-US"/>
        </w:rPr>
        <w:t>T</w:t>
      </w:r>
      <w:r w:rsidRPr="002E6DE6">
        <w:rPr>
          <w:rFonts w:ascii="Arial" w:hAnsi="Arial" w:cs="Arial"/>
          <w:i/>
          <w:iCs/>
          <w:color w:val="000000"/>
          <w:sz w:val="24"/>
          <w:szCs w:val="24"/>
          <w:shd w:val="clear" w:color="auto" w:fill="FFFFFF"/>
        </w:rPr>
        <w:t xml:space="preserve">he </w:t>
      </w:r>
      <w:r w:rsidRPr="002E6DE6">
        <w:rPr>
          <w:rFonts w:ascii="Arial" w:hAnsi="Arial" w:cs="Arial"/>
          <w:i/>
          <w:iCs/>
          <w:color w:val="000000" w:themeColor="text1"/>
          <w:sz w:val="24"/>
          <w:szCs w:val="24"/>
          <w:lang w:val="en-US"/>
        </w:rPr>
        <w:t xml:space="preserve">Aged Care Quality and Safety </w:t>
      </w:r>
      <w:r w:rsidRPr="002E6DE6">
        <w:rPr>
          <w:rFonts w:ascii="Arial" w:hAnsi="Arial" w:cs="Arial"/>
          <w:i/>
          <w:iCs/>
          <w:color w:val="000000"/>
          <w:sz w:val="24"/>
          <w:szCs w:val="24"/>
          <w:shd w:val="clear" w:color="auto" w:fill="FFFFFF"/>
        </w:rPr>
        <w:t>Advisory Council</w:t>
      </w:r>
    </w:p>
    <w:p w14:paraId="2A3E0CD3" w14:textId="7A056ACC" w:rsidR="00202A0C" w:rsidRPr="00501CDD" w:rsidRDefault="00202A0C" w:rsidP="00202A0C">
      <w:pPr>
        <w:spacing w:before="120" w:after="120"/>
        <w:rPr>
          <w:rFonts w:ascii="Arial" w:hAnsi="Arial" w:cs="Arial"/>
          <w:i/>
          <w:sz w:val="24"/>
          <w:szCs w:val="24"/>
        </w:rPr>
      </w:pPr>
      <w:r w:rsidRPr="00501CDD">
        <w:rPr>
          <w:rFonts w:ascii="Arial" w:hAnsi="Arial" w:cs="Arial"/>
          <w:color w:val="000000" w:themeColor="text1"/>
          <w:sz w:val="24"/>
          <w:szCs w:val="24"/>
          <w:lang w:val="en-US"/>
        </w:rPr>
        <w:t>The</w:t>
      </w:r>
      <w:r w:rsidRPr="00501CDD">
        <w:rPr>
          <w:rFonts w:ascii="Arial" w:hAnsi="Arial" w:cs="Arial"/>
          <w:i/>
          <w:iCs/>
          <w:color w:val="000000" w:themeColor="text1"/>
          <w:sz w:val="24"/>
          <w:szCs w:val="24"/>
          <w:lang w:val="en-US"/>
        </w:rPr>
        <w:t xml:space="preserve"> </w:t>
      </w:r>
      <w:r w:rsidR="00A81F6E" w:rsidRPr="00A81F6E">
        <w:rPr>
          <w:rFonts w:ascii="Arial" w:hAnsi="Arial" w:cs="Arial"/>
          <w:color w:val="000000" w:themeColor="text1"/>
          <w:sz w:val="24"/>
          <w:szCs w:val="24"/>
          <w:lang w:val="en-US"/>
        </w:rPr>
        <w:t>Commission Act</w:t>
      </w:r>
      <w:r w:rsidRPr="00501CDD">
        <w:rPr>
          <w:rFonts w:ascii="Arial" w:hAnsi="Arial" w:cs="Arial"/>
          <w:i/>
          <w:iCs/>
          <w:color w:val="000000" w:themeColor="text1"/>
          <w:sz w:val="24"/>
          <w:szCs w:val="24"/>
          <w:lang w:val="en-US"/>
        </w:rPr>
        <w:t xml:space="preserve"> </w:t>
      </w:r>
      <w:r w:rsidRPr="00501CDD">
        <w:rPr>
          <w:rFonts w:ascii="Arial" w:hAnsi="Arial" w:cs="Arial"/>
          <w:color w:val="000000" w:themeColor="text1"/>
          <w:sz w:val="24"/>
          <w:szCs w:val="24"/>
          <w:lang w:val="en-US"/>
        </w:rPr>
        <w:t>also establishes t</w:t>
      </w:r>
      <w:r w:rsidRPr="00501CDD">
        <w:rPr>
          <w:rFonts w:ascii="Arial" w:hAnsi="Arial" w:cs="Arial"/>
          <w:color w:val="000000"/>
          <w:sz w:val="24"/>
          <w:szCs w:val="24"/>
          <w:shd w:val="clear" w:color="auto" w:fill="FFFFFF"/>
        </w:rPr>
        <w:t xml:space="preserve">he </w:t>
      </w:r>
      <w:r w:rsidRPr="002E6DE6">
        <w:rPr>
          <w:rFonts w:ascii="Arial" w:hAnsi="Arial" w:cs="Arial"/>
          <w:color w:val="000000" w:themeColor="text1"/>
          <w:sz w:val="24"/>
          <w:szCs w:val="24"/>
          <w:lang w:val="en-US"/>
        </w:rPr>
        <w:t xml:space="preserve">Aged Care Quality and Safety </w:t>
      </w:r>
      <w:r w:rsidRPr="002E6DE6">
        <w:rPr>
          <w:rFonts w:ascii="Arial" w:hAnsi="Arial" w:cs="Arial"/>
          <w:color w:val="000000"/>
          <w:sz w:val="24"/>
          <w:szCs w:val="24"/>
          <w:shd w:val="clear" w:color="auto" w:fill="FFFFFF"/>
        </w:rPr>
        <w:t>Advisory Council</w:t>
      </w:r>
      <w:r>
        <w:rPr>
          <w:rFonts w:ascii="Arial" w:hAnsi="Arial" w:cs="Arial"/>
          <w:color w:val="000000"/>
          <w:sz w:val="24"/>
          <w:szCs w:val="24"/>
          <w:shd w:val="clear" w:color="auto" w:fill="FFFFFF"/>
        </w:rPr>
        <w:t xml:space="preserve"> (the Advisory Council)</w:t>
      </w:r>
      <w:r w:rsidRPr="00501CDD">
        <w:rPr>
          <w:rFonts w:ascii="Arial" w:hAnsi="Arial" w:cs="Arial"/>
          <w:color w:val="000000"/>
          <w:sz w:val="24"/>
          <w:szCs w:val="24"/>
          <w:shd w:val="clear" w:color="auto" w:fill="FFFFFF"/>
        </w:rPr>
        <w:t xml:space="preserve">. </w:t>
      </w:r>
      <w:r w:rsidRPr="00501CDD">
        <w:rPr>
          <w:rFonts w:ascii="Arial" w:hAnsi="Arial" w:cs="Arial"/>
          <w:sz w:val="24"/>
          <w:szCs w:val="24"/>
        </w:rPr>
        <w:t>The Advisory Council does not exercise a governance function</w:t>
      </w:r>
      <w:r>
        <w:rPr>
          <w:rFonts w:ascii="Arial" w:hAnsi="Arial" w:cs="Arial"/>
          <w:sz w:val="24"/>
          <w:szCs w:val="24"/>
        </w:rPr>
        <w:t xml:space="preserve">. </w:t>
      </w:r>
      <w:r w:rsidRPr="00501CDD">
        <w:rPr>
          <w:rFonts w:ascii="Arial" w:hAnsi="Arial" w:cs="Arial"/>
          <w:sz w:val="24"/>
          <w:szCs w:val="24"/>
        </w:rPr>
        <w:t xml:space="preserve">The functions of the Advisory Council under </w:t>
      </w:r>
      <w:r w:rsidRPr="002E6DE6">
        <w:rPr>
          <w:rFonts w:ascii="Arial" w:hAnsi="Arial" w:cs="Arial"/>
          <w:i/>
          <w:iCs/>
          <w:sz w:val="24"/>
          <w:szCs w:val="24"/>
        </w:rPr>
        <w:t>section 38</w:t>
      </w:r>
      <w:r w:rsidRPr="00501CDD">
        <w:rPr>
          <w:rFonts w:ascii="Arial" w:hAnsi="Arial" w:cs="Arial"/>
          <w:sz w:val="24"/>
          <w:szCs w:val="24"/>
        </w:rPr>
        <w:t xml:space="preserve"> of the </w:t>
      </w:r>
      <w:r w:rsidRPr="002E6DE6">
        <w:rPr>
          <w:rFonts w:ascii="Arial" w:hAnsi="Arial" w:cs="Arial"/>
          <w:i/>
          <w:iCs/>
          <w:sz w:val="24"/>
          <w:szCs w:val="24"/>
        </w:rPr>
        <w:t xml:space="preserve">Act </w:t>
      </w:r>
      <w:r w:rsidRPr="00501CDD">
        <w:rPr>
          <w:rFonts w:ascii="Arial" w:hAnsi="Arial" w:cs="Arial"/>
          <w:i/>
          <w:sz w:val="24"/>
          <w:szCs w:val="24"/>
        </w:rPr>
        <w:t>are:</w:t>
      </w:r>
    </w:p>
    <w:p w14:paraId="297ECFFF" w14:textId="77777777" w:rsidR="00202A0C" w:rsidRPr="00501CDD" w:rsidRDefault="00202A0C" w:rsidP="001750D5">
      <w:pPr>
        <w:numPr>
          <w:ilvl w:val="0"/>
          <w:numId w:val="8"/>
        </w:numPr>
        <w:spacing w:before="120" w:after="120" w:line="240" w:lineRule="auto"/>
        <w:ind w:left="1134" w:hanging="567"/>
        <w:rPr>
          <w:rFonts w:ascii="Arial" w:hAnsi="Arial" w:cs="Arial"/>
          <w:i/>
          <w:sz w:val="24"/>
          <w:szCs w:val="24"/>
        </w:rPr>
      </w:pPr>
      <w:r w:rsidRPr="00501CDD">
        <w:rPr>
          <w:rFonts w:ascii="Arial" w:hAnsi="Arial" w:cs="Arial"/>
          <w:i/>
          <w:sz w:val="24"/>
          <w:szCs w:val="24"/>
        </w:rPr>
        <w:lastRenderedPageBreak/>
        <w:t xml:space="preserve">on its own initiative or at the request of the Commissioner, to provide advice to the Commissioner in relation to the Commissioner’s functions; and </w:t>
      </w:r>
    </w:p>
    <w:p w14:paraId="00FE3F36" w14:textId="77777777" w:rsidR="00202A0C" w:rsidRPr="00501CDD" w:rsidRDefault="00202A0C" w:rsidP="001750D5">
      <w:pPr>
        <w:numPr>
          <w:ilvl w:val="0"/>
          <w:numId w:val="8"/>
        </w:numPr>
        <w:spacing w:before="120" w:after="120" w:line="240" w:lineRule="auto"/>
        <w:ind w:left="1134" w:hanging="567"/>
        <w:rPr>
          <w:rFonts w:ascii="Arial" w:hAnsi="Arial" w:cs="Arial"/>
          <w:i/>
          <w:sz w:val="24"/>
          <w:szCs w:val="24"/>
        </w:rPr>
      </w:pPr>
      <w:r w:rsidRPr="00501CDD">
        <w:rPr>
          <w:rFonts w:ascii="Arial" w:hAnsi="Arial" w:cs="Arial"/>
          <w:i/>
          <w:sz w:val="24"/>
          <w:szCs w:val="24"/>
        </w:rPr>
        <w:t>at the request of the Minister, to provide advice to the Minister about matters arising in relation to the performance of the Commissioner’s functions.</w:t>
      </w:r>
    </w:p>
    <w:p w14:paraId="34CB985D" w14:textId="70EC89FB" w:rsidR="00202A0C" w:rsidRPr="00B448E4" w:rsidRDefault="00202A0C" w:rsidP="00202A0C">
      <w:pPr>
        <w:pStyle w:val="ListParagraph"/>
        <w:spacing w:before="120" w:after="120"/>
        <w:ind w:left="3"/>
        <w:rPr>
          <w:rFonts w:ascii="Arial" w:hAnsi="Arial" w:cs="Arial"/>
          <w:color w:val="000000" w:themeColor="text1"/>
          <w:sz w:val="24"/>
          <w:szCs w:val="24"/>
          <w:lang w:val="en-US"/>
        </w:rPr>
      </w:pPr>
      <w:r w:rsidRPr="00B448E4">
        <w:rPr>
          <w:rFonts w:ascii="Arial" w:hAnsi="Arial" w:cs="Arial"/>
          <w:sz w:val="24"/>
          <w:szCs w:val="24"/>
        </w:rPr>
        <w:t>Under section 40 of the</w:t>
      </w:r>
      <w:r w:rsidR="00A1528A">
        <w:rPr>
          <w:rFonts w:ascii="Arial" w:hAnsi="Arial" w:cs="Arial"/>
          <w:sz w:val="24"/>
          <w:szCs w:val="24"/>
        </w:rPr>
        <w:t xml:space="preserve"> Commission</w:t>
      </w:r>
      <w:r w:rsidRPr="00B448E4">
        <w:rPr>
          <w:rFonts w:ascii="Arial" w:hAnsi="Arial" w:cs="Arial"/>
          <w:sz w:val="24"/>
          <w:szCs w:val="24"/>
        </w:rPr>
        <w:t xml:space="preserve"> Act, the Advisory Council comprises </w:t>
      </w:r>
      <w:r w:rsidRPr="00B448E4">
        <w:rPr>
          <w:rFonts w:ascii="Arial" w:hAnsi="Arial" w:cs="Arial"/>
          <w:iCs/>
          <w:sz w:val="24"/>
          <w:szCs w:val="24"/>
        </w:rPr>
        <w:t>a Chair and</w:t>
      </w:r>
      <w:r w:rsidRPr="00B448E4">
        <w:rPr>
          <w:rFonts w:ascii="Arial" w:hAnsi="Arial" w:cs="Arial"/>
          <w:iCs/>
          <w:color w:val="000000"/>
          <w:sz w:val="24"/>
          <w:szCs w:val="24"/>
        </w:rPr>
        <w:t xml:space="preserve"> </w:t>
      </w:r>
      <w:r w:rsidRPr="00B448E4">
        <w:rPr>
          <w:rFonts w:ascii="Arial" w:hAnsi="Arial" w:cs="Arial"/>
          <w:iCs/>
          <w:sz w:val="24"/>
          <w:szCs w:val="24"/>
        </w:rPr>
        <w:t xml:space="preserve">at least six, and not more than 10, other members. </w:t>
      </w:r>
      <w:r w:rsidRPr="00B448E4">
        <w:rPr>
          <w:rFonts w:ascii="Arial" w:hAnsi="Arial" w:cs="Arial"/>
          <w:sz w:val="24"/>
          <w:szCs w:val="24"/>
        </w:rPr>
        <w:t xml:space="preserve">Advisory Council members are appointed by the Minister by written instrument on a part-time basis for a period not exceeding three years. A member may be reappointed (section 41). </w:t>
      </w:r>
      <w:r w:rsidRPr="00B448E4">
        <w:rPr>
          <w:rFonts w:ascii="Arial" w:hAnsi="Arial" w:cs="Arial"/>
          <w:color w:val="000000" w:themeColor="text1"/>
          <w:sz w:val="24"/>
          <w:szCs w:val="24"/>
          <w:lang w:val="en-US"/>
        </w:rPr>
        <w:t xml:space="preserve">All members of the Advisory Council must have substantial experience/knowledge in a specified field relevant to aged care, a full list of which is provided </w:t>
      </w:r>
      <w:r w:rsidRPr="00B448E4">
        <w:rPr>
          <w:rFonts w:ascii="Arial" w:hAnsi="Arial" w:cs="Arial"/>
          <w:sz w:val="24"/>
          <w:szCs w:val="24"/>
        </w:rPr>
        <w:t xml:space="preserve">in Section 41(3) </w:t>
      </w:r>
      <w:r w:rsidRPr="00B448E4">
        <w:rPr>
          <w:rFonts w:ascii="Arial" w:hAnsi="Arial" w:cs="Arial"/>
          <w:color w:val="000000" w:themeColor="text1"/>
          <w:sz w:val="24"/>
          <w:szCs w:val="24"/>
          <w:lang w:val="en-US"/>
        </w:rPr>
        <w:t>under the Act.</w:t>
      </w:r>
    </w:p>
    <w:p w14:paraId="01A105E7" w14:textId="69FDB600" w:rsidR="00202A0C" w:rsidRPr="00501CDD" w:rsidRDefault="00202A0C" w:rsidP="00202A0C">
      <w:pPr>
        <w:spacing w:before="120" w:after="120"/>
      </w:pPr>
      <w:r w:rsidRPr="00501CDD">
        <w:rPr>
          <w:rFonts w:ascii="Arial" w:hAnsi="Arial" w:cs="Arial"/>
          <w:iCs/>
          <w:sz w:val="24"/>
          <w:szCs w:val="24"/>
        </w:rPr>
        <w:t>The Minister may, by legislative instrument, give written directions to the Advisory Council about the performance of its functions</w:t>
      </w:r>
      <w:r w:rsidR="00A81F6E">
        <w:rPr>
          <w:rFonts w:ascii="Arial" w:hAnsi="Arial" w:cs="Arial"/>
          <w:iCs/>
          <w:sz w:val="24"/>
          <w:szCs w:val="24"/>
        </w:rPr>
        <w:t xml:space="preserve">. The </w:t>
      </w:r>
      <w:r w:rsidRPr="00501CDD">
        <w:rPr>
          <w:rFonts w:ascii="Arial" w:hAnsi="Arial" w:cs="Arial"/>
          <w:iCs/>
          <w:sz w:val="24"/>
          <w:szCs w:val="24"/>
        </w:rPr>
        <w:t xml:space="preserve">Minister </w:t>
      </w:r>
      <w:r>
        <w:rPr>
          <w:rFonts w:ascii="Arial" w:hAnsi="Arial" w:cs="Arial"/>
          <w:iCs/>
          <w:sz w:val="24"/>
          <w:szCs w:val="24"/>
        </w:rPr>
        <w:t xml:space="preserve">last made </w:t>
      </w:r>
      <w:r w:rsidRPr="00501CDD">
        <w:rPr>
          <w:rFonts w:ascii="Arial" w:hAnsi="Arial" w:cs="Arial"/>
          <w:iCs/>
          <w:sz w:val="24"/>
          <w:szCs w:val="24"/>
        </w:rPr>
        <w:t xml:space="preserve">a request for advice under Section 38 (b) of the Commission Act </w:t>
      </w:r>
      <w:r>
        <w:rPr>
          <w:rFonts w:ascii="Arial" w:hAnsi="Arial" w:cs="Arial"/>
          <w:iCs/>
          <w:sz w:val="24"/>
          <w:szCs w:val="24"/>
        </w:rPr>
        <w:t xml:space="preserve">on </w:t>
      </w:r>
      <w:r w:rsidRPr="00501CDD">
        <w:rPr>
          <w:rFonts w:ascii="Arial" w:hAnsi="Arial" w:cs="Arial"/>
          <w:iCs/>
          <w:sz w:val="24"/>
          <w:szCs w:val="24"/>
        </w:rPr>
        <w:t>1 October 2019. In response to this, the Advisory Council provided an options paper</w:t>
      </w:r>
      <w:r>
        <w:rPr>
          <w:rFonts w:ascii="Arial" w:hAnsi="Arial" w:cs="Arial"/>
          <w:iCs/>
          <w:sz w:val="24"/>
          <w:szCs w:val="24"/>
        </w:rPr>
        <w:t xml:space="preserve"> entitled </w:t>
      </w:r>
      <w:r w:rsidRPr="00117C04">
        <w:rPr>
          <w:rFonts w:ascii="Arial" w:hAnsi="Arial" w:cs="Arial"/>
          <w:i/>
          <w:sz w:val="24"/>
          <w:szCs w:val="24"/>
        </w:rPr>
        <w:t>Regulatory powers of the ACQSC 2019</w:t>
      </w:r>
      <w:r w:rsidR="00F7295A">
        <w:rPr>
          <w:rStyle w:val="FootnoteReference"/>
          <w:rFonts w:ascii="Arial" w:hAnsi="Arial" w:cs="Arial"/>
          <w:iCs/>
          <w:sz w:val="24"/>
          <w:szCs w:val="24"/>
        </w:rPr>
        <w:footnoteReference w:id="109"/>
      </w:r>
      <w:r w:rsidR="00F7295A">
        <w:rPr>
          <w:rFonts w:ascii="Arial" w:hAnsi="Arial" w:cs="Arial"/>
          <w:i/>
          <w:sz w:val="24"/>
          <w:szCs w:val="24"/>
        </w:rPr>
        <w:t>.</w:t>
      </w:r>
    </w:p>
    <w:p w14:paraId="196C0CEE" w14:textId="77777777" w:rsidR="00202A0C" w:rsidRDefault="00202A0C" w:rsidP="00202A0C">
      <w:pPr>
        <w:autoSpaceDE w:val="0"/>
        <w:autoSpaceDN w:val="0"/>
        <w:adjustRightInd w:val="0"/>
        <w:spacing w:before="120" w:after="120" w:line="240" w:lineRule="auto"/>
        <w:rPr>
          <w:rFonts w:ascii="Arial" w:hAnsi="Arial" w:cs="Arial"/>
          <w:color w:val="000000"/>
          <w:sz w:val="24"/>
          <w:szCs w:val="24"/>
        </w:rPr>
      </w:pPr>
      <w:r w:rsidRPr="00501CDD">
        <w:rPr>
          <w:rFonts w:ascii="Arial" w:hAnsi="Arial" w:cs="Arial"/>
          <w:color w:val="000000"/>
          <w:sz w:val="24"/>
          <w:szCs w:val="24"/>
        </w:rPr>
        <w:t>The Minister</w:t>
      </w:r>
      <w:r>
        <w:rPr>
          <w:rFonts w:ascii="Arial" w:hAnsi="Arial" w:cs="Arial"/>
          <w:color w:val="000000"/>
          <w:sz w:val="24"/>
          <w:szCs w:val="24"/>
        </w:rPr>
        <w:t>(s)</w:t>
      </w:r>
      <w:r w:rsidRPr="00501CDD">
        <w:rPr>
          <w:rFonts w:ascii="Arial" w:hAnsi="Arial" w:cs="Arial"/>
          <w:color w:val="000000"/>
          <w:sz w:val="24"/>
          <w:szCs w:val="24"/>
        </w:rPr>
        <w:t xml:space="preserve"> ha</w:t>
      </w:r>
      <w:r>
        <w:rPr>
          <w:rFonts w:ascii="Arial" w:hAnsi="Arial" w:cs="Arial"/>
          <w:color w:val="000000"/>
          <w:sz w:val="24"/>
          <w:szCs w:val="24"/>
        </w:rPr>
        <w:t>ve</w:t>
      </w:r>
      <w:r w:rsidRPr="00501CDD">
        <w:rPr>
          <w:rFonts w:ascii="Arial" w:hAnsi="Arial" w:cs="Arial"/>
          <w:color w:val="000000"/>
          <w:sz w:val="24"/>
          <w:szCs w:val="24"/>
        </w:rPr>
        <w:t xml:space="preserve"> made other requests to the Advisory Council through discussions and correspondence</w:t>
      </w:r>
      <w:r>
        <w:rPr>
          <w:rFonts w:ascii="Arial" w:hAnsi="Arial" w:cs="Arial"/>
          <w:color w:val="000000"/>
          <w:sz w:val="24"/>
          <w:szCs w:val="24"/>
        </w:rPr>
        <w:t xml:space="preserve"> and this</w:t>
      </w:r>
      <w:r w:rsidRPr="00501CDD">
        <w:rPr>
          <w:rFonts w:ascii="Arial" w:hAnsi="Arial" w:cs="Arial"/>
          <w:color w:val="000000"/>
          <w:sz w:val="24"/>
          <w:szCs w:val="24"/>
        </w:rPr>
        <w:t xml:space="preserve"> forms part of the Advisory Council’s agenda. The Advisory Council’s strategic priorities are</w:t>
      </w:r>
      <w:r>
        <w:rPr>
          <w:rFonts w:ascii="Arial" w:hAnsi="Arial" w:cs="Arial"/>
          <w:color w:val="000000"/>
          <w:sz w:val="24"/>
          <w:szCs w:val="24"/>
        </w:rPr>
        <w:t xml:space="preserve"> also</w:t>
      </w:r>
      <w:r w:rsidRPr="00501CDD">
        <w:rPr>
          <w:rFonts w:ascii="Arial" w:hAnsi="Arial" w:cs="Arial"/>
          <w:color w:val="000000"/>
          <w:sz w:val="24"/>
          <w:szCs w:val="24"/>
        </w:rPr>
        <w:t xml:space="preserve"> influenced by the Statement of Expectations from the Minister. </w:t>
      </w:r>
    </w:p>
    <w:p w14:paraId="6138C36A" w14:textId="7D32ABE7" w:rsidR="00202A0C" w:rsidRPr="00501CDD" w:rsidRDefault="00202A0C" w:rsidP="00202A0C">
      <w:pPr>
        <w:autoSpaceDE w:val="0"/>
        <w:autoSpaceDN w:val="0"/>
        <w:adjustRightInd w:val="0"/>
        <w:spacing w:before="120" w:after="120" w:line="240" w:lineRule="auto"/>
        <w:rPr>
          <w:rFonts w:ascii="Arial" w:hAnsi="Arial" w:cs="Arial"/>
          <w:color w:val="000000"/>
          <w:sz w:val="24"/>
          <w:szCs w:val="24"/>
        </w:rPr>
      </w:pPr>
      <w:r w:rsidRPr="00501CDD">
        <w:rPr>
          <w:rFonts w:ascii="Arial" w:hAnsi="Arial" w:cs="Arial"/>
          <w:color w:val="000000"/>
          <w:sz w:val="24"/>
          <w:szCs w:val="24"/>
        </w:rPr>
        <w:t xml:space="preserve">The Minister is invited to attend Advisory Council meetings which occur six times per year, however, Ministers </w:t>
      </w:r>
      <w:r w:rsidR="00A81F6E">
        <w:rPr>
          <w:rFonts w:ascii="Arial" w:hAnsi="Arial" w:cs="Arial"/>
          <w:color w:val="000000"/>
          <w:sz w:val="24"/>
          <w:szCs w:val="24"/>
        </w:rPr>
        <w:t xml:space="preserve">have </w:t>
      </w:r>
      <w:r w:rsidRPr="00501CDD">
        <w:rPr>
          <w:rFonts w:ascii="Arial" w:hAnsi="Arial" w:cs="Arial"/>
          <w:color w:val="000000"/>
          <w:sz w:val="24"/>
          <w:szCs w:val="24"/>
        </w:rPr>
        <w:t>historically attended infrequently</w:t>
      </w:r>
      <w:r w:rsidR="00F7295A">
        <w:rPr>
          <w:rStyle w:val="FootnoteReference"/>
          <w:rFonts w:ascii="Arial" w:hAnsi="Arial" w:cs="Arial"/>
          <w:color w:val="000000"/>
          <w:sz w:val="24"/>
          <w:szCs w:val="24"/>
        </w:rPr>
        <w:footnoteReference w:id="110"/>
      </w:r>
      <w:r w:rsidRPr="00501CDD">
        <w:rPr>
          <w:rFonts w:ascii="Arial" w:hAnsi="Arial" w:cs="Arial"/>
          <w:color w:val="000000"/>
          <w:sz w:val="24"/>
          <w:szCs w:val="24"/>
        </w:rPr>
        <w:t xml:space="preserve">. The Advisory Council writes to the Minister following every meeting to report on the matters discussed. </w:t>
      </w:r>
    </w:p>
    <w:p w14:paraId="59ADA900" w14:textId="77777777" w:rsidR="00202A0C" w:rsidRPr="00501CDD" w:rsidRDefault="00202A0C" w:rsidP="00202A0C">
      <w:pPr>
        <w:spacing w:before="120" w:after="120"/>
        <w:rPr>
          <w:rFonts w:ascii="Arial" w:hAnsi="Arial" w:cs="Arial"/>
          <w:color w:val="000000"/>
          <w:sz w:val="24"/>
          <w:szCs w:val="24"/>
        </w:rPr>
      </w:pPr>
      <w:r w:rsidRPr="00501CDD">
        <w:rPr>
          <w:rFonts w:ascii="Arial" w:hAnsi="Arial" w:cs="Arial"/>
          <w:sz w:val="24"/>
          <w:szCs w:val="24"/>
        </w:rPr>
        <w:t xml:space="preserve">The Advisory Council </w:t>
      </w:r>
      <w:r>
        <w:rPr>
          <w:rFonts w:ascii="Arial" w:hAnsi="Arial" w:cs="Arial"/>
          <w:sz w:val="24"/>
          <w:szCs w:val="24"/>
        </w:rPr>
        <w:t>must be</w:t>
      </w:r>
      <w:r w:rsidRPr="00501CDD">
        <w:rPr>
          <w:rFonts w:ascii="Arial" w:hAnsi="Arial" w:cs="Arial"/>
          <w:sz w:val="24"/>
          <w:szCs w:val="24"/>
        </w:rPr>
        <w:t xml:space="preserve"> consulted on the </w:t>
      </w:r>
      <w:r>
        <w:rPr>
          <w:rFonts w:ascii="Arial" w:hAnsi="Arial" w:cs="Arial"/>
          <w:sz w:val="24"/>
          <w:szCs w:val="24"/>
        </w:rPr>
        <w:t xml:space="preserve">Commission’s </w:t>
      </w:r>
      <w:r w:rsidRPr="00501CDD">
        <w:rPr>
          <w:rFonts w:ascii="Arial" w:hAnsi="Arial" w:cs="Arial"/>
          <w:sz w:val="24"/>
          <w:szCs w:val="24"/>
        </w:rPr>
        <w:t>Corporate and Annual Operational Plans (as required under Part 6, Section 54).</w:t>
      </w:r>
    </w:p>
    <w:p w14:paraId="47B1D8BF" w14:textId="4273AAF6" w:rsidR="008E7890" w:rsidRPr="002D5F76" w:rsidRDefault="00202A0C" w:rsidP="002D5F76">
      <w:pPr>
        <w:spacing w:before="120" w:after="360"/>
        <w:rPr>
          <w:rFonts w:ascii="Arial" w:hAnsi="Arial" w:cs="Arial"/>
          <w:color w:val="000000" w:themeColor="text1"/>
          <w:sz w:val="24"/>
          <w:szCs w:val="24"/>
          <w:lang w:val="en-US"/>
        </w:rPr>
      </w:pPr>
      <w:r w:rsidRPr="00501CDD">
        <w:rPr>
          <w:rFonts w:ascii="Arial" w:hAnsi="Arial" w:cs="Arial"/>
          <w:color w:val="000000" w:themeColor="text1"/>
          <w:sz w:val="24"/>
          <w:szCs w:val="24"/>
          <w:lang w:val="en-US"/>
        </w:rPr>
        <w:t xml:space="preserve">In addition to the </w:t>
      </w:r>
      <w:r w:rsidR="00A1528A">
        <w:rPr>
          <w:rFonts w:ascii="Arial" w:hAnsi="Arial" w:cs="Arial"/>
          <w:color w:val="000000" w:themeColor="text1"/>
          <w:sz w:val="24"/>
          <w:szCs w:val="24"/>
          <w:lang w:val="en-US"/>
        </w:rPr>
        <w:t>Commission</w:t>
      </w:r>
      <w:r w:rsidRPr="00501CDD">
        <w:rPr>
          <w:rFonts w:ascii="Arial" w:hAnsi="Arial" w:cs="Arial"/>
          <w:color w:val="000000" w:themeColor="text1"/>
          <w:sz w:val="24"/>
          <w:szCs w:val="24"/>
          <w:lang w:val="en-US"/>
        </w:rPr>
        <w:t xml:space="preserve"> Act, the Advisory Council is guided by a ‘charter’</w:t>
      </w:r>
      <w:r w:rsidR="00F7295A">
        <w:rPr>
          <w:rStyle w:val="FootnoteReference"/>
          <w:rFonts w:ascii="Arial" w:hAnsi="Arial" w:cs="Arial"/>
          <w:color w:val="000000" w:themeColor="text1"/>
          <w:sz w:val="24"/>
          <w:szCs w:val="24"/>
          <w:lang w:val="en-US"/>
        </w:rPr>
        <w:footnoteReference w:id="111"/>
      </w:r>
      <w:r w:rsidR="00F7295A" w:rsidRPr="00501CDD">
        <w:rPr>
          <w:rFonts w:ascii="Arial" w:hAnsi="Arial" w:cs="Arial"/>
          <w:color w:val="000000" w:themeColor="text1"/>
          <w:sz w:val="24"/>
          <w:szCs w:val="24"/>
          <w:lang w:val="en-US"/>
        </w:rPr>
        <w:t xml:space="preserve"> </w:t>
      </w:r>
      <w:r w:rsidRPr="00501CDD">
        <w:rPr>
          <w:rFonts w:ascii="Arial" w:hAnsi="Arial" w:cs="Arial"/>
          <w:color w:val="000000" w:themeColor="text1"/>
          <w:sz w:val="24"/>
          <w:szCs w:val="24"/>
          <w:lang w:val="en-US"/>
        </w:rPr>
        <w:t>that sets out matters not covered in the Act including remuneration; participation of ex</w:t>
      </w:r>
      <w:r w:rsidRPr="00501CDD">
        <w:rPr>
          <w:rFonts w:ascii="Arial" w:hAnsi="Arial" w:cs="Arial"/>
          <w:color w:val="000000" w:themeColor="text1"/>
          <w:sz w:val="24"/>
          <w:szCs w:val="24"/>
          <w:lang w:val="en-US"/>
        </w:rPr>
        <w:noBreakHyphen/>
        <w:t>officio members; code of conduct, agenda setting and frequency of meetings.</w:t>
      </w:r>
    </w:p>
    <w:p w14:paraId="0ECA7D28" w14:textId="511C59E7" w:rsidR="00202A0C" w:rsidRPr="00BA2B4A" w:rsidRDefault="00261EEF" w:rsidP="00BA2B4A">
      <w:pPr>
        <w:rPr>
          <w:rFonts w:ascii="Arial" w:hAnsi="Arial" w:cs="Arial"/>
          <w:b/>
          <w:bCs/>
          <w:sz w:val="28"/>
          <w:szCs w:val="28"/>
        </w:rPr>
      </w:pPr>
      <w:r w:rsidRPr="00BA2B4A">
        <w:rPr>
          <w:rFonts w:ascii="Arial" w:hAnsi="Arial" w:cs="Arial"/>
          <w:b/>
          <w:bCs/>
          <w:sz w:val="28"/>
          <w:szCs w:val="28"/>
        </w:rPr>
        <w:t>6</w:t>
      </w:r>
      <w:r w:rsidR="00202A0C" w:rsidRPr="00BA2B4A">
        <w:rPr>
          <w:rFonts w:ascii="Arial" w:hAnsi="Arial" w:cs="Arial"/>
          <w:b/>
          <w:bCs/>
          <w:sz w:val="28"/>
          <w:szCs w:val="28"/>
        </w:rPr>
        <w:t>.</w:t>
      </w:r>
      <w:r w:rsidR="003E029A" w:rsidRPr="00BA2B4A">
        <w:rPr>
          <w:rFonts w:ascii="Arial" w:hAnsi="Arial" w:cs="Arial"/>
          <w:b/>
          <w:bCs/>
          <w:sz w:val="28"/>
          <w:szCs w:val="28"/>
        </w:rPr>
        <w:t>2</w:t>
      </w:r>
      <w:r w:rsidR="00202A0C" w:rsidRPr="00BA2B4A">
        <w:rPr>
          <w:rFonts w:ascii="Arial" w:hAnsi="Arial" w:cs="Arial"/>
          <w:b/>
          <w:bCs/>
          <w:sz w:val="28"/>
          <w:szCs w:val="28"/>
        </w:rPr>
        <w:t xml:space="preserve"> The Royal Commission findings </w:t>
      </w:r>
    </w:p>
    <w:p w14:paraId="09302F17" w14:textId="5D95230D" w:rsidR="00202A0C" w:rsidRPr="00501CDD" w:rsidRDefault="00202A0C" w:rsidP="00202A0C">
      <w:pPr>
        <w:spacing w:before="120" w:after="120" w:line="240" w:lineRule="auto"/>
        <w:rPr>
          <w:rFonts w:ascii="Arial" w:hAnsi="Arial" w:cs="Arial"/>
          <w:sz w:val="24"/>
          <w:szCs w:val="24"/>
        </w:rPr>
      </w:pPr>
      <w:r w:rsidRPr="00501CDD">
        <w:rPr>
          <w:rFonts w:ascii="Arial" w:hAnsi="Arial" w:cs="Arial"/>
          <w:sz w:val="24"/>
          <w:szCs w:val="24"/>
        </w:rPr>
        <w:t xml:space="preserve">In formulating </w:t>
      </w:r>
      <w:r>
        <w:rPr>
          <w:rFonts w:ascii="Arial" w:hAnsi="Arial" w:cs="Arial"/>
          <w:sz w:val="24"/>
          <w:szCs w:val="24"/>
        </w:rPr>
        <w:t>my</w:t>
      </w:r>
      <w:r w:rsidRPr="00501CDD">
        <w:rPr>
          <w:rFonts w:ascii="Arial" w:hAnsi="Arial" w:cs="Arial"/>
          <w:sz w:val="24"/>
          <w:szCs w:val="24"/>
        </w:rPr>
        <w:t xml:space="preserve"> recommendations, </w:t>
      </w:r>
      <w:r>
        <w:rPr>
          <w:rFonts w:ascii="Arial" w:hAnsi="Arial" w:cs="Arial"/>
          <w:sz w:val="24"/>
          <w:szCs w:val="24"/>
        </w:rPr>
        <w:t>I have</w:t>
      </w:r>
      <w:r w:rsidRPr="00501CDD">
        <w:rPr>
          <w:rFonts w:ascii="Arial" w:hAnsi="Arial" w:cs="Arial"/>
          <w:sz w:val="24"/>
          <w:szCs w:val="24"/>
        </w:rPr>
        <w:t xml:space="preserve"> carefully considered the </w:t>
      </w:r>
      <w:r>
        <w:rPr>
          <w:rFonts w:ascii="Arial" w:hAnsi="Arial" w:cs="Arial"/>
          <w:sz w:val="24"/>
          <w:szCs w:val="24"/>
        </w:rPr>
        <w:t xml:space="preserve">findings of the </w:t>
      </w:r>
      <w:r w:rsidRPr="00501CDD">
        <w:rPr>
          <w:rFonts w:ascii="Arial" w:hAnsi="Arial" w:cs="Arial"/>
          <w:sz w:val="24"/>
          <w:szCs w:val="24"/>
        </w:rPr>
        <w:t>Royal Commission</w:t>
      </w:r>
      <w:hyperlink r:id="rId25" w:history="1">
        <w:r w:rsidRPr="00501CDD">
          <w:rPr>
            <w:rFonts w:ascii="Arial" w:eastAsia="Times New Roman" w:hAnsi="Arial" w:cs="Arial"/>
            <w:sz w:val="24"/>
            <w:szCs w:val="24"/>
          </w:rPr>
          <w:t xml:space="preserve"> </w:t>
        </w:r>
      </w:hyperlink>
      <w:r w:rsidRPr="00501CDD">
        <w:rPr>
          <w:rFonts w:ascii="Arial" w:eastAsia="Times New Roman" w:hAnsi="Arial" w:cs="Arial"/>
          <w:sz w:val="24"/>
          <w:szCs w:val="24"/>
        </w:rPr>
        <w:t>(</w:t>
      </w:r>
      <w:r w:rsidRPr="00A81F6E">
        <w:rPr>
          <w:rFonts w:ascii="Arial" w:eastAsia="Times New Roman" w:hAnsi="Arial" w:cs="Arial"/>
          <w:sz w:val="24"/>
          <w:szCs w:val="24"/>
        </w:rPr>
        <w:t xml:space="preserve">See </w:t>
      </w:r>
      <w:r w:rsidR="00496A8A" w:rsidRPr="00A81F6E">
        <w:rPr>
          <w:rFonts w:ascii="Arial" w:eastAsia="Times New Roman" w:hAnsi="Arial" w:cs="Arial"/>
          <w:sz w:val="24"/>
          <w:szCs w:val="24"/>
        </w:rPr>
        <w:t>F</w:t>
      </w:r>
      <w:r w:rsidRPr="00A81F6E">
        <w:rPr>
          <w:rFonts w:ascii="Arial" w:eastAsia="Times New Roman" w:hAnsi="Arial" w:cs="Arial"/>
          <w:sz w:val="24"/>
          <w:szCs w:val="24"/>
        </w:rPr>
        <w:t>igure 1</w:t>
      </w:r>
      <w:r>
        <w:rPr>
          <w:rFonts w:ascii="Arial" w:eastAsia="Times New Roman" w:hAnsi="Arial" w:cs="Arial"/>
          <w:sz w:val="24"/>
          <w:szCs w:val="24"/>
        </w:rPr>
        <w:t>)</w:t>
      </w:r>
      <w:r>
        <w:rPr>
          <w:rFonts w:ascii="Arial" w:hAnsi="Arial" w:cs="Arial"/>
          <w:sz w:val="24"/>
          <w:szCs w:val="24"/>
        </w:rPr>
        <w:t xml:space="preserve"> which</w:t>
      </w:r>
      <w:r w:rsidRPr="00501CDD">
        <w:rPr>
          <w:rFonts w:ascii="Arial" w:hAnsi="Arial" w:cs="Arial"/>
          <w:sz w:val="24"/>
          <w:szCs w:val="24"/>
        </w:rPr>
        <w:t xml:space="preserve"> recommends the </w:t>
      </w:r>
      <w:r>
        <w:rPr>
          <w:rFonts w:ascii="Arial" w:hAnsi="Arial" w:cs="Arial"/>
          <w:sz w:val="24"/>
          <w:szCs w:val="24"/>
        </w:rPr>
        <w:t>Commission</w:t>
      </w:r>
      <w:r w:rsidRPr="00501CDD">
        <w:rPr>
          <w:rFonts w:ascii="Arial" w:hAnsi="Arial" w:cs="Arial"/>
          <w:sz w:val="24"/>
          <w:szCs w:val="24"/>
        </w:rPr>
        <w:t xml:space="preserve"> be abolished and replaced by an independent Aged Care Safety and Quality Authority.</w:t>
      </w:r>
    </w:p>
    <w:p w14:paraId="188B4ABE" w14:textId="7D1ACDA2" w:rsidR="00202A0C" w:rsidRPr="00501CDD" w:rsidRDefault="00202A0C" w:rsidP="00D73C7D">
      <w:pPr>
        <w:keepLines/>
        <w:spacing w:before="120" w:after="120" w:line="240" w:lineRule="auto"/>
        <w:rPr>
          <w:rFonts w:ascii="Arial" w:eastAsia="Times New Roman" w:hAnsi="Arial" w:cs="Arial"/>
          <w:sz w:val="24"/>
          <w:szCs w:val="24"/>
        </w:rPr>
      </w:pPr>
      <w:r w:rsidRPr="00501CDD">
        <w:rPr>
          <w:rFonts w:ascii="Arial" w:eastAsia="Times New Roman" w:hAnsi="Arial" w:cs="Arial"/>
          <w:sz w:val="24"/>
          <w:szCs w:val="24"/>
        </w:rPr>
        <w:lastRenderedPageBreak/>
        <w:t xml:space="preserve">Commissioner Briggs proposed a Government Leadership model, in which the roles of System Governor and Prudential Regulator would be undertaken by the Department, and the Quality Regulator role undertaken by an Aged Care Safety and Quality Authority (replacing the Commission). The </w:t>
      </w:r>
      <w:r w:rsidR="00A00FB7">
        <w:rPr>
          <w:rFonts w:ascii="Arial" w:eastAsia="Times New Roman" w:hAnsi="Arial" w:cs="Arial"/>
          <w:sz w:val="24"/>
          <w:szCs w:val="24"/>
        </w:rPr>
        <w:t xml:space="preserve">previous </w:t>
      </w:r>
      <w:r w:rsidRPr="00501CDD">
        <w:rPr>
          <w:rFonts w:ascii="Arial" w:eastAsia="Times New Roman" w:hAnsi="Arial" w:cs="Arial"/>
          <w:sz w:val="24"/>
          <w:szCs w:val="24"/>
        </w:rPr>
        <w:t>Australian Government response (May 2021) accept</w:t>
      </w:r>
      <w:r w:rsidR="00A00FB7">
        <w:rPr>
          <w:rFonts w:ascii="Arial" w:eastAsia="Times New Roman" w:hAnsi="Arial" w:cs="Arial"/>
          <w:sz w:val="24"/>
          <w:szCs w:val="24"/>
        </w:rPr>
        <w:t>ed</w:t>
      </w:r>
      <w:r w:rsidRPr="00501CDD">
        <w:rPr>
          <w:rFonts w:ascii="Arial" w:eastAsia="Times New Roman" w:hAnsi="Arial" w:cs="Arial"/>
          <w:sz w:val="24"/>
          <w:szCs w:val="24"/>
        </w:rPr>
        <w:t xml:space="preserve"> this recommendation, noting it w</w:t>
      </w:r>
      <w:r w:rsidR="00A00FB7">
        <w:rPr>
          <w:rFonts w:ascii="Arial" w:eastAsia="Times New Roman" w:hAnsi="Arial" w:cs="Arial"/>
          <w:sz w:val="24"/>
          <w:szCs w:val="24"/>
        </w:rPr>
        <w:t>ould</w:t>
      </w:r>
      <w:r w:rsidRPr="00501CDD">
        <w:rPr>
          <w:rFonts w:ascii="Arial" w:eastAsia="Times New Roman" w:hAnsi="Arial" w:cs="Arial"/>
          <w:sz w:val="24"/>
          <w:szCs w:val="24"/>
        </w:rPr>
        <w:t xml:space="preserve"> be informed by the ‘outcomes of the capability review of the Aged Care Quality and Safety Commission to be undertaken in 2023’.</w:t>
      </w:r>
      <w:r w:rsidR="0047063C">
        <w:rPr>
          <w:rFonts w:ascii="Arial" w:eastAsia="Times New Roman" w:hAnsi="Arial" w:cs="Arial"/>
          <w:sz w:val="24"/>
          <w:szCs w:val="24"/>
        </w:rPr>
        <w:t xml:space="preserve"> </w:t>
      </w:r>
      <w:r>
        <w:rPr>
          <w:rFonts w:ascii="Arial" w:eastAsia="Times New Roman" w:hAnsi="Arial" w:cs="Arial"/>
          <w:sz w:val="24"/>
          <w:szCs w:val="24"/>
        </w:rPr>
        <w:t xml:space="preserve">I note that subsequent Government decisions resulted in </w:t>
      </w:r>
      <w:proofErr w:type="gramStart"/>
      <w:r>
        <w:rPr>
          <w:rFonts w:ascii="Arial" w:eastAsia="Times New Roman" w:hAnsi="Arial" w:cs="Arial"/>
          <w:sz w:val="24"/>
          <w:szCs w:val="24"/>
        </w:rPr>
        <w:t>a number of</w:t>
      </w:r>
      <w:proofErr w:type="gramEnd"/>
      <w:r>
        <w:rPr>
          <w:rFonts w:ascii="Arial" w:eastAsia="Times New Roman" w:hAnsi="Arial" w:cs="Arial"/>
          <w:sz w:val="24"/>
          <w:szCs w:val="24"/>
        </w:rPr>
        <w:t xml:space="preserve"> functions being transferred from the Department of Health and Aged Care to the Commission, including prudential functions</w:t>
      </w:r>
      <w:r w:rsidR="00BA7E98">
        <w:rPr>
          <w:rFonts w:ascii="Arial" w:eastAsia="Times New Roman" w:hAnsi="Arial" w:cs="Arial"/>
          <w:sz w:val="24"/>
          <w:szCs w:val="24"/>
        </w:rPr>
        <w:t xml:space="preserve"> (see </w:t>
      </w:r>
      <w:r w:rsidR="00987DE8">
        <w:rPr>
          <w:rFonts w:ascii="Arial" w:eastAsia="Times New Roman" w:hAnsi="Arial" w:cs="Arial"/>
          <w:sz w:val="24"/>
          <w:szCs w:val="24"/>
        </w:rPr>
        <w:t>Section</w:t>
      </w:r>
      <w:r w:rsidR="00987DE8" w:rsidRPr="00BA7E98">
        <w:rPr>
          <w:rFonts w:ascii="Arial" w:eastAsia="Times New Roman" w:hAnsi="Arial" w:cs="Arial"/>
          <w:sz w:val="24"/>
          <w:szCs w:val="24"/>
        </w:rPr>
        <w:t xml:space="preserve"> </w:t>
      </w:r>
      <w:r w:rsidR="00B67308" w:rsidRPr="00BA7E98">
        <w:rPr>
          <w:rFonts w:ascii="Arial" w:eastAsia="Times New Roman" w:hAnsi="Arial" w:cs="Arial"/>
          <w:sz w:val="24"/>
          <w:szCs w:val="24"/>
        </w:rPr>
        <w:t>5.</w:t>
      </w:r>
      <w:r w:rsidR="00BA7E98" w:rsidRPr="00BA7E98">
        <w:rPr>
          <w:rFonts w:ascii="Arial" w:eastAsia="Times New Roman" w:hAnsi="Arial" w:cs="Arial"/>
          <w:sz w:val="24"/>
          <w:szCs w:val="24"/>
        </w:rPr>
        <w:t>4</w:t>
      </w:r>
      <w:r w:rsidR="00BA7E98">
        <w:rPr>
          <w:rFonts w:ascii="Arial" w:eastAsia="Times New Roman" w:hAnsi="Arial" w:cs="Arial"/>
          <w:sz w:val="24"/>
          <w:szCs w:val="24"/>
        </w:rPr>
        <w:t>)</w:t>
      </w:r>
      <w:r>
        <w:rPr>
          <w:rFonts w:ascii="Arial" w:eastAsia="Times New Roman" w:hAnsi="Arial" w:cs="Arial"/>
          <w:sz w:val="24"/>
          <w:szCs w:val="24"/>
        </w:rPr>
        <w:t>.</w:t>
      </w:r>
    </w:p>
    <w:p w14:paraId="32BF1625" w14:textId="544959FC" w:rsidR="00202A0C" w:rsidRPr="00501CDD" w:rsidRDefault="00202A0C" w:rsidP="00202A0C">
      <w:pPr>
        <w:spacing w:before="120" w:after="120" w:line="252" w:lineRule="auto"/>
        <w:rPr>
          <w:rFonts w:ascii="Arial" w:hAnsi="Arial" w:cs="Arial"/>
          <w:sz w:val="24"/>
          <w:szCs w:val="24"/>
        </w:rPr>
      </w:pPr>
      <w:r w:rsidRPr="00501CDD">
        <w:rPr>
          <w:rFonts w:ascii="Arial" w:hAnsi="Arial" w:cs="Arial"/>
          <w:sz w:val="24"/>
          <w:szCs w:val="24"/>
        </w:rPr>
        <w:t xml:space="preserve">The Royal Commission came to its recommendation to abolish the </w:t>
      </w:r>
      <w:r>
        <w:rPr>
          <w:rFonts w:ascii="Arial" w:hAnsi="Arial" w:cs="Arial"/>
          <w:sz w:val="24"/>
          <w:szCs w:val="24"/>
        </w:rPr>
        <w:t>Commission</w:t>
      </w:r>
      <w:r w:rsidR="00F7295A">
        <w:rPr>
          <w:rStyle w:val="FootnoteReference"/>
          <w:rFonts w:ascii="Arial" w:hAnsi="Arial" w:cs="Arial"/>
          <w:sz w:val="24"/>
          <w:szCs w:val="24"/>
        </w:rPr>
        <w:footnoteReference w:id="112"/>
      </w:r>
      <w:r w:rsidR="00F7295A" w:rsidRPr="00501CDD">
        <w:rPr>
          <w:rFonts w:ascii="Arial" w:hAnsi="Arial" w:cs="Arial"/>
          <w:sz w:val="24"/>
          <w:szCs w:val="24"/>
        </w:rPr>
        <w:t xml:space="preserve"> </w:t>
      </w:r>
      <w:r w:rsidRPr="00501CDD">
        <w:rPr>
          <w:rFonts w:ascii="Arial" w:hAnsi="Arial" w:cs="Arial"/>
          <w:sz w:val="24"/>
          <w:szCs w:val="24"/>
        </w:rPr>
        <w:t>, noting that it:</w:t>
      </w:r>
    </w:p>
    <w:p w14:paraId="67C148FA" w14:textId="77777777" w:rsidR="00202A0C" w:rsidRPr="00501CDD" w:rsidRDefault="00202A0C" w:rsidP="001750D5">
      <w:pPr>
        <w:numPr>
          <w:ilvl w:val="0"/>
          <w:numId w:val="37"/>
        </w:numPr>
        <w:spacing w:before="120" w:after="120"/>
        <w:ind w:left="357" w:hanging="357"/>
        <w:rPr>
          <w:rFonts w:ascii="Arial" w:hAnsi="Arial" w:cs="Arial"/>
          <w:sz w:val="24"/>
          <w:szCs w:val="24"/>
        </w:rPr>
      </w:pPr>
      <w:r w:rsidRPr="00501CDD">
        <w:rPr>
          <w:rFonts w:ascii="Arial" w:hAnsi="Arial" w:cs="Arial"/>
          <w:sz w:val="24"/>
          <w:szCs w:val="24"/>
        </w:rPr>
        <w:t>is overly concerned with processes and not focused on outcomes</w:t>
      </w:r>
    </w:p>
    <w:p w14:paraId="7D19A038" w14:textId="77777777" w:rsidR="00202A0C" w:rsidRPr="00501CDD" w:rsidRDefault="00202A0C" w:rsidP="001750D5">
      <w:pPr>
        <w:numPr>
          <w:ilvl w:val="0"/>
          <w:numId w:val="37"/>
        </w:numPr>
        <w:spacing w:before="120" w:after="120"/>
        <w:ind w:left="357" w:hanging="357"/>
        <w:rPr>
          <w:rFonts w:ascii="Arial" w:hAnsi="Arial" w:cs="Arial"/>
          <w:sz w:val="24"/>
          <w:szCs w:val="24"/>
        </w:rPr>
      </w:pPr>
      <w:r w:rsidRPr="00501CDD">
        <w:rPr>
          <w:rFonts w:ascii="Arial" w:hAnsi="Arial" w:cs="Arial"/>
          <w:sz w:val="24"/>
          <w:szCs w:val="24"/>
        </w:rPr>
        <w:t>is not responsive to the experiences of older people</w:t>
      </w:r>
    </w:p>
    <w:p w14:paraId="5B2478C8" w14:textId="5AE80094" w:rsidR="00202A0C" w:rsidRPr="00501CDD" w:rsidRDefault="00202A0C" w:rsidP="001750D5">
      <w:pPr>
        <w:numPr>
          <w:ilvl w:val="0"/>
          <w:numId w:val="37"/>
        </w:numPr>
        <w:spacing w:before="120" w:after="120"/>
        <w:ind w:left="357" w:hanging="357"/>
        <w:rPr>
          <w:rFonts w:ascii="Arial" w:hAnsi="Arial" w:cs="Arial"/>
          <w:sz w:val="24"/>
          <w:szCs w:val="24"/>
        </w:rPr>
      </w:pPr>
      <w:r w:rsidRPr="00501CDD">
        <w:rPr>
          <w:rFonts w:ascii="Arial" w:hAnsi="Arial" w:cs="Arial"/>
          <w:sz w:val="24"/>
          <w:szCs w:val="24"/>
        </w:rPr>
        <w:t>has a poor track record of enforcement</w:t>
      </w:r>
      <w:r w:rsidR="00A00FB7">
        <w:rPr>
          <w:rFonts w:ascii="Arial" w:hAnsi="Arial" w:cs="Arial"/>
          <w:sz w:val="24"/>
          <w:szCs w:val="24"/>
        </w:rPr>
        <w:t xml:space="preserve">, </w:t>
      </w:r>
      <w:proofErr w:type="gramStart"/>
      <w:r w:rsidR="00A00FB7">
        <w:rPr>
          <w:rFonts w:ascii="Arial" w:hAnsi="Arial" w:cs="Arial"/>
          <w:sz w:val="24"/>
          <w:szCs w:val="24"/>
        </w:rPr>
        <w:t>and</w:t>
      </w:r>
      <w:proofErr w:type="gramEnd"/>
    </w:p>
    <w:p w14:paraId="213A74FD" w14:textId="77777777" w:rsidR="00202A0C" w:rsidRPr="00501CDD" w:rsidRDefault="00202A0C" w:rsidP="001750D5">
      <w:pPr>
        <w:numPr>
          <w:ilvl w:val="0"/>
          <w:numId w:val="37"/>
        </w:numPr>
        <w:spacing w:before="120" w:after="120"/>
        <w:ind w:left="357" w:hanging="357"/>
        <w:rPr>
          <w:rFonts w:ascii="Arial" w:hAnsi="Arial" w:cs="Arial"/>
          <w:sz w:val="24"/>
          <w:szCs w:val="24"/>
        </w:rPr>
      </w:pPr>
      <w:r w:rsidRPr="00501CDD">
        <w:rPr>
          <w:rFonts w:ascii="Arial" w:hAnsi="Arial" w:cs="Arial"/>
          <w:sz w:val="24"/>
          <w:szCs w:val="24"/>
        </w:rPr>
        <w:t>has a reactive approach to monitoring and compliance</w:t>
      </w:r>
    </w:p>
    <w:p w14:paraId="5AA6C9B4" w14:textId="1D0DEC9E" w:rsidR="00202A0C" w:rsidRPr="00501CDD" w:rsidRDefault="00202A0C" w:rsidP="00202A0C">
      <w:pPr>
        <w:spacing w:before="120" w:after="120"/>
        <w:rPr>
          <w:rFonts w:ascii="Arial" w:hAnsi="Arial" w:cs="Arial"/>
          <w:sz w:val="24"/>
          <w:szCs w:val="24"/>
        </w:rPr>
      </w:pPr>
      <w:r w:rsidRPr="00501CDD">
        <w:rPr>
          <w:rFonts w:ascii="Arial" w:hAnsi="Arial" w:cs="Arial"/>
          <w:sz w:val="24"/>
          <w:szCs w:val="24"/>
        </w:rPr>
        <w:t>The Royal Commission placed these shortcomings in the context of the broader regulatory system which it claim</w:t>
      </w:r>
      <w:r w:rsidR="00D560C3">
        <w:rPr>
          <w:rFonts w:ascii="Arial" w:hAnsi="Arial" w:cs="Arial"/>
          <w:sz w:val="24"/>
          <w:szCs w:val="24"/>
        </w:rPr>
        <w:t>ed</w:t>
      </w:r>
      <w:r w:rsidRPr="00501CDD">
        <w:rPr>
          <w:rFonts w:ascii="Arial" w:hAnsi="Arial" w:cs="Arial"/>
          <w:sz w:val="24"/>
          <w:szCs w:val="24"/>
        </w:rPr>
        <w:t xml:space="preserve"> lacks transparency, accountability and responsiveness and overall has not provided assurance of high quality and safe care.</w:t>
      </w:r>
    </w:p>
    <w:p w14:paraId="4DB18DBC" w14:textId="1686D30A" w:rsidR="008E7890" w:rsidRPr="002D5F76" w:rsidRDefault="00202A0C" w:rsidP="002D5F76">
      <w:pPr>
        <w:spacing w:before="120" w:after="360"/>
        <w:rPr>
          <w:rFonts w:ascii="Arial" w:hAnsi="Arial" w:cs="Arial"/>
          <w:sz w:val="24"/>
          <w:szCs w:val="24"/>
        </w:rPr>
      </w:pPr>
      <w:r w:rsidRPr="00501CDD">
        <w:rPr>
          <w:rFonts w:ascii="Arial" w:hAnsi="Arial" w:cs="Arial"/>
          <w:sz w:val="24"/>
          <w:szCs w:val="24"/>
        </w:rPr>
        <w:t xml:space="preserve">Commissioner Briggs’ recommendation specifically states the </w:t>
      </w:r>
      <w:r w:rsidR="00A00FB7">
        <w:rPr>
          <w:rFonts w:ascii="Arial" w:hAnsi="Arial" w:cs="Arial"/>
          <w:sz w:val="24"/>
          <w:szCs w:val="24"/>
        </w:rPr>
        <w:t>new A</w:t>
      </w:r>
      <w:r w:rsidRPr="00501CDD">
        <w:rPr>
          <w:rFonts w:ascii="Arial" w:hAnsi="Arial" w:cs="Arial"/>
          <w:sz w:val="24"/>
          <w:szCs w:val="24"/>
        </w:rPr>
        <w:t xml:space="preserve">uthority should be overseen by a board, with a CEO responsible to the </w:t>
      </w:r>
      <w:r w:rsidR="00A00FB7">
        <w:rPr>
          <w:rFonts w:ascii="Arial" w:hAnsi="Arial" w:cs="Arial"/>
          <w:sz w:val="24"/>
          <w:szCs w:val="24"/>
        </w:rPr>
        <w:t>A</w:t>
      </w:r>
      <w:r w:rsidRPr="00501CDD">
        <w:rPr>
          <w:rFonts w:ascii="Arial" w:hAnsi="Arial" w:cs="Arial"/>
          <w:sz w:val="24"/>
          <w:szCs w:val="24"/>
        </w:rPr>
        <w:t xml:space="preserve">uthority. </w:t>
      </w:r>
    </w:p>
    <w:p w14:paraId="27ED6478" w14:textId="7687AAD4" w:rsidR="00202A0C" w:rsidRPr="00BA2B4A" w:rsidRDefault="00B67308" w:rsidP="00BA2B4A">
      <w:pPr>
        <w:rPr>
          <w:rFonts w:ascii="Arial" w:hAnsi="Arial" w:cs="Arial"/>
          <w:b/>
          <w:bCs/>
          <w:sz w:val="28"/>
          <w:szCs w:val="28"/>
          <w:lang w:eastAsia="en-AU"/>
        </w:rPr>
      </w:pPr>
      <w:r w:rsidRPr="00BA2B4A">
        <w:rPr>
          <w:rFonts w:ascii="Arial" w:hAnsi="Arial" w:cs="Arial"/>
          <w:b/>
          <w:bCs/>
          <w:sz w:val="28"/>
          <w:szCs w:val="28"/>
          <w:lang w:eastAsia="en-AU"/>
        </w:rPr>
        <w:t>6</w:t>
      </w:r>
      <w:r w:rsidR="00202A0C" w:rsidRPr="00BA2B4A">
        <w:rPr>
          <w:rFonts w:ascii="Arial" w:hAnsi="Arial" w:cs="Arial"/>
          <w:b/>
          <w:bCs/>
          <w:sz w:val="28"/>
          <w:szCs w:val="28"/>
          <w:lang w:eastAsia="en-AU"/>
        </w:rPr>
        <w:t>.</w:t>
      </w:r>
      <w:r w:rsidR="003E029A" w:rsidRPr="00BA2B4A">
        <w:rPr>
          <w:rFonts w:ascii="Arial" w:hAnsi="Arial" w:cs="Arial"/>
          <w:b/>
          <w:bCs/>
          <w:sz w:val="28"/>
          <w:szCs w:val="28"/>
          <w:lang w:eastAsia="en-AU"/>
        </w:rPr>
        <w:t>3</w:t>
      </w:r>
      <w:r w:rsidR="00202A0C" w:rsidRPr="00BA2B4A">
        <w:rPr>
          <w:rFonts w:ascii="Arial" w:hAnsi="Arial" w:cs="Arial"/>
          <w:b/>
          <w:bCs/>
          <w:sz w:val="28"/>
          <w:szCs w:val="28"/>
          <w:lang w:eastAsia="en-AU"/>
        </w:rPr>
        <w:t xml:space="preserve"> Retain the</w:t>
      </w:r>
      <w:r w:rsidR="00202A0C" w:rsidRPr="00BA2B4A">
        <w:rPr>
          <w:rFonts w:ascii="Arial" w:hAnsi="Arial" w:cs="Arial"/>
          <w:b/>
          <w:bCs/>
          <w:i/>
          <w:iCs/>
          <w:sz w:val="28"/>
          <w:szCs w:val="28"/>
          <w:lang w:eastAsia="en-AU"/>
        </w:rPr>
        <w:t xml:space="preserve"> </w:t>
      </w:r>
      <w:r w:rsidR="00202A0C" w:rsidRPr="00BA2B4A">
        <w:rPr>
          <w:rFonts w:ascii="Arial" w:hAnsi="Arial" w:cs="Arial"/>
          <w:b/>
          <w:bCs/>
          <w:sz w:val="28"/>
          <w:szCs w:val="28"/>
        </w:rPr>
        <w:t>Commission with a significantly enhanced Advisory Council</w:t>
      </w:r>
    </w:p>
    <w:p w14:paraId="5934210A" w14:textId="61F72C1D" w:rsidR="00202A0C" w:rsidRDefault="00202A0C" w:rsidP="00202A0C">
      <w:pPr>
        <w:spacing w:before="120" w:after="120"/>
        <w:rPr>
          <w:rFonts w:ascii="Arial" w:hAnsi="Arial" w:cs="Arial"/>
          <w:sz w:val="24"/>
          <w:szCs w:val="24"/>
        </w:rPr>
      </w:pPr>
      <w:r w:rsidRPr="007A3EDA">
        <w:rPr>
          <w:rFonts w:ascii="Arial" w:eastAsia="Times New Roman" w:hAnsi="Arial" w:cs="Arial"/>
          <w:sz w:val="24"/>
          <w:szCs w:val="24"/>
        </w:rPr>
        <w:t xml:space="preserve">I am not convinced that the creation of a new </w:t>
      </w:r>
      <w:r w:rsidR="00A81F6E">
        <w:rPr>
          <w:rFonts w:ascii="Arial" w:eastAsia="Times New Roman" w:hAnsi="Arial" w:cs="Arial"/>
          <w:sz w:val="24"/>
          <w:szCs w:val="24"/>
        </w:rPr>
        <w:t>a</w:t>
      </w:r>
      <w:r w:rsidRPr="007A3EDA">
        <w:rPr>
          <w:rFonts w:ascii="Arial" w:eastAsia="Times New Roman" w:hAnsi="Arial" w:cs="Arial"/>
          <w:sz w:val="24"/>
          <w:szCs w:val="24"/>
        </w:rPr>
        <w:t xml:space="preserve">uthority and </w:t>
      </w:r>
      <w:r w:rsidR="00A81F6E">
        <w:rPr>
          <w:rFonts w:ascii="Arial" w:eastAsia="Times New Roman" w:hAnsi="Arial" w:cs="Arial"/>
          <w:sz w:val="24"/>
          <w:szCs w:val="24"/>
        </w:rPr>
        <w:t>b</w:t>
      </w:r>
      <w:r w:rsidRPr="007A3EDA">
        <w:rPr>
          <w:rFonts w:ascii="Arial" w:eastAsia="Times New Roman" w:hAnsi="Arial" w:cs="Arial"/>
          <w:sz w:val="24"/>
          <w:szCs w:val="24"/>
        </w:rPr>
        <w:t xml:space="preserve">oard is either necessary or advisable at this time. </w:t>
      </w:r>
      <w:r w:rsidRPr="00501CDD">
        <w:rPr>
          <w:rFonts w:ascii="Arial" w:hAnsi="Arial" w:cs="Arial"/>
          <w:sz w:val="24"/>
          <w:szCs w:val="24"/>
        </w:rPr>
        <w:t>A new authority, regardless of its form</w:t>
      </w:r>
      <w:r>
        <w:rPr>
          <w:rFonts w:ascii="Arial" w:hAnsi="Arial" w:cs="Arial"/>
          <w:sz w:val="24"/>
          <w:szCs w:val="24"/>
        </w:rPr>
        <w:t xml:space="preserve"> or legal structure,</w:t>
      </w:r>
      <w:r w:rsidRPr="00501CDD">
        <w:rPr>
          <w:rFonts w:ascii="Arial" w:hAnsi="Arial" w:cs="Arial"/>
          <w:sz w:val="24"/>
          <w:szCs w:val="24"/>
        </w:rPr>
        <w:t xml:space="preserve"> would not necessarily address the systemic issues that are barriers to the Commission’s capability</w:t>
      </w:r>
      <w:r>
        <w:rPr>
          <w:rFonts w:ascii="Arial" w:hAnsi="Arial" w:cs="Arial"/>
          <w:sz w:val="24"/>
          <w:szCs w:val="24"/>
        </w:rPr>
        <w:t xml:space="preserve"> as described throughout this report</w:t>
      </w:r>
      <w:r w:rsidRPr="00501CDD">
        <w:rPr>
          <w:rFonts w:ascii="Arial" w:hAnsi="Arial" w:cs="Arial"/>
          <w:sz w:val="24"/>
          <w:szCs w:val="24"/>
        </w:rPr>
        <w:t xml:space="preserve">. </w:t>
      </w:r>
    </w:p>
    <w:p w14:paraId="3FE4677B" w14:textId="1C13CE2E" w:rsidR="00202A0C" w:rsidRPr="00F76887" w:rsidRDefault="00202A0C" w:rsidP="00202A0C">
      <w:pPr>
        <w:spacing w:before="120" w:after="120"/>
        <w:rPr>
          <w:rFonts w:ascii="Arial" w:hAnsi="Arial" w:cs="Arial"/>
          <w:sz w:val="24"/>
          <w:szCs w:val="24"/>
        </w:rPr>
      </w:pPr>
      <w:r w:rsidRPr="33B040B7">
        <w:rPr>
          <w:rFonts w:ascii="Arial" w:hAnsi="Arial" w:cs="Arial"/>
          <w:sz w:val="24"/>
          <w:szCs w:val="24"/>
          <w:lang w:val="en-US"/>
        </w:rPr>
        <w:t xml:space="preserve">My recommendation is to </w:t>
      </w:r>
      <w:r w:rsidRPr="33B040B7">
        <w:rPr>
          <w:rFonts w:ascii="Arial" w:hAnsi="Arial" w:cs="Arial"/>
          <w:sz w:val="24"/>
          <w:szCs w:val="24"/>
        </w:rPr>
        <w:t xml:space="preserve">retain the Commission’s current legal structure as a statutory agency under the </w:t>
      </w:r>
      <w:r w:rsidRPr="33B040B7">
        <w:rPr>
          <w:rFonts w:ascii="Arial" w:hAnsi="Arial" w:cs="Arial"/>
          <w:i/>
          <w:iCs/>
          <w:sz w:val="24"/>
          <w:szCs w:val="24"/>
        </w:rPr>
        <w:t>Public Service Act 1999</w:t>
      </w:r>
      <w:r w:rsidRPr="33B040B7">
        <w:rPr>
          <w:rFonts w:ascii="Arial" w:hAnsi="Arial" w:cs="Arial"/>
          <w:sz w:val="24"/>
          <w:szCs w:val="24"/>
        </w:rPr>
        <w:t xml:space="preserve"> and a listed entity under </w:t>
      </w:r>
      <w:r w:rsidR="00A279F0" w:rsidRPr="33B040B7">
        <w:rPr>
          <w:rFonts w:ascii="Arial" w:hAnsi="Arial" w:cs="Arial"/>
          <w:sz w:val="24"/>
          <w:szCs w:val="24"/>
        </w:rPr>
        <w:t>the Commission Act</w:t>
      </w:r>
      <w:r w:rsidRPr="33B040B7">
        <w:rPr>
          <w:rFonts w:ascii="Arial" w:hAnsi="Arial" w:cs="Arial"/>
          <w:sz w:val="24"/>
          <w:szCs w:val="24"/>
        </w:rPr>
        <w:t xml:space="preserve">. This recommendation is contingent on the successful implementation of substantive reforms to the Commission, based around steps that the Commission has already commenced, those set out in this </w:t>
      </w:r>
      <w:r w:rsidR="00A00FB7" w:rsidRPr="33B040B7">
        <w:rPr>
          <w:rFonts w:ascii="Arial" w:hAnsi="Arial" w:cs="Arial"/>
          <w:sz w:val="24"/>
          <w:szCs w:val="24"/>
        </w:rPr>
        <w:t>R</w:t>
      </w:r>
      <w:r w:rsidRPr="33B040B7">
        <w:rPr>
          <w:rFonts w:ascii="Arial" w:hAnsi="Arial" w:cs="Arial"/>
          <w:sz w:val="24"/>
          <w:szCs w:val="24"/>
        </w:rPr>
        <w:t xml:space="preserve">eview, as well as reforms to the broader regulatory environment, and in particular the introduction of a new </w:t>
      </w:r>
      <w:r w:rsidR="007F37D6" w:rsidRPr="33B040B7">
        <w:rPr>
          <w:rFonts w:ascii="Arial" w:hAnsi="Arial" w:cs="Arial"/>
          <w:sz w:val="24"/>
          <w:szCs w:val="24"/>
        </w:rPr>
        <w:t>A</w:t>
      </w:r>
      <w:r w:rsidR="00A00FB7" w:rsidRPr="33B040B7">
        <w:rPr>
          <w:rFonts w:ascii="Arial" w:hAnsi="Arial" w:cs="Arial"/>
          <w:sz w:val="24"/>
          <w:szCs w:val="24"/>
        </w:rPr>
        <w:t xml:space="preserve">ged Care </w:t>
      </w:r>
      <w:r w:rsidRPr="33B040B7">
        <w:rPr>
          <w:rFonts w:ascii="Arial" w:hAnsi="Arial" w:cs="Arial"/>
          <w:sz w:val="24"/>
          <w:szCs w:val="24"/>
        </w:rPr>
        <w:t xml:space="preserve">Act from </w:t>
      </w:r>
      <w:r w:rsidR="00A00FB7" w:rsidRPr="33B040B7">
        <w:rPr>
          <w:rFonts w:ascii="Arial" w:hAnsi="Arial" w:cs="Arial"/>
          <w:sz w:val="24"/>
          <w:szCs w:val="24"/>
        </w:rPr>
        <w:t>July</w:t>
      </w:r>
      <w:r w:rsidRPr="33B040B7">
        <w:rPr>
          <w:rFonts w:ascii="Arial" w:hAnsi="Arial" w:cs="Arial"/>
          <w:sz w:val="24"/>
          <w:szCs w:val="24"/>
        </w:rPr>
        <w:t xml:space="preserve"> 2024.</w:t>
      </w:r>
      <w:r w:rsidR="61E75416" w:rsidRPr="33B040B7">
        <w:rPr>
          <w:rFonts w:ascii="Arial" w:hAnsi="Arial" w:cs="Arial"/>
          <w:sz w:val="24"/>
          <w:szCs w:val="24"/>
        </w:rPr>
        <w:t xml:space="preserve">a </w:t>
      </w:r>
    </w:p>
    <w:p w14:paraId="3862B446" w14:textId="2F9755EA" w:rsidR="00202A0C" w:rsidRDefault="00202A0C" w:rsidP="00D73C7D">
      <w:pPr>
        <w:keepLines/>
        <w:spacing w:before="120" w:after="120"/>
        <w:rPr>
          <w:rFonts w:ascii="Arial" w:hAnsi="Arial" w:cs="Arial"/>
          <w:sz w:val="24"/>
          <w:szCs w:val="24"/>
        </w:rPr>
      </w:pPr>
      <w:r w:rsidRPr="00E8758F">
        <w:rPr>
          <w:rFonts w:ascii="Arial" w:hAnsi="Arial" w:cs="Arial"/>
          <w:sz w:val="24"/>
          <w:szCs w:val="24"/>
        </w:rPr>
        <w:lastRenderedPageBreak/>
        <w:t>This approach</w:t>
      </w:r>
      <w:r>
        <w:rPr>
          <w:rFonts w:ascii="Arial" w:hAnsi="Arial" w:cs="Arial"/>
          <w:sz w:val="24"/>
          <w:szCs w:val="24"/>
        </w:rPr>
        <w:t xml:space="preserve"> is </w:t>
      </w:r>
      <w:r w:rsidRPr="00E8758F">
        <w:rPr>
          <w:rFonts w:ascii="Arial" w:hAnsi="Arial" w:cs="Arial"/>
          <w:sz w:val="24"/>
          <w:szCs w:val="24"/>
        </w:rPr>
        <w:t xml:space="preserve">less disruptive and more </w:t>
      </w:r>
      <w:r>
        <w:rPr>
          <w:rFonts w:ascii="Arial" w:hAnsi="Arial" w:cs="Arial"/>
          <w:sz w:val="24"/>
          <w:szCs w:val="24"/>
        </w:rPr>
        <w:t xml:space="preserve">efficient </w:t>
      </w:r>
      <w:r w:rsidRPr="00E8758F">
        <w:rPr>
          <w:rFonts w:ascii="Arial" w:hAnsi="Arial" w:cs="Arial"/>
          <w:sz w:val="24"/>
          <w:szCs w:val="24"/>
        </w:rPr>
        <w:t xml:space="preserve">and cost-effective </w:t>
      </w:r>
      <w:r>
        <w:rPr>
          <w:rFonts w:ascii="Arial" w:hAnsi="Arial" w:cs="Arial"/>
          <w:sz w:val="24"/>
          <w:szCs w:val="24"/>
        </w:rPr>
        <w:t>as it</w:t>
      </w:r>
      <w:r w:rsidRPr="00E8758F">
        <w:rPr>
          <w:rFonts w:ascii="Arial" w:hAnsi="Arial" w:cs="Arial"/>
          <w:sz w:val="24"/>
          <w:szCs w:val="24"/>
        </w:rPr>
        <w:t xml:space="preserve"> build</w:t>
      </w:r>
      <w:r>
        <w:rPr>
          <w:rFonts w:ascii="Arial" w:hAnsi="Arial" w:cs="Arial"/>
          <w:sz w:val="24"/>
          <w:szCs w:val="24"/>
        </w:rPr>
        <w:t xml:space="preserve">s </w:t>
      </w:r>
      <w:r w:rsidRPr="00E8758F">
        <w:rPr>
          <w:rFonts w:ascii="Arial" w:hAnsi="Arial" w:cs="Arial"/>
          <w:sz w:val="24"/>
          <w:szCs w:val="24"/>
        </w:rPr>
        <w:t>on the strengths of the current Commission and the work already underway.</w:t>
      </w:r>
      <w:r>
        <w:rPr>
          <w:rFonts w:ascii="Arial" w:hAnsi="Arial" w:cs="Arial"/>
          <w:sz w:val="24"/>
          <w:szCs w:val="24"/>
        </w:rPr>
        <w:t xml:space="preserve"> Moreover, a </w:t>
      </w:r>
      <w:r w:rsidRPr="00501CDD">
        <w:rPr>
          <w:rFonts w:ascii="Arial" w:hAnsi="Arial" w:cs="Arial"/>
          <w:sz w:val="24"/>
          <w:szCs w:val="24"/>
        </w:rPr>
        <w:t>transition to a new structure</w:t>
      </w:r>
      <w:r>
        <w:rPr>
          <w:rFonts w:ascii="Arial" w:hAnsi="Arial" w:cs="Arial"/>
          <w:sz w:val="24"/>
          <w:szCs w:val="24"/>
        </w:rPr>
        <w:t xml:space="preserve"> in line with the Royal Commission findings</w:t>
      </w:r>
      <w:r w:rsidRPr="00501CDD">
        <w:rPr>
          <w:rFonts w:ascii="Arial" w:hAnsi="Arial" w:cs="Arial"/>
          <w:sz w:val="24"/>
          <w:szCs w:val="24"/>
        </w:rPr>
        <w:t xml:space="preserve"> </w:t>
      </w:r>
      <w:r>
        <w:rPr>
          <w:rFonts w:ascii="Arial" w:hAnsi="Arial" w:cs="Arial"/>
          <w:sz w:val="24"/>
          <w:szCs w:val="24"/>
        </w:rPr>
        <w:t>would</w:t>
      </w:r>
      <w:r w:rsidRPr="00501CDD">
        <w:rPr>
          <w:rFonts w:ascii="Arial" w:hAnsi="Arial" w:cs="Arial"/>
          <w:sz w:val="24"/>
          <w:szCs w:val="24"/>
        </w:rPr>
        <w:t xml:space="preserve"> require significant additional resources, which would be better directed to </w:t>
      </w:r>
      <w:r w:rsidR="00A00FB7">
        <w:rPr>
          <w:rFonts w:ascii="Arial" w:hAnsi="Arial" w:cs="Arial"/>
          <w:sz w:val="24"/>
          <w:szCs w:val="24"/>
        </w:rPr>
        <w:t>strengthening</w:t>
      </w:r>
      <w:r w:rsidRPr="00501CDD">
        <w:rPr>
          <w:rFonts w:ascii="Arial" w:hAnsi="Arial" w:cs="Arial"/>
          <w:sz w:val="24"/>
          <w:szCs w:val="24"/>
        </w:rPr>
        <w:t xml:space="preserve"> the current </w:t>
      </w:r>
      <w:r>
        <w:rPr>
          <w:rFonts w:ascii="Arial" w:hAnsi="Arial" w:cs="Arial"/>
          <w:sz w:val="24"/>
          <w:szCs w:val="24"/>
        </w:rPr>
        <w:t>Commission</w:t>
      </w:r>
      <w:r w:rsidRPr="00501CDD">
        <w:rPr>
          <w:rFonts w:ascii="Arial" w:hAnsi="Arial" w:cs="Arial"/>
          <w:sz w:val="24"/>
          <w:szCs w:val="24"/>
        </w:rPr>
        <w:t xml:space="preserve"> and addressing </w:t>
      </w:r>
      <w:r>
        <w:rPr>
          <w:rFonts w:ascii="Arial" w:hAnsi="Arial" w:cs="Arial"/>
          <w:sz w:val="24"/>
          <w:szCs w:val="24"/>
        </w:rPr>
        <w:t xml:space="preserve">identified </w:t>
      </w:r>
      <w:r w:rsidRPr="00501CDD">
        <w:rPr>
          <w:rFonts w:ascii="Arial" w:hAnsi="Arial" w:cs="Arial"/>
          <w:sz w:val="24"/>
          <w:szCs w:val="24"/>
        </w:rPr>
        <w:t>capability issues</w:t>
      </w:r>
      <w:r>
        <w:rPr>
          <w:rFonts w:ascii="Arial" w:hAnsi="Arial" w:cs="Arial"/>
          <w:sz w:val="24"/>
          <w:szCs w:val="24"/>
        </w:rPr>
        <w:t xml:space="preserve"> and resourcing deficits</w:t>
      </w:r>
      <w:r w:rsidRPr="00501CDD">
        <w:rPr>
          <w:rFonts w:ascii="Arial" w:hAnsi="Arial" w:cs="Arial"/>
          <w:sz w:val="24"/>
          <w:szCs w:val="24"/>
        </w:rPr>
        <w:t xml:space="preserve">. </w:t>
      </w:r>
      <w:r>
        <w:rPr>
          <w:rFonts w:ascii="Arial" w:hAnsi="Arial" w:cs="Arial"/>
          <w:sz w:val="24"/>
          <w:szCs w:val="24"/>
        </w:rPr>
        <w:t xml:space="preserve">Abolishing the Commission </w:t>
      </w:r>
      <w:r w:rsidRPr="00501CDD">
        <w:rPr>
          <w:rFonts w:ascii="Arial" w:hAnsi="Arial" w:cs="Arial"/>
          <w:sz w:val="24"/>
          <w:szCs w:val="24"/>
        </w:rPr>
        <w:t xml:space="preserve">could </w:t>
      </w:r>
      <w:r>
        <w:rPr>
          <w:rFonts w:ascii="Arial" w:hAnsi="Arial" w:cs="Arial"/>
          <w:sz w:val="24"/>
          <w:szCs w:val="24"/>
        </w:rPr>
        <w:t xml:space="preserve">also </w:t>
      </w:r>
      <w:r w:rsidRPr="00501CDD">
        <w:rPr>
          <w:rFonts w:ascii="Arial" w:hAnsi="Arial" w:cs="Arial"/>
          <w:sz w:val="24"/>
          <w:szCs w:val="24"/>
        </w:rPr>
        <w:t xml:space="preserve">result in a raft of unintended consequences, including </w:t>
      </w:r>
      <w:r>
        <w:rPr>
          <w:rFonts w:ascii="Arial" w:hAnsi="Arial" w:cs="Arial"/>
          <w:sz w:val="24"/>
          <w:szCs w:val="24"/>
        </w:rPr>
        <w:t>a high likelihood</w:t>
      </w:r>
      <w:r w:rsidRPr="00501CDD">
        <w:rPr>
          <w:rFonts w:ascii="Arial" w:hAnsi="Arial" w:cs="Arial"/>
          <w:sz w:val="24"/>
          <w:szCs w:val="24"/>
        </w:rPr>
        <w:t xml:space="preserve"> of setting back the reform agenda as a new structure is established and embedded.</w:t>
      </w:r>
    </w:p>
    <w:p w14:paraId="3DAAAC0F" w14:textId="0D6A1A07" w:rsidR="00202A0C" w:rsidRDefault="00202A0C" w:rsidP="00202A0C">
      <w:pPr>
        <w:spacing w:before="120" w:after="120"/>
        <w:rPr>
          <w:rFonts w:ascii="Arial" w:hAnsi="Arial" w:cs="Arial"/>
          <w:sz w:val="24"/>
          <w:szCs w:val="24"/>
        </w:rPr>
      </w:pPr>
      <w:r>
        <w:rPr>
          <w:rFonts w:ascii="Arial" w:hAnsi="Arial" w:cs="Arial"/>
          <w:sz w:val="24"/>
          <w:szCs w:val="24"/>
        </w:rPr>
        <w:t xml:space="preserve">I also do not agree that </w:t>
      </w:r>
      <w:r w:rsidRPr="00501CDD">
        <w:rPr>
          <w:rFonts w:ascii="Arial" w:hAnsi="Arial" w:cs="Arial"/>
          <w:sz w:val="24"/>
          <w:szCs w:val="24"/>
        </w:rPr>
        <w:t xml:space="preserve">Commissioner Briggs’ proposal to implement an executive governing board </w:t>
      </w:r>
      <w:r>
        <w:rPr>
          <w:rFonts w:ascii="Arial" w:hAnsi="Arial" w:cs="Arial"/>
          <w:sz w:val="24"/>
          <w:szCs w:val="24"/>
        </w:rPr>
        <w:t>is warranted at this time. However, I strongly recommend</w:t>
      </w:r>
      <w:r w:rsidRPr="00501CDD">
        <w:rPr>
          <w:rFonts w:ascii="Arial" w:hAnsi="Arial" w:cs="Arial"/>
          <w:sz w:val="24"/>
          <w:szCs w:val="24"/>
        </w:rPr>
        <w:t xml:space="preserve"> the </w:t>
      </w:r>
      <w:r>
        <w:rPr>
          <w:rFonts w:ascii="Arial" w:hAnsi="Arial" w:cs="Arial"/>
          <w:sz w:val="24"/>
          <w:szCs w:val="24"/>
        </w:rPr>
        <w:t xml:space="preserve">Aged Care Quality and Safety </w:t>
      </w:r>
      <w:r w:rsidRPr="00E8758F">
        <w:rPr>
          <w:rFonts w:ascii="Arial" w:hAnsi="Arial" w:cs="Arial"/>
          <w:sz w:val="24"/>
          <w:szCs w:val="24"/>
        </w:rPr>
        <w:t>Advisory Council</w:t>
      </w:r>
      <w:r>
        <w:rPr>
          <w:rFonts w:ascii="Arial" w:hAnsi="Arial" w:cs="Arial"/>
          <w:sz w:val="24"/>
          <w:szCs w:val="24"/>
        </w:rPr>
        <w:t xml:space="preserve"> </w:t>
      </w:r>
      <w:r w:rsidRPr="00501CDD">
        <w:rPr>
          <w:rFonts w:ascii="Arial" w:hAnsi="Arial" w:cs="Arial"/>
          <w:sz w:val="24"/>
          <w:szCs w:val="24"/>
        </w:rPr>
        <w:t xml:space="preserve">be significantly </w:t>
      </w:r>
      <w:r>
        <w:rPr>
          <w:rFonts w:ascii="Arial" w:hAnsi="Arial" w:cs="Arial"/>
          <w:sz w:val="24"/>
          <w:szCs w:val="24"/>
        </w:rPr>
        <w:t>reformed</w:t>
      </w:r>
      <w:r w:rsidRPr="00501CDD">
        <w:rPr>
          <w:rFonts w:ascii="Arial" w:hAnsi="Arial" w:cs="Arial"/>
          <w:sz w:val="24"/>
          <w:szCs w:val="24"/>
        </w:rPr>
        <w:t xml:space="preserve"> to embed it as a </w:t>
      </w:r>
      <w:r>
        <w:rPr>
          <w:rFonts w:ascii="Arial" w:hAnsi="Arial" w:cs="Arial"/>
          <w:sz w:val="24"/>
          <w:szCs w:val="24"/>
        </w:rPr>
        <w:t>stronger</w:t>
      </w:r>
      <w:r w:rsidRPr="00501CDD">
        <w:rPr>
          <w:rFonts w:ascii="Arial" w:hAnsi="Arial" w:cs="Arial"/>
          <w:sz w:val="24"/>
          <w:szCs w:val="24"/>
        </w:rPr>
        <w:t xml:space="preserve"> accountability mechanism, to ensure the Minster has access to independent advice about emerging issues and risks and to help drive the strategic direction of the </w:t>
      </w:r>
      <w:r>
        <w:rPr>
          <w:rFonts w:ascii="Arial" w:hAnsi="Arial" w:cs="Arial"/>
          <w:sz w:val="24"/>
          <w:szCs w:val="24"/>
        </w:rPr>
        <w:t>Commission</w:t>
      </w:r>
      <w:r w:rsidRPr="00501CDD">
        <w:rPr>
          <w:rFonts w:ascii="Arial" w:hAnsi="Arial" w:cs="Arial"/>
          <w:sz w:val="24"/>
          <w:szCs w:val="24"/>
        </w:rPr>
        <w:t>.</w:t>
      </w:r>
      <w:r>
        <w:rPr>
          <w:rFonts w:ascii="Arial" w:hAnsi="Arial" w:cs="Arial"/>
          <w:sz w:val="24"/>
          <w:szCs w:val="24"/>
        </w:rPr>
        <w:t xml:space="preserve"> </w:t>
      </w:r>
      <w:r w:rsidRPr="00501CDD">
        <w:rPr>
          <w:rFonts w:ascii="Arial" w:hAnsi="Arial" w:cs="Arial"/>
          <w:sz w:val="24"/>
          <w:szCs w:val="24"/>
        </w:rPr>
        <w:t xml:space="preserve">The Advisory Council </w:t>
      </w:r>
      <w:r>
        <w:rPr>
          <w:rFonts w:ascii="Arial" w:hAnsi="Arial" w:cs="Arial"/>
          <w:sz w:val="24"/>
          <w:szCs w:val="24"/>
        </w:rPr>
        <w:t xml:space="preserve">was </w:t>
      </w:r>
      <w:r w:rsidRPr="00501CDD">
        <w:rPr>
          <w:rFonts w:ascii="Arial" w:hAnsi="Arial" w:cs="Arial"/>
          <w:sz w:val="24"/>
          <w:szCs w:val="24"/>
        </w:rPr>
        <w:t xml:space="preserve">established in a different context and must evolve to meet the current and future needs of the </w:t>
      </w:r>
      <w:r>
        <w:rPr>
          <w:rFonts w:ascii="Arial" w:hAnsi="Arial" w:cs="Arial"/>
          <w:sz w:val="24"/>
          <w:szCs w:val="24"/>
        </w:rPr>
        <w:t>Commission</w:t>
      </w:r>
      <w:r w:rsidRPr="00501CDD">
        <w:rPr>
          <w:rFonts w:ascii="Arial" w:hAnsi="Arial" w:cs="Arial"/>
          <w:sz w:val="24"/>
          <w:szCs w:val="24"/>
        </w:rPr>
        <w:t xml:space="preserve">. </w:t>
      </w:r>
      <w:r>
        <w:rPr>
          <w:rFonts w:ascii="Arial" w:hAnsi="Arial" w:cs="Arial"/>
          <w:sz w:val="24"/>
          <w:szCs w:val="24"/>
        </w:rPr>
        <w:t xml:space="preserve">This proposal is detailed in </w:t>
      </w:r>
      <w:r w:rsidR="00D560C3">
        <w:rPr>
          <w:rFonts w:ascii="Arial" w:hAnsi="Arial" w:cs="Arial"/>
          <w:sz w:val="24"/>
          <w:szCs w:val="24"/>
        </w:rPr>
        <w:t xml:space="preserve">Section </w:t>
      </w:r>
      <w:r w:rsidR="00A00FB7">
        <w:rPr>
          <w:rFonts w:ascii="Arial" w:hAnsi="Arial" w:cs="Arial"/>
          <w:sz w:val="24"/>
          <w:szCs w:val="24"/>
        </w:rPr>
        <w:t>6.4</w:t>
      </w:r>
      <w:r>
        <w:rPr>
          <w:rFonts w:ascii="Arial" w:hAnsi="Arial" w:cs="Arial"/>
          <w:sz w:val="24"/>
          <w:szCs w:val="24"/>
        </w:rPr>
        <w:t xml:space="preserve"> below. </w:t>
      </w:r>
    </w:p>
    <w:p w14:paraId="579791FE" w14:textId="7255AC4E" w:rsidR="00202A0C" w:rsidRDefault="00202A0C" w:rsidP="00202A0C">
      <w:pPr>
        <w:spacing w:before="120" w:after="120" w:line="252" w:lineRule="auto"/>
        <w:rPr>
          <w:rFonts w:ascii="Arial" w:hAnsi="Arial" w:cs="Arial"/>
          <w:sz w:val="24"/>
          <w:szCs w:val="24"/>
        </w:rPr>
      </w:pPr>
      <w:r w:rsidRPr="00501CDD">
        <w:rPr>
          <w:rFonts w:ascii="Arial" w:hAnsi="Arial" w:cs="Arial"/>
          <w:sz w:val="24"/>
          <w:szCs w:val="24"/>
        </w:rPr>
        <w:t xml:space="preserve">If this approach is agreed, </w:t>
      </w:r>
      <w:r w:rsidR="0058417F">
        <w:rPr>
          <w:rFonts w:ascii="Arial" w:hAnsi="Arial" w:cs="Arial"/>
          <w:sz w:val="24"/>
          <w:szCs w:val="24"/>
        </w:rPr>
        <w:t>I</w:t>
      </w:r>
      <w:r w:rsidRPr="00501CDD">
        <w:rPr>
          <w:rFonts w:ascii="Arial" w:hAnsi="Arial" w:cs="Arial"/>
          <w:sz w:val="24"/>
          <w:szCs w:val="24"/>
        </w:rPr>
        <w:t xml:space="preserve"> recommend a review be undertaken in 2025, once the regulatory reform and new Aged Care Act are embedded</w:t>
      </w:r>
      <w:r>
        <w:rPr>
          <w:rFonts w:ascii="Arial" w:hAnsi="Arial" w:cs="Arial"/>
          <w:sz w:val="24"/>
          <w:szCs w:val="24"/>
        </w:rPr>
        <w:t>,</w:t>
      </w:r>
      <w:r w:rsidRPr="00501CDD">
        <w:rPr>
          <w:rFonts w:ascii="Arial" w:hAnsi="Arial" w:cs="Arial"/>
          <w:sz w:val="24"/>
          <w:szCs w:val="24"/>
        </w:rPr>
        <w:t xml:space="preserve"> to </w:t>
      </w:r>
      <w:r>
        <w:rPr>
          <w:rFonts w:ascii="Arial" w:hAnsi="Arial" w:cs="Arial"/>
          <w:sz w:val="24"/>
          <w:szCs w:val="24"/>
        </w:rPr>
        <w:t>assess whether sufficient progress has been made in implementing the recommendations of this Review, and whether the Advisory Council is operating optimally.</w:t>
      </w:r>
      <w:r w:rsidRPr="00501CDD">
        <w:rPr>
          <w:rFonts w:ascii="Arial" w:hAnsi="Arial" w:cs="Arial"/>
          <w:sz w:val="24"/>
          <w:szCs w:val="24"/>
        </w:rPr>
        <w:t xml:space="preserve"> This </w:t>
      </w:r>
      <w:r>
        <w:rPr>
          <w:rFonts w:ascii="Arial" w:hAnsi="Arial" w:cs="Arial"/>
          <w:sz w:val="24"/>
          <w:szCs w:val="24"/>
        </w:rPr>
        <w:t>sh</w:t>
      </w:r>
      <w:r w:rsidRPr="00501CDD">
        <w:rPr>
          <w:rFonts w:ascii="Arial" w:hAnsi="Arial" w:cs="Arial"/>
          <w:sz w:val="24"/>
          <w:szCs w:val="24"/>
        </w:rPr>
        <w:t>ould be a role for the Inspector</w:t>
      </w:r>
      <w:r>
        <w:rPr>
          <w:rFonts w:ascii="Arial" w:hAnsi="Arial" w:cs="Arial"/>
          <w:sz w:val="24"/>
          <w:szCs w:val="24"/>
        </w:rPr>
        <w:t>-</w:t>
      </w:r>
      <w:r w:rsidRPr="00501CDD">
        <w:rPr>
          <w:rFonts w:ascii="Arial" w:hAnsi="Arial" w:cs="Arial"/>
          <w:sz w:val="24"/>
          <w:szCs w:val="24"/>
        </w:rPr>
        <w:t xml:space="preserve">General </w:t>
      </w:r>
      <w:r>
        <w:rPr>
          <w:rFonts w:ascii="Arial" w:hAnsi="Arial" w:cs="Arial"/>
          <w:sz w:val="24"/>
          <w:szCs w:val="24"/>
        </w:rPr>
        <w:t xml:space="preserve">of Aged Care </w:t>
      </w:r>
      <w:r w:rsidRPr="00501CDD">
        <w:rPr>
          <w:rFonts w:ascii="Arial" w:hAnsi="Arial" w:cs="Arial"/>
          <w:sz w:val="24"/>
          <w:szCs w:val="24"/>
        </w:rPr>
        <w:t xml:space="preserve">who is already mandated to review the implementation of the Royal Commission recommendations. </w:t>
      </w:r>
      <w:r>
        <w:rPr>
          <w:rFonts w:ascii="Arial" w:hAnsi="Arial" w:cs="Arial"/>
          <w:sz w:val="24"/>
          <w:szCs w:val="24"/>
        </w:rPr>
        <w:t>I would expect that the Inspector-General would consider whether there is merit in considering whether to abolish the Commission and form a new Authority with a governing Board at that point.</w:t>
      </w:r>
    </w:p>
    <w:p w14:paraId="652C32C9" w14:textId="0006D167" w:rsidR="00202A0C" w:rsidRPr="005D0AF3" w:rsidRDefault="00202A0C" w:rsidP="00202A0C">
      <w:pPr>
        <w:spacing w:before="120" w:after="120" w:line="240" w:lineRule="auto"/>
        <w:rPr>
          <w:rFonts w:ascii="Arial" w:hAnsi="Arial" w:cs="Arial"/>
          <w:sz w:val="24"/>
          <w:szCs w:val="24"/>
        </w:rPr>
      </w:pPr>
      <w:r w:rsidRPr="005D0AF3">
        <w:rPr>
          <w:rFonts w:ascii="Arial" w:hAnsi="Arial" w:cs="Arial"/>
          <w:b/>
          <w:bCs/>
          <w:sz w:val="24"/>
          <w:szCs w:val="24"/>
          <w:lang w:val="en-US"/>
        </w:rPr>
        <w:t>R</w:t>
      </w:r>
      <w:r w:rsidR="00060835" w:rsidRPr="005D0AF3">
        <w:rPr>
          <w:rFonts w:ascii="Arial" w:hAnsi="Arial" w:cs="Arial"/>
          <w:b/>
          <w:bCs/>
          <w:sz w:val="24"/>
          <w:szCs w:val="24"/>
          <w:lang w:val="en-US"/>
        </w:rPr>
        <w:t>ecommendation 6</w:t>
      </w:r>
      <w:r w:rsidRPr="005D0AF3">
        <w:rPr>
          <w:rFonts w:ascii="Arial" w:hAnsi="Arial" w:cs="Arial"/>
          <w:b/>
          <w:bCs/>
          <w:sz w:val="24"/>
          <w:szCs w:val="24"/>
          <w:lang w:val="en-US"/>
        </w:rPr>
        <w:t>.1</w:t>
      </w:r>
      <w:r w:rsidRPr="005D0AF3">
        <w:rPr>
          <w:rFonts w:ascii="Arial" w:hAnsi="Arial" w:cs="Arial"/>
          <w:sz w:val="24"/>
          <w:szCs w:val="24"/>
          <w:lang w:val="en-US"/>
        </w:rPr>
        <w:t xml:space="preserve"> </w:t>
      </w:r>
      <w:r w:rsidR="00836CCA">
        <w:rPr>
          <w:rFonts w:ascii="Arial" w:hAnsi="Arial" w:cs="Arial"/>
          <w:sz w:val="24"/>
          <w:szCs w:val="24"/>
        </w:rPr>
        <w:t>T</w:t>
      </w:r>
      <w:r w:rsidRPr="005D0AF3">
        <w:rPr>
          <w:rFonts w:ascii="Arial" w:hAnsi="Arial" w:cs="Arial"/>
          <w:sz w:val="24"/>
          <w:szCs w:val="24"/>
        </w:rPr>
        <w:t xml:space="preserve">he Commission </w:t>
      </w:r>
      <w:r w:rsidR="00836CCA">
        <w:rPr>
          <w:rFonts w:ascii="Arial" w:hAnsi="Arial" w:cs="Arial"/>
          <w:sz w:val="24"/>
          <w:szCs w:val="24"/>
        </w:rPr>
        <w:t xml:space="preserve">to be retained </w:t>
      </w:r>
      <w:r w:rsidRPr="005D0AF3">
        <w:rPr>
          <w:rFonts w:ascii="Arial" w:hAnsi="Arial" w:cs="Arial"/>
          <w:sz w:val="24"/>
          <w:szCs w:val="24"/>
        </w:rPr>
        <w:t xml:space="preserve">in its current form. </w:t>
      </w:r>
    </w:p>
    <w:p w14:paraId="6BA52D32" w14:textId="3A752FEC" w:rsidR="00202A0C" w:rsidRPr="005D0AF3" w:rsidRDefault="00202A0C" w:rsidP="00202A0C">
      <w:pPr>
        <w:spacing w:before="120" w:after="120" w:line="252" w:lineRule="auto"/>
        <w:textAlignment w:val="baseline"/>
        <w:rPr>
          <w:rFonts w:ascii="Arial" w:eastAsia="Times New Roman" w:hAnsi="Arial" w:cs="Arial"/>
          <w:sz w:val="24"/>
          <w:szCs w:val="24"/>
        </w:rPr>
      </w:pPr>
      <w:r w:rsidRPr="005D0AF3">
        <w:rPr>
          <w:rFonts w:ascii="Arial" w:eastAsia="Times New Roman" w:hAnsi="Arial" w:cs="Arial"/>
          <w:b/>
          <w:bCs/>
          <w:sz w:val="24"/>
          <w:szCs w:val="24"/>
        </w:rPr>
        <w:t>R</w:t>
      </w:r>
      <w:r w:rsidR="00060835" w:rsidRPr="005D0AF3">
        <w:rPr>
          <w:rFonts w:ascii="Arial" w:eastAsia="Times New Roman" w:hAnsi="Arial" w:cs="Arial"/>
          <w:b/>
          <w:bCs/>
          <w:sz w:val="24"/>
          <w:szCs w:val="24"/>
        </w:rPr>
        <w:t>ecommendation 6.2</w:t>
      </w:r>
      <w:r w:rsidRPr="005D0AF3">
        <w:rPr>
          <w:rFonts w:ascii="Arial" w:eastAsia="Times New Roman" w:hAnsi="Arial" w:cs="Arial"/>
          <w:sz w:val="24"/>
          <w:szCs w:val="24"/>
        </w:rPr>
        <w:t xml:space="preserve"> </w:t>
      </w:r>
      <w:r w:rsidR="00836CCA">
        <w:rPr>
          <w:rFonts w:ascii="Arial" w:eastAsia="Times New Roman" w:hAnsi="Arial" w:cs="Arial"/>
          <w:sz w:val="24"/>
          <w:szCs w:val="24"/>
        </w:rPr>
        <w:t>The</w:t>
      </w:r>
      <w:r w:rsidRPr="005D0AF3">
        <w:rPr>
          <w:rFonts w:ascii="Arial" w:eastAsia="Times New Roman" w:hAnsi="Arial" w:cs="Arial"/>
          <w:sz w:val="24"/>
          <w:szCs w:val="24"/>
        </w:rPr>
        <w:t xml:space="preserve"> </w:t>
      </w:r>
      <w:r w:rsidRPr="005D0AF3">
        <w:rPr>
          <w:rFonts w:ascii="Arial" w:hAnsi="Arial" w:cs="Arial"/>
          <w:color w:val="000000" w:themeColor="text1"/>
          <w:sz w:val="24"/>
          <w:szCs w:val="24"/>
          <w:lang w:val="en-US"/>
        </w:rPr>
        <w:t xml:space="preserve">Aged Care Quality and Safety </w:t>
      </w:r>
      <w:r w:rsidRPr="005D0AF3">
        <w:rPr>
          <w:rFonts w:ascii="Arial" w:hAnsi="Arial" w:cs="Arial"/>
          <w:color w:val="000000"/>
          <w:sz w:val="24"/>
          <w:szCs w:val="24"/>
          <w:shd w:val="clear" w:color="auto" w:fill="FFFFFF"/>
        </w:rPr>
        <w:t xml:space="preserve">Advisory Council </w:t>
      </w:r>
      <w:r w:rsidRPr="005D0AF3">
        <w:rPr>
          <w:rFonts w:ascii="Arial" w:eastAsia="Times New Roman" w:hAnsi="Arial" w:cs="Arial"/>
          <w:sz w:val="24"/>
          <w:szCs w:val="24"/>
        </w:rPr>
        <w:t xml:space="preserve">to </w:t>
      </w:r>
      <w:r w:rsidR="00836CCA">
        <w:rPr>
          <w:rFonts w:ascii="Arial" w:eastAsia="Times New Roman" w:hAnsi="Arial" w:cs="Arial"/>
          <w:sz w:val="24"/>
          <w:szCs w:val="24"/>
        </w:rPr>
        <w:t xml:space="preserve">be strengthened to </w:t>
      </w:r>
      <w:r w:rsidRPr="005D0AF3">
        <w:rPr>
          <w:rFonts w:ascii="Arial" w:eastAsia="Times New Roman" w:hAnsi="Arial" w:cs="Arial"/>
          <w:sz w:val="24"/>
          <w:szCs w:val="24"/>
        </w:rPr>
        <w:t>provide stronger independence</w:t>
      </w:r>
      <w:r w:rsidR="00E4677F">
        <w:rPr>
          <w:rFonts w:ascii="Arial" w:eastAsia="Times New Roman" w:hAnsi="Arial" w:cs="Arial"/>
          <w:sz w:val="24"/>
          <w:szCs w:val="24"/>
        </w:rPr>
        <w:t xml:space="preserve">, </w:t>
      </w:r>
      <w:proofErr w:type="gramStart"/>
      <w:r w:rsidRPr="005D0AF3">
        <w:rPr>
          <w:rFonts w:ascii="Arial" w:eastAsia="Times New Roman" w:hAnsi="Arial" w:cs="Arial"/>
          <w:sz w:val="24"/>
          <w:szCs w:val="24"/>
        </w:rPr>
        <w:t>accountability</w:t>
      </w:r>
      <w:proofErr w:type="gramEnd"/>
      <w:r w:rsidRPr="005D0AF3">
        <w:rPr>
          <w:rFonts w:ascii="Arial" w:eastAsia="Times New Roman" w:hAnsi="Arial" w:cs="Arial"/>
          <w:sz w:val="24"/>
          <w:szCs w:val="24"/>
        </w:rPr>
        <w:t xml:space="preserve"> </w:t>
      </w:r>
      <w:r w:rsidR="00E4677F">
        <w:rPr>
          <w:rFonts w:ascii="Arial" w:eastAsia="Times New Roman" w:hAnsi="Arial" w:cs="Arial"/>
          <w:sz w:val="24"/>
          <w:szCs w:val="24"/>
        </w:rPr>
        <w:t xml:space="preserve">and oversight </w:t>
      </w:r>
      <w:r w:rsidR="00224303" w:rsidRPr="005D0AF3">
        <w:rPr>
          <w:rFonts w:ascii="Arial" w:eastAsia="Times New Roman" w:hAnsi="Arial" w:cs="Arial"/>
          <w:sz w:val="24"/>
          <w:szCs w:val="24"/>
        </w:rPr>
        <w:t>(see detail</w:t>
      </w:r>
      <w:r w:rsidRPr="005D0AF3">
        <w:rPr>
          <w:rFonts w:ascii="Arial" w:eastAsia="Times New Roman" w:hAnsi="Arial" w:cs="Arial"/>
          <w:sz w:val="24"/>
          <w:szCs w:val="24"/>
        </w:rPr>
        <w:t xml:space="preserve"> below</w:t>
      </w:r>
      <w:r w:rsidR="003E029A" w:rsidRPr="005D0AF3">
        <w:rPr>
          <w:rFonts w:ascii="Arial" w:eastAsia="Times New Roman" w:hAnsi="Arial" w:cs="Arial"/>
          <w:sz w:val="24"/>
          <w:szCs w:val="24"/>
        </w:rPr>
        <w:t xml:space="preserve"> in </w:t>
      </w:r>
      <w:r w:rsidR="003C58EB">
        <w:rPr>
          <w:rFonts w:ascii="Arial" w:eastAsia="Times New Roman" w:hAnsi="Arial" w:cs="Arial"/>
          <w:sz w:val="24"/>
          <w:szCs w:val="24"/>
        </w:rPr>
        <w:t xml:space="preserve">Section </w:t>
      </w:r>
      <w:r w:rsidR="003E029A" w:rsidRPr="005D0AF3">
        <w:rPr>
          <w:rFonts w:ascii="Arial" w:eastAsia="Times New Roman" w:hAnsi="Arial" w:cs="Arial"/>
          <w:sz w:val="24"/>
          <w:szCs w:val="24"/>
        </w:rPr>
        <w:t>6.4</w:t>
      </w:r>
      <w:r w:rsidR="00224303" w:rsidRPr="005D0AF3">
        <w:rPr>
          <w:rFonts w:ascii="Arial" w:eastAsia="Times New Roman" w:hAnsi="Arial" w:cs="Arial"/>
          <w:sz w:val="24"/>
          <w:szCs w:val="24"/>
        </w:rPr>
        <w:t>)</w:t>
      </w:r>
      <w:r w:rsidRPr="005D0AF3">
        <w:rPr>
          <w:rFonts w:ascii="Arial" w:eastAsia="Times New Roman" w:hAnsi="Arial" w:cs="Arial"/>
          <w:sz w:val="24"/>
          <w:szCs w:val="24"/>
        </w:rPr>
        <w:t>. </w:t>
      </w:r>
    </w:p>
    <w:p w14:paraId="05ED0CEE" w14:textId="5EC60243" w:rsidR="008E7890" w:rsidRPr="002D5F76" w:rsidRDefault="00202A0C" w:rsidP="002D5F76">
      <w:pPr>
        <w:spacing w:before="120" w:after="360" w:line="240" w:lineRule="auto"/>
        <w:rPr>
          <w:rFonts w:ascii="Arial" w:hAnsi="Arial" w:cs="Arial"/>
          <w:sz w:val="24"/>
          <w:szCs w:val="24"/>
          <w:lang w:val="en-US"/>
        </w:rPr>
      </w:pPr>
      <w:r w:rsidRPr="005D0AF3">
        <w:rPr>
          <w:rFonts w:ascii="Arial" w:hAnsi="Arial" w:cs="Arial"/>
          <w:b/>
          <w:bCs/>
          <w:sz w:val="24"/>
          <w:szCs w:val="24"/>
          <w:lang w:val="en-US"/>
        </w:rPr>
        <w:t>R</w:t>
      </w:r>
      <w:r w:rsidR="00060835" w:rsidRPr="005D0AF3">
        <w:rPr>
          <w:rFonts w:ascii="Arial" w:hAnsi="Arial" w:cs="Arial"/>
          <w:b/>
          <w:bCs/>
          <w:sz w:val="24"/>
          <w:szCs w:val="24"/>
          <w:lang w:val="en-US"/>
        </w:rPr>
        <w:t>ecommendation 6.3</w:t>
      </w:r>
      <w:r w:rsidRPr="005D0AF3">
        <w:rPr>
          <w:rFonts w:ascii="Arial" w:hAnsi="Arial" w:cs="Arial"/>
          <w:sz w:val="24"/>
          <w:szCs w:val="24"/>
          <w:lang w:val="en-US"/>
        </w:rPr>
        <w:t xml:space="preserve"> The Inspector-General for Aged Care </w:t>
      </w:r>
      <w:r w:rsidR="00836CCA">
        <w:rPr>
          <w:rFonts w:ascii="Arial" w:hAnsi="Arial" w:cs="Arial"/>
          <w:sz w:val="24"/>
          <w:szCs w:val="24"/>
          <w:lang w:val="en-US"/>
        </w:rPr>
        <w:t xml:space="preserve">to </w:t>
      </w:r>
      <w:r w:rsidRPr="005D0AF3">
        <w:rPr>
          <w:rFonts w:ascii="Arial" w:hAnsi="Arial" w:cs="Arial"/>
          <w:sz w:val="24"/>
          <w:szCs w:val="24"/>
          <w:lang w:val="en-US"/>
        </w:rPr>
        <w:t xml:space="preserve">undertake a review in 2025 to assess progress on implementing the recommendations of this </w:t>
      </w:r>
      <w:r w:rsidR="00A00FB7">
        <w:rPr>
          <w:rFonts w:ascii="Arial" w:hAnsi="Arial" w:cs="Arial"/>
          <w:sz w:val="24"/>
          <w:szCs w:val="24"/>
          <w:lang w:val="en-US"/>
        </w:rPr>
        <w:t>R</w:t>
      </w:r>
      <w:r w:rsidRPr="005D0AF3">
        <w:rPr>
          <w:rFonts w:ascii="Arial" w:hAnsi="Arial" w:cs="Arial"/>
          <w:sz w:val="24"/>
          <w:szCs w:val="24"/>
          <w:lang w:val="en-US"/>
        </w:rPr>
        <w:t>eview, and to consider whether there is merit in abolishing the Commission and forming a new Authority and governing board.</w:t>
      </w:r>
      <w:bookmarkStart w:id="26" w:name="_Toc129118896"/>
    </w:p>
    <w:p w14:paraId="05526C86" w14:textId="1AECB51E" w:rsidR="00202A0C" w:rsidRPr="00AA2A77" w:rsidRDefault="00261EEF" w:rsidP="00AA2A77">
      <w:pPr>
        <w:rPr>
          <w:rFonts w:ascii="Arial" w:hAnsi="Arial" w:cs="Arial"/>
          <w:b/>
          <w:bCs/>
          <w:sz w:val="28"/>
          <w:szCs w:val="28"/>
        </w:rPr>
      </w:pPr>
      <w:r w:rsidRPr="00AA2A77">
        <w:rPr>
          <w:rFonts w:ascii="Arial" w:hAnsi="Arial" w:cs="Arial"/>
          <w:b/>
          <w:bCs/>
          <w:sz w:val="28"/>
          <w:szCs w:val="28"/>
        </w:rPr>
        <w:t>6</w:t>
      </w:r>
      <w:r w:rsidR="00202A0C" w:rsidRPr="00AA2A77">
        <w:rPr>
          <w:rFonts w:ascii="Arial" w:hAnsi="Arial" w:cs="Arial"/>
          <w:b/>
          <w:bCs/>
          <w:sz w:val="28"/>
          <w:szCs w:val="28"/>
        </w:rPr>
        <w:t>.</w:t>
      </w:r>
      <w:r w:rsidR="003E029A" w:rsidRPr="00AA2A77">
        <w:rPr>
          <w:rFonts w:ascii="Arial" w:hAnsi="Arial" w:cs="Arial"/>
          <w:b/>
          <w:bCs/>
          <w:sz w:val="28"/>
          <w:szCs w:val="28"/>
        </w:rPr>
        <w:t>4</w:t>
      </w:r>
      <w:r w:rsidR="00202A0C" w:rsidRPr="00AA2A77">
        <w:rPr>
          <w:rFonts w:ascii="Arial" w:hAnsi="Arial" w:cs="Arial"/>
          <w:b/>
          <w:bCs/>
          <w:sz w:val="28"/>
          <w:szCs w:val="28"/>
        </w:rPr>
        <w:t xml:space="preserve"> Aged Care Quality and Safety Advisory Council</w:t>
      </w:r>
      <w:bookmarkEnd w:id="26"/>
      <w:r w:rsidR="00202A0C" w:rsidRPr="00AA2A77">
        <w:rPr>
          <w:rFonts w:ascii="Arial" w:hAnsi="Arial" w:cs="Arial"/>
          <w:b/>
          <w:bCs/>
          <w:sz w:val="28"/>
          <w:szCs w:val="28"/>
        </w:rPr>
        <w:t xml:space="preserve"> – a substantially enhanced role</w:t>
      </w:r>
    </w:p>
    <w:p w14:paraId="461A05E1" w14:textId="339402BF" w:rsidR="00202A0C" w:rsidRDefault="00202A0C" w:rsidP="00202A0C">
      <w:pPr>
        <w:spacing w:before="120" w:after="120" w:line="240" w:lineRule="auto"/>
        <w:rPr>
          <w:rFonts w:ascii="Arial" w:hAnsi="Arial" w:cs="Arial"/>
          <w:sz w:val="24"/>
          <w:szCs w:val="24"/>
        </w:rPr>
      </w:pPr>
      <w:r>
        <w:rPr>
          <w:rFonts w:ascii="Arial" w:hAnsi="Arial" w:cs="Arial"/>
          <w:sz w:val="24"/>
          <w:szCs w:val="24"/>
        </w:rPr>
        <w:t>My</w:t>
      </w:r>
      <w:r w:rsidRPr="00501CDD">
        <w:rPr>
          <w:rFonts w:ascii="Arial" w:hAnsi="Arial" w:cs="Arial"/>
          <w:sz w:val="24"/>
          <w:szCs w:val="24"/>
        </w:rPr>
        <w:t xml:space="preserve"> recommendation to retain the </w:t>
      </w:r>
      <w:r>
        <w:rPr>
          <w:rFonts w:ascii="Arial" w:hAnsi="Arial" w:cs="Arial"/>
          <w:sz w:val="24"/>
          <w:szCs w:val="24"/>
        </w:rPr>
        <w:t>Commission</w:t>
      </w:r>
      <w:r w:rsidRPr="00501CDD">
        <w:rPr>
          <w:rFonts w:ascii="Arial" w:hAnsi="Arial" w:cs="Arial"/>
          <w:sz w:val="24"/>
          <w:szCs w:val="24"/>
        </w:rPr>
        <w:t xml:space="preserve"> in its current form is contingent on strengthening the Advisory Council to increase its effectiveness, </w:t>
      </w:r>
      <w:proofErr w:type="gramStart"/>
      <w:r w:rsidRPr="00501CDD">
        <w:rPr>
          <w:rFonts w:ascii="Arial" w:hAnsi="Arial" w:cs="Arial"/>
          <w:sz w:val="24"/>
          <w:szCs w:val="24"/>
        </w:rPr>
        <w:t>independence</w:t>
      </w:r>
      <w:proofErr w:type="gramEnd"/>
      <w:r w:rsidRPr="00501CDD">
        <w:rPr>
          <w:rFonts w:ascii="Arial" w:hAnsi="Arial" w:cs="Arial"/>
          <w:sz w:val="24"/>
          <w:szCs w:val="24"/>
        </w:rPr>
        <w:t xml:space="preserve"> and transparency. The Advisory Council should </w:t>
      </w:r>
      <w:r>
        <w:rPr>
          <w:rFonts w:ascii="Arial" w:hAnsi="Arial" w:cs="Arial"/>
          <w:sz w:val="24"/>
          <w:szCs w:val="24"/>
        </w:rPr>
        <w:t xml:space="preserve">act as an independent </w:t>
      </w:r>
      <w:r w:rsidRPr="00501CDD">
        <w:rPr>
          <w:rFonts w:ascii="Arial" w:hAnsi="Arial" w:cs="Arial"/>
          <w:sz w:val="24"/>
          <w:szCs w:val="24"/>
        </w:rPr>
        <w:t>check</w:t>
      </w:r>
      <w:r>
        <w:rPr>
          <w:rFonts w:ascii="Arial" w:hAnsi="Arial" w:cs="Arial"/>
          <w:sz w:val="24"/>
          <w:szCs w:val="24"/>
        </w:rPr>
        <w:t xml:space="preserve"> to</w:t>
      </w:r>
      <w:r w:rsidRPr="00501CDD">
        <w:rPr>
          <w:rFonts w:ascii="Arial" w:hAnsi="Arial" w:cs="Arial"/>
          <w:sz w:val="24"/>
          <w:szCs w:val="24"/>
        </w:rPr>
        <w:t xml:space="preserve"> the authority of the Commission</w:t>
      </w:r>
      <w:r w:rsidR="00A81F6E">
        <w:rPr>
          <w:rFonts w:ascii="Arial" w:hAnsi="Arial" w:cs="Arial"/>
          <w:sz w:val="24"/>
          <w:szCs w:val="24"/>
        </w:rPr>
        <w:t xml:space="preserve">. It should </w:t>
      </w:r>
      <w:r w:rsidRPr="00501CDD">
        <w:rPr>
          <w:rFonts w:ascii="Arial" w:hAnsi="Arial" w:cs="Arial"/>
          <w:sz w:val="24"/>
          <w:szCs w:val="24"/>
        </w:rPr>
        <w:t>alert government to key risks and emerging issues</w:t>
      </w:r>
      <w:r w:rsidR="00A81F6E">
        <w:rPr>
          <w:rFonts w:ascii="Arial" w:hAnsi="Arial" w:cs="Arial"/>
          <w:sz w:val="24"/>
          <w:szCs w:val="24"/>
        </w:rPr>
        <w:t xml:space="preserve">, </w:t>
      </w:r>
      <w:r w:rsidRPr="00501CDD">
        <w:rPr>
          <w:rFonts w:ascii="Arial" w:hAnsi="Arial" w:cs="Arial"/>
          <w:sz w:val="24"/>
          <w:szCs w:val="24"/>
        </w:rPr>
        <w:t xml:space="preserve">recommend remedies </w:t>
      </w:r>
      <w:r w:rsidR="00A81F6E">
        <w:rPr>
          <w:rFonts w:ascii="Arial" w:hAnsi="Arial" w:cs="Arial"/>
          <w:sz w:val="24"/>
          <w:szCs w:val="24"/>
        </w:rPr>
        <w:t xml:space="preserve">to these </w:t>
      </w:r>
      <w:proofErr w:type="gramStart"/>
      <w:r w:rsidR="00A81F6E">
        <w:rPr>
          <w:rFonts w:ascii="Arial" w:hAnsi="Arial" w:cs="Arial"/>
          <w:sz w:val="24"/>
          <w:szCs w:val="24"/>
        </w:rPr>
        <w:t>issues</w:t>
      </w:r>
      <w:proofErr w:type="gramEnd"/>
      <w:r w:rsidR="00A81F6E">
        <w:rPr>
          <w:rFonts w:ascii="Arial" w:hAnsi="Arial" w:cs="Arial"/>
          <w:sz w:val="24"/>
          <w:szCs w:val="24"/>
        </w:rPr>
        <w:t xml:space="preserve"> </w:t>
      </w:r>
      <w:r w:rsidRPr="00501CDD">
        <w:rPr>
          <w:rFonts w:ascii="Arial" w:hAnsi="Arial" w:cs="Arial"/>
          <w:sz w:val="24"/>
          <w:szCs w:val="24"/>
        </w:rPr>
        <w:t xml:space="preserve">and help drive the strategic direction of the regulator. </w:t>
      </w:r>
    </w:p>
    <w:p w14:paraId="503A1794" w14:textId="0E144C73" w:rsidR="007F37D6" w:rsidRDefault="00E24B36" w:rsidP="00202A0C">
      <w:pPr>
        <w:spacing w:before="120" w:after="120" w:line="240" w:lineRule="auto"/>
        <w:rPr>
          <w:rFonts w:ascii="Arial" w:hAnsi="Arial" w:cs="Arial"/>
          <w:sz w:val="24"/>
          <w:szCs w:val="24"/>
        </w:rPr>
      </w:pPr>
      <w:r>
        <w:rPr>
          <w:rFonts w:ascii="Arial" w:hAnsi="Arial" w:cs="Arial"/>
          <w:sz w:val="24"/>
          <w:szCs w:val="24"/>
        </w:rPr>
        <w:lastRenderedPageBreak/>
        <w:t>Some proposals to strengthen the Advisory Council are dependent on changes to the Commission Act</w:t>
      </w:r>
      <w:r w:rsidR="00577959">
        <w:rPr>
          <w:rFonts w:ascii="Arial" w:hAnsi="Arial" w:cs="Arial"/>
          <w:sz w:val="24"/>
          <w:szCs w:val="24"/>
        </w:rPr>
        <w:t>, which should occur as quickly as possible to enable full implementation of the proposals.</w:t>
      </w:r>
    </w:p>
    <w:p w14:paraId="6F60613A" w14:textId="77777777" w:rsidR="00202A0C" w:rsidRPr="00501CDD" w:rsidRDefault="00202A0C" w:rsidP="00202A0C">
      <w:pPr>
        <w:spacing w:before="120" w:after="120" w:line="240" w:lineRule="auto"/>
        <w:rPr>
          <w:rFonts w:ascii="Arial" w:hAnsi="Arial" w:cs="Arial"/>
          <w:i/>
          <w:iCs/>
          <w:sz w:val="24"/>
          <w:szCs w:val="24"/>
        </w:rPr>
      </w:pPr>
      <w:r w:rsidRPr="00501CDD">
        <w:rPr>
          <w:rFonts w:ascii="Arial" w:hAnsi="Arial" w:cs="Arial"/>
          <w:i/>
          <w:iCs/>
          <w:sz w:val="24"/>
          <w:szCs w:val="24"/>
        </w:rPr>
        <w:t>Review and refresh the Advisory Council membership</w:t>
      </w:r>
    </w:p>
    <w:p w14:paraId="5F7EDBC4" w14:textId="5654D945" w:rsidR="00202A0C" w:rsidRPr="00501CDD" w:rsidRDefault="00202A0C" w:rsidP="00202A0C">
      <w:pPr>
        <w:spacing w:before="120" w:after="120"/>
        <w:rPr>
          <w:rFonts w:ascii="Arial" w:hAnsi="Arial" w:cs="Arial"/>
          <w:sz w:val="24"/>
          <w:szCs w:val="24"/>
        </w:rPr>
      </w:pPr>
      <w:r w:rsidRPr="00501CDD">
        <w:rPr>
          <w:rFonts w:ascii="Arial" w:hAnsi="Arial" w:cs="Arial"/>
          <w:sz w:val="24"/>
          <w:szCs w:val="24"/>
        </w:rPr>
        <w:t xml:space="preserve">The Advisory Council comprises members who </w:t>
      </w:r>
      <w:r w:rsidRPr="00501CDD">
        <w:rPr>
          <w:rFonts w:ascii="Arial" w:hAnsi="Arial" w:cs="Arial"/>
          <w:color w:val="313131"/>
          <w:sz w:val="24"/>
          <w:szCs w:val="24"/>
        </w:rPr>
        <w:t xml:space="preserve">have a wealth of knowledge and experience in aged care, in areas such as clinical care, service delivery, research and advocacy. </w:t>
      </w:r>
      <w:r w:rsidRPr="00501CDD">
        <w:rPr>
          <w:rFonts w:ascii="Arial" w:hAnsi="Arial" w:cs="Arial"/>
          <w:sz w:val="24"/>
          <w:szCs w:val="24"/>
        </w:rPr>
        <w:t xml:space="preserve">However, </w:t>
      </w:r>
      <w:r w:rsidRPr="00C11C80">
        <w:rPr>
          <w:rFonts w:ascii="Arial" w:hAnsi="Arial" w:cs="Arial"/>
          <w:sz w:val="24"/>
          <w:szCs w:val="24"/>
        </w:rPr>
        <w:t xml:space="preserve">as set out in more detail in </w:t>
      </w:r>
      <w:r w:rsidR="00D560C3">
        <w:rPr>
          <w:rFonts w:ascii="Arial" w:hAnsi="Arial" w:cs="Arial"/>
          <w:sz w:val="24"/>
          <w:szCs w:val="24"/>
        </w:rPr>
        <w:t>Section</w:t>
      </w:r>
      <w:r w:rsidR="00D560C3" w:rsidRPr="00C11C80">
        <w:rPr>
          <w:rFonts w:ascii="Arial" w:hAnsi="Arial" w:cs="Arial"/>
          <w:sz w:val="24"/>
          <w:szCs w:val="24"/>
        </w:rPr>
        <w:t xml:space="preserve"> </w:t>
      </w:r>
      <w:r w:rsidR="00C11C80" w:rsidRPr="00C11C80">
        <w:rPr>
          <w:rFonts w:ascii="Arial" w:hAnsi="Arial" w:cs="Arial"/>
          <w:sz w:val="24"/>
          <w:szCs w:val="24"/>
        </w:rPr>
        <w:t>5.6</w:t>
      </w:r>
      <w:r w:rsidRPr="00C11C80">
        <w:rPr>
          <w:rFonts w:ascii="Arial" w:hAnsi="Arial" w:cs="Arial"/>
          <w:sz w:val="24"/>
          <w:szCs w:val="24"/>
        </w:rPr>
        <w:t>,</w:t>
      </w:r>
      <w:r w:rsidRPr="00501CDD">
        <w:rPr>
          <w:rFonts w:ascii="Arial" w:hAnsi="Arial" w:cs="Arial"/>
          <w:sz w:val="24"/>
          <w:szCs w:val="24"/>
        </w:rPr>
        <w:t xml:space="preserve"> the </w:t>
      </w:r>
      <w:r>
        <w:rPr>
          <w:rFonts w:ascii="Arial" w:hAnsi="Arial" w:cs="Arial"/>
          <w:sz w:val="24"/>
          <w:szCs w:val="24"/>
        </w:rPr>
        <w:t>Commission</w:t>
      </w:r>
      <w:r w:rsidRPr="00501CDD">
        <w:rPr>
          <w:rFonts w:ascii="Arial" w:hAnsi="Arial" w:cs="Arial"/>
          <w:sz w:val="24"/>
          <w:szCs w:val="24"/>
        </w:rPr>
        <w:t xml:space="preserve"> has grown exponentially</w:t>
      </w:r>
      <w:r>
        <w:rPr>
          <w:rFonts w:ascii="Arial" w:hAnsi="Arial" w:cs="Arial"/>
          <w:sz w:val="24"/>
          <w:szCs w:val="24"/>
        </w:rPr>
        <w:t>, i</w:t>
      </w:r>
      <w:r w:rsidRPr="00501CDD">
        <w:rPr>
          <w:rFonts w:ascii="Arial" w:hAnsi="Arial" w:cs="Arial"/>
          <w:sz w:val="24"/>
          <w:szCs w:val="24"/>
        </w:rPr>
        <w:t xml:space="preserve">ts functions are </w:t>
      </w:r>
      <w:proofErr w:type="gramStart"/>
      <w:r w:rsidRPr="00501CDD">
        <w:rPr>
          <w:rFonts w:ascii="Arial" w:hAnsi="Arial" w:cs="Arial"/>
          <w:sz w:val="24"/>
          <w:szCs w:val="24"/>
        </w:rPr>
        <w:t>expanding</w:t>
      </w:r>
      <w:proofErr w:type="gramEnd"/>
      <w:r w:rsidRPr="00501CDD">
        <w:rPr>
          <w:rFonts w:ascii="Arial" w:hAnsi="Arial" w:cs="Arial"/>
          <w:sz w:val="24"/>
          <w:szCs w:val="24"/>
        </w:rPr>
        <w:t xml:space="preserve"> and its operating context </w:t>
      </w:r>
      <w:r w:rsidR="00CE026C">
        <w:rPr>
          <w:rFonts w:ascii="Arial" w:hAnsi="Arial" w:cs="Arial"/>
          <w:sz w:val="24"/>
          <w:szCs w:val="24"/>
        </w:rPr>
        <w:t>is</w:t>
      </w:r>
      <w:r w:rsidR="00CE026C" w:rsidRPr="00501CDD">
        <w:rPr>
          <w:rFonts w:ascii="Arial" w:hAnsi="Arial" w:cs="Arial"/>
          <w:sz w:val="24"/>
          <w:szCs w:val="24"/>
        </w:rPr>
        <w:t xml:space="preserve"> </w:t>
      </w:r>
      <w:r w:rsidRPr="00501CDD">
        <w:rPr>
          <w:rFonts w:ascii="Arial" w:hAnsi="Arial" w:cs="Arial"/>
          <w:sz w:val="24"/>
          <w:szCs w:val="24"/>
        </w:rPr>
        <w:t xml:space="preserve">becoming increasingly complex as it continues to transition to risk-based regulatory practice. The Advisory Council must </w:t>
      </w:r>
      <w:r>
        <w:rPr>
          <w:rFonts w:ascii="Arial" w:hAnsi="Arial" w:cs="Arial"/>
          <w:sz w:val="24"/>
          <w:szCs w:val="24"/>
        </w:rPr>
        <w:t xml:space="preserve">also expand and </w:t>
      </w:r>
      <w:r w:rsidRPr="00501CDD">
        <w:rPr>
          <w:rFonts w:ascii="Arial" w:hAnsi="Arial" w:cs="Arial"/>
          <w:sz w:val="24"/>
          <w:szCs w:val="24"/>
        </w:rPr>
        <w:t>evolve</w:t>
      </w:r>
      <w:r>
        <w:rPr>
          <w:rFonts w:ascii="Arial" w:hAnsi="Arial" w:cs="Arial"/>
          <w:sz w:val="24"/>
          <w:szCs w:val="24"/>
        </w:rPr>
        <w:t xml:space="preserve">. </w:t>
      </w:r>
    </w:p>
    <w:p w14:paraId="20C1C50C" w14:textId="402F393C" w:rsidR="00202A0C" w:rsidRPr="000B38AC" w:rsidRDefault="00202A0C" w:rsidP="00202A0C">
      <w:pPr>
        <w:spacing w:before="120" w:after="120"/>
        <w:rPr>
          <w:rFonts w:ascii="Arial" w:hAnsi="Arial" w:cs="Arial"/>
          <w:sz w:val="24"/>
          <w:szCs w:val="24"/>
        </w:rPr>
      </w:pPr>
      <w:r w:rsidRPr="00501CDD">
        <w:rPr>
          <w:rFonts w:ascii="Arial" w:hAnsi="Arial" w:cs="Arial"/>
          <w:sz w:val="24"/>
          <w:szCs w:val="24"/>
        </w:rPr>
        <w:t>As a matter of priority, the Minister should fill three vacant Advisory Council positions</w:t>
      </w:r>
      <w:r w:rsidRPr="000B38AC">
        <w:rPr>
          <w:rFonts w:ascii="Arial" w:hAnsi="Arial" w:cs="Arial"/>
          <w:sz w:val="24"/>
          <w:szCs w:val="24"/>
        </w:rPr>
        <w:t xml:space="preserve">. Although members should continue to be appointed by the Minister, consideration could be given to advertising these and future vacancies to better target expertise and allow </w:t>
      </w:r>
      <w:r w:rsidR="000B38AC" w:rsidRPr="000B38AC">
        <w:rPr>
          <w:rFonts w:ascii="Arial" w:hAnsi="Arial" w:cs="Arial"/>
          <w:sz w:val="24"/>
          <w:szCs w:val="24"/>
        </w:rPr>
        <w:t>a wider pool of potential Advisory Council members</w:t>
      </w:r>
      <w:r w:rsidRPr="000B38AC">
        <w:rPr>
          <w:rFonts w:ascii="Arial" w:hAnsi="Arial" w:cs="Arial"/>
          <w:sz w:val="24"/>
          <w:szCs w:val="24"/>
        </w:rPr>
        <w:t xml:space="preserve"> to apply through a published process. This could improve transparency and provide additional legitimacy and trust in the Advisory Council. </w:t>
      </w:r>
    </w:p>
    <w:p w14:paraId="44B124D7" w14:textId="28E86274" w:rsidR="00202A0C" w:rsidRDefault="00202A0C" w:rsidP="002D5F76">
      <w:pPr>
        <w:pStyle w:val="NormalWeb"/>
        <w:shd w:val="clear" w:color="auto" w:fill="FFFFFF"/>
        <w:spacing w:after="240"/>
        <w:rPr>
          <w:rFonts w:ascii="Arial" w:hAnsi="Arial" w:cs="Arial"/>
        </w:rPr>
      </w:pPr>
      <w:r w:rsidRPr="000B38AC">
        <w:rPr>
          <w:rFonts w:ascii="Arial" w:hAnsi="Arial" w:cs="Arial"/>
        </w:rPr>
        <w:t>Consideration should also be given to the outcomes of the Review</w:t>
      </w:r>
      <w:r w:rsidRPr="00445448">
        <w:rPr>
          <w:rFonts w:ascii="Arial" w:hAnsi="Arial" w:cs="Arial"/>
        </w:rPr>
        <w:t xml:space="preserve"> of Public Sector Appointment Processes that forms part of the Public Service Reform Agenda</w:t>
      </w:r>
      <w:r w:rsidR="00F7295A" w:rsidRPr="00145081">
        <w:rPr>
          <w:rStyle w:val="FootnoteReference"/>
          <w:rFonts w:ascii="Arial" w:hAnsi="Arial" w:cs="Arial"/>
        </w:rPr>
        <w:footnoteReference w:id="113"/>
      </w:r>
      <w:r w:rsidR="00F7295A" w:rsidRPr="00445448">
        <w:rPr>
          <w:rFonts w:ascii="Arial" w:hAnsi="Arial" w:cs="Arial"/>
        </w:rPr>
        <w:t>.</w:t>
      </w:r>
      <w:r w:rsidRPr="00445448">
        <w:rPr>
          <w:rFonts w:ascii="Arial" w:hAnsi="Arial" w:cs="Arial"/>
        </w:rPr>
        <w:t xml:space="preserve"> This Review </w:t>
      </w:r>
      <w:r w:rsidR="00A81F6E">
        <w:rPr>
          <w:rFonts w:ascii="Arial" w:hAnsi="Arial" w:cs="Arial"/>
        </w:rPr>
        <w:t xml:space="preserve">is </w:t>
      </w:r>
      <w:r w:rsidRPr="00445448">
        <w:rPr>
          <w:rFonts w:ascii="Arial" w:hAnsi="Arial" w:cs="Arial"/>
        </w:rPr>
        <w:t xml:space="preserve">due to report in mid-2023 </w:t>
      </w:r>
      <w:r w:rsidR="00A81F6E">
        <w:rPr>
          <w:rFonts w:ascii="Arial" w:hAnsi="Arial" w:cs="Arial"/>
        </w:rPr>
        <w:t xml:space="preserve">and </w:t>
      </w:r>
      <w:r w:rsidRPr="00445448">
        <w:rPr>
          <w:rFonts w:ascii="Arial" w:hAnsi="Arial" w:cs="Arial"/>
        </w:rPr>
        <w:t xml:space="preserve">will include a focus </w:t>
      </w:r>
      <w:proofErr w:type="gramStart"/>
      <w:r w:rsidRPr="00445448">
        <w:rPr>
          <w:rFonts w:ascii="Arial" w:hAnsi="Arial" w:cs="Arial"/>
        </w:rPr>
        <w:t>on</w:t>
      </w:r>
      <w:r>
        <w:rPr>
          <w:rFonts w:ascii="Arial" w:hAnsi="Arial" w:cs="Arial"/>
        </w:rPr>
        <w:t>:</w:t>
      </w:r>
      <w:proofErr w:type="gramEnd"/>
      <w:r w:rsidRPr="00445448">
        <w:rPr>
          <w:rFonts w:ascii="Arial" w:hAnsi="Arial" w:cs="Arial"/>
        </w:rPr>
        <w:t xml:space="preserve"> </w:t>
      </w:r>
      <w:r w:rsidRPr="00356956">
        <w:rPr>
          <w:rFonts w:ascii="Arial" w:hAnsi="Arial" w:cs="Arial"/>
        </w:rPr>
        <w:t>clarifying the role of public sector boards and how needed skills and standards are set;</w:t>
      </w:r>
      <w:r w:rsidRPr="00445448">
        <w:rPr>
          <w:rFonts w:ascii="Arial" w:hAnsi="Arial" w:cs="Arial"/>
        </w:rPr>
        <w:t xml:space="preserve"> o</w:t>
      </w:r>
      <w:r w:rsidRPr="00356956">
        <w:rPr>
          <w:rFonts w:ascii="Arial" w:hAnsi="Arial" w:cs="Arial"/>
        </w:rPr>
        <w:t>ptions for transparent processes to identify and recruit board members;</w:t>
      </w:r>
      <w:r w:rsidRPr="00445448">
        <w:rPr>
          <w:rFonts w:ascii="Arial" w:hAnsi="Arial" w:cs="Arial"/>
        </w:rPr>
        <w:t xml:space="preserve"> </w:t>
      </w:r>
      <w:r w:rsidRPr="00356956">
        <w:rPr>
          <w:rFonts w:ascii="Arial" w:hAnsi="Arial" w:cs="Arial"/>
        </w:rPr>
        <w:t>how ministers are advised on selection of board members; and improving the diversity of board membership (including in terms of gender, CALD, First Nations and geographic representation</w:t>
      </w:r>
      <w:r>
        <w:rPr>
          <w:rFonts w:ascii="Arial" w:hAnsi="Arial" w:cs="Arial"/>
        </w:rPr>
        <w:t>.</w:t>
      </w:r>
    </w:p>
    <w:p w14:paraId="5ADF30E2" w14:textId="4C52E1FB" w:rsidR="00202A0C" w:rsidRPr="00501CDD" w:rsidRDefault="00202A0C" w:rsidP="00202A0C">
      <w:pPr>
        <w:pStyle w:val="NormalWeb"/>
        <w:shd w:val="clear" w:color="auto" w:fill="FFFFFF"/>
        <w:rPr>
          <w:rFonts w:ascii="Arial" w:hAnsi="Arial" w:cs="Arial"/>
        </w:rPr>
      </w:pPr>
      <w:r>
        <w:rPr>
          <w:rFonts w:ascii="Arial" w:hAnsi="Arial" w:cs="Arial"/>
        </w:rPr>
        <w:t xml:space="preserve">In addition to ensuring advisory council vacancies are filled in a timely way, </w:t>
      </w:r>
      <w:r w:rsidR="00295311">
        <w:rPr>
          <w:rFonts w:ascii="Arial" w:hAnsi="Arial" w:cs="Arial"/>
        </w:rPr>
        <w:t>the Commission Act</w:t>
      </w:r>
      <w:r w:rsidR="00295311" w:rsidRPr="00501CDD">
        <w:rPr>
          <w:rFonts w:ascii="Arial" w:hAnsi="Arial" w:cs="Arial"/>
        </w:rPr>
        <w:t xml:space="preserve"> </w:t>
      </w:r>
      <w:r w:rsidRPr="00501CDD">
        <w:rPr>
          <w:rFonts w:ascii="Arial" w:hAnsi="Arial" w:cs="Arial"/>
        </w:rPr>
        <w:t>should be amended to increase the size of the Advisory Council from 6-10 members to 8-12 members</w:t>
      </w:r>
      <w:r>
        <w:rPr>
          <w:rFonts w:ascii="Arial" w:hAnsi="Arial" w:cs="Arial"/>
        </w:rPr>
        <w:t xml:space="preserve">. As the Commission grows, so too does the workload for advisory group members. The </w:t>
      </w:r>
      <w:r w:rsidR="00295311">
        <w:rPr>
          <w:rFonts w:ascii="Arial" w:hAnsi="Arial" w:cs="Arial"/>
        </w:rPr>
        <w:t xml:space="preserve">Commission Act </w:t>
      </w:r>
      <w:r w:rsidR="00A81F6E">
        <w:rPr>
          <w:rFonts w:ascii="Arial" w:hAnsi="Arial" w:cs="Arial"/>
        </w:rPr>
        <w:t>amend</w:t>
      </w:r>
      <w:r w:rsidR="00295311">
        <w:rPr>
          <w:rFonts w:ascii="Arial" w:hAnsi="Arial" w:cs="Arial"/>
        </w:rPr>
        <w:t>ments</w:t>
      </w:r>
      <w:r>
        <w:rPr>
          <w:rFonts w:ascii="Arial" w:hAnsi="Arial" w:cs="Arial"/>
        </w:rPr>
        <w:t xml:space="preserve"> should also specify the appointment of a </w:t>
      </w:r>
      <w:r w:rsidRPr="00501CDD">
        <w:rPr>
          <w:rFonts w:ascii="Arial" w:hAnsi="Arial" w:cs="Arial"/>
        </w:rPr>
        <w:t>deputy Chair position to assist the Chair in their duties. This is likely to strengthen the leadership of the Advisory Council and provide additional support to the Chair.</w:t>
      </w:r>
    </w:p>
    <w:p w14:paraId="3F6333B4" w14:textId="22B4445C" w:rsidR="00202A0C" w:rsidRPr="00501CDD" w:rsidRDefault="00202A0C" w:rsidP="00202A0C">
      <w:pPr>
        <w:spacing w:before="120" w:after="120"/>
        <w:rPr>
          <w:rFonts w:ascii="Arial" w:hAnsi="Arial" w:cs="Arial"/>
          <w:sz w:val="24"/>
          <w:szCs w:val="24"/>
        </w:rPr>
      </w:pPr>
      <w:r>
        <w:rPr>
          <w:rFonts w:ascii="Arial" w:hAnsi="Arial" w:cs="Arial"/>
          <w:sz w:val="24"/>
          <w:szCs w:val="24"/>
        </w:rPr>
        <w:t>I</w:t>
      </w:r>
      <w:r w:rsidRPr="00501CDD">
        <w:rPr>
          <w:rFonts w:ascii="Arial" w:hAnsi="Arial" w:cs="Arial"/>
          <w:sz w:val="24"/>
          <w:szCs w:val="24"/>
        </w:rPr>
        <w:t xml:space="preserve"> </w:t>
      </w:r>
      <w:r>
        <w:rPr>
          <w:rFonts w:ascii="Arial" w:hAnsi="Arial" w:cs="Arial"/>
          <w:sz w:val="24"/>
          <w:szCs w:val="24"/>
        </w:rPr>
        <w:t xml:space="preserve">specifically </w:t>
      </w:r>
      <w:r w:rsidRPr="00501CDD">
        <w:rPr>
          <w:rFonts w:ascii="Arial" w:hAnsi="Arial" w:cs="Arial"/>
          <w:sz w:val="24"/>
          <w:szCs w:val="24"/>
        </w:rPr>
        <w:t>recommend</w:t>
      </w:r>
      <w:r>
        <w:rPr>
          <w:rFonts w:ascii="Arial" w:hAnsi="Arial" w:cs="Arial"/>
          <w:sz w:val="24"/>
          <w:szCs w:val="24"/>
        </w:rPr>
        <w:t xml:space="preserve"> the </w:t>
      </w:r>
      <w:r w:rsidR="00295311">
        <w:rPr>
          <w:rFonts w:ascii="Arial" w:hAnsi="Arial" w:cs="Arial"/>
          <w:sz w:val="24"/>
          <w:szCs w:val="24"/>
        </w:rPr>
        <w:t>Commission Act amendments</w:t>
      </w:r>
      <w:r>
        <w:rPr>
          <w:rFonts w:ascii="Arial" w:hAnsi="Arial" w:cs="Arial"/>
          <w:sz w:val="24"/>
          <w:szCs w:val="24"/>
        </w:rPr>
        <w:t xml:space="preserve"> expand the eligibility criteria for Advisory Council membership t</w:t>
      </w:r>
      <w:r w:rsidRPr="00501CDD">
        <w:rPr>
          <w:rFonts w:ascii="Arial" w:hAnsi="Arial" w:cs="Arial"/>
          <w:sz w:val="24"/>
          <w:szCs w:val="24"/>
        </w:rPr>
        <w:t>o address skills deficits and increase diversity of representation. The skills and experience that will be increasingly important going forward are expertise in:</w:t>
      </w:r>
    </w:p>
    <w:p w14:paraId="5BC365EB" w14:textId="77777777" w:rsidR="00202A0C" w:rsidRPr="00501CDD" w:rsidRDefault="00202A0C" w:rsidP="001750D5">
      <w:pPr>
        <w:numPr>
          <w:ilvl w:val="0"/>
          <w:numId w:val="9"/>
        </w:numPr>
        <w:spacing w:before="120" w:after="120" w:line="240" w:lineRule="auto"/>
        <w:ind w:left="357" w:hanging="357"/>
        <w:rPr>
          <w:rFonts w:ascii="Arial" w:hAnsi="Arial" w:cs="Arial"/>
          <w:sz w:val="24"/>
          <w:szCs w:val="24"/>
        </w:rPr>
      </w:pPr>
      <w:r w:rsidRPr="00501CDD">
        <w:rPr>
          <w:rFonts w:ascii="Arial" w:hAnsi="Arial" w:cs="Arial"/>
          <w:sz w:val="24"/>
          <w:szCs w:val="24"/>
        </w:rPr>
        <w:t>contemporary regulatory best practice, noting there is growing recognition of regulation as a distinct profession requiring specific capabilities.</w:t>
      </w:r>
    </w:p>
    <w:p w14:paraId="7229C6EE" w14:textId="77777777" w:rsidR="00202A0C" w:rsidRPr="00501CDD" w:rsidRDefault="00202A0C" w:rsidP="001750D5">
      <w:pPr>
        <w:numPr>
          <w:ilvl w:val="0"/>
          <w:numId w:val="9"/>
        </w:numPr>
        <w:spacing w:before="120" w:after="120" w:line="240" w:lineRule="auto"/>
        <w:ind w:left="357" w:hanging="357"/>
        <w:rPr>
          <w:rFonts w:ascii="Arial" w:hAnsi="Arial" w:cs="Arial"/>
          <w:sz w:val="24"/>
          <w:szCs w:val="24"/>
        </w:rPr>
      </w:pPr>
      <w:r w:rsidRPr="00501CDD">
        <w:rPr>
          <w:rFonts w:ascii="Arial" w:hAnsi="Arial" w:cs="Arial"/>
          <w:sz w:val="24"/>
          <w:szCs w:val="24"/>
        </w:rPr>
        <w:t xml:space="preserve">financial and prudential understanding, which will become increasingly important as the </w:t>
      </w:r>
      <w:r>
        <w:rPr>
          <w:rFonts w:ascii="Arial" w:hAnsi="Arial" w:cs="Arial"/>
          <w:sz w:val="24"/>
          <w:szCs w:val="24"/>
        </w:rPr>
        <w:t>Commission</w:t>
      </w:r>
      <w:r w:rsidRPr="00501CDD">
        <w:rPr>
          <w:rFonts w:ascii="Arial" w:hAnsi="Arial" w:cs="Arial"/>
          <w:sz w:val="24"/>
          <w:szCs w:val="24"/>
        </w:rPr>
        <w:t xml:space="preserve"> takes a greater role in prudential oversight of the aged care provider sector, and</w:t>
      </w:r>
    </w:p>
    <w:p w14:paraId="47C17B24" w14:textId="77777777" w:rsidR="00202A0C" w:rsidRPr="00501CDD" w:rsidRDefault="00202A0C" w:rsidP="001750D5">
      <w:pPr>
        <w:numPr>
          <w:ilvl w:val="0"/>
          <w:numId w:val="9"/>
        </w:numPr>
        <w:spacing w:before="120" w:after="0" w:line="240" w:lineRule="auto"/>
        <w:ind w:left="357" w:hanging="357"/>
        <w:rPr>
          <w:rFonts w:ascii="Arial" w:hAnsi="Arial" w:cs="Arial"/>
          <w:sz w:val="24"/>
          <w:szCs w:val="24"/>
        </w:rPr>
      </w:pPr>
      <w:r w:rsidRPr="00501CDD">
        <w:rPr>
          <w:rFonts w:ascii="Arial" w:hAnsi="Arial" w:cs="Arial"/>
          <w:sz w:val="24"/>
          <w:szCs w:val="24"/>
        </w:rPr>
        <w:lastRenderedPageBreak/>
        <w:t xml:space="preserve">data analytics, a critical skill set as the regulatory approach increasingly relies on intelligence and risk profiling to set priorities for compliance activities. </w:t>
      </w:r>
      <w:r w:rsidRPr="00501CDD">
        <w:rPr>
          <w:rFonts w:ascii="Arial" w:hAnsi="Arial" w:cs="Arial"/>
          <w:sz w:val="24"/>
          <w:szCs w:val="24"/>
        </w:rPr>
        <w:br/>
      </w:r>
    </w:p>
    <w:p w14:paraId="649DF675" w14:textId="23515806" w:rsidR="00202A0C" w:rsidRPr="00501CDD" w:rsidRDefault="00202A0C" w:rsidP="00202A0C">
      <w:pPr>
        <w:spacing w:after="120"/>
        <w:rPr>
          <w:rFonts w:ascii="Arial" w:hAnsi="Arial" w:cs="Arial"/>
          <w:sz w:val="24"/>
          <w:szCs w:val="24"/>
        </w:rPr>
      </w:pPr>
      <w:r w:rsidRPr="00501CDD">
        <w:rPr>
          <w:rFonts w:ascii="Arial" w:hAnsi="Arial" w:cs="Arial"/>
          <w:sz w:val="24"/>
          <w:szCs w:val="24"/>
        </w:rPr>
        <w:t xml:space="preserve">Although members should continue to be appointed </w:t>
      </w:r>
      <w:proofErr w:type="gramStart"/>
      <w:r w:rsidRPr="00501CDD">
        <w:rPr>
          <w:rFonts w:ascii="Arial" w:hAnsi="Arial" w:cs="Arial"/>
          <w:sz w:val="24"/>
          <w:szCs w:val="24"/>
        </w:rPr>
        <w:t>on the basis of</w:t>
      </w:r>
      <w:proofErr w:type="gramEnd"/>
      <w:r w:rsidRPr="00501CDD">
        <w:rPr>
          <w:rFonts w:ascii="Arial" w:hAnsi="Arial" w:cs="Arial"/>
          <w:sz w:val="24"/>
          <w:szCs w:val="24"/>
        </w:rPr>
        <w:t xml:space="preserve"> their expertise to represent the public interest, as opposed to the interests of particular constituents, </w:t>
      </w:r>
      <w:r>
        <w:rPr>
          <w:rFonts w:ascii="Arial" w:hAnsi="Arial" w:cs="Arial"/>
          <w:sz w:val="24"/>
          <w:szCs w:val="24"/>
        </w:rPr>
        <w:t>increasing the number of members will allow for a more culturally diverse membership. For example,</w:t>
      </w:r>
      <w:r w:rsidRPr="00501CDD">
        <w:rPr>
          <w:rFonts w:ascii="Arial" w:hAnsi="Arial" w:cs="Arial"/>
          <w:sz w:val="24"/>
          <w:szCs w:val="24"/>
        </w:rPr>
        <w:t xml:space="preserve"> </w:t>
      </w:r>
      <w:r>
        <w:rPr>
          <w:rFonts w:ascii="Arial" w:hAnsi="Arial" w:cs="Arial"/>
          <w:sz w:val="24"/>
          <w:szCs w:val="24"/>
        </w:rPr>
        <w:t xml:space="preserve">we have heard that the Commission needs to lift </w:t>
      </w:r>
      <w:r w:rsidR="00D560C3">
        <w:rPr>
          <w:rFonts w:ascii="Arial" w:hAnsi="Arial" w:cs="Arial"/>
          <w:sz w:val="24"/>
          <w:szCs w:val="24"/>
        </w:rPr>
        <w:t xml:space="preserve">its </w:t>
      </w:r>
      <w:r>
        <w:rPr>
          <w:rFonts w:ascii="Arial" w:hAnsi="Arial" w:cs="Arial"/>
          <w:sz w:val="24"/>
          <w:szCs w:val="24"/>
        </w:rPr>
        <w:t xml:space="preserve">cultural awareness and capability. </w:t>
      </w:r>
      <w:proofErr w:type="gramStart"/>
      <w:r>
        <w:rPr>
          <w:rFonts w:ascii="Arial" w:hAnsi="Arial" w:cs="Arial"/>
          <w:sz w:val="24"/>
          <w:szCs w:val="24"/>
        </w:rPr>
        <w:t>In particular it</w:t>
      </w:r>
      <w:proofErr w:type="gramEnd"/>
      <w:r w:rsidRPr="00501CDD">
        <w:rPr>
          <w:rFonts w:ascii="Arial" w:hAnsi="Arial" w:cs="Arial"/>
          <w:sz w:val="24"/>
          <w:szCs w:val="24"/>
        </w:rPr>
        <w:t xml:space="preserve"> is critical to ensure the experiences of </w:t>
      </w:r>
      <w:r>
        <w:rPr>
          <w:rFonts w:ascii="Arial" w:hAnsi="Arial" w:cs="Arial"/>
          <w:sz w:val="24"/>
          <w:szCs w:val="24"/>
        </w:rPr>
        <w:t>F</w:t>
      </w:r>
      <w:r w:rsidRPr="00501CDD">
        <w:rPr>
          <w:rFonts w:ascii="Arial" w:hAnsi="Arial" w:cs="Arial"/>
          <w:sz w:val="24"/>
          <w:szCs w:val="24"/>
        </w:rPr>
        <w:t xml:space="preserve">irst </w:t>
      </w:r>
      <w:r>
        <w:rPr>
          <w:rFonts w:ascii="Arial" w:hAnsi="Arial" w:cs="Arial"/>
          <w:sz w:val="24"/>
          <w:szCs w:val="24"/>
        </w:rPr>
        <w:t>N</w:t>
      </w:r>
      <w:r w:rsidRPr="00501CDD">
        <w:rPr>
          <w:rFonts w:ascii="Arial" w:hAnsi="Arial" w:cs="Arial"/>
          <w:sz w:val="24"/>
          <w:szCs w:val="24"/>
        </w:rPr>
        <w:t>ations consumers, carers and communities can be appropriately reflected and culturally safe regulatory approaches</w:t>
      </w:r>
      <w:r>
        <w:rPr>
          <w:rFonts w:ascii="Arial" w:hAnsi="Arial" w:cs="Arial"/>
          <w:sz w:val="24"/>
          <w:szCs w:val="24"/>
        </w:rPr>
        <w:t xml:space="preserve"> are embedded</w:t>
      </w:r>
      <w:r w:rsidRPr="00501CDD">
        <w:rPr>
          <w:rFonts w:ascii="Arial" w:hAnsi="Arial" w:cs="Arial"/>
          <w:sz w:val="24"/>
          <w:szCs w:val="24"/>
        </w:rPr>
        <w:t xml:space="preserve">. </w:t>
      </w:r>
    </w:p>
    <w:p w14:paraId="1B04D34D" w14:textId="282C615F" w:rsidR="00202A0C" w:rsidRDefault="00202A0C" w:rsidP="00202A0C">
      <w:pPr>
        <w:spacing w:before="120" w:after="120"/>
        <w:rPr>
          <w:rFonts w:ascii="Arial" w:hAnsi="Arial" w:cs="Arial"/>
          <w:sz w:val="24"/>
          <w:szCs w:val="24"/>
        </w:rPr>
      </w:pPr>
      <w:r>
        <w:rPr>
          <w:rFonts w:ascii="Arial" w:hAnsi="Arial" w:cs="Arial"/>
          <w:sz w:val="24"/>
          <w:szCs w:val="24"/>
        </w:rPr>
        <w:t xml:space="preserve">Similarly, I have heard and agree that the </w:t>
      </w:r>
      <w:r w:rsidRPr="00501CDD">
        <w:rPr>
          <w:rFonts w:ascii="Arial" w:hAnsi="Arial" w:cs="Arial"/>
          <w:sz w:val="24"/>
          <w:szCs w:val="24"/>
        </w:rPr>
        <w:t>Advisory Council would benefit from more members with provider experienc</w:t>
      </w:r>
      <w:r>
        <w:rPr>
          <w:rFonts w:ascii="Arial" w:hAnsi="Arial" w:cs="Arial"/>
          <w:sz w:val="24"/>
          <w:szCs w:val="24"/>
        </w:rPr>
        <w:t xml:space="preserve">e </w:t>
      </w:r>
      <w:r w:rsidRPr="00501CDD">
        <w:rPr>
          <w:rFonts w:ascii="Arial" w:hAnsi="Arial" w:cs="Arial"/>
          <w:sz w:val="24"/>
          <w:szCs w:val="24"/>
        </w:rPr>
        <w:t xml:space="preserve">to ensure that its advice is well informed about the issues that impact providers. In addition, as outlined below, it is important that </w:t>
      </w:r>
      <w:r>
        <w:rPr>
          <w:rFonts w:ascii="Arial" w:hAnsi="Arial" w:cs="Arial"/>
          <w:sz w:val="24"/>
          <w:szCs w:val="24"/>
        </w:rPr>
        <w:t>A</w:t>
      </w:r>
      <w:r w:rsidRPr="00501CDD">
        <w:rPr>
          <w:rFonts w:ascii="Arial" w:hAnsi="Arial" w:cs="Arial"/>
          <w:sz w:val="24"/>
          <w:szCs w:val="24"/>
        </w:rPr>
        <w:t xml:space="preserve">dvisory </w:t>
      </w:r>
      <w:r>
        <w:rPr>
          <w:rFonts w:ascii="Arial" w:hAnsi="Arial" w:cs="Arial"/>
          <w:sz w:val="24"/>
          <w:szCs w:val="24"/>
        </w:rPr>
        <w:t>C</w:t>
      </w:r>
      <w:r w:rsidRPr="00501CDD">
        <w:rPr>
          <w:rFonts w:ascii="Arial" w:hAnsi="Arial" w:cs="Arial"/>
          <w:sz w:val="24"/>
          <w:szCs w:val="24"/>
        </w:rPr>
        <w:t>ouncil members have direct access to stakeholders’ views including providers.</w:t>
      </w:r>
    </w:p>
    <w:p w14:paraId="232B00EC" w14:textId="77777777" w:rsidR="00202A0C" w:rsidRPr="00501CDD" w:rsidRDefault="00202A0C" w:rsidP="00202A0C">
      <w:pPr>
        <w:spacing w:before="120" w:after="120"/>
        <w:rPr>
          <w:rFonts w:ascii="Arial" w:eastAsia="Times New Roman" w:hAnsi="Arial" w:cs="Arial"/>
          <w:i/>
          <w:iCs/>
          <w:sz w:val="24"/>
          <w:szCs w:val="24"/>
        </w:rPr>
      </w:pPr>
      <w:r>
        <w:rPr>
          <w:rFonts w:ascii="Arial" w:hAnsi="Arial" w:cs="Arial"/>
          <w:i/>
          <w:iCs/>
          <w:sz w:val="24"/>
          <w:szCs w:val="24"/>
        </w:rPr>
        <w:t xml:space="preserve">Expand the </w:t>
      </w:r>
      <w:r w:rsidRPr="00501CDD">
        <w:rPr>
          <w:rFonts w:ascii="Arial" w:hAnsi="Arial" w:cs="Arial"/>
          <w:i/>
          <w:iCs/>
          <w:sz w:val="24"/>
          <w:szCs w:val="24"/>
        </w:rPr>
        <w:t xml:space="preserve">functions of the Advisory Council </w:t>
      </w:r>
    </w:p>
    <w:p w14:paraId="43CF304E" w14:textId="77777777" w:rsidR="00202A0C" w:rsidRPr="00501CDD" w:rsidRDefault="00202A0C" w:rsidP="00202A0C">
      <w:pPr>
        <w:spacing w:before="120" w:after="120"/>
        <w:rPr>
          <w:rFonts w:ascii="Arial" w:hAnsi="Arial" w:cs="Arial"/>
          <w:sz w:val="24"/>
          <w:szCs w:val="24"/>
        </w:rPr>
      </w:pPr>
      <w:r>
        <w:rPr>
          <w:rFonts w:ascii="Arial" w:hAnsi="Arial" w:cs="Arial"/>
          <w:sz w:val="24"/>
          <w:szCs w:val="24"/>
        </w:rPr>
        <w:t xml:space="preserve">The Advisory Council is a significant asset for the Minister, and I believe the Government could be better leveraging its skills and expertise. </w:t>
      </w:r>
      <w:r w:rsidRPr="00501CDD">
        <w:rPr>
          <w:rFonts w:ascii="Arial" w:hAnsi="Arial" w:cs="Arial"/>
          <w:sz w:val="24"/>
          <w:szCs w:val="24"/>
        </w:rPr>
        <w:t xml:space="preserve">The Minister should consider tasking the Advisory Council more regularly under the auspices of the Act. This will reinforce the Advisory Council’s independence and legitimacy and thereby further empower the Council members. </w:t>
      </w:r>
    </w:p>
    <w:p w14:paraId="7E7D009E" w14:textId="416B0281" w:rsidR="00202A0C" w:rsidRDefault="00202A0C" w:rsidP="00202A0C">
      <w:pPr>
        <w:spacing w:before="120" w:after="120"/>
        <w:rPr>
          <w:rFonts w:ascii="Arial" w:hAnsi="Arial" w:cs="Arial"/>
          <w:sz w:val="24"/>
          <w:szCs w:val="24"/>
        </w:rPr>
      </w:pPr>
      <w:r w:rsidRPr="00501CDD">
        <w:rPr>
          <w:rFonts w:ascii="Arial" w:hAnsi="Arial" w:cs="Arial"/>
          <w:sz w:val="24"/>
          <w:szCs w:val="24"/>
        </w:rPr>
        <w:t xml:space="preserve">The Ministerial </w:t>
      </w:r>
      <w:r w:rsidR="00A00FB7">
        <w:rPr>
          <w:rFonts w:ascii="Arial" w:hAnsi="Arial" w:cs="Arial"/>
          <w:sz w:val="24"/>
          <w:szCs w:val="24"/>
        </w:rPr>
        <w:t>S</w:t>
      </w:r>
      <w:r w:rsidRPr="00501CDD">
        <w:rPr>
          <w:rFonts w:ascii="Arial" w:hAnsi="Arial" w:cs="Arial"/>
          <w:sz w:val="24"/>
          <w:szCs w:val="24"/>
        </w:rPr>
        <w:t xml:space="preserve">tatement of </w:t>
      </w:r>
      <w:r w:rsidR="00A00FB7">
        <w:rPr>
          <w:rFonts w:ascii="Arial" w:hAnsi="Arial" w:cs="Arial"/>
          <w:sz w:val="24"/>
          <w:szCs w:val="24"/>
        </w:rPr>
        <w:t>E</w:t>
      </w:r>
      <w:r w:rsidRPr="00501CDD">
        <w:rPr>
          <w:rFonts w:ascii="Arial" w:hAnsi="Arial" w:cs="Arial"/>
          <w:sz w:val="24"/>
          <w:szCs w:val="24"/>
        </w:rPr>
        <w:t xml:space="preserve">xpectation </w:t>
      </w:r>
      <w:r w:rsidR="00A00FB7">
        <w:rPr>
          <w:rFonts w:ascii="Arial" w:hAnsi="Arial" w:cs="Arial"/>
          <w:sz w:val="24"/>
          <w:szCs w:val="24"/>
        </w:rPr>
        <w:t xml:space="preserve">for the Commission </w:t>
      </w:r>
      <w:r w:rsidRPr="00501CDD">
        <w:rPr>
          <w:rFonts w:ascii="Arial" w:hAnsi="Arial" w:cs="Arial"/>
          <w:sz w:val="24"/>
          <w:szCs w:val="24"/>
        </w:rPr>
        <w:t xml:space="preserve">states </w:t>
      </w:r>
      <w:r w:rsidR="003E0AB5">
        <w:rPr>
          <w:rFonts w:ascii="Arial" w:hAnsi="Arial" w:cs="Arial"/>
          <w:sz w:val="24"/>
          <w:szCs w:val="24"/>
        </w:rPr>
        <w:t>“</w:t>
      </w:r>
      <w:r w:rsidRPr="00501CDD">
        <w:rPr>
          <w:rFonts w:ascii="Arial" w:hAnsi="Arial" w:cs="Arial"/>
          <w:sz w:val="24"/>
          <w:szCs w:val="24"/>
        </w:rPr>
        <w:t xml:space="preserve">the Government expects to be fully informed in a timely manner about any emerging trends, issues or risks relevant to the Commission’s operations, particularly those that may impact on Government operations or policies”. As an independent accountability mechanism, the Advisory Council should routinely identify key risks in the regulatory context and make the Minister aware of significant issues on the horizon. </w:t>
      </w:r>
    </w:p>
    <w:p w14:paraId="1C8D96E6" w14:textId="18CABBBE" w:rsidR="00202A0C" w:rsidRPr="00501CDD" w:rsidRDefault="00202A0C" w:rsidP="00202A0C">
      <w:pPr>
        <w:spacing w:before="120" w:after="120"/>
        <w:rPr>
          <w:rFonts w:ascii="Arial" w:hAnsi="Arial" w:cs="Arial"/>
          <w:sz w:val="24"/>
          <w:szCs w:val="24"/>
        </w:rPr>
      </w:pPr>
      <w:r w:rsidRPr="00501CDD">
        <w:rPr>
          <w:rFonts w:ascii="Arial" w:hAnsi="Arial" w:cs="Arial"/>
          <w:sz w:val="24"/>
          <w:szCs w:val="24"/>
        </w:rPr>
        <w:t xml:space="preserve">One barrier may be that the </w:t>
      </w:r>
      <w:r w:rsidR="00295311">
        <w:rPr>
          <w:rFonts w:ascii="Arial" w:hAnsi="Arial" w:cs="Arial"/>
          <w:sz w:val="24"/>
          <w:szCs w:val="24"/>
        </w:rPr>
        <w:t xml:space="preserve">current </w:t>
      </w:r>
      <w:r w:rsidR="00A279F0">
        <w:rPr>
          <w:rFonts w:ascii="Arial" w:hAnsi="Arial" w:cs="Arial"/>
          <w:sz w:val="24"/>
          <w:szCs w:val="24"/>
        </w:rPr>
        <w:t xml:space="preserve">Commission Act does not sufficiently empower the </w:t>
      </w:r>
      <w:r w:rsidRPr="00501CDD">
        <w:rPr>
          <w:rFonts w:ascii="Arial" w:hAnsi="Arial" w:cs="Arial"/>
          <w:sz w:val="24"/>
          <w:szCs w:val="24"/>
        </w:rPr>
        <w:t xml:space="preserve">Advisory Council </w:t>
      </w:r>
      <w:r w:rsidR="00295EDF">
        <w:rPr>
          <w:rFonts w:ascii="Arial" w:hAnsi="Arial" w:cs="Arial"/>
          <w:sz w:val="24"/>
          <w:szCs w:val="24"/>
        </w:rPr>
        <w:t>or gives it</w:t>
      </w:r>
      <w:r w:rsidRPr="00501CDD">
        <w:rPr>
          <w:rFonts w:ascii="Arial" w:hAnsi="Arial" w:cs="Arial"/>
          <w:sz w:val="24"/>
          <w:szCs w:val="24"/>
        </w:rPr>
        <w:t xml:space="preserve"> too vague </w:t>
      </w:r>
      <w:r w:rsidR="00295EDF">
        <w:rPr>
          <w:rFonts w:ascii="Arial" w:hAnsi="Arial" w:cs="Arial"/>
          <w:sz w:val="24"/>
          <w:szCs w:val="24"/>
        </w:rPr>
        <w:t xml:space="preserve">a </w:t>
      </w:r>
      <w:r w:rsidRPr="00501CDD">
        <w:rPr>
          <w:rFonts w:ascii="Arial" w:hAnsi="Arial" w:cs="Arial"/>
          <w:sz w:val="24"/>
          <w:szCs w:val="24"/>
        </w:rPr>
        <w:t>remit.</w:t>
      </w:r>
    </w:p>
    <w:p w14:paraId="7EE2C5CD" w14:textId="63767BA5" w:rsidR="00202A0C" w:rsidRPr="00501CDD" w:rsidRDefault="00202A0C" w:rsidP="00202A0C">
      <w:pPr>
        <w:spacing w:before="120" w:after="120"/>
        <w:rPr>
          <w:rFonts w:ascii="Arial" w:hAnsi="Arial" w:cs="Arial"/>
          <w:sz w:val="24"/>
          <w:szCs w:val="24"/>
        </w:rPr>
      </w:pPr>
      <w:r>
        <w:rPr>
          <w:rFonts w:ascii="Arial" w:hAnsi="Arial" w:cs="Arial"/>
          <w:sz w:val="24"/>
          <w:szCs w:val="24"/>
        </w:rPr>
        <w:t xml:space="preserve">I consider </w:t>
      </w:r>
      <w:r w:rsidRPr="00501CDD">
        <w:rPr>
          <w:rFonts w:ascii="Arial" w:hAnsi="Arial" w:cs="Arial"/>
          <w:sz w:val="24"/>
          <w:szCs w:val="24"/>
        </w:rPr>
        <w:t xml:space="preserve">that </w:t>
      </w:r>
      <w:r>
        <w:rPr>
          <w:rFonts w:ascii="Arial" w:hAnsi="Arial" w:cs="Arial"/>
          <w:sz w:val="24"/>
          <w:szCs w:val="24"/>
        </w:rPr>
        <w:t xml:space="preserve">as part of the regulatory reform underway, </w:t>
      </w:r>
      <w:r w:rsidRPr="00501CDD">
        <w:rPr>
          <w:rFonts w:ascii="Arial" w:hAnsi="Arial" w:cs="Arial"/>
          <w:sz w:val="24"/>
          <w:szCs w:val="24"/>
        </w:rPr>
        <w:t xml:space="preserve">the Advisory Council </w:t>
      </w:r>
      <w:r>
        <w:rPr>
          <w:rFonts w:ascii="Arial" w:hAnsi="Arial" w:cs="Arial"/>
          <w:sz w:val="24"/>
          <w:szCs w:val="24"/>
        </w:rPr>
        <w:t>is provided with greater levels of freedom</w:t>
      </w:r>
      <w:r w:rsidRPr="00501CDD">
        <w:rPr>
          <w:rFonts w:ascii="Arial" w:hAnsi="Arial" w:cs="Arial"/>
          <w:sz w:val="24"/>
          <w:szCs w:val="24"/>
        </w:rPr>
        <w:t xml:space="preserve"> to convene and review any matters under the </w:t>
      </w:r>
      <w:r w:rsidRPr="00295311">
        <w:rPr>
          <w:rFonts w:ascii="Arial" w:hAnsi="Arial" w:cs="Arial"/>
          <w:sz w:val="24"/>
          <w:szCs w:val="24"/>
        </w:rPr>
        <w:t>Commission Act</w:t>
      </w:r>
      <w:r w:rsidRPr="00501CDD">
        <w:rPr>
          <w:rFonts w:ascii="Arial" w:hAnsi="Arial" w:cs="Arial"/>
          <w:sz w:val="24"/>
          <w:szCs w:val="24"/>
        </w:rPr>
        <w:t xml:space="preserve"> and report to and advise the Minister (currently the Minister must request advice under the Act). It is recommended that the Advisory Council’s role be expanded to include the function of strategic oversight </w:t>
      </w:r>
      <w:r w:rsidR="00A00FB7">
        <w:rPr>
          <w:rFonts w:ascii="Arial" w:hAnsi="Arial" w:cs="Arial"/>
          <w:sz w:val="24"/>
          <w:szCs w:val="24"/>
        </w:rPr>
        <w:t>of the</w:t>
      </w:r>
      <w:r w:rsidRPr="00501CDD">
        <w:rPr>
          <w:rFonts w:ascii="Arial" w:hAnsi="Arial" w:cs="Arial"/>
          <w:sz w:val="24"/>
          <w:szCs w:val="24"/>
        </w:rPr>
        <w:t xml:space="preserve"> Commission. The </w:t>
      </w:r>
      <w:r w:rsidR="00295311">
        <w:rPr>
          <w:rFonts w:ascii="Arial" w:hAnsi="Arial" w:cs="Arial"/>
          <w:sz w:val="24"/>
          <w:szCs w:val="24"/>
        </w:rPr>
        <w:t xml:space="preserve">Commission </w:t>
      </w:r>
      <w:r w:rsidRPr="00501CDD">
        <w:rPr>
          <w:rFonts w:ascii="Arial" w:hAnsi="Arial" w:cs="Arial"/>
          <w:sz w:val="24"/>
          <w:szCs w:val="24"/>
        </w:rPr>
        <w:t>Act should also be amended to specifically direct the Advisory Council to identify systemic performance issues and refer these matters to the Minister and</w:t>
      </w:r>
      <w:r w:rsidR="00295311">
        <w:rPr>
          <w:rFonts w:ascii="Arial" w:hAnsi="Arial" w:cs="Arial"/>
          <w:sz w:val="24"/>
          <w:szCs w:val="24"/>
        </w:rPr>
        <w:t>/</w:t>
      </w:r>
      <w:r w:rsidRPr="00501CDD">
        <w:rPr>
          <w:rFonts w:ascii="Arial" w:hAnsi="Arial" w:cs="Arial"/>
          <w:sz w:val="24"/>
          <w:szCs w:val="24"/>
        </w:rPr>
        <w:t>or the Inspector General of Aged Care (through the Minister) if appropriate.</w:t>
      </w:r>
    </w:p>
    <w:p w14:paraId="5CCB37EA" w14:textId="6C3AEFD0" w:rsidR="00202A0C" w:rsidRDefault="00202A0C" w:rsidP="005F47A3">
      <w:pPr>
        <w:keepLines/>
        <w:spacing w:before="120" w:after="120"/>
        <w:rPr>
          <w:rFonts w:ascii="Arial" w:hAnsi="Arial" w:cs="Arial"/>
          <w:sz w:val="24"/>
          <w:szCs w:val="24"/>
        </w:rPr>
      </w:pPr>
      <w:r w:rsidRPr="00501CDD">
        <w:rPr>
          <w:rFonts w:ascii="Arial" w:hAnsi="Arial" w:cs="Arial"/>
          <w:sz w:val="24"/>
          <w:szCs w:val="24"/>
        </w:rPr>
        <w:lastRenderedPageBreak/>
        <w:t>The Advisory Council’s role should be further clarified in a revision of the Advisory Council Charter</w:t>
      </w:r>
      <w:r>
        <w:rPr>
          <w:rFonts w:ascii="Arial" w:hAnsi="Arial" w:cs="Arial"/>
          <w:sz w:val="24"/>
          <w:szCs w:val="24"/>
        </w:rPr>
        <w:t>. This could include revie</w:t>
      </w:r>
      <w:r w:rsidR="003E0AB5">
        <w:rPr>
          <w:rFonts w:ascii="Arial" w:hAnsi="Arial" w:cs="Arial"/>
          <w:sz w:val="24"/>
          <w:szCs w:val="24"/>
        </w:rPr>
        <w:t>w</w:t>
      </w:r>
      <w:r>
        <w:rPr>
          <w:rFonts w:ascii="Arial" w:hAnsi="Arial" w:cs="Arial"/>
          <w:sz w:val="24"/>
          <w:szCs w:val="24"/>
        </w:rPr>
        <w:t>ing its</w:t>
      </w:r>
      <w:r w:rsidRPr="00501CDD">
        <w:rPr>
          <w:rFonts w:ascii="Arial" w:hAnsi="Arial" w:cs="Arial"/>
          <w:sz w:val="24"/>
          <w:szCs w:val="24"/>
        </w:rPr>
        <w:t xml:space="preserve"> role in identifying any risks and issues pertaining to the Commission’s performance of it regulatory functions that would extend to internal governance and workforce arrangements. To support this function, the Advisory Council should routinely have access to</w:t>
      </w:r>
      <w:r w:rsidRPr="00501CDD">
        <w:rPr>
          <w:rFonts w:ascii="Arial" w:hAnsi="Arial" w:cs="Arial"/>
          <w:color w:val="00B050"/>
          <w:sz w:val="24"/>
          <w:szCs w:val="24"/>
        </w:rPr>
        <w:t xml:space="preserve"> </w:t>
      </w:r>
      <w:r w:rsidRPr="00501CDD">
        <w:rPr>
          <w:rFonts w:ascii="Arial" w:hAnsi="Arial" w:cs="Arial"/>
          <w:sz w:val="24"/>
          <w:szCs w:val="24"/>
        </w:rPr>
        <w:t>evidence-based reports such as staff vacancy rate/turnover, skills gaps</w:t>
      </w:r>
      <w:r w:rsidR="003E0AB5">
        <w:rPr>
          <w:rFonts w:ascii="Arial" w:hAnsi="Arial" w:cs="Arial"/>
          <w:sz w:val="24"/>
          <w:szCs w:val="24"/>
        </w:rPr>
        <w:t xml:space="preserve"> and</w:t>
      </w:r>
      <w:r w:rsidRPr="00501CDD">
        <w:rPr>
          <w:rFonts w:ascii="Arial" w:hAnsi="Arial" w:cs="Arial"/>
          <w:sz w:val="24"/>
          <w:szCs w:val="24"/>
        </w:rPr>
        <w:t xml:space="preserve"> APS </w:t>
      </w:r>
      <w:r w:rsidR="00EF150C">
        <w:rPr>
          <w:rFonts w:ascii="Arial" w:hAnsi="Arial" w:cs="Arial"/>
          <w:sz w:val="24"/>
          <w:szCs w:val="24"/>
        </w:rPr>
        <w:t>Employee Census</w:t>
      </w:r>
      <w:r w:rsidRPr="00501CDD">
        <w:rPr>
          <w:rFonts w:ascii="Arial" w:hAnsi="Arial" w:cs="Arial"/>
          <w:sz w:val="24"/>
          <w:szCs w:val="24"/>
        </w:rPr>
        <w:t xml:space="preserve"> </w:t>
      </w:r>
      <w:r>
        <w:rPr>
          <w:rFonts w:ascii="Arial" w:hAnsi="Arial" w:cs="Arial"/>
          <w:sz w:val="24"/>
          <w:szCs w:val="24"/>
        </w:rPr>
        <w:t xml:space="preserve">survey results </w:t>
      </w:r>
      <w:r w:rsidRPr="00501CDD">
        <w:rPr>
          <w:rFonts w:ascii="Arial" w:hAnsi="Arial" w:cs="Arial"/>
          <w:sz w:val="24"/>
          <w:szCs w:val="24"/>
        </w:rPr>
        <w:t xml:space="preserve">and be encouraged to participate in activities with Commission executives including strategic planning sessions. A </w:t>
      </w:r>
      <w:r w:rsidR="00295311">
        <w:rPr>
          <w:rFonts w:ascii="Arial" w:hAnsi="Arial" w:cs="Arial"/>
          <w:sz w:val="24"/>
          <w:szCs w:val="24"/>
        </w:rPr>
        <w:t xml:space="preserve">Commission </w:t>
      </w:r>
      <w:r w:rsidRPr="00501CDD">
        <w:rPr>
          <w:rFonts w:ascii="Arial" w:hAnsi="Arial" w:cs="Arial"/>
          <w:sz w:val="24"/>
          <w:szCs w:val="24"/>
        </w:rPr>
        <w:t xml:space="preserve">workforce representative </w:t>
      </w:r>
      <w:r>
        <w:rPr>
          <w:rFonts w:ascii="Arial" w:hAnsi="Arial" w:cs="Arial"/>
          <w:sz w:val="24"/>
          <w:szCs w:val="24"/>
        </w:rPr>
        <w:t>should also</w:t>
      </w:r>
      <w:r w:rsidRPr="00501CDD">
        <w:rPr>
          <w:rFonts w:ascii="Arial" w:hAnsi="Arial" w:cs="Arial"/>
          <w:sz w:val="24"/>
          <w:szCs w:val="24"/>
        </w:rPr>
        <w:t xml:space="preserve"> be appointed as an ex-officio</w:t>
      </w:r>
      <w:r>
        <w:rPr>
          <w:rFonts w:ascii="Arial" w:hAnsi="Arial" w:cs="Arial"/>
          <w:sz w:val="24"/>
          <w:szCs w:val="24"/>
        </w:rPr>
        <w:t xml:space="preserve"> member by invitation of the Chair</w:t>
      </w:r>
      <w:r w:rsidRPr="00501CDD">
        <w:rPr>
          <w:rFonts w:ascii="Arial" w:hAnsi="Arial" w:cs="Arial"/>
          <w:sz w:val="24"/>
          <w:szCs w:val="24"/>
        </w:rPr>
        <w:t>.</w:t>
      </w:r>
    </w:p>
    <w:p w14:paraId="1C3267DB" w14:textId="77777777" w:rsidR="00202A0C" w:rsidRPr="00501CDD" w:rsidRDefault="00202A0C" w:rsidP="00202A0C">
      <w:pPr>
        <w:spacing w:before="120" w:after="120"/>
        <w:rPr>
          <w:rFonts w:ascii="Arial" w:hAnsi="Arial" w:cs="Arial"/>
          <w:i/>
          <w:iCs/>
          <w:sz w:val="24"/>
          <w:szCs w:val="24"/>
        </w:rPr>
      </w:pPr>
      <w:r w:rsidRPr="00501CDD">
        <w:rPr>
          <w:rFonts w:ascii="Arial" w:hAnsi="Arial" w:cs="Arial"/>
          <w:i/>
          <w:iCs/>
          <w:sz w:val="24"/>
          <w:szCs w:val="24"/>
        </w:rPr>
        <w:t>Greater independence from the Commission</w:t>
      </w:r>
    </w:p>
    <w:p w14:paraId="54C70DA1" w14:textId="0A5CA1F8" w:rsidR="00202A0C" w:rsidRDefault="00202A0C" w:rsidP="00202A0C">
      <w:pPr>
        <w:spacing w:before="120" w:after="120"/>
        <w:rPr>
          <w:rFonts w:ascii="Arial" w:hAnsi="Arial" w:cs="Arial"/>
          <w:sz w:val="24"/>
          <w:szCs w:val="24"/>
        </w:rPr>
      </w:pPr>
      <w:r w:rsidRPr="00501CDD">
        <w:rPr>
          <w:rFonts w:ascii="Arial" w:hAnsi="Arial" w:cs="Arial"/>
          <w:sz w:val="24"/>
          <w:szCs w:val="24"/>
        </w:rPr>
        <w:t xml:space="preserve">Advisory Council members have reiterated their great respect for the Commissioner’s leadership, but it is hard to see how the Council can adequately perform its role as an accountability mechanism for the Commission when it does not appear to be sufficiently independent from it. </w:t>
      </w:r>
      <w:r>
        <w:rPr>
          <w:rFonts w:ascii="Arial" w:hAnsi="Arial" w:cs="Arial"/>
          <w:sz w:val="24"/>
          <w:szCs w:val="24"/>
        </w:rPr>
        <w:t>I understand</w:t>
      </w:r>
      <w:r w:rsidRPr="00501CDD">
        <w:rPr>
          <w:rFonts w:ascii="Arial" w:hAnsi="Arial" w:cs="Arial"/>
          <w:sz w:val="24"/>
          <w:szCs w:val="24"/>
        </w:rPr>
        <w:t xml:space="preserve"> that the agenda is largely set by the Commission based on a workplan developed “with the Council” but heavily influenced by the Commission</w:t>
      </w:r>
      <w:r w:rsidR="003E0AB5">
        <w:rPr>
          <w:rFonts w:ascii="Arial" w:hAnsi="Arial" w:cs="Arial"/>
          <w:sz w:val="24"/>
          <w:szCs w:val="24"/>
        </w:rPr>
        <w:t>er</w:t>
      </w:r>
      <w:r>
        <w:rPr>
          <w:rFonts w:ascii="Arial" w:hAnsi="Arial" w:cs="Arial"/>
          <w:sz w:val="24"/>
          <w:szCs w:val="24"/>
        </w:rPr>
        <w:t xml:space="preserve"> and </w:t>
      </w:r>
      <w:r w:rsidRPr="00501CDD">
        <w:rPr>
          <w:rFonts w:ascii="Arial" w:hAnsi="Arial" w:cs="Arial"/>
          <w:sz w:val="24"/>
          <w:szCs w:val="24"/>
        </w:rPr>
        <w:t>Commission. Ex-officio members of the Department and the Commission take part in all meetings</w:t>
      </w:r>
      <w:r>
        <w:rPr>
          <w:rFonts w:ascii="Arial" w:hAnsi="Arial" w:cs="Arial"/>
          <w:sz w:val="24"/>
          <w:szCs w:val="24"/>
        </w:rPr>
        <w:t xml:space="preserve"> as a matter of course</w:t>
      </w:r>
      <w:r w:rsidRPr="00501CDD">
        <w:rPr>
          <w:rFonts w:ascii="Arial" w:hAnsi="Arial" w:cs="Arial"/>
          <w:sz w:val="24"/>
          <w:szCs w:val="24"/>
        </w:rPr>
        <w:t xml:space="preserve">. </w:t>
      </w:r>
    </w:p>
    <w:p w14:paraId="7362C7DB" w14:textId="77777777" w:rsidR="00202A0C" w:rsidRPr="00501CDD" w:rsidRDefault="00202A0C" w:rsidP="00202A0C">
      <w:pPr>
        <w:spacing w:before="120" w:after="120" w:line="240" w:lineRule="auto"/>
        <w:rPr>
          <w:rFonts w:ascii="Arial" w:hAnsi="Arial" w:cs="Arial"/>
          <w:sz w:val="24"/>
          <w:szCs w:val="24"/>
        </w:rPr>
      </w:pPr>
      <w:r>
        <w:rPr>
          <w:rFonts w:ascii="Arial" w:hAnsi="Arial" w:cs="Arial"/>
          <w:sz w:val="24"/>
          <w:szCs w:val="24"/>
        </w:rPr>
        <w:t>I believe the Advisory Council</w:t>
      </w:r>
      <w:r w:rsidRPr="00501CDD">
        <w:rPr>
          <w:rFonts w:ascii="Arial" w:hAnsi="Arial" w:cs="Arial"/>
          <w:sz w:val="24"/>
          <w:szCs w:val="24"/>
        </w:rPr>
        <w:t xml:space="preserve"> lacks a distinguishable role that is separate from the Commission itself, noting the Commissioner is an ex-officio member of the Council and has a high degree of influence on the agenda, </w:t>
      </w:r>
      <w:proofErr w:type="gramStart"/>
      <w:r w:rsidRPr="00501CDD">
        <w:rPr>
          <w:rFonts w:ascii="Arial" w:hAnsi="Arial" w:cs="Arial"/>
          <w:sz w:val="24"/>
          <w:szCs w:val="24"/>
        </w:rPr>
        <w:t>deliberations</w:t>
      </w:r>
      <w:proofErr w:type="gramEnd"/>
      <w:r w:rsidRPr="00501CDD">
        <w:rPr>
          <w:rFonts w:ascii="Arial" w:hAnsi="Arial" w:cs="Arial"/>
          <w:sz w:val="24"/>
          <w:szCs w:val="24"/>
        </w:rPr>
        <w:t xml:space="preserve"> and advice. </w:t>
      </w:r>
    </w:p>
    <w:p w14:paraId="2F9A0BC1" w14:textId="123BACD2" w:rsidR="00202A0C" w:rsidRPr="00501CDD" w:rsidRDefault="0058417F" w:rsidP="00202A0C">
      <w:pPr>
        <w:spacing w:before="120" w:after="120" w:line="240" w:lineRule="auto"/>
        <w:rPr>
          <w:rFonts w:ascii="Arial" w:hAnsi="Arial" w:cs="Arial"/>
          <w:color w:val="000000" w:themeColor="text1"/>
          <w:sz w:val="24"/>
          <w:szCs w:val="24"/>
          <w:lang w:val="en-US"/>
        </w:rPr>
      </w:pPr>
      <w:r>
        <w:rPr>
          <w:rFonts w:ascii="Arial" w:hAnsi="Arial" w:cs="Arial"/>
          <w:sz w:val="24"/>
          <w:szCs w:val="24"/>
        </w:rPr>
        <w:t xml:space="preserve">I consider </w:t>
      </w:r>
      <w:r w:rsidR="00202A0C" w:rsidRPr="00501CDD">
        <w:rPr>
          <w:rFonts w:ascii="Arial" w:hAnsi="Arial" w:cs="Arial"/>
          <w:sz w:val="24"/>
          <w:szCs w:val="24"/>
        </w:rPr>
        <w:t>the Advisory Council should have a greater level of independence</w:t>
      </w:r>
      <w:r w:rsidR="00202A0C" w:rsidRPr="00501CDD">
        <w:rPr>
          <w:rFonts w:ascii="Arial" w:hAnsi="Arial" w:cs="Arial"/>
          <w:color w:val="000000" w:themeColor="text1"/>
          <w:sz w:val="24"/>
          <w:szCs w:val="24"/>
          <w:lang w:val="en-US"/>
        </w:rPr>
        <w:t xml:space="preserve"> and autonomy and could be more effective in the quality and relevance of its advice. </w:t>
      </w:r>
    </w:p>
    <w:p w14:paraId="16B60562" w14:textId="1B65C4D6" w:rsidR="00202A0C" w:rsidRPr="00501CDD" w:rsidRDefault="0058417F" w:rsidP="003E0AB5">
      <w:pPr>
        <w:spacing w:before="120" w:after="120"/>
        <w:rPr>
          <w:rFonts w:ascii="Arial" w:hAnsi="Arial" w:cs="Arial"/>
          <w:sz w:val="24"/>
          <w:szCs w:val="24"/>
        </w:rPr>
      </w:pPr>
      <w:r>
        <w:rPr>
          <w:rFonts w:ascii="Arial" w:hAnsi="Arial" w:cs="Arial"/>
          <w:sz w:val="24"/>
          <w:szCs w:val="24"/>
        </w:rPr>
        <w:t>I</w:t>
      </w:r>
      <w:r w:rsidR="00202A0C" w:rsidRPr="00501CDD">
        <w:rPr>
          <w:rFonts w:ascii="Arial" w:hAnsi="Arial" w:cs="Arial"/>
          <w:sz w:val="24"/>
          <w:szCs w:val="24"/>
        </w:rPr>
        <w:t xml:space="preserve"> recommend actions to strengthen the independence and autonomy of the Advisory Council through</w:t>
      </w:r>
      <w:r w:rsidR="003E0AB5">
        <w:rPr>
          <w:rFonts w:ascii="Arial" w:hAnsi="Arial" w:cs="Arial"/>
          <w:sz w:val="24"/>
          <w:szCs w:val="24"/>
        </w:rPr>
        <w:t xml:space="preserve"> </w:t>
      </w:r>
      <w:r w:rsidR="00202A0C" w:rsidRPr="00501CDD">
        <w:rPr>
          <w:rFonts w:ascii="Arial" w:hAnsi="Arial" w:cs="Arial"/>
          <w:sz w:val="24"/>
          <w:szCs w:val="24"/>
        </w:rPr>
        <w:t>a separate</w:t>
      </w:r>
      <w:r w:rsidR="00CE026C">
        <w:rPr>
          <w:rFonts w:ascii="Arial" w:hAnsi="Arial" w:cs="Arial"/>
          <w:sz w:val="24"/>
          <w:szCs w:val="24"/>
        </w:rPr>
        <w:t>, independent</w:t>
      </w:r>
      <w:r w:rsidR="00202A0C" w:rsidRPr="00501CDD">
        <w:rPr>
          <w:rFonts w:ascii="Arial" w:hAnsi="Arial" w:cs="Arial"/>
          <w:sz w:val="24"/>
          <w:szCs w:val="24"/>
        </w:rPr>
        <w:t xml:space="preserve"> Secretariat function </w:t>
      </w:r>
      <w:r w:rsidR="00D560C3">
        <w:rPr>
          <w:rFonts w:ascii="Arial" w:hAnsi="Arial" w:cs="Arial"/>
          <w:sz w:val="24"/>
          <w:szCs w:val="24"/>
        </w:rPr>
        <w:t>focussing on</w:t>
      </w:r>
      <w:r w:rsidR="00202A0C" w:rsidRPr="00501CDD">
        <w:rPr>
          <w:rFonts w:ascii="Arial" w:hAnsi="Arial" w:cs="Arial"/>
          <w:sz w:val="24"/>
          <w:szCs w:val="24"/>
        </w:rPr>
        <w:t xml:space="preserve"> agenda setting and development of advice</w:t>
      </w:r>
      <w:r w:rsidR="00125FB5">
        <w:rPr>
          <w:rFonts w:ascii="Arial" w:hAnsi="Arial" w:cs="Arial"/>
          <w:sz w:val="24"/>
          <w:szCs w:val="24"/>
        </w:rPr>
        <w:t>.</w:t>
      </w:r>
    </w:p>
    <w:p w14:paraId="5FF94635" w14:textId="62245E57" w:rsidR="00202A0C" w:rsidRPr="00501CDD" w:rsidRDefault="00202A0C" w:rsidP="00202A0C">
      <w:pPr>
        <w:spacing w:before="120" w:after="120" w:line="240" w:lineRule="auto"/>
        <w:rPr>
          <w:rFonts w:ascii="Arial" w:hAnsi="Arial" w:cs="Arial"/>
          <w:sz w:val="24"/>
          <w:szCs w:val="24"/>
        </w:rPr>
      </w:pPr>
      <w:r w:rsidRPr="00501CDD">
        <w:rPr>
          <w:rFonts w:ascii="Arial" w:hAnsi="Arial" w:cs="Arial"/>
          <w:sz w:val="24"/>
          <w:szCs w:val="24"/>
        </w:rPr>
        <w:t>Subject to its pr</w:t>
      </w:r>
      <w:r w:rsidR="007977FA">
        <w:rPr>
          <w:rFonts w:ascii="Arial" w:hAnsi="Arial" w:cs="Arial"/>
          <w:sz w:val="24"/>
          <w:szCs w:val="24"/>
        </w:rPr>
        <w:t>e</w:t>
      </w:r>
      <w:r w:rsidRPr="00501CDD">
        <w:rPr>
          <w:rFonts w:ascii="Arial" w:hAnsi="Arial" w:cs="Arial"/>
          <w:sz w:val="24"/>
          <w:szCs w:val="24"/>
        </w:rPr>
        <w:t xml:space="preserve">scribed functions and powers, the Advisory Council should operate in the way it determines. The charter that guides its operation should be reviewed and revised in consultation with the Department and the </w:t>
      </w:r>
      <w:r>
        <w:rPr>
          <w:rFonts w:ascii="Arial" w:hAnsi="Arial" w:cs="Arial"/>
          <w:sz w:val="24"/>
          <w:szCs w:val="24"/>
        </w:rPr>
        <w:t>Commission</w:t>
      </w:r>
      <w:r w:rsidRPr="00501CDD">
        <w:rPr>
          <w:rFonts w:ascii="Arial" w:hAnsi="Arial" w:cs="Arial"/>
          <w:sz w:val="24"/>
          <w:szCs w:val="24"/>
        </w:rPr>
        <w:t>.</w:t>
      </w:r>
    </w:p>
    <w:p w14:paraId="790755A3" w14:textId="3E9713CC" w:rsidR="00202A0C" w:rsidRPr="00501CDD" w:rsidRDefault="00202A0C" w:rsidP="00202A0C">
      <w:pPr>
        <w:spacing w:before="120" w:after="120" w:line="240" w:lineRule="auto"/>
        <w:rPr>
          <w:rFonts w:ascii="Arial" w:hAnsi="Arial" w:cs="Arial"/>
          <w:sz w:val="24"/>
          <w:szCs w:val="24"/>
        </w:rPr>
      </w:pPr>
      <w:r w:rsidRPr="00501CDD">
        <w:rPr>
          <w:rFonts w:ascii="Arial" w:hAnsi="Arial" w:cs="Arial"/>
          <w:sz w:val="24"/>
          <w:szCs w:val="24"/>
        </w:rPr>
        <w:t>To preserve its independence, the Advisory Council should limit the attendance and participation of ex-officio members at its meetings. The Chair may invite ex-officio members to attend</w:t>
      </w:r>
      <w:r>
        <w:rPr>
          <w:rFonts w:ascii="Arial" w:hAnsi="Arial" w:cs="Arial"/>
          <w:sz w:val="24"/>
          <w:szCs w:val="24"/>
        </w:rPr>
        <w:t xml:space="preserve"> </w:t>
      </w:r>
      <w:r w:rsidRPr="00501CDD">
        <w:rPr>
          <w:rFonts w:ascii="Arial" w:hAnsi="Arial" w:cs="Arial"/>
          <w:sz w:val="24"/>
          <w:szCs w:val="24"/>
        </w:rPr>
        <w:t xml:space="preserve">relevant parts of an Advisory Council meetings. </w:t>
      </w:r>
    </w:p>
    <w:p w14:paraId="5C0BEB2D" w14:textId="245C2627" w:rsidR="00202A0C" w:rsidRPr="005D0AF3" w:rsidRDefault="00202A0C" w:rsidP="00202A0C">
      <w:pPr>
        <w:spacing w:before="120" w:after="120"/>
        <w:rPr>
          <w:rFonts w:ascii="Arial" w:hAnsi="Arial" w:cs="Arial"/>
          <w:sz w:val="24"/>
          <w:szCs w:val="24"/>
        </w:rPr>
      </w:pPr>
      <w:bookmarkStart w:id="27" w:name="_Hlk130388065"/>
      <w:r w:rsidRPr="005D0AF3">
        <w:rPr>
          <w:rFonts w:ascii="Arial" w:hAnsi="Arial" w:cs="Arial"/>
          <w:b/>
          <w:bCs/>
          <w:sz w:val="24"/>
          <w:szCs w:val="24"/>
        </w:rPr>
        <w:t>R</w:t>
      </w:r>
      <w:r w:rsidR="00060835" w:rsidRPr="005D0AF3">
        <w:rPr>
          <w:rFonts w:ascii="Arial" w:hAnsi="Arial" w:cs="Arial"/>
          <w:b/>
          <w:bCs/>
          <w:sz w:val="24"/>
          <w:szCs w:val="24"/>
        </w:rPr>
        <w:t>ecommendation 6.</w:t>
      </w:r>
      <w:r w:rsidR="00224303" w:rsidRPr="005D0AF3">
        <w:rPr>
          <w:rFonts w:ascii="Arial" w:hAnsi="Arial" w:cs="Arial"/>
          <w:b/>
          <w:bCs/>
          <w:sz w:val="24"/>
          <w:szCs w:val="24"/>
        </w:rPr>
        <w:t>2</w:t>
      </w:r>
      <w:r w:rsidR="00060835" w:rsidRPr="005D0AF3">
        <w:rPr>
          <w:rFonts w:ascii="Arial" w:hAnsi="Arial" w:cs="Arial"/>
          <w:b/>
          <w:bCs/>
          <w:sz w:val="24"/>
          <w:szCs w:val="24"/>
        </w:rPr>
        <w:t>:</w:t>
      </w:r>
      <w:r w:rsidR="00060835" w:rsidRPr="005D0AF3">
        <w:rPr>
          <w:rFonts w:ascii="Arial" w:hAnsi="Arial" w:cs="Arial"/>
          <w:sz w:val="24"/>
          <w:szCs w:val="24"/>
        </w:rPr>
        <w:t xml:space="preserve"> </w:t>
      </w:r>
      <w:r w:rsidR="00E4677F">
        <w:rPr>
          <w:rFonts w:ascii="Arial" w:eastAsia="Times New Roman" w:hAnsi="Arial" w:cs="Arial"/>
          <w:sz w:val="24"/>
          <w:szCs w:val="24"/>
        </w:rPr>
        <w:t>The</w:t>
      </w:r>
      <w:r w:rsidR="00E4677F" w:rsidRPr="005D0AF3">
        <w:rPr>
          <w:rFonts w:ascii="Arial" w:eastAsia="Times New Roman" w:hAnsi="Arial" w:cs="Arial"/>
          <w:sz w:val="24"/>
          <w:szCs w:val="24"/>
        </w:rPr>
        <w:t xml:space="preserve"> </w:t>
      </w:r>
      <w:r w:rsidR="00E4677F" w:rsidRPr="005D0AF3">
        <w:rPr>
          <w:rFonts w:ascii="Arial" w:hAnsi="Arial" w:cs="Arial"/>
          <w:color w:val="000000" w:themeColor="text1"/>
          <w:sz w:val="24"/>
          <w:szCs w:val="24"/>
          <w:lang w:val="en-US"/>
        </w:rPr>
        <w:t xml:space="preserve">Aged Care Quality and Safety </w:t>
      </w:r>
      <w:r w:rsidR="00E4677F" w:rsidRPr="005D0AF3">
        <w:rPr>
          <w:rFonts w:ascii="Arial" w:hAnsi="Arial" w:cs="Arial"/>
          <w:color w:val="000000"/>
          <w:sz w:val="24"/>
          <w:szCs w:val="24"/>
          <w:shd w:val="clear" w:color="auto" w:fill="FFFFFF"/>
        </w:rPr>
        <w:t xml:space="preserve">Advisory Council </w:t>
      </w:r>
      <w:r w:rsidR="00E4677F" w:rsidRPr="005D0AF3">
        <w:rPr>
          <w:rFonts w:ascii="Arial" w:eastAsia="Times New Roman" w:hAnsi="Arial" w:cs="Arial"/>
          <w:sz w:val="24"/>
          <w:szCs w:val="24"/>
        </w:rPr>
        <w:t xml:space="preserve">to </w:t>
      </w:r>
      <w:r w:rsidR="00E4677F">
        <w:rPr>
          <w:rFonts w:ascii="Arial" w:eastAsia="Times New Roman" w:hAnsi="Arial" w:cs="Arial"/>
          <w:sz w:val="24"/>
          <w:szCs w:val="24"/>
        </w:rPr>
        <w:t xml:space="preserve">be strengthened to </w:t>
      </w:r>
      <w:r w:rsidR="00E4677F" w:rsidRPr="005D0AF3">
        <w:rPr>
          <w:rFonts w:ascii="Arial" w:eastAsia="Times New Roman" w:hAnsi="Arial" w:cs="Arial"/>
          <w:sz w:val="24"/>
          <w:szCs w:val="24"/>
        </w:rPr>
        <w:t>provide stronger independence</w:t>
      </w:r>
      <w:r w:rsidR="00E4677F">
        <w:rPr>
          <w:rFonts w:ascii="Arial" w:eastAsia="Times New Roman" w:hAnsi="Arial" w:cs="Arial"/>
          <w:sz w:val="24"/>
          <w:szCs w:val="24"/>
        </w:rPr>
        <w:t xml:space="preserve">, </w:t>
      </w:r>
      <w:proofErr w:type="gramStart"/>
      <w:r w:rsidR="00E4677F" w:rsidRPr="005D0AF3">
        <w:rPr>
          <w:rFonts w:ascii="Arial" w:eastAsia="Times New Roman" w:hAnsi="Arial" w:cs="Arial"/>
          <w:sz w:val="24"/>
          <w:szCs w:val="24"/>
        </w:rPr>
        <w:t>accountability</w:t>
      </w:r>
      <w:proofErr w:type="gramEnd"/>
      <w:r w:rsidR="00E4677F" w:rsidRPr="005D0AF3">
        <w:rPr>
          <w:rFonts w:ascii="Arial" w:eastAsia="Times New Roman" w:hAnsi="Arial" w:cs="Arial"/>
          <w:sz w:val="24"/>
          <w:szCs w:val="24"/>
        </w:rPr>
        <w:t xml:space="preserve"> </w:t>
      </w:r>
      <w:r w:rsidR="00E4677F">
        <w:rPr>
          <w:rFonts w:ascii="Arial" w:eastAsia="Times New Roman" w:hAnsi="Arial" w:cs="Arial"/>
          <w:sz w:val="24"/>
          <w:szCs w:val="24"/>
        </w:rPr>
        <w:t>and oversight,</w:t>
      </w:r>
      <w:r w:rsidRPr="005D0AF3">
        <w:rPr>
          <w:rFonts w:ascii="Arial" w:hAnsi="Arial" w:cs="Arial"/>
          <w:sz w:val="24"/>
          <w:szCs w:val="24"/>
        </w:rPr>
        <w:t xml:space="preserve"> by the following actions:</w:t>
      </w:r>
    </w:p>
    <w:p w14:paraId="5049FB4F" w14:textId="791A1E61" w:rsidR="00202A0C" w:rsidRPr="005D0AF3" w:rsidRDefault="00202A0C" w:rsidP="001750D5">
      <w:pPr>
        <w:numPr>
          <w:ilvl w:val="0"/>
          <w:numId w:val="77"/>
        </w:numPr>
        <w:spacing w:before="120" w:after="120" w:line="240" w:lineRule="auto"/>
        <w:ind w:left="360"/>
        <w:rPr>
          <w:rFonts w:ascii="Arial" w:hAnsi="Arial" w:cs="Arial"/>
          <w:sz w:val="24"/>
          <w:szCs w:val="24"/>
        </w:rPr>
      </w:pPr>
      <w:r w:rsidRPr="005D0AF3">
        <w:rPr>
          <w:rFonts w:ascii="Arial" w:hAnsi="Arial" w:cs="Arial"/>
          <w:sz w:val="24"/>
          <w:szCs w:val="24"/>
        </w:rPr>
        <w:t>The Minister to immediately fill three Advisory Council vacancies as a matter of urgency</w:t>
      </w:r>
      <w:r w:rsidR="00C56007">
        <w:rPr>
          <w:rFonts w:ascii="Arial" w:hAnsi="Arial" w:cs="Arial"/>
          <w:sz w:val="24"/>
          <w:szCs w:val="24"/>
        </w:rPr>
        <w:t>.</w:t>
      </w:r>
    </w:p>
    <w:p w14:paraId="65FA7548" w14:textId="77777777" w:rsidR="00C632CC" w:rsidRPr="005D0AF3" w:rsidRDefault="00C632CC" w:rsidP="00C632CC">
      <w:pPr>
        <w:numPr>
          <w:ilvl w:val="0"/>
          <w:numId w:val="77"/>
        </w:numPr>
        <w:spacing w:before="120" w:after="120" w:line="240" w:lineRule="auto"/>
        <w:ind w:left="360"/>
        <w:rPr>
          <w:rFonts w:ascii="Arial" w:hAnsi="Arial" w:cs="Arial"/>
          <w:sz w:val="24"/>
          <w:szCs w:val="24"/>
        </w:rPr>
      </w:pPr>
      <w:r w:rsidRPr="005D0AF3">
        <w:rPr>
          <w:rFonts w:ascii="Arial" w:hAnsi="Arial" w:cs="Arial"/>
          <w:sz w:val="24"/>
          <w:szCs w:val="24"/>
        </w:rPr>
        <w:t xml:space="preserve">The Minister to directly task the Advisory Council to provide advice on issues of </w:t>
      </w:r>
      <w:r w:rsidRPr="00C632CC">
        <w:rPr>
          <w:rFonts w:ascii="Arial" w:hAnsi="Arial" w:cs="Arial"/>
          <w:color w:val="000000" w:themeColor="text1"/>
          <w:sz w:val="24"/>
          <w:szCs w:val="24"/>
          <w:lang w:val="en-US"/>
        </w:rPr>
        <w:t>concern</w:t>
      </w:r>
      <w:r w:rsidRPr="005D0AF3">
        <w:rPr>
          <w:rFonts w:ascii="Arial" w:hAnsi="Arial" w:cs="Arial"/>
          <w:sz w:val="24"/>
          <w:szCs w:val="24"/>
        </w:rPr>
        <w:t xml:space="preserve"> on a more regular basis.</w:t>
      </w:r>
    </w:p>
    <w:p w14:paraId="0956D18D" w14:textId="08C87595" w:rsidR="00202A0C" w:rsidRPr="005D0AF3" w:rsidRDefault="00C56007" w:rsidP="001750D5">
      <w:pPr>
        <w:numPr>
          <w:ilvl w:val="0"/>
          <w:numId w:val="77"/>
        </w:numPr>
        <w:spacing w:before="120" w:after="120" w:line="240" w:lineRule="auto"/>
        <w:ind w:left="360"/>
        <w:rPr>
          <w:rFonts w:ascii="Arial" w:hAnsi="Arial" w:cs="Arial"/>
          <w:sz w:val="24"/>
          <w:szCs w:val="24"/>
        </w:rPr>
      </w:pPr>
      <w:r>
        <w:rPr>
          <w:rFonts w:ascii="Arial" w:hAnsi="Arial" w:cs="Arial"/>
          <w:color w:val="000000" w:themeColor="text1"/>
          <w:sz w:val="24"/>
          <w:szCs w:val="24"/>
          <w:lang w:val="en-US"/>
        </w:rPr>
        <w:t>T</w:t>
      </w:r>
      <w:r w:rsidR="00202A0C" w:rsidRPr="005D0AF3">
        <w:rPr>
          <w:rFonts w:ascii="Arial" w:hAnsi="Arial" w:cs="Arial"/>
          <w:color w:val="000000" w:themeColor="text1"/>
          <w:sz w:val="24"/>
          <w:szCs w:val="24"/>
          <w:lang w:val="en-US"/>
        </w:rPr>
        <w:t xml:space="preserve">he Advisory Council appointments process </w:t>
      </w:r>
      <w:r>
        <w:rPr>
          <w:rFonts w:ascii="Arial" w:hAnsi="Arial" w:cs="Arial"/>
          <w:color w:val="000000" w:themeColor="text1"/>
          <w:sz w:val="24"/>
          <w:szCs w:val="24"/>
          <w:lang w:val="en-US"/>
        </w:rPr>
        <w:t xml:space="preserve">to be reviewed </w:t>
      </w:r>
      <w:r w:rsidR="00202A0C" w:rsidRPr="005D0AF3">
        <w:rPr>
          <w:rFonts w:ascii="Arial" w:hAnsi="Arial" w:cs="Arial"/>
          <w:color w:val="000000" w:themeColor="text1"/>
          <w:sz w:val="24"/>
          <w:szCs w:val="24"/>
          <w:lang w:val="en-US"/>
        </w:rPr>
        <w:t xml:space="preserve">to align with any relevant outcomes of Review of Public Sector Appointment Processes due to report in mid-2023. </w:t>
      </w:r>
    </w:p>
    <w:p w14:paraId="62B1CAB0" w14:textId="54312F77" w:rsidR="00202A0C" w:rsidRPr="005D0AF3" w:rsidRDefault="00C56007" w:rsidP="005F47A3">
      <w:pPr>
        <w:keepNext/>
        <w:numPr>
          <w:ilvl w:val="0"/>
          <w:numId w:val="77"/>
        </w:numPr>
        <w:spacing w:before="120" w:after="120" w:line="240" w:lineRule="auto"/>
        <w:ind w:left="357" w:hanging="357"/>
        <w:rPr>
          <w:rFonts w:ascii="Arial" w:hAnsi="Arial" w:cs="Arial"/>
          <w:sz w:val="24"/>
          <w:szCs w:val="24"/>
        </w:rPr>
      </w:pPr>
      <w:r>
        <w:rPr>
          <w:rFonts w:ascii="Arial" w:hAnsi="Arial" w:cs="Arial"/>
          <w:sz w:val="24"/>
          <w:szCs w:val="24"/>
        </w:rPr>
        <w:lastRenderedPageBreak/>
        <w:t>T</w:t>
      </w:r>
      <w:r w:rsidR="003C58EB">
        <w:rPr>
          <w:rFonts w:ascii="Arial" w:hAnsi="Arial" w:cs="Arial"/>
          <w:sz w:val="24"/>
          <w:szCs w:val="24"/>
        </w:rPr>
        <w:t xml:space="preserve">he Commission Act </w:t>
      </w:r>
      <w:r w:rsidR="003F0578">
        <w:rPr>
          <w:rFonts w:ascii="Arial" w:hAnsi="Arial" w:cs="Arial"/>
          <w:sz w:val="24"/>
          <w:szCs w:val="24"/>
        </w:rPr>
        <w:t xml:space="preserve">and other arrangements </w:t>
      </w:r>
      <w:r>
        <w:rPr>
          <w:rFonts w:ascii="Arial" w:hAnsi="Arial" w:cs="Arial"/>
          <w:sz w:val="24"/>
          <w:szCs w:val="24"/>
        </w:rPr>
        <w:t xml:space="preserve">to be amended as required </w:t>
      </w:r>
      <w:r w:rsidR="00202A0C" w:rsidRPr="005D0AF3">
        <w:rPr>
          <w:rFonts w:ascii="Arial" w:hAnsi="Arial" w:cs="Arial"/>
          <w:sz w:val="24"/>
          <w:szCs w:val="24"/>
        </w:rPr>
        <w:t>to:</w:t>
      </w:r>
    </w:p>
    <w:p w14:paraId="59B9B22E" w14:textId="77777777" w:rsidR="00202A0C" w:rsidRPr="005D0AF3" w:rsidRDefault="00202A0C" w:rsidP="001750D5">
      <w:pPr>
        <w:numPr>
          <w:ilvl w:val="1"/>
          <w:numId w:val="77"/>
        </w:numPr>
        <w:spacing w:before="120" w:after="120" w:line="240" w:lineRule="auto"/>
        <w:rPr>
          <w:rFonts w:ascii="Arial" w:hAnsi="Arial" w:cs="Arial"/>
          <w:sz w:val="24"/>
          <w:szCs w:val="24"/>
        </w:rPr>
      </w:pPr>
      <w:r w:rsidRPr="005D0AF3">
        <w:rPr>
          <w:rFonts w:ascii="Arial" w:hAnsi="Arial" w:cs="Arial"/>
          <w:sz w:val="24"/>
          <w:szCs w:val="24"/>
        </w:rPr>
        <w:t>Increase the number of Advisory Council members.</w:t>
      </w:r>
    </w:p>
    <w:p w14:paraId="43F56C4C" w14:textId="0F7ED901" w:rsidR="00202A0C" w:rsidRPr="005D0AF3" w:rsidRDefault="00202A0C" w:rsidP="001750D5">
      <w:pPr>
        <w:numPr>
          <w:ilvl w:val="1"/>
          <w:numId w:val="77"/>
        </w:numPr>
        <w:spacing w:before="120" w:after="120" w:line="240" w:lineRule="auto"/>
        <w:rPr>
          <w:rFonts w:ascii="Arial" w:hAnsi="Arial" w:cs="Arial"/>
          <w:sz w:val="24"/>
          <w:szCs w:val="24"/>
        </w:rPr>
      </w:pPr>
      <w:r w:rsidRPr="005D0AF3">
        <w:rPr>
          <w:rFonts w:ascii="Arial" w:hAnsi="Arial" w:cs="Arial"/>
          <w:sz w:val="24"/>
          <w:szCs w:val="24"/>
        </w:rPr>
        <w:t xml:space="preserve">Designate a </w:t>
      </w:r>
      <w:r w:rsidR="00C56007">
        <w:rPr>
          <w:rFonts w:ascii="Arial" w:hAnsi="Arial" w:cs="Arial"/>
          <w:sz w:val="24"/>
          <w:szCs w:val="24"/>
        </w:rPr>
        <w:t>D</w:t>
      </w:r>
      <w:r w:rsidRPr="005D0AF3">
        <w:rPr>
          <w:rFonts w:ascii="Arial" w:hAnsi="Arial" w:cs="Arial"/>
          <w:sz w:val="24"/>
          <w:szCs w:val="24"/>
        </w:rPr>
        <w:t>eputy Chair role to assist the Chair</w:t>
      </w:r>
      <w:r w:rsidR="00C56007">
        <w:rPr>
          <w:rFonts w:ascii="Arial" w:hAnsi="Arial" w:cs="Arial"/>
          <w:sz w:val="24"/>
          <w:szCs w:val="24"/>
        </w:rPr>
        <w:t>.</w:t>
      </w:r>
    </w:p>
    <w:p w14:paraId="3948746E" w14:textId="77777777" w:rsidR="00202A0C" w:rsidRPr="005D0AF3" w:rsidRDefault="00202A0C" w:rsidP="001750D5">
      <w:pPr>
        <w:numPr>
          <w:ilvl w:val="1"/>
          <w:numId w:val="77"/>
        </w:numPr>
        <w:spacing w:before="120" w:after="120" w:line="240" w:lineRule="auto"/>
        <w:rPr>
          <w:rFonts w:ascii="Arial" w:hAnsi="Arial" w:cs="Arial"/>
          <w:sz w:val="24"/>
          <w:szCs w:val="24"/>
        </w:rPr>
      </w:pPr>
      <w:r w:rsidRPr="005D0AF3">
        <w:rPr>
          <w:rFonts w:ascii="Arial" w:hAnsi="Arial" w:cs="Arial"/>
          <w:sz w:val="24"/>
          <w:szCs w:val="24"/>
        </w:rPr>
        <w:t>Expand eligibility criteria for membership to include:</w:t>
      </w:r>
    </w:p>
    <w:p w14:paraId="2BA76B1E" w14:textId="1057B4C3" w:rsidR="00202A0C" w:rsidRPr="005D0AF3" w:rsidRDefault="00202A0C" w:rsidP="001750D5">
      <w:pPr>
        <w:numPr>
          <w:ilvl w:val="2"/>
          <w:numId w:val="77"/>
        </w:numPr>
        <w:spacing w:before="120" w:after="120" w:line="240" w:lineRule="auto"/>
        <w:rPr>
          <w:rFonts w:ascii="Arial" w:hAnsi="Arial" w:cs="Arial"/>
          <w:sz w:val="24"/>
          <w:szCs w:val="24"/>
        </w:rPr>
      </w:pPr>
      <w:r w:rsidRPr="005D0AF3">
        <w:rPr>
          <w:rFonts w:ascii="Arial" w:hAnsi="Arial" w:cs="Arial"/>
          <w:sz w:val="24"/>
          <w:szCs w:val="24"/>
        </w:rPr>
        <w:t>contemporary regulatory best practice</w:t>
      </w:r>
    </w:p>
    <w:p w14:paraId="50C5187E" w14:textId="0F970D1F" w:rsidR="00202A0C" w:rsidRPr="005D0AF3" w:rsidRDefault="00202A0C" w:rsidP="001750D5">
      <w:pPr>
        <w:numPr>
          <w:ilvl w:val="2"/>
          <w:numId w:val="77"/>
        </w:numPr>
        <w:spacing w:before="120" w:after="120" w:line="240" w:lineRule="auto"/>
        <w:rPr>
          <w:rFonts w:ascii="Arial" w:hAnsi="Arial" w:cs="Arial"/>
          <w:sz w:val="24"/>
          <w:szCs w:val="24"/>
        </w:rPr>
      </w:pPr>
      <w:r w:rsidRPr="005D0AF3">
        <w:rPr>
          <w:rFonts w:ascii="Arial" w:hAnsi="Arial" w:cs="Arial"/>
          <w:sz w:val="24"/>
          <w:szCs w:val="24"/>
        </w:rPr>
        <w:t xml:space="preserve">financial and prudential understanding, </w:t>
      </w:r>
      <w:r w:rsidR="00C56007">
        <w:rPr>
          <w:rFonts w:ascii="Arial" w:hAnsi="Arial" w:cs="Arial"/>
          <w:sz w:val="24"/>
          <w:szCs w:val="24"/>
        </w:rPr>
        <w:t>and</w:t>
      </w:r>
    </w:p>
    <w:p w14:paraId="34497543" w14:textId="0FBE5590" w:rsidR="00202A0C" w:rsidRPr="005D0AF3" w:rsidRDefault="00202A0C" w:rsidP="001750D5">
      <w:pPr>
        <w:numPr>
          <w:ilvl w:val="2"/>
          <w:numId w:val="77"/>
        </w:numPr>
        <w:spacing w:before="120" w:after="120" w:line="240" w:lineRule="auto"/>
        <w:rPr>
          <w:rFonts w:ascii="Arial" w:hAnsi="Arial" w:cs="Arial"/>
          <w:sz w:val="24"/>
          <w:szCs w:val="24"/>
        </w:rPr>
      </w:pPr>
      <w:r w:rsidRPr="005D0AF3">
        <w:rPr>
          <w:rFonts w:ascii="Arial" w:hAnsi="Arial" w:cs="Arial"/>
          <w:sz w:val="24"/>
          <w:szCs w:val="24"/>
        </w:rPr>
        <w:t>data analytics</w:t>
      </w:r>
      <w:r w:rsidR="00C56007">
        <w:rPr>
          <w:rFonts w:ascii="Arial" w:hAnsi="Arial" w:cs="Arial"/>
          <w:sz w:val="24"/>
          <w:szCs w:val="24"/>
        </w:rPr>
        <w:t>.</w:t>
      </w:r>
      <w:r w:rsidRPr="005D0AF3">
        <w:rPr>
          <w:rFonts w:ascii="Arial" w:hAnsi="Arial" w:cs="Arial"/>
          <w:sz w:val="24"/>
          <w:szCs w:val="24"/>
        </w:rPr>
        <w:t xml:space="preserve"> </w:t>
      </w:r>
    </w:p>
    <w:p w14:paraId="01245CDE" w14:textId="13E53C0C" w:rsidR="00202A0C" w:rsidRDefault="00202A0C" w:rsidP="001750D5">
      <w:pPr>
        <w:numPr>
          <w:ilvl w:val="1"/>
          <w:numId w:val="77"/>
        </w:numPr>
        <w:spacing w:before="120" w:after="120" w:line="240" w:lineRule="auto"/>
        <w:rPr>
          <w:rFonts w:ascii="Arial" w:hAnsi="Arial" w:cs="Arial"/>
          <w:sz w:val="24"/>
          <w:szCs w:val="24"/>
        </w:rPr>
      </w:pPr>
      <w:r w:rsidRPr="005D0AF3">
        <w:rPr>
          <w:rFonts w:ascii="Arial" w:hAnsi="Arial" w:cs="Arial"/>
          <w:sz w:val="24"/>
          <w:szCs w:val="24"/>
        </w:rPr>
        <w:t>Improve the diversity of the Advisory Council</w:t>
      </w:r>
      <w:r w:rsidR="00D560C3">
        <w:rPr>
          <w:rFonts w:ascii="Arial" w:hAnsi="Arial" w:cs="Arial"/>
          <w:sz w:val="24"/>
          <w:szCs w:val="24"/>
        </w:rPr>
        <w:t>.</w:t>
      </w:r>
    </w:p>
    <w:p w14:paraId="13ECE2F2" w14:textId="30C8158F" w:rsidR="00C632CC" w:rsidRDefault="00C632CC" w:rsidP="001750D5">
      <w:pPr>
        <w:numPr>
          <w:ilvl w:val="1"/>
          <w:numId w:val="77"/>
        </w:numPr>
        <w:spacing w:before="120" w:after="120" w:line="240" w:lineRule="auto"/>
        <w:rPr>
          <w:rFonts w:ascii="Arial" w:hAnsi="Arial" w:cs="Arial"/>
          <w:sz w:val="24"/>
          <w:szCs w:val="24"/>
        </w:rPr>
      </w:pPr>
      <w:r>
        <w:rPr>
          <w:rFonts w:ascii="Arial" w:hAnsi="Arial" w:cs="Arial"/>
          <w:sz w:val="24"/>
          <w:szCs w:val="24"/>
        </w:rPr>
        <w:t>Allow the Advisory Council to convene and review any matters under the Commission Act and report to the Minister, and specify the functions of:</w:t>
      </w:r>
    </w:p>
    <w:p w14:paraId="2ED85EE9" w14:textId="6859B755" w:rsidR="00C632CC" w:rsidRPr="00C632CC" w:rsidRDefault="00C632CC" w:rsidP="00C632CC">
      <w:pPr>
        <w:numPr>
          <w:ilvl w:val="2"/>
          <w:numId w:val="77"/>
        </w:numPr>
        <w:spacing w:before="120" w:after="120" w:line="240" w:lineRule="auto"/>
        <w:rPr>
          <w:rFonts w:ascii="Arial" w:hAnsi="Arial" w:cs="Arial"/>
          <w:sz w:val="24"/>
          <w:szCs w:val="24"/>
        </w:rPr>
      </w:pPr>
      <w:r>
        <w:rPr>
          <w:rFonts w:ascii="Arial" w:hAnsi="Arial" w:cs="Arial"/>
          <w:sz w:val="24"/>
          <w:szCs w:val="24"/>
        </w:rPr>
        <w:t>strategic oversight of the Commission, and</w:t>
      </w:r>
    </w:p>
    <w:p w14:paraId="49181F26" w14:textId="5D6BCDCF" w:rsidR="00C632CC" w:rsidRDefault="00C632CC" w:rsidP="00C632CC">
      <w:pPr>
        <w:numPr>
          <w:ilvl w:val="2"/>
          <w:numId w:val="77"/>
        </w:numPr>
        <w:spacing w:before="120" w:after="120" w:line="240" w:lineRule="auto"/>
        <w:rPr>
          <w:rFonts w:ascii="Arial" w:hAnsi="Arial" w:cs="Arial"/>
          <w:sz w:val="24"/>
          <w:szCs w:val="24"/>
        </w:rPr>
      </w:pPr>
      <w:r>
        <w:rPr>
          <w:rFonts w:ascii="Arial" w:hAnsi="Arial" w:cs="Arial"/>
          <w:sz w:val="24"/>
          <w:szCs w:val="24"/>
        </w:rPr>
        <w:t>the identification of systemic performance issues and reporting of these to the Minister.</w:t>
      </w:r>
    </w:p>
    <w:p w14:paraId="0BC3683A" w14:textId="77A09B45" w:rsidR="00C632CC" w:rsidRPr="005D0AF3" w:rsidRDefault="00C632CC" w:rsidP="00C632CC">
      <w:pPr>
        <w:numPr>
          <w:ilvl w:val="1"/>
          <w:numId w:val="77"/>
        </w:numPr>
        <w:spacing w:before="120" w:after="120" w:line="240" w:lineRule="auto"/>
        <w:rPr>
          <w:rFonts w:ascii="Arial" w:hAnsi="Arial" w:cs="Arial"/>
          <w:sz w:val="24"/>
          <w:szCs w:val="24"/>
        </w:rPr>
      </w:pPr>
      <w:r>
        <w:rPr>
          <w:rFonts w:ascii="Arial" w:hAnsi="Arial" w:cs="Arial"/>
          <w:sz w:val="24"/>
          <w:szCs w:val="24"/>
        </w:rPr>
        <w:t>Strengthen the independence of the Advisory Council.</w:t>
      </w:r>
    </w:p>
    <w:bookmarkEnd w:id="27"/>
    <w:p w14:paraId="2CFC3FAB" w14:textId="71F659B7" w:rsidR="002776AE" w:rsidRDefault="002776AE" w:rsidP="00206EDD">
      <w:pPr>
        <w:numPr>
          <w:ilvl w:val="1"/>
          <w:numId w:val="77"/>
        </w:numPr>
        <w:spacing w:before="120" w:after="120" w:line="240" w:lineRule="auto"/>
      </w:pPr>
      <w:r>
        <w:br w:type="page"/>
      </w:r>
    </w:p>
    <w:p w14:paraId="58D16BC7" w14:textId="5700722C" w:rsidR="00164895" w:rsidRPr="000E132D" w:rsidRDefault="00164895" w:rsidP="000E132D">
      <w:pPr>
        <w:pStyle w:val="Heading3"/>
      </w:pPr>
      <w:bookmarkStart w:id="28" w:name="_Toc131163556"/>
      <w:bookmarkStart w:id="29" w:name="_Hlk116651836"/>
      <w:r w:rsidRPr="000E132D">
        <w:lastRenderedPageBreak/>
        <w:t>APPENDIX A</w:t>
      </w:r>
      <w:r w:rsidR="000310AE" w:rsidRPr="000E132D">
        <w:t xml:space="preserve"> – </w:t>
      </w:r>
      <w:r w:rsidR="00D2238A" w:rsidRPr="000E132D">
        <w:t>Review Terms of Reference</w:t>
      </w:r>
      <w:bookmarkEnd w:id="28"/>
    </w:p>
    <w:p w14:paraId="7D41409D" w14:textId="77777777" w:rsidR="00164895" w:rsidRPr="00683012" w:rsidRDefault="00164895" w:rsidP="00164895">
      <w:pPr>
        <w:spacing w:before="120" w:line="240" w:lineRule="auto"/>
        <w:jc w:val="center"/>
        <w:rPr>
          <w:rFonts w:ascii="Arial" w:hAnsi="Arial" w:cs="Arial"/>
          <w:b/>
          <w:bCs/>
          <w:sz w:val="24"/>
          <w:szCs w:val="24"/>
        </w:rPr>
      </w:pPr>
      <w:r w:rsidRPr="00683012">
        <w:rPr>
          <w:rFonts w:ascii="Arial" w:hAnsi="Arial" w:cs="Arial"/>
          <w:b/>
          <w:bCs/>
          <w:sz w:val="24"/>
          <w:szCs w:val="24"/>
        </w:rPr>
        <w:t>Aged Care Quality and Safety Commission Independent Capability Review</w:t>
      </w:r>
    </w:p>
    <w:p w14:paraId="4B58C789" w14:textId="77777777" w:rsidR="00164895" w:rsidRPr="00683012" w:rsidRDefault="00164895" w:rsidP="00164895">
      <w:pPr>
        <w:spacing w:before="120" w:line="240" w:lineRule="auto"/>
        <w:jc w:val="center"/>
        <w:rPr>
          <w:rFonts w:ascii="Arial" w:hAnsi="Arial" w:cs="Arial"/>
          <w:b/>
          <w:bCs/>
          <w:sz w:val="24"/>
          <w:szCs w:val="24"/>
          <w:lang w:val="en-US"/>
        </w:rPr>
      </w:pPr>
      <w:r w:rsidRPr="00683012">
        <w:rPr>
          <w:rFonts w:ascii="Arial" w:hAnsi="Arial" w:cs="Arial"/>
          <w:b/>
          <w:bCs/>
          <w:sz w:val="24"/>
          <w:szCs w:val="24"/>
          <w:lang w:val="en-US"/>
        </w:rPr>
        <w:t>TERMS OF REFERENCE</w:t>
      </w:r>
    </w:p>
    <w:bookmarkEnd w:id="29"/>
    <w:p w14:paraId="27EBC064" w14:textId="77777777" w:rsidR="00164895" w:rsidRPr="00683012" w:rsidRDefault="00164895" w:rsidP="00164895">
      <w:pPr>
        <w:spacing w:before="120" w:line="240" w:lineRule="auto"/>
        <w:rPr>
          <w:rFonts w:ascii="Arial" w:hAnsi="Arial" w:cs="Arial"/>
          <w:b/>
          <w:bCs/>
          <w:sz w:val="24"/>
          <w:szCs w:val="24"/>
        </w:rPr>
      </w:pPr>
      <w:r w:rsidRPr="00683012">
        <w:rPr>
          <w:rFonts w:ascii="Arial" w:hAnsi="Arial" w:cs="Arial"/>
          <w:b/>
          <w:bCs/>
          <w:sz w:val="24"/>
          <w:szCs w:val="24"/>
        </w:rPr>
        <w:t>Purpose</w:t>
      </w:r>
    </w:p>
    <w:p w14:paraId="1A408C34"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In line with recommendations 10 and 104 from the Royal Commission into Aged Care Quality and Safety, an independent review of the capabilities of the Aged Care Quality and Safety Commission (Commission) is to be undertaken.</w:t>
      </w:r>
    </w:p>
    <w:p w14:paraId="394F727E"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The capability review will support the aged care regulator to deliver safe and high-quality care for older Australians now and into the future. The review will identify improvements that would support the aged care regulator to undertake strong regulatory activities, embed best practice, increase accountability and to enhance its quality and prudential activities.</w:t>
      </w:r>
    </w:p>
    <w:p w14:paraId="37E8302E"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The full spectrum of regulatory functions will be considered, across both home care and residential aged care, now and into the future. This will include all activities that ensure the safety and protection of older Australians, risk monitoring and management, quality monitoring and reviews, compliance intervention, accreditation, approval and audit, financial and compliance reporting, complaints management and resolution, education – of aged care consumers and providers, and engagement/communication with the community.</w:t>
      </w:r>
    </w:p>
    <w:p w14:paraId="618D1778"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The review will take into consideration the Australian Government priorities and reform activities recently delivered, planned or underway.</w:t>
      </w:r>
    </w:p>
    <w:p w14:paraId="7CCA50B9" w14:textId="70DC2E84"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In examining best practice for the aged care regulator, regard will be given to relevant legislation</w:t>
      </w:r>
      <w:r w:rsidR="000310AE">
        <w:rPr>
          <w:rStyle w:val="FootnoteReference"/>
          <w:rFonts w:ascii="Arial" w:hAnsi="Arial" w:cs="Arial"/>
          <w:sz w:val="24"/>
          <w:szCs w:val="24"/>
          <w:lang w:val="en-US"/>
        </w:rPr>
        <w:footnoteReference w:id="114"/>
      </w:r>
      <w:r w:rsidRPr="00683012">
        <w:rPr>
          <w:rFonts w:ascii="Arial" w:hAnsi="Arial" w:cs="Arial"/>
          <w:sz w:val="24"/>
          <w:szCs w:val="24"/>
          <w:lang w:val="en-US"/>
        </w:rPr>
        <w:t>, legal obligations, aged care quality responsibilities and standards and the roles of all stakeholders (older Australians, providers, and all levels of government) to deliver a transparent aged care experience that our community expects, and older Australians deserve.</w:t>
      </w:r>
    </w:p>
    <w:p w14:paraId="7887CC41" w14:textId="77777777" w:rsidR="00164895" w:rsidRPr="00683012" w:rsidRDefault="00164895" w:rsidP="00164895">
      <w:pPr>
        <w:spacing w:before="120" w:line="240" w:lineRule="auto"/>
        <w:rPr>
          <w:rFonts w:ascii="Arial" w:hAnsi="Arial" w:cs="Arial"/>
          <w:b/>
          <w:bCs/>
          <w:sz w:val="24"/>
          <w:szCs w:val="24"/>
        </w:rPr>
      </w:pPr>
      <w:r w:rsidRPr="00683012">
        <w:rPr>
          <w:rFonts w:ascii="Arial" w:hAnsi="Arial" w:cs="Arial"/>
          <w:b/>
          <w:bCs/>
          <w:sz w:val="24"/>
          <w:szCs w:val="24"/>
        </w:rPr>
        <w:t>Methodology and timing</w:t>
      </w:r>
    </w:p>
    <w:p w14:paraId="0CB3CDFB"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The review will be undertaken by an independent and appropriately skilled person who has experience in the public sector and regulatory reform (selected in line with Department of Health and Aged Care Procurement Standards). The reviewer will be supported by a dedicated support team comprising appropriately skilled individuals.</w:t>
      </w:r>
    </w:p>
    <w:p w14:paraId="68F1CD1B"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A preliminary report is to be delivered to Government at the mid-way point of the review. The final review including recommendations, and a summary of findings must be reported back to Government within six-months of commencement.</w:t>
      </w:r>
    </w:p>
    <w:p w14:paraId="1F56641F"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Where required, the Department of Health and Aged Care and the Commission will facilitate access to information and evidence and other logistical support.</w:t>
      </w:r>
    </w:p>
    <w:p w14:paraId="1189C82A" w14:textId="7B035E70" w:rsidR="00164895" w:rsidRPr="00683012" w:rsidRDefault="00164895" w:rsidP="00164895">
      <w:pPr>
        <w:spacing w:before="120" w:line="240" w:lineRule="auto"/>
        <w:rPr>
          <w:rFonts w:ascii="Arial" w:hAnsi="Arial" w:cs="Arial"/>
          <w:b/>
          <w:bCs/>
          <w:sz w:val="24"/>
          <w:szCs w:val="24"/>
        </w:rPr>
      </w:pPr>
      <w:bookmarkStart w:id="30" w:name="_Hlk116651607"/>
      <w:r w:rsidRPr="00683012">
        <w:rPr>
          <w:rFonts w:ascii="Arial" w:hAnsi="Arial" w:cs="Arial"/>
          <w:b/>
          <w:bCs/>
          <w:sz w:val="24"/>
          <w:szCs w:val="24"/>
        </w:rPr>
        <w:lastRenderedPageBreak/>
        <w:t>Scope</w:t>
      </w:r>
    </w:p>
    <w:p w14:paraId="6DD0A7DB"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The review is to consider:</w:t>
      </w:r>
    </w:p>
    <w:p w14:paraId="78C46A07" w14:textId="77777777" w:rsidR="00164895" w:rsidRPr="00683012" w:rsidRDefault="00164895" w:rsidP="001750D5">
      <w:pPr>
        <w:numPr>
          <w:ilvl w:val="0"/>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The performance of the Commission against its prescribed objectives, functions, and priorities, focusing on:</w:t>
      </w:r>
    </w:p>
    <w:p w14:paraId="222476EC"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the Commission’s approach to the use of regulatory powers, mechanisms in place to address providers’ non-compliance (or potential non-compliance) with their legal obligations, including the Aged Care Quality Standards, and responses to quality, safety, financial and prudential risks.</w:t>
      </w:r>
    </w:p>
    <w:p w14:paraId="6BF2F042"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outputs, impacts, effectiveness, and barriers (legislative or otherwise) to deliver its functions and services effectively and efficiently for aged care consumers and opportunities to improve its regulatory functions.</w:t>
      </w:r>
    </w:p>
    <w:p w14:paraId="61F7FA7A"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 xml:space="preserve">whether the Aged Care Quality and Safety Commissioner and the Commission have sufficient legislative powers, regulatory </w:t>
      </w:r>
      <w:proofErr w:type="gramStart"/>
      <w:r w:rsidRPr="00683012">
        <w:rPr>
          <w:rFonts w:ascii="Arial" w:hAnsi="Arial" w:cs="Arial"/>
          <w:sz w:val="24"/>
          <w:szCs w:val="24"/>
          <w:lang w:val="en-US"/>
        </w:rPr>
        <w:t>frameworks</w:t>
      </w:r>
      <w:proofErr w:type="gramEnd"/>
      <w:r w:rsidRPr="00683012">
        <w:rPr>
          <w:rFonts w:ascii="Arial" w:hAnsi="Arial" w:cs="Arial"/>
          <w:sz w:val="24"/>
          <w:szCs w:val="24"/>
          <w:lang w:val="en-US"/>
        </w:rPr>
        <w:t xml:space="preserve"> and access to data to appropriately investigate and resolve complaints in a timely manner and to undertake compliance monitoring and enforcement activities.</w:t>
      </w:r>
    </w:p>
    <w:p w14:paraId="015106BF" w14:textId="77777777" w:rsidR="00164895" w:rsidRPr="00683012" w:rsidRDefault="00164895" w:rsidP="001750D5">
      <w:pPr>
        <w:numPr>
          <w:ilvl w:val="0"/>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 xml:space="preserve">The Commission’s </w:t>
      </w:r>
      <w:proofErr w:type="spellStart"/>
      <w:r w:rsidRPr="00683012">
        <w:rPr>
          <w:rFonts w:ascii="Arial" w:hAnsi="Arial" w:cs="Arial"/>
          <w:sz w:val="24"/>
          <w:szCs w:val="24"/>
          <w:lang w:val="en-US"/>
        </w:rPr>
        <w:t>organisational</w:t>
      </w:r>
      <w:proofErr w:type="spellEnd"/>
      <w:r w:rsidRPr="00683012">
        <w:rPr>
          <w:rFonts w:ascii="Arial" w:hAnsi="Arial" w:cs="Arial"/>
          <w:sz w:val="24"/>
          <w:szCs w:val="24"/>
          <w:lang w:val="en-US"/>
        </w:rPr>
        <w:t xml:space="preserve"> values, structure, leadership, and culture, including strengths, opportunities and weaknesses that inhibit or enable a high performing, contemporary, best practice, human services regulator.</w:t>
      </w:r>
    </w:p>
    <w:p w14:paraId="1C7C7A7F" w14:textId="77777777" w:rsidR="00164895" w:rsidRPr="00683012" w:rsidRDefault="00164895" w:rsidP="001750D5">
      <w:pPr>
        <w:numPr>
          <w:ilvl w:val="0"/>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The Commission’s ongoing governance, skills, and capabilities (strategic and operational), paying particular attention to:</w:t>
      </w:r>
    </w:p>
    <w:p w14:paraId="6E741AF3"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the Commission’s risk management approach and decision making, including: the appropriate use, timing, and delegation of powers to best protect the safety and wellbeing of aged care residents and care recipients, the balance of the Commission’s effort and focus directed towards poor/high risk performers while still maintaining whole of system safety and quality, and the balance of education and best practice promotion vs. enforcement.</w:t>
      </w:r>
    </w:p>
    <w:p w14:paraId="773AC62F"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adaptability of the Commission to meet emerging challenges/issues/risks/concerns within the aged care sector (e.g., the ongoing response to the COVID-19 pandemic).</w:t>
      </w:r>
    </w:p>
    <w:p w14:paraId="24D202DF"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efficient allocation of resourcing for the Commission, including workforce, executive management structures, remuneration structures, infrastructure (including IT) and identification of service duplication and gaps.</w:t>
      </w:r>
    </w:p>
    <w:p w14:paraId="27C4D9FD"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the role of Statutory Office Holders or key executive officers, including the Commissioner, Assistant Commissioner of Sector Capability, Senior Practitioner of Restrictive Practices and the to-be appointed Aged Care Complaints Commissioner.</w:t>
      </w:r>
    </w:p>
    <w:p w14:paraId="45EB827F"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capability of the workforce to perform the functions of a regulator including workforce size and the adequacy of clinical, assessment, monitoring, compliance and enforcement knowledge and skills.</w:t>
      </w:r>
    </w:p>
    <w:p w14:paraId="76FA15D4" w14:textId="77777777" w:rsidR="00164895" w:rsidRPr="00683012"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capability to undertake monitoring and enforcement activities in rural and remote areas, and to ensure nationally consistent but locally relevant application of the standards, reviews, enforcement action, and outcomes.</w:t>
      </w:r>
    </w:p>
    <w:p w14:paraId="73246218" w14:textId="117AC5C7" w:rsidR="00164895" w:rsidRDefault="00164895" w:rsidP="001750D5">
      <w:pPr>
        <w:numPr>
          <w:ilvl w:val="1"/>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lastRenderedPageBreak/>
        <w:t xml:space="preserve">capability to undertake monitoring and enforcement activities for aged care services providing care for older people with dementia, culturally and linguistically diverse </w:t>
      </w:r>
      <w:r w:rsidR="003B2C53">
        <w:rPr>
          <w:rFonts w:ascii="Arial" w:hAnsi="Arial" w:cs="Arial"/>
          <w:sz w:val="24"/>
          <w:szCs w:val="24"/>
          <w:lang w:val="en-US"/>
        </w:rPr>
        <w:t xml:space="preserve">(CALD) </w:t>
      </w:r>
      <w:r w:rsidRPr="00683012">
        <w:rPr>
          <w:rFonts w:ascii="Arial" w:hAnsi="Arial" w:cs="Arial"/>
          <w:sz w:val="24"/>
          <w:szCs w:val="24"/>
          <w:lang w:val="en-US"/>
        </w:rPr>
        <w:t>consumers and specific diversity groups including Aboriginal and Torres Strait Islander people, veterans and the LGBTIQ communities.</w:t>
      </w:r>
    </w:p>
    <w:p w14:paraId="55D42B21" w14:textId="4FDA6C95" w:rsidR="00164895" w:rsidRPr="00683012" w:rsidRDefault="00164895" w:rsidP="001750D5">
      <w:pPr>
        <w:numPr>
          <w:ilvl w:val="0"/>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 xml:space="preserve">Transparency and engagement/communications with, and education of, older Australians, their families and </w:t>
      </w:r>
      <w:proofErr w:type="spellStart"/>
      <w:r w:rsidRPr="00683012">
        <w:rPr>
          <w:rFonts w:ascii="Arial" w:hAnsi="Arial" w:cs="Arial"/>
          <w:sz w:val="24"/>
          <w:szCs w:val="24"/>
          <w:lang w:val="en-US"/>
        </w:rPr>
        <w:t>carers</w:t>
      </w:r>
      <w:proofErr w:type="spellEnd"/>
      <w:r w:rsidRPr="00683012">
        <w:rPr>
          <w:rFonts w:ascii="Arial" w:hAnsi="Arial" w:cs="Arial"/>
          <w:sz w:val="24"/>
          <w:szCs w:val="24"/>
          <w:lang w:val="en-US"/>
        </w:rPr>
        <w:t>, and the community more broadly (e.g., through public reporting and messaging).</w:t>
      </w:r>
    </w:p>
    <w:p w14:paraId="478766EE" w14:textId="77777777" w:rsidR="00164895" w:rsidRPr="00683012" w:rsidRDefault="00164895" w:rsidP="001750D5">
      <w:pPr>
        <w:numPr>
          <w:ilvl w:val="0"/>
          <w:numId w:val="22"/>
        </w:numPr>
        <w:spacing w:before="120" w:after="120" w:line="240" w:lineRule="auto"/>
        <w:rPr>
          <w:rFonts w:ascii="Arial" w:hAnsi="Arial" w:cs="Arial"/>
          <w:sz w:val="24"/>
          <w:szCs w:val="24"/>
          <w:lang w:val="en-US"/>
        </w:rPr>
      </w:pPr>
      <w:r w:rsidRPr="00683012">
        <w:rPr>
          <w:rFonts w:ascii="Arial" w:hAnsi="Arial" w:cs="Arial"/>
          <w:sz w:val="24"/>
          <w:szCs w:val="24"/>
          <w:lang w:val="en-US"/>
        </w:rPr>
        <w:t>Provide options for the design, form, structure, governance, powers, workforce, resourcing, and proposed timing of establishment of a culturally sensitive and capable new aged care regulatory Authority, to ensure effective performance of the new Authority for its existing and additional roles and responsibilities.</w:t>
      </w:r>
    </w:p>
    <w:p w14:paraId="30849F6A" w14:textId="77777777" w:rsidR="00164895" w:rsidRPr="00683012" w:rsidRDefault="00164895" w:rsidP="00164895">
      <w:pPr>
        <w:spacing w:before="120" w:line="240" w:lineRule="auto"/>
        <w:rPr>
          <w:rFonts w:ascii="Arial" w:hAnsi="Arial" w:cs="Arial"/>
          <w:b/>
          <w:bCs/>
          <w:sz w:val="24"/>
          <w:szCs w:val="24"/>
        </w:rPr>
      </w:pPr>
      <w:r w:rsidRPr="00683012">
        <w:rPr>
          <w:rFonts w:ascii="Arial" w:hAnsi="Arial" w:cs="Arial"/>
          <w:b/>
          <w:bCs/>
          <w:sz w:val="24"/>
          <w:szCs w:val="24"/>
        </w:rPr>
        <w:t>Additional considerations</w:t>
      </w:r>
    </w:p>
    <w:p w14:paraId="6AE46F03"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In undertaking the review, regard should be given to:</w:t>
      </w:r>
    </w:p>
    <w:p w14:paraId="5883A732"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Progress in the Commission’s performance since the previous iteration of the Commission and</w:t>
      </w:r>
    </w:p>
    <w:p w14:paraId="4DB21296"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the Quality Standards.</w:t>
      </w:r>
    </w:p>
    <w:p w14:paraId="437FF423"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Previous reviews of the Commission and similar entities, including:</w:t>
      </w:r>
    </w:p>
    <w:p w14:paraId="1EC5AEEB" w14:textId="77777777" w:rsidR="00164895" w:rsidRPr="00683012" w:rsidRDefault="00024728" w:rsidP="001750D5">
      <w:pPr>
        <w:numPr>
          <w:ilvl w:val="1"/>
          <w:numId w:val="21"/>
        </w:numPr>
        <w:spacing w:before="120" w:after="120" w:line="240" w:lineRule="auto"/>
        <w:rPr>
          <w:rFonts w:ascii="Arial" w:hAnsi="Arial" w:cs="Arial"/>
          <w:sz w:val="24"/>
          <w:szCs w:val="24"/>
          <w:lang w:val="en-US"/>
        </w:rPr>
      </w:pPr>
      <w:hyperlink r:id="rId26">
        <w:r w:rsidR="00164895" w:rsidRPr="00683012">
          <w:rPr>
            <w:rStyle w:val="Hyperlink"/>
            <w:rFonts w:ascii="Arial" w:hAnsi="Arial" w:cs="Arial"/>
            <w:sz w:val="24"/>
            <w:szCs w:val="24"/>
            <w:lang w:val="en-US"/>
          </w:rPr>
          <w:t>Review of National Aged Care Quality Regulatory processes,</w:t>
        </w:r>
      </w:hyperlink>
      <w:r w:rsidR="00164895" w:rsidRPr="00683012">
        <w:rPr>
          <w:rFonts w:ascii="Arial" w:hAnsi="Arial" w:cs="Arial"/>
          <w:sz w:val="24"/>
          <w:szCs w:val="24"/>
          <w:lang w:val="en-US"/>
        </w:rPr>
        <w:t xml:space="preserve"> </w:t>
      </w:r>
      <w:hyperlink r:id="rId27">
        <w:r w:rsidR="00164895" w:rsidRPr="00683012">
          <w:rPr>
            <w:rStyle w:val="Hyperlink"/>
            <w:rFonts w:ascii="Arial" w:hAnsi="Arial" w:cs="Arial"/>
            <w:sz w:val="24"/>
            <w:szCs w:val="24"/>
            <w:lang w:val="en-US"/>
          </w:rPr>
          <w:t>Australian Law Reform</w:t>
        </w:r>
      </w:hyperlink>
      <w:r w:rsidR="00164895" w:rsidRPr="00683012">
        <w:rPr>
          <w:rFonts w:ascii="Arial" w:hAnsi="Arial" w:cs="Arial"/>
          <w:sz w:val="24"/>
          <w:szCs w:val="24"/>
          <w:lang w:val="en-US"/>
        </w:rPr>
        <w:t xml:space="preserve"> </w:t>
      </w:r>
      <w:hyperlink r:id="rId28">
        <w:r w:rsidR="00164895" w:rsidRPr="00683012">
          <w:rPr>
            <w:rStyle w:val="Hyperlink"/>
            <w:rFonts w:ascii="Arial" w:hAnsi="Arial" w:cs="Arial"/>
            <w:sz w:val="24"/>
            <w:szCs w:val="24"/>
            <w:lang w:val="en-US"/>
          </w:rPr>
          <w:t>Commission (Report 131) Elder Abuse - A National Legal Response,</w:t>
        </w:r>
      </w:hyperlink>
      <w:r w:rsidR="00164895" w:rsidRPr="00683012">
        <w:rPr>
          <w:rFonts w:ascii="Arial" w:hAnsi="Arial" w:cs="Arial"/>
          <w:sz w:val="24"/>
          <w:szCs w:val="24"/>
          <w:lang w:val="en-US"/>
        </w:rPr>
        <w:t xml:space="preserve"> </w:t>
      </w:r>
      <w:hyperlink r:id="rId29">
        <w:r w:rsidR="00164895" w:rsidRPr="00683012">
          <w:rPr>
            <w:rStyle w:val="Hyperlink"/>
            <w:rFonts w:ascii="Arial" w:hAnsi="Arial" w:cs="Arial"/>
            <w:sz w:val="24"/>
            <w:szCs w:val="24"/>
            <w:lang w:val="en-US"/>
          </w:rPr>
          <w:t>Independent</w:t>
        </w:r>
      </w:hyperlink>
      <w:r w:rsidR="00164895" w:rsidRPr="00683012">
        <w:rPr>
          <w:rFonts w:ascii="Arial" w:hAnsi="Arial" w:cs="Arial"/>
          <w:sz w:val="24"/>
          <w:szCs w:val="24"/>
          <w:lang w:val="en-US"/>
        </w:rPr>
        <w:t xml:space="preserve"> </w:t>
      </w:r>
      <w:hyperlink r:id="rId30">
        <w:r w:rsidR="00164895" w:rsidRPr="00683012">
          <w:rPr>
            <w:rStyle w:val="Hyperlink"/>
            <w:rFonts w:ascii="Arial" w:hAnsi="Arial" w:cs="Arial"/>
            <w:sz w:val="24"/>
            <w:szCs w:val="24"/>
            <w:lang w:val="en-US"/>
          </w:rPr>
          <w:t xml:space="preserve">Commissioner against Corruption report on </w:t>
        </w:r>
        <w:proofErr w:type="spellStart"/>
        <w:r w:rsidR="00164895" w:rsidRPr="00683012">
          <w:rPr>
            <w:rStyle w:val="Hyperlink"/>
            <w:rFonts w:ascii="Arial" w:hAnsi="Arial" w:cs="Arial"/>
            <w:sz w:val="24"/>
            <w:szCs w:val="24"/>
            <w:lang w:val="en-US"/>
          </w:rPr>
          <w:t>Oakden</w:t>
        </w:r>
        <w:proofErr w:type="spellEnd"/>
      </w:hyperlink>
      <w:r w:rsidR="00164895" w:rsidRPr="00683012">
        <w:rPr>
          <w:rFonts w:ascii="Arial" w:hAnsi="Arial" w:cs="Arial"/>
          <w:sz w:val="24"/>
          <w:szCs w:val="24"/>
          <w:lang w:val="en-US"/>
        </w:rPr>
        <w:t xml:space="preserve"> and;</w:t>
      </w:r>
    </w:p>
    <w:p w14:paraId="20D43CCC" w14:textId="77777777" w:rsidR="00164895" w:rsidRPr="00683012" w:rsidRDefault="00024728" w:rsidP="001750D5">
      <w:pPr>
        <w:numPr>
          <w:ilvl w:val="1"/>
          <w:numId w:val="21"/>
        </w:numPr>
        <w:spacing w:before="120" w:after="120" w:line="240" w:lineRule="auto"/>
        <w:rPr>
          <w:rFonts w:ascii="Arial" w:hAnsi="Arial" w:cs="Arial"/>
          <w:sz w:val="24"/>
          <w:szCs w:val="24"/>
          <w:lang w:val="en-US"/>
        </w:rPr>
      </w:pPr>
      <w:hyperlink r:id="rId31">
        <w:r w:rsidR="00164895" w:rsidRPr="00683012">
          <w:rPr>
            <w:rStyle w:val="Hyperlink"/>
            <w:rFonts w:ascii="Arial" w:hAnsi="Arial" w:cs="Arial"/>
            <w:sz w:val="24"/>
            <w:szCs w:val="24"/>
            <w:lang w:val="en-US"/>
          </w:rPr>
          <w:t>Independent Inquiry into events at Earle Haven Retirement Village</w:t>
        </w:r>
      </w:hyperlink>
      <w:r w:rsidR="00164895" w:rsidRPr="00683012">
        <w:rPr>
          <w:rFonts w:ascii="Arial" w:hAnsi="Arial" w:cs="Arial"/>
          <w:sz w:val="24"/>
          <w:szCs w:val="24"/>
          <w:lang w:val="en-US"/>
        </w:rPr>
        <w:t xml:space="preserve"> and </w:t>
      </w:r>
      <w:hyperlink r:id="rId32" w:anchor="%3A~%3Atext%3DJoint%20Standing%20Committee%20releases%20report%20on%20NDIS%20Commission%2Cbeen%20requesting%20are%20reflected%20in%20the%20recommendations%2C%20including%3A">
        <w:r w:rsidR="00164895" w:rsidRPr="00683012">
          <w:rPr>
            <w:rStyle w:val="Hyperlink"/>
            <w:rFonts w:ascii="Arial" w:hAnsi="Arial" w:cs="Arial"/>
            <w:sz w:val="24"/>
            <w:szCs w:val="24"/>
            <w:lang w:val="en-US"/>
          </w:rPr>
          <w:t>Joint</w:t>
        </w:r>
      </w:hyperlink>
      <w:r w:rsidR="00164895" w:rsidRPr="00683012">
        <w:rPr>
          <w:rFonts w:ascii="Arial" w:hAnsi="Arial" w:cs="Arial"/>
          <w:sz w:val="24"/>
          <w:szCs w:val="24"/>
          <w:lang w:val="en-US"/>
        </w:rPr>
        <w:t xml:space="preserve"> </w:t>
      </w:r>
      <w:hyperlink r:id="rId33" w:anchor="%3A~%3Atext%3DJoint%20Standing%20Committee%20releases%20report%20on%20NDIS%20Commission%2Cbeen%20requesting%20are%20reflected%20in%20the%20recommendations%2C%20including%3A">
        <w:r w:rsidR="00164895" w:rsidRPr="00683012">
          <w:rPr>
            <w:rStyle w:val="Hyperlink"/>
            <w:rFonts w:ascii="Arial" w:hAnsi="Arial" w:cs="Arial"/>
            <w:sz w:val="24"/>
            <w:szCs w:val="24"/>
            <w:lang w:val="en-US"/>
          </w:rPr>
          <w:t>Standing Committee releases report on NDIS Commission.</w:t>
        </w:r>
      </w:hyperlink>
    </w:p>
    <w:p w14:paraId="092D2645"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Similar International entities, including:</w:t>
      </w:r>
    </w:p>
    <w:p w14:paraId="2421D579" w14:textId="77777777" w:rsidR="00164895" w:rsidRPr="00683012" w:rsidRDefault="00024728" w:rsidP="001750D5">
      <w:pPr>
        <w:numPr>
          <w:ilvl w:val="1"/>
          <w:numId w:val="21"/>
        </w:numPr>
        <w:spacing w:before="120" w:after="120" w:line="240" w:lineRule="auto"/>
        <w:rPr>
          <w:rFonts w:ascii="Arial" w:hAnsi="Arial" w:cs="Arial"/>
          <w:sz w:val="24"/>
          <w:szCs w:val="24"/>
          <w:lang w:val="en-US"/>
        </w:rPr>
      </w:pPr>
      <w:hyperlink r:id="rId34">
        <w:r w:rsidR="00164895" w:rsidRPr="00683012">
          <w:rPr>
            <w:rStyle w:val="Hyperlink"/>
            <w:rFonts w:ascii="Arial" w:hAnsi="Arial" w:cs="Arial"/>
            <w:sz w:val="24"/>
            <w:szCs w:val="24"/>
            <w:lang w:val="en-US"/>
          </w:rPr>
          <w:t>UK Care Quality Commission</w:t>
        </w:r>
      </w:hyperlink>
      <w:r w:rsidR="00164895" w:rsidRPr="00683012">
        <w:rPr>
          <w:rFonts w:ascii="Arial" w:hAnsi="Arial" w:cs="Arial"/>
          <w:sz w:val="24"/>
          <w:szCs w:val="24"/>
          <w:lang w:val="en-US"/>
        </w:rPr>
        <w:t xml:space="preserve"> </w:t>
      </w:r>
      <w:proofErr w:type="gramStart"/>
      <w:r w:rsidR="00164895" w:rsidRPr="00683012">
        <w:rPr>
          <w:rFonts w:ascii="Arial" w:hAnsi="Arial" w:cs="Arial"/>
          <w:sz w:val="24"/>
          <w:szCs w:val="24"/>
          <w:lang w:val="en-US"/>
        </w:rPr>
        <w:t>and;</w:t>
      </w:r>
      <w:proofErr w:type="gramEnd"/>
    </w:p>
    <w:p w14:paraId="41074378" w14:textId="77777777" w:rsidR="00164895" w:rsidRPr="00683012" w:rsidRDefault="00024728" w:rsidP="001750D5">
      <w:pPr>
        <w:numPr>
          <w:ilvl w:val="1"/>
          <w:numId w:val="21"/>
        </w:numPr>
        <w:spacing w:before="120" w:after="120" w:line="240" w:lineRule="auto"/>
        <w:rPr>
          <w:rFonts w:ascii="Arial" w:hAnsi="Arial" w:cs="Arial"/>
          <w:sz w:val="24"/>
          <w:szCs w:val="24"/>
          <w:lang w:val="en-US"/>
        </w:rPr>
      </w:pPr>
      <w:hyperlink r:id="rId35">
        <w:proofErr w:type="spellStart"/>
        <w:r w:rsidR="00164895" w:rsidRPr="00683012">
          <w:rPr>
            <w:rStyle w:val="Hyperlink"/>
            <w:rFonts w:ascii="Arial" w:hAnsi="Arial" w:cs="Arial"/>
            <w:sz w:val="24"/>
            <w:szCs w:val="24"/>
            <w:lang w:val="en-US"/>
          </w:rPr>
          <w:t>ISQua</w:t>
        </w:r>
        <w:proofErr w:type="spellEnd"/>
        <w:r w:rsidR="00164895" w:rsidRPr="00683012">
          <w:rPr>
            <w:rStyle w:val="Hyperlink"/>
            <w:rFonts w:ascii="Arial" w:hAnsi="Arial" w:cs="Arial"/>
            <w:sz w:val="24"/>
            <w:szCs w:val="24"/>
            <w:lang w:val="en-US"/>
          </w:rPr>
          <w:t xml:space="preserve"> - The International Society for Quality in Health Care</w:t>
        </w:r>
      </w:hyperlink>
      <w:r w:rsidR="00164895" w:rsidRPr="00683012">
        <w:rPr>
          <w:rFonts w:ascii="Arial" w:hAnsi="Arial" w:cs="Arial"/>
          <w:sz w:val="24"/>
          <w:szCs w:val="24"/>
          <w:lang w:val="en-US"/>
        </w:rPr>
        <w:t>.</w:t>
      </w:r>
    </w:p>
    <w:p w14:paraId="4EB43B7E"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Best practice guidelines and models for regulatory bodies (national and international), including:</w:t>
      </w:r>
    </w:p>
    <w:p w14:paraId="735B3600" w14:textId="77777777" w:rsidR="00164895" w:rsidRPr="00683012" w:rsidRDefault="00024728" w:rsidP="001750D5">
      <w:pPr>
        <w:numPr>
          <w:ilvl w:val="1"/>
          <w:numId w:val="21"/>
        </w:numPr>
        <w:spacing w:before="120" w:after="120" w:line="240" w:lineRule="auto"/>
        <w:rPr>
          <w:rFonts w:ascii="Arial" w:hAnsi="Arial" w:cs="Arial"/>
          <w:sz w:val="24"/>
          <w:szCs w:val="24"/>
          <w:lang w:val="en-US"/>
        </w:rPr>
      </w:pPr>
      <w:hyperlink r:id="rId36">
        <w:r w:rsidR="00164895" w:rsidRPr="00683012">
          <w:rPr>
            <w:rStyle w:val="Hyperlink"/>
            <w:rFonts w:ascii="Arial" w:hAnsi="Arial" w:cs="Arial"/>
            <w:sz w:val="24"/>
            <w:szCs w:val="24"/>
            <w:lang w:val="en-US"/>
          </w:rPr>
          <w:t>OECD Best Practice Principles on the Governance of Regulators - OECD</w:t>
        </w:r>
      </w:hyperlink>
      <w:r w:rsidR="00164895" w:rsidRPr="00683012">
        <w:rPr>
          <w:rFonts w:ascii="Arial" w:hAnsi="Arial" w:cs="Arial"/>
          <w:sz w:val="24"/>
          <w:szCs w:val="24"/>
          <w:lang w:val="en-US"/>
        </w:rPr>
        <w:t xml:space="preserve"> </w:t>
      </w:r>
      <w:proofErr w:type="gramStart"/>
      <w:r w:rsidR="00164895" w:rsidRPr="00683012">
        <w:rPr>
          <w:rFonts w:ascii="Arial" w:hAnsi="Arial" w:cs="Arial"/>
          <w:sz w:val="24"/>
          <w:szCs w:val="24"/>
          <w:lang w:val="en-US"/>
        </w:rPr>
        <w:t>and;</w:t>
      </w:r>
      <w:proofErr w:type="gramEnd"/>
    </w:p>
    <w:p w14:paraId="0D33870E" w14:textId="77777777" w:rsidR="00164895" w:rsidRPr="00683012" w:rsidRDefault="00024728" w:rsidP="001750D5">
      <w:pPr>
        <w:numPr>
          <w:ilvl w:val="1"/>
          <w:numId w:val="21"/>
        </w:numPr>
        <w:spacing w:before="120" w:after="120" w:line="240" w:lineRule="auto"/>
        <w:rPr>
          <w:rFonts w:ascii="Arial" w:hAnsi="Arial" w:cs="Arial"/>
          <w:sz w:val="24"/>
          <w:szCs w:val="24"/>
          <w:lang w:val="en-US"/>
        </w:rPr>
      </w:pPr>
      <w:hyperlink r:id="rId37" w:anchor="%3A~%3Atext%3DGood%20regulation%20should%20attempt%20to%20standardise%20the%20exercise%2Ccompliance%20at%20the%20lowest%20cost%20to%20all%20parties">
        <w:r w:rsidR="00164895" w:rsidRPr="00683012">
          <w:rPr>
            <w:rStyle w:val="Hyperlink"/>
            <w:rFonts w:ascii="Arial" w:hAnsi="Arial" w:cs="Arial"/>
            <w:sz w:val="24"/>
            <w:szCs w:val="24"/>
            <w:lang w:val="en-US"/>
          </w:rPr>
          <w:t>Principles of best practice regulation | Department of the Prime Minister and</w:t>
        </w:r>
      </w:hyperlink>
      <w:r w:rsidR="00164895" w:rsidRPr="00683012">
        <w:rPr>
          <w:rFonts w:ascii="Arial" w:hAnsi="Arial" w:cs="Arial"/>
          <w:sz w:val="24"/>
          <w:szCs w:val="24"/>
          <w:lang w:val="en-US"/>
        </w:rPr>
        <w:t xml:space="preserve"> </w:t>
      </w:r>
      <w:hyperlink r:id="rId38" w:anchor="%3A~%3Atext%3DGood%20regulation%20should%20attempt%20to%20standardise%20the%20exercise%2Ccompliance%20at%20the%20lowest%20cost%20to%20all%20parties">
        <w:r w:rsidR="00164895" w:rsidRPr="00683012">
          <w:rPr>
            <w:rStyle w:val="Hyperlink"/>
            <w:rFonts w:ascii="Arial" w:hAnsi="Arial" w:cs="Arial"/>
            <w:sz w:val="24"/>
            <w:szCs w:val="24"/>
            <w:lang w:val="en-US"/>
          </w:rPr>
          <w:t>Cabinet (pmc.gov.au).</w:t>
        </w:r>
      </w:hyperlink>
    </w:p>
    <w:p w14:paraId="0CD0CAAD"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 xml:space="preserve">Lessons learned from sector innovations and other social care regulators, including opportunities to align and promote consistency of practice (e.g., </w:t>
      </w:r>
      <w:proofErr w:type="spellStart"/>
      <w:r w:rsidRPr="00683012">
        <w:rPr>
          <w:rFonts w:ascii="Arial" w:hAnsi="Arial" w:cs="Arial"/>
          <w:sz w:val="24"/>
          <w:szCs w:val="24"/>
          <w:lang w:val="en-US"/>
        </w:rPr>
        <w:t>digitisation</w:t>
      </w:r>
      <w:proofErr w:type="spellEnd"/>
      <w:r w:rsidRPr="00683012">
        <w:rPr>
          <w:rFonts w:ascii="Arial" w:hAnsi="Arial" w:cs="Arial"/>
          <w:sz w:val="24"/>
          <w:szCs w:val="24"/>
          <w:lang w:val="en-US"/>
        </w:rPr>
        <w:t xml:space="preserve"> of health services).</w:t>
      </w:r>
    </w:p>
    <w:p w14:paraId="40FC173B"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The legislative reforms planned or underway, as part of the new Aged Care Act.</w:t>
      </w:r>
    </w:p>
    <w:p w14:paraId="2213F7BF"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The impact of Government priorities and reform activities (already delivered, planned or underway) to implement recommendations from the Royal Commission into Aged Care Quality and Safety, including potential/expected future interactions and impact on the Commission.</w:t>
      </w:r>
    </w:p>
    <w:p w14:paraId="73140E89" w14:textId="77777777" w:rsidR="00164895" w:rsidRPr="00683012"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lastRenderedPageBreak/>
        <w:t>The role of the aged care regulator in rebuilding confidence of the community in the aged care regulator and the aged care system more broadly.</w:t>
      </w:r>
    </w:p>
    <w:p w14:paraId="637E87CB" w14:textId="77777777" w:rsidR="00164895" w:rsidRDefault="00164895" w:rsidP="001750D5">
      <w:pPr>
        <w:numPr>
          <w:ilvl w:val="0"/>
          <w:numId w:val="21"/>
        </w:numPr>
        <w:spacing w:before="120" w:after="120" w:line="240" w:lineRule="auto"/>
        <w:rPr>
          <w:rFonts w:ascii="Arial" w:hAnsi="Arial" w:cs="Arial"/>
          <w:sz w:val="24"/>
          <w:szCs w:val="24"/>
          <w:lang w:val="en-US"/>
        </w:rPr>
      </w:pPr>
      <w:r w:rsidRPr="00683012">
        <w:rPr>
          <w:rFonts w:ascii="Arial" w:hAnsi="Arial" w:cs="Arial"/>
          <w:sz w:val="24"/>
          <w:szCs w:val="24"/>
          <w:lang w:val="en-US"/>
        </w:rPr>
        <w:t>The role and responsibility of the Commission in working with the Commonwealth Government Department of Health and Aged Care and the Australian Commission on Safety and Quality in Health Care (ACSQHC) to regulate aged care, including clarifying responsibilities and legislation impacts across the sector, state and federal departments and health agencies.</w:t>
      </w:r>
    </w:p>
    <w:p w14:paraId="082C517D" w14:textId="77777777" w:rsidR="00164895" w:rsidRPr="00683012" w:rsidRDefault="00164895" w:rsidP="00164895">
      <w:pPr>
        <w:spacing w:before="120" w:line="240" w:lineRule="auto"/>
        <w:rPr>
          <w:rFonts w:ascii="Arial" w:hAnsi="Arial" w:cs="Arial"/>
          <w:b/>
          <w:bCs/>
          <w:sz w:val="24"/>
          <w:szCs w:val="24"/>
        </w:rPr>
      </w:pPr>
      <w:r w:rsidRPr="00683012">
        <w:rPr>
          <w:rFonts w:ascii="Arial" w:hAnsi="Arial" w:cs="Arial"/>
          <w:b/>
          <w:bCs/>
          <w:sz w:val="24"/>
          <w:szCs w:val="24"/>
        </w:rPr>
        <w:t>Consultation</w:t>
      </w:r>
    </w:p>
    <w:p w14:paraId="273EDA9D" w14:textId="77777777" w:rsidR="00164895" w:rsidRPr="00683012" w:rsidRDefault="00164895" w:rsidP="00164895">
      <w:pPr>
        <w:spacing w:before="120" w:line="240" w:lineRule="auto"/>
        <w:rPr>
          <w:rFonts w:ascii="Arial" w:hAnsi="Arial" w:cs="Arial"/>
          <w:sz w:val="24"/>
          <w:szCs w:val="24"/>
          <w:lang w:val="en-US"/>
        </w:rPr>
      </w:pPr>
      <w:r w:rsidRPr="00683012">
        <w:rPr>
          <w:rFonts w:ascii="Arial" w:hAnsi="Arial" w:cs="Arial"/>
          <w:sz w:val="24"/>
          <w:szCs w:val="24"/>
          <w:lang w:val="en-US"/>
        </w:rPr>
        <w:t>Noting the extensive stakeholder consultation undertaken as part of the Royal Commission into Aged Care Quality and Safety, the review should consider relevant and targeted consultation with:</w:t>
      </w:r>
    </w:p>
    <w:p w14:paraId="31558756" w14:textId="77777777" w:rsidR="00164895" w:rsidRPr="00683012" w:rsidRDefault="00164895" w:rsidP="001750D5">
      <w:pPr>
        <w:numPr>
          <w:ilvl w:val="0"/>
          <w:numId w:val="20"/>
        </w:numPr>
        <w:spacing w:before="120" w:after="120" w:line="240" w:lineRule="auto"/>
        <w:rPr>
          <w:rFonts w:ascii="Arial" w:hAnsi="Arial" w:cs="Arial"/>
          <w:sz w:val="24"/>
          <w:szCs w:val="24"/>
          <w:lang w:val="en-US"/>
        </w:rPr>
      </w:pPr>
      <w:r w:rsidRPr="00683012">
        <w:rPr>
          <w:rFonts w:ascii="Arial" w:hAnsi="Arial" w:cs="Arial"/>
          <w:sz w:val="24"/>
          <w:szCs w:val="24"/>
          <w:lang w:val="en-US"/>
        </w:rPr>
        <w:t xml:space="preserve">Older people receiving aged care services, their families, </w:t>
      </w:r>
      <w:proofErr w:type="spellStart"/>
      <w:r w:rsidRPr="00683012">
        <w:rPr>
          <w:rFonts w:ascii="Arial" w:hAnsi="Arial" w:cs="Arial"/>
          <w:sz w:val="24"/>
          <w:szCs w:val="24"/>
          <w:lang w:val="en-US"/>
        </w:rPr>
        <w:t>carers</w:t>
      </w:r>
      <w:proofErr w:type="spellEnd"/>
      <w:r w:rsidRPr="00683012">
        <w:rPr>
          <w:rFonts w:ascii="Arial" w:hAnsi="Arial" w:cs="Arial"/>
          <w:sz w:val="24"/>
          <w:szCs w:val="24"/>
          <w:lang w:val="en-US"/>
        </w:rPr>
        <w:t xml:space="preserve"> and advocates and peak bodies.</w:t>
      </w:r>
    </w:p>
    <w:p w14:paraId="3935C0F7" w14:textId="77777777" w:rsidR="00164895" w:rsidRPr="00683012" w:rsidRDefault="00164895" w:rsidP="001750D5">
      <w:pPr>
        <w:numPr>
          <w:ilvl w:val="0"/>
          <w:numId w:val="20"/>
        </w:numPr>
        <w:spacing w:before="120" w:after="120" w:line="240" w:lineRule="auto"/>
        <w:rPr>
          <w:rFonts w:ascii="Arial" w:hAnsi="Arial" w:cs="Arial"/>
          <w:sz w:val="24"/>
          <w:szCs w:val="24"/>
          <w:lang w:val="en-US"/>
        </w:rPr>
      </w:pPr>
      <w:r w:rsidRPr="00683012">
        <w:rPr>
          <w:rFonts w:ascii="Arial" w:hAnsi="Arial" w:cs="Arial"/>
          <w:sz w:val="24"/>
          <w:szCs w:val="24"/>
          <w:lang w:val="en-US"/>
        </w:rPr>
        <w:t>Aged care workers, relevant unions, and professional bodies.</w:t>
      </w:r>
    </w:p>
    <w:p w14:paraId="5E388B96" w14:textId="77777777" w:rsidR="00164895" w:rsidRPr="00683012" w:rsidRDefault="00164895" w:rsidP="001750D5">
      <w:pPr>
        <w:numPr>
          <w:ilvl w:val="0"/>
          <w:numId w:val="20"/>
        </w:numPr>
        <w:spacing w:before="120" w:after="120" w:line="240" w:lineRule="auto"/>
        <w:rPr>
          <w:rFonts w:ascii="Arial" w:hAnsi="Arial" w:cs="Arial"/>
          <w:sz w:val="24"/>
          <w:szCs w:val="24"/>
          <w:lang w:val="en-US"/>
        </w:rPr>
      </w:pPr>
      <w:r w:rsidRPr="00683012">
        <w:rPr>
          <w:rFonts w:ascii="Arial" w:hAnsi="Arial" w:cs="Arial"/>
          <w:sz w:val="24"/>
          <w:szCs w:val="24"/>
          <w:lang w:val="en-US"/>
        </w:rPr>
        <w:t>Aged care providers and their peak bodies.</w:t>
      </w:r>
    </w:p>
    <w:p w14:paraId="3A4FDAC0" w14:textId="77777777" w:rsidR="00164895" w:rsidRPr="00683012" w:rsidRDefault="00164895" w:rsidP="001750D5">
      <w:pPr>
        <w:numPr>
          <w:ilvl w:val="0"/>
          <w:numId w:val="20"/>
        </w:numPr>
        <w:spacing w:before="120" w:after="120" w:line="240" w:lineRule="auto"/>
        <w:rPr>
          <w:rFonts w:ascii="Arial" w:hAnsi="Arial" w:cs="Arial"/>
          <w:sz w:val="24"/>
          <w:szCs w:val="24"/>
          <w:lang w:val="en-US"/>
        </w:rPr>
      </w:pPr>
      <w:r w:rsidRPr="00683012">
        <w:rPr>
          <w:rFonts w:ascii="Arial" w:hAnsi="Arial" w:cs="Arial"/>
          <w:sz w:val="24"/>
          <w:szCs w:val="24"/>
          <w:lang w:val="en-US"/>
        </w:rPr>
        <w:t>The Council of Elders, the National Aged Care Advisory Council, the Aged Care Quality and Safety Commission, the Aged Care Quality and Safety Advisory Council and the Department of Health and Aged Care.</w:t>
      </w:r>
    </w:p>
    <w:p w14:paraId="2487C8C0" w14:textId="77777777" w:rsidR="00164895" w:rsidRPr="00683012" w:rsidRDefault="00164895" w:rsidP="001750D5">
      <w:pPr>
        <w:numPr>
          <w:ilvl w:val="0"/>
          <w:numId w:val="20"/>
        </w:numPr>
        <w:spacing w:before="120" w:after="120" w:line="240" w:lineRule="auto"/>
        <w:rPr>
          <w:rFonts w:ascii="Arial" w:hAnsi="Arial" w:cs="Arial"/>
          <w:sz w:val="24"/>
          <w:szCs w:val="24"/>
          <w:lang w:val="en-US"/>
        </w:rPr>
      </w:pPr>
      <w:r w:rsidRPr="00683012">
        <w:rPr>
          <w:rFonts w:ascii="Arial" w:hAnsi="Arial" w:cs="Arial"/>
          <w:sz w:val="24"/>
          <w:szCs w:val="24"/>
          <w:lang w:val="en-US"/>
        </w:rPr>
        <w:t>Specific diversity groups including Aboriginal and Torres Strait Islander people, veterans and the LGBTIQ communities.</w:t>
      </w:r>
    </w:p>
    <w:p w14:paraId="082D2ECB" w14:textId="77777777" w:rsidR="00164895" w:rsidRPr="00683012" w:rsidRDefault="00164895" w:rsidP="001750D5">
      <w:pPr>
        <w:numPr>
          <w:ilvl w:val="0"/>
          <w:numId w:val="20"/>
        </w:numPr>
        <w:spacing w:before="120" w:after="120" w:line="240" w:lineRule="auto"/>
        <w:rPr>
          <w:rFonts w:ascii="Arial" w:hAnsi="Arial" w:cs="Arial"/>
          <w:sz w:val="24"/>
          <w:szCs w:val="24"/>
          <w:lang w:val="en-US"/>
        </w:rPr>
      </w:pPr>
      <w:r w:rsidRPr="00683012">
        <w:rPr>
          <w:rFonts w:ascii="Arial" w:hAnsi="Arial" w:cs="Arial"/>
          <w:sz w:val="24"/>
          <w:szCs w:val="24"/>
          <w:lang w:val="en-US"/>
        </w:rPr>
        <w:t>Other regulators in Australia, including social care regulators and the Australian Commission on Safety and Quality in Health Care.</w:t>
      </w:r>
    </w:p>
    <w:p w14:paraId="76DA539F" w14:textId="561F50DE" w:rsidR="00164895" w:rsidRPr="002D5F76" w:rsidRDefault="00164895" w:rsidP="00164895">
      <w:pPr>
        <w:numPr>
          <w:ilvl w:val="0"/>
          <w:numId w:val="20"/>
        </w:numPr>
        <w:spacing w:before="120" w:after="120" w:line="240" w:lineRule="auto"/>
        <w:rPr>
          <w:rFonts w:ascii="Arial" w:hAnsi="Arial" w:cs="Arial"/>
          <w:sz w:val="24"/>
          <w:szCs w:val="24"/>
          <w:lang w:val="en-US"/>
        </w:rPr>
      </w:pPr>
      <w:r w:rsidRPr="00683012">
        <w:rPr>
          <w:rFonts w:ascii="Arial" w:hAnsi="Arial" w:cs="Arial"/>
          <w:sz w:val="24"/>
          <w:szCs w:val="24"/>
          <w:lang w:val="en-US"/>
        </w:rPr>
        <w:t>Relevant ministers and officials from the Commonwealth and state and territory governments.</w:t>
      </w:r>
      <w:bookmarkEnd w:id="30"/>
    </w:p>
    <w:p w14:paraId="30C6E66F" w14:textId="3FFB79C1" w:rsidR="00164895" w:rsidRDefault="00164895" w:rsidP="00164895">
      <w:pPr>
        <w:rPr>
          <w:rFonts w:ascii="Arial" w:hAnsi="Arial" w:cs="Arial"/>
          <w:sz w:val="24"/>
          <w:szCs w:val="24"/>
        </w:rPr>
      </w:pPr>
      <w:r>
        <w:rPr>
          <w:rFonts w:ascii="Arial" w:hAnsi="Arial" w:cs="Arial"/>
          <w:sz w:val="24"/>
          <w:szCs w:val="24"/>
        </w:rPr>
        <w:br w:type="page"/>
      </w:r>
    </w:p>
    <w:p w14:paraId="124EACC3" w14:textId="298076B0" w:rsidR="00164895" w:rsidRPr="000E132D" w:rsidRDefault="00164895" w:rsidP="000E132D">
      <w:pPr>
        <w:pStyle w:val="Heading3"/>
      </w:pPr>
      <w:bookmarkStart w:id="31" w:name="_Toc131163557"/>
      <w:r w:rsidRPr="000E132D">
        <w:lastRenderedPageBreak/>
        <w:t>APPENDIX B</w:t>
      </w:r>
      <w:r w:rsidR="000310AE" w:rsidRPr="000E132D">
        <w:t xml:space="preserve"> - </w:t>
      </w:r>
      <w:r w:rsidRPr="000E132D">
        <w:t>Review consultations and public submission process</w:t>
      </w:r>
      <w:bookmarkEnd w:id="31"/>
    </w:p>
    <w:p w14:paraId="6F466072" w14:textId="77777777" w:rsidR="00164895" w:rsidRPr="00164895" w:rsidRDefault="00164895" w:rsidP="00164895">
      <w:pPr>
        <w:spacing w:before="120" w:line="240" w:lineRule="auto"/>
        <w:rPr>
          <w:rFonts w:ascii="Arial" w:hAnsi="Arial" w:cs="Arial"/>
          <w:i/>
          <w:iCs/>
          <w:sz w:val="24"/>
          <w:szCs w:val="24"/>
        </w:rPr>
      </w:pPr>
      <w:r w:rsidRPr="00164895">
        <w:rPr>
          <w:rFonts w:ascii="Arial" w:hAnsi="Arial" w:cs="Arial"/>
          <w:i/>
          <w:iCs/>
          <w:sz w:val="24"/>
          <w:szCs w:val="24"/>
        </w:rPr>
        <w:t>Review consultations</w:t>
      </w:r>
    </w:p>
    <w:p w14:paraId="79EEEAAC" w14:textId="77777777"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The review Terms of Reference at Appendix A identified 7 categories of stakeholders to be consulted through targeted consultations, including:</w:t>
      </w:r>
    </w:p>
    <w:p w14:paraId="5DADD306" w14:textId="6262D3B1" w:rsidR="00164895" w:rsidRPr="00164895" w:rsidRDefault="00164895" w:rsidP="001750D5">
      <w:pPr>
        <w:numPr>
          <w:ilvl w:val="0"/>
          <w:numId w:val="23"/>
        </w:numPr>
        <w:spacing w:before="120" w:after="120" w:line="240" w:lineRule="auto"/>
        <w:rPr>
          <w:rFonts w:ascii="Arial" w:hAnsi="Arial" w:cs="Arial"/>
          <w:sz w:val="24"/>
          <w:szCs w:val="24"/>
          <w:lang w:val="en-US"/>
        </w:rPr>
      </w:pPr>
      <w:r w:rsidRPr="00164895">
        <w:rPr>
          <w:rFonts w:ascii="Arial" w:hAnsi="Arial" w:cs="Arial"/>
          <w:sz w:val="24"/>
          <w:szCs w:val="24"/>
          <w:lang w:val="en-US"/>
        </w:rPr>
        <w:t xml:space="preserve">Older people receiving aged care services, their families, </w:t>
      </w:r>
      <w:proofErr w:type="spellStart"/>
      <w:r w:rsidRPr="00164895">
        <w:rPr>
          <w:rFonts w:ascii="Arial" w:hAnsi="Arial" w:cs="Arial"/>
          <w:sz w:val="24"/>
          <w:szCs w:val="24"/>
          <w:lang w:val="en-US"/>
        </w:rPr>
        <w:t>carers</w:t>
      </w:r>
      <w:proofErr w:type="spellEnd"/>
      <w:r w:rsidRPr="00164895">
        <w:rPr>
          <w:rFonts w:ascii="Arial" w:hAnsi="Arial" w:cs="Arial"/>
          <w:sz w:val="24"/>
          <w:szCs w:val="24"/>
          <w:lang w:val="en-US"/>
        </w:rPr>
        <w:t xml:space="preserve"> and advocates</w:t>
      </w:r>
      <w:r w:rsidR="00983DB2">
        <w:rPr>
          <w:rFonts w:ascii="Arial" w:hAnsi="Arial" w:cs="Arial"/>
          <w:sz w:val="24"/>
          <w:szCs w:val="24"/>
          <w:lang w:val="en-US"/>
        </w:rPr>
        <w:t>,</w:t>
      </w:r>
      <w:r w:rsidRPr="00164895">
        <w:rPr>
          <w:rFonts w:ascii="Arial" w:hAnsi="Arial" w:cs="Arial"/>
          <w:sz w:val="24"/>
          <w:szCs w:val="24"/>
          <w:lang w:val="en-US"/>
        </w:rPr>
        <w:t xml:space="preserve"> and peak bodies.</w:t>
      </w:r>
    </w:p>
    <w:p w14:paraId="708587D6" w14:textId="77777777" w:rsidR="00164895" w:rsidRPr="00164895" w:rsidRDefault="00164895" w:rsidP="001750D5">
      <w:pPr>
        <w:numPr>
          <w:ilvl w:val="0"/>
          <w:numId w:val="23"/>
        </w:numPr>
        <w:spacing w:before="120" w:after="120" w:line="240" w:lineRule="auto"/>
        <w:rPr>
          <w:rFonts w:ascii="Arial" w:hAnsi="Arial" w:cs="Arial"/>
          <w:sz w:val="24"/>
          <w:szCs w:val="24"/>
          <w:lang w:val="en-US"/>
        </w:rPr>
      </w:pPr>
      <w:r w:rsidRPr="00164895">
        <w:rPr>
          <w:rFonts w:ascii="Arial" w:hAnsi="Arial" w:cs="Arial"/>
          <w:sz w:val="24"/>
          <w:szCs w:val="24"/>
          <w:lang w:val="en-US"/>
        </w:rPr>
        <w:t>Aged care workers, relevant unions, and professional bodies.</w:t>
      </w:r>
    </w:p>
    <w:p w14:paraId="4DB903D8" w14:textId="77777777" w:rsidR="00164895" w:rsidRPr="00164895" w:rsidRDefault="00164895" w:rsidP="001750D5">
      <w:pPr>
        <w:numPr>
          <w:ilvl w:val="0"/>
          <w:numId w:val="23"/>
        </w:numPr>
        <w:spacing w:before="120" w:after="120" w:line="240" w:lineRule="auto"/>
        <w:rPr>
          <w:rFonts w:ascii="Arial" w:hAnsi="Arial" w:cs="Arial"/>
          <w:sz w:val="24"/>
          <w:szCs w:val="24"/>
          <w:lang w:val="en-US"/>
        </w:rPr>
      </w:pPr>
      <w:r w:rsidRPr="00164895">
        <w:rPr>
          <w:rFonts w:ascii="Arial" w:hAnsi="Arial" w:cs="Arial"/>
          <w:sz w:val="24"/>
          <w:szCs w:val="24"/>
          <w:lang w:val="en-US"/>
        </w:rPr>
        <w:t>Aged care providers and their peak bodies.</w:t>
      </w:r>
    </w:p>
    <w:p w14:paraId="4DD54CE9" w14:textId="07D17CA6" w:rsidR="00164895" w:rsidRPr="00164895" w:rsidRDefault="00164895" w:rsidP="001750D5">
      <w:pPr>
        <w:numPr>
          <w:ilvl w:val="0"/>
          <w:numId w:val="23"/>
        </w:numPr>
        <w:spacing w:before="120" w:after="120" w:line="240" w:lineRule="auto"/>
        <w:rPr>
          <w:rFonts w:ascii="Arial" w:hAnsi="Arial" w:cs="Arial"/>
          <w:sz w:val="24"/>
          <w:szCs w:val="24"/>
          <w:lang w:val="en-US"/>
        </w:rPr>
      </w:pPr>
      <w:r w:rsidRPr="00164895">
        <w:rPr>
          <w:rFonts w:ascii="Arial" w:hAnsi="Arial" w:cs="Arial"/>
          <w:sz w:val="24"/>
          <w:szCs w:val="24"/>
          <w:lang w:val="en-US"/>
        </w:rPr>
        <w:t>The Council of Elders, the National Aged Care Advisory Council, the Aged Care Quality and Safety Commission</w:t>
      </w:r>
      <w:r w:rsidR="00186865">
        <w:rPr>
          <w:rFonts w:ascii="Arial" w:hAnsi="Arial" w:cs="Arial"/>
          <w:sz w:val="24"/>
          <w:szCs w:val="24"/>
          <w:lang w:val="en-US"/>
        </w:rPr>
        <w:t xml:space="preserve"> (the Commission)</w:t>
      </w:r>
      <w:r w:rsidRPr="00164895">
        <w:rPr>
          <w:rFonts w:ascii="Arial" w:hAnsi="Arial" w:cs="Arial"/>
          <w:sz w:val="24"/>
          <w:szCs w:val="24"/>
          <w:lang w:val="en-US"/>
        </w:rPr>
        <w:t>, the Aged Care Quality and Safety Advisory Council and the Department of Health and Aged Care</w:t>
      </w:r>
      <w:r w:rsidR="00186865">
        <w:rPr>
          <w:rFonts w:ascii="Arial" w:hAnsi="Arial" w:cs="Arial"/>
          <w:sz w:val="24"/>
          <w:szCs w:val="24"/>
          <w:lang w:val="en-US"/>
        </w:rPr>
        <w:t xml:space="preserve"> (the Department)</w:t>
      </w:r>
      <w:r w:rsidRPr="00164895">
        <w:rPr>
          <w:rFonts w:ascii="Arial" w:hAnsi="Arial" w:cs="Arial"/>
          <w:sz w:val="24"/>
          <w:szCs w:val="24"/>
          <w:lang w:val="en-US"/>
        </w:rPr>
        <w:t>.</w:t>
      </w:r>
    </w:p>
    <w:p w14:paraId="0AF45F83" w14:textId="2CF358D9" w:rsidR="00164895" w:rsidRPr="00164895" w:rsidRDefault="00164895" w:rsidP="001750D5">
      <w:pPr>
        <w:numPr>
          <w:ilvl w:val="0"/>
          <w:numId w:val="23"/>
        </w:numPr>
        <w:spacing w:before="120" w:after="120" w:line="240" w:lineRule="auto"/>
        <w:rPr>
          <w:rFonts w:ascii="Arial" w:hAnsi="Arial" w:cs="Arial"/>
          <w:sz w:val="24"/>
          <w:szCs w:val="24"/>
          <w:lang w:val="en-US"/>
        </w:rPr>
      </w:pPr>
      <w:r w:rsidRPr="00164895">
        <w:rPr>
          <w:rFonts w:ascii="Arial" w:hAnsi="Arial" w:cs="Arial"/>
          <w:sz w:val="24"/>
          <w:szCs w:val="24"/>
          <w:lang w:val="en-US"/>
        </w:rPr>
        <w:t>Specific diversity groups including Aboriginal and Torres Strait Islander people, veterans and the LGBTIQ</w:t>
      </w:r>
      <w:r w:rsidR="001126F1">
        <w:rPr>
          <w:rFonts w:ascii="Arial" w:hAnsi="Arial" w:cs="Arial"/>
          <w:sz w:val="24"/>
          <w:szCs w:val="24"/>
          <w:lang w:val="en-US"/>
        </w:rPr>
        <w:t>+</w:t>
      </w:r>
      <w:r w:rsidRPr="00164895">
        <w:rPr>
          <w:rFonts w:ascii="Arial" w:hAnsi="Arial" w:cs="Arial"/>
          <w:sz w:val="24"/>
          <w:szCs w:val="24"/>
          <w:lang w:val="en-US"/>
        </w:rPr>
        <w:t xml:space="preserve"> communities.</w:t>
      </w:r>
    </w:p>
    <w:p w14:paraId="5C00E866" w14:textId="77777777" w:rsidR="00164895" w:rsidRPr="00164895" w:rsidRDefault="00164895" w:rsidP="001750D5">
      <w:pPr>
        <w:numPr>
          <w:ilvl w:val="0"/>
          <w:numId w:val="23"/>
        </w:numPr>
        <w:spacing w:before="120" w:after="120" w:line="240" w:lineRule="auto"/>
        <w:rPr>
          <w:rFonts w:ascii="Arial" w:hAnsi="Arial" w:cs="Arial"/>
          <w:sz w:val="24"/>
          <w:szCs w:val="24"/>
          <w:lang w:val="en-US"/>
        </w:rPr>
      </w:pPr>
      <w:r w:rsidRPr="00164895">
        <w:rPr>
          <w:rFonts w:ascii="Arial" w:hAnsi="Arial" w:cs="Arial"/>
          <w:sz w:val="24"/>
          <w:szCs w:val="24"/>
          <w:lang w:val="en-US"/>
        </w:rPr>
        <w:t>Other regulators in Australia, including social care regulators and the Australian Commission on Safety and Quality in Health Care.</w:t>
      </w:r>
    </w:p>
    <w:p w14:paraId="29E079A8" w14:textId="43E7C167" w:rsidR="00164895" w:rsidRPr="00164895" w:rsidRDefault="00164895" w:rsidP="001750D5">
      <w:pPr>
        <w:numPr>
          <w:ilvl w:val="0"/>
          <w:numId w:val="23"/>
        </w:numPr>
        <w:spacing w:before="120" w:after="120" w:line="240" w:lineRule="auto"/>
        <w:rPr>
          <w:rFonts w:ascii="Arial" w:hAnsi="Arial" w:cs="Arial"/>
          <w:sz w:val="24"/>
          <w:szCs w:val="24"/>
          <w:lang w:val="en-US"/>
        </w:rPr>
      </w:pPr>
      <w:r w:rsidRPr="00164895">
        <w:rPr>
          <w:rFonts w:ascii="Arial" w:hAnsi="Arial" w:cs="Arial"/>
          <w:sz w:val="24"/>
          <w:szCs w:val="24"/>
          <w:lang w:val="en-US"/>
        </w:rPr>
        <w:t xml:space="preserve">Relevant ministers and officials from the </w:t>
      </w:r>
      <w:r w:rsidR="001126F1">
        <w:rPr>
          <w:rFonts w:ascii="Arial" w:hAnsi="Arial" w:cs="Arial"/>
          <w:sz w:val="24"/>
          <w:szCs w:val="24"/>
          <w:lang w:val="en-US"/>
        </w:rPr>
        <w:t>Australian Government</w:t>
      </w:r>
      <w:r w:rsidRPr="00164895">
        <w:rPr>
          <w:rFonts w:ascii="Arial" w:hAnsi="Arial" w:cs="Arial"/>
          <w:sz w:val="24"/>
          <w:szCs w:val="24"/>
          <w:lang w:val="en-US"/>
        </w:rPr>
        <w:t xml:space="preserve"> and state and territory governments.</w:t>
      </w:r>
    </w:p>
    <w:p w14:paraId="23A7EB63" w14:textId="77777777"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All groups were invited to participate in consultations either individually or as part of a group apart from state and territory governments, as they were invited to provide a written submission to the review.</w:t>
      </w:r>
    </w:p>
    <w:p w14:paraId="7BFE0822" w14:textId="77777777"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The consultation strategy for the review included:</w:t>
      </w:r>
    </w:p>
    <w:p w14:paraId="5B8AF204" w14:textId="3B77A35F" w:rsidR="00164895" w:rsidRPr="00164895" w:rsidRDefault="00164895" w:rsidP="001750D5">
      <w:pPr>
        <w:numPr>
          <w:ilvl w:val="0"/>
          <w:numId w:val="25"/>
        </w:numPr>
        <w:spacing w:before="120" w:after="120" w:line="240" w:lineRule="auto"/>
        <w:ind w:left="357" w:hanging="357"/>
        <w:rPr>
          <w:rFonts w:ascii="Arial" w:hAnsi="Arial" w:cs="Arial"/>
          <w:sz w:val="24"/>
          <w:szCs w:val="24"/>
        </w:rPr>
      </w:pPr>
      <w:r w:rsidRPr="00164895">
        <w:rPr>
          <w:rFonts w:ascii="Arial" w:hAnsi="Arial" w:cs="Arial"/>
          <w:sz w:val="24"/>
          <w:szCs w:val="24"/>
        </w:rPr>
        <w:t xml:space="preserve">targeted consultations with aged care consumers and their families, carers, advocates and other representatives, aged care providers, and other stakeholders, where possible via existing for a including advisory bodies and reference groups convened by the Department and the </w:t>
      </w:r>
      <w:r w:rsidR="0026798A">
        <w:rPr>
          <w:rFonts w:ascii="Arial" w:hAnsi="Arial" w:cs="Arial"/>
          <w:sz w:val="24"/>
          <w:szCs w:val="24"/>
        </w:rPr>
        <w:t>Commission</w:t>
      </w:r>
      <w:r w:rsidRPr="00164895">
        <w:rPr>
          <w:rFonts w:ascii="Arial" w:hAnsi="Arial" w:cs="Arial"/>
          <w:sz w:val="24"/>
          <w:szCs w:val="24"/>
        </w:rPr>
        <w:t> </w:t>
      </w:r>
    </w:p>
    <w:p w14:paraId="7C73726B" w14:textId="307635BB" w:rsidR="00164895" w:rsidRPr="00164895" w:rsidRDefault="00164895" w:rsidP="001750D5">
      <w:pPr>
        <w:numPr>
          <w:ilvl w:val="0"/>
          <w:numId w:val="26"/>
        </w:numPr>
        <w:spacing w:before="120" w:after="120" w:line="240" w:lineRule="auto"/>
        <w:ind w:left="357" w:hanging="357"/>
        <w:rPr>
          <w:rFonts w:ascii="Arial" w:hAnsi="Arial" w:cs="Arial"/>
          <w:sz w:val="24"/>
          <w:szCs w:val="24"/>
        </w:rPr>
      </w:pPr>
      <w:r w:rsidRPr="00164895">
        <w:rPr>
          <w:rFonts w:ascii="Arial" w:hAnsi="Arial" w:cs="Arial"/>
          <w:sz w:val="24"/>
          <w:szCs w:val="24"/>
        </w:rPr>
        <w:t>deep dives, focus groups and interviews with relevant Department</w:t>
      </w:r>
      <w:r w:rsidR="00186865">
        <w:rPr>
          <w:rFonts w:ascii="Arial" w:hAnsi="Arial" w:cs="Arial"/>
          <w:sz w:val="24"/>
          <w:szCs w:val="24"/>
        </w:rPr>
        <w:t>al</w:t>
      </w:r>
      <w:r w:rsidRPr="00164895">
        <w:rPr>
          <w:rFonts w:ascii="Arial" w:hAnsi="Arial" w:cs="Arial"/>
          <w:sz w:val="24"/>
          <w:szCs w:val="24"/>
        </w:rPr>
        <w:t xml:space="preserve"> line areas</w:t>
      </w:r>
    </w:p>
    <w:p w14:paraId="73F97372" w14:textId="050F7EA7" w:rsidR="00164895" w:rsidRPr="00164895" w:rsidRDefault="00164895" w:rsidP="001750D5">
      <w:pPr>
        <w:numPr>
          <w:ilvl w:val="0"/>
          <w:numId w:val="26"/>
        </w:numPr>
        <w:spacing w:before="120" w:after="120" w:line="240" w:lineRule="auto"/>
        <w:ind w:left="357" w:hanging="357"/>
        <w:rPr>
          <w:rFonts w:ascii="Arial" w:hAnsi="Arial" w:cs="Arial"/>
          <w:sz w:val="24"/>
          <w:szCs w:val="24"/>
        </w:rPr>
      </w:pPr>
      <w:r w:rsidRPr="00164895">
        <w:rPr>
          <w:rFonts w:ascii="Arial" w:hAnsi="Arial" w:cs="Arial"/>
          <w:sz w:val="24"/>
          <w:szCs w:val="24"/>
        </w:rPr>
        <w:t>deep dives, focus groups and interviews with the Commissioner and Commission staff, including in relation to ICT issues</w:t>
      </w:r>
    </w:p>
    <w:p w14:paraId="43CED0ED" w14:textId="77777777" w:rsidR="00164895" w:rsidRPr="00164895" w:rsidRDefault="00164895" w:rsidP="001750D5">
      <w:pPr>
        <w:numPr>
          <w:ilvl w:val="0"/>
          <w:numId w:val="26"/>
        </w:numPr>
        <w:spacing w:before="120" w:after="120" w:line="240" w:lineRule="auto"/>
        <w:ind w:left="357" w:hanging="357"/>
        <w:rPr>
          <w:rFonts w:ascii="Arial" w:hAnsi="Arial" w:cs="Arial"/>
          <w:sz w:val="24"/>
          <w:szCs w:val="24"/>
        </w:rPr>
      </w:pPr>
      <w:r w:rsidRPr="00164895">
        <w:rPr>
          <w:rFonts w:ascii="Arial" w:hAnsi="Arial" w:cs="Arial"/>
          <w:sz w:val="24"/>
          <w:szCs w:val="24"/>
        </w:rPr>
        <w:t>consultations with other Australian regulators, and</w:t>
      </w:r>
    </w:p>
    <w:p w14:paraId="7031FF51" w14:textId="77777777" w:rsidR="00164895" w:rsidRPr="00164895" w:rsidRDefault="00164895" w:rsidP="001750D5">
      <w:pPr>
        <w:numPr>
          <w:ilvl w:val="0"/>
          <w:numId w:val="26"/>
        </w:numPr>
        <w:spacing w:before="120" w:after="120" w:line="240" w:lineRule="auto"/>
        <w:ind w:left="357" w:hanging="357"/>
        <w:rPr>
          <w:rFonts w:ascii="Arial" w:hAnsi="Arial" w:cs="Arial"/>
          <w:sz w:val="24"/>
          <w:szCs w:val="24"/>
        </w:rPr>
      </w:pPr>
      <w:r w:rsidRPr="00164895">
        <w:rPr>
          <w:rFonts w:ascii="Arial" w:hAnsi="Arial" w:cs="Arial"/>
          <w:sz w:val="24"/>
          <w:szCs w:val="24"/>
        </w:rPr>
        <w:t>discussions as needed with other Australian public service departments.</w:t>
      </w:r>
    </w:p>
    <w:p w14:paraId="491CC3DB" w14:textId="3E8AEB5B"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 xml:space="preserve">In the period from October 2022 to February 2023 the review conducted targeted consultations with a total of </w:t>
      </w:r>
      <w:r w:rsidR="006A6FD8">
        <w:rPr>
          <w:rFonts w:ascii="Arial" w:hAnsi="Arial" w:cs="Arial"/>
          <w:sz w:val="24"/>
          <w:szCs w:val="24"/>
        </w:rPr>
        <w:t>93</w:t>
      </w:r>
      <w:r w:rsidRPr="00164895">
        <w:rPr>
          <w:rFonts w:ascii="Arial" w:hAnsi="Arial" w:cs="Arial"/>
          <w:sz w:val="24"/>
          <w:szCs w:val="24"/>
        </w:rPr>
        <w:t xml:space="preserve"> individuals and groups including:</w:t>
      </w:r>
    </w:p>
    <w:p w14:paraId="6F928518" w14:textId="5E807DFD" w:rsidR="00164895" w:rsidRPr="00164895" w:rsidRDefault="00164895" w:rsidP="001750D5">
      <w:pPr>
        <w:pStyle w:val="ListParagraph"/>
        <w:numPr>
          <w:ilvl w:val="0"/>
          <w:numId w:val="24"/>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3</w:t>
      </w:r>
      <w:r w:rsidR="006A6FD8">
        <w:rPr>
          <w:rFonts w:ascii="Arial" w:hAnsi="Arial" w:cs="Arial"/>
          <w:sz w:val="24"/>
          <w:szCs w:val="24"/>
        </w:rPr>
        <w:t>9</w:t>
      </w:r>
      <w:r w:rsidRPr="00164895">
        <w:rPr>
          <w:rFonts w:ascii="Arial" w:hAnsi="Arial" w:cs="Arial"/>
          <w:sz w:val="24"/>
          <w:szCs w:val="24"/>
        </w:rPr>
        <w:t xml:space="preserve"> with the </w:t>
      </w:r>
      <w:r w:rsidR="0026798A">
        <w:rPr>
          <w:rFonts w:ascii="Arial" w:hAnsi="Arial" w:cs="Arial"/>
          <w:sz w:val="24"/>
          <w:szCs w:val="24"/>
        </w:rPr>
        <w:t>Commission</w:t>
      </w:r>
    </w:p>
    <w:p w14:paraId="6308D012" w14:textId="59C87BA0" w:rsidR="00164895" w:rsidRPr="00164895" w:rsidRDefault="00164895" w:rsidP="001750D5">
      <w:pPr>
        <w:pStyle w:val="ListParagraph"/>
        <w:numPr>
          <w:ilvl w:val="0"/>
          <w:numId w:val="24"/>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2</w:t>
      </w:r>
      <w:r w:rsidR="006A6FD8">
        <w:rPr>
          <w:rFonts w:ascii="Arial" w:hAnsi="Arial" w:cs="Arial"/>
          <w:sz w:val="24"/>
          <w:szCs w:val="24"/>
        </w:rPr>
        <w:t>4</w:t>
      </w:r>
      <w:r w:rsidRPr="00164895">
        <w:rPr>
          <w:rFonts w:ascii="Arial" w:hAnsi="Arial" w:cs="Arial"/>
          <w:sz w:val="24"/>
          <w:szCs w:val="24"/>
        </w:rPr>
        <w:t xml:space="preserve"> with the Department</w:t>
      </w:r>
    </w:p>
    <w:p w14:paraId="6423212C" w14:textId="77777777" w:rsidR="00164895" w:rsidRPr="00164895" w:rsidRDefault="00164895" w:rsidP="001750D5">
      <w:pPr>
        <w:pStyle w:val="ListParagraph"/>
        <w:numPr>
          <w:ilvl w:val="0"/>
          <w:numId w:val="24"/>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18 with consumer and provider representative groups</w:t>
      </w:r>
    </w:p>
    <w:p w14:paraId="32BC7EA2" w14:textId="77777777" w:rsidR="00164895" w:rsidRPr="00164895" w:rsidRDefault="00164895" w:rsidP="001750D5">
      <w:pPr>
        <w:pStyle w:val="ListParagraph"/>
        <w:numPr>
          <w:ilvl w:val="0"/>
          <w:numId w:val="24"/>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3 with unions representing the aged care workforce, and</w:t>
      </w:r>
    </w:p>
    <w:p w14:paraId="0452EB0A" w14:textId="77777777" w:rsidR="00164895" w:rsidRPr="00164895" w:rsidRDefault="00164895" w:rsidP="001750D5">
      <w:pPr>
        <w:pStyle w:val="ListParagraph"/>
        <w:numPr>
          <w:ilvl w:val="0"/>
          <w:numId w:val="24"/>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lastRenderedPageBreak/>
        <w:t>9 with other regulators and Commonwealth Government departments and agencies.</w:t>
      </w:r>
    </w:p>
    <w:p w14:paraId="7C0F9E78" w14:textId="77777777" w:rsidR="00164895" w:rsidRPr="00164895" w:rsidRDefault="00164895" w:rsidP="00164895">
      <w:pPr>
        <w:spacing w:before="120" w:line="240" w:lineRule="auto"/>
        <w:rPr>
          <w:rFonts w:ascii="Arial" w:hAnsi="Arial" w:cs="Arial"/>
          <w:i/>
          <w:iCs/>
          <w:sz w:val="24"/>
          <w:szCs w:val="24"/>
        </w:rPr>
      </w:pPr>
      <w:r w:rsidRPr="00164895">
        <w:rPr>
          <w:rFonts w:ascii="Arial" w:hAnsi="Arial" w:cs="Arial"/>
          <w:i/>
          <w:iCs/>
          <w:sz w:val="24"/>
          <w:szCs w:val="24"/>
        </w:rPr>
        <w:t>Review public submission process</w:t>
      </w:r>
    </w:p>
    <w:p w14:paraId="7E3F5880" w14:textId="2891A2FF"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 xml:space="preserve">A public submission process to enable interested individuals and groups to share their views on the capability of the </w:t>
      </w:r>
      <w:r w:rsidR="0026798A">
        <w:rPr>
          <w:rFonts w:ascii="Arial" w:hAnsi="Arial" w:cs="Arial"/>
          <w:sz w:val="24"/>
          <w:szCs w:val="24"/>
        </w:rPr>
        <w:t>Commission</w:t>
      </w:r>
      <w:r w:rsidRPr="00164895">
        <w:rPr>
          <w:rFonts w:ascii="Arial" w:hAnsi="Arial" w:cs="Arial"/>
          <w:sz w:val="24"/>
          <w:szCs w:val="24"/>
        </w:rPr>
        <w:t xml:space="preserve">, was conducted through the Department’s Consultation Hub. The submission process was publicised through the Department’s Aged Care Engagement Hub and MyAgedCare </w:t>
      </w:r>
      <w:proofErr w:type="gramStart"/>
      <w:r w:rsidRPr="00164895">
        <w:rPr>
          <w:rFonts w:ascii="Arial" w:hAnsi="Arial" w:cs="Arial"/>
          <w:sz w:val="24"/>
          <w:szCs w:val="24"/>
        </w:rPr>
        <w:t>Newsletter, and</w:t>
      </w:r>
      <w:proofErr w:type="gramEnd"/>
      <w:r w:rsidRPr="00164895">
        <w:rPr>
          <w:rFonts w:ascii="Arial" w:hAnsi="Arial" w:cs="Arial"/>
          <w:sz w:val="24"/>
          <w:szCs w:val="24"/>
        </w:rPr>
        <w:t xml:space="preserve"> promoted by the review team during stakeholder consultations.</w:t>
      </w:r>
    </w:p>
    <w:p w14:paraId="5F3330E4" w14:textId="77777777"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While the public submission process closed on 2 December 2022, late submissions were also accepted.</w:t>
      </w:r>
    </w:p>
    <w:p w14:paraId="49E7878C" w14:textId="3663D7AA"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A total of 6</w:t>
      </w:r>
      <w:r w:rsidR="006A6FD8">
        <w:rPr>
          <w:rFonts w:ascii="Arial" w:hAnsi="Arial" w:cs="Arial"/>
          <w:sz w:val="24"/>
          <w:szCs w:val="24"/>
        </w:rPr>
        <w:t>2</w:t>
      </w:r>
      <w:r w:rsidRPr="00164895">
        <w:rPr>
          <w:rFonts w:ascii="Arial" w:hAnsi="Arial" w:cs="Arial"/>
          <w:sz w:val="24"/>
          <w:szCs w:val="24"/>
        </w:rPr>
        <w:t xml:space="preserve"> submissions were received from:</w:t>
      </w:r>
    </w:p>
    <w:p w14:paraId="5247F534" w14:textId="7BF3D871" w:rsidR="00164895" w:rsidRPr="00164895" w:rsidRDefault="00164895" w:rsidP="001750D5">
      <w:pPr>
        <w:pStyle w:val="ListParagraph"/>
        <w:numPr>
          <w:ilvl w:val="0"/>
          <w:numId w:val="27"/>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individual consumers</w:t>
      </w:r>
      <w:r w:rsidR="006F2C7C">
        <w:rPr>
          <w:rFonts w:ascii="Arial" w:hAnsi="Arial" w:cs="Arial"/>
          <w:sz w:val="24"/>
          <w:szCs w:val="24"/>
        </w:rPr>
        <w:t>,</w:t>
      </w:r>
      <w:r w:rsidRPr="00164895">
        <w:rPr>
          <w:rFonts w:ascii="Arial" w:hAnsi="Arial" w:cs="Arial"/>
          <w:sz w:val="24"/>
          <w:szCs w:val="24"/>
        </w:rPr>
        <w:t xml:space="preserve"> consumer representatives</w:t>
      </w:r>
      <w:r w:rsidR="006F2C7C">
        <w:rPr>
          <w:rFonts w:ascii="Arial" w:hAnsi="Arial" w:cs="Arial"/>
          <w:sz w:val="24"/>
          <w:szCs w:val="24"/>
        </w:rPr>
        <w:t xml:space="preserve"> and other interested parties</w:t>
      </w:r>
    </w:p>
    <w:p w14:paraId="2D96A296" w14:textId="77777777" w:rsidR="00164895" w:rsidRPr="00164895" w:rsidRDefault="00164895" w:rsidP="001750D5">
      <w:pPr>
        <w:pStyle w:val="ListParagraph"/>
        <w:numPr>
          <w:ilvl w:val="0"/>
          <w:numId w:val="27"/>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individual providers</w:t>
      </w:r>
    </w:p>
    <w:p w14:paraId="06E80E0A" w14:textId="77777777" w:rsidR="00164895" w:rsidRPr="00164895" w:rsidRDefault="00164895" w:rsidP="001750D5">
      <w:pPr>
        <w:pStyle w:val="ListParagraph"/>
        <w:numPr>
          <w:ilvl w:val="0"/>
          <w:numId w:val="27"/>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consumer and provider peak bodies</w:t>
      </w:r>
    </w:p>
    <w:p w14:paraId="3E3467BD" w14:textId="77777777" w:rsidR="00164895" w:rsidRPr="00164895" w:rsidRDefault="00164895" w:rsidP="001750D5">
      <w:pPr>
        <w:pStyle w:val="ListParagraph"/>
        <w:numPr>
          <w:ilvl w:val="0"/>
          <w:numId w:val="27"/>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unions, and</w:t>
      </w:r>
    </w:p>
    <w:p w14:paraId="7B7C83DD" w14:textId="77777777" w:rsidR="00164895" w:rsidRPr="00164895" w:rsidRDefault="00164895" w:rsidP="001750D5">
      <w:pPr>
        <w:pStyle w:val="ListParagraph"/>
        <w:numPr>
          <w:ilvl w:val="0"/>
          <w:numId w:val="27"/>
        </w:numPr>
        <w:spacing w:before="120" w:after="120" w:line="240" w:lineRule="auto"/>
        <w:ind w:left="357" w:hanging="357"/>
        <w:contextualSpacing w:val="0"/>
        <w:rPr>
          <w:rFonts w:ascii="Arial" w:hAnsi="Arial" w:cs="Arial"/>
          <w:sz w:val="24"/>
          <w:szCs w:val="24"/>
        </w:rPr>
      </w:pPr>
      <w:r w:rsidRPr="00164895">
        <w:rPr>
          <w:rFonts w:ascii="Arial" w:hAnsi="Arial" w:cs="Arial"/>
          <w:sz w:val="24"/>
          <w:szCs w:val="24"/>
        </w:rPr>
        <w:t>state and territory governments.</w:t>
      </w:r>
    </w:p>
    <w:p w14:paraId="72DBBD0D" w14:textId="77777777" w:rsidR="00164895" w:rsidRPr="00164895" w:rsidRDefault="00164895" w:rsidP="00164895">
      <w:pPr>
        <w:spacing w:before="120" w:line="240" w:lineRule="auto"/>
        <w:rPr>
          <w:rFonts w:ascii="Arial" w:hAnsi="Arial" w:cs="Arial"/>
          <w:sz w:val="24"/>
          <w:szCs w:val="24"/>
        </w:rPr>
      </w:pPr>
      <w:r w:rsidRPr="00164895">
        <w:rPr>
          <w:rFonts w:ascii="Arial" w:hAnsi="Arial" w:cs="Arial"/>
          <w:sz w:val="24"/>
          <w:szCs w:val="24"/>
        </w:rPr>
        <w:t>All submissions were treated in accordance with the confidentiality arrangements included on the Department’s Consultation Hub for this review. While unattributed quotes from some submissions have been included in the review report, no material has been used from submissions where the submitter has requested full confidentiality.</w:t>
      </w:r>
    </w:p>
    <w:p w14:paraId="73869E95" w14:textId="0E7EA1E8" w:rsidR="00BA3EB7" w:rsidRDefault="00BA3EB7">
      <w:pPr>
        <w:rPr>
          <w:rFonts w:ascii="Arial" w:eastAsiaTheme="minorEastAsia" w:hAnsi="Arial" w:cs="Arial"/>
          <w:b/>
          <w:bCs/>
          <w:noProof/>
          <w:sz w:val="24"/>
          <w:szCs w:val="24"/>
          <w:lang w:eastAsia="en-AU"/>
        </w:rPr>
      </w:pPr>
      <w:r>
        <w:rPr>
          <w:rFonts w:ascii="Arial" w:eastAsiaTheme="minorEastAsia" w:hAnsi="Arial" w:cs="Arial"/>
          <w:b/>
          <w:bCs/>
          <w:noProof/>
          <w:sz w:val="24"/>
          <w:szCs w:val="24"/>
          <w:lang w:eastAsia="en-AU"/>
        </w:rPr>
        <w:br w:type="page"/>
      </w:r>
    </w:p>
    <w:p w14:paraId="6D06833E" w14:textId="6F342BD5" w:rsidR="00640563" w:rsidRPr="000E132D" w:rsidRDefault="00640563" w:rsidP="000E132D">
      <w:pPr>
        <w:pStyle w:val="Heading3"/>
      </w:pPr>
      <w:bookmarkStart w:id="32" w:name="_Toc131163558"/>
      <w:r w:rsidRPr="000E132D">
        <w:lastRenderedPageBreak/>
        <w:t xml:space="preserve">APPENDIX C – </w:t>
      </w:r>
      <w:r w:rsidR="00D2238A" w:rsidRPr="000E132D">
        <w:t>Summary of Grosvenor Final Report</w:t>
      </w:r>
      <w:bookmarkEnd w:id="32"/>
    </w:p>
    <w:p w14:paraId="7783FAB2" w14:textId="77777777" w:rsidR="00640563" w:rsidRPr="00985197" w:rsidRDefault="00640563" w:rsidP="00640563">
      <w:pPr>
        <w:spacing w:before="120" w:after="120" w:line="240" w:lineRule="auto"/>
        <w:rPr>
          <w:rFonts w:ascii="Arial" w:hAnsi="Arial" w:cs="Arial"/>
          <w:sz w:val="24"/>
          <w:szCs w:val="24"/>
          <w:u w:val="single"/>
        </w:rPr>
      </w:pPr>
      <w:r w:rsidRPr="00985197">
        <w:rPr>
          <w:rFonts w:ascii="Arial" w:hAnsi="Arial" w:cs="Arial"/>
          <w:sz w:val="24"/>
          <w:szCs w:val="24"/>
          <w:u w:val="single"/>
        </w:rPr>
        <w:t>Background</w:t>
      </w:r>
    </w:p>
    <w:p w14:paraId="1D35658B" w14:textId="77777777" w:rsidR="00640563" w:rsidRDefault="00640563" w:rsidP="00640563">
      <w:pPr>
        <w:spacing w:line="240" w:lineRule="auto"/>
        <w:rPr>
          <w:rFonts w:ascii="Arial" w:hAnsi="Arial" w:cs="Arial"/>
          <w:sz w:val="24"/>
          <w:szCs w:val="24"/>
        </w:rPr>
      </w:pPr>
      <w:r w:rsidRPr="00985197">
        <w:rPr>
          <w:rFonts w:ascii="Arial" w:hAnsi="Arial" w:cs="Arial"/>
          <w:sz w:val="24"/>
          <w:szCs w:val="24"/>
        </w:rPr>
        <w:t xml:space="preserve">In March 2021, the Commission engaged Grosvenor Public Sector Advisory (Grosvenor) to identify the organisational capabilities required to operate as a contemporary leading practice regulator and develop recommendations for the Commission to optimise its performance and impact. </w:t>
      </w:r>
    </w:p>
    <w:p w14:paraId="2485481C" w14:textId="77777777" w:rsidR="00640563" w:rsidRPr="00985197" w:rsidRDefault="00640563" w:rsidP="00640563">
      <w:pPr>
        <w:spacing w:line="240" w:lineRule="auto"/>
        <w:rPr>
          <w:rFonts w:ascii="Arial" w:hAnsi="Arial" w:cs="Arial"/>
          <w:sz w:val="24"/>
          <w:szCs w:val="24"/>
        </w:rPr>
      </w:pPr>
      <w:r w:rsidRPr="00985197">
        <w:rPr>
          <w:rFonts w:ascii="Arial" w:hAnsi="Arial" w:cs="Arial"/>
          <w:sz w:val="24"/>
          <w:szCs w:val="24"/>
        </w:rPr>
        <w:t>This project involved the following key activities:</w:t>
      </w:r>
    </w:p>
    <w:p w14:paraId="282C2002" w14:textId="700DB158" w:rsidR="00640563" w:rsidRPr="00985197" w:rsidRDefault="00640563" w:rsidP="001750D5">
      <w:pPr>
        <w:pStyle w:val="ListParagraph"/>
        <w:numPr>
          <w:ilvl w:val="0"/>
          <w:numId w:val="80"/>
        </w:numPr>
        <w:spacing w:before="120" w:after="120" w:line="240" w:lineRule="auto"/>
        <w:ind w:left="357" w:hanging="357"/>
        <w:contextualSpacing w:val="0"/>
        <w:rPr>
          <w:rFonts w:ascii="Arial" w:hAnsi="Arial" w:cs="Arial"/>
          <w:sz w:val="24"/>
          <w:szCs w:val="24"/>
        </w:rPr>
      </w:pPr>
      <w:r w:rsidRPr="00985197">
        <w:rPr>
          <w:rFonts w:ascii="Arial" w:hAnsi="Arial" w:cs="Arial"/>
          <w:sz w:val="24"/>
          <w:szCs w:val="24"/>
        </w:rPr>
        <w:t>development of a Capability Architecture</w:t>
      </w:r>
      <w:r w:rsidR="00186865">
        <w:rPr>
          <w:rFonts w:ascii="Arial" w:hAnsi="Arial" w:cs="Arial"/>
          <w:sz w:val="24"/>
          <w:szCs w:val="24"/>
        </w:rPr>
        <w:t>, comprised of four groups and 37 capabilities,</w:t>
      </w:r>
      <w:r w:rsidRPr="00985197">
        <w:rPr>
          <w:rFonts w:ascii="Arial" w:hAnsi="Arial" w:cs="Arial"/>
          <w:sz w:val="24"/>
          <w:szCs w:val="24"/>
        </w:rPr>
        <w:t xml:space="preserve"> that identifies and articulates the current and future organisational capabilities that will be required by the Commission</w:t>
      </w:r>
      <w:r w:rsidR="00186865">
        <w:rPr>
          <w:rFonts w:ascii="Arial" w:hAnsi="Arial" w:cs="Arial"/>
          <w:sz w:val="24"/>
          <w:szCs w:val="24"/>
        </w:rPr>
        <w:t xml:space="preserve"> (see diagram </w:t>
      </w:r>
      <w:r w:rsidR="00055154">
        <w:rPr>
          <w:rFonts w:ascii="Arial" w:hAnsi="Arial" w:cs="Arial"/>
          <w:sz w:val="24"/>
          <w:szCs w:val="24"/>
        </w:rPr>
        <w:t>at the end of Appendix C</w:t>
      </w:r>
      <w:r w:rsidR="00186865">
        <w:rPr>
          <w:rFonts w:ascii="Arial" w:hAnsi="Arial" w:cs="Arial"/>
          <w:sz w:val="24"/>
          <w:szCs w:val="24"/>
        </w:rPr>
        <w:t>)</w:t>
      </w:r>
    </w:p>
    <w:p w14:paraId="3FD4AB4B" w14:textId="77777777" w:rsidR="00640563" w:rsidRPr="00985197" w:rsidRDefault="00640563" w:rsidP="001750D5">
      <w:pPr>
        <w:pStyle w:val="ListParagraph"/>
        <w:numPr>
          <w:ilvl w:val="0"/>
          <w:numId w:val="80"/>
        </w:numPr>
        <w:spacing w:before="120" w:after="120" w:line="240" w:lineRule="auto"/>
        <w:ind w:left="357" w:hanging="357"/>
        <w:contextualSpacing w:val="0"/>
        <w:rPr>
          <w:rFonts w:ascii="Arial" w:hAnsi="Arial" w:cs="Arial"/>
          <w:sz w:val="24"/>
          <w:szCs w:val="24"/>
        </w:rPr>
      </w:pPr>
      <w:r w:rsidRPr="00985197">
        <w:rPr>
          <w:rFonts w:ascii="Arial" w:hAnsi="Arial" w:cs="Arial"/>
          <w:sz w:val="24"/>
          <w:szCs w:val="24"/>
        </w:rPr>
        <w:t xml:space="preserve">independent assessment of the current and future maturity of capabilities within the </w:t>
      </w:r>
      <w:r>
        <w:rPr>
          <w:rFonts w:ascii="Arial" w:hAnsi="Arial" w:cs="Arial"/>
          <w:sz w:val="24"/>
          <w:szCs w:val="24"/>
        </w:rPr>
        <w:t>Commission</w:t>
      </w:r>
      <w:r w:rsidRPr="00985197">
        <w:rPr>
          <w:rFonts w:ascii="Arial" w:hAnsi="Arial" w:cs="Arial"/>
          <w:sz w:val="24"/>
          <w:szCs w:val="24"/>
        </w:rPr>
        <w:t xml:space="preserve"> and identify where there may be capability gaps</w:t>
      </w:r>
    </w:p>
    <w:p w14:paraId="5CBC296C" w14:textId="715070B0" w:rsidR="00640563" w:rsidRPr="00985197" w:rsidRDefault="00640563" w:rsidP="001750D5">
      <w:pPr>
        <w:pStyle w:val="ListParagraph"/>
        <w:numPr>
          <w:ilvl w:val="0"/>
          <w:numId w:val="80"/>
        </w:numPr>
        <w:spacing w:before="120" w:after="120" w:line="240" w:lineRule="auto"/>
        <w:ind w:left="357" w:hanging="357"/>
        <w:contextualSpacing w:val="0"/>
        <w:rPr>
          <w:rFonts w:ascii="Arial" w:hAnsi="Arial" w:cs="Arial"/>
          <w:sz w:val="24"/>
          <w:szCs w:val="24"/>
        </w:rPr>
      </w:pPr>
      <w:r w:rsidRPr="00985197">
        <w:rPr>
          <w:rFonts w:ascii="Arial" w:hAnsi="Arial" w:cs="Arial"/>
          <w:sz w:val="24"/>
          <w:szCs w:val="24"/>
        </w:rPr>
        <w:t>a benchmarking exercise to understand how other regulators have established and developed their organisational capability</w:t>
      </w:r>
      <w:r>
        <w:rPr>
          <w:rFonts w:ascii="Arial" w:hAnsi="Arial" w:cs="Arial"/>
          <w:sz w:val="24"/>
          <w:szCs w:val="24"/>
        </w:rPr>
        <w:t>, and</w:t>
      </w:r>
    </w:p>
    <w:p w14:paraId="398DF185" w14:textId="54C36C46" w:rsidR="00640563" w:rsidRDefault="00640563" w:rsidP="001750D5">
      <w:pPr>
        <w:pStyle w:val="ListParagraph"/>
        <w:numPr>
          <w:ilvl w:val="0"/>
          <w:numId w:val="80"/>
        </w:numPr>
        <w:spacing w:before="120" w:after="120" w:line="240" w:lineRule="auto"/>
        <w:ind w:left="357" w:hanging="357"/>
        <w:contextualSpacing w:val="0"/>
        <w:rPr>
          <w:rFonts w:ascii="Arial" w:hAnsi="Arial" w:cs="Arial"/>
          <w:sz w:val="24"/>
          <w:szCs w:val="24"/>
        </w:rPr>
      </w:pPr>
      <w:r w:rsidRPr="00985197">
        <w:rPr>
          <w:rFonts w:ascii="Arial" w:hAnsi="Arial" w:cs="Arial"/>
          <w:sz w:val="24"/>
          <w:szCs w:val="24"/>
        </w:rPr>
        <w:t xml:space="preserve">prioritisation of effort in uplifting </w:t>
      </w:r>
      <w:r>
        <w:rPr>
          <w:rFonts w:ascii="Arial" w:hAnsi="Arial" w:cs="Arial"/>
          <w:sz w:val="24"/>
          <w:szCs w:val="24"/>
        </w:rPr>
        <w:t xml:space="preserve">the Commission’s </w:t>
      </w:r>
      <w:r w:rsidRPr="00985197">
        <w:rPr>
          <w:rFonts w:ascii="Arial" w:hAnsi="Arial" w:cs="Arial"/>
          <w:sz w:val="24"/>
          <w:szCs w:val="24"/>
        </w:rPr>
        <w:t>capabilities to meet current and future requirements.</w:t>
      </w:r>
    </w:p>
    <w:p w14:paraId="681D91C5" w14:textId="35FFFC36" w:rsidR="006F2C7C" w:rsidRDefault="006F2C7C" w:rsidP="006F2C7C">
      <w:pPr>
        <w:spacing w:before="120" w:after="120" w:line="240" w:lineRule="auto"/>
        <w:rPr>
          <w:rFonts w:ascii="Arial" w:hAnsi="Arial" w:cs="Arial"/>
          <w:sz w:val="24"/>
          <w:szCs w:val="24"/>
        </w:rPr>
      </w:pPr>
      <w:r>
        <w:rPr>
          <w:rFonts w:ascii="Arial" w:hAnsi="Arial" w:cs="Arial"/>
          <w:sz w:val="24"/>
          <w:szCs w:val="24"/>
        </w:rPr>
        <w:t xml:space="preserve">Grosvenor delivered its final report, </w:t>
      </w:r>
      <w:r w:rsidRPr="006F2C7C">
        <w:rPr>
          <w:rFonts w:ascii="Arial" w:hAnsi="Arial" w:cs="Arial"/>
          <w:i/>
          <w:iCs/>
          <w:sz w:val="24"/>
          <w:szCs w:val="24"/>
        </w:rPr>
        <w:t>Optimising capability to meet current and future challenges</w:t>
      </w:r>
      <w:r>
        <w:rPr>
          <w:rFonts w:ascii="Arial" w:hAnsi="Arial" w:cs="Arial"/>
          <w:sz w:val="24"/>
          <w:szCs w:val="24"/>
        </w:rPr>
        <w:t xml:space="preserve">, </w:t>
      </w:r>
      <w:r w:rsidR="00186865">
        <w:rPr>
          <w:rFonts w:ascii="Arial" w:hAnsi="Arial" w:cs="Arial"/>
          <w:sz w:val="24"/>
          <w:szCs w:val="24"/>
        </w:rPr>
        <w:t xml:space="preserve">to the Commission </w:t>
      </w:r>
      <w:r>
        <w:rPr>
          <w:rFonts w:ascii="Arial" w:hAnsi="Arial" w:cs="Arial"/>
          <w:sz w:val="24"/>
          <w:szCs w:val="24"/>
        </w:rPr>
        <w:t xml:space="preserve">in December </w:t>
      </w:r>
      <w:r w:rsidR="00A81FD4">
        <w:rPr>
          <w:rFonts w:ascii="Arial" w:hAnsi="Arial" w:cs="Arial"/>
          <w:sz w:val="24"/>
          <w:szCs w:val="24"/>
        </w:rPr>
        <w:t>2021</w:t>
      </w:r>
      <w:r w:rsidR="00186865">
        <w:rPr>
          <w:rFonts w:ascii="Arial" w:hAnsi="Arial" w:cs="Arial"/>
          <w:sz w:val="24"/>
          <w:szCs w:val="24"/>
        </w:rPr>
        <w:t>.</w:t>
      </w:r>
    </w:p>
    <w:p w14:paraId="15775AA1" w14:textId="77777777" w:rsidR="00640563" w:rsidRDefault="00640563" w:rsidP="00640563">
      <w:pPr>
        <w:spacing w:before="120" w:after="120" w:line="240" w:lineRule="auto"/>
        <w:rPr>
          <w:rFonts w:ascii="Arial" w:hAnsi="Arial" w:cs="Arial"/>
          <w:sz w:val="24"/>
          <w:szCs w:val="24"/>
          <w:u w:val="single"/>
        </w:rPr>
      </w:pPr>
      <w:r w:rsidRPr="00F739C8">
        <w:rPr>
          <w:rFonts w:ascii="Arial" w:hAnsi="Arial" w:cs="Arial"/>
          <w:sz w:val="24"/>
          <w:szCs w:val="24"/>
          <w:u w:val="single"/>
        </w:rPr>
        <w:t>Key Findings and conclusions</w:t>
      </w:r>
    </w:p>
    <w:p w14:paraId="1EDC87C4" w14:textId="390BF7FC" w:rsidR="00640563" w:rsidRDefault="00640563" w:rsidP="001750D5">
      <w:pPr>
        <w:pStyle w:val="ListParagraph"/>
        <w:numPr>
          <w:ilvl w:val="0"/>
          <w:numId w:val="85"/>
        </w:numPr>
        <w:spacing w:before="120" w:after="120" w:line="240" w:lineRule="auto"/>
        <w:ind w:left="357" w:hanging="357"/>
        <w:contextualSpacing w:val="0"/>
        <w:rPr>
          <w:rFonts w:ascii="Arial" w:hAnsi="Arial" w:cs="Arial"/>
          <w:sz w:val="24"/>
          <w:szCs w:val="24"/>
        </w:rPr>
      </w:pPr>
      <w:r w:rsidRPr="00331C04">
        <w:rPr>
          <w:rFonts w:ascii="Arial" w:hAnsi="Arial" w:cs="Arial"/>
          <w:i/>
          <w:iCs/>
          <w:sz w:val="24"/>
          <w:szCs w:val="24"/>
        </w:rPr>
        <w:t>Finding 1</w:t>
      </w:r>
      <w:r w:rsidRPr="00331C04">
        <w:rPr>
          <w:rFonts w:ascii="Arial" w:hAnsi="Arial" w:cs="Arial"/>
          <w:sz w:val="24"/>
          <w:szCs w:val="24"/>
        </w:rPr>
        <w:t>: The maturity assessment showed uplift is required against all 37 identified capabilities. Gaps across capabilities varied, with the greatest gaps currently in the Strategic and Enterprise-wide capabilities. Regulatory and Engagement capabilities had less significant gaps, however capabilities in these groups are regarded as critical for world leading regulators with holistic, consumer/person-centric models of care, and can influence uplift based on interactions and dependencies with other capabilities.</w:t>
      </w:r>
    </w:p>
    <w:p w14:paraId="7CC4042E" w14:textId="7EE98980" w:rsidR="00640563" w:rsidRDefault="00640563" w:rsidP="001750D5">
      <w:pPr>
        <w:pStyle w:val="ListParagraph"/>
        <w:numPr>
          <w:ilvl w:val="0"/>
          <w:numId w:val="85"/>
        </w:numPr>
        <w:spacing w:before="240" w:after="120" w:line="240" w:lineRule="auto"/>
        <w:ind w:left="357" w:hanging="357"/>
        <w:contextualSpacing w:val="0"/>
        <w:rPr>
          <w:rFonts w:ascii="Arial" w:hAnsi="Arial" w:cs="Arial"/>
          <w:sz w:val="24"/>
          <w:szCs w:val="24"/>
        </w:rPr>
      </w:pPr>
      <w:r w:rsidRPr="00331C04">
        <w:rPr>
          <w:rFonts w:ascii="Arial" w:hAnsi="Arial" w:cs="Arial"/>
          <w:i/>
          <w:iCs/>
          <w:sz w:val="24"/>
          <w:szCs w:val="24"/>
        </w:rPr>
        <w:t>Finding 2</w:t>
      </w:r>
      <w:r w:rsidRPr="00331C04">
        <w:rPr>
          <w:rFonts w:ascii="Arial" w:hAnsi="Arial" w:cs="Arial"/>
          <w:sz w:val="24"/>
          <w:szCs w:val="24"/>
        </w:rPr>
        <w:t>: There is appetite across the Commission to uplift capabilities to achieve the desired maturity levels and the Commission is working to strategically prioritise the uplift, leveraging the interaction of capabilities to drive complementary uplift.</w:t>
      </w:r>
    </w:p>
    <w:p w14:paraId="7E6C98EA" w14:textId="77777777" w:rsidR="00A81FD4" w:rsidRPr="009A22EF" w:rsidRDefault="00A81FD4" w:rsidP="00A81FD4">
      <w:pPr>
        <w:pStyle w:val="ListParagraph"/>
        <w:numPr>
          <w:ilvl w:val="0"/>
          <w:numId w:val="87"/>
        </w:numPr>
        <w:spacing w:before="120" w:after="120" w:line="240" w:lineRule="auto"/>
        <w:ind w:left="714" w:hanging="357"/>
        <w:contextualSpacing w:val="0"/>
        <w:rPr>
          <w:rFonts w:ascii="Arial" w:hAnsi="Arial" w:cs="Arial"/>
          <w:sz w:val="24"/>
          <w:szCs w:val="24"/>
        </w:rPr>
      </w:pPr>
      <w:r w:rsidRPr="00A81FD4">
        <w:rPr>
          <w:rFonts w:ascii="Arial" w:hAnsi="Arial" w:cs="Arial"/>
          <w:sz w:val="24"/>
          <w:szCs w:val="24"/>
        </w:rPr>
        <w:t>Conclusion 1:</w:t>
      </w:r>
      <w:r w:rsidRPr="009A22EF">
        <w:rPr>
          <w:rFonts w:ascii="Arial" w:hAnsi="Arial" w:cs="Arial"/>
          <w:sz w:val="24"/>
          <w:szCs w:val="24"/>
        </w:rPr>
        <w:t xml:space="preserve"> Maturity uplift is required across all capabilities in the Commission’s Capability Architecture through future uplift initiatives.</w:t>
      </w:r>
    </w:p>
    <w:p w14:paraId="06E1564B" w14:textId="77777777" w:rsidR="00640563" w:rsidRPr="009A22EF" w:rsidRDefault="00640563" w:rsidP="001750D5">
      <w:pPr>
        <w:pStyle w:val="ListParagraph"/>
        <w:numPr>
          <w:ilvl w:val="0"/>
          <w:numId w:val="87"/>
        </w:numPr>
        <w:spacing w:before="120" w:after="120" w:line="240" w:lineRule="auto"/>
        <w:ind w:left="714" w:hanging="357"/>
        <w:contextualSpacing w:val="0"/>
        <w:rPr>
          <w:rFonts w:ascii="Arial" w:hAnsi="Arial" w:cs="Arial"/>
          <w:sz w:val="24"/>
          <w:szCs w:val="24"/>
        </w:rPr>
      </w:pPr>
      <w:r w:rsidRPr="009A22EF">
        <w:rPr>
          <w:rFonts w:ascii="Arial" w:hAnsi="Arial" w:cs="Arial"/>
          <w:i/>
          <w:iCs/>
          <w:sz w:val="24"/>
          <w:szCs w:val="24"/>
        </w:rPr>
        <w:t>Conclusion 2:</w:t>
      </w:r>
      <w:r w:rsidRPr="009A22EF">
        <w:rPr>
          <w:rFonts w:ascii="Arial" w:hAnsi="Arial" w:cs="Arial"/>
          <w:sz w:val="24"/>
          <w:szCs w:val="24"/>
        </w:rPr>
        <w:t xml:space="preserve"> Enterprise-wide capabilities provide a foundation for efficiency and quality, enabling the effective delivery of external facing capabilities such as those related to regulation.</w:t>
      </w:r>
    </w:p>
    <w:p w14:paraId="0DB83F36" w14:textId="10AE574D" w:rsidR="00640563" w:rsidRPr="00D543F5" w:rsidRDefault="00640563" w:rsidP="001750D5">
      <w:pPr>
        <w:pStyle w:val="ListParagraph"/>
        <w:numPr>
          <w:ilvl w:val="0"/>
          <w:numId w:val="88"/>
        </w:numPr>
        <w:spacing w:before="120" w:after="120" w:line="240" w:lineRule="auto"/>
        <w:ind w:left="357" w:hanging="357"/>
        <w:contextualSpacing w:val="0"/>
        <w:rPr>
          <w:rFonts w:ascii="Arial" w:hAnsi="Arial" w:cs="Arial"/>
          <w:sz w:val="24"/>
          <w:szCs w:val="24"/>
        </w:rPr>
      </w:pPr>
      <w:r w:rsidRPr="00D543F5">
        <w:rPr>
          <w:rFonts w:ascii="Arial" w:hAnsi="Arial" w:cs="Arial"/>
          <w:i/>
          <w:iCs/>
          <w:sz w:val="24"/>
          <w:szCs w:val="24"/>
        </w:rPr>
        <w:t>Finding 3</w:t>
      </w:r>
      <w:r w:rsidRPr="00D543F5">
        <w:rPr>
          <w:rFonts w:ascii="Arial" w:hAnsi="Arial" w:cs="Arial"/>
          <w:sz w:val="24"/>
          <w:szCs w:val="24"/>
        </w:rPr>
        <w:t xml:space="preserve">: While internal communication was acknowledged as being positive in feedback from Commission staff and the APS </w:t>
      </w:r>
      <w:r w:rsidR="00EF150C">
        <w:rPr>
          <w:rFonts w:ascii="Arial" w:hAnsi="Arial" w:cs="Arial"/>
          <w:sz w:val="24"/>
          <w:szCs w:val="24"/>
        </w:rPr>
        <w:t>Employee C</w:t>
      </w:r>
      <w:r w:rsidRPr="00D543F5">
        <w:rPr>
          <w:rFonts w:ascii="Arial" w:hAnsi="Arial" w:cs="Arial"/>
          <w:sz w:val="24"/>
          <w:szCs w:val="24"/>
        </w:rPr>
        <w:t xml:space="preserve">ensus results, the capability assessment based on the Commission’s National Leadership Group (NLG) insights indicated that there was a need for further uplift to both internal and external communications. Priorities associated with world leading practice include strategically planned external communications and media relations for </w:t>
      </w:r>
      <w:r w:rsidRPr="00D543F5">
        <w:rPr>
          <w:rFonts w:ascii="Arial" w:hAnsi="Arial" w:cs="Arial"/>
          <w:sz w:val="24"/>
          <w:szCs w:val="24"/>
        </w:rPr>
        <w:lastRenderedPageBreak/>
        <w:t>proactively managing relationships, building public confidence and trust, and enhancing the reputation and credibility of the regulator. Feedback from staff highlighted that the Commission has more work to do in this area.</w:t>
      </w:r>
    </w:p>
    <w:p w14:paraId="705DA46D" w14:textId="77777777" w:rsidR="00640563" w:rsidRDefault="00640563" w:rsidP="001750D5">
      <w:pPr>
        <w:pStyle w:val="ListParagraph"/>
        <w:numPr>
          <w:ilvl w:val="0"/>
          <w:numId w:val="87"/>
        </w:numPr>
        <w:spacing w:before="120" w:after="120" w:line="240" w:lineRule="auto"/>
        <w:ind w:left="714" w:hanging="357"/>
        <w:contextualSpacing w:val="0"/>
        <w:rPr>
          <w:rFonts w:ascii="Arial" w:hAnsi="Arial" w:cs="Arial"/>
          <w:sz w:val="24"/>
          <w:szCs w:val="24"/>
        </w:rPr>
      </w:pPr>
      <w:r w:rsidRPr="00AA5C04">
        <w:rPr>
          <w:rFonts w:ascii="Arial" w:hAnsi="Arial" w:cs="Arial"/>
          <w:i/>
          <w:iCs/>
          <w:sz w:val="24"/>
          <w:szCs w:val="24"/>
        </w:rPr>
        <w:t>Conclusion 3:</w:t>
      </w:r>
      <w:r w:rsidRPr="00AA5C04">
        <w:rPr>
          <w:rFonts w:ascii="Arial" w:hAnsi="Arial" w:cs="Arial"/>
          <w:sz w:val="24"/>
          <w:szCs w:val="24"/>
        </w:rPr>
        <w:t xml:space="preserve"> Internal communications will continue to be important for embedding the capabilities, achieving the Commission’s </w:t>
      </w:r>
      <w:proofErr w:type="gramStart"/>
      <w:r w:rsidRPr="00AA5C04">
        <w:rPr>
          <w:rFonts w:ascii="Arial" w:hAnsi="Arial" w:cs="Arial"/>
          <w:sz w:val="24"/>
          <w:szCs w:val="24"/>
        </w:rPr>
        <w:t>aspirations</w:t>
      </w:r>
      <w:proofErr w:type="gramEnd"/>
      <w:r w:rsidRPr="00AA5C04">
        <w:rPr>
          <w:rFonts w:ascii="Arial" w:hAnsi="Arial" w:cs="Arial"/>
          <w:sz w:val="24"/>
          <w:szCs w:val="24"/>
        </w:rPr>
        <w:t xml:space="preserve"> and supporting the reform.</w:t>
      </w:r>
    </w:p>
    <w:p w14:paraId="5379D113" w14:textId="77777777" w:rsidR="00640563" w:rsidRDefault="00640563" w:rsidP="001750D5">
      <w:pPr>
        <w:pStyle w:val="ListParagraph"/>
        <w:numPr>
          <w:ilvl w:val="0"/>
          <w:numId w:val="87"/>
        </w:numPr>
        <w:spacing w:before="120" w:after="120" w:line="240" w:lineRule="auto"/>
        <w:ind w:left="714" w:hanging="357"/>
        <w:contextualSpacing w:val="0"/>
        <w:rPr>
          <w:rFonts w:ascii="Arial" w:hAnsi="Arial" w:cs="Arial"/>
          <w:sz w:val="24"/>
          <w:szCs w:val="24"/>
        </w:rPr>
      </w:pPr>
      <w:r w:rsidRPr="00AA5C04">
        <w:rPr>
          <w:rFonts w:ascii="Arial" w:hAnsi="Arial" w:cs="Arial"/>
          <w:i/>
          <w:iCs/>
          <w:sz w:val="24"/>
          <w:szCs w:val="24"/>
        </w:rPr>
        <w:t>Conclusion 4</w:t>
      </w:r>
      <w:r w:rsidRPr="00AA5C04">
        <w:rPr>
          <w:rFonts w:ascii="Arial" w:hAnsi="Arial" w:cs="Arial"/>
          <w:sz w:val="24"/>
          <w:szCs w:val="24"/>
        </w:rPr>
        <w:t>: Engagement with the sector and the public is essential to define, clarify and promote the role of the Commission. Proactive and strategic management of matters with the potential to arouse media interest will help build public trust and enhance the Commission’s reputation as a regulator.</w:t>
      </w:r>
    </w:p>
    <w:p w14:paraId="035699E7" w14:textId="77777777" w:rsidR="00640563" w:rsidRDefault="00640563" w:rsidP="001750D5">
      <w:pPr>
        <w:pStyle w:val="ListParagraph"/>
        <w:numPr>
          <w:ilvl w:val="0"/>
          <w:numId w:val="88"/>
        </w:numPr>
        <w:spacing w:before="120" w:after="120" w:line="240" w:lineRule="auto"/>
        <w:ind w:left="357" w:hanging="357"/>
        <w:contextualSpacing w:val="0"/>
        <w:rPr>
          <w:rFonts w:ascii="Arial" w:hAnsi="Arial" w:cs="Arial"/>
          <w:sz w:val="24"/>
          <w:szCs w:val="24"/>
        </w:rPr>
      </w:pPr>
      <w:r w:rsidRPr="001B2801">
        <w:rPr>
          <w:rFonts w:ascii="Arial" w:hAnsi="Arial" w:cs="Arial"/>
          <w:i/>
          <w:iCs/>
          <w:sz w:val="24"/>
          <w:szCs w:val="24"/>
        </w:rPr>
        <w:t>Finding 4</w:t>
      </w:r>
      <w:r w:rsidRPr="001B2801">
        <w:rPr>
          <w:rFonts w:ascii="Arial" w:hAnsi="Arial" w:cs="Arial"/>
          <w:sz w:val="24"/>
          <w:szCs w:val="24"/>
        </w:rPr>
        <w:t>: Uplift of organisational transformation and change management capabilities will be essential in the implementation of the Capability Architecture and to support future whole of Commission reforms.</w:t>
      </w:r>
    </w:p>
    <w:p w14:paraId="2C5AD7C9" w14:textId="604CE9BC" w:rsidR="00640563" w:rsidRDefault="00640563" w:rsidP="001750D5">
      <w:pPr>
        <w:pStyle w:val="ListParagraph"/>
        <w:numPr>
          <w:ilvl w:val="1"/>
          <w:numId w:val="88"/>
        </w:numPr>
        <w:spacing w:before="120" w:after="120" w:line="240" w:lineRule="auto"/>
        <w:ind w:left="714" w:hanging="357"/>
        <w:contextualSpacing w:val="0"/>
        <w:rPr>
          <w:rFonts w:ascii="Arial" w:hAnsi="Arial" w:cs="Arial"/>
          <w:sz w:val="24"/>
          <w:szCs w:val="24"/>
        </w:rPr>
      </w:pPr>
      <w:r w:rsidRPr="004935E5">
        <w:rPr>
          <w:rFonts w:ascii="Arial" w:hAnsi="Arial" w:cs="Arial"/>
          <w:i/>
          <w:iCs/>
          <w:sz w:val="24"/>
          <w:szCs w:val="24"/>
        </w:rPr>
        <w:t>Conclusion 5</w:t>
      </w:r>
      <w:r w:rsidRPr="004935E5">
        <w:rPr>
          <w:rFonts w:ascii="Arial" w:hAnsi="Arial" w:cs="Arial"/>
          <w:sz w:val="24"/>
          <w:szCs w:val="24"/>
        </w:rPr>
        <w:t>: Transformation and Change Management capabilities are integral to how the capability uplift will be achieved and therefore, require heightened focus by the Commission. The Commission’s recently established Transform Reform Program Office will be integral to development of these capabilities</w:t>
      </w:r>
      <w:r>
        <w:rPr>
          <w:rFonts w:ascii="Arial" w:hAnsi="Arial" w:cs="Arial"/>
          <w:sz w:val="24"/>
          <w:szCs w:val="24"/>
        </w:rPr>
        <w:t xml:space="preserve">. </w:t>
      </w:r>
    </w:p>
    <w:p w14:paraId="3414FB95" w14:textId="77777777" w:rsidR="00640563" w:rsidRDefault="00640563" w:rsidP="001750D5">
      <w:pPr>
        <w:pStyle w:val="ListParagraph"/>
        <w:numPr>
          <w:ilvl w:val="0"/>
          <w:numId w:val="89"/>
        </w:numPr>
        <w:spacing w:before="120" w:after="120" w:line="240" w:lineRule="auto"/>
        <w:ind w:left="357" w:hanging="357"/>
        <w:contextualSpacing w:val="0"/>
        <w:rPr>
          <w:rFonts w:ascii="Arial" w:hAnsi="Arial" w:cs="Arial"/>
          <w:sz w:val="24"/>
          <w:szCs w:val="24"/>
        </w:rPr>
      </w:pPr>
      <w:r w:rsidRPr="004935E5">
        <w:rPr>
          <w:rFonts w:ascii="Arial" w:hAnsi="Arial" w:cs="Arial"/>
          <w:i/>
          <w:iCs/>
          <w:sz w:val="24"/>
          <w:szCs w:val="24"/>
        </w:rPr>
        <w:t>Finding 5</w:t>
      </w:r>
      <w:r w:rsidRPr="004935E5">
        <w:rPr>
          <w:rFonts w:ascii="Arial" w:hAnsi="Arial" w:cs="Arial"/>
          <w:sz w:val="24"/>
          <w:szCs w:val="24"/>
        </w:rPr>
        <w:t>: There is a discernible shift in both Australian and international regulatory practice away from enforcement to the notion of ‘constructive enforcement’</w:t>
      </w:r>
      <w:r>
        <w:rPr>
          <w:rStyle w:val="FootnoteReference"/>
          <w:rFonts w:ascii="Arial" w:hAnsi="Arial" w:cs="Arial"/>
          <w:sz w:val="24"/>
          <w:szCs w:val="24"/>
        </w:rPr>
        <w:footnoteReference w:id="115"/>
      </w:r>
      <w:r w:rsidRPr="004935E5">
        <w:rPr>
          <w:rFonts w:ascii="Arial" w:hAnsi="Arial" w:cs="Arial"/>
          <w:sz w:val="24"/>
          <w:szCs w:val="24"/>
        </w:rPr>
        <w:t>.</w:t>
      </w:r>
    </w:p>
    <w:p w14:paraId="56108C08" w14:textId="77777777" w:rsidR="00640563" w:rsidRDefault="00640563" w:rsidP="001750D5">
      <w:pPr>
        <w:pStyle w:val="ListParagraph"/>
        <w:numPr>
          <w:ilvl w:val="0"/>
          <w:numId w:val="89"/>
        </w:numPr>
        <w:spacing w:before="120" w:after="120" w:line="240" w:lineRule="auto"/>
        <w:ind w:left="357" w:hanging="357"/>
        <w:contextualSpacing w:val="0"/>
        <w:rPr>
          <w:rFonts w:ascii="Arial" w:hAnsi="Arial" w:cs="Arial"/>
          <w:sz w:val="24"/>
          <w:szCs w:val="24"/>
        </w:rPr>
      </w:pPr>
      <w:r w:rsidRPr="004935E5">
        <w:rPr>
          <w:rFonts w:ascii="Arial" w:hAnsi="Arial" w:cs="Arial"/>
          <w:i/>
          <w:iCs/>
          <w:sz w:val="24"/>
          <w:szCs w:val="24"/>
        </w:rPr>
        <w:t>Finding 6</w:t>
      </w:r>
      <w:r w:rsidRPr="004935E5">
        <w:rPr>
          <w:rFonts w:ascii="Arial" w:hAnsi="Arial" w:cs="Arial"/>
          <w:sz w:val="24"/>
          <w:szCs w:val="24"/>
        </w:rPr>
        <w:t>: Whilst seeking a more collaborative relationship with stakeholders, world leading regulators are always prepared to use the full extent of their regulatory powers to elicit compliance with care quality and safety standards.</w:t>
      </w:r>
    </w:p>
    <w:p w14:paraId="0E2A3F3E" w14:textId="77777777" w:rsidR="00A81FD4" w:rsidRPr="005773BF" w:rsidRDefault="00A81FD4" w:rsidP="00A81FD4">
      <w:pPr>
        <w:pStyle w:val="ListParagraph"/>
        <w:numPr>
          <w:ilvl w:val="1"/>
          <w:numId w:val="88"/>
        </w:numPr>
        <w:spacing w:before="120" w:after="120" w:line="240" w:lineRule="auto"/>
        <w:ind w:left="714" w:hanging="357"/>
        <w:contextualSpacing w:val="0"/>
        <w:rPr>
          <w:rFonts w:ascii="Arial" w:hAnsi="Arial" w:cs="Arial"/>
          <w:sz w:val="24"/>
          <w:szCs w:val="24"/>
        </w:rPr>
      </w:pPr>
      <w:r w:rsidRPr="005773BF">
        <w:rPr>
          <w:rFonts w:ascii="Arial" w:hAnsi="Arial" w:cs="Arial"/>
          <w:sz w:val="24"/>
          <w:szCs w:val="24"/>
        </w:rPr>
        <w:t>Conclusion 6: A transition to ‘constructive enforcement’ to align with world-leading regulatory practice requires staff with ‘soft’</w:t>
      </w:r>
      <w:r w:rsidRPr="006B5CD4">
        <w:rPr>
          <w:rStyle w:val="FootnoteReference"/>
          <w:rFonts w:ascii="Arial" w:hAnsi="Arial" w:cs="Arial"/>
          <w:sz w:val="24"/>
          <w:szCs w:val="24"/>
        </w:rPr>
        <w:footnoteReference w:id="116"/>
      </w:r>
      <w:r>
        <w:rPr>
          <w:rFonts w:ascii="Arial" w:hAnsi="Arial" w:cs="Arial"/>
          <w:sz w:val="24"/>
          <w:szCs w:val="24"/>
        </w:rPr>
        <w:t xml:space="preserve"> </w:t>
      </w:r>
      <w:r w:rsidRPr="005773BF">
        <w:rPr>
          <w:rFonts w:ascii="Arial" w:hAnsi="Arial" w:cs="Arial"/>
          <w:sz w:val="24"/>
          <w:szCs w:val="24"/>
        </w:rPr>
        <w:t>skills to work with stakeholders to optimise outcomes, whilst maintaining the authority to enforce quality standards.</w:t>
      </w:r>
    </w:p>
    <w:p w14:paraId="53D8FD33" w14:textId="77777777" w:rsidR="00640563" w:rsidRPr="00763091" w:rsidRDefault="00640563" w:rsidP="001750D5">
      <w:pPr>
        <w:pStyle w:val="ListParagraph"/>
        <w:numPr>
          <w:ilvl w:val="0"/>
          <w:numId w:val="93"/>
        </w:numPr>
        <w:spacing w:before="120" w:after="120" w:line="240" w:lineRule="auto"/>
        <w:ind w:left="357" w:hanging="357"/>
        <w:contextualSpacing w:val="0"/>
        <w:rPr>
          <w:rFonts w:ascii="Arial" w:hAnsi="Arial" w:cs="Arial"/>
          <w:sz w:val="24"/>
          <w:szCs w:val="24"/>
        </w:rPr>
      </w:pPr>
      <w:r w:rsidRPr="00763091">
        <w:rPr>
          <w:rFonts w:ascii="Arial" w:hAnsi="Arial" w:cs="Arial"/>
          <w:i/>
          <w:iCs/>
          <w:sz w:val="24"/>
          <w:szCs w:val="24"/>
        </w:rPr>
        <w:t>Finding 7</w:t>
      </w:r>
      <w:r w:rsidRPr="00763091">
        <w:rPr>
          <w:rFonts w:ascii="Arial" w:hAnsi="Arial" w:cs="Arial"/>
          <w:sz w:val="24"/>
          <w:szCs w:val="24"/>
        </w:rPr>
        <w:t>: The benchmarking exercise revealed that many regulators are not necessarily aware of their organisational capabilities, instead focussing on manifesting change and cultural renewal through a People Capability Framework.</w:t>
      </w:r>
    </w:p>
    <w:p w14:paraId="467675C1" w14:textId="77777777" w:rsidR="00640563" w:rsidRPr="00763091" w:rsidRDefault="00640563" w:rsidP="001750D5">
      <w:pPr>
        <w:pStyle w:val="ListParagraph"/>
        <w:numPr>
          <w:ilvl w:val="0"/>
          <w:numId w:val="90"/>
        </w:numPr>
        <w:spacing w:before="120" w:after="120" w:line="240" w:lineRule="auto"/>
        <w:ind w:left="714" w:hanging="357"/>
        <w:contextualSpacing w:val="0"/>
        <w:rPr>
          <w:rFonts w:ascii="Arial" w:hAnsi="Arial" w:cs="Arial"/>
          <w:sz w:val="24"/>
          <w:szCs w:val="24"/>
        </w:rPr>
      </w:pPr>
      <w:r w:rsidRPr="00763091">
        <w:rPr>
          <w:rFonts w:ascii="Arial" w:hAnsi="Arial" w:cs="Arial"/>
          <w:i/>
          <w:iCs/>
          <w:sz w:val="24"/>
          <w:szCs w:val="24"/>
        </w:rPr>
        <w:t>Conclusion 7:</w:t>
      </w:r>
      <w:r w:rsidRPr="00763091">
        <w:rPr>
          <w:rFonts w:ascii="Arial" w:hAnsi="Arial" w:cs="Arial"/>
          <w:sz w:val="24"/>
          <w:szCs w:val="24"/>
        </w:rPr>
        <w:t xml:space="preserve"> People capability is a significant contributor to organisational capability and People Capability Frameworks can provide a link between the skills and contribution of individuals to organisational capability and achievement of organisational objectives. When both frameworks are developed and implemented, an organisation is at the forefront of world leading regulatory practice and human resource management.</w:t>
      </w:r>
    </w:p>
    <w:p w14:paraId="499039FD" w14:textId="77777777" w:rsidR="00640563" w:rsidRPr="00763091" w:rsidRDefault="00640563" w:rsidP="001750D5">
      <w:pPr>
        <w:pStyle w:val="ListParagraph"/>
        <w:numPr>
          <w:ilvl w:val="0"/>
          <w:numId w:val="91"/>
        </w:numPr>
        <w:spacing w:before="120" w:after="120" w:line="240" w:lineRule="auto"/>
        <w:ind w:left="357" w:hanging="357"/>
        <w:contextualSpacing w:val="0"/>
        <w:rPr>
          <w:rFonts w:ascii="Arial" w:hAnsi="Arial" w:cs="Arial"/>
          <w:sz w:val="24"/>
          <w:szCs w:val="24"/>
        </w:rPr>
      </w:pPr>
      <w:r w:rsidRPr="00763091">
        <w:rPr>
          <w:rFonts w:ascii="Arial" w:hAnsi="Arial" w:cs="Arial"/>
          <w:i/>
          <w:iCs/>
          <w:sz w:val="24"/>
          <w:szCs w:val="24"/>
        </w:rPr>
        <w:lastRenderedPageBreak/>
        <w:t>Finding 8:</w:t>
      </w:r>
      <w:r w:rsidRPr="00763091">
        <w:rPr>
          <w:rFonts w:ascii="Arial" w:hAnsi="Arial" w:cs="Arial"/>
          <w:sz w:val="24"/>
          <w:szCs w:val="24"/>
        </w:rPr>
        <w:t xml:space="preserve"> Along with the implementation of recommendations from the Royal Commission, the ecosystem remains dynamic with proposed changes to the regulation of care for older Australians, veterans and people living with disabilities which may see greater alignment of regulatory approach and oversight.</w:t>
      </w:r>
    </w:p>
    <w:p w14:paraId="3D0D86B0" w14:textId="77777777" w:rsidR="00640563" w:rsidRPr="00763091" w:rsidRDefault="00640563" w:rsidP="001750D5">
      <w:pPr>
        <w:pStyle w:val="ListParagraph"/>
        <w:numPr>
          <w:ilvl w:val="0"/>
          <w:numId w:val="92"/>
        </w:numPr>
        <w:spacing w:before="240" w:after="120" w:line="240" w:lineRule="auto"/>
        <w:rPr>
          <w:rFonts w:ascii="Arial" w:hAnsi="Arial" w:cs="Arial"/>
          <w:sz w:val="24"/>
          <w:szCs w:val="24"/>
        </w:rPr>
      </w:pPr>
      <w:r w:rsidRPr="00763091">
        <w:rPr>
          <w:rFonts w:ascii="Arial" w:hAnsi="Arial" w:cs="Arial"/>
          <w:i/>
          <w:iCs/>
          <w:sz w:val="24"/>
          <w:szCs w:val="24"/>
        </w:rPr>
        <w:t>Conclusion 8</w:t>
      </w:r>
      <w:r w:rsidRPr="00763091">
        <w:rPr>
          <w:rFonts w:ascii="Arial" w:hAnsi="Arial" w:cs="Arial"/>
          <w:sz w:val="24"/>
          <w:szCs w:val="24"/>
        </w:rPr>
        <w:t>: The Commission has an opportunity to build its profile as a world leading regulator and lead the way in best practice, including how to balance regulation with engagement to drive desired outcomes in the sector to lead reform with confidence. Strategic external communications will help to enhance the Commission’s ability to influence policy and decision-makers.</w:t>
      </w:r>
    </w:p>
    <w:p w14:paraId="4AF4D75E" w14:textId="77777777" w:rsidR="00640563" w:rsidRDefault="00640563" w:rsidP="00640563">
      <w:pPr>
        <w:spacing w:before="120" w:after="120" w:line="240" w:lineRule="auto"/>
        <w:rPr>
          <w:rFonts w:ascii="Arial" w:hAnsi="Arial" w:cs="Arial"/>
          <w:sz w:val="24"/>
          <w:szCs w:val="24"/>
          <w:u w:val="single"/>
        </w:rPr>
      </w:pPr>
      <w:r>
        <w:rPr>
          <w:rFonts w:ascii="Arial" w:hAnsi="Arial" w:cs="Arial"/>
          <w:sz w:val="24"/>
          <w:szCs w:val="24"/>
          <w:u w:val="single"/>
        </w:rPr>
        <w:t>Recommendations</w:t>
      </w:r>
    </w:p>
    <w:p w14:paraId="2DF70B4A" w14:textId="77777777" w:rsidR="00640563" w:rsidRPr="006C6C86" w:rsidRDefault="00640563" w:rsidP="00640563">
      <w:pPr>
        <w:spacing w:before="120" w:after="120" w:line="240" w:lineRule="auto"/>
        <w:rPr>
          <w:rFonts w:ascii="Arial" w:hAnsi="Arial" w:cs="Arial"/>
          <w:i/>
          <w:iCs/>
          <w:sz w:val="24"/>
          <w:szCs w:val="24"/>
        </w:rPr>
      </w:pPr>
      <w:r w:rsidRPr="006C6C86">
        <w:rPr>
          <w:rFonts w:ascii="Arial" w:hAnsi="Arial" w:cs="Arial"/>
          <w:i/>
          <w:iCs/>
          <w:sz w:val="24"/>
          <w:szCs w:val="24"/>
        </w:rPr>
        <w:t>Capability architecture recommendations</w:t>
      </w:r>
    </w:p>
    <w:p w14:paraId="7978DD10" w14:textId="77777777" w:rsidR="00640563" w:rsidRPr="006C6C86" w:rsidRDefault="00640563" w:rsidP="001750D5">
      <w:pPr>
        <w:pStyle w:val="ListParagraph"/>
        <w:numPr>
          <w:ilvl w:val="0"/>
          <w:numId w:val="81"/>
        </w:numPr>
        <w:spacing w:before="120" w:after="120" w:line="240" w:lineRule="auto"/>
        <w:ind w:left="357" w:hanging="357"/>
        <w:contextualSpacing w:val="0"/>
        <w:rPr>
          <w:rFonts w:ascii="Arial" w:hAnsi="Arial" w:cs="Arial"/>
          <w:sz w:val="24"/>
          <w:szCs w:val="24"/>
        </w:rPr>
      </w:pPr>
      <w:r w:rsidRPr="006C6C86">
        <w:rPr>
          <w:rFonts w:ascii="Arial" w:hAnsi="Arial" w:cs="Arial"/>
          <w:sz w:val="24"/>
          <w:szCs w:val="24"/>
        </w:rPr>
        <w:t>Implement the Capability Architecture into the Commission through the following activities:</w:t>
      </w:r>
    </w:p>
    <w:p w14:paraId="2CC59E15" w14:textId="77777777" w:rsidR="00640563" w:rsidRPr="006C6C86" w:rsidRDefault="00640563" w:rsidP="001750D5">
      <w:pPr>
        <w:pStyle w:val="ListParagraph"/>
        <w:numPr>
          <w:ilvl w:val="1"/>
          <w:numId w:val="82"/>
        </w:numPr>
        <w:spacing w:before="120" w:after="120" w:line="240" w:lineRule="auto"/>
        <w:ind w:left="714" w:hanging="357"/>
        <w:contextualSpacing w:val="0"/>
        <w:rPr>
          <w:rFonts w:ascii="Arial" w:hAnsi="Arial" w:cs="Arial"/>
          <w:sz w:val="24"/>
          <w:szCs w:val="24"/>
        </w:rPr>
      </w:pPr>
      <w:r w:rsidRPr="006C6C86">
        <w:rPr>
          <w:rFonts w:ascii="Arial" w:hAnsi="Arial" w:cs="Arial"/>
          <w:sz w:val="24"/>
          <w:szCs w:val="24"/>
        </w:rPr>
        <w:t>Agree on the purpose and use of the Capability Architecture throughout the Commission’s operations</w:t>
      </w:r>
    </w:p>
    <w:p w14:paraId="344E5B6E" w14:textId="77777777" w:rsidR="00640563" w:rsidRPr="006C6C86" w:rsidRDefault="00640563" w:rsidP="001750D5">
      <w:pPr>
        <w:pStyle w:val="ListParagraph"/>
        <w:numPr>
          <w:ilvl w:val="1"/>
          <w:numId w:val="82"/>
        </w:numPr>
        <w:spacing w:before="120" w:after="120" w:line="240" w:lineRule="auto"/>
        <w:ind w:left="714" w:hanging="357"/>
        <w:contextualSpacing w:val="0"/>
        <w:rPr>
          <w:rFonts w:ascii="Arial" w:hAnsi="Arial" w:cs="Arial"/>
          <w:sz w:val="24"/>
          <w:szCs w:val="24"/>
        </w:rPr>
      </w:pPr>
      <w:r w:rsidRPr="006C6C86">
        <w:rPr>
          <w:rFonts w:ascii="Arial" w:hAnsi="Arial" w:cs="Arial"/>
          <w:sz w:val="24"/>
          <w:szCs w:val="24"/>
        </w:rPr>
        <w:t>Assign responsibility to the Reform and Transformation Project Office (RTPO) for embedding the Capability Architecture into the Commission and driving capability uplift</w:t>
      </w:r>
    </w:p>
    <w:p w14:paraId="3D164F99" w14:textId="77777777" w:rsidR="00640563" w:rsidRPr="006C6C86" w:rsidRDefault="00640563" w:rsidP="001750D5">
      <w:pPr>
        <w:pStyle w:val="ListParagraph"/>
        <w:numPr>
          <w:ilvl w:val="0"/>
          <w:numId w:val="83"/>
        </w:numPr>
        <w:spacing w:before="120" w:after="120" w:line="240" w:lineRule="auto"/>
        <w:ind w:left="714" w:hanging="357"/>
        <w:contextualSpacing w:val="0"/>
        <w:rPr>
          <w:rFonts w:ascii="Arial" w:hAnsi="Arial" w:cs="Arial"/>
          <w:sz w:val="24"/>
          <w:szCs w:val="24"/>
        </w:rPr>
      </w:pPr>
      <w:r w:rsidRPr="006C6C86">
        <w:rPr>
          <w:rFonts w:ascii="Arial" w:hAnsi="Arial" w:cs="Arial"/>
          <w:sz w:val="24"/>
          <w:szCs w:val="24"/>
        </w:rPr>
        <w:t>Determine the approach and sequence of actions to capability uplift through the development of a capability uplift Action Plan</w:t>
      </w:r>
    </w:p>
    <w:p w14:paraId="1BF862BF" w14:textId="77777777" w:rsidR="00640563" w:rsidRPr="006C6C86" w:rsidRDefault="00640563" w:rsidP="001750D5">
      <w:pPr>
        <w:pStyle w:val="ListParagraph"/>
        <w:numPr>
          <w:ilvl w:val="0"/>
          <w:numId w:val="83"/>
        </w:numPr>
        <w:spacing w:before="120" w:after="120" w:line="240" w:lineRule="auto"/>
        <w:ind w:left="714" w:hanging="357"/>
        <w:contextualSpacing w:val="0"/>
        <w:rPr>
          <w:rFonts w:ascii="Arial" w:hAnsi="Arial" w:cs="Arial"/>
          <w:sz w:val="24"/>
          <w:szCs w:val="24"/>
        </w:rPr>
      </w:pPr>
      <w:r w:rsidRPr="006C6C86">
        <w:rPr>
          <w:rFonts w:ascii="Arial" w:hAnsi="Arial" w:cs="Arial"/>
          <w:sz w:val="24"/>
          <w:szCs w:val="24"/>
        </w:rPr>
        <w:t>Embed the Capability Architecture through effective change management</w:t>
      </w:r>
    </w:p>
    <w:p w14:paraId="22F0FBC6" w14:textId="77777777" w:rsidR="00640563" w:rsidRPr="006C6C86" w:rsidRDefault="00640563" w:rsidP="001750D5">
      <w:pPr>
        <w:pStyle w:val="ListParagraph"/>
        <w:numPr>
          <w:ilvl w:val="0"/>
          <w:numId w:val="83"/>
        </w:numPr>
        <w:spacing w:before="120" w:after="120" w:line="240" w:lineRule="auto"/>
        <w:ind w:left="714" w:hanging="357"/>
        <w:contextualSpacing w:val="0"/>
        <w:rPr>
          <w:rFonts w:ascii="Arial" w:hAnsi="Arial" w:cs="Arial"/>
          <w:sz w:val="24"/>
          <w:szCs w:val="24"/>
        </w:rPr>
      </w:pPr>
      <w:r w:rsidRPr="006C6C86">
        <w:rPr>
          <w:rFonts w:ascii="Arial" w:hAnsi="Arial" w:cs="Arial"/>
          <w:sz w:val="24"/>
          <w:szCs w:val="24"/>
        </w:rPr>
        <w:t>Apply Grosvenor’s approach to capability uplift to support the development of capability maturity</w:t>
      </w:r>
      <w:r>
        <w:rPr>
          <w:rFonts w:ascii="Arial" w:hAnsi="Arial" w:cs="Arial"/>
          <w:sz w:val="24"/>
          <w:szCs w:val="24"/>
        </w:rPr>
        <w:t>, and</w:t>
      </w:r>
    </w:p>
    <w:p w14:paraId="11F7B239" w14:textId="77777777" w:rsidR="00640563" w:rsidRPr="006C6C86" w:rsidRDefault="00640563" w:rsidP="001750D5">
      <w:pPr>
        <w:pStyle w:val="ListParagraph"/>
        <w:numPr>
          <w:ilvl w:val="0"/>
          <w:numId w:val="83"/>
        </w:numPr>
        <w:spacing w:before="120" w:after="120" w:line="240" w:lineRule="auto"/>
        <w:ind w:left="714" w:hanging="357"/>
        <w:contextualSpacing w:val="0"/>
        <w:rPr>
          <w:rFonts w:ascii="Arial" w:hAnsi="Arial" w:cs="Arial"/>
          <w:sz w:val="24"/>
          <w:szCs w:val="24"/>
        </w:rPr>
      </w:pPr>
      <w:r w:rsidRPr="006C6C86">
        <w:rPr>
          <w:rFonts w:ascii="Arial" w:hAnsi="Arial" w:cs="Arial"/>
          <w:sz w:val="24"/>
          <w:szCs w:val="24"/>
        </w:rPr>
        <w:t>Maintain the Capability Architecture to ensure it remains relevant and conduct 12-monthly reviews of capability maturity</w:t>
      </w:r>
      <w:r>
        <w:rPr>
          <w:rFonts w:ascii="Arial" w:hAnsi="Arial" w:cs="Arial"/>
          <w:sz w:val="24"/>
          <w:szCs w:val="24"/>
        </w:rPr>
        <w:t>.</w:t>
      </w:r>
    </w:p>
    <w:p w14:paraId="667CFFA2" w14:textId="77777777" w:rsidR="00640563" w:rsidRPr="006C6C86" w:rsidRDefault="00640563" w:rsidP="00640563">
      <w:pPr>
        <w:spacing w:before="120" w:after="120" w:line="240" w:lineRule="auto"/>
        <w:rPr>
          <w:rFonts w:ascii="Arial" w:hAnsi="Arial" w:cs="Arial"/>
          <w:i/>
          <w:iCs/>
          <w:sz w:val="24"/>
          <w:szCs w:val="24"/>
        </w:rPr>
      </w:pPr>
      <w:r w:rsidRPr="006C6C86">
        <w:rPr>
          <w:rFonts w:ascii="Arial" w:hAnsi="Arial" w:cs="Arial"/>
          <w:i/>
          <w:iCs/>
          <w:sz w:val="24"/>
          <w:szCs w:val="24"/>
        </w:rPr>
        <w:t>Enabling recommendations</w:t>
      </w:r>
    </w:p>
    <w:p w14:paraId="6467DC44" w14:textId="77777777" w:rsidR="00640563" w:rsidRPr="00B73AB6" w:rsidRDefault="00640563" w:rsidP="001750D5">
      <w:pPr>
        <w:pStyle w:val="ListParagraph"/>
        <w:numPr>
          <w:ilvl w:val="0"/>
          <w:numId w:val="84"/>
        </w:numPr>
        <w:spacing w:before="120" w:after="120" w:line="240" w:lineRule="auto"/>
        <w:ind w:left="357" w:hanging="357"/>
        <w:contextualSpacing w:val="0"/>
        <w:rPr>
          <w:rFonts w:ascii="Arial" w:hAnsi="Arial" w:cs="Arial"/>
          <w:sz w:val="24"/>
          <w:szCs w:val="24"/>
        </w:rPr>
      </w:pPr>
      <w:r w:rsidRPr="00B73AB6">
        <w:rPr>
          <w:rFonts w:ascii="Arial" w:hAnsi="Arial" w:cs="Arial"/>
          <w:sz w:val="24"/>
          <w:szCs w:val="24"/>
        </w:rPr>
        <w:t xml:space="preserve">Develop a Workforce Capability Framework and an appropriate Workforce Plan. </w:t>
      </w:r>
    </w:p>
    <w:p w14:paraId="7F7A048D" w14:textId="77777777" w:rsidR="00640563" w:rsidRPr="006C6C86" w:rsidRDefault="00640563" w:rsidP="001750D5">
      <w:pPr>
        <w:pStyle w:val="ListParagraph"/>
        <w:numPr>
          <w:ilvl w:val="0"/>
          <w:numId w:val="84"/>
        </w:numPr>
        <w:spacing w:before="120" w:after="120" w:line="240" w:lineRule="auto"/>
        <w:ind w:left="357" w:hanging="357"/>
        <w:contextualSpacing w:val="0"/>
        <w:rPr>
          <w:rFonts w:ascii="Arial" w:hAnsi="Arial" w:cs="Arial"/>
          <w:sz w:val="24"/>
          <w:szCs w:val="24"/>
        </w:rPr>
      </w:pPr>
      <w:r w:rsidRPr="006C6C86">
        <w:rPr>
          <w:rFonts w:ascii="Arial" w:hAnsi="Arial" w:cs="Arial"/>
          <w:sz w:val="24"/>
          <w:szCs w:val="24"/>
        </w:rPr>
        <w:t>Reflect organisational capability and priority initiatives in corporate planning and organisational performance reporting</w:t>
      </w:r>
      <w:r>
        <w:rPr>
          <w:rFonts w:ascii="Arial" w:hAnsi="Arial" w:cs="Arial"/>
          <w:sz w:val="24"/>
          <w:szCs w:val="24"/>
        </w:rPr>
        <w:t>.</w:t>
      </w:r>
    </w:p>
    <w:p w14:paraId="070D8BFD" w14:textId="77777777" w:rsidR="00640563" w:rsidRPr="006C6C86" w:rsidRDefault="00640563" w:rsidP="001750D5">
      <w:pPr>
        <w:pStyle w:val="ListParagraph"/>
        <w:numPr>
          <w:ilvl w:val="0"/>
          <w:numId w:val="84"/>
        </w:numPr>
        <w:spacing w:before="120" w:after="120" w:line="240" w:lineRule="auto"/>
        <w:ind w:left="357" w:hanging="357"/>
        <w:contextualSpacing w:val="0"/>
        <w:rPr>
          <w:rFonts w:ascii="Arial" w:hAnsi="Arial" w:cs="Arial"/>
          <w:sz w:val="24"/>
          <w:szCs w:val="24"/>
        </w:rPr>
      </w:pPr>
      <w:r w:rsidRPr="006C6C86">
        <w:rPr>
          <w:rFonts w:ascii="Arial" w:hAnsi="Arial" w:cs="Arial"/>
          <w:sz w:val="24"/>
          <w:szCs w:val="24"/>
        </w:rPr>
        <w:t xml:space="preserve">The Commission becomes an active member of regulatory excellence bodies and engages with professional regulatory learning and development opportunities through the </w:t>
      </w:r>
      <w:r>
        <w:rPr>
          <w:rFonts w:ascii="Arial" w:hAnsi="Arial" w:cs="Arial"/>
          <w:sz w:val="24"/>
          <w:szCs w:val="24"/>
        </w:rPr>
        <w:t>Australian Public Service (</w:t>
      </w:r>
      <w:r w:rsidRPr="006C6C86">
        <w:rPr>
          <w:rFonts w:ascii="Arial" w:hAnsi="Arial" w:cs="Arial"/>
          <w:sz w:val="24"/>
          <w:szCs w:val="24"/>
        </w:rPr>
        <w:t>APS</w:t>
      </w:r>
      <w:r>
        <w:rPr>
          <w:rFonts w:ascii="Arial" w:hAnsi="Arial" w:cs="Arial"/>
          <w:sz w:val="24"/>
          <w:szCs w:val="24"/>
        </w:rPr>
        <w:t>)</w:t>
      </w:r>
      <w:r w:rsidRPr="006C6C86">
        <w:rPr>
          <w:rFonts w:ascii="Arial" w:hAnsi="Arial" w:cs="Arial"/>
          <w:sz w:val="24"/>
          <w:szCs w:val="24"/>
        </w:rPr>
        <w:t xml:space="preserve"> Academy</w:t>
      </w:r>
      <w:r>
        <w:rPr>
          <w:rFonts w:ascii="Arial" w:hAnsi="Arial" w:cs="Arial"/>
          <w:sz w:val="24"/>
          <w:szCs w:val="24"/>
        </w:rPr>
        <w:t>.</w:t>
      </w:r>
    </w:p>
    <w:p w14:paraId="2DC018A4" w14:textId="77777777" w:rsidR="00640563" w:rsidRPr="006C6C86" w:rsidRDefault="00640563" w:rsidP="001750D5">
      <w:pPr>
        <w:pStyle w:val="ListParagraph"/>
        <w:numPr>
          <w:ilvl w:val="0"/>
          <w:numId w:val="84"/>
        </w:numPr>
        <w:spacing w:before="120" w:after="120" w:line="240" w:lineRule="auto"/>
        <w:ind w:left="357" w:hanging="357"/>
        <w:contextualSpacing w:val="0"/>
        <w:rPr>
          <w:rFonts w:ascii="Arial" w:hAnsi="Arial" w:cs="Arial"/>
          <w:sz w:val="24"/>
          <w:szCs w:val="24"/>
        </w:rPr>
      </w:pPr>
      <w:r w:rsidRPr="006C6C86">
        <w:rPr>
          <w:rFonts w:ascii="Arial" w:hAnsi="Arial" w:cs="Arial"/>
          <w:sz w:val="24"/>
          <w:szCs w:val="24"/>
        </w:rPr>
        <w:t>Develop a positioning strategy, that embraces the notion of constructive enforcement, emphasising organisational capability in line with the Commission’s strategic objectives and ambition to influence stakeholder and public perceptions of the Commission</w:t>
      </w:r>
      <w:r>
        <w:rPr>
          <w:rFonts w:ascii="Arial" w:hAnsi="Arial" w:cs="Arial"/>
          <w:sz w:val="24"/>
          <w:szCs w:val="24"/>
        </w:rPr>
        <w:t>.</w:t>
      </w:r>
    </w:p>
    <w:p w14:paraId="3D7E1A1A" w14:textId="77777777" w:rsidR="00640563" w:rsidRPr="006C6C86" w:rsidRDefault="00640563" w:rsidP="001750D5">
      <w:pPr>
        <w:pStyle w:val="ListParagraph"/>
        <w:numPr>
          <w:ilvl w:val="0"/>
          <w:numId w:val="84"/>
        </w:numPr>
        <w:spacing w:before="120" w:after="120" w:line="240" w:lineRule="auto"/>
        <w:ind w:left="357" w:hanging="357"/>
        <w:contextualSpacing w:val="0"/>
        <w:rPr>
          <w:rFonts w:ascii="Arial" w:hAnsi="Arial" w:cs="Arial"/>
          <w:sz w:val="24"/>
          <w:szCs w:val="24"/>
        </w:rPr>
      </w:pPr>
      <w:r w:rsidRPr="006C6C86">
        <w:rPr>
          <w:rFonts w:ascii="Arial" w:hAnsi="Arial" w:cs="Arial"/>
          <w:sz w:val="24"/>
          <w:szCs w:val="24"/>
        </w:rPr>
        <w:t>Consider using the capability architecture as a valuable lens to review and refine the Commission’s operating model and structure</w:t>
      </w:r>
      <w:r>
        <w:rPr>
          <w:rFonts w:ascii="Arial" w:hAnsi="Arial" w:cs="Arial"/>
          <w:sz w:val="24"/>
          <w:szCs w:val="24"/>
        </w:rPr>
        <w:t>.</w:t>
      </w:r>
    </w:p>
    <w:p w14:paraId="1C3AD13D" w14:textId="082BBE02" w:rsidR="00976516" w:rsidRPr="00976516" w:rsidRDefault="00976516" w:rsidP="002D5F76">
      <w:pPr>
        <w:keepNext/>
        <w:spacing w:before="360" w:after="240" w:line="240" w:lineRule="auto"/>
        <w:rPr>
          <w:rFonts w:ascii="Arial" w:hAnsi="Arial" w:cs="Arial"/>
          <w:b/>
          <w:bCs/>
          <w:sz w:val="24"/>
          <w:szCs w:val="24"/>
        </w:rPr>
      </w:pPr>
      <w:r w:rsidRPr="00976516">
        <w:rPr>
          <w:rFonts w:ascii="Arial" w:hAnsi="Arial" w:cs="Arial"/>
          <w:b/>
          <w:bCs/>
          <w:sz w:val="24"/>
          <w:szCs w:val="24"/>
        </w:rPr>
        <w:lastRenderedPageBreak/>
        <w:t>Commission Capability Architecture</w:t>
      </w:r>
    </w:p>
    <w:p w14:paraId="29BC3F13" w14:textId="1967A953" w:rsidR="00640563" w:rsidRPr="000F1C0A" w:rsidRDefault="00976516" w:rsidP="00640563">
      <w:pPr>
        <w:spacing w:before="360" w:after="0" w:line="240" w:lineRule="auto"/>
        <w:rPr>
          <w:rFonts w:ascii="Arial" w:hAnsi="Arial" w:cs="Arial"/>
        </w:rPr>
      </w:pPr>
      <w:r>
        <w:rPr>
          <w:noProof/>
        </w:rPr>
        <mc:AlternateContent>
          <mc:Choice Requires="wpg">
            <w:drawing>
              <wp:anchor distT="0" distB="0" distL="114300" distR="114300" simplePos="0" relativeHeight="251659264" behindDoc="0" locked="0" layoutInCell="1" allowOverlap="1" wp14:anchorId="7B3DC94C" wp14:editId="638ECBEC">
                <wp:simplePos x="0" y="0"/>
                <wp:positionH relativeFrom="column">
                  <wp:posOffset>0</wp:posOffset>
                </wp:positionH>
                <wp:positionV relativeFrom="paragraph">
                  <wp:posOffset>0</wp:posOffset>
                </wp:positionV>
                <wp:extent cx="6200775" cy="6185535"/>
                <wp:effectExtent l="0" t="0" r="9525" b="5715"/>
                <wp:wrapTopAndBottom/>
                <wp:docPr id="45" name="Group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200775" cy="6185535"/>
                          <a:chOff x="0" y="0"/>
                          <a:chExt cx="6200880" cy="6185555"/>
                        </a:xfrm>
                      </wpg:grpSpPr>
                      <wpg:grpSp>
                        <wpg:cNvPr id="46" name="Group 46"/>
                        <wpg:cNvGrpSpPr/>
                        <wpg:grpSpPr>
                          <a:xfrm>
                            <a:off x="1793021" y="3192577"/>
                            <a:ext cx="3047720" cy="2992978"/>
                            <a:chOff x="1793021" y="3192577"/>
                            <a:chExt cx="3047720" cy="2992978"/>
                          </a:xfrm>
                        </wpg:grpSpPr>
                        <wps:wsp>
                          <wps:cNvPr id="47" name="Oval 47"/>
                          <wps:cNvSpPr>
                            <a:spLocks noChangeAspect="1"/>
                          </wps:cNvSpPr>
                          <wps:spPr>
                            <a:xfrm>
                              <a:off x="1793021" y="3192577"/>
                              <a:ext cx="2683273" cy="2683273"/>
                            </a:xfrm>
                            <a:prstGeom prst="ellipse">
                              <a:avLst/>
                            </a:prstGeom>
                            <a:solidFill>
                              <a:srgbClr val="68D2FC"/>
                            </a:solidFill>
                            <a:ln>
                              <a:no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g:grpSp>
                          <wpg:cNvPr id="48" name="Group 48"/>
                          <wpg:cNvGrpSpPr/>
                          <wpg:grpSpPr>
                            <a:xfrm>
                              <a:off x="3487688" y="4821104"/>
                              <a:ext cx="1353053" cy="1364451"/>
                              <a:chOff x="3487688" y="4821104"/>
                              <a:chExt cx="1899328" cy="1899328"/>
                            </a:xfrm>
                          </wpg:grpSpPr>
                          <wps:wsp>
                            <wps:cNvPr id="49" name="Oval 49"/>
                            <wps:cNvSpPr>
                              <a:spLocks noChangeAspect="1"/>
                            </wps:cNvSpPr>
                            <wps:spPr>
                              <a:xfrm>
                                <a:off x="3487688" y="4821104"/>
                                <a:ext cx="1899328" cy="1899328"/>
                              </a:xfrm>
                              <a:prstGeom prst="ellipse">
                                <a:avLst/>
                              </a:prstGeom>
                              <a:solidFill>
                                <a:srgbClr val="68D2FC"/>
                              </a:solidFill>
                              <a:ln>
                                <a:no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s:wsp>
                            <wps:cNvPr id="50" name="Oval 50"/>
                            <wps:cNvSpPr>
                              <a:spLocks noChangeAspect="1"/>
                            </wps:cNvSpPr>
                            <wps:spPr>
                              <a:xfrm>
                                <a:off x="3630055" y="4974819"/>
                                <a:ext cx="1591747" cy="1591747"/>
                              </a:xfrm>
                              <a:prstGeom prst="ellipse">
                                <a:avLst/>
                              </a:prstGeom>
                              <a:solidFill>
                                <a:schemeClr val="bg1"/>
                              </a:solidFill>
                              <a:ln w="38100"/>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pic:pic xmlns:pic="http://schemas.openxmlformats.org/drawingml/2006/picture">
                            <pic:nvPicPr>
                              <pic:cNvPr id="51" name="Graphic 168" descr="Gears"/>
                              <pic:cNvPicPr>
                                <a:picLocks noChangeAspect="1"/>
                              </pic:cNvPicPr>
                            </pic:nvPicPr>
                            <pic:blipFill>
                              <a:blip r:embed="rId39">
                                <a:extLst>
                                  <a:ext uri="{28A0092B-C50C-407E-A947-70E740481C1C}">
                                    <a14:useLocalDpi xmlns:a14="http://schemas.microsoft.com/office/drawing/2010/main" val="0"/>
                                  </a:ext>
                                  <a:ext uri="{96DAC541-7B7A-43D3-8B79-37D633B846F1}">
                                    <asvg:svgBlip xmlns:asvg="http://schemas.microsoft.com/office/drawing/2016/SVG/main" r:embed="rId40"/>
                                  </a:ext>
                                </a:extLst>
                              </a:blip>
                              <a:stretch>
                                <a:fillRect/>
                              </a:stretch>
                            </pic:blipFill>
                            <pic:spPr>
                              <a:xfrm rot="870618">
                                <a:off x="3804326" y="5132162"/>
                                <a:ext cx="1317274" cy="1317274"/>
                              </a:xfrm>
                              <a:prstGeom prst="rect">
                                <a:avLst/>
                              </a:prstGeom>
                            </pic:spPr>
                          </pic:pic>
                        </wpg:grpSp>
                        <wps:wsp>
                          <wps:cNvPr id="52" name="TextBox 174"/>
                          <wps:cNvSpPr txBox="1"/>
                          <wps:spPr>
                            <a:xfrm>
                              <a:off x="1829427" y="3878632"/>
                              <a:ext cx="2101215" cy="1765300"/>
                            </a:xfrm>
                            <a:prstGeom prst="rect">
                              <a:avLst/>
                            </a:prstGeom>
                            <a:noFill/>
                          </wps:spPr>
                          <wps:txbx>
                            <w:txbxContent>
                              <w:p w14:paraId="46C4CBE1"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Enterprise-wide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(13)</w:t>
                                </w:r>
                              </w:p>
                              <w:p w14:paraId="06CE4D0F"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ensure effective operations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 xml:space="preserve">and support the delivery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 xml:space="preserve">of its primary function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and mandate</w:t>
                                </w:r>
                              </w:p>
                            </w:txbxContent>
                          </wps:txbx>
                          <wps:bodyPr wrap="square" rtlCol="0">
                            <a:spAutoFit/>
                          </wps:bodyPr>
                        </wps:wsp>
                      </wpg:grpSp>
                      <wpg:grpSp>
                        <wpg:cNvPr id="53" name="Group 53"/>
                        <wpg:cNvGrpSpPr/>
                        <wpg:grpSpPr>
                          <a:xfrm>
                            <a:off x="3343805" y="1287704"/>
                            <a:ext cx="2857075" cy="3204855"/>
                            <a:chOff x="3343805" y="1287704"/>
                            <a:chExt cx="2857075" cy="3204855"/>
                          </a:xfrm>
                        </wpg:grpSpPr>
                        <wps:wsp>
                          <wps:cNvPr id="54" name="Oval 54"/>
                          <wps:cNvSpPr>
                            <a:spLocks noChangeAspect="1"/>
                          </wps:cNvSpPr>
                          <wps:spPr>
                            <a:xfrm>
                              <a:off x="3343805" y="1845695"/>
                              <a:ext cx="2646864" cy="2646864"/>
                            </a:xfrm>
                            <a:prstGeom prst="ellipse">
                              <a:avLst/>
                            </a:prstGeom>
                            <a:solidFill>
                              <a:srgbClr val="6FC1FF"/>
                            </a:solidFill>
                            <a:ln>
                              <a:no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g:grpSp>
                          <wpg:cNvPr id="55" name="Group 55"/>
                          <wpg:cNvGrpSpPr/>
                          <wpg:grpSpPr>
                            <a:xfrm>
                              <a:off x="4827765" y="1287704"/>
                              <a:ext cx="1373115" cy="1373114"/>
                              <a:chOff x="4827765" y="1287704"/>
                              <a:chExt cx="1845034" cy="1845033"/>
                            </a:xfrm>
                          </wpg:grpSpPr>
                          <wps:wsp>
                            <wps:cNvPr id="57" name="Oval 57"/>
                            <wps:cNvSpPr>
                              <a:spLocks noChangeAspect="1"/>
                            </wps:cNvSpPr>
                            <wps:spPr>
                              <a:xfrm>
                                <a:off x="4827765" y="1287704"/>
                                <a:ext cx="1845034" cy="1845033"/>
                              </a:xfrm>
                              <a:prstGeom prst="ellipse">
                                <a:avLst/>
                              </a:prstGeom>
                              <a:solidFill>
                                <a:srgbClr val="6FC1FF"/>
                              </a:solidFill>
                              <a:ln>
                                <a:no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s:wsp>
                            <wps:cNvPr id="111" name="Oval 111"/>
                            <wps:cNvSpPr>
                              <a:spLocks noChangeAspect="1"/>
                            </wps:cNvSpPr>
                            <wps:spPr>
                              <a:xfrm>
                                <a:off x="4978987" y="1441864"/>
                                <a:ext cx="1525322" cy="1525321"/>
                              </a:xfrm>
                              <a:prstGeom prst="ellipse">
                                <a:avLst/>
                              </a:prstGeom>
                              <a:solidFill>
                                <a:schemeClr val="bg1"/>
                              </a:solidFill>
                              <a:ln w="38100"/>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s:wsp>
                            <wps:cNvPr id="112" name="Oval 112"/>
                            <wps:cNvSpPr/>
                            <wps:spPr>
                              <a:xfrm>
                                <a:off x="5517266" y="1776317"/>
                                <a:ext cx="457987" cy="457987"/>
                              </a:xfrm>
                              <a:prstGeom prst="ellipse">
                                <a:avLst/>
                              </a:prstGeom>
                              <a:solidFill>
                                <a:schemeClr val="accent4">
                                  <a:lumMod val="60000"/>
                                  <a:lumOff val="40000"/>
                                </a:schemeClr>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cNvPr id="113" name="Graphic 24" descr="Ribbon"/>
                            <wpg:cNvGrpSpPr/>
                            <wpg:grpSpPr>
                              <a:xfrm>
                                <a:off x="5377927" y="1645317"/>
                                <a:ext cx="752187" cy="1076320"/>
                                <a:chOff x="5377927" y="1645317"/>
                                <a:chExt cx="752187" cy="1076320"/>
                              </a:xfrm>
                            </wpg:grpSpPr>
                            <wps:wsp>
                              <wps:cNvPr id="114" name="Freeform: Shape 114"/>
                              <wps:cNvSpPr/>
                              <wps:spPr>
                                <a:xfrm>
                                  <a:off x="5377927" y="2325749"/>
                                  <a:ext cx="358774" cy="395888"/>
                                </a:xfrm>
                                <a:custGeom>
                                  <a:avLst/>
                                  <a:gdLst>
                                    <a:gd name="connsiteX0" fmla="*/ 279209 w 358773"/>
                                    <a:gd name="connsiteY0" fmla="*/ 75080 h 395887"/>
                                    <a:gd name="connsiteX1" fmla="*/ 229723 w 358773"/>
                                    <a:gd name="connsiteY1" fmla="*/ 65182 h 395887"/>
                                    <a:gd name="connsiteX2" fmla="*/ 165391 w 358773"/>
                                    <a:gd name="connsiteY2" fmla="*/ 13222 h 395887"/>
                                    <a:gd name="connsiteX3" fmla="*/ 160443 w 358773"/>
                                    <a:gd name="connsiteY3" fmla="*/ 11985 h 395887"/>
                                    <a:gd name="connsiteX4" fmla="*/ 11985 w 358773"/>
                                    <a:gd name="connsiteY4" fmla="*/ 303952 h 395887"/>
                                    <a:gd name="connsiteX5" fmla="*/ 136937 w 358773"/>
                                    <a:gd name="connsiteY5" fmla="*/ 275498 h 395887"/>
                                    <a:gd name="connsiteX6" fmla="*/ 200032 w 358773"/>
                                    <a:gd name="connsiteY6" fmla="*/ 393027 h 395887"/>
                                    <a:gd name="connsiteX7" fmla="*/ 354675 w 358773"/>
                                    <a:gd name="connsiteY7" fmla="*/ 91162 h 395887"/>
                                    <a:gd name="connsiteX8" fmla="*/ 305189 w 358773"/>
                                    <a:gd name="connsiteY8" fmla="*/ 72605 h 395887"/>
                                    <a:gd name="connsiteX9" fmla="*/ 279209 w 358773"/>
                                    <a:gd name="connsiteY9" fmla="*/ 75080 h 39588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358773" h="395887">
                                      <a:moveTo>
                                        <a:pt x="279209" y="75080"/>
                                      </a:moveTo>
                                      <a:cubicBezTo>
                                        <a:pt x="261889" y="75080"/>
                                        <a:pt x="245806" y="71368"/>
                                        <a:pt x="229723" y="65182"/>
                                      </a:cubicBezTo>
                                      <a:cubicBezTo>
                                        <a:pt x="203743" y="55285"/>
                                        <a:pt x="181474" y="36728"/>
                                        <a:pt x="165391" y="13222"/>
                                      </a:cubicBezTo>
                                      <a:cubicBezTo>
                                        <a:pt x="164154" y="13222"/>
                                        <a:pt x="161680" y="11985"/>
                                        <a:pt x="160443" y="11985"/>
                                      </a:cubicBezTo>
                                      <a:lnTo>
                                        <a:pt x="11985" y="303952"/>
                                      </a:lnTo>
                                      <a:lnTo>
                                        <a:pt x="136937" y="275498"/>
                                      </a:lnTo>
                                      <a:lnTo>
                                        <a:pt x="200032" y="393027"/>
                                      </a:lnTo>
                                      <a:lnTo>
                                        <a:pt x="354675" y="91162"/>
                                      </a:lnTo>
                                      <a:cubicBezTo>
                                        <a:pt x="337355" y="88688"/>
                                        <a:pt x="320035" y="81265"/>
                                        <a:pt x="305189" y="72605"/>
                                      </a:cubicBezTo>
                                      <a:cubicBezTo>
                                        <a:pt x="296529" y="73842"/>
                                        <a:pt x="287869" y="75080"/>
                                        <a:pt x="279209" y="75080"/>
                                      </a:cubicBezTo>
                                      <a:close/>
                                    </a:path>
                                  </a:pathLst>
                                </a:custGeom>
                                <a:solidFill>
                                  <a:srgbClr val="005596"/>
                                </a:solidFill>
                                <a:ln w="12303" cap="flat">
                                  <a:noFill/>
                                  <a:prstDash val="solid"/>
                                  <a:miter/>
                                </a:ln>
                              </wps:spPr>
                              <wps:bodyPr rtlCol="0" anchor="ctr"/>
                            </wps:wsp>
                            <wps:wsp>
                              <wps:cNvPr id="115" name="Freeform: Shape 115"/>
                              <wps:cNvSpPr/>
                              <wps:spPr>
                                <a:xfrm>
                                  <a:off x="5758969" y="2333172"/>
                                  <a:ext cx="371145" cy="383516"/>
                                </a:xfrm>
                                <a:custGeom>
                                  <a:avLst/>
                                  <a:gdLst>
                                    <a:gd name="connsiteX0" fmla="*/ 156731 w 371145"/>
                                    <a:gd name="connsiteY0" fmla="*/ 51574 h 383516"/>
                                    <a:gd name="connsiteX1" fmla="*/ 102297 w 371145"/>
                                    <a:gd name="connsiteY1" fmla="*/ 62708 h 383516"/>
                                    <a:gd name="connsiteX2" fmla="*/ 73842 w 371145"/>
                                    <a:gd name="connsiteY2" fmla="*/ 60234 h 383516"/>
                                    <a:gd name="connsiteX3" fmla="*/ 11985 w 371145"/>
                                    <a:gd name="connsiteY3" fmla="*/ 83740 h 383516"/>
                                    <a:gd name="connsiteX4" fmla="*/ 175289 w 371145"/>
                                    <a:gd name="connsiteY4" fmla="*/ 378181 h 383516"/>
                                    <a:gd name="connsiteX5" fmla="*/ 239621 w 371145"/>
                                    <a:gd name="connsiteY5" fmla="*/ 273023 h 383516"/>
                                    <a:gd name="connsiteX6" fmla="*/ 365810 w 371145"/>
                                    <a:gd name="connsiteY6" fmla="*/ 294055 h 383516"/>
                                    <a:gd name="connsiteX7" fmla="*/ 208692 w 371145"/>
                                    <a:gd name="connsiteY7" fmla="*/ 11985 h 383516"/>
                                    <a:gd name="connsiteX8" fmla="*/ 156731 w 371145"/>
                                    <a:gd name="connsiteY8" fmla="*/ 51574 h 3835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371145" h="383516">
                                      <a:moveTo>
                                        <a:pt x="156731" y="51574"/>
                                      </a:moveTo>
                                      <a:cubicBezTo>
                                        <a:pt x="139411" y="58997"/>
                                        <a:pt x="120854" y="62708"/>
                                        <a:pt x="102297" y="62708"/>
                                      </a:cubicBezTo>
                                      <a:cubicBezTo>
                                        <a:pt x="92400" y="62708"/>
                                        <a:pt x="83740" y="61471"/>
                                        <a:pt x="73842" y="60234"/>
                                      </a:cubicBezTo>
                                      <a:cubicBezTo>
                                        <a:pt x="55285" y="72605"/>
                                        <a:pt x="34254" y="81265"/>
                                        <a:pt x="11985" y="83740"/>
                                      </a:cubicBezTo>
                                      <a:lnTo>
                                        <a:pt x="175289" y="378181"/>
                                      </a:lnTo>
                                      <a:lnTo>
                                        <a:pt x="239621" y="273023"/>
                                      </a:lnTo>
                                      <a:lnTo>
                                        <a:pt x="365810" y="294055"/>
                                      </a:lnTo>
                                      <a:lnTo>
                                        <a:pt x="208692" y="11985"/>
                                      </a:lnTo>
                                      <a:cubicBezTo>
                                        <a:pt x="195083" y="29305"/>
                                        <a:pt x="177763" y="42914"/>
                                        <a:pt x="156731" y="51574"/>
                                      </a:cubicBezTo>
                                      <a:close/>
                                    </a:path>
                                  </a:pathLst>
                                </a:custGeom>
                                <a:solidFill>
                                  <a:srgbClr val="005596"/>
                                </a:solidFill>
                                <a:ln w="12303" cap="flat">
                                  <a:noFill/>
                                  <a:prstDash val="solid"/>
                                  <a:miter/>
                                </a:ln>
                              </wps:spPr>
                              <wps:bodyPr rtlCol="0" anchor="ctr"/>
                            </wps:wsp>
                            <wps:wsp>
                              <wps:cNvPr id="116" name="Freeform: Shape 116"/>
                              <wps:cNvSpPr/>
                              <wps:spPr>
                                <a:xfrm>
                                  <a:off x="5382876" y="1645317"/>
                                  <a:ext cx="742290" cy="742289"/>
                                </a:xfrm>
                                <a:custGeom>
                                  <a:avLst/>
                                  <a:gdLst>
                                    <a:gd name="connsiteX0" fmla="*/ 367047 w 742290"/>
                                    <a:gd name="connsiteY0" fmla="*/ 586022 h 742289"/>
                                    <a:gd name="connsiteX1" fmla="*/ 153020 w 742290"/>
                                    <a:gd name="connsiteY1" fmla="*/ 371995 h 742289"/>
                                    <a:gd name="connsiteX2" fmla="*/ 367047 w 742290"/>
                                    <a:gd name="connsiteY2" fmla="*/ 157968 h 742289"/>
                                    <a:gd name="connsiteX3" fmla="*/ 581074 w 742290"/>
                                    <a:gd name="connsiteY3" fmla="*/ 371995 h 742289"/>
                                    <a:gd name="connsiteX4" fmla="*/ 367047 w 742290"/>
                                    <a:gd name="connsiteY4" fmla="*/ 586022 h 742289"/>
                                    <a:gd name="connsiteX5" fmla="*/ 732006 w 742290"/>
                                    <a:gd name="connsiteY5" fmla="*/ 371995 h 742289"/>
                                    <a:gd name="connsiteX6" fmla="*/ 702315 w 742290"/>
                                    <a:gd name="connsiteY6" fmla="*/ 302715 h 742289"/>
                                    <a:gd name="connsiteX7" fmla="*/ 702315 w 742290"/>
                                    <a:gd name="connsiteY7" fmla="*/ 227249 h 742289"/>
                                    <a:gd name="connsiteX8" fmla="*/ 654066 w 742290"/>
                                    <a:gd name="connsiteY8" fmla="*/ 179000 h 742289"/>
                                    <a:gd name="connsiteX9" fmla="*/ 626848 w 742290"/>
                                    <a:gd name="connsiteY9" fmla="*/ 117143 h 742289"/>
                                    <a:gd name="connsiteX10" fmla="*/ 556331 w 742290"/>
                                    <a:gd name="connsiteY10" fmla="*/ 89925 h 742289"/>
                                    <a:gd name="connsiteX11" fmla="*/ 503133 w 742290"/>
                                    <a:gd name="connsiteY11" fmla="*/ 36728 h 742289"/>
                                    <a:gd name="connsiteX12" fmla="*/ 435090 w 742290"/>
                                    <a:gd name="connsiteY12" fmla="*/ 36728 h 742289"/>
                                    <a:gd name="connsiteX13" fmla="*/ 371996 w 742290"/>
                                    <a:gd name="connsiteY13" fmla="*/ 11985 h 742289"/>
                                    <a:gd name="connsiteX14" fmla="*/ 302715 w 742290"/>
                                    <a:gd name="connsiteY14" fmla="*/ 41676 h 742289"/>
                                    <a:gd name="connsiteX15" fmla="*/ 227249 w 742290"/>
                                    <a:gd name="connsiteY15" fmla="*/ 41676 h 742289"/>
                                    <a:gd name="connsiteX16" fmla="*/ 179000 w 742290"/>
                                    <a:gd name="connsiteY16" fmla="*/ 89925 h 742289"/>
                                    <a:gd name="connsiteX17" fmla="*/ 117143 w 742290"/>
                                    <a:gd name="connsiteY17" fmla="*/ 117143 h 742289"/>
                                    <a:gd name="connsiteX18" fmla="*/ 89925 w 742290"/>
                                    <a:gd name="connsiteY18" fmla="*/ 187660 h 742289"/>
                                    <a:gd name="connsiteX19" fmla="*/ 36728 w 742290"/>
                                    <a:gd name="connsiteY19" fmla="*/ 240857 h 742289"/>
                                    <a:gd name="connsiteX20" fmla="*/ 36728 w 742290"/>
                                    <a:gd name="connsiteY20" fmla="*/ 308901 h 742289"/>
                                    <a:gd name="connsiteX21" fmla="*/ 11985 w 742290"/>
                                    <a:gd name="connsiteY21" fmla="*/ 371995 h 742289"/>
                                    <a:gd name="connsiteX22" fmla="*/ 41676 w 742290"/>
                                    <a:gd name="connsiteY22" fmla="*/ 441276 h 742289"/>
                                    <a:gd name="connsiteX23" fmla="*/ 41676 w 742290"/>
                                    <a:gd name="connsiteY23" fmla="*/ 516742 h 742289"/>
                                    <a:gd name="connsiteX24" fmla="*/ 89925 w 742290"/>
                                    <a:gd name="connsiteY24" fmla="*/ 564991 h 742289"/>
                                    <a:gd name="connsiteX25" fmla="*/ 117143 w 742290"/>
                                    <a:gd name="connsiteY25" fmla="*/ 626848 h 742289"/>
                                    <a:gd name="connsiteX26" fmla="*/ 187660 w 742290"/>
                                    <a:gd name="connsiteY26" fmla="*/ 654065 h 742289"/>
                                    <a:gd name="connsiteX27" fmla="*/ 240858 w 742290"/>
                                    <a:gd name="connsiteY27" fmla="*/ 707263 h 742289"/>
                                    <a:gd name="connsiteX28" fmla="*/ 308901 w 742290"/>
                                    <a:gd name="connsiteY28" fmla="*/ 707263 h 742289"/>
                                    <a:gd name="connsiteX29" fmla="*/ 371996 w 742290"/>
                                    <a:gd name="connsiteY29" fmla="*/ 732006 h 742289"/>
                                    <a:gd name="connsiteX30" fmla="*/ 441276 w 742290"/>
                                    <a:gd name="connsiteY30" fmla="*/ 702314 h 742289"/>
                                    <a:gd name="connsiteX31" fmla="*/ 516742 w 742290"/>
                                    <a:gd name="connsiteY31" fmla="*/ 702314 h 742289"/>
                                    <a:gd name="connsiteX32" fmla="*/ 564991 w 742290"/>
                                    <a:gd name="connsiteY32" fmla="*/ 654065 h 742289"/>
                                    <a:gd name="connsiteX33" fmla="*/ 626848 w 742290"/>
                                    <a:gd name="connsiteY33" fmla="*/ 626848 h 742289"/>
                                    <a:gd name="connsiteX34" fmla="*/ 654066 w 742290"/>
                                    <a:gd name="connsiteY34" fmla="*/ 556330 h 742289"/>
                                    <a:gd name="connsiteX35" fmla="*/ 707263 w 742290"/>
                                    <a:gd name="connsiteY35" fmla="*/ 503133 h 742289"/>
                                    <a:gd name="connsiteX36" fmla="*/ 707263 w 742290"/>
                                    <a:gd name="connsiteY36" fmla="*/ 435090 h 742289"/>
                                    <a:gd name="connsiteX37" fmla="*/ 732006 w 742290"/>
                                    <a:gd name="connsiteY37" fmla="*/ 371995 h 74228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742290" h="742289">
                                      <a:moveTo>
                                        <a:pt x="367047" y="586022"/>
                                      </a:moveTo>
                                      <a:cubicBezTo>
                                        <a:pt x="249518" y="586022"/>
                                        <a:pt x="153020" y="490762"/>
                                        <a:pt x="153020" y="371995"/>
                                      </a:cubicBezTo>
                                      <a:cubicBezTo>
                                        <a:pt x="153020" y="253229"/>
                                        <a:pt x="249518" y="157968"/>
                                        <a:pt x="367047" y="157968"/>
                                      </a:cubicBezTo>
                                      <a:cubicBezTo>
                                        <a:pt x="484576" y="157968"/>
                                        <a:pt x="581074" y="253229"/>
                                        <a:pt x="581074" y="371995"/>
                                      </a:cubicBezTo>
                                      <a:cubicBezTo>
                                        <a:pt x="581074" y="490762"/>
                                        <a:pt x="484576" y="586022"/>
                                        <a:pt x="367047" y="586022"/>
                                      </a:cubicBezTo>
                                      <a:close/>
                                      <a:moveTo>
                                        <a:pt x="732006" y="371995"/>
                                      </a:moveTo>
                                      <a:cubicBezTo>
                                        <a:pt x="732006" y="344778"/>
                                        <a:pt x="720872" y="320035"/>
                                        <a:pt x="702315" y="302715"/>
                                      </a:cubicBezTo>
                                      <a:cubicBezTo>
                                        <a:pt x="712212" y="279209"/>
                                        <a:pt x="713449" y="251992"/>
                                        <a:pt x="702315" y="227249"/>
                                      </a:cubicBezTo>
                                      <a:cubicBezTo>
                                        <a:pt x="692417" y="204980"/>
                                        <a:pt x="675097" y="187660"/>
                                        <a:pt x="654066" y="179000"/>
                                      </a:cubicBezTo>
                                      <a:cubicBezTo>
                                        <a:pt x="652829" y="156731"/>
                                        <a:pt x="644169" y="134463"/>
                                        <a:pt x="626848" y="117143"/>
                                      </a:cubicBezTo>
                                      <a:cubicBezTo>
                                        <a:pt x="607054" y="97348"/>
                                        <a:pt x="582311" y="88688"/>
                                        <a:pt x="556331" y="89925"/>
                                      </a:cubicBezTo>
                                      <a:cubicBezTo>
                                        <a:pt x="547671" y="66419"/>
                                        <a:pt x="529114" y="46625"/>
                                        <a:pt x="503133" y="36728"/>
                                      </a:cubicBezTo>
                                      <a:cubicBezTo>
                                        <a:pt x="480865" y="28068"/>
                                        <a:pt x="456122" y="28068"/>
                                        <a:pt x="435090" y="36728"/>
                                      </a:cubicBezTo>
                                      <a:cubicBezTo>
                                        <a:pt x="417770" y="21882"/>
                                        <a:pt x="396739" y="11985"/>
                                        <a:pt x="371996" y="11985"/>
                                      </a:cubicBezTo>
                                      <a:cubicBezTo>
                                        <a:pt x="344778" y="11985"/>
                                        <a:pt x="320035" y="23119"/>
                                        <a:pt x="302715" y="41676"/>
                                      </a:cubicBezTo>
                                      <a:cubicBezTo>
                                        <a:pt x="279209" y="31779"/>
                                        <a:pt x="251992" y="30542"/>
                                        <a:pt x="227249" y="41676"/>
                                      </a:cubicBezTo>
                                      <a:cubicBezTo>
                                        <a:pt x="204980" y="51574"/>
                                        <a:pt x="187660" y="68894"/>
                                        <a:pt x="179000" y="89925"/>
                                      </a:cubicBezTo>
                                      <a:cubicBezTo>
                                        <a:pt x="156731" y="91162"/>
                                        <a:pt x="134463" y="99822"/>
                                        <a:pt x="117143" y="117143"/>
                                      </a:cubicBezTo>
                                      <a:cubicBezTo>
                                        <a:pt x="97348" y="136937"/>
                                        <a:pt x="88688" y="161680"/>
                                        <a:pt x="89925" y="187660"/>
                                      </a:cubicBezTo>
                                      <a:cubicBezTo>
                                        <a:pt x="66419" y="196320"/>
                                        <a:pt x="46625" y="214877"/>
                                        <a:pt x="36728" y="240857"/>
                                      </a:cubicBezTo>
                                      <a:cubicBezTo>
                                        <a:pt x="28068" y="263126"/>
                                        <a:pt x="28068" y="287869"/>
                                        <a:pt x="36728" y="308901"/>
                                      </a:cubicBezTo>
                                      <a:cubicBezTo>
                                        <a:pt x="21882" y="326221"/>
                                        <a:pt x="11985" y="347252"/>
                                        <a:pt x="11985" y="371995"/>
                                      </a:cubicBezTo>
                                      <a:cubicBezTo>
                                        <a:pt x="11985" y="399213"/>
                                        <a:pt x="23119" y="423956"/>
                                        <a:pt x="41676" y="441276"/>
                                      </a:cubicBezTo>
                                      <a:cubicBezTo>
                                        <a:pt x="31779" y="464781"/>
                                        <a:pt x="30542" y="491999"/>
                                        <a:pt x="41676" y="516742"/>
                                      </a:cubicBezTo>
                                      <a:cubicBezTo>
                                        <a:pt x="51574" y="539010"/>
                                        <a:pt x="68894" y="556330"/>
                                        <a:pt x="89925" y="564991"/>
                                      </a:cubicBezTo>
                                      <a:cubicBezTo>
                                        <a:pt x="91162" y="587259"/>
                                        <a:pt x="99823" y="609528"/>
                                        <a:pt x="117143" y="626848"/>
                                      </a:cubicBezTo>
                                      <a:cubicBezTo>
                                        <a:pt x="136937" y="646642"/>
                                        <a:pt x="161680" y="655302"/>
                                        <a:pt x="187660" y="654065"/>
                                      </a:cubicBezTo>
                                      <a:cubicBezTo>
                                        <a:pt x="196320" y="677571"/>
                                        <a:pt x="214878" y="697365"/>
                                        <a:pt x="240858" y="707263"/>
                                      </a:cubicBezTo>
                                      <a:cubicBezTo>
                                        <a:pt x="263126" y="715923"/>
                                        <a:pt x="287869" y="715923"/>
                                        <a:pt x="308901" y="707263"/>
                                      </a:cubicBezTo>
                                      <a:cubicBezTo>
                                        <a:pt x="326221" y="722108"/>
                                        <a:pt x="347253" y="732006"/>
                                        <a:pt x="371996" y="732006"/>
                                      </a:cubicBezTo>
                                      <a:cubicBezTo>
                                        <a:pt x="399213" y="732006"/>
                                        <a:pt x="423956" y="720871"/>
                                        <a:pt x="441276" y="702314"/>
                                      </a:cubicBezTo>
                                      <a:cubicBezTo>
                                        <a:pt x="464782" y="712211"/>
                                        <a:pt x="491999" y="713448"/>
                                        <a:pt x="516742" y="702314"/>
                                      </a:cubicBezTo>
                                      <a:cubicBezTo>
                                        <a:pt x="539011" y="692417"/>
                                        <a:pt x="556331" y="675097"/>
                                        <a:pt x="564991" y="654065"/>
                                      </a:cubicBezTo>
                                      <a:cubicBezTo>
                                        <a:pt x="587260" y="652828"/>
                                        <a:pt x="609528" y="644168"/>
                                        <a:pt x="626848" y="626848"/>
                                      </a:cubicBezTo>
                                      <a:cubicBezTo>
                                        <a:pt x="646643" y="607054"/>
                                        <a:pt x="655303" y="582311"/>
                                        <a:pt x="654066" y="556330"/>
                                      </a:cubicBezTo>
                                      <a:cubicBezTo>
                                        <a:pt x="677572" y="547670"/>
                                        <a:pt x="697366" y="529113"/>
                                        <a:pt x="707263" y="503133"/>
                                      </a:cubicBezTo>
                                      <a:cubicBezTo>
                                        <a:pt x="715923" y="480864"/>
                                        <a:pt x="715923" y="456121"/>
                                        <a:pt x="707263" y="435090"/>
                                      </a:cubicBezTo>
                                      <a:cubicBezTo>
                                        <a:pt x="722109" y="419007"/>
                                        <a:pt x="732006" y="396738"/>
                                        <a:pt x="732006" y="371995"/>
                                      </a:cubicBezTo>
                                      <a:close/>
                                    </a:path>
                                  </a:pathLst>
                                </a:custGeom>
                                <a:solidFill>
                                  <a:srgbClr val="005596"/>
                                </a:solidFill>
                                <a:ln w="12303" cap="flat">
                                  <a:noFill/>
                                  <a:prstDash val="solid"/>
                                  <a:miter/>
                                </a:ln>
                              </wps:spPr>
                              <wps:bodyPr rtlCol="0" anchor="ctr"/>
                            </wps:wsp>
                          </wpg:grpSp>
                        </wpg:grpSp>
                        <wps:wsp>
                          <wps:cNvPr id="117" name="TextBox 173"/>
                          <wps:cNvSpPr txBox="1"/>
                          <wps:spPr>
                            <a:xfrm>
                              <a:off x="3844646" y="2511639"/>
                              <a:ext cx="2101215" cy="1765300"/>
                            </a:xfrm>
                            <a:prstGeom prst="rect">
                              <a:avLst/>
                            </a:prstGeom>
                            <a:noFill/>
                          </wps:spPr>
                          <wps:txbx>
                            <w:txbxContent>
                              <w:p w14:paraId="42CDA437"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Regulatory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(8)</w:t>
                                </w:r>
                              </w:p>
                              <w:p w14:paraId="6621B4F5"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enable the delivery of legislated functions and assure the safety and quality of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care for consumers</w:t>
                                </w:r>
                              </w:p>
                            </w:txbxContent>
                          </wps:txbx>
                          <wps:bodyPr wrap="square" rtlCol="0">
                            <a:spAutoFit/>
                          </wps:bodyPr>
                        </wps:wsp>
                      </wpg:grpSp>
                      <wpg:grpSp>
                        <wpg:cNvPr id="118" name="Group 118"/>
                        <wpg:cNvGrpSpPr/>
                        <wpg:grpSpPr>
                          <a:xfrm>
                            <a:off x="1615656" y="0"/>
                            <a:ext cx="3042485" cy="3092665"/>
                            <a:chOff x="1615656" y="0"/>
                            <a:chExt cx="3042485" cy="3092665"/>
                          </a:xfrm>
                        </wpg:grpSpPr>
                        <wps:wsp>
                          <wps:cNvPr id="119" name="Oval 119"/>
                          <wps:cNvSpPr>
                            <a:spLocks noChangeAspect="1"/>
                          </wps:cNvSpPr>
                          <wps:spPr>
                            <a:xfrm>
                              <a:off x="1974868" y="409392"/>
                              <a:ext cx="2683273" cy="2683273"/>
                            </a:xfrm>
                            <a:prstGeom prst="ellipse">
                              <a:avLst/>
                            </a:prstGeom>
                            <a:solidFill>
                              <a:srgbClr val="039CDC"/>
                            </a:solidFill>
                            <a:ln>
                              <a:no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g:grpSp>
                          <wpg:cNvPr id="120" name="Group 120"/>
                          <wpg:cNvGrpSpPr/>
                          <wpg:grpSpPr>
                            <a:xfrm>
                              <a:off x="1615656" y="0"/>
                              <a:ext cx="1406165" cy="1386431"/>
                              <a:chOff x="1615656" y="0"/>
                              <a:chExt cx="1924668" cy="1897657"/>
                            </a:xfrm>
                          </wpg:grpSpPr>
                          <wps:wsp>
                            <wps:cNvPr id="121" name="Oval 121"/>
                            <wps:cNvSpPr>
                              <a:spLocks noChangeAspect="1"/>
                            </wps:cNvSpPr>
                            <wps:spPr>
                              <a:xfrm>
                                <a:off x="1615656" y="0"/>
                                <a:ext cx="1924668" cy="1897657"/>
                              </a:xfrm>
                              <a:prstGeom prst="ellipse">
                                <a:avLst/>
                              </a:prstGeom>
                              <a:solidFill>
                                <a:srgbClr val="039CDC"/>
                              </a:solidFill>
                              <a:ln>
                                <a:no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g:grpSp>
                            <wpg:cNvPr id="122" name="Group 122"/>
                            <wpg:cNvGrpSpPr/>
                            <wpg:grpSpPr>
                              <a:xfrm>
                                <a:off x="1764910" y="169853"/>
                                <a:ext cx="1596691" cy="1574283"/>
                                <a:chOff x="1764910" y="169853"/>
                                <a:chExt cx="1596691" cy="1574283"/>
                              </a:xfrm>
                            </wpg:grpSpPr>
                            <wps:wsp>
                              <wps:cNvPr id="123" name="Oval 123"/>
                              <wps:cNvSpPr>
                                <a:spLocks noChangeAspect="1"/>
                              </wps:cNvSpPr>
                              <wps:spPr>
                                <a:xfrm>
                                  <a:off x="1764910" y="169853"/>
                                  <a:ext cx="1596691" cy="1574283"/>
                                </a:xfrm>
                                <a:prstGeom prst="ellipse">
                                  <a:avLst/>
                                </a:prstGeom>
                                <a:solidFill>
                                  <a:schemeClr val="bg1"/>
                                </a:solidFill>
                                <a:ln w="38100"/>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g:grpSp>
                              <wpg:cNvPr id="124" name="Graphic 12" descr="Bullseye"/>
                              <wpg:cNvGrpSpPr/>
                              <wpg:grpSpPr>
                                <a:xfrm rot="16200000">
                                  <a:off x="2057925" y="411146"/>
                                  <a:ext cx="1007179" cy="1010151"/>
                                  <a:chOff x="2061679" y="403427"/>
                                  <a:chExt cx="986504" cy="989414"/>
                                </a:xfrm>
                              </wpg:grpSpPr>
                              <wps:wsp>
                                <wps:cNvPr id="125" name="Freeform: Shape 125"/>
                                <wps:cNvSpPr/>
                                <wps:spPr>
                                  <a:xfrm>
                                    <a:off x="2401895" y="403427"/>
                                    <a:ext cx="646288" cy="643119"/>
                                  </a:xfrm>
                                  <a:custGeom>
                                    <a:avLst/>
                                    <a:gdLst>
                                      <a:gd name="connsiteX0" fmla="*/ 524994 w 646287"/>
                                      <a:gd name="connsiteY0" fmla="*/ 123097 h 643119"/>
                                      <a:gd name="connsiteX1" fmla="*/ 512800 w 646287"/>
                                      <a:gd name="connsiteY1" fmla="*/ 11788 h 643119"/>
                                      <a:gd name="connsiteX2" fmla="*/ 378665 w 646287"/>
                                      <a:gd name="connsiteY2" fmla="*/ 147832 h 643119"/>
                                      <a:gd name="connsiteX3" fmla="*/ 385981 w 646287"/>
                                      <a:gd name="connsiteY3" fmla="*/ 212144 h 643119"/>
                                      <a:gd name="connsiteX4" fmla="*/ 190876 w 646287"/>
                                      <a:gd name="connsiteY4" fmla="*/ 410027 h 643119"/>
                                      <a:gd name="connsiteX5" fmla="*/ 133564 w 646287"/>
                                      <a:gd name="connsiteY5" fmla="*/ 395186 h 643119"/>
                                      <a:gd name="connsiteX6" fmla="*/ 11623 w 646287"/>
                                      <a:gd name="connsiteY6" fmla="*/ 518863 h 643119"/>
                                      <a:gd name="connsiteX7" fmla="*/ 133564 w 646287"/>
                                      <a:gd name="connsiteY7" fmla="*/ 642540 h 643119"/>
                                      <a:gd name="connsiteX8" fmla="*/ 255505 w 646287"/>
                                      <a:gd name="connsiteY8" fmla="*/ 518863 h 643119"/>
                                      <a:gd name="connsiteX9" fmla="*/ 242091 w 646287"/>
                                      <a:gd name="connsiteY9" fmla="*/ 461971 h 643119"/>
                                      <a:gd name="connsiteX10" fmla="*/ 437197 w 646287"/>
                                      <a:gd name="connsiteY10" fmla="*/ 264089 h 643119"/>
                                      <a:gd name="connsiteX11" fmla="*/ 500606 w 646287"/>
                                      <a:gd name="connsiteY11" fmla="*/ 271509 h 643119"/>
                                      <a:gd name="connsiteX12" fmla="*/ 634741 w 646287"/>
                                      <a:gd name="connsiteY12" fmla="*/ 135465 h 643119"/>
                                      <a:gd name="connsiteX13" fmla="*/ 524994 w 646287"/>
                                      <a:gd name="connsiteY13" fmla="*/ 123097 h 64311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646287" h="643119">
                                        <a:moveTo>
                                          <a:pt x="524994" y="123097"/>
                                        </a:moveTo>
                                        <a:lnTo>
                                          <a:pt x="512800" y="11788"/>
                                        </a:lnTo>
                                        <a:lnTo>
                                          <a:pt x="378665" y="147832"/>
                                        </a:lnTo>
                                        <a:lnTo>
                                          <a:pt x="385981" y="212144"/>
                                        </a:lnTo>
                                        <a:lnTo>
                                          <a:pt x="190876" y="410027"/>
                                        </a:lnTo>
                                        <a:cubicBezTo>
                                          <a:pt x="173804" y="401370"/>
                                          <a:pt x="154293" y="395186"/>
                                          <a:pt x="133564" y="395186"/>
                                        </a:cubicBezTo>
                                        <a:cubicBezTo>
                                          <a:pt x="66496" y="395186"/>
                                          <a:pt x="11623" y="450840"/>
                                          <a:pt x="11623" y="518863"/>
                                        </a:cubicBezTo>
                                        <a:cubicBezTo>
                                          <a:pt x="11623" y="586885"/>
                                          <a:pt x="66496" y="642540"/>
                                          <a:pt x="133564" y="642540"/>
                                        </a:cubicBezTo>
                                        <a:cubicBezTo>
                                          <a:pt x="200631" y="642540"/>
                                          <a:pt x="255505" y="586885"/>
                                          <a:pt x="255505" y="518863"/>
                                        </a:cubicBezTo>
                                        <a:cubicBezTo>
                                          <a:pt x="255505" y="497838"/>
                                          <a:pt x="250627" y="479286"/>
                                          <a:pt x="242091" y="461971"/>
                                        </a:cubicBezTo>
                                        <a:lnTo>
                                          <a:pt x="437197" y="264089"/>
                                        </a:lnTo>
                                        <a:lnTo>
                                          <a:pt x="500606" y="271509"/>
                                        </a:lnTo>
                                        <a:lnTo>
                                          <a:pt x="634741" y="135465"/>
                                        </a:lnTo>
                                        <a:lnTo>
                                          <a:pt x="524994" y="123097"/>
                                        </a:lnTo>
                                        <a:close/>
                                      </a:path>
                                    </a:pathLst>
                                  </a:custGeom>
                                  <a:solidFill>
                                    <a:srgbClr val="7030A0"/>
                                  </a:solidFill>
                                  <a:ln w="12105" cap="flat">
                                    <a:noFill/>
                                    <a:prstDash val="solid"/>
                                    <a:miter/>
                                  </a:ln>
                                </wps:spPr>
                                <wps:bodyPr rtlCol="0" anchor="ctr"/>
                              </wps:wsp>
                              <wps:wsp>
                                <wps:cNvPr id="126" name="Freeform: Shape 126"/>
                                <wps:cNvSpPr/>
                                <wps:spPr>
                                  <a:xfrm>
                                    <a:off x="2061679" y="440530"/>
                                    <a:ext cx="938946" cy="952311"/>
                                  </a:xfrm>
                                  <a:custGeom>
                                    <a:avLst/>
                                    <a:gdLst>
                                      <a:gd name="connsiteX0" fmla="*/ 874965 w 938946"/>
                                      <a:gd name="connsiteY0" fmla="*/ 269036 h 952311"/>
                                      <a:gd name="connsiteX1" fmla="*/ 859113 w 938946"/>
                                      <a:gd name="connsiteY1" fmla="*/ 286350 h 952311"/>
                                      <a:gd name="connsiteX2" fmla="*/ 835944 w 938946"/>
                                      <a:gd name="connsiteY2" fmla="*/ 283877 h 952311"/>
                                      <a:gd name="connsiteX3" fmla="*/ 810336 w 938946"/>
                                      <a:gd name="connsiteY3" fmla="*/ 280167 h 952311"/>
                                      <a:gd name="connsiteX4" fmla="*/ 865210 w 938946"/>
                                      <a:gd name="connsiteY4" fmla="*/ 481760 h 952311"/>
                                      <a:gd name="connsiteX5" fmla="*/ 474998 w 938946"/>
                                      <a:gd name="connsiteY5" fmla="*/ 877525 h 952311"/>
                                      <a:gd name="connsiteX6" fmla="*/ 84787 w 938946"/>
                                      <a:gd name="connsiteY6" fmla="*/ 481760 h 952311"/>
                                      <a:gd name="connsiteX7" fmla="*/ 474998 w 938946"/>
                                      <a:gd name="connsiteY7" fmla="*/ 85994 h 952311"/>
                                      <a:gd name="connsiteX8" fmla="*/ 673762 w 938946"/>
                                      <a:gd name="connsiteY8" fmla="*/ 141649 h 952311"/>
                                      <a:gd name="connsiteX9" fmla="*/ 671324 w 938946"/>
                                      <a:gd name="connsiteY9" fmla="*/ 116913 h 952311"/>
                                      <a:gd name="connsiteX10" fmla="*/ 667665 w 938946"/>
                                      <a:gd name="connsiteY10" fmla="*/ 92178 h 952311"/>
                                      <a:gd name="connsiteX11" fmla="*/ 684737 w 938946"/>
                                      <a:gd name="connsiteY11" fmla="*/ 74863 h 952311"/>
                                      <a:gd name="connsiteX12" fmla="*/ 693273 w 938946"/>
                                      <a:gd name="connsiteY12" fmla="*/ 66206 h 952311"/>
                                      <a:gd name="connsiteX13" fmla="*/ 474998 w 938946"/>
                                      <a:gd name="connsiteY13" fmla="*/ 11788 h 952311"/>
                                      <a:gd name="connsiteX14" fmla="*/ 11623 w 938946"/>
                                      <a:gd name="connsiteY14" fmla="*/ 481760 h 952311"/>
                                      <a:gd name="connsiteX15" fmla="*/ 474998 w 938946"/>
                                      <a:gd name="connsiteY15" fmla="*/ 951731 h 952311"/>
                                      <a:gd name="connsiteX16" fmla="*/ 938374 w 938946"/>
                                      <a:gd name="connsiteY16" fmla="*/ 481760 h 952311"/>
                                      <a:gd name="connsiteX17" fmla="*/ 883501 w 938946"/>
                                      <a:gd name="connsiteY17" fmla="*/ 261615 h 952311"/>
                                      <a:gd name="connsiteX18" fmla="*/ 874965 w 938946"/>
                                      <a:gd name="connsiteY18" fmla="*/ 269036 h 95231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938946" h="952311">
                                        <a:moveTo>
                                          <a:pt x="874965" y="269036"/>
                                        </a:moveTo>
                                        <a:lnTo>
                                          <a:pt x="859113" y="286350"/>
                                        </a:lnTo>
                                        <a:lnTo>
                                          <a:pt x="835944" y="283877"/>
                                        </a:lnTo>
                                        <a:lnTo>
                                          <a:pt x="810336" y="280167"/>
                                        </a:lnTo>
                                        <a:cubicBezTo>
                                          <a:pt x="844480" y="339531"/>
                                          <a:pt x="865210" y="407554"/>
                                          <a:pt x="865210" y="481760"/>
                                        </a:cubicBezTo>
                                        <a:cubicBezTo>
                                          <a:pt x="865210" y="699431"/>
                                          <a:pt x="689615" y="877525"/>
                                          <a:pt x="474998" y="877525"/>
                                        </a:cubicBezTo>
                                        <a:cubicBezTo>
                                          <a:pt x="260382" y="877525"/>
                                          <a:pt x="84787" y="699431"/>
                                          <a:pt x="84787" y="481760"/>
                                        </a:cubicBezTo>
                                        <a:cubicBezTo>
                                          <a:pt x="84787" y="264089"/>
                                          <a:pt x="260382" y="85994"/>
                                          <a:pt x="474998" y="85994"/>
                                        </a:cubicBezTo>
                                        <a:cubicBezTo>
                                          <a:pt x="546944" y="85994"/>
                                          <a:pt x="615231" y="105782"/>
                                          <a:pt x="673762" y="141649"/>
                                        </a:cubicBezTo>
                                        <a:lnTo>
                                          <a:pt x="671324" y="116913"/>
                                        </a:lnTo>
                                        <a:lnTo>
                                          <a:pt x="667665" y="92178"/>
                                        </a:lnTo>
                                        <a:lnTo>
                                          <a:pt x="684737" y="74863"/>
                                        </a:lnTo>
                                        <a:lnTo>
                                          <a:pt x="693273" y="66206"/>
                                        </a:lnTo>
                                        <a:cubicBezTo>
                                          <a:pt x="627425" y="31576"/>
                                          <a:pt x="554260" y="11788"/>
                                          <a:pt x="474998" y="11788"/>
                                        </a:cubicBezTo>
                                        <a:cubicBezTo>
                                          <a:pt x="218922" y="11788"/>
                                          <a:pt x="11623" y="222038"/>
                                          <a:pt x="11623" y="481760"/>
                                        </a:cubicBezTo>
                                        <a:cubicBezTo>
                                          <a:pt x="11623" y="741481"/>
                                          <a:pt x="218922" y="951731"/>
                                          <a:pt x="474998" y="951731"/>
                                        </a:cubicBezTo>
                                        <a:cubicBezTo>
                                          <a:pt x="731075" y="951731"/>
                                          <a:pt x="938374" y="741481"/>
                                          <a:pt x="938374" y="481760"/>
                                        </a:cubicBezTo>
                                        <a:cubicBezTo>
                                          <a:pt x="938374" y="401370"/>
                                          <a:pt x="918864" y="327164"/>
                                          <a:pt x="883501" y="261615"/>
                                        </a:cubicBezTo>
                                        <a:lnTo>
                                          <a:pt x="874965" y="269036"/>
                                        </a:lnTo>
                                        <a:close/>
                                      </a:path>
                                    </a:pathLst>
                                  </a:custGeom>
                                  <a:solidFill>
                                    <a:srgbClr val="039CDC"/>
                                  </a:solidFill>
                                  <a:ln w="12105" cap="flat">
                                    <a:noFill/>
                                    <a:prstDash val="solid"/>
                                    <a:miter/>
                                  </a:ln>
                                </wps:spPr>
                                <wps:bodyPr rtlCol="0" anchor="ctr"/>
                              </wps:wsp>
                              <wps:wsp>
                                <wps:cNvPr id="127" name="Freeform: Shape 127"/>
                                <wps:cNvSpPr/>
                                <wps:spPr>
                                  <a:xfrm>
                                    <a:off x="2232397" y="613678"/>
                                    <a:ext cx="597511" cy="606016"/>
                                  </a:xfrm>
                                  <a:custGeom>
                                    <a:avLst/>
                                    <a:gdLst>
                                      <a:gd name="connsiteX0" fmla="*/ 507923 w 597511"/>
                                      <a:gd name="connsiteY0" fmla="*/ 224512 h 606016"/>
                                      <a:gd name="connsiteX1" fmla="*/ 523775 w 597511"/>
                                      <a:gd name="connsiteY1" fmla="*/ 308612 h 606016"/>
                                      <a:gd name="connsiteX2" fmla="*/ 304281 w 597511"/>
                                      <a:gd name="connsiteY2" fmla="*/ 531230 h 606016"/>
                                      <a:gd name="connsiteX3" fmla="*/ 84787 w 597511"/>
                                      <a:gd name="connsiteY3" fmla="*/ 308612 h 606016"/>
                                      <a:gd name="connsiteX4" fmla="*/ 304281 w 597511"/>
                                      <a:gd name="connsiteY4" fmla="*/ 85994 h 606016"/>
                                      <a:gd name="connsiteX5" fmla="*/ 387201 w 597511"/>
                                      <a:gd name="connsiteY5" fmla="*/ 102072 h 606016"/>
                                      <a:gd name="connsiteX6" fmla="*/ 442074 w 597511"/>
                                      <a:gd name="connsiteY6" fmla="*/ 46417 h 606016"/>
                                      <a:gd name="connsiteX7" fmla="*/ 304281 w 597511"/>
                                      <a:gd name="connsiteY7" fmla="*/ 11788 h 606016"/>
                                      <a:gd name="connsiteX8" fmla="*/ 11623 w 597511"/>
                                      <a:gd name="connsiteY8" fmla="*/ 308612 h 606016"/>
                                      <a:gd name="connsiteX9" fmla="*/ 304281 w 597511"/>
                                      <a:gd name="connsiteY9" fmla="*/ 605436 h 606016"/>
                                      <a:gd name="connsiteX10" fmla="*/ 596940 w 597511"/>
                                      <a:gd name="connsiteY10" fmla="*/ 308612 h 606016"/>
                                      <a:gd name="connsiteX11" fmla="*/ 562796 w 597511"/>
                                      <a:gd name="connsiteY11" fmla="*/ 168857 h 606016"/>
                                      <a:gd name="connsiteX12" fmla="*/ 507923 w 597511"/>
                                      <a:gd name="connsiteY12" fmla="*/ 224512 h 6060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597511" h="606016">
                                        <a:moveTo>
                                          <a:pt x="507923" y="224512"/>
                                        </a:moveTo>
                                        <a:cubicBezTo>
                                          <a:pt x="518897" y="250484"/>
                                          <a:pt x="523775" y="278930"/>
                                          <a:pt x="523775" y="308612"/>
                                        </a:cubicBezTo>
                                        <a:cubicBezTo>
                                          <a:pt x="523775" y="431052"/>
                                          <a:pt x="425003" y="531230"/>
                                          <a:pt x="304281" y="531230"/>
                                        </a:cubicBezTo>
                                        <a:cubicBezTo>
                                          <a:pt x="183559" y="531230"/>
                                          <a:pt x="84787" y="431052"/>
                                          <a:pt x="84787" y="308612"/>
                                        </a:cubicBezTo>
                                        <a:cubicBezTo>
                                          <a:pt x="84787" y="186172"/>
                                          <a:pt x="183559" y="85994"/>
                                          <a:pt x="304281" y="85994"/>
                                        </a:cubicBezTo>
                                        <a:cubicBezTo>
                                          <a:pt x="333547" y="85994"/>
                                          <a:pt x="361593" y="92178"/>
                                          <a:pt x="387201" y="102072"/>
                                        </a:cubicBezTo>
                                        <a:lnTo>
                                          <a:pt x="442074" y="46417"/>
                                        </a:lnTo>
                                        <a:cubicBezTo>
                                          <a:pt x="400614" y="24156"/>
                                          <a:pt x="354277" y="11788"/>
                                          <a:pt x="304281" y="11788"/>
                                        </a:cubicBezTo>
                                        <a:cubicBezTo>
                                          <a:pt x="143319" y="11788"/>
                                          <a:pt x="11623" y="145359"/>
                                          <a:pt x="11623" y="308612"/>
                                        </a:cubicBezTo>
                                        <a:cubicBezTo>
                                          <a:pt x="11623" y="471866"/>
                                          <a:pt x="143319" y="605436"/>
                                          <a:pt x="304281" y="605436"/>
                                        </a:cubicBezTo>
                                        <a:cubicBezTo>
                                          <a:pt x="465243" y="605436"/>
                                          <a:pt x="596940" y="471866"/>
                                          <a:pt x="596940" y="308612"/>
                                        </a:cubicBezTo>
                                        <a:cubicBezTo>
                                          <a:pt x="596940" y="257905"/>
                                          <a:pt x="584745" y="210908"/>
                                          <a:pt x="562796" y="168857"/>
                                        </a:cubicBezTo>
                                        <a:lnTo>
                                          <a:pt x="507923" y="224512"/>
                                        </a:lnTo>
                                        <a:close/>
                                      </a:path>
                                    </a:pathLst>
                                  </a:custGeom>
                                  <a:solidFill>
                                    <a:srgbClr val="039CDC"/>
                                  </a:solidFill>
                                  <a:ln w="12105" cap="flat">
                                    <a:noFill/>
                                    <a:prstDash val="solid"/>
                                    <a:miter/>
                                  </a:ln>
                                </wps:spPr>
                                <wps:bodyPr rtlCol="0" anchor="ctr"/>
                              </wps:wsp>
                            </wpg:grpSp>
                          </wpg:grpSp>
                        </wpg:grpSp>
                        <wps:wsp>
                          <wps:cNvPr id="128" name="TextBox 115"/>
                          <wps:cNvSpPr txBox="1"/>
                          <wps:spPr>
                            <a:xfrm>
                              <a:off x="2466043" y="746491"/>
                              <a:ext cx="2002155" cy="1569720"/>
                            </a:xfrm>
                            <a:prstGeom prst="rect">
                              <a:avLst/>
                            </a:prstGeom>
                            <a:noFill/>
                          </wps:spPr>
                          <wps:txbx>
                            <w:txbxContent>
                              <w:p w14:paraId="3B5AF56B"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Strategic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(8)</w:t>
                                </w:r>
                              </w:p>
                              <w:p w14:paraId="2B85DF71"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support the achievement of the organisation’s purpose, </w:t>
                                </w:r>
                                <w:proofErr w:type="gramStart"/>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vision</w:t>
                                </w:r>
                                <w:proofErr w:type="gramEnd"/>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 and priorities</w:t>
                                </w:r>
                              </w:p>
                            </w:txbxContent>
                          </wps:txbx>
                          <wps:bodyPr wrap="square" rtlCol="0">
                            <a:spAutoFit/>
                          </wps:bodyPr>
                        </wps:wsp>
                      </wpg:grpSp>
                      <wps:wsp>
                        <wps:cNvPr id="129" name="Freeform: Shape 129"/>
                        <wps:cNvSpPr>
                          <a:spLocks noChangeAspect="1"/>
                        </wps:cNvSpPr>
                        <wps:spPr>
                          <a:xfrm>
                            <a:off x="359951" y="1758162"/>
                            <a:ext cx="2683274" cy="2683274"/>
                          </a:xfrm>
                          <a:custGeom>
                            <a:avLst/>
                            <a:gdLst>
                              <a:gd name="connsiteX0" fmla="*/ 1616715 w 2683274"/>
                              <a:gd name="connsiteY0" fmla="*/ 28463 h 2683274"/>
                              <a:gd name="connsiteX1" fmla="*/ 1740600 w 2683274"/>
                              <a:gd name="connsiteY1" fmla="*/ 60317 h 2683274"/>
                              <a:gd name="connsiteX2" fmla="*/ 2676348 w 2683274"/>
                              <a:gd name="connsiteY2" fmla="*/ 1204462 h 2683274"/>
                              <a:gd name="connsiteX3" fmla="*/ 2681478 w 2683274"/>
                              <a:gd name="connsiteY3" fmla="*/ 1306041 h 2683274"/>
                              <a:gd name="connsiteX4" fmla="*/ 2557592 w 2683274"/>
                              <a:gd name="connsiteY4" fmla="*/ 1274187 h 2683274"/>
                              <a:gd name="connsiteX5" fmla="*/ 1621844 w 2683274"/>
                              <a:gd name="connsiteY5" fmla="*/ 130042 h 2683274"/>
                              <a:gd name="connsiteX6" fmla="*/ 1341637 w 2683274"/>
                              <a:gd name="connsiteY6" fmla="*/ 0 h 2683274"/>
                              <a:gd name="connsiteX7" fmla="*/ 1612024 w 2683274"/>
                              <a:gd name="connsiteY7" fmla="*/ 27257 h 2683274"/>
                              <a:gd name="connsiteX8" fmla="*/ 1616714 w 2683274"/>
                              <a:gd name="connsiteY8" fmla="*/ 28463 h 2683274"/>
                              <a:gd name="connsiteX9" fmla="*/ 1621843 w 2683274"/>
                              <a:gd name="connsiteY9" fmla="*/ 130042 h 2683274"/>
                              <a:gd name="connsiteX10" fmla="*/ 2557591 w 2683274"/>
                              <a:gd name="connsiteY10" fmla="*/ 1274187 h 2683274"/>
                              <a:gd name="connsiteX11" fmla="*/ 2681477 w 2683274"/>
                              <a:gd name="connsiteY11" fmla="*/ 1306041 h 2683274"/>
                              <a:gd name="connsiteX12" fmla="*/ 2683274 w 2683274"/>
                              <a:gd name="connsiteY12" fmla="*/ 1341637 h 2683274"/>
                              <a:gd name="connsiteX13" fmla="*/ 2678343 w 2683274"/>
                              <a:gd name="connsiteY13" fmla="*/ 1439281 h 2683274"/>
                              <a:gd name="connsiteX14" fmla="*/ 2637531 w 2683274"/>
                              <a:gd name="connsiteY14" fmla="*/ 1441342 h 2683274"/>
                              <a:gd name="connsiteX15" fmla="*/ 1439996 w 2683274"/>
                              <a:gd name="connsiteY15" fmla="*/ 2638877 h 2683274"/>
                              <a:gd name="connsiteX16" fmla="*/ 1438000 w 2683274"/>
                              <a:gd name="connsiteY16" fmla="*/ 2678408 h 2683274"/>
                              <a:gd name="connsiteX17" fmla="*/ 1341637 w 2683274"/>
                              <a:gd name="connsiteY17" fmla="*/ 2683274 h 2683274"/>
                              <a:gd name="connsiteX18" fmla="*/ 0 w 2683274"/>
                              <a:gd name="connsiteY18" fmla="*/ 1341637 h 2683274"/>
                              <a:gd name="connsiteX19" fmla="*/ 1341637 w 2683274"/>
                              <a:gd name="connsiteY19" fmla="*/ 0 h 268327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2683274" h="2683274">
                                <a:moveTo>
                                  <a:pt x="1616715" y="28463"/>
                                </a:moveTo>
                                <a:lnTo>
                                  <a:pt x="1740600" y="60317"/>
                                </a:lnTo>
                                <a:cubicBezTo>
                                  <a:pt x="2244728" y="217117"/>
                                  <a:pt x="2621384" y="663239"/>
                                  <a:pt x="2676348" y="1204462"/>
                                </a:cubicBezTo>
                                <a:lnTo>
                                  <a:pt x="2681478" y="1306041"/>
                                </a:lnTo>
                                <a:lnTo>
                                  <a:pt x="2557592" y="1274187"/>
                                </a:lnTo>
                                <a:cubicBezTo>
                                  <a:pt x="2053465" y="1117387"/>
                                  <a:pt x="1676808" y="671265"/>
                                  <a:pt x="1621844" y="130042"/>
                                </a:cubicBezTo>
                                <a:close/>
                                <a:moveTo>
                                  <a:pt x="1341637" y="0"/>
                                </a:moveTo>
                                <a:cubicBezTo>
                                  <a:pt x="1434258" y="0"/>
                                  <a:pt x="1524687" y="9386"/>
                                  <a:pt x="1612024" y="27257"/>
                                </a:cubicBezTo>
                                <a:lnTo>
                                  <a:pt x="1616714" y="28463"/>
                                </a:lnTo>
                                <a:lnTo>
                                  <a:pt x="1621843" y="130042"/>
                                </a:lnTo>
                                <a:cubicBezTo>
                                  <a:pt x="1676807" y="671265"/>
                                  <a:pt x="2053464" y="1117387"/>
                                  <a:pt x="2557591" y="1274187"/>
                                </a:cubicBezTo>
                                <a:lnTo>
                                  <a:pt x="2681477" y="1306041"/>
                                </a:lnTo>
                                <a:lnTo>
                                  <a:pt x="2683274" y="1341637"/>
                                </a:lnTo>
                                <a:lnTo>
                                  <a:pt x="2678343" y="1439281"/>
                                </a:lnTo>
                                <a:lnTo>
                                  <a:pt x="2637531" y="1441342"/>
                                </a:lnTo>
                                <a:cubicBezTo>
                                  <a:pt x="2006105" y="1505467"/>
                                  <a:pt x="1504121" y="2007451"/>
                                  <a:pt x="1439996" y="2638877"/>
                                </a:cubicBezTo>
                                <a:lnTo>
                                  <a:pt x="1438000" y="2678408"/>
                                </a:lnTo>
                                <a:lnTo>
                                  <a:pt x="1341637" y="2683274"/>
                                </a:lnTo>
                                <a:cubicBezTo>
                                  <a:pt x="600671" y="2683274"/>
                                  <a:pt x="0" y="2082603"/>
                                  <a:pt x="0" y="1341637"/>
                                </a:cubicBezTo>
                                <a:cubicBezTo>
                                  <a:pt x="0" y="600671"/>
                                  <a:pt x="600671" y="0"/>
                                  <a:pt x="1341637" y="0"/>
                                </a:cubicBezTo>
                                <a:close/>
                              </a:path>
                            </a:pathLst>
                          </a:custGeom>
                          <a:solidFill>
                            <a:srgbClr val="2F5596"/>
                          </a:solidFill>
                          <a:ln>
                            <a:noFill/>
                          </a:ln>
                        </wps:spPr>
                        <wps:style>
                          <a:lnRef idx="2">
                            <a:schemeClr val="accent1">
                              <a:shade val="50000"/>
                            </a:schemeClr>
                          </a:lnRef>
                          <a:fillRef idx="1">
                            <a:schemeClr val="accent1"/>
                          </a:fillRef>
                          <a:effectRef idx="0">
                            <a:schemeClr val="accent1"/>
                          </a:effectRef>
                          <a:fontRef idx="minor">
                            <a:schemeClr val="lt1"/>
                          </a:fontRef>
                        </wps:style>
                        <wps:bodyPr wrap="square" lIns="0" tIns="0" rIns="0" bIns="0" rtlCol="0" anchor="t" anchorCtr="0">
                          <a:noAutofit/>
                        </wps:bodyPr>
                      </wps:wsp>
                      <wpg:grpSp>
                        <wpg:cNvPr id="130" name="Group 130"/>
                        <wpg:cNvGrpSpPr/>
                        <wpg:grpSpPr>
                          <a:xfrm>
                            <a:off x="2467440" y="2389535"/>
                            <a:ext cx="1463516" cy="1463516"/>
                            <a:chOff x="2467440" y="2389535"/>
                            <a:chExt cx="1463516" cy="1463516"/>
                          </a:xfrm>
                        </wpg:grpSpPr>
                        <wps:wsp>
                          <wps:cNvPr id="131" name="Oval 131"/>
                          <wps:cNvSpPr/>
                          <wps:spPr>
                            <a:xfrm>
                              <a:off x="2467440" y="2389535"/>
                              <a:ext cx="1463516" cy="1463516"/>
                            </a:xfrm>
                            <a:prstGeom prst="ellipse">
                              <a:avLst/>
                            </a:prstGeom>
                            <a:solidFill>
                              <a:schemeClr val="bg1"/>
                            </a:solidFill>
                            <a:ln w="38100"/>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2" name="TextBox 111"/>
                          <wps:cNvSpPr txBox="1"/>
                          <wps:spPr>
                            <a:xfrm>
                              <a:off x="2531617" y="2565928"/>
                              <a:ext cx="1324610" cy="1217295"/>
                            </a:xfrm>
                            <a:prstGeom prst="rect">
                              <a:avLst/>
                            </a:prstGeom>
                            <a:noFill/>
                          </wps:spPr>
                          <wps:txbx>
                            <w:txbxContent>
                              <w:p w14:paraId="402E2101" w14:textId="77777777" w:rsidR="00632D2C" w:rsidRDefault="00632D2C" w:rsidP="00976516">
                                <w:pPr>
                                  <w:jc w:val="center"/>
                                  <w:rPr>
                                    <w:rFonts w:ascii="Arial" w:hAnsi="Arial" w:cs="Arial"/>
                                    <w:b/>
                                    <w:bCs/>
                                    <w:color w:val="1F4E79" w:themeColor="accent5" w:themeShade="80"/>
                                    <w:kern w:val="24"/>
                                    <w:sz w:val="26"/>
                                    <w:szCs w:val="26"/>
                                  </w:rPr>
                                </w:pPr>
                                <w:r>
                                  <w:rPr>
                                    <w:rFonts w:ascii="Arial" w:hAnsi="Arial" w:cs="Arial"/>
                                    <w:b/>
                                    <w:bCs/>
                                    <w:color w:val="1F4E79" w:themeColor="accent5" w:themeShade="80"/>
                                    <w:kern w:val="24"/>
                                    <w:sz w:val="26"/>
                                    <w:szCs w:val="26"/>
                                  </w:rPr>
                                  <w:t>The Commission’s purpose and strategic objectives</w:t>
                                </w:r>
                              </w:p>
                            </w:txbxContent>
                          </wps:txbx>
                          <wps:bodyPr wrap="square" rtlCol="0">
                            <a:spAutoFit/>
                          </wps:bodyPr>
                        </wps:wsp>
                      </wpg:grpSp>
                      <wpg:grpSp>
                        <wpg:cNvPr id="133" name="Group 133"/>
                        <wpg:cNvGrpSpPr/>
                        <wpg:grpSpPr>
                          <a:xfrm>
                            <a:off x="0" y="3354026"/>
                            <a:ext cx="1373114" cy="1373114"/>
                            <a:chOff x="0" y="3354026"/>
                            <a:chExt cx="1856311" cy="1856311"/>
                          </a:xfrm>
                        </wpg:grpSpPr>
                        <wps:wsp>
                          <wps:cNvPr id="134" name="Oval 134"/>
                          <wps:cNvSpPr>
                            <a:spLocks noChangeAspect="1"/>
                          </wps:cNvSpPr>
                          <wps:spPr>
                            <a:xfrm>
                              <a:off x="0" y="3354026"/>
                              <a:ext cx="1856311" cy="1856311"/>
                            </a:xfrm>
                            <a:prstGeom prst="ellipse">
                              <a:avLst/>
                            </a:prstGeom>
                            <a:solidFill>
                              <a:srgbClr val="005596"/>
                            </a:solidFill>
                            <a:ln>
                              <a:no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s:wsp>
                          <wps:cNvPr id="135" name="Oval 135"/>
                          <wps:cNvSpPr>
                            <a:spLocks noChangeAspect="1"/>
                          </wps:cNvSpPr>
                          <wps:spPr>
                            <a:xfrm>
                              <a:off x="167984" y="3514483"/>
                              <a:ext cx="1530325" cy="1530325"/>
                            </a:xfrm>
                            <a:prstGeom prst="ellipse">
                              <a:avLst/>
                            </a:prstGeom>
                            <a:solidFill>
                              <a:schemeClr val="bg1"/>
                            </a:solidFill>
                            <a:ln w="38100">
                              <a:solidFill>
                                <a:srgbClr val="039CDC"/>
                              </a:solidFill>
                            </a:ln>
                          </wps:spPr>
                          <wps:style>
                            <a:lnRef idx="2">
                              <a:schemeClr val="accent1">
                                <a:shade val="50000"/>
                              </a:schemeClr>
                            </a:lnRef>
                            <a:fillRef idx="1">
                              <a:schemeClr val="accent1"/>
                            </a:fillRef>
                            <a:effectRef idx="0">
                              <a:schemeClr val="accent1"/>
                            </a:effectRef>
                            <a:fontRef idx="minor">
                              <a:schemeClr val="lt1"/>
                            </a:fontRef>
                          </wps:style>
                          <wps:bodyPr lIns="0" tIns="0" rIns="0" bIns="0" rtlCol="0" anchor="ctr"/>
                        </wps:wsp>
                        <wps:wsp>
                          <wps:cNvPr id="136" name="Graphic 68" descr="Connections"/>
                          <wps:cNvSpPr/>
                          <wps:spPr>
                            <a:xfrm>
                              <a:off x="384687" y="3771638"/>
                              <a:ext cx="1082899" cy="983322"/>
                            </a:xfrm>
                            <a:custGeom>
                              <a:avLst/>
                              <a:gdLst>
                                <a:gd name="connsiteX0" fmla="*/ 970583 w 1082898"/>
                                <a:gd name="connsiteY0" fmla="*/ 390028 h 983322"/>
                                <a:gd name="connsiteX1" fmla="*/ 959381 w 1082898"/>
                                <a:gd name="connsiteY1" fmla="*/ 390028 h 983322"/>
                                <a:gd name="connsiteX2" fmla="*/ 927018 w 1082898"/>
                                <a:gd name="connsiteY2" fmla="*/ 302898 h 983322"/>
                                <a:gd name="connsiteX3" fmla="*/ 986764 w 1082898"/>
                                <a:gd name="connsiteY3" fmla="*/ 91298 h 983322"/>
                                <a:gd name="connsiteX4" fmla="*/ 775164 w 1082898"/>
                                <a:gd name="connsiteY4" fmla="*/ 31551 h 983322"/>
                                <a:gd name="connsiteX5" fmla="*/ 701726 w 1082898"/>
                                <a:gd name="connsiteY5" fmla="*/ 126149 h 983322"/>
                                <a:gd name="connsiteX6" fmla="*/ 585967 w 1082898"/>
                                <a:gd name="connsiteY6" fmla="*/ 113702 h 983322"/>
                                <a:gd name="connsiteX7" fmla="*/ 471454 w 1082898"/>
                                <a:gd name="connsiteY7" fmla="*/ 29062 h 983322"/>
                                <a:gd name="connsiteX8" fmla="*/ 385569 w 1082898"/>
                                <a:gd name="connsiteY8" fmla="*/ 128639 h 983322"/>
                                <a:gd name="connsiteX9" fmla="*/ 399261 w 1082898"/>
                                <a:gd name="connsiteY9" fmla="*/ 179672 h 983322"/>
                                <a:gd name="connsiteX10" fmla="*/ 259853 w 1082898"/>
                                <a:gd name="connsiteY10" fmla="*/ 316590 h 983322"/>
                                <a:gd name="connsiteX11" fmla="*/ 167744 w 1082898"/>
                                <a:gd name="connsiteY11" fmla="*/ 285473 h 983322"/>
                                <a:gd name="connsiteX12" fmla="*/ 12155 w 1082898"/>
                                <a:gd name="connsiteY12" fmla="*/ 441061 h 983322"/>
                                <a:gd name="connsiteX13" fmla="*/ 167744 w 1082898"/>
                                <a:gd name="connsiteY13" fmla="*/ 596650 h 983322"/>
                                <a:gd name="connsiteX14" fmla="*/ 198862 w 1082898"/>
                                <a:gd name="connsiteY14" fmla="*/ 783357 h 983322"/>
                                <a:gd name="connsiteX15" fmla="*/ 146584 w 1082898"/>
                                <a:gd name="connsiteY15" fmla="*/ 916541 h 983322"/>
                                <a:gd name="connsiteX16" fmla="*/ 279768 w 1082898"/>
                                <a:gd name="connsiteY16" fmla="*/ 968819 h 983322"/>
                                <a:gd name="connsiteX17" fmla="*/ 337025 w 1082898"/>
                                <a:gd name="connsiteY17" fmla="*/ 846837 h 983322"/>
                                <a:gd name="connsiteX18" fmla="*/ 446560 w 1082898"/>
                                <a:gd name="connsiteY18" fmla="*/ 789581 h 983322"/>
                                <a:gd name="connsiteX19" fmla="*/ 719152 w 1082898"/>
                                <a:gd name="connsiteY19" fmla="*/ 803273 h 983322"/>
                                <a:gd name="connsiteX20" fmla="*/ 782632 w 1082898"/>
                                <a:gd name="connsiteY20" fmla="*/ 661375 h 983322"/>
                                <a:gd name="connsiteX21" fmla="*/ 777653 w 1082898"/>
                                <a:gd name="connsiteY21" fmla="*/ 619055 h 983322"/>
                                <a:gd name="connsiteX22" fmla="*/ 898390 w 1082898"/>
                                <a:gd name="connsiteY22" fmla="*/ 556820 h 983322"/>
                                <a:gd name="connsiteX23" fmla="*/ 1041532 w 1082898"/>
                                <a:gd name="connsiteY23" fmla="*/ 565533 h 983322"/>
                                <a:gd name="connsiteX24" fmla="*/ 1050245 w 1082898"/>
                                <a:gd name="connsiteY24" fmla="*/ 422391 h 983322"/>
                                <a:gd name="connsiteX25" fmla="*/ 970583 w 1082898"/>
                                <a:gd name="connsiteY25" fmla="*/ 390028 h 983322"/>
                                <a:gd name="connsiteX26" fmla="*/ 970583 w 1082898"/>
                                <a:gd name="connsiteY26" fmla="*/ 390028 h 983322"/>
                                <a:gd name="connsiteX27" fmla="*/ 970583 w 1082898"/>
                                <a:gd name="connsiteY27" fmla="*/ 427370 h 983322"/>
                                <a:gd name="connsiteX28" fmla="*/ 999212 w 1082898"/>
                                <a:gd name="connsiteY28" fmla="*/ 455998 h 983322"/>
                                <a:gd name="connsiteX29" fmla="*/ 970583 w 1082898"/>
                                <a:gd name="connsiteY29" fmla="*/ 484626 h 983322"/>
                                <a:gd name="connsiteX30" fmla="*/ 941955 w 1082898"/>
                                <a:gd name="connsiteY30" fmla="*/ 455998 h 983322"/>
                                <a:gd name="connsiteX31" fmla="*/ 941955 w 1082898"/>
                                <a:gd name="connsiteY31" fmla="*/ 455998 h 983322"/>
                                <a:gd name="connsiteX32" fmla="*/ 970583 w 1082898"/>
                                <a:gd name="connsiteY32" fmla="*/ 427370 h 983322"/>
                                <a:gd name="connsiteX33" fmla="*/ 970583 w 1082898"/>
                                <a:gd name="connsiteY33" fmla="*/ 427370 h 983322"/>
                                <a:gd name="connsiteX34" fmla="*/ 851091 w 1082898"/>
                                <a:gd name="connsiteY34" fmla="*/ 72627 h 983322"/>
                                <a:gd name="connsiteX35" fmla="*/ 894656 w 1082898"/>
                                <a:gd name="connsiteY35" fmla="*/ 116192 h 983322"/>
                                <a:gd name="connsiteX36" fmla="*/ 851091 w 1082898"/>
                                <a:gd name="connsiteY36" fmla="*/ 159757 h 983322"/>
                                <a:gd name="connsiteX37" fmla="*/ 807526 w 1082898"/>
                                <a:gd name="connsiteY37" fmla="*/ 116192 h 983322"/>
                                <a:gd name="connsiteX38" fmla="*/ 807526 w 1082898"/>
                                <a:gd name="connsiteY38" fmla="*/ 116192 h 983322"/>
                                <a:gd name="connsiteX39" fmla="*/ 851091 w 1082898"/>
                                <a:gd name="connsiteY39" fmla="*/ 72627 h 983322"/>
                                <a:gd name="connsiteX40" fmla="*/ 762716 w 1082898"/>
                                <a:gd name="connsiteY40" fmla="*/ 214524 h 983322"/>
                                <a:gd name="connsiteX41" fmla="*/ 771429 w 1082898"/>
                                <a:gd name="connsiteY41" fmla="*/ 197098 h 983322"/>
                                <a:gd name="connsiteX42" fmla="*/ 813750 w 1082898"/>
                                <a:gd name="connsiteY42" fmla="*/ 177183 h 983322"/>
                                <a:gd name="connsiteX43" fmla="*/ 849846 w 1082898"/>
                                <a:gd name="connsiteY43" fmla="*/ 172204 h 983322"/>
                                <a:gd name="connsiteX44" fmla="*/ 885943 w 1082898"/>
                                <a:gd name="connsiteY44" fmla="*/ 177183 h 983322"/>
                                <a:gd name="connsiteX45" fmla="*/ 928263 w 1082898"/>
                                <a:gd name="connsiteY45" fmla="*/ 198343 h 983322"/>
                                <a:gd name="connsiteX46" fmla="*/ 936976 w 1082898"/>
                                <a:gd name="connsiteY46" fmla="*/ 215769 h 983322"/>
                                <a:gd name="connsiteX47" fmla="*/ 936976 w 1082898"/>
                                <a:gd name="connsiteY47" fmla="*/ 249376 h 983322"/>
                                <a:gd name="connsiteX48" fmla="*/ 762716 w 1082898"/>
                                <a:gd name="connsiteY48" fmla="*/ 249376 h 983322"/>
                                <a:gd name="connsiteX49" fmla="*/ 762716 w 1082898"/>
                                <a:gd name="connsiteY49" fmla="*/ 214524 h 983322"/>
                                <a:gd name="connsiteX50" fmla="*/ 485146 w 1082898"/>
                                <a:gd name="connsiteY50" fmla="*/ 65159 h 983322"/>
                                <a:gd name="connsiteX51" fmla="*/ 513774 w 1082898"/>
                                <a:gd name="connsiteY51" fmla="*/ 93787 h 983322"/>
                                <a:gd name="connsiteX52" fmla="*/ 485146 w 1082898"/>
                                <a:gd name="connsiteY52" fmla="*/ 122415 h 983322"/>
                                <a:gd name="connsiteX53" fmla="*/ 456517 w 1082898"/>
                                <a:gd name="connsiteY53" fmla="*/ 93787 h 983322"/>
                                <a:gd name="connsiteX54" fmla="*/ 456517 w 1082898"/>
                                <a:gd name="connsiteY54" fmla="*/ 93787 h 983322"/>
                                <a:gd name="connsiteX55" fmla="*/ 485146 w 1082898"/>
                                <a:gd name="connsiteY55" fmla="*/ 65159 h 983322"/>
                                <a:gd name="connsiteX56" fmla="*/ 485146 w 1082898"/>
                                <a:gd name="connsiteY56" fmla="*/ 65159 h 983322"/>
                                <a:gd name="connsiteX57" fmla="*/ 426644 w 1082898"/>
                                <a:gd name="connsiteY57" fmla="*/ 158512 h 983322"/>
                                <a:gd name="connsiteX58" fmla="*/ 432868 w 1082898"/>
                                <a:gd name="connsiteY58" fmla="*/ 147310 h 983322"/>
                                <a:gd name="connsiteX59" fmla="*/ 461496 w 1082898"/>
                                <a:gd name="connsiteY59" fmla="*/ 134862 h 983322"/>
                                <a:gd name="connsiteX60" fmla="*/ 485146 w 1082898"/>
                                <a:gd name="connsiteY60" fmla="*/ 131128 h 983322"/>
                                <a:gd name="connsiteX61" fmla="*/ 508795 w 1082898"/>
                                <a:gd name="connsiteY61" fmla="*/ 134862 h 983322"/>
                                <a:gd name="connsiteX62" fmla="*/ 536179 w 1082898"/>
                                <a:gd name="connsiteY62" fmla="*/ 148554 h 983322"/>
                                <a:gd name="connsiteX63" fmla="*/ 542402 w 1082898"/>
                                <a:gd name="connsiteY63" fmla="*/ 159757 h 983322"/>
                                <a:gd name="connsiteX64" fmla="*/ 542402 w 1082898"/>
                                <a:gd name="connsiteY64" fmla="*/ 182161 h 983322"/>
                                <a:gd name="connsiteX65" fmla="*/ 427889 w 1082898"/>
                                <a:gd name="connsiteY65" fmla="*/ 182161 h 983322"/>
                                <a:gd name="connsiteX66" fmla="*/ 427889 w 1082898"/>
                                <a:gd name="connsiteY66" fmla="*/ 158512 h 983322"/>
                                <a:gd name="connsiteX67" fmla="*/ 165255 w 1082898"/>
                                <a:gd name="connsiteY67" fmla="*/ 346463 h 983322"/>
                                <a:gd name="connsiteX68" fmla="*/ 208820 w 1082898"/>
                                <a:gd name="connsiteY68" fmla="*/ 390028 h 983322"/>
                                <a:gd name="connsiteX69" fmla="*/ 165255 w 1082898"/>
                                <a:gd name="connsiteY69" fmla="*/ 433593 h 983322"/>
                                <a:gd name="connsiteX70" fmla="*/ 121690 w 1082898"/>
                                <a:gd name="connsiteY70" fmla="*/ 390028 h 983322"/>
                                <a:gd name="connsiteX71" fmla="*/ 121690 w 1082898"/>
                                <a:gd name="connsiteY71" fmla="*/ 390028 h 983322"/>
                                <a:gd name="connsiteX72" fmla="*/ 165255 w 1082898"/>
                                <a:gd name="connsiteY72" fmla="*/ 346463 h 983322"/>
                                <a:gd name="connsiteX73" fmla="*/ 165255 w 1082898"/>
                                <a:gd name="connsiteY73" fmla="*/ 346463 h 983322"/>
                                <a:gd name="connsiteX74" fmla="*/ 78125 w 1082898"/>
                                <a:gd name="connsiteY74" fmla="*/ 521968 h 983322"/>
                                <a:gd name="connsiteX75" fmla="*/ 78125 w 1082898"/>
                                <a:gd name="connsiteY75" fmla="*/ 488361 h 983322"/>
                                <a:gd name="connsiteX76" fmla="*/ 86838 w 1082898"/>
                                <a:gd name="connsiteY76" fmla="*/ 470935 h 983322"/>
                                <a:gd name="connsiteX77" fmla="*/ 129158 w 1082898"/>
                                <a:gd name="connsiteY77" fmla="*/ 451019 h 983322"/>
                                <a:gd name="connsiteX78" fmla="*/ 165255 w 1082898"/>
                                <a:gd name="connsiteY78" fmla="*/ 446040 h 983322"/>
                                <a:gd name="connsiteX79" fmla="*/ 201352 w 1082898"/>
                                <a:gd name="connsiteY79" fmla="*/ 451019 h 983322"/>
                                <a:gd name="connsiteX80" fmla="*/ 243672 w 1082898"/>
                                <a:gd name="connsiteY80" fmla="*/ 472179 h 983322"/>
                                <a:gd name="connsiteX81" fmla="*/ 252385 w 1082898"/>
                                <a:gd name="connsiteY81" fmla="*/ 489605 h 983322"/>
                                <a:gd name="connsiteX82" fmla="*/ 252385 w 1082898"/>
                                <a:gd name="connsiteY82" fmla="*/ 523212 h 983322"/>
                                <a:gd name="connsiteX83" fmla="*/ 78125 w 1082898"/>
                                <a:gd name="connsiteY83" fmla="*/ 521968 h 983322"/>
                                <a:gd name="connsiteX84" fmla="*/ 293460 w 1082898"/>
                                <a:gd name="connsiteY84" fmla="*/ 927744 h 983322"/>
                                <a:gd name="connsiteX85" fmla="*/ 177702 w 1082898"/>
                                <a:gd name="connsiteY85" fmla="*/ 927744 h 983322"/>
                                <a:gd name="connsiteX86" fmla="*/ 177702 w 1082898"/>
                                <a:gd name="connsiteY86" fmla="*/ 905339 h 983322"/>
                                <a:gd name="connsiteX87" fmla="*/ 183926 w 1082898"/>
                                <a:gd name="connsiteY87" fmla="*/ 894136 h 983322"/>
                                <a:gd name="connsiteX88" fmla="*/ 212554 w 1082898"/>
                                <a:gd name="connsiteY88" fmla="*/ 880445 h 983322"/>
                                <a:gd name="connsiteX89" fmla="*/ 236203 w 1082898"/>
                                <a:gd name="connsiteY89" fmla="*/ 876710 h 983322"/>
                                <a:gd name="connsiteX90" fmla="*/ 259853 w 1082898"/>
                                <a:gd name="connsiteY90" fmla="*/ 880445 h 983322"/>
                                <a:gd name="connsiteX91" fmla="*/ 287237 w 1082898"/>
                                <a:gd name="connsiteY91" fmla="*/ 894136 h 983322"/>
                                <a:gd name="connsiteX92" fmla="*/ 293460 w 1082898"/>
                                <a:gd name="connsiteY92" fmla="*/ 905339 h 983322"/>
                                <a:gd name="connsiteX93" fmla="*/ 293460 w 1082898"/>
                                <a:gd name="connsiteY93" fmla="*/ 927744 h 983322"/>
                                <a:gd name="connsiteX94" fmla="*/ 206330 w 1082898"/>
                                <a:gd name="connsiteY94" fmla="*/ 840614 h 983322"/>
                                <a:gd name="connsiteX95" fmla="*/ 234959 w 1082898"/>
                                <a:gd name="connsiteY95" fmla="*/ 811986 h 983322"/>
                                <a:gd name="connsiteX96" fmla="*/ 263587 w 1082898"/>
                                <a:gd name="connsiteY96" fmla="*/ 840614 h 983322"/>
                                <a:gd name="connsiteX97" fmla="*/ 234959 w 1082898"/>
                                <a:gd name="connsiteY97" fmla="*/ 869242 h 983322"/>
                                <a:gd name="connsiteX98" fmla="*/ 206330 w 1082898"/>
                                <a:gd name="connsiteY98" fmla="*/ 840614 h 983322"/>
                                <a:gd name="connsiteX99" fmla="*/ 206330 w 1082898"/>
                                <a:gd name="connsiteY99" fmla="*/ 840614 h 983322"/>
                                <a:gd name="connsiteX100" fmla="*/ 305907 w 1082898"/>
                                <a:gd name="connsiteY100" fmla="*/ 805762 h 983322"/>
                                <a:gd name="connsiteX101" fmla="*/ 244916 w 1082898"/>
                                <a:gd name="connsiteY101" fmla="*/ 777134 h 983322"/>
                                <a:gd name="connsiteX102" fmla="*/ 213799 w 1082898"/>
                                <a:gd name="connsiteY102" fmla="*/ 590427 h 983322"/>
                                <a:gd name="connsiteX103" fmla="*/ 288481 w 1082898"/>
                                <a:gd name="connsiteY103" fmla="*/ 536904 h 983322"/>
                                <a:gd name="connsiteX104" fmla="*/ 404240 w 1082898"/>
                                <a:gd name="connsiteY104" fmla="*/ 597895 h 983322"/>
                                <a:gd name="connsiteX105" fmla="*/ 414197 w 1082898"/>
                                <a:gd name="connsiteY105" fmla="*/ 750995 h 983322"/>
                                <a:gd name="connsiteX106" fmla="*/ 305907 w 1082898"/>
                                <a:gd name="connsiteY106" fmla="*/ 805762 h 983322"/>
                                <a:gd name="connsiteX107" fmla="*/ 427889 w 1082898"/>
                                <a:gd name="connsiteY107" fmla="*/ 551841 h 983322"/>
                                <a:gd name="connsiteX108" fmla="*/ 313376 w 1082898"/>
                                <a:gd name="connsiteY108" fmla="*/ 492095 h 983322"/>
                                <a:gd name="connsiteX109" fmla="*/ 320844 w 1082898"/>
                                <a:gd name="connsiteY109" fmla="*/ 442306 h 983322"/>
                                <a:gd name="connsiteX110" fmla="*/ 292215 w 1082898"/>
                                <a:gd name="connsiteY110" fmla="*/ 352687 h 983322"/>
                                <a:gd name="connsiteX111" fmla="*/ 431623 w 1082898"/>
                                <a:gd name="connsiteY111" fmla="*/ 217013 h 983322"/>
                                <a:gd name="connsiteX112" fmla="*/ 569786 w 1082898"/>
                                <a:gd name="connsiteY112" fmla="*/ 184651 h 983322"/>
                                <a:gd name="connsiteX113" fmla="*/ 578499 w 1082898"/>
                                <a:gd name="connsiteY113" fmla="*/ 165980 h 983322"/>
                                <a:gd name="connsiteX114" fmla="*/ 694257 w 1082898"/>
                                <a:gd name="connsiteY114" fmla="*/ 178427 h 983322"/>
                                <a:gd name="connsiteX115" fmla="*/ 755248 w 1082898"/>
                                <a:gd name="connsiteY115" fmla="*/ 292941 h 983322"/>
                                <a:gd name="connsiteX116" fmla="*/ 653182 w 1082898"/>
                                <a:gd name="connsiteY116" fmla="*/ 483382 h 983322"/>
                                <a:gd name="connsiteX117" fmla="*/ 427889 w 1082898"/>
                                <a:gd name="connsiteY117" fmla="*/ 551841 h 983322"/>
                                <a:gd name="connsiteX118" fmla="*/ 427889 w 1082898"/>
                                <a:gd name="connsiteY118" fmla="*/ 551841 h 983322"/>
                                <a:gd name="connsiteX119" fmla="*/ 639490 w 1082898"/>
                                <a:gd name="connsiteY119" fmla="*/ 597895 h 983322"/>
                                <a:gd name="connsiteX120" fmla="*/ 584723 w 1082898"/>
                                <a:gd name="connsiteY120" fmla="*/ 651418 h 983322"/>
                                <a:gd name="connsiteX121" fmla="*/ 531200 w 1082898"/>
                                <a:gd name="connsiteY121" fmla="*/ 597895 h 983322"/>
                                <a:gd name="connsiteX122" fmla="*/ 584723 w 1082898"/>
                                <a:gd name="connsiteY122" fmla="*/ 544373 h 983322"/>
                                <a:gd name="connsiteX123" fmla="*/ 585967 w 1082898"/>
                                <a:gd name="connsiteY123" fmla="*/ 544373 h 983322"/>
                                <a:gd name="connsiteX124" fmla="*/ 639490 w 1082898"/>
                                <a:gd name="connsiteY124" fmla="*/ 597895 h 983322"/>
                                <a:gd name="connsiteX125" fmla="*/ 639490 w 1082898"/>
                                <a:gd name="connsiteY125" fmla="*/ 597895 h 983322"/>
                                <a:gd name="connsiteX126" fmla="*/ 693013 w 1082898"/>
                                <a:gd name="connsiteY126" fmla="*/ 760952 h 983322"/>
                                <a:gd name="connsiteX127" fmla="*/ 477677 w 1082898"/>
                                <a:gd name="connsiteY127" fmla="*/ 760952 h 983322"/>
                                <a:gd name="connsiteX128" fmla="*/ 477677 w 1082898"/>
                                <a:gd name="connsiteY128" fmla="*/ 719877 h 983322"/>
                                <a:gd name="connsiteX129" fmla="*/ 488880 w 1082898"/>
                                <a:gd name="connsiteY129" fmla="*/ 698717 h 983322"/>
                                <a:gd name="connsiteX130" fmla="*/ 541158 w 1082898"/>
                                <a:gd name="connsiteY130" fmla="*/ 672578 h 983322"/>
                                <a:gd name="connsiteX131" fmla="*/ 585967 w 1082898"/>
                                <a:gd name="connsiteY131" fmla="*/ 666354 h 983322"/>
                                <a:gd name="connsiteX132" fmla="*/ 630777 w 1082898"/>
                                <a:gd name="connsiteY132" fmla="*/ 672578 h 983322"/>
                                <a:gd name="connsiteX133" fmla="*/ 683055 w 1082898"/>
                                <a:gd name="connsiteY133" fmla="*/ 698717 h 983322"/>
                                <a:gd name="connsiteX134" fmla="*/ 694257 w 1082898"/>
                                <a:gd name="connsiteY134" fmla="*/ 719877 h 983322"/>
                                <a:gd name="connsiteX135" fmla="*/ 693013 w 1082898"/>
                                <a:gd name="connsiteY135" fmla="*/ 760952 h 983322"/>
                                <a:gd name="connsiteX136" fmla="*/ 869762 w 1082898"/>
                                <a:gd name="connsiteY136" fmla="*/ 492095 h 983322"/>
                                <a:gd name="connsiteX137" fmla="*/ 873496 w 1082898"/>
                                <a:gd name="connsiteY137" fmla="*/ 514499 h 983322"/>
                                <a:gd name="connsiteX138" fmla="*/ 758982 w 1082898"/>
                                <a:gd name="connsiteY138" fmla="*/ 574246 h 983322"/>
                                <a:gd name="connsiteX139" fmla="*/ 699236 w 1082898"/>
                                <a:gd name="connsiteY139" fmla="*/ 507031 h 983322"/>
                                <a:gd name="connsiteX140" fmla="*/ 801303 w 1082898"/>
                                <a:gd name="connsiteY140" fmla="*/ 316590 h 983322"/>
                                <a:gd name="connsiteX141" fmla="*/ 852336 w 1082898"/>
                                <a:gd name="connsiteY141" fmla="*/ 325303 h 983322"/>
                                <a:gd name="connsiteX142" fmla="*/ 882209 w 1082898"/>
                                <a:gd name="connsiteY142" fmla="*/ 322814 h 983322"/>
                                <a:gd name="connsiteX143" fmla="*/ 914571 w 1082898"/>
                                <a:gd name="connsiteY143" fmla="*/ 409944 h 983322"/>
                                <a:gd name="connsiteX144" fmla="*/ 869762 w 1082898"/>
                                <a:gd name="connsiteY144" fmla="*/ 492095 h 983322"/>
                                <a:gd name="connsiteX145" fmla="*/ 1027840 w 1082898"/>
                                <a:gd name="connsiteY145" fmla="*/ 541883 h 983322"/>
                                <a:gd name="connsiteX146" fmla="*/ 912082 w 1082898"/>
                                <a:gd name="connsiteY146" fmla="*/ 541883 h 983322"/>
                                <a:gd name="connsiteX147" fmla="*/ 912082 w 1082898"/>
                                <a:gd name="connsiteY147" fmla="*/ 519478 h 983322"/>
                                <a:gd name="connsiteX148" fmla="*/ 918305 w 1082898"/>
                                <a:gd name="connsiteY148" fmla="*/ 508276 h 983322"/>
                                <a:gd name="connsiteX149" fmla="*/ 946934 w 1082898"/>
                                <a:gd name="connsiteY149" fmla="*/ 494584 h 983322"/>
                                <a:gd name="connsiteX150" fmla="*/ 970583 w 1082898"/>
                                <a:gd name="connsiteY150" fmla="*/ 490850 h 983322"/>
                                <a:gd name="connsiteX151" fmla="*/ 994233 w 1082898"/>
                                <a:gd name="connsiteY151" fmla="*/ 494584 h 983322"/>
                                <a:gd name="connsiteX152" fmla="*/ 1021616 w 1082898"/>
                                <a:gd name="connsiteY152" fmla="*/ 508276 h 983322"/>
                                <a:gd name="connsiteX153" fmla="*/ 1027840 w 1082898"/>
                                <a:gd name="connsiteY153" fmla="*/ 519478 h 983322"/>
                                <a:gd name="connsiteX154" fmla="*/ 1027840 w 1082898"/>
                                <a:gd name="connsiteY154" fmla="*/ 541883 h 98332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Lst>
                              <a:rect l="l" t="t" r="r" b="b"/>
                              <a:pathLst>
                                <a:path w="1082898" h="983322">
                                  <a:moveTo>
                                    <a:pt x="970583" y="390028"/>
                                  </a:moveTo>
                                  <a:cubicBezTo>
                                    <a:pt x="966849" y="390028"/>
                                    <a:pt x="963115" y="390028"/>
                                    <a:pt x="959381" y="390028"/>
                                  </a:cubicBezTo>
                                  <a:lnTo>
                                    <a:pt x="927018" y="302898"/>
                                  </a:lnTo>
                                  <a:cubicBezTo>
                                    <a:pt x="1001701" y="260578"/>
                                    <a:pt x="1027840" y="165980"/>
                                    <a:pt x="986764" y="91298"/>
                                  </a:cubicBezTo>
                                  <a:cubicBezTo>
                                    <a:pt x="944444" y="16615"/>
                                    <a:pt x="849846" y="-9524"/>
                                    <a:pt x="775164" y="31551"/>
                                  </a:cubicBezTo>
                                  <a:cubicBezTo>
                                    <a:pt x="739067" y="51467"/>
                                    <a:pt x="711683" y="86319"/>
                                    <a:pt x="701726" y="126149"/>
                                  </a:cubicBezTo>
                                  <a:lnTo>
                                    <a:pt x="585967" y="113702"/>
                                  </a:lnTo>
                                  <a:cubicBezTo>
                                    <a:pt x="577254" y="58935"/>
                                    <a:pt x="526221" y="20349"/>
                                    <a:pt x="471454" y="29062"/>
                                  </a:cubicBezTo>
                                  <a:cubicBezTo>
                                    <a:pt x="421665" y="36530"/>
                                    <a:pt x="385569" y="78850"/>
                                    <a:pt x="385569" y="128639"/>
                                  </a:cubicBezTo>
                                  <a:cubicBezTo>
                                    <a:pt x="385569" y="146065"/>
                                    <a:pt x="390548" y="163491"/>
                                    <a:pt x="399261" y="179672"/>
                                  </a:cubicBezTo>
                                  <a:lnTo>
                                    <a:pt x="259853" y="316590"/>
                                  </a:lnTo>
                                  <a:cubicBezTo>
                                    <a:pt x="233714" y="296675"/>
                                    <a:pt x="201352" y="285473"/>
                                    <a:pt x="167744" y="285473"/>
                                  </a:cubicBezTo>
                                  <a:cubicBezTo>
                                    <a:pt x="81859" y="285473"/>
                                    <a:pt x="12155" y="355176"/>
                                    <a:pt x="12155" y="441061"/>
                                  </a:cubicBezTo>
                                  <a:cubicBezTo>
                                    <a:pt x="12155" y="526947"/>
                                    <a:pt x="81859" y="596650"/>
                                    <a:pt x="167744" y="596650"/>
                                  </a:cubicBezTo>
                                  <a:lnTo>
                                    <a:pt x="198862" y="783357"/>
                                  </a:lnTo>
                                  <a:cubicBezTo>
                                    <a:pt x="147829" y="805762"/>
                                    <a:pt x="124179" y="865508"/>
                                    <a:pt x="146584" y="916541"/>
                                  </a:cubicBezTo>
                                  <a:cubicBezTo>
                                    <a:pt x="168989" y="967574"/>
                                    <a:pt x="228735" y="991224"/>
                                    <a:pt x="279768" y="968819"/>
                                  </a:cubicBezTo>
                                  <a:cubicBezTo>
                                    <a:pt x="327067" y="948904"/>
                                    <a:pt x="350717" y="896626"/>
                                    <a:pt x="337025" y="846837"/>
                                  </a:cubicBezTo>
                                  <a:lnTo>
                                    <a:pt x="446560" y="789581"/>
                                  </a:lnTo>
                                  <a:cubicBezTo>
                                    <a:pt x="517508" y="867998"/>
                                    <a:pt x="639490" y="874221"/>
                                    <a:pt x="719152" y="803273"/>
                                  </a:cubicBezTo>
                                  <a:cubicBezTo>
                                    <a:pt x="758982" y="767176"/>
                                    <a:pt x="782632" y="714898"/>
                                    <a:pt x="782632" y="661375"/>
                                  </a:cubicBezTo>
                                  <a:cubicBezTo>
                                    <a:pt x="782632" y="647684"/>
                                    <a:pt x="781387" y="632747"/>
                                    <a:pt x="777653" y="619055"/>
                                  </a:cubicBezTo>
                                  <a:lnTo>
                                    <a:pt x="898390" y="556820"/>
                                  </a:lnTo>
                                  <a:cubicBezTo>
                                    <a:pt x="935731" y="599140"/>
                                    <a:pt x="999212" y="602874"/>
                                    <a:pt x="1041532" y="565533"/>
                                  </a:cubicBezTo>
                                  <a:cubicBezTo>
                                    <a:pt x="1083852" y="528191"/>
                                    <a:pt x="1087586" y="464711"/>
                                    <a:pt x="1050245" y="422391"/>
                                  </a:cubicBezTo>
                                  <a:cubicBezTo>
                                    <a:pt x="1026595" y="402475"/>
                                    <a:pt x="999212" y="390028"/>
                                    <a:pt x="970583" y="390028"/>
                                  </a:cubicBezTo>
                                  <a:lnTo>
                                    <a:pt x="970583" y="390028"/>
                                  </a:lnTo>
                                  <a:close/>
                                  <a:moveTo>
                                    <a:pt x="970583" y="427370"/>
                                  </a:moveTo>
                                  <a:cubicBezTo>
                                    <a:pt x="986764" y="427370"/>
                                    <a:pt x="999212" y="439817"/>
                                    <a:pt x="999212" y="455998"/>
                                  </a:cubicBezTo>
                                  <a:cubicBezTo>
                                    <a:pt x="999212" y="472179"/>
                                    <a:pt x="986764" y="484626"/>
                                    <a:pt x="970583" y="484626"/>
                                  </a:cubicBezTo>
                                  <a:cubicBezTo>
                                    <a:pt x="954402" y="484626"/>
                                    <a:pt x="941955" y="472179"/>
                                    <a:pt x="941955" y="455998"/>
                                  </a:cubicBezTo>
                                  <a:cubicBezTo>
                                    <a:pt x="941955" y="455998"/>
                                    <a:pt x="941955" y="455998"/>
                                    <a:pt x="941955" y="455998"/>
                                  </a:cubicBezTo>
                                  <a:cubicBezTo>
                                    <a:pt x="941955" y="439817"/>
                                    <a:pt x="954402" y="427370"/>
                                    <a:pt x="970583" y="427370"/>
                                  </a:cubicBezTo>
                                  <a:lnTo>
                                    <a:pt x="970583" y="427370"/>
                                  </a:lnTo>
                                  <a:close/>
                                  <a:moveTo>
                                    <a:pt x="851091" y="72627"/>
                                  </a:moveTo>
                                  <a:cubicBezTo>
                                    <a:pt x="874740" y="72627"/>
                                    <a:pt x="894656" y="92542"/>
                                    <a:pt x="894656" y="116192"/>
                                  </a:cubicBezTo>
                                  <a:cubicBezTo>
                                    <a:pt x="894656" y="139841"/>
                                    <a:pt x="874740" y="159757"/>
                                    <a:pt x="851091" y="159757"/>
                                  </a:cubicBezTo>
                                  <a:cubicBezTo>
                                    <a:pt x="827441" y="159757"/>
                                    <a:pt x="807526" y="139841"/>
                                    <a:pt x="807526" y="116192"/>
                                  </a:cubicBezTo>
                                  <a:cubicBezTo>
                                    <a:pt x="807526" y="116192"/>
                                    <a:pt x="807526" y="116192"/>
                                    <a:pt x="807526" y="116192"/>
                                  </a:cubicBezTo>
                                  <a:cubicBezTo>
                                    <a:pt x="807526" y="92542"/>
                                    <a:pt x="826197" y="72627"/>
                                    <a:pt x="851091" y="72627"/>
                                  </a:cubicBezTo>
                                  <a:close/>
                                  <a:moveTo>
                                    <a:pt x="762716" y="214524"/>
                                  </a:moveTo>
                                  <a:cubicBezTo>
                                    <a:pt x="762716" y="208300"/>
                                    <a:pt x="766451" y="200832"/>
                                    <a:pt x="771429" y="197098"/>
                                  </a:cubicBezTo>
                                  <a:cubicBezTo>
                                    <a:pt x="783877" y="188385"/>
                                    <a:pt x="798813" y="180917"/>
                                    <a:pt x="813750" y="177183"/>
                                  </a:cubicBezTo>
                                  <a:cubicBezTo>
                                    <a:pt x="824952" y="173449"/>
                                    <a:pt x="837399" y="172204"/>
                                    <a:pt x="849846" y="172204"/>
                                  </a:cubicBezTo>
                                  <a:cubicBezTo>
                                    <a:pt x="862293" y="172204"/>
                                    <a:pt x="874740" y="174693"/>
                                    <a:pt x="885943" y="177183"/>
                                  </a:cubicBezTo>
                                  <a:cubicBezTo>
                                    <a:pt x="900879" y="180917"/>
                                    <a:pt x="915816" y="188385"/>
                                    <a:pt x="928263" y="198343"/>
                                  </a:cubicBezTo>
                                  <a:cubicBezTo>
                                    <a:pt x="933242" y="202077"/>
                                    <a:pt x="936976" y="209545"/>
                                    <a:pt x="936976" y="215769"/>
                                  </a:cubicBezTo>
                                  <a:lnTo>
                                    <a:pt x="936976" y="249376"/>
                                  </a:lnTo>
                                  <a:lnTo>
                                    <a:pt x="762716" y="249376"/>
                                  </a:lnTo>
                                  <a:lnTo>
                                    <a:pt x="762716" y="214524"/>
                                  </a:lnTo>
                                  <a:close/>
                                  <a:moveTo>
                                    <a:pt x="485146" y="65159"/>
                                  </a:moveTo>
                                  <a:cubicBezTo>
                                    <a:pt x="501327" y="65159"/>
                                    <a:pt x="513774" y="77606"/>
                                    <a:pt x="513774" y="93787"/>
                                  </a:cubicBezTo>
                                  <a:cubicBezTo>
                                    <a:pt x="513774" y="109968"/>
                                    <a:pt x="501327" y="122415"/>
                                    <a:pt x="485146" y="122415"/>
                                  </a:cubicBezTo>
                                  <a:cubicBezTo>
                                    <a:pt x="468964" y="122415"/>
                                    <a:pt x="456517" y="109968"/>
                                    <a:pt x="456517" y="93787"/>
                                  </a:cubicBezTo>
                                  <a:cubicBezTo>
                                    <a:pt x="456517" y="93787"/>
                                    <a:pt x="456517" y="93787"/>
                                    <a:pt x="456517" y="93787"/>
                                  </a:cubicBezTo>
                                  <a:cubicBezTo>
                                    <a:pt x="456517" y="78850"/>
                                    <a:pt x="468964" y="65159"/>
                                    <a:pt x="485146" y="65159"/>
                                  </a:cubicBezTo>
                                  <a:lnTo>
                                    <a:pt x="485146" y="65159"/>
                                  </a:lnTo>
                                  <a:close/>
                                  <a:moveTo>
                                    <a:pt x="426644" y="158512"/>
                                  </a:moveTo>
                                  <a:cubicBezTo>
                                    <a:pt x="426644" y="153533"/>
                                    <a:pt x="429134" y="149799"/>
                                    <a:pt x="432868" y="147310"/>
                                  </a:cubicBezTo>
                                  <a:cubicBezTo>
                                    <a:pt x="441581" y="141086"/>
                                    <a:pt x="451539" y="137352"/>
                                    <a:pt x="461496" y="134862"/>
                                  </a:cubicBezTo>
                                  <a:cubicBezTo>
                                    <a:pt x="468964" y="132373"/>
                                    <a:pt x="477677" y="131128"/>
                                    <a:pt x="485146" y="131128"/>
                                  </a:cubicBezTo>
                                  <a:cubicBezTo>
                                    <a:pt x="492614" y="131128"/>
                                    <a:pt x="501327" y="132373"/>
                                    <a:pt x="508795" y="134862"/>
                                  </a:cubicBezTo>
                                  <a:cubicBezTo>
                                    <a:pt x="518753" y="137352"/>
                                    <a:pt x="527466" y="142331"/>
                                    <a:pt x="536179" y="148554"/>
                                  </a:cubicBezTo>
                                  <a:cubicBezTo>
                                    <a:pt x="539913" y="151044"/>
                                    <a:pt x="542402" y="156023"/>
                                    <a:pt x="542402" y="159757"/>
                                  </a:cubicBezTo>
                                  <a:lnTo>
                                    <a:pt x="542402" y="182161"/>
                                  </a:lnTo>
                                  <a:lnTo>
                                    <a:pt x="427889" y="182161"/>
                                  </a:lnTo>
                                  <a:lnTo>
                                    <a:pt x="427889" y="158512"/>
                                  </a:lnTo>
                                  <a:close/>
                                  <a:moveTo>
                                    <a:pt x="165255" y="346463"/>
                                  </a:moveTo>
                                  <a:cubicBezTo>
                                    <a:pt x="188904" y="346463"/>
                                    <a:pt x="208820" y="366379"/>
                                    <a:pt x="208820" y="390028"/>
                                  </a:cubicBezTo>
                                  <a:cubicBezTo>
                                    <a:pt x="208820" y="413678"/>
                                    <a:pt x="188904" y="433593"/>
                                    <a:pt x="165255" y="433593"/>
                                  </a:cubicBezTo>
                                  <a:cubicBezTo>
                                    <a:pt x="141605" y="433593"/>
                                    <a:pt x="121690" y="413678"/>
                                    <a:pt x="121690" y="390028"/>
                                  </a:cubicBezTo>
                                  <a:cubicBezTo>
                                    <a:pt x="121690" y="390028"/>
                                    <a:pt x="121690" y="390028"/>
                                    <a:pt x="121690" y="390028"/>
                                  </a:cubicBezTo>
                                  <a:cubicBezTo>
                                    <a:pt x="122935" y="366379"/>
                                    <a:pt x="141605" y="346463"/>
                                    <a:pt x="165255" y="346463"/>
                                  </a:cubicBezTo>
                                  <a:lnTo>
                                    <a:pt x="165255" y="346463"/>
                                  </a:lnTo>
                                  <a:close/>
                                  <a:moveTo>
                                    <a:pt x="78125" y="521968"/>
                                  </a:moveTo>
                                  <a:lnTo>
                                    <a:pt x="78125" y="488361"/>
                                  </a:lnTo>
                                  <a:cubicBezTo>
                                    <a:pt x="78125" y="482137"/>
                                    <a:pt x="81859" y="474669"/>
                                    <a:pt x="86838" y="470935"/>
                                  </a:cubicBezTo>
                                  <a:cubicBezTo>
                                    <a:pt x="99285" y="462222"/>
                                    <a:pt x="114222" y="454753"/>
                                    <a:pt x="129158" y="451019"/>
                                  </a:cubicBezTo>
                                  <a:cubicBezTo>
                                    <a:pt x="140361" y="447285"/>
                                    <a:pt x="152808" y="446040"/>
                                    <a:pt x="165255" y="446040"/>
                                  </a:cubicBezTo>
                                  <a:cubicBezTo>
                                    <a:pt x="177702" y="446040"/>
                                    <a:pt x="190149" y="448530"/>
                                    <a:pt x="201352" y="451019"/>
                                  </a:cubicBezTo>
                                  <a:cubicBezTo>
                                    <a:pt x="216288" y="454753"/>
                                    <a:pt x="231225" y="462222"/>
                                    <a:pt x="243672" y="472179"/>
                                  </a:cubicBezTo>
                                  <a:cubicBezTo>
                                    <a:pt x="248651" y="475913"/>
                                    <a:pt x="252385" y="483382"/>
                                    <a:pt x="252385" y="489605"/>
                                  </a:cubicBezTo>
                                  <a:lnTo>
                                    <a:pt x="252385" y="523212"/>
                                  </a:lnTo>
                                  <a:lnTo>
                                    <a:pt x="78125" y="521968"/>
                                  </a:lnTo>
                                  <a:close/>
                                  <a:moveTo>
                                    <a:pt x="293460" y="927744"/>
                                  </a:moveTo>
                                  <a:lnTo>
                                    <a:pt x="177702" y="927744"/>
                                  </a:lnTo>
                                  <a:lnTo>
                                    <a:pt x="177702" y="905339"/>
                                  </a:lnTo>
                                  <a:cubicBezTo>
                                    <a:pt x="177702" y="900360"/>
                                    <a:pt x="180191" y="896626"/>
                                    <a:pt x="183926" y="894136"/>
                                  </a:cubicBezTo>
                                  <a:cubicBezTo>
                                    <a:pt x="192639" y="887913"/>
                                    <a:pt x="202596" y="882934"/>
                                    <a:pt x="212554" y="880445"/>
                                  </a:cubicBezTo>
                                  <a:cubicBezTo>
                                    <a:pt x="220022" y="877955"/>
                                    <a:pt x="228735" y="876710"/>
                                    <a:pt x="236203" y="876710"/>
                                  </a:cubicBezTo>
                                  <a:cubicBezTo>
                                    <a:pt x="243672" y="876710"/>
                                    <a:pt x="252385" y="877955"/>
                                    <a:pt x="259853" y="880445"/>
                                  </a:cubicBezTo>
                                  <a:cubicBezTo>
                                    <a:pt x="269811" y="882934"/>
                                    <a:pt x="278524" y="887913"/>
                                    <a:pt x="287237" y="894136"/>
                                  </a:cubicBezTo>
                                  <a:cubicBezTo>
                                    <a:pt x="290971" y="896626"/>
                                    <a:pt x="293460" y="901605"/>
                                    <a:pt x="293460" y="905339"/>
                                  </a:cubicBezTo>
                                  <a:lnTo>
                                    <a:pt x="293460" y="927744"/>
                                  </a:lnTo>
                                  <a:close/>
                                  <a:moveTo>
                                    <a:pt x="206330" y="840614"/>
                                  </a:moveTo>
                                  <a:cubicBezTo>
                                    <a:pt x="206330" y="824433"/>
                                    <a:pt x="218777" y="811986"/>
                                    <a:pt x="234959" y="811986"/>
                                  </a:cubicBezTo>
                                  <a:cubicBezTo>
                                    <a:pt x="251140" y="811986"/>
                                    <a:pt x="263587" y="824433"/>
                                    <a:pt x="263587" y="840614"/>
                                  </a:cubicBezTo>
                                  <a:cubicBezTo>
                                    <a:pt x="263587" y="856795"/>
                                    <a:pt x="251140" y="869242"/>
                                    <a:pt x="234959" y="869242"/>
                                  </a:cubicBezTo>
                                  <a:cubicBezTo>
                                    <a:pt x="220022" y="870487"/>
                                    <a:pt x="207575" y="856795"/>
                                    <a:pt x="206330" y="840614"/>
                                  </a:cubicBezTo>
                                  <a:lnTo>
                                    <a:pt x="206330" y="840614"/>
                                  </a:lnTo>
                                  <a:close/>
                                  <a:moveTo>
                                    <a:pt x="305907" y="805762"/>
                                  </a:moveTo>
                                  <a:cubicBezTo>
                                    <a:pt x="289726" y="789581"/>
                                    <a:pt x="267321" y="779623"/>
                                    <a:pt x="244916" y="777134"/>
                                  </a:cubicBezTo>
                                  <a:lnTo>
                                    <a:pt x="213799" y="590427"/>
                                  </a:lnTo>
                                  <a:cubicBezTo>
                                    <a:pt x="243672" y="580469"/>
                                    <a:pt x="269811" y="561799"/>
                                    <a:pt x="288481" y="536904"/>
                                  </a:cubicBezTo>
                                  <a:lnTo>
                                    <a:pt x="404240" y="597895"/>
                                  </a:lnTo>
                                  <a:cubicBezTo>
                                    <a:pt x="385569" y="647684"/>
                                    <a:pt x="389303" y="703696"/>
                                    <a:pt x="414197" y="750995"/>
                                  </a:cubicBezTo>
                                  <a:lnTo>
                                    <a:pt x="305907" y="805762"/>
                                  </a:lnTo>
                                  <a:close/>
                                  <a:moveTo>
                                    <a:pt x="427889" y="551841"/>
                                  </a:moveTo>
                                  <a:lnTo>
                                    <a:pt x="313376" y="492095"/>
                                  </a:lnTo>
                                  <a:cubicBezTo>
                                    <a:pt x="318354" y="475913"/>
                                    <a:pt x="320844" y="459732"/>
                                    <a:pt x="320844" y="442306"/>
                                  </a:cubicBezTo>
                                  <a:cubicBezTo>
                                    <a:pt x="320844" y="409944"/>
                                    <a:pt x="310886" y="378826"/>
                                    <a:pt x="292215" y="352687"/>
                                  </a:cubicBezTo>
                                  <a:lnTo>
                                    <a:pt x="431623" y="217013"/>
                                  </a:lnTo>
                                  <a:cubicBezTo>
                                    <a:pt x="478922" y="245642"/>
                                    <a:pt x="541158" y="231950"/>
                                    <a:pt x="569786" y="184651"/>
                                  </a:cubicBezTo>
                                  <a:cubicBezTo>
                                    <a:pt x="573520" y="178427"/>
                                    <a:pt x="576010" y="172204"/>
                                    <a:pt x="578499" y="165980"/>
                                  </a:cubicBezTo>
                                  <a:lnTo>
                                    <a:pt x="694257" y="178427"/>
                                  </a:lnTo>
                                  <a:cubicBezTo>
                                    <a:pt x="696747" y="223237"/>
                                    <a:pt x="719152" y="265557"/>
                                    <a:pt x="755248" y="292941"/>
                                  </a:cubicBezTo>
                                  <a:lnTo>
                                    <a:pt x="653182" y="483382"/>
                                  </a:lnTo>
                                  <a:cubicBezTo>
                                    <a:pt x="572276" y="451019"/>
                                    <a:pt x="478922" y="479648"/>
                                    <a:pt x="427889" y="551841"/>
                                  </a:cubicBezTo>
                                  <a:lnTo>
                                    <a:pt x="427889" y="551841"/>
                                  </a:lnTo>
                                  <a:close/>
                                  <a:moveTo>
                                    <a:pt x="639490" y="597895"/>
                                  </a:moveTo>
                                  <a:cubicBezTo>
                                    <a:pt x="639490" y="627768"/>
                                    <a:pt x="614596" y="651418"/>
                                    <a:pt x="584723" y="651418"/>
                                  </a:cubicBezTo>
                                  <a:cubicBezTo>
                                    <a:pt x="554850" y="651418"/>
                                    <a:pt x="531200" y="627768"/>
                                    <a:pt x="531200" y="597895"/>
                                  </a:cubicBezTo>
                                  <a:cubicBezTo>
                                    <a:pt x="531200" y="568022"/>
                                    <a:pt x="554850" y="544373"/>
                                    <a:pt x="584723" y="544373"/>
                                  </a:cubicBezTo>
                                  <a:cubicBezTo>
                                    <a:pt x="584723" y="544373"/>
                                    <a:pt x="584723" y="544373"/>
                                    <a:pt x="585967" y="544373"/>
                                  </a:cubicBezTo>
                                  <a:cubicBezTo>
                                    <a:pt x="615840" y="544373"/>
                                    <a:pt x="639490" y="568022"/>
                                    <a:pt x="639490" y="597895"/>
                                  </a:cubicBezTo>
                                  <a:lnTo>
                                    <a:pt x="639490" y="597895"/>
                                  </a:lnTo>
                                  <a:close/>
                                  <a:moveTo>
                                    <a:pt x="693013" y="760952"/>
                                  </a:moveTo>
                                  <a:lnTo>
                                    <a:pt x="477677" y="760952"/>
                                  </a:lnTo>
                                  <a:lnTo>
                                    <a:pt x="477677" y="719877"/>
                                  </a:lnTo>
                                  <a:cubicBezTo>
                                    <a:pt x="477677" y="711164"/>
                                    <a:pt x="481412" y="703696"/>
                                    <a:pt x="488880" y="698717"/>
                                  </a:cubicBezTo>
                                  <a:cubicBezTo>
                                    <a:pt x="505061" y="687514"/>
                                    <a:pt x="522487" y="678801"/>
                                    <a:pt x="541158" y="672578"/>
                                  </a:cubicBezTo>
                                  <a:cubicBezTo>
                                    <a:pt x="556094" y="668844"/>
                                    <a:pt x="571031" y="666354"/>
                                    <a:pt x="585967" y="666354"/>
                                  </a:cubicBezTo>
                                  <a:cubicBezTo>
                                    <a:pt x="600904" y="666354"/>
                                    <a:pt x="615840" y="668844"/>
                                    <a:pt x="630777" y="672578"/>
                                  </a:cubicBezTo>
                                  <a:cubicBezTo>
                                    <a:pt x="649448" y="677557"/>
                                    <a:pt x="668118" y="686270"/>
                                    <a:pt x="683055" y="698717"/>
                                  </a:cubicBezTo>
                                  <a:cubicBezTo>
                                    <a:pt x="689278" y="703696"/>
                                    <a:pt x="694257" y="712409"/>
                                    <a:pt x="694257" y="719877"/>
                                  </a:cubicBezTo>
                                  <a:lnTo>
                                    <a:pt x="693013" y="760952"/>
                                  </a:lnTo>
                                  <a:close/>
                                  <a:moveTo>
                                    <a:pt x="869762" y="492095"/>
                                  </a:moveTo>
                                  <a:cubicBezTo>
                                    <a:pt x="869762" y="499563"/>
                                    <a:pt x="871006" y="507031"/>
                                    <a:pt x="873496" y="514499"/>
                                  </a:cubicBezTo>
                                  <a:lnTo>
                                    <a:pt x="758982" y="574246"/>
                                  </a:lnTo>
                                  <a:cubicBezTo>
                                    <a:pt x="745291" y="546862"/>
                                    <a:pt x="724130" y="524457"/>
                                    <a:pt x="699236" y="507031"/>
                                  </a:cubicBezTo>
                                  <a:lnTo>
                                    <a:pt x="801303" y="316590"/>
                                  </a:lnTo>
                                  <a:cubicBezTo>
                                    <a:pt x="817484" y="322814"/>
                                    <a:pt x="834910" y="325303"/>
                                    <a:pt x="852336" y="325303"/>
                                  </a:cubicBezTo>
                                  <a:cubicBezTo>
                                    <a:pt x="862293" y="325303"/>
                                    <a:pt x="872251" y="324059"/>
                                    <a:pt x="882209" y="322814"/>
                                  </a:cubicBezTo>
                                  <a:lnTo>
                                    <a:pt x="914571" y="409944"/>
                                  </a:lnTo>
                                  <a:cubicBezTo>
                                    <a:pt x="884698" y="427370"/>
                                    <a:pt x="868517" y="458487"/>
                                    <a:pt x="869762" y="492095"/>
                                  </a:cubicBezTo>
                                  <a:close/>
                                  <a:moveTo>
                                    <a:pt x="1027840" y="541883"/>
                                  </a:moveTo>
                                  <a:lnTo>
                                    <a:pt x="912082" y="541883"/>
                                  </a:lnTo>
                                  <a:lnTo>
                                    <a:pt x="912082" y="519478"/>
                                  </a:lnTo>
                                  <a:cubicBezTo>
                                    <a:pt x="912082" y="514499"/>
                                    <a:pt x="914571" y="510765"/>
                                    <a:pt x="918305" y="508276"/>
                                  </a:cubicBezTo>
                                  <a:cubicBezTo>
                                    <a:pt x="927018" y="502052"/>
                                    <a:pt x="936976" y="497073"/>
                                    <a:pt x="946934" y="494584"/>
                                  </a:cubicBezTo>
                                  <a:cubicBezTo>
                                    <a:pt x="954402" y="492095"/>
                                    <a:pt x="963115" y="490850"/>
                                    <a:pt x="970583" y="490850"/>
                                  </a:cubicBezTo>
                                  <a:cubicBezTo>
                                    <a:pt x="978052" y="490850"/>
                                    <a:pt x="986764" y="492095"/>
                                    <a:pt x="994233" y="494584"/>
                                  </a:cubicBezTo>
                                  <a:cubicBezTo>
                                    <a:pt x="1004190" y="497073"/>
                                    <a:pt x="1012903" y="502052"/>
                                    <a:pt x="1021616" y="508276"/>
                                  </a:cubicBezTo>
                                  <a:cubicBezTo>
                                    <a:pt x="1025351" y="510765"/>
                                    <a:pt x="1027840" y="515744"/>
                                    <a:pt x="1027840" y="519478"/>
                                  </a:cubicBezTo>
                                  <a:lnTo>
                                    <a:pt x="1027840" y="541883"/>
                                  </a:lnTo>
                                  <a:close/>
                                </a:path>
                              </a:pathLst>
                            </a:custGeom>
                            <a:solidFill>
                              <a:schemeClr val="bg1"/>
                            </a:solidFill>
                            <a:ln w="12700" cap="flat">
                              <a:solidFill>
                                <a:srgbClr val="005596"/>
                              </a:solidFill>
                              <a:prstDash val="solid"/>
                              <a:miter/>
                            </a:ln>
                          </wps:spPr>
                          <wps:bodyPr rtlCol="0" anchor="ctr"/>
                        </wps:wsp>
                      </wpg:grpSp>
                      <wps:wsp>
                        <wps:cNvPr id="137" name="TextBox 172"/>
                        <wps:cNvSpPr txBox="1"/>
                        <wps:spPr>
                          <a:xfrm>
                            <a:off x="582446" y="1941890"/>
                            <a:ext cx="2101850" cy="1765300"/>
                          </a:xfrm>
                          <a:prstGeom prst="rect">
                            <a:avLst/>
                          </a:prstGeom>
                          <a:noFill/>
                        </wps:spPr>
                        <wps:txbx>
                          <w:txbxContent>
                            <w:p w14:paraId="6F317C40"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Engagement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(8)</w:t>
                              </w:r>
                            </w:p>
                            <w:p w14:paraId="587886D4"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ensure effective stakeholder relationships and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 xml:space="preserve">support consumer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centric outcomes</w:t>
                              </w:r>
                            </w:p>
                          </w:txbxContent>
                        </wps:txbx>
                        <wps:bodyPr wrap="square" rtlCol="0">
                          <a:spAutoFit/>
                        </wps:bodyPr>
                      </wps:wsp>
                    </wpg:wgp>
                  </a:graphicData>
                </a:graphic>
              </wp:anchor>
            </w:drawing>
          </mc:Choice>
          <mc:Fallback>
            <w:pict>
              <v:group w14:anchorId="7B3DC94C" id="Group 12" o:spid="_x0000_s1082" alt="&quot;&quot;" style="position:absolute;margin-left:0;margin-top:0;width:488.25pt;height:487.05pt;z-index:251659264;mso-position-horizontal-relative:text;mso-position-vertical-relative:text" coordsize="62008,61855"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">
                <v:group id="Group 46" o:spid="_x0000_s1083" style="position:absolute;left:17930;top:31925;width:30477;height:29930" coordorigin="17930,31925" coordsize="30477,299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oval id="Oval 47" o:spid="_x0000_s1084" style="position:absolute;left:17930;top:31925;width:26832;height:268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" fillcolor="#68d2fc" stroked="f" strokeweight="1pt">
                    <v:stroke joinstyle="miter"/>
                    <o:lock v:ext="edit" aspectratio="t"/>
                    <v:textbox inset="0,0,0,0"/>
                  </v:oval>
                  <v:group id="Group 48" o:spid="_x0000_s1085" style="position:absolute;left:34876;top:48211;width:13531;height:13644" coordorigin="34876,48211" coordsize="18993,189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">
                    <v:oval id="Oval 49" o:spid="_x0000_s1086" style="position:absolute;left:34876;top:48211;width:18994;height:189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" fillcolor="#68d2fc" stroked="f" strokeweight="1pt">
                      <v:stroke joinstyle="miter"/>
                      <o:lock v:ext="edit" aspectratio="t"/>
                      <v:textbox inset="0,0,0,0"/>
                    </v:oval>
                    <v:oval id="Oval 50" o:spid="_x0000_s1087" style="position:absolute;left:36300;top:49748;width:15918;height:159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" fillcolor="white [3212]" strokecolor="#1f3763 [1604]" strokeweight="3pt">
                      <v:stroke joinstyle="miter"/>
                      <v:path arrowok="t"/>
                      <o:lock v:ext="edit" aspectratio="t"/>
                      <v:textbox inset="0,0,0,0"/>
                    </v:oval>
                    <v:shape id="Graphic 168" o:spid="_x0000_s1088" type="#_x0000_t75" alt="Gears" style="position:absolute;left:38043;top:51321;width:13173;height:13173;rotation:950947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">
                      <v:imagedata r:id="rId41" o:title="Gears"/>
                    </v:shape>
                  </v:group>
                  <v:shapetype id="_x0000_t202" coordsize="21600,21600" o:spt="202" path="m,l,21600r21600,l21600,xe">
                    <v:stroke joinstyle="miter"/>
                    <v:path gradientshapeok="t" o:connecttype="rect"/>
                  </v:shapetype>
                  <v:shape id="TextBox 174" o:spid="_x0000_s1089" type="#_x0000_t202" style="position:absolute;left:18294;top:38786;width:21012;height:17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" filled="f" stroked="f">
                    <v:textbox style="mso-fit-shape-to-text:t">
                      <w:txbxContent>
                        <w:p w14:paraId="46C4CBE1"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Enterprise-wide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(13)</w:t>
                          </w:r>
                        </w:p>
                        <w:p w14:paraId="06CE4D0F"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ensure effective operations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 xml:space="preserve">and support the delivery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 xml:space="preserve">of its primary function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and mandate</w:t>
                          </w:r>
                        </w:p>
                      </w:txbxContent>
                    </v:textbox>
                  </v:shape>
                </v:group>
                <v:group id="Group 53" o:spid="_x0000_s1090" style="position:absolute;left:33438;top:12877;width:28570;height:32048" coordorigin="33438,12877" coordsize="28570,320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">
                  <v:oval id="Oval 54" o:spid="_x0000_s1091" style="position:absolute;left:33438;top:18456;width:26468;height:264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" fillcolor="#6fc1ff" stroked="f" strokeweight="1pt">
                    <v:stroke joinstyle="miter"/>
                    <o:lock v:ext="edit" aspectratio="t"/>
                    <v:textbox inset="0,0,0,0"/>
                  </v:oval>
                  <v:group id="Group 55" o:spid="_x0000_s1092" style="position:absolute;left:48277;top:12877;width:13731;height:13731" coordorigin="48277,12877" coordsize="18450,1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">
                    <v:oval id="Oval 57" o:spid="_x0000_s1093" style="position:absolute;left:48277;top:12877;width:18450;height:184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" fillcolor="#6fc1ff" stroked="f" strokeweight="1pt">
                      <v:stroke joinstyle="miter"/>
                      <o:lock v:ext="edit" aspectratio="t"/>
                      <v:textbox inset="0,0,0,0"/>
                    </v:oval>
                    <v:oval id="Oval 111" o:spid="_x0000_s1094" style="position:absolute;left:49789;top:14418;width:15254;height:152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" fillcolor="white [3212]" strokecolor="#1f3763 [1604]" strokeweight="3pt">
                      <v:stroke joinstyle="miter"/>
                      <v:path arrowok="t"/>
                      <o:lock v:ext="edit" aspectratio="t"/>
                      <v:textbox inset="0,0,0,0"/>
                    </v:oval>
                    <v:oval id="Oval 112" o:spid="_x0000_s1095" style="position:absolute;left:55172;top:17763;width:4580;height:45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" fillcolor="#ffd966 [1943]" strokecolor="#1f3763 [1604]" strokeweight="1pt">
                      <v:stroke joinstyle="miter"/>
                    </v:oval>
                    <v:group id="Graphic 24" o:spid="_x0000_s1096" alt="Ribbon" style="position:absolute;left:53779;top:16453;width:7522;height:10763" coordorigin="53779,16453" coordsize="7521,10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">
                      <v:shape id="Freeform: Shape 114" o:spid="_x0000_s1097" style="position:absolute;left:53779;top:23257;width:3588;height:3959;visibility:visible;mso-wrap-style:square;v-text-anchor:middle" coordsize="358773,3958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" path="m279209,75080v-17320,,-33403,-3712,-49486,-9898c203743,55285,181474,36728,165391,13222v-1237,,-3711,-1237,-4948,-1237l11985,303952,136937,275498r63095,117529l354675,91162c337355,88688,320035,81265,305189,72605v-8660,1237,-17320,2475,-25980,2475xe" fillcolor="#005596" stroked="f" strokeweight=".34175mm">
                        <v:stroke joinstyle="miter"/>
                        <v:path arrowok="t" o:connecttype="custom" o:connectlocs="279210,75080;229724,65182;165391,13222;160443,11985;11985,303953;136937,275499;200033,393028;354676,91162;305190,72605;279210,75080" o:connectangles="0,0,0,0,0,0,0,0,0,0"/>
                      </v:shape>
                      <v:shape id="Freeform: Shape 115" o:spid="_x0000_s1098" style="position:absolute;left:57589;top:23331;width:3712;height:3835;visibility:visible;mso-wrap-style:square;v-text-anchor:middle" coordsize="371145,3835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" path="m156731,51574v-17320,7423,-35877,11134,-54434,11134c92400,62708,83740,61471,73842,60234,55285,72605,34254,81265,11985,83740l175289,378181,239621,273023r126189,21032l208692,11985c195083,29305,177763,42914,156731,51574xe" fillcolor="#005596" stroked="f" strokeweight=".34175mm">
                        <v:stroke joinstyle="miter"/>
                        <v:path arrowok="t" o:connecttype="custom" o:connectlocs="156731,51574;102297,62708;73842,60234;11985,83740;175289,378181;239621,273023;365810,294055;208692,11985;156731,51574" o:connectangles="0,0,0,0,0,0,0,0,0"/>
                      </v:shape>
                      <v:shape id="Freeform: Shape 116" o:spid="_x0000_s1099" style="position:absolute;left:53828;top:16453;width:7423;height:7423;visibility:visible;mso-wrap-style:square;v-text-anchor:middle" coordsize="742290,742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" path="m367047,586022v-117529,,-214027,-95260,-214027,-214027c153020,253229,249518,157968,367047,157968v117529,,214027,95261,214027,214027c581074,490762,484576,586022,367047,586022xm732006,371995v,-27217,-11134,-51960,-29691,-69280c712212,279209,713449,251992,702315,227249v-9898,-22269,-27218,-39589,-48249,-48249c652829,156731,644169,134463,626848,117143,607054,97348,582311,88688,556331,89925,547671,66419,529114,46625,503133,36728v-22268,-8660,-47011,-8660,-68043,c417770,21882,396739,11985,371996,11985v-27218,,-51961,11134,-69281,29691c279209,31779,251992,30542,227249,41676v-22269,9898,-39589,27218,-48249,48249c156731,91162,134463,99822,117143,117143,97348,136937,88688,161680,89925,187660v-23506,8660,-43300,27217,-53197,53197c28068,263126,28068,287869,36728,308901,21882,326221,11985,347252,11985,371995v,27218,11134,51961,29691,69281c31779,464781,30542,491999,41676,516742v9898,22268,27218,39588,48249,48249c91162,587259,99823,609528,117143,626848v19794,19794,44537,28454,70517,27217c196320,677571,214878,697365,240858,707263v22268,8660,47011,8660,68043,c326221,722108,347253,732006,371996,732006v27217,,51960,-11135,69280,-29692c464782,712211,491999,713448,516742,702314v22269,-9897,39589,-27217,48249,-48249c587260,652828,609528,644168,626848,626848v19795,-19794,28455,-44537,27218,-70518c677572,547670,697366,529113,707263,503133v8660,-22269,8660,-47012,,-68043c722109,419007,732006,396738,732006,371995xe" fillcolor="#005596" stroked="f" strokeweight=".34175mm">
                        <v:stroke joinstyle="miter"/>
                        <v:path arrowok="t" o:connecttype="custom" o:connectlocs="367047,586022;153020,371995;367047,157968;581074,371995;367047,586022;732006,371995;702315,302715;702315,227249;654066,179000;626848,117143;556331,89925;503133,36728;435090,36728;371996,11985;302715,41676;227249,41676;179000,89925;117143,117143;89925,187660;36728,240857;36728,308901;11985,371995;41676,441276;41676,516742;89925,564991;117143,626848;187660,654065;240858,707263;308901,707263;371996,732006;441276,702314;516742,702314;564991,654065;626848,626848;654066,556330;707263,503133;707263,435090;732006,371995" o:connectangles="0,0,0,0,0,0,0,0,0,0,0,0,0,0,0,0,0,0,0,0,0,0,0,0,0,0,0,0,0,0,0,0,0,0,0,0,0,0"/>
                      </v:shape>
                    </v:group>
                  </v:group>
                  <v:shape id="TextBox 173" o:spid="_x0000_s1100" type="#_x0000_t202" style="position:absolute;left:38446;top:25116;width:21012;height:17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" filled="f" stroked="f">
                    <v:textbox style="mso-fit-shape-to-text:t">
                      <w:txbxContent>
                        <w:p w14:paraId="42CDA437"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Regulatory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(8)</w:t>
                          </w:r>
                        </w:p>
                        <w:p w14:paraId="6621B4F5"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enable the delivery of legislated functions and assure the safety and quality of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care for consumers</w:t>
                          </w:r>
                        </w:p>
                      </w:txbxContent>
                    </v:textbox>
                  </v:shape>
                </v:group>
                <v:group id="Group 118" o:spid="_x0000_s1101" style="position:absolute;left:16156;width:30425;height:30926" coordorigin="16156" coordsize="30424,309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">
                  <v:oval id="Oval 119" o:spid="_x0000_s1102" style="position:absolute;left:19748;top:4093;width:26833;height:268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" fillcolor="#039cdc" stroked="f" strokeweight="1pt">
                    <v:stroke joinstyle="miter"/>
                    <o:lock v:ext="edit" aspectratio="t"/>
                    <v:textbox inset="0,0,0,0"/>
                  </v:oval>
                  <v:group id="Group 120" o:spid="_x0000_s1103" style="position:absolute;left:16156;width:14062;height:13864" coordorigin="16156" coordsize="19246,189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">
                    <v:oval id="Oval 121" o:spid="_x0000_s1104" style="position:absolute;left:16156;width:19247;height:189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" fillcolor="#039cdc" stroked="f" strokeweight="1pt">
                      <v:stroke joinstyle="miter"/>
                      <o:lock v:ext="edit" aspectratio="t"/>
                      <v:textbox inset="0,0,0,0"/>
                    </v:oval>
                    <v:group id="Group 122" o:spid="_x0000_s1105" style="position:absolute;left:17649;top:1698;width:15967;height:15743" coordorigin="17649,1698" coordsize="15966,15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">
                      <v:oval id="Oval 123" o:spid="_x0000_s1106" style="position:absolute;left:17649;top:1698;width:15967;height:15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" fillcolor="white [3212]" strokecolor="#1f3763 [1604]" strokeweight="3pt">
                        <v:stroke joinstyle="miter"/>
                        <v:path arrowok="t"/>
                        <o:lock v:ext="edit" aspectratio="t"/>
                        <v:textbox inset="0,0,0,0"/>
                      </v:oval>
                      <v:group id="Graphic 12" o:spid="_x0000_s1107" alt="Bullseye" style="position:absolute;left:20579;top:4111;width:10072;height:10101;rotation:-90" coordorigin="20616,4034" coordsize="9865,9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">
                        <v:shape id="Freeform: Shape 125" o:spid="_x0000_s1108" style="position:absolute;left:24018;top:4034;width:6463;height:6431;visibility:visible;mso-wrap-style:square;v-text-anchor:middle" coordsize="646287,6431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" path="m524994,123097l512800,11788,378665,147832r7316,64312l190876,410027v-17072,-8657,-36583,-14841,-57312,-14841c66496,395186,11623,450840,11623,518863v,68022,54873,123677,121941,123677c200631,642540,255505,586885,255505,518863v,-21025,-4878,-39577,-13414,-56892l437197,264089r63409,7420l634741,135465,524994,123097xe" fillcolor="#7030a0" stroked="f" strokeweight=".33625mm">
                          <v:stroke joinstyle="miter"/>
                          <v:path arrowok="t" o:connecttype="custom" o:connectlocs="524995,123097;512801,11788;378666,147832;385982,212144;190876,410027;133564,395186;11623,518863;133564,642540;255505,518863;242091,461971;437198,264089;500607,271509;634742,135465;524995,123097" o:connectangles="0,0,0,0,0,0,0,0,0,0,0,0,0,0"/>
                        </v:shape>
                        <v:shape id="Freeform: Shape 126" o:spid="_x0000_s1109" style="position:absolute;left:20616;top:4405;width:9390;height:9523;visibility:visible;mso-wrap-style:square;v-text-anchor:middle" coordsize="938946,9523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" path="m874965,269036r-15852,17314l835944,283877r-25608,-3710c844480,339531,865210,407554,865210,481760v,217671,-175595,395765,-390212,395765c260382,877525,84787,699431,84787,481760,84787,264089,260382,85994,474998,85994v71946,,140233,19788,198764,55655l671324,116913,667665,92178,684737,74863r8536,-8657c627425,31576,554260,11788,474998,11788,218922,11788,11623,222038,11623,481760v,259721,207299,469971,463375,469971c731075,951731,938374,741481,938374,481760v,-80390,-19510,-154596,-54873,-220145l874965,269036xe" fillcolor="#039cdc" stroked="f" strokeweight=".33625mm">
                          <v:stroke joinstyle="miter"/>
                          <v:path arrowok="t" o:connecttype="custom" o:connectlocs="874965,269036;859113,286350;835944,283877;810336,280167;865210,481760;474998,877525;84787,481760;474998,85994;673762,141649;671324,116913;667665,92178;684737,74863;693273,66206;474998,11788;11623,481760;474998,951731;938374,481760;883501,261615;874965,269036" o:connectangles="0,0,0,0,0,0,0,0,0,0,0,0,0,0,0,0,0,0,0"/>
                        </v:shape>
                        <v:shape id="Freeform: Shape 127" o:spid="_x0000_s1110" style="position:absolute;left:22323;top:6136;width:5976;height:6060;visibility:visible;mso-wrap-style:square;v-text-anchor:middle" coordsize="597511,606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" path="m507923,224512v10974,25972,15852,54418,15852,84100c523775,431052,425003,531230,304281,531230,183559,531230,84787,431052,84787,308612v,-122440,98772,-222618,219494,-222618c333547,85994,361593,92178,387201,102072l442074,46417c400614,24156,354277,11788,304281,11788,143319,11788,11623,145359,11623,308612v,163254,131696,296824,292658,296824c465243,605436,596940,471866,596940,308612v,-50707,-12195,-97704,-34144,-139755l507923,224512xe" fillcolor="#039cdc" stroked="f" strokeweight=".33625mm">
                          <v:stroke joinstyle="miter"/>
                          <v:path arrowok="t" o:connecttype="custom" o:connectlocs="507923,224512;523775,308612;304281,531230;84787,308612;304281,85994;387201,102072;442074,46417;304281,11788;11623,308612;304281,605436;596940,308612;562796,168857;507923,224512" o:connectangles="0,0,0,0,0,0,0,0,0,0,0,0,0"/>
                        </v:shape>
                      </v:group>
                    </v:group>
                  </v:group>
                  <v:shape id="TextBox 115" o:spid="_x0000_s1111" type="#_x0000_t202" style="position:absolute;left:24660;top:7464;width:20021;height:156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" filled="f" stroked="f">
                    <v:textbox style="mso-fit-shape-to-text:t">
                      <w:txbxContent>
                        <w:p w14:paraId="3B5AF56B"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Strategic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(8)</w:t>
                          </w:r>
                        </w:p>
                        <w:p w14:paraId="2B85DF71"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support the achievement of the organisation’s purpose, </w:t>
                          </w:r>
                          <w:proofErr w:type="gramStart"/>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vision</w:t>
                          </w:r>
                          <w:proofErr w:type="gramEnd"/>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 and priorities</w:t>
                          </w:r>
                        </w:p>
                      </w:txbxContent>
                    </v:textbox>
                  </v:shape>
                </v:group>
                <v:shape id="Freeform: Shape 129" o:spid="_x0000_s1112" style="position:absolute;left:3599;top:17581;width:26833;height:26833;visibility:visible;mso-wrap-style:square;v-text-anchor:top" coordsize="2683274,26832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" path="m1616715,28463r123885,31854c2244728,217117,2621384,663239,2676348,1204462r5130,101579l2557592,1274187c2053465,1117387,1676808,671265,1621844,130042l1616715,28463xm1341637,v92621,,183050,9386,270387,27257l1616714,28463r5129,101579c1676807,671265,2053464,1117387,2557591,1274187r123886,31854l2683274,1341637r-4931,97644l2637531,1441342v-631426,64125,-1133410,566109,-1197535,1197535l1438000,2678408r-96363,4866c600671,2683274,,2082603,,1341637,,600671,600671,,1341637,xe" fillcolor="#2f5596" stroked="f" strokeweight="1pt">
                  <v:stroke joinstyle="miter"/>
                  <v:path arrowok="t" o:connecttype="custom" o:connectlocs="1616715,28463;1740600,60317;2676348,1204462;2681478,1306041;2557592,1274187;1621844,130042;1341637,0;1612024,27257;1616714,28463;1621843,130042;2557591,1274187;2681477,1306041;2683274,1341637;2678343,1439281;2637531,1441342;1439996,2638877;1438000,2678408;1341637,2683274;0,1341637;1341637,0" o:connectangles="0,0,0,0,0,0,0,0,0,0,0,0,0,0,0,0,0,0,0,0"/>
                  <o:lock v:ext="edit" aspectratio="t"/>
                </v:shape>
                <v:group id="Group 130" o:spid="_x0000_s1113" style="position:absolute;left:24674;top:23895;width:14635;height:14635" coordorigin="24674,23895" coordsize="14635,14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">
                  <v:oval id="Oval 131" o:spid="_x0000_s1114" style="position:absolute;left:24674;top:23895;width:14635;height:14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" fillcolor="white [3212]" strokecolor="#1f3763 [1604]" strokeweight="3pt">
                    <v:stroke joinstyle="miter"/>
                  </v:oval>
                  <v:shape id="TextBox 111" o:spid="_x0000_s1115" type="#_x0000_t202" style="position:absolute;left:25316;top:25659;width:13246;height:121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" filled="f" stroked="f">
                    <v:textbox style="mso-fit-shape-to-text:t">
                      <w:txbxContent>
                        <w:p w14:paraId="402E2101" w14:textId="77777777" w:rsidR="00632D2C" w:rsidRDefault="00632D2C" w:rsidP="00976516">
                          <w:pPr>
                            <w:jc w:val="center"/>
                            <w:rPr>
                              <w:rFonts w:ascii="Arial" w:hAnsi="Arial" w:cs="Arial"/>
                              <w:b/>
                              <w:bCs/>
                              <w:color w:val="1F4E79" w:themeColor="accent5" w:themeShade="80"/>
                              <w:kern w:val="24"/>
                              <w:sz w:val="26"/>
                              <w:szCs w:val="26"/>
                            </w:rPr>
                          </w:pPr>
                          <w:r>
                            <w:rPr>
                              <w:rFonts w:ascii="Arial" w:hAnsi="Arial" w:cs="Arial"/>
                              <w:b/>
                              <w:bCs/>
                              <w:color w:val="1F4E79" w:themeColor="accent5" w:themeShade="80"/>
                              <w:kern w:val="24"/>
                              <w:sz w:val="26"/>
                              <w:szCs w:val="26"/>
                            </w:rPr>
                            <w:t>The Commission’s purpose and strategic objectives</w:t>
                          </w:r>
                        </w:p>
                      </w:txbxContent>
                    </v:textbox>
                  </v:shape>
                </v:group>
                <v:group id="Group 133" o:spid="_x0000_s1116" style="position:absolute;top:33540;width:13731;height:13731" coordorigin=",33540" coordsize="18563,18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">
                  <v:oval id="Oval 134" o:spid="_x0000_s1117" style="position:absolute;top:33540;width:18563;height:185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" fillcolor="#005596" stroked="f" strokeweight="1pt">
                    <v:stroke joinstyle="miter"/>
                    <o:lock v:ext="edit" aspectratio="t"/>
                    <v:textbox inset="0,0,0,0"/>
                  </v:oval>
                  <v:oval id="Oval 135" o:spid="_x0000_s1118" style="position:absolute;left:1679;top:35144;width:15304;height:153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" fillcolor="white [3212]" strokecolor="#039cdc" strokeweight="3pt">
                    <v:stroke joinstyle="miter"/>
                    <v:path arrowok="t"/>
                    <o:lock v:ext="edit" aspectratio="t"/>
                    <v:textbox inset="0,0,0,0"/>
                  </v:oval>
                  <v:shape id="Graphic 68" o:spid="_x0000_s1119" alt="Connections" style="position:absolute;left:3846;top:37716;width:10829;height:9833;visibility:visible;mso-wrap-style:square;v-text-anchor:middle" coordsize="1082898,983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" path="m970583,390028v-3734,,-7468,,-11202,l927018,302898v74683,-42320,100822,-136918,59746,-211600c944444,16615,849846,-9524,775164,31551v-36097,19916,-63481,54768,-73438,94598l585967,113702c577254,58935,526221,20349,471454,29062v-49789,7468,-85885,49788,-85885,99577c385569,146065,390548,163491,399261,179672l259853,316590c233714,296675,201352,285473,167744,285473v-85885,,-155589,69703,-155589,155588c12155,526947,81859,596650,167744,596650r31118,186707c147829,805762,124179,865508,146584,916541v22405,51033,82151,74683,133184,52278c327067,948904,350717,896626,337025,846837l446560,789581v70948,78417,192930,84640,272592,13692c758982,767176,782632,714898,782632,661375v,-13691,-1245,-28628,-4979,-42320l898390,556820v37341,42320,100822,46054,143142,8713c1083852,528191,1087586,464711,1050245,422391v-23650,-19916,-51033,-32363,-79662,-32363l970583,390028xm970583,427370v16181,,28629,12447,28629,28628c999212,472179,986764,484626,970583,484626v-16181,,-28628,-12447,-28628,-28628c941955,455998,941955,455998,941955,455998v,-16181,12447,-28628,28628,-28628l970583,427370xm851091,72627v23649,,43565,19915,43565,43565c894656,139841,874740,159757,851091,159757v-23650,,-43565,-19916,-43565,-43565c807526,116192,807526,116192,807526,116192v,-23650,18671,-43565,43565,-43565xm762716,214524v,-6224,3735,-13692,8713,-17426c783877,188385,798813,180917,813750,177183v11202,-3734,23649,-4979,36096,-4979c862293,172204,874740,174693,885943,177183v14936,3734,29873,11202,42320,21160c933242,202077,936976,209545,936976,215769r,33607l762716,249376r,-34852xm485146,65159v16181,,28628,12447,28628,28628c513774,109968,501327,122415,485146,122415v-16182,,-28629,-12447,-28629,-28628c456517,93787,456517,93787,456517,93787v,-14937,12447,-28628,28629,-28628l485146,65159xm426644,158512v,-4979,2490,-8713,6224,-11202c441581,141086,451539,137352,461496,134862v7468,-2489,16181,-3734,23650,-3734c492614,131128,501327,132373,508795,134862v9958,2490,18671,7469,27384,13692c539913,151044,542402,156023,542402,159757r,22404l427889,182161r,-23649l426644,158512xm165255,346463v23649,,43565,19916,43565,43565c208820,413678,188904,433593,165255,433593v-23650,,-43565,-19915,-43565,-43565c121690,390028,121690,390028,121690,390028v1245,-23649,19915,-43565,43565,-43565l165255,346463xm78125,521968r,-33607c78125,482137,81859,474669,86838,470935v12447,-8713,27384,-16182,42320,-19916c140361,447285,152808,446040,165255,446040v12447,,24894,2490,36097,4979c216288,454753,231225,462222,243672,472179v4979,3734,8713,11203,8713,17426l252385,523212,78125,521968xm293460,927744r-115758,l177702,905339v,-4979,2489,-8713,6224,-11203c192639,887913,202596,882934,212554,880445v7468,-2490,16181,-3735,23649,-3735c243672,876710,252385,877955,259853,880445v9958,2489,18671,7468,27384,13691c290971,896626,293460,901605,293460,905339r,22405xm206330,840614v,-16181,12447,-28628,28629,-28628c251140,811986,263587,824433,263587,840614v,16181,-12447,28628,-28628,28628c220022,870487,207575,856795,206330,840614r,xm305907,805762c289726,789581,267321,779623,244916,777134l213799,590427v29873,-9958,56012,-28628,74682,-53523l404240,597895v-18671,49789,-14937,105801,9957,153100l305907,805762xm427889,551841l313376,492095v4978,-16182,7468,-32363,7468,-49789c320844,409944,310886,378826,292215,352687l431623,217013v47299,28629,109535,14937,138163,-32362c573520,178427,576010,172204,578499,165980r115758,12447c696747,223237,719152,265557,755248,292941l653182,483382c572276,451019,478922,479648,427889,551841r,xm639490,597895v,29873,-24894,53523,-54767,53523c554850,651418,531200,627768,531200,597895v,-29873,23650,-53522,53523,-53522c584723,544373,584723,544373,585967,544373v29873,,53523,23649,53523,53522l639490,597895xm693013,760952r-215336,l477677,719877v,-8713,3735,-16181,11203,-21160c505061,687514,522487,678801,541158,672578v14936,-3734,29873,-6224,44809,-6224c600904,666354,615840,668844,630777,672578v18671,4979,37341,13692,52278,26139c689278,703696,694257,712409,694257,719877r-1244,41075xm869762,492095v,7468,1244,14936,3734,22404l758982,574246c745291,546862,724130,524457,699236,507031l801303,316590v16181,6224,33607,8713,51033,8713c862293,325303,872251,324059,882209,322814r32362,87130c884698,427370,868517,458487,869762,492095xm1027840,541883r-115758,l912082,519478v,-4979,2489,-8713,6223,-11202c927018,502052,936976,497073,946934,494584v7468,-2489,16181,-3734,23649,-3734c978052,490850,986764,492095,994233,494584v9957,2489,18670,7468,27383,13692c1025351,510765,1027840,515744,1027840,519478r,22405xe" fillcolor="white [3212]" strokecolor="#005596" strokeweight="1pt">
                    <v:stroke joinstyle="miter"/>
                    <v:path arrowok="t" o:connecttype="custom" o:connectlocs="970584,390028;959382,390028;927019,302898;986765,91298;775165,31551;701727,126149;585968,113702;471454,29062;385569,128639;399261,179672;259853,316590;167744,285473;12155,441061;167744,596650;198862,783357;146584,916541;279768,968819;337025,846837;446560,789581;719153,803273;782633,661375;777654,619055;898391,556820;1041533,565533;1050246,422391;970584,390028;970584,390028;970584,427370;999213,455998;970584,484626;941956,455998;941956,455998;970584,427370;970584,427370;851092,72627;894657,116192;851092,159757;807527,116192;807527,116192;851092,72627;762717,214524;771430,197098;813751,177183;849847,172204;885944,177183;928264,198343;936977,215769;936977,249376;762717,249376;762717,214524;485146,65159;513774,93787;485146,122415;456517,93787;456517,93787;485146,65159;485146,65159;426644,158512;432868,147310;461496,134862;485146,131128;508795,134862;536179,148554;542403,159757;542403,182161;427889,182161;427889,158512;165255,346463;208820,390028;165255,433593;121690,390028;121690,390028;165255,346463;165255,346463;78125,521968;78125,488361;86838,470935;129158,451019;165255,446040;201352,451019;243672,472179;252385,489605;252385,523212;78125,521968;293460,927744;177702,927744;177702,905339;183926,894136;212554,880445;236203,876710;259853,880445;287237,894136;293460,905339;293460,927744;206330,840614;234959,811986;263587,840614;234959,869242;206330,840614;206330,840614;305907,805762;244916,777134;213799,590427;288481,536904;404240,597895;414197,750995;305907,805762;427889,551841;313376,492095;320844,442306;292215,352687;431623,217013;569787,184651;578500,165980;694258,178427;755249,292941;653183,483382;427889,551841;427889,551841;639491,597895;584724,651418;531200,597895;584724,544373;585968,544373;639491,597895;639491,597895;693014,760952;477677,760952;477677,719877;488880,698717;541158,672578;585968,666354;630778,672578;683056,698717;694258,719877;693014,760952;869763,492095;873497,514499;758983,574246;699237,507031;801304,316590;852337,325303;882210,322814;914572,409944;869763,492095;1027841,541883;912083,541883;912083,519478;918306,508276;946935,494584;970584,490850;994234,494584;1021617,508276;1027841,519478;1027841,541883" o:connectangles="0,0,0,0,0,0,0,0,0,0,0,0,0,0,0,0,0,0,0,0,0,0,0,0,0,0,0,0,0,0,0,0,0,0,0,0,0,0,0,0,0,0,0,0,0,0,0,0,0,0,0,0,0,0,0,0,0,0,0,0,0,0,0,0,0,0,0,0,0,0,0,0,0,0,0,0,0,0,0,0,0,0,0,0,0,0,0,0,0,0,0,0,0,0,0,0,0,0,0,0,0,0,0,0,0,0,0,0,0,0,0,0,0,0,0,0,0,0,0,0,0,0,0,0,0,0,0,0,0,0,0,0,0,0,0,0,0,0,0,0,0,0,0,0,0,0,0,0,0,0,0,0,0,0,0"/>
                  </v:shape>
                </v:group>
                <v:shape id="TextBox 172" o:spid="_x0000_s1120" type="#_x0000_t202" style="position:absolute;left:5824;top:19418;width:21018;height:17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" filled="f" stroked="f">
                  <v:textbox style="mso-fit-shape-to-text:t">
                    <w:txbxContent>
                      <w:p w14:paraId="6F317C40" w14:textId="77777777" w:rsidR="00632D2C" w:rsidRPr="00087D50" w:rsidRDefault="00632D2C" w:rsidP="00976516">
                        <w:pPr>
                          <w:jc w:val="center"/>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pP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t xml:space="preserve">Engagement </w:t>
                        </w:r>
                        <w:r w:rsidRPr="00087D50">
                          <w:rPr>
                            <w:rFonts w:ascii="Arial" w:hAnsi="Arial" w:cs="Arial"/>
                            <w:b/>
                            <w:bCs/>
                            <w:color w:val="FFFFFF" w:themeColor="background1"/>
                            <w:kern w:val="24"/>
                            <w:sz w:val="28"/>
                            <w:szCs w:val="28"/>
                            <w14:shadow w14:blurRad="38100" w14:dist="38100" w14:dir="2700000" w14:sx="100000" w14:sy="100000" w14:kx="0" w14:ky="0" w14:algn="tl">
                              <w14:srgbClr w14:val="000000">
                                <w14:alpha w14:val="57000"/>
                              </w14:srgbClr>
                            </w14:shadow>
                          </w:rPr>
                          <w:br/>
                          <w:t>capabilities (8)</w:t>
                        </w:r>
                      </w:p>
                      <w:p w14:paraId="587886D4" w14:textId="77777777" w:rsidR="00632D2C" w:rsidRPr="00087D50" w:rsidRDefault="00632D2C" w:rsidP="00976516">
                        <w:pPr>
                          <w:jc w:val="center"/>
                          <w:rPr>
                            <w:rFonts w:ascii="Arial" w:hAnsi="Arial" w:cs="Arial"/>
                            <w:i/>
                            <w:iCs/>
                            <w:color w:val="FFFFFF" w:themeColor="background1"/>
                            <w:kern w:val="24"/>
                            <w:sz w:val="24"/>
                            <w:szCs w:val="24"/>
                            <w14:shadow w14:blurRad="38100" w14:dist="38100" w14:dir="2700000" w14:sx="100000" w14:sy="100000" w14:kx="0" w14:ky="0" w14:algn="tl">
                              <w14:srgbClr w14:val="000000">
                                <w14:alpha w14:val="57000"/>
                              </w14:srgbClr>
                            </w14:shadow>
                          </w:rPr>
                        </w:pP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t xml:space="preserve">These capabilities ensure effective stakeholder relationships and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 xml:space="preserve">support consumer </w:t>
                        </w:r>
                        <w:r w:rsidRPr="00087D50">
                          <w:rPr>
                            <w:rFonts w:ascii="Arial" w:hAnsi="Arial" w:cs="Arial"/>
                            <w:i/>
                            <w:iCs/>
                            <w:color w:val="FFFFFF" w:themeColor="background1"/>
                            <w:kern w:val="24"/>
                            <w14:shadow w14:blurRad="38100" w14:dist="38100" w14:dir="2700000" w14:sx="100000" w14:sy="100000" w14:kx="0" w14:ky="0" w14:algn="tl">
                              <w14:srgbClr w14:val="000000">
                                <w14:alpha w14:val="57000"/>
                              </w14:srgbClr>
                            </w14:shadow>
                          </w:rPr>
                          <w:br/>
                          <w:t>centric outcomes</w:t>
                        </w:r>
                      </w:p>
                    </w:txbxContent>
                  </v:textbox>
                </v:shape>
                <w10:wrap type="topAndBottom"/>
              </v:group>
            </w:pict>
          </mc:Fallback>
        </mc:AlternateContent>
      </w:r>
      <w:r w:rsidR="00640563" w:rsidRPr="000F1C0A">
        <w:rPr>
          <w:rFonts w:ascii="Arial" w:hAnsi="Arial" w:cs="Arial"/>
          <w:b/>
          <w:bCs/>
        </w:rPr>
        <w:t>Source:</w:t>
      </w:r>
      <w:r w:rsidR="00640563" w:rsidRPr="000F1C0A">
        <w:rPr>
          <w:rFonts w:ascii="Arial" w:hAnsi="Arial" w:cs="Arial"/>
        </w:rPr>
        <w:t xml:space="preserve"> A</w:t>
      </w:r>
      <w:r w:rsidR="00640563">
        <w:rPr>
          <w:rFonts w:ascii="Arial" w:hAnsi="Arial" w:cs="Arial"/>
        </w:rPr>
        <w:t>CQSC</w:t>
      </w:r>
      <w:r w:rsidR="00640563" w:rsidRPr="000F1C0A">
        <w:rPr>
          <w:rFonts w:ascii="Arial" w:hAnsi="Arial" w:cs="Arial"/>
        </w:rPr>
        <w:t xml:space="preserve"> </w:t>
      </w:r>
      <w:r w:rsidR="00640563" w:rsidRPr="000F1C0A">
        <w:rPr>
          <w:rFonts w:ascii="Arial" w:hAnsi="Arial" w:cs="Arial"/>
          <w:i/>
          <w:iCs/>
        </w:rPr>
        <w:t>FINAL REPORT: Optimising capability to meet current and future challenges</w:t>
      </w:r>
      <w:r w:rsidR="00640563" w:rsidRPr="000F1C0A">
        <w:rPr>
          <w:rFonts w:ascii="Arial" w:hAnsi="Arial" w:cs="Arial"/>
        </w:rPr>
        <w:t xml:space="preserve"> Prepared by Grosvenor Public Sector</w:t>
      </w:r>
      <w:r w:rsidR="00640563">
        <w:rPr>
          <w:rFonts w:ascii="Arial" w:hAnsi="Arial" w:cs="Arial"/>
        </w:rPr>
        <w:t>, 16 December 2021</w:t>
      </w:r>
      <w:r w:rsidR="00640563" w:rsidRPr="000F1C0A">
        <w:rPr>
          <w:rFonts w:ascii="Arial" w:hAnsi="Arial" w:cs="Arial"/>
        </w:rPr>
        <w:t xml:space="preserve"> (unpublished)</w:t>
      </w:r>
    </w:p>
    <w:p w14:paraId="375AA6AD" w14:textId="77777777" w:rsidR="00640563" w:rsidRDefault="00640563" w:rsidP="00976516">
      <w:pPr>
        <w:rPr>
          <w:lang w:val="en-US" w:eastAsia="en-AU"/>
        </w:rPr>
      </w:pPr>
      <w:r>
        <w:br w:type="page"/>
      </w:r>
    </w:p>
    <w:p w14:paraId="2968502B" w14:textId="756E8638" w:rsidR="008819DF" w:rsidRPr="000E132D" w:rsidRDefault="00BA3EB7" w:rsidP="000E132D">
      <w:pPr>
        <w:pStyle w:val="Heading3"/>
        <w:rPr>
          <w:rFonts w:eastAsiaTheme="majorEastAsia"/>
        </w:rPr>
      </w:pPr>
      <w:bookmarkStart w:id="33" w:name="_Toc131163559"/>
      <w:r w:rsidRPr="000E132D">
        <w:lastRenderedPageBreak/>
        <w:t>A</w:t>
      </w:r>
      <w:r w:rsidR="008819DF" w:rsidRPr="000E132D">
        <w:t>PPENDIX</w:t>
      </w:r>
      <w:r w:rsidRPr="000E132D">
        <w:t xml:space="preserve"> D</w:t>
      </w:r>
      <w:r w:rsidR="000310AE" w:rsidRPr="000E132D">
        <w:t xml:space="preserve"> - </w:t>
      </w:r>
      <w:bookmarkStart w:id="34" w:name="_Toc122083152"/>
      <w:r w:rsidR="008819DF" w:rsidRPr="000E132D">
        <w:rPr>
          <w:rFonts w:eastAsiaTheme="majorEastAsia"/>
        </w:rPr>
        <w:t>Commission functions</w:t>
      </w:r>
      <w:bookmarkEnd w:id="34"/>
      <w:r w:rsidR="008819DF" w:rsidRPr="000E132D">
        <w:rPr>
          <w:rFonts w:eastAsiaTheme="majorEastAsia"/>
        </w:rPr>
        <w:t xml:space="preserve"> at March 2023</w:t>
      </w:r>
      <w:bookmarkEnd w:id="33"/>
    </w:p>
    <w:p w14:paraId="21D840A3" w14:textId="415470A5" w:rsidR="008819DF" w:rsidRPr="008819DF" w:rsidRDefault="008819DF" w:rsidP="008819DF">
      <w:pPr>
        <w:spacing w:before="120" w:after="120" w:line="240" w:lineRule="auto"/>
        <w:rPr>
          <w:rFonts w:ascii="Arial" w:hAnsi="Arial" w:cs="Arial"/>
          <w:sz w:val="24"/>
          <w:szCs w:val="24"/>
        </w:rPr>
      </w:pPr>
      <w:r w:rsidRPr="008819DF">
        <w:rPr>
          <w:rFonts w:ascii="Arial" w:hAnsi="Arial" w:cs="Arial"/>
          <w:sz w:val="24"/>
          <w:szCs w:val="24"/>
        </w:rPr>
        <w:t>The Commission Act sets out an expansive set of functions, some of which reflect specific regulatory requirements or programs while others have a more over-arching remit. The full list of functions and an explanation where required follows:</w:t>
      </w:r>
    </w:p>
    <w:p w14:paraId="00347DD8" w14:textId="77777777" w:rsidR="008819DF" w:rsidRPr="008819DF" w:rsidRDefault="008819DF" w:rsidP="001750D5">
      <w:pPr>
        <w:numPr>
          <w:ilvl w:val="0"/>
          <w:numId w:val="2"/>
        </w:numPr>
        <w:spacing w:before="120" w:after="120" w:line="240" w:lineRule="auto"/>
        <w:rPr>
          <w:rFonts w:ascii="Arial" w:hAnsi="Arial" w:cs="Arial"/>
          <w:i/>
          <w:iCs/>
          <w:sz w:val="24"/>
          <w:szCs w:val="24"/>
        </w:rPr>
      </w:pPr>
      <w:r w:rsidRPr="008819DF">
        <w:rPr>
          <w:rFonts w:ascii="Arial" w:hAnsi="Arial" w:cs="Arial"/>
          <w:b/>
          <w:bCs/>
          <w:sz w:val="24"/>
          <w:szCs w:val="24"/>
        </w:rPr>
        <w:t>Protecting and enhancing the safety, health, well</w:t>
      </w:r>
      <w:r w:rsidRPr="008819DF">
        <w:rPr>
          <w:rFonts w:ascii="Arial" w:hAnsi="Arial" w:cs="Arial"/>
          <w:b/>
          <w:bCs/>
          <w:sz w:val="24"/>
          <w:szCs w:val="24"/>
        </w:rPr>
        <w:noBreakHyphen/>
        <w:t>being and quality of life of aged care consumers</w:t>
      </w:r>
      <w:r w:rsidRPr="008819DF">
        <w:rPr>
          <w:rFonts w:ascii="Arial" w:hAnsi="Arial" w:cs="Arial"/>
          <w:i/>
          <w:iCs/>
          <w:sz w:val="24"/>
          <w:szCs w:val="24"/>
        </w:rPr>
        <w:t>.</w:t>
      </w:r>
    </w:p>
    <w:p w14:paraId="54650C51" w14:textId="100315AB" w:rsidR="008819DF" w:rsidRPr="008819DF" w:rsidRDefault="008819DF" w:rsidP="001750D5">
      <w:pPr>
        <w:numPr>
          <w:ilvl w:val="0"/>
          <w:numId w:val="2"/>
        </w:numPr>
        <w:spacing w:before="120" w:after="120" w:line="240" w:lineRule="auto"/>
        <w:rPr>
          <w:rFonts w:ascii="Arial" w:hAnsi="Arial" w:cs="Arial"/>
          <w:sz w:val="24"/>
          <w:szCs w:val="24"/>
        </w:rPr>
      </w:pPr>
      <w:r w:rsidRPr="008819DF">
        <w:rPr>
          <w:rFonts w:ascii="Arial" w:hAnsi="Arial" w:cs="Arial"/>
          <w:b/>
          <w:bCs/>
          <w:sz w:val="24"/>
          <w:szCs w:val="24"/>
        </w:rPr>
        <w:t>Approving providers to deliver aged care services</w:t>
      </w:r>
      <w:r w:rsidRPr="008819DF">
        <w:rPr>
          <w:rFonts w:ascii="Arial" w:hAnsi="Arial" w:cs="Arial"/>
          <w:sz w:val="24"/>
          <w:szCs w:val="24"/>
        </w:rPr>
        <w:t xml:space="preserve"> – providers of residential aged care, home care and flexible care must be approved by the Commission to receive </w:t>
      </w:r>
      <w:r w:rsidR="001126F1">
        <w:rPr>
          <w:rFonts w:ascii="Arial" w:hAnsi="Arial" w:cs="Arial"/>
          <w:sz w:val="24"/>
          <w:szCs w:val="24"/>
        </w:rPr>
        <w:t>Australian Government</w:t>
      </w:r>
      <w:r w:rsidRPr="008819DF">
        <w:rPr>
          <w:rFonts w:ascii="Arial" w:hAnsi="Arial" w:cs="Arial"/>
          <w:sz w:val="24"/>
          <w:szCs w:val="24"/>
        </w:rPr>
        <w:t xml:space="preserve"> subsidies to provide aged care. NATSIFLAC and CHSP providers do not require legislative approval because they provide care under grant agreements with the Department of Health and Aged Care.</w:t>
      </w:r>
    </w:p>
    <w:p w14:paraId="792D9FE8" w14:textId="77777777" w:rsidR="008819DF" w:rsidRPr="008819DF" w:rsidRDefault="008819DF" w:rsidP="001750D5">
      <w:pPr>
        <w:numPr>
          <w:ilvl w:val="0"/>
          <w:numId w:val="2"/>
        </w:numPr>
        <w:spacing w:before="120" w:after="120" w:line="240" w:lineRule="auto"/>
        <w:rPr>
          <w:rFonts w:ascii="Fira Sans" w:eastAsia="Times New Roman" w:hAnsi="Fira Sans" w:cs="Times New Roman"/>
          <w:color w:val="313131"/>
          <w:sz w:val="24"/>
          <w:szCs w:val="24"/>
          <w:lang w:eastAsia="en-AU"/>
        </w:rPr>
      </w:pPr>
      <w:r w:rsidRPr="008819DF">
        <w:rPr>
          <w:rFonts w:ascii="Arial" w:hAnsi="Arial" w:cs="Arial"/>
          <w:b/>
          <w:bCs/>
          <w:sz w:val="24"/>
          <w:szCs w:val="24"/>
        </w:rPr>
        <w:t>Ensuring approved providers comply with their responsibilities under the Commission Act and Aged Care Act</w:t>
      </w:r>
      <w:r w:rsidRPr="008819DF">
        <w:rPr>
          <w:rFonts w:ascii="Arial" w:hAnsi="Arial" w:cs="Arial"/>
          <w:sz w:val="24"/>
          <w:szCs w:val="24"/>
        </w:rPr>
        <w:t xml:space="preserve"> - Once approved, all providers are required to meet the Aged Care Quality Standards (the Quality Standards) and other provider responsibilities </w:t>
      </w:r>
      <w:bookmarkStart w:id="35" w:name="_Hlk126853037"/>
      <w:r w:rsidRPr="008819DF">
        <w:rPr>
          <w:rFonts w:ascii="Arial" w:hAnsi="Arial" w:cs="Arial"/>
          <w:sz w:val="24"/>
          <w:szCs w:val="24"/>
        </w:rPr>
        <w:t>detailed in the legislation and/or grant agreements</w:t>
      </w:r>
      <w:bookmarkEnd w:id="35"/>
      <w:r w:rsidRPr="008819DF">
        <w:rPr>
          <w:rFonts w:ascii="Arial" w:hAnsi="Arial" w:cs="Arial"/>
          <w:sz w:val="24"/>
          <w:szCs w:val="24"/>
        </w:rPr>
        <w:t xml:space="preserve">. All providers are also subject to ongoing monitoring and assessment by the Commission. </w:t>
      </w:r>
    </w:p>
    <w:p w14:paraId="665C8A7B" w14:textId="60E728EE" w:rsidR="008819DF" w:rsidRPr="008819DF" w:rsidRDefault="008819DF" w:rsidP="008819DF">
      <w:pPr>
        <w:spacing w:before="120" w:after="120" w:line="240" w:lineRule="auto"/>
        <w:ind w:left="360"/>
        <w:rPr>
          <w:rFonts w:ascii="Fira Sans" w:eastAsia="Times New Roman" w:hAnsi="Fira Sans" w:cs="Times New Roman"/>
          <w:color w:val="313131"/>
          <w:sz w:val="24"/>
          <w:szCs w:val="24"/>
          <w:lang w:eastAsia="en-AU"/>
        </w:rPr>
      </w:pPr>
      <w:r w:rsidRPr="008819DF">
        <w:rPr>
          <w:rFonts w:ascii="Arial" w:hAnsi="Arial" w:cs="Arial"/>
          <w:sz w:val="24"/>
          <w:szCs w:val="24"/>
        </w:rPr>
        <w:t xml:space="preserve">There are more than 300 provider responsibilities under the legislation. Recent reforms have introduced two new, high-profile responsibilities, under the </w:t>
      </w:r>
      <w:proofErr w:type="gramStart"/>
      <w:r w:rsidRPr="008819DF">
        <w:rPr>
          <w:rFonts w:ascii="Arial" w:hAnsi="Arial" w:cs="Arial"/>
          <w:sz w:val="24"/>
          <w:szCs w:val="24"/>
        </w:rPr>
        <w:t>Quality of Care</w:t>
      </w:r>
      <w:proofErr w:type="gramEnd"/>
      <w:r w:rsidRPr="008819DF">
        <w:rPr>
          <w:rFonts w:ascii="Arial" w:hAnsi="Arial" w:cs="Arial"/>
          <w:sz w:val="24"/>
          <w:szCs w:val="24"/>
        </w:rPr>
        <w:t xml:space="preserve"> Principles </w:t>
      </w:r>
      <w:r w:rsidR="006B5CD4">
        <w:rPr>
          <w:rFonts w:ascii="Arial" w:hAnsi="Arial" w:cs="Arial"/>
          <w:sz w:val="24"/>
          <w:szCs w:val="24"/>
        </w:rPr>
        <w:t>2014</w:t>
      </w:r>
      <w:r w:rsidR="006B5CD4" w:rsidRPr="008819DF">
        <w:rPr>
          <w:rFonts w:ascii="Arial" w:hAnsi="Arial" w:cs="Arial"/>
          <w:sz w:val="24"/>
          <w:szCs w:val="24"/>
        </w:rPr>
        <w:t xml:space="preserve"> </w:t>
      </w:r>
      <w:r w:rsidRPr="008819DF">
        <w:rPr>
          <w:rFonts w:ascii="Arial" w:hAnsi="Arial" w:cs="Arial"/>
          <w:sz w:val="24"/>
          <w:szCs w:val="24"/>
          <w:vertAlign w:val="superscript"/>
        </w:rPr>
        <w:footnoteReference w:id="117"/>
      </w:r>
      <w:r w:rsidRPr="008819DF">
        <w:rPr>
          <w:rFonts w:ascii="Arial" w:hAnsi="Arial" w:cs="Arial"/>
          <w:sz w:val="24"/>
          <w:szCs w:val="24"/>
        </w:rPr>
        <w:t>, relating to serious incidents and restrictive practices.</w:t>
      </w:r>
    </w:p>
    <w:p w14:paraId="07396CA0" w14:textId="77777777" w:rsidR="008819DF" w:rsidRPr="008819DF" w:rsidRDefault="008819DF" w:rsidP="001750D5">
      <w:pPr>
        <w:numPr>
          <w:ilvl w:val="1"/>
          <w:numId w:val="2"/>
        </w:numPr>
        <w:spacing w:before="120" w:after="120" w:line="240" w:lineRule="auto"/>
        <w:ind w:left="1145" w:hanging="425"/>
        <w:rPr>
          <w:rFonts w:ascii="Arial" w:hAnsi="Arial" w:cs="Arial"/>
          <w:sz w:val="24"/>
          <w:szCs w:val="24"/>
        </w:rPr>
      </w:pPr>
      <w:r w:rsidRPr="008819DF">
        <w:rPr>
          <w:rFonts w:ascii="Arial" w:hAnsi="Arial" w:cs="Arial"/>
          <w:sz w:val="24"/>
          <w:szCs w:val="24"/>
        </w:rPr>
        <w:t>The Serious Incidents Response Scheme (SIRS) requires providers to have an effective incident management system (IMS) in place and to use this to continuously improve their management and prevention of incidents. Providers are also required to notify the Commission, within prescribed timeframes, when reportable incidents occur.</w:t>
      </w:r>
      <w:r w:rsidRPr="008819DF">
        <w:rPr>
          <w:rFonts w:ascii="Arial" w:hAnsi="Arial" w:cs="Arial"/>
          <w:sz w:val="24"/>
          <w:szCs w:val="24"/>
          <w:vertAlign w:val="superscript"/>
        </w:rPr>
        <w:footnoteReference w:id="118"/>
      </w:r>
    </w:p>
    <w:p w14:paraId="4108E4BB" w14:textId="5F72443A" w:rsidR="008819DF" w:rsidRPr="008819DF" w:rsidRDefault="008819DF" w:rsidP="001750D5">
      <w:pPr>
        <w:numPr>
          <w:ilvl w:val="1"/>
          <w:numId w:val="2"/>
        </w:numPr>
        <w:spacing w:before="120" w:after="120" w:line="240" w:lineRule="auto"/>
        <w:ind w:left="1145" w:hanging="425"/>
        <w:rPr>
          <w:rFonts w:ascii="Arial" w:hAnsi="Arial" w:cs="Arial"/>
          <w:sz w:val="24"/>
          <w:szCs w:val="24"/>
        </w:rPr>
      </w:pPr>
      <w:r w:rsidRPr="008819DF">
        <w:rPr>
          <w:rFonts w:ascii="Arial" w:hAnsi="Arial" w:cs="Arial"/>
          <w:sz w:val="24"/>
          <w:szCs w:val="24"/>
        </w:rPr>
        <w:t xml:space="preserve">Providers are required to satisfy </w:t>
      </w:r>
      <w:proofErr w:type="gramStart"/>
      <w:r w:rsidRPr="008819DF">
        <w:rPr>
          <w:rFonts w:ascii="Arial" w:hAnsi="Arial" w:cs="Arial"/>
          <w:sz w:val="24"/>
          <w:szCs w:val="24"/>
        </w:rPr>
        <w:t>a number of</w:t>
      </w:r>
      <w:proofErr w:type="gramEnd"/>
      <w:r w:rsidRPr="008819DF">
        <w:rPr>
          <w:rFonts w:ascii="Arial" w:hAnsi="Arial" w:cs="Arial"/>
          <w:sz w:val="24"/>
          <w:szCs w:val="24"/>
        </w:rPr>
        <w:t xml:space="preserve"> conditions before and during the use of a restrictive practice. These include documenting what alternatives have been considered; regular monitoring of the consumer and regular review of the practice when a restrictive practice is used; and the development of a behaviour support plan for every consumer where a restrictive practice is being considered or applied. The use of restrictive practices is assessed under </w:t>
      </w:r>
      <w:proofErr w:type="gramStart"/>
      <w:r w:rsidRPr="008819DF">
        <w:rPr>
          <w:rFonts w:ascii="Arial" w:hAnsi="Arial" w:cs="Arial"/>
          <w:sz w:val="24"/>
          <w:szCs w:val="24"/>
        </w:rPr>
        <w:t>a number of</w:t>
      </w:r>
      <w:proofErr w:type="gramEnd"/>
      <w:r w:rsidRPr="008819DF">
        <w:rPr>
          <w:rFonts w:ascii="Arial" w:hAnsi="Arial" w:cs="Arial"/>
          <w:sz w:val="24"/>
          <w:szCs w:val="24"/>
        </w:rPr>
        <w:t xml:space="preserve"> the Quality Standards and inappropriate use of restrictive practices is reportable under SIRS.</w:t>
      </w:r>
      <w:r w:rsidRPr="008819DF">
        <w:rPr>
          <w:rFonts w:ascii="Arial" w:hAnsi="Arial" w:cs="Arial"/>
          <w:sz w:val="24"/>
          <w:szCs w:val="24"/>
          <w:vertAlign w:val="superscript"/>
        </w:rPr>
        <w:footnoteReference w:id="119"/>
      </w:r>
    </w:p>
    <w:p w14:paraId="0D3BB307" w14:textId="77777777" w:rsidR="008819DF" w:rsidRPr="008819DF" w:rsidRDefault="008819DF" w:rsidP="001750D5">
      <w:pPr>
        <w:numPr>
          <w:ilvl w:val="1"/>
          <w:numId w:val="2"/>
        </w:numPr>
        <w:spacing w:before="120" w:after="120" w:line="240" w:lineRule="auto"/>
        <w:ind w:left="1145" w:hanging="425"/>
        <w:rPr>
          <w:rFonts w:ascii="Arial" w:hAnsi="Arial" w:cs="Arial"/>
          <w:sz w:val="24"/>
          <w:szCs w:val="24"/>
        </w:rPr>
      </w:pPr>
      <w:r w:rsidRPr="008819DF">
        <w:rPr>
          <w:rFonts w:ascii="Arial" w:hAnsi="Arial" w:cs="Arial"/>
          <w:sz w:val="24"/>
          <w:szCs w:val="24"/>
        </w:rPr>
        <w:t xml:space="preserve">The Commission has the power to take regulatory actions when dealing with SIRS notifications and may take enforceable regulatory actions if non-compliance is identified with any provider responsibility. </w:t>
      </w:r>
    </w:p>
    <w:p w14:paraId="7D67BE6D" w14:textId="77777777" w:rsidR="008819DF" w:rsidRPr="008819DF" w:rsidRDefault="008819DF" w:rsidP="001750D5">
      <w:pPr>
        <w:numPr>
          <w:ilvl w:val="0"/>
          <w:numId w:val="2"/>
        </w:numPr>
        <w:spacing w:before="120" w:after="120" w:line="240" w:lineRule="auto"/>
        <w:rPr>
          <w:rFonts w:ascii="Fira Sans" w:eastAsia="Times New Roman" w:hAnsi="Fira Sans" w:cs="Times New Roman"/>
          <w:color w:val="313131"/>
          <w:sz w:val="24"/>
          <w:szCs w:val="24"/>
          <w:lang w:eastAsia="en-AU"/>
        </w:rPr>
      </w:pPr>
      <w:r w:rsidRPr="008819DF">
        <w:rPr>
          <w:rFonts w:ascii="Arial" w:hAnsi="Arial" w:cs="Arial"/>
          <w:b/>
          <w:bCs/>
          <w:sz w:val="24"/>
          <w:szCs w:val="24"/>
        </w:rPr>
        <w:t>Imposing sanctions on approved providers and lifting sanctions</w:t>
      </w:r>
      <w:r w:rsidRPr="008819DF">
        <w:rPr>
          <w:rFonts w:ascii="Arial" w:hAnsi="Arial" w:cs="Arial"/>
          <w:sz w:val="24"/>
          <w:szCs w:val="24"/>
        </w:rPr>
        <w:t xml:space="preserve"> – Where an approved provider has not complied with one or more of the provider responsibilities detailed in the legislation and has failed to remedy the non-compliance in an agreed timeframe, the Commission can impose a sanction. Different sanctions may be imposed depending on the circumstances of the non-</w:t>
      </w:r>
      <w:r w:rsidRPr="008819DF">
        <w:rPr>
          <w:rFonts w:ascii="Arial" w:hAnsi="Arial" w:cs="Arial"/>
          <w:sz w:val="24"/>
          <w:szCs w:val="24"/>
        </w:rPr>
        <w:lastRenderedPageBreak/>
        <w:t>compliance. Sanctions include revocation of approved provider status, loss of Commonwealth subsidies for new persons receiving care, or revocation of allocated places. Certain sanctions may be lifted on application by the approved provider.</w:t>
      </w:r>
      <w:r w:rsidRPr="008819DF">
        <w:rPr>
          <w:rFonts w:ascii="Arial" w:hAnsi="Arial" w:cs="Arial"/>
          <w:sz w:val="24"/>
          <w:szCs w:val="24"/>
          <w:vertAlign w:val="superscript"/>
        </w:rPr>
        <w:footnoteReference w:id="120"/>
      </w:r>
    </w:p>
    <w:p w14:paraId="1CDE53CF" w14:textId="77777777" w:rsidR="008819DF" w:rsidRPr="008819DF" w:rsidRDefault="008819DF" w:rsidP="001750D5">
      <w:pPr>
        <w:numPr>
          <w:ilvl w:val="0"/>
          <w:numId w:val="2"/>
        </w:numPr>
        <w:spacing w:before="120" w:after="120" w:line="240" w:lineRule="auto"/>
        <w:rPr>
          <w:rFonts w:ascii="Arial" w:hAnsi="Arial" w:cs="Arial"/>
          <w:i/>
          <w:iCs/>
          <w:sz w:val="24"/>
          <w:szCs w:val="24"/>
        </w:rPr>
      </w:pPr>
      <w:r w:rsidRPr="008819DF">
        <w:rPr>
          <w:rFonts w:ascii="Arial" w:hAnsi="Arial" w:cs="Arial"/>
          <w:b/>
          <w:bCs/>
          <w:sz w:val="24"/>
          <w:szCs w:val="24"/>
        </w:rPr>
        <w:t>Promoting the provision of quality care and services by approved providers and service providers</w:t>
      </w:r>
      <w:r w:rsidRPr="008819DF">
        <w:rPr>
          <w:rFonts w:ascii="Arial" w:hAnsi="Arial" w:cs="Arial"/>
          <w:i/>
          <w:iCs/>
          <w:sz w:val="24"/>
          <w:szCs w:val="24"/>
        </w:rPr>
        <w:t>.</w:t>
      </w:r>
    </w:p>
    <w:p w14:paraId="3453C8D2" w14:textId="77777777" w:rsidR="008819DF" w:rsidRPr="008819DF" w:rsidRDefault="008819DF" w:rsidP="001750D5">
      <w:pPr>
        <w:numPr>
          <w:ilvl w:val="0"/>
          <w:numId w:val="2"/>
        </w:numPr>
        <w:shd w:val="clear" w:color="auto" w:fill="FFFFFF"/>
        <w:spacing w:before="120" w:after="120" w:line="240" w:lineRule="auto"/>
        <w:rPr>
          <w:rFonts w:ascii="Arial" w:hAnsi="Arial" w:cs="Arial"/>
          <w:color w:val="000000"/>
          <w:sz w:val="24"/>
          <w:szCs w:val="24"/>
        </w:rPr>
      </w:pPr>
      <w:r w:rsidRPr="008819DF">
        <w:rPr>
          <w:rFonts w:ascii="Arial" w:hAnsi="Arial" w:cs="Arial"/>
          <w:b/>
          <w:bCs/>
          <w:sz w:val="24"/>
          <w:szCs w:val="24"/>
        </w:rPr>
        <w:t>Consumer engagement functions</w:t>
      </w:r>
      <w:r w:rsidRPr="008819DF">
        <w:rPr>
          <w:rFonts w:ascii="Arial" w:hAnsi="Arial" w:cs="Arial"/>
          <w:i/>
          <w:iCs/>
          <w:sz w:val="24"/>
          <w:szCs w:val="24"/>
        </w:rPr>
        <w:t xml:space="preserve"> –</w:t>
      </w:r>
      <w:r w:rsidRPr="008819DF">
        <w:rPr>
          <w:rFonts w:ascii="Arial" w:hAnsi="Arial" w:cs="Arial"/>
          <w:sz w:val="24"/>
          <w:szCs w:val="24"/>
        </w:rPr>
        <w:t xml:space="preserve">The Commission is required to develop best practice models for providers to use in engaging their consumers in joint planning and delivery of care and to promote these models to providers. The models must be developed in </w:t>
      </w:r>
      <w:r w:rsidRPr="008819DF">
        <w:rPr>
          <w:rFonts w:ascii="Arial" w:hAnsi="Arial" w:cs="Arial"/>
          <w:color w:val="000000"/>
          <w:sz w:val="24"/>
          <w:szCs w:val="24"/>
        </w:rPr>
        <w:t>in consultation with aged care consumers and their representatives.</w:t>
      </w:r>
    </w:p>
    <w:p w14:paraId="33BC98B5" w14:textId="77777777" w:rsidR="008819DF" w:rsidRPr="008819DF" w:rsidRDefault="008819DF" w:rsidP="001750D5">
      <w:pPr>
        <w:numPr>
          <w:ilvl w:val="0"/>
          <w:numId w:val="2"/>
        </w:numPr>
        <w:shd w:val="clear" w:color="auto" w:fill="FFFFFF"/>
        <w:spacing w:before="120" w:after="120" w:line="240" w:lineRule="auto"/>
        <w:rPr>
          <w:rFonts w:ascii="Arial" w:hAnsi="Arial" w:cs="Arial"/>
          <w:sz w:val="24"/>
          <w:szCs w:val="24"/>
        </w:rPr>
      </w:pPr>
      <w:r w:rsidRPr="008819DF">
        <w:rPr>
          <w:rFonts w:ascii="Arial" w:hAnsi="Arial" w:cs="Arial"/>
          <w:b/>
          <w:bCs/>
          <w:sz w:val="24"/>
          <w:szCs w:val="24"/>
        </w:rPr>
        <w:t>Education functions</w:t>
      </w:r>
      <w:r w:rsidRPr="008819DF">
        <w:rPr>
          <w:rFonts w:ascii="Arial" w:hAnsi="Arial" w:cs="Arial"/>
          <w:sz w:val="24"/>
          <w:szCs w:val="24"/>
        </w:rPr>
        <w:t xml:space="preserve"> – The Commission is required to provide information and education about our functions to providers, consumers, their </w:t>
      </w:r>
      <w:proofErr w:type="gramStart"/>
      <w:r w:rsidRPr="008819DF">
        <w:rPr>
          <w:rFonts w:ascii="Arial" w:hAnsi="Arial" w:cs="Arial"/>
          <w:sz w:val="24"/>
          <w:szCs w:val="24"/>
        </w:rPr>
        <w:t>representatives</w:t>
      </w:r>
      <w:proofErr w:type="gramEnd"/>
      <w:r w:rsidRPr="008819DF">
        <w:rPr>
          <w:rFonts w:ascii="Arial" w:hAnsi="Arial" w:cs="Arial"/>
          <w:sz w:val="24"/>
          <w:szCs w:val="24"/>
        </w:rPr>
        <w:t xml:space="preserve"> and the general public. The Commission is also required to collect, correlate, analyse and disseminate information about its functions.</w:t>
      </w:r>
      <w:r w:rsidRPr="008819DF">
        <w:rPr>
          <w:rFonts w:cs="Fira Sans Light"/>
          <w:color w:val="000000"/>
          <w:sz w:val="20"/>
          <w:szCs w:val="20"/>
        </w:rPr>
        <w:t xml:space="preserve"> </w:t>
      </w:r>
    </w:p>
    <w:p w14:paraId="2B7CFF4C" w14:textId="77777777" w:rsidR="008819DF" w:rsidRPr="008819DF" w:rsidRDefault="008819DF" w:rsidP="001750D5">
      <w:pPr>
        <w:numPr>
          <w:ilvl w:val="0"/>
          <w:numId w:val="2"/>
        </w:numPr>
        <w:shd w:val="clear" w:color="auto" w:fill="FFFFFF"/>
        <w:spacing w:before="120" w:after="120" w:line="240" w:lineRule="auto"/>
        <w:rPr>
          <w:rFonts w:ascii="Arial" w:eastAsia="Times New Roman" w:hAnsi="Arial" w:cs="Arial"/>
          <w:color w:val="313131"/>
          <w:sz w:val="24"/>
          <w:szCs w:val="24"/>
          <w:lang w:eastAsia="en-AU"/>
        </w:rPr>
      </w:pPr>
      <w:r w:rsidRPr="008819DF">
        <w:rPr>
          <w:rFonts w:ascii="Arial" w:hAnsi="Arial" w:cs="Arial"/>
          <w:b/>
          <w:bCs/>
          <w:sz w:val="24"/>
          <w:szCs w:val="24"/>
        </w:rPr>
        <w:t>Complaints functions</w:t>
      </w:r>
      <w:r w:rsidRPr="008819DF">
        <w:rPr>
          <w:rFonts w:ascii="Arial" w:hAnsi="Arial" w:cs="Arial"/>
          <w:i/>
          <w:iCs/>
          <w:sz w:val="24"/>
          <w:szCs w:val="24"/>
        </w:rPr>
        <w:t xml:space="preserve"> – </w:t>
      </w:r>
      <w:r w:rsidRPr="008819DF">
        <w:rPr>
          <w:rFonts w:ascii="Arial" w:hAnsi="Arial" w:cs="Arial"/>
          <w:sz w:val="24"/>
          <w:szCs w:val="24"/>
        </w:rPr>
        <w:t xml:space="preserve">The Commission is required to deal with </w:t>
      </w:r>
      <w:r w:rsidRPr="008819DF">
        <w:rPr>
          <w:rFonts w:ascii="Arial" w:hAnsi="Arial" w:cs="Arial"/>
          <w:color w:val="000000"/>
          <w:sz w:val="24"/>
          <w:szCs w:val="24"/>
        </w:rPr>
        <w:t xml:space="preserve">complaints and information about a provider’s responsibilities </w:t>
      </w:r>
      <w:r w:rsidRPr="008819DF">
        <w:rPr>
          <w:rFonts w:ascii="Arial" w:hAnsi="Arial" w:cs="Arial"/>
          <w:sz w:val="24"/>
          <w:szCs w:val="24"/>
        </w:rPr>
        <w:t>under the Aged Care Act and/or grant agreements.</w:t>
      </w:r>
    </w:p>
    <w:p w14:paraId="378FEDE9" w14:textId="77777777" w:rsidR="008819DF" w:rsidRPr="008819DF" w:rsidRDefault="008819DF" w:rsidP="001750D5">
      <w:pPr>
        <w:numPr>
          <w:ilvl w:val="0"/>
          <w:numId w:val="2"/>
        </w:numPr>
        <w:spacing w:before="120" w:after="120" w:line="240" w:lineRule="auto"/>
        <w:rPr>
          <w:rFonts w:ascii="Arial" w:hAnsi="Arial" w:cs="Arial"/>
          <w:sz w:val="24"/>
          <w:szCs w:val="24"/>
        </w:rPr>
      </w:pPr>
      <w:r w:rsidRPr="008819DF">
        <w:rPr>
          <w:rFonts w:ascii="Arial" w:hAnsi="Arial" w:cs="Arial"/>
          <w:b/>
          <w:bCs/>
          <w:sz w:val="24"/>
          <w:szCs w:val="24"/>
        </w:rPr>
        <w:t>Code functions</w:t>
      </w:r>
      <w:r w:rsidRPr="008819DF">
        <w:rPr>
          <w:rFonts w:ascii="Arial" w:hAnsi="Arial" w:cs="Arial"/>
          <w:sz w:val="24"/>
          <w:szCs w:val="24"/>
        </w:rPr>
        <w:t xml:space="preserve"> – The Code of Conduct for Aged Care applies to providers of residential aged care, home care and flexible care. Approved providers, their governing persons and aged care workers must comply with the Code. NATSIFAC and CHSP providers and staff are not required to comply with the Code. The Commission has a range of powers and tools to deal with breaches of the code, including requesting additional information or documentation, requiring a provider to take a specific action, undertaking an </w:t>
      </w:r>
      <w:proofErr w:type="gramStart"/>
      <w:r w:rsidRPr="008819DF">
        <w:rPr>
          <w:rFonts w:ascii="Arial" w:hAnsi="Arial" w:cs="Arial"/>
          <w:sz w:val="24"/>
          <w:szCs w:val="24"/>
        </w:rPr>
        <w:t>investigation</w:t>
      </w:r>
      <w:proofErr w:type="gramEnd"/>
      <w:r w:rsidRPr="008819DF">
        <w:rPr>
          <w:rFonts w:ascii="Arial" w:hAnsi="Arial" w:cs="Arial"/>
          <w:sz w:val="24"/>
          <w:szCs w:val="24"/>
        </w:rPr>
        <w:t xml:space="preserve"> or requiring the provider to undertake an investigation and issuing a banning order which stops or restricts a person from being involved in the provision of aged care. </w:t>
      </w:r>
      <w:r w:rsidRPr="008819DF">
        <w:rPr>
          <w:rFonts w:ascii="Arial" w:hAnsi="Arial" w:cs="Arial"/>
          <w:sz w:val="24"/>
          <w:szCs w:val="24"/>
          <w:vertAlign w:val="superscript"/>
        </w:rPr>
        <w:footnoteReference w:id="121"/>
      </w:r>
    </w:p>
    <w:p w14:paraId="4746B2D3" w14:textId="77777777" w:rsidR="008819DF" w:rsidRPr="008819DF" w:rsidRDefault="008819DF" w:rsidP="001750D5">
      <w:pPr>
        <w:numPr>
          <w:ilvl w:val="0"/>
          <w:numId w:val="28"/>
        </w:numPr>
        <w:spacing w:before="120" w:after="120" w:line="240" w:lineRule="auto"/>
        <w:rPr>
          <w:rFonts w:cstheme="minorHAnsi"/>
        </w:rPr>
      </w:pPr>
      <w:r w:rsidRPr="008819DF">
        <w:rPr>
          <w:rFonts w:ascii="Arial" w:hAnsi="Arial" w:cs="Arial"/>
          <w:b/>
          <w:bCs/>
          <w:sz w:val="24"/>
          <w:szCs w:val="24"/>
        </w:rPr>
        <w:t>Regulatory functions</w:t>
      </w:r>
      <w:r w:rsidRPr="008819DF">
        <w:rPr>
          <w:rFonts w:ascii="Arial" w:hAnsi="Arial" w:cs="Arial"/>
          <w:sz w:val="24"/>
          <w:szCs w:val="24"/>
        </w:rPr>
        <w:t xml:space="preserve"> – The Commission’s regulatory functions include:</w:t>
      </w:r>
    </w:p>
    <w:p w14:paraId="7E4711DB" w14:textId="60B31AB1" w:rsidR="008819DF" w:rsidRPr="008819DF" w:rsidRDefault="008819DF" w:rsidP="001750D5">
      <w:pPr>
        <w:numPr>
          <w:ilvl w:val="1"/>
          <w:numId w:val="28"/>
        </w:numPr>
        <w:spacing w:before="120" w:after="120" w:line="240" w:lineRule="auto"/>
        <w:rPr>
          <w:rFonts w:ascii="Arial" w:hAnsi="Arial" w:cs="Arial"/>
          <w:sz w:val="24"/>
          <w:szCs w:val="24"/>
        </w:rPr>
      </w:pPr>
      <w:r w:rsidRPr="008819DF">
        <w:rPr>
          <w:rFonts w:ascii="Arial" w:hAnsi="Arial" w:cs="Arial"/>
          <w:sz w:val="24"/>
          <w:szCs w:val="24"/>
        </w:rPr>
        <w:t xml:space="preserve">Accrediting residential aged care services and flexible care services through which STRC is provided in a residential aged care setting. Services must be accredited against the Quality Standards to receive </w:t>
      </w:r>
      <w:r w:rsidR="001126F1">
        <w:rPr>
          <w:rFonts w:ascii="Arial" w:hAnsi="Arial" w:cs="Arial"/>
          <w:sz w:val="24"/>
          <w:szCs w:val="24"/>
        </w:rPr>
        <w:t>Australian Government</w:t>
      </w:r>
      <w:r w:rsidRPr="008819DF">
        <w:rPr>
          <w:rFonts w:ascii="Arial" w:hAnsi="Arial" w:cs="Arial"/>
          <w:sz w:val="24"/>
          <w:szCs w:val="24"/>
        </w:rPr>
        <w:t xml:space="preserve"> subsidy. Commencing services generally receive 12 months accreditation following a desk-based assessment. Re-accreditation requires an onsite audit. Services can receive up to 3 years re-accreditation.</w:t>
      </w:r>
    </w:p>
    <w:p w14:paraId="0784EA29" w14:textId="77777777" w:rsidR="008819DF" w:rsidRPr="008819DF" w:rsidRDefault="008819DF" w:rsidP="001750D5">
      <w:pPr>
        <w:numPr>
          <w:ilvl w:val="1"/>
          <w:numId w:val="28"/>
        </w:numPr>
        <w:spacing w:before="120" w:after="120" w:line="240" w:lineRule="auto"/>
        <w:rPr>
          <w:rFonts w:ascii="Arial" w:hAnsi="Arial" w:cs="Arial"/>
          <w:sz w:val="24"/>
          <w:szCs w:val="24"/>
        </w:rPr>
      </w:pPr>
      <w:r w:rsidRPr="008819DF">
        <w:rPr>
          <w:rFonts w:ascii="Arial" w:hAnsi="Arial" w:cs="Arial"/>
          <w:sz w:val="24"/>
          <w:szCs w:val="24"/>
        </w:rPr>
        <w:t xml:space="preserve">Conducting quality reviews of home care services, CHSP services, NASTIFAC services and flexible care services through which STRC is provided in a home. Quality reviews require an onsite audit and must be conducted every three years. </w:t>
      </w:r>
    </w:p>
    <w:p w14:paraId="1117D414" w14:textId="77777777" w:rsidR="008819DF" w:rsidRPr="008819DF" w:rsidRDefault="008819DF" w:rsidP="001750D5">
      <w:pPr>
        <w:numPr>
          <w:ilvl w:val="1"/>
          <w:numId w:val="28"/>
        </w:numPr>
        <w:spacing w:before="120" w:after="120" w:line="240" w:lineRule="auto"/>
        <w:rPr>
          <w:rFonts w:ascii="Arial" w:hAnsi="Arial" w:cs="Arial"/>
          <w:sz w:val="24"/>
          <w:szCs w:val="24"/>
        </w:rPr>
      </w:pPr>
      <w:r w:rsidRPr="008819DF">
        <w:rPr>
          <w:rFonts w:ascii="Arial" w:hAnsi="Arial" w:cs="Arial"/>
          <w:sz w:val="24"/>
          <w:szCs w:val="24"/>
        </w:rPr>
        <w:t xml:space="preserve">Monitoring the quality of care and services provided by all services. This includes performance assessments and monitoring contacts to monitor service provision between accreditation/ re-accreditation audits and quality reviews (these may be conducted on or off-site), review audits of </w:t>
      </w:r>
      <w:r w:rsidRPr="008819DF">
        <w:rPr>
          <w:rFonts w:ascii="Arial" w:hAnsi="Arial" w:cs="Arial"/>
          <w:sz w:val="24"/>
          <w:szCs w:val="24"/>
        </w:rPr>
        <w:lastRenderedPageBreak/>
        <w:t xml:space="preserve">residential services where serious issues are identified in relation to the Quality Standards (these must be conducted on site) and requiring plans for continuous improvement where particular requirements are not met. </w:t>
      </w:r>
    </w:p>
    <w:p w14:paraId="5A2FCB0C" w14:textId="77777777" w:rsidR="008819DF" w:rsidRPr="008819DF" w:rsidRDefault="008819DF" w:rsidP="001750D5">
      <w:pPr>
        <w:numPr>
          <w:ilvl w:val="1"/>
          <w:numId w:val="28"/>
        </w:numPr>
        <w:spacing w:before="120" w:after="120" w:line="240" w:lineRule="auto"/>
        <w:rPr>
          <w:rFonts w:ascii="Arial" w:hAnsi="Arial" w:cs="Arial"/>
          <w:sz w:val="24"/>
          <w:szCs w:val="24"/>
        </w:rPr>
      </w:pPr>
      <w:r w:rsidRPr="008819DF">
        <w:rPr>
          <w:rFonts w:ascii="Arial" w:hAnsi="Arial" w:cs="Arial"/>
          <w:sz w:val="24"/>
          <w:szCs w:val="24"/>
        </w:rPr>
        <w:t xml:space="preserve">Registering quality assessors against requirements set out in the Commission Rules. Assessors must be registered to perform functions and exercise particular powers under the Commission Act, including completing undertaking accreditation audits and quality reviews. </w:t>
      </w:r>
    </w:p>
    <w:p w14:paraId="2981666D" w14:textId="77777777" w:rsidR="008819DF" w:rsidRPr="008819DF" w:rsidRDefault="008819DF" w:rsidP="001750D5">
      <w:pPr>
        <w:numPr>
          <w:ilvl w:val="0"/>
          <w:numId w:val="2"/>
        </w:numPr>
        <w:spacing w:before="120" w:after="120" w:line="240" w:lineRule="auto"/>
        <w:rPr>
          <w:rFonts w:ascii="Arial" w:hAnsi="Arial" w:cs="Arial"/>
          <w:b/>
          <w:bCs/>
          <w:sz w:val="24"/>
          <w:szCs w:val="24"/>
        </w:rPr>
      </w:pPr>
      <w:r w:rsidRPr="008819DF">
        <w:rPr>
          <w:rFonts w:ascii="Arial" w:hAnsi="Arial" w:cs="Arial"/>
          <w:b/>
          <w:bCs/>
          <w:sz w:val="24"/>
          <w:szCs w:val="24"/>
        </w:rPr>
        <w:t>Reconsidering and reviewing certain decisions made under the Commission Act.</w:t>
      </w:r>
    </w:p>
    <w:p w14:paraId="7ED2EECF" w14:textId="77777777" w:rsidR="008819DF" w:rsidRPr="008819DF" w:rsidRDefault="008819DF" w:rsidP="001750D5">
      <w:pPr>
        <w:numPr>
          <w:ilvl w:val="0"/>
          <w:numId w:val="2"/>
        </w:numPr>
        <w:spacing w:before="120" w:after="120" w:line="240" w:lineRule="auto"/>
        <w:rPr>
          <w:rFonts w:ascii="Arial" w:hAnsi="Arial" w:cs="Arial"/>
          <w:b/>
          <w:bCs/>
          <w:sz w:val="24"/>
          <w:szCs w:val="24"/>
        </w:rPr>
      </w:pPr>
      <w:r w:rsidRPr="008819DF">
        <w:rPr>
          <w:rFonts w:ascii="Arial" w:hAnsi="Arial" w:cs="Arial"/>
          <w:b/>
          <w:bCs/>
          <w:sz w:val="24"/>
          <w:szCs w:val="24"/>
        </w:rPr>
        <w:t>Any other functions conferred on the Commissioner in the Act or Rules.</w:t>
      </w:r>
    </w:p>
    <w:p w14:paraId="62A3AABB" w14:textId="77777777" w:rsidR="008819DF" w:rsidRPr="008819DF" w:rsidRDefault="008819DF" w:rsidP="001750D5">
      <w:pPr>
        <w:numPr>
          <w:ilvl w:val="0"/>
          <w:numId w:val="2"/>
        </w:numPr>
        <w:spacing w:before="120" w:after="120" w:line="240" w:lineRule="auto"/>
        <w:rPr>
          <w:rFonts w:ascii="Arial" w:hAnsi="Arial" w:cs="Arial"/>
          <w:b/>
          <w:bCs/>
          <w:sz w:val="24"/>
          <w:szCs w:val="24"/>
        </w:rPr>
      </w:pPr>
      <w:r w:rsidRPr="008819DF">
        <w:rPr>
          <w:rFonts w:ascii="Arial" w:hAnsi="Arial" w:cs="Arial"/>
          <w:b/>
          <w:bCs/>
          <w:sz w:val="24"/>
          <w:szCs w:val="24"/>
        </w:rPr>
        <w:t>If the Commissioner considers it appropriate, seek and consider clinical advice that is relevant to the performance of any of its functions.</w:t>
      </w:r>
    </w:p>
    <w:p w14:paraId="2AEB8EE4" w14:textId="75A81D28" w:rsidR="008819DF" w:rsidRPr="008819DF" w:rsidRDefault="008819DF" w:rsidP="001750D5">
      <w:pPr>
        <w:numPr>
          <w:ilvl w:val="0"/>
          <w:numId w:val="2"/>
        </w:numPr>
        <w:spacing w:before="120" w:after="120" w:line="240" w:lineRule="auto"/>
        <w:rPr>
          <w:rFonts w:ascii="Arial" w:hAnsi="Arial" w:cs="Arial"/>
          <w:sz w:val="24"/>
          <w:szCs w:val="24"/>
        </w:rPr>
      </w:pPr>
      <w:r w:rsidRPr="008819DF">
        <w:rPr>
          <w:rFonts w:ascii="Arial" w:hAnsi="Arial" w:cs="Arial"/>
          <w:b/>
          <w:bCs/>
          <w:sz w:val="24"/>
          <w:szCs w:val="24"/>
        </w:rPr>
        <w:t>At the Minister’s request, advise the Minister on any of the Commission</w:t>
      </w:r>
      <w:r w:rsidR="006B5CD4">
        <w:rPr>
          <w:rFonts w:ascii="Arial" w:hAnsi="Arial" w:cs="Arial"/>
          <w:b/>
          <w:bCs/>
          <w:sz w:val="24"/>
          <w:szCs w:val="24"/>
        </w:rPr>
        <w:t>’</w:t>
      </w:r>
      <w:r w:rsidRPr="008819DF">
        <w:rPr>
          <w:rFonts w:ascii="Arial" w:hAnsi="Arial" w:cs="Arial"/>
          <w:b/>
          <w:bCs/>
          <w:sz w:val="24"/>
          <w:szCs w:val="24"/>
        </w:rPr>
        <w:t>s functions</w:t>
      </w:r>
      <w:r w:rsidRPr="008819DF">
        <w:rPr>
          <w:rFonts w:ascii="Arial" w:hAnsi="Arial" w:cs="Arial"/>
          <w:sz w:val="24"/>
          <w:szCs w:val="24"/>
        </w:rPr>
        <w:t>.</w:t>
      </w:r>
      <w:r w:rsidRPr="008819DF">
        <w:rPr>
          <w:rFonts w:ascii="Arial" w:hAnsi="Arial" w:cs="Arial"/>
          <w:sz w:val="24"/>
          <w:szCs w:val="24"/>
          <w:vertAlign w:val="superscript"/>
        </w:rPr>
        <w:footnoteReference w:id="122"/>
      </w:r>
    </w:p>
    <w:p w14:paraId="33B228B7" w14:textId="52E53435" w:rsidR="00885ACC" w:rsidRDefault="00885ACC">
      <w:pPr>
        <w:rPr>
          <w:rFonts w:ascii="Arial" w:hAnsi="Arial" w:cs="Arial"/>
          <w:sz w:val="24"/>
          <w:szCs w:val="24"/>
          <w:highlight w:val="yellow"/>
        </w:rPr>
      </w:pPr>
    </w:p>
    <w:p w14:paraId="26482251" w14:textId="77777777" w:rsidR="00BE5A26" w:rsidRDefault="00BE5A26" w:rsidP="00885ACC">
      <w:pPr>
        <w:tabs>
          <w:tab w:val="right" w:leader="dot" w:pos="9016"/>
        </w:tabs>
        <w:spacing w:after="100" w:line="240" w:lineRule="auto"/>
        <w:jc w:val="right"/>
        <w:rPr>
          <w:rFonts w:ascii="Arial" w:hAnsi="Arial" w:cs="Arial"/>
          <w:b/>
          <w:bCs/>
          <w:sz w:val="24"/>
          <w:szCs w:val="24"/>
        </w:rPr>
        <w:sectPr w:rsidR="00BE5A26" w:rsidSect="00BD17DE">
          <w:headerReference w:type="even" r:id="rId42"/>
          <w:headerReference w:type="default" r:id="rId43"/>
          <w:footerReference w:type="even" r:id="rId44"/>
          <w:footerReference w:type="default" r:id="rId45"/>
          <w:headerReference w:type="first" r:id="rId46"/>
          <w:footerReference w:type="first" r:id="rId47"/>
          <w:pgSz w:w="11906" w:h="16838" w:code="9"/>
          <w:pgMar w:top="1440" w:right="1440" w:bottom="1440" w:left="1440" w:header="709" w:footer="709" w:gutter="0"/>
          <w:pgNumType w:start="1"/>
          <w:cols w:space="708"/>
          <w:titlePg/>
          <w:docGrid w:linePitch="360"/>
        </w:sectPr>
      </w:pPr>
    </w:p>
    <w:p w14:paraId="27147260" w14:textId="65020133" w:rsidR="003A7BF7" w:rsidRPr="000E132D" w:rsidRDefault="003A7BF7" w:rsidP="000E132D">
      <w:pPr>
        <w:pStyle w:val="Heading3"/>
      </w:pPr>
      <w:bookmarkStart w:id="36" w:name="_Toc131163560"/>
      <w:bookmarkStart w:id="37" w:name="_Hlk127793937"/>
      <w:r w:rsidRPr="000E132D">
        <w:lastRenderedPageBreak/>
        <w:t xml:space="preserve">Appendix E – Comparison of </w:t>
      </w:r>
      <w:r w:rsidR="00976516" w:rsidRPr="000E132D">
        <w:t xml:space="preserve">selected </w:t>
      </w:r>
      <w:r w:rsidRPr="000E132D">
        <w:t>national regulators</w:t>
      </w:r>
      <w:bookmarkEnd w:id="36"/>
    </w:p>
    <w:tbl>
      <w:tblPr>
        <w:tblStyle w:val="TableGrid"/>
        <w:tblW w:w="5000" w:type="pct"/>
        <w:tblLook w:val="04A0" w:firstRow="1" w:lastRow="0" w:firstColumn="1" w:lastColumn="0" w:noHBand="0" w:noVBand="1"/>
      </w:tblPr>
      <w:tblGrid>
        <w:gridCol w:w="1414"/>
        <w:gridCol w:w="2508"/>
        <w:gridCol w:w="2508"/>
        <w:gridCol w:w="2508"/>
        <w:gridCol w:w="2508"/>
        <w:gridCol w:w="2502"/>
      </w:tblGrid>
      <w:tr w:rsidR="00A44470" w:rsidRPr="00B00F73" w14:paraId="7E357716" w14:textId="77777777" w:rsidTr="00A44470">
        <w:trPr>
          <w:trHeight w:val="1042"/>
          <w:tblHeader/>
        </w:trPr>
        <w:tc>
          <w:tcPr>
            <w:tcW w:w="507" w:type="pct"/>
            <w:tcBorders>
              <w:top w:val="single" w:sz="4" w:space="0" w:color="auto"/>
              <w:left w:val="single" w:sz="4" w:space="0" w:color="auto"/>
              <w:bottom w:val="single" w:sz="4" w:space="0" w:color="auto"/>
              <w:right w:val="single" w:sz="4" w:space="0" w:color="auto"/>
            </w:tcBorders>
            <w:shd w:val="clear" w:color="auto" w:fill="2F5496" w:themeFill="accent1" w:themeFillShade="BF"/>
            <w:hideMark/>
          </w:tcPr>
          <w:p w14:paraId="01ACB23F" w14:textId="77777777" w:rsidR="00A44470" w:rsidRPr="00B00F73" w:rsidRDefault="00A44470" w:rsidP="001D4FB6">
            <w:pPr>
              <w:tabs>
                <w:tab w:val="left" w:pos="720"/>
              </w:tabs>
              <w:contextualSpacing/>
              <w:rPr>
                <w:rFonts w:eastAsia="Times New Roman" w:cstheme="minorHAnsi"/>
                <w:b/>
                <w:bCs/>
                <w:color w:val="F2F2F2" w:themeColor="background1" w:themeShade="F2"/>
                <w:sz w:val="20"/>
                <w:szCs w:val="20"/>
              </w:rPr>
            </w:pPr>
          </w:p>
        </w:tc>
        <w:tc>
          <w:tcPr>
            <w:tcW w:w="899" w:type="pct"/>
            <w:tcBorders>
              <w:top w:val="single" w:sz="4" w:space="0" w:color="auto"/>
              <w:left w:val="single" w:sz="4" w:space="0" w:color="auto"/>
              <w:bottom w:val="single" w:sz="4" w:space="0" w:color="auto"/>
              <w:right w:val="single" w:sz="4" w:space="0" w:color="auto"/>
            </w:tcBorders>
            <w:shd w:val="clear" w:color="auto" w:fill="2F5496" w:themeFill="accent1" w:themeFillShade="BF"/>
            <w:hideMark/>
          </w:tcPr>
          <w:p w14:paraId="593EC751" w14:textId="77777777" w:rsidR="00A44470" w:rsidRPr="00B00F73" w:rsidRDefault="00A44470" w:rsidP="001D4FB6">
            <w:pPr>
              <w:tabs>
                <w:tab w:val="left" w:pos="720"/>
              </w:tabs>
              <w:contextualSpacing/>
              <w:rPr>
                <w:rFonts w:eastAsia="Times New Roman" w:cstheme="minorHAnsi"/>
                <w:b/>
                <w:bCs/>
                <w:color w:val="F2F2F2" w:themeColor="background1" w:themeShade="F2"/>
                <w:sz w:val="20"/>
                <w:szCs w:val="20"/>
              </w:rPr>
            </w:pPr>
            <w:r w:rsidRPr="00B00F73">
              <w:rPr>
                <w:rFonts w:eastAsia="Times New Roman" w:cstheme="minorHAnsi"/>
                <w:b/>
                <w:bCs/>
                <w:color w:val="F2F2F2" w:themeColor="background1" w:themeShade="F2"/>
                <w:sz w:val="20"/>
                <w:szCs w:val="20"/>
              </w:rPr>
              <w:t>Aged Care Quality and Safety Commission</w:t>
            </w:r>
          </w:p>
          <w:p w14:paraId="5871639D" w14:textId="77777777" w:rsidR="00A44470" w:rsidRPr="00B00F73" w:rsidRDefault="00A44470" w:rsidP="001D4FB6">
            <w:pPr>
              <w:tabs>
                <w:tab w:val="left" w:pos="720"/>
              </w:tabs>
              <w:contextualSpacing/>
              <w:rPr>
                <w:rFonts w:eastAsia="Times New Roman" w:cstheme="minorHAnsi"/>
                <w:b/>
                <w:bCs/>
                <w:color w:val="F2F2F2" w:themeColor="background1" w:themeShade="F2"/>
                <w:sz w:val="20"/>
                <w:szCs w:val="20"/>
              </w:rPr>
            </w:pPr>
          </w:p>
        </w:tc>
        <w:tc>
          <w:tcPr>
            <w:tcW w:w="899" w:type="pct"/>
            <w:tcBorders>
              <w:top w:val="single" w:sz="4" w:space="0" w:color="auto"/>
              <w:left w:val="single" w:sz="4" w:space="0" w:color="auto"/>
              <w:bottom w:val="single" w:sz="4" w:space="0" w:color="auto"/>
              <w:right w:val="single" w:sz="4" w:space="0" w:color="auto"/>
            </w:tcBorders>
            <w:shd w:val="clear" w:color="auto" w:fill="2F5496" w:themeFill="accent1" w:themeFillShade="BF"/>
            <w:hideMark/>
          </w:tcPr>
          <w:p w14:paraId="1107722D" w14:textId="77777777" w:rsidR="00A44470" w:rsidRPr="00B00F73" w:rsidRDefault="00A44470" w:rsidP="001D4FB6">
            <w:pPr>
              <w:tabs>
                <w:tab w:val="left" w:pos="720"/>
              </w:tabs>
              <w:contextualSpacing/>
              <w:rPr>
                <w:rFonts w:eastAsia="Times New Roman" w:cstheme="minorHAnsi"/>
                <w:b/>
                <w:bCs/>
                <w:color w:val="F2F2F2" w:themeColor="background1" w:themeShade="F2"/>
                <w:sz w:val="20"/>
                <w:szCs w:val="20"/>
              </w:rPr>
            </w:pPr>
            <w:r w:rsidRPr="00B00F73">
              <w:rPr>
                <w:rFonts w:eastAsia="Times New Roman" w:cstheme="minorHAnsi"/>
                <w:b/>
                <w:bCs/>
                <w:color w:val="F2F2F2" w:themeColor="background1" w:themeShade="F2"/>
                <w:sz w:val="20"/>
                <w:szCs w:val="20"/>
              </w:rPr>
              <w:t>National Disability Insurance Scheme Quality and Safeguards Commission</w:t>
            </w:r>
          </w:p>
        </w:tc>
        <w:tc>
          <w:tcPr>
            <w:tcW w:w="899" w:type="pct"/>
            <w:tcBorders>
              <w:top w:val="single" w:sz="4" w:space="0" w:color="auto"/>
              <w:left w:val="single" w:sz="4" w:space="0" w:color="auto"/>
              <w:bottom w:val="single" w:sz="4" w:space="0" w:color="auto"/>
              <w:right w:val="single" w:sz="4" w:space="0" w:color="auto"/>
            </w:tcBorders>
            <w:shd w:val="clear" w:color="auto" w:fill="2F5496" w:themeFill="accent1" w:themeFillShade="BF"/>
          </w:tcPr>
          <w:p w14:paraId="65B3F0A7" w14:textId="77777777" w:rsidR="00A44470" w:rsidRPr="00B00F73" w:rsidRDefault="00A44470" w:rsidP="001D4FB6">
            <w:pPr>
              <w:tabs>
                <w:tab w:val="left" w:pos="720"/>
              </w:tabs>
              <w:contextualSpacing/>
              <w:rPr>
                <w:rFonts w:eastAsia="Times New Roman" w:cstheme="minorHAnsi"/>
                <w:b/>
                <w:bCs/>
                <w:color w:val="F2F2F2" w:themeColor="background1" w:themeShade="F2"/>
                <w:sz w:val="20"/>
                <w:szCs w:val="20"/>
              </w:rPr>
            </w:pPr>
            <w:r w:rsidRPr="00B00F73">
              <w:rPr>
                <w:rFonts w:eastAsia="Times New Roman" w:cstheme="minorHAnsi"/>
                <w:b/>
                <w:bCs/>
                <w:color w:val="F2F2F2" w:themeColor="background1" w:themeShade="F2"/>
                <w:sz w:val="20"/>
                <w:szCs w:val="20"/>
              </w:rPr>
              <w:t>Australian Skills Quality Authority</w:t>
            </w:r>
          </w:p>
        </w:tc>
        <w:tc>
          <w:tcPr>
            <w:tcW w:w="899" w:type="pct"/>
            <w:tcBorders>
              <w:top w:val="single" w:sz="4" w:space="0" w:color="auto"/>
              <w:left w:val="single" w:sz="4" w:space="0" w:color="auto"/>
              <w:bottom w:val="single" w:sz="4" w:space="0" w:color="auto"/>
              <w:right w:val="single" w:sz="4" w:space="0" w:color="auto"/>
            </w:tcBorders>
            <w:shd w:val="clear" w:color="auto" w:fill="2F5496" w:themeFill="accent1" w:themeFillShade="BF"/>
          </w:tcPr>
          <w:p w14:paraId="43241B5F" w14:textId="77777777" w:rsidR="00A44470" w:rsidRPr="00136892" w:rsidRDefault="00A44470" w:rsidP="001D4FB6">
            <w:pPr>
              <w:tabs>
                <w:tab w:val="left" w:pos="720"/>
              </w:tabs>
              <w:contextualSpacing/>
              <w:rPr>
                <w:rFonts w:eastAsia="Times New Roman" w:cstheme="minorHAnsi"/>
                <w:b/>
                <w:bCs/>
                <w:color w:val="F2F2F2" w:themeColor="background1" w:themeShade="F2"/>
                <w:sz w:val="20"/>
                <w:szCs w:val="20"/>
              </w:rPr>
            </w:pPr>
            <w:r w:rsidRPr="00136892">
              <w:rPr>
                <w:rFonts w:eastAsia="Times New Roman" w:cstheme="minorHAnsi"/>
                <w:b/>
                <w:bCs/>
                <w:color w:val="FFFFFF" w:themeColor="background1"/>
                <w:sz w:val="20"/>
                <w:szCs w:val="20"/>
              </w:rPr>
              <w:t>Australian Prudential Regulation Authority</w:t>
            </w:r>
          </w:p>
        </w:tc>
        <w:tc>
          <w:tcPr>
            <w:tcW w:w="898" w:type="pct"/>
            <w:tcBorders>
              <w:top w:val="single" w:sz="4" w:space="0" w:color="auto"/>
              <w:left w:val="single" w:sz="4" w:space="0" w:color="auto"/>
              <w:bottom w:val="single" w:sz="4" w:space="0" w:color="auto"/>
              <w:right w:val="single" w:sz="4" w:space="0" w:color="auto"/>
            </w:tcBorders>
            <w:shd w:val="clear" w:color="auto" w:fill="2F5496" w:themeFill="accent1" w:themeFillShade="BF"/>
          </w:tcPr>
          <w:p w14:paraId="5B3AEA25" w14:textId="77777777" w:rsidR="00A44470" w:rsidRPr="00B00F73" w:rsidRDefault="00A44470" w:rsidP="001D4FB6">
            <w:pPr>
              <w:tabs>
                <w:tab w:val="left" w:pos="720"/>
              </w:tabs>
              <w:contextualSpacing/>
              <w:rPr>
                <w:rFonts w:eastAsia="Times New Roman" w:cstheme="minorHAnsi"/>
                <w:b/>
                <w:bCs/>
                <w:color w:val="F2F2F2" w:themeColor="background1" w:themeShade="F2"/>
                <w:sz w:val="20"/>
                <w:szCs w:val="20"/>
              </w:rPr>
            </w:pPr>
            <w:r w:rsidRPr="00B00F73">
              <w:rPr>
                <w:rFonts w:eastAsia="Times New Roman" w:cstheme="minorHAnsi"/>
                <w:b/>
                <w:bCs/>
                <w:color w:val="F2F2F2" w:themeColor="background1" w:themeShade="F2"/>
                <w:sz w:val="20"/>
                <w:szCs w:val="20"/>
              </w:rPr>
              <w:t>Australian Commission on Safety and Quality in Healthcare</w:t>
            </w:r>
          </w:p>
        </w:tc>
      </w:tr>
      <w:tr w:rsidR="00A44470" w:rsidRPr="00B00F73" w14:paraId="436B8A2E" w14:textId="77777777" w:rsidTr="00A44470">
        <w:trPr>
          <w:trHeight w:val="730"/>
        </w:trPr>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4268B8A" w14:textId="77777777" w:rsidR="00A44470" w:rsidRPr="00B00F73" w:rsidRDefault="00A44470" w:rsidP="001D4FB6">
            <w:pPr>
              <w:tabs>
                <w:tab w:val="left" w:pos="720"/>
              </w:tabs>
              <w:contextualSpacing/>
              <w:rPr>
                <w:rFonts w:eastAsia="Times New Roman" w:cstheme="minorHAnsi"/>
                <w:b/>
                <w:bCs/>
                <w:sz w:val="20"/>
                <w:szCs w:val="20"/>
              </w:rPr>
            </w:pPr>
            <w:r>
              <w:rPr>
                <w:rFonts w:eastAsia="Times New Roman" w:cstheme="minorHAnsi"/>
                <w:b/>
                <w:bCs/>
                <w:sz w:val="20"/>
                <w:szCs w:val="20"/>
              </w:rPr>
              <w:t>Overview</w:t>
            </w:r>
          </w:p>
        </w:tc>
        <w:tc>
          <w:tcPr>
            <w:tcW w:w="899" w:type="pct"/>
            <w:tcBorders>
              <w:top w:val="single" w:sz="4" w:space="0" w:color="auto"/>
              <w:left w:val="single" w:sz="4" w:space="0" w:color="auto"/>
              <w:bottom w:val="single" w:sz="4" w:space="0" w:color="auto"/>
              <w:right w:val="single" w:sz="4" w:space="0" w:color="auto"/>
            </w:tcBorders>
          </w:tcPr>
          <w:p w14:paraId="35C41369" w14:textId="77777777" w:rsidR="00A44470" w:rsidRPr="002F1D65" w:rsidRDefault="00A44470" w:rsidP="00A44470">
            <w:pPr>
              <w:pStyle w:val="ListParagraph"/>
              <w:numPr>
                <w:ilvl w:val="0"/>
                <w:numId w:val="57"/>
              </w:numPr>
              <w:tabs>
                <w:tab w:val="left" w:pos="720"/>
              </w:tabs>
              <w:ind w:left="360"/>
              <w:rPr>
                <w:rFonts w:eastAsia="Times New Roman" w:cstheme="minorHAnsi"/>
                <w:sz w:val="20"/>
                <w:szCs w:val="20"/>
              </w:rPr>
            </w:pPr>
            <w:r w:rsidRPr="002F1D65">
              <w:rPr>
                <w:rFonts w:eastAsia="Times New Roman" w:cstheme="minorHAnsi"/>
                <w:sz w:val="20"/>
                <w:szCs w:val="20"/>
              </w:rPr>
              <w:t xml:space="preserve">End to end regulator of Commonwealth </w:t>
            </w:r>
            <w:proofErr w:type="spellStart"/>
            <w:r w:rsidRPr="002F1D65">
              <w:rPr>
                <w:rFonts w:eastAsia="Times New Roman" w:cstheme="minorHAnsi"/>
                <w:sz w:val="20"/>
                <w:szCs w:val="20"/>
              </w:rPr>
              <w:t>subsidised</w:t>
            </w:r>
            <w:proofErr w:type="spellEnd"/>
            <w:r w:rsidRPr="002F1D65">
              <w:rPr>
                <w:rFonts w:eastAsia="Times New Roman" w:cstheme="minorHAnsi"/>
                <w:sz w:val="20"/>
                <w:szCs w:val="20"/>
              </w:rPr>
              <w:t xml:space="preserve"> aged care.</w:t>
            </w:r>
          </w:p>
          <w:p w14:paraId="3E297AA9" w14:textId="77777777" w:rsidR="00A44470" w:rsidRPr="00B00F73" w:rsidRDefault="00A44470" w:rsidP="00A44470">
            <w:pPr>
              <w:pStyle w:val="ListParagraph"/>
              <w:numPr>
                <w:ilvl w:val="0"/>
                <w:numId w:val="57"/>
              </w:numPr>
              <w:shd w:val="clear" w:color="auto" w:fill="FFFFFF"/>
              <w:tabs>
                <w:tab w:val="left" w:pos="720"/>
              </w:tabs>
              <w:spacing w:before="100" w:beforeAutospacing="1" w:after="100" w:afterAutospacing="1"/>
              <w:ind w:left="360"/>
              <w:rPr>
                <w:rFonts w:eastAsia="Times New Roman" w:cstheme="minorHAnsi"/>
                <w:sz w:val="20"/>
                <w:szCs w:val="20"/>
              </w:rPr>
            </w:pPr>
            <w:r w:rsidRPr="002F1D65">
              <w:rPr>
                <w:rFonts w:eastAsia="Times New Roman" w:cstheme="minorHAnsi"/>
                <w:sz w:val="20"/>
                <w:szCs w:val="20"/>
              </w:rPr>
              <w:t xml:space="preserve">Mandated to </w:t>
            </w:r>
            <w:r w:rsidRPr="002F1D65">
              <w:rPr>
                <w:rFonts w:eastAsia="Times New Roman" w:cstheme="minorHAnsi"/>
                <w:color w:val="000000"/>
                <w:sz w:val="20"/>
                <w:szCs w:val="20"/>
                <w:lang w:eastAsia="en-AU"/>
              </w:rPr>
              <w:t xml:space="preserve">protect and enhance the safety, health, </w:t>
            </w:r>
            <w:proofErr w:type="gramStart"/>
            <w:r w:rsidRPr="002F1D65">
              <w:rPr>
                <w:rFonts w:eastAsia="Times New Roman" w:cstheme="minorHAnsi"/>
                <w:color w:val="000000"/>
                <w:sz w:val="20"/>
                <w:szCs w:val="20"/>
                <w:lang w:eastAsia="en-AU"/>
              </w:rPr>
              <w:t>wellbeing</w:t>
            </w:r>
            <w:proofErr w:type="gramEnd"/>
            <w:r w:rsidRPr="002F1D65">
              <w:rPr>
                <w:rFonts w:eastAsia="Times New Roman" w:cstheme="minorHAnsi"/>
                <w:color w:val="000000"/>
                <w:sz w:val="20"/>
                <w:szCs w:val="20"/>
                <w:lang w:eastAsia="en-AU"/>
              </w:rPr>
              <w:t xml:space="preserve"> and quality of life of aged care consumers and to promote the provision of quality care and services by approved providers of aged care services, and providers of </w:t>
            </w:r>
            <w:r>
              <w:rPr>
                <w:rFonts w:eastAsia="Times New Roman" w:cstheme="minorHAnsi"/>
                <w:color w:val="000000"/>
                <w:sz w:val="20"/>
                <w:szCs w:val="20"/>
                <w:lang w:eastAsia="en-AU"/>
              </w:rPr>
              <w:t>Australian Government</w:t>
            </w:r>
            <w:r w:rsidRPr="002F1D65">
              <w:rPr>
                <w:rFonts w:eastAsia="Times New Roman" w:cstheme="minorHAnsi"/>
                <w:color w:val="000000"/>
                <w:sz w:val="20"/>
                <w:szCs w:val="20"/>
                <w:lang w:eastAsia="en-AU"/>
              </w:rPr>
              <w:t xml:space="preserve">-funded aged care services. </w:t>
            </w:r>
          </w:p>
        </w:tc>
        <w:tc>
          <w:tcPr>
            <w:tcW w:w="899" w:type="pct"/>
            <w:tcBorders>
              <w:top w:val="single" w:sz="4" w:space="0" w:color="auto"/>
              <w:left w:val="single" w:sz="4" w:space="0" w:color="auto"/>
              <w:bottom w:val="single" w:sz="4" w:space="0" w:color="auto"/>
              <w:right w:val="single" w:sz="4" w:space="0" w:color="auto"/>
            </w:tcBorders>
          </w:tcPr>
          <w:p w14:paraId="5853853A" w14:textId="77777777" w:rsidR="00A44470" w:rsidRPr="00D0190F" w:rsidRDefault="00A44470" w:rsidP="00A44470">
            <w:pPr>
              <w:pStyle w:val="ListParagraph"/>
              <w:numPr>
                <w:ilvl w:val="0"/>
                <w:numId w:val="57"/>
              </w:numPr>
              <w:tabs>
                <w:tab w:val="left" w:pos="720"/>
              </w:tabs>
              <w:ind w:left="360"/>
              <w:rPr>
                <w:rFonts w:eastAsia="Times New Roman" w:cstheme="minorHAnsi"/>
                <w:sz w:val="20"/>
                <w:szCs w:val="20"/>
              </w:rPr>
            </w:pPr>
            <w:r w:rsidRPr="00D0190F">
              <w:rPr>
                <w:rFonts w:eastAsia="Times New Roman" w:cstheme="minorHAnsi"/>
                <w:sz w:val="20"/>
                <w:szCs w:val="20"/>
              </w:rPr>
              <w:t>Improves the quality and safety of NDIS supports and services.</w:t>
            </w:r>
          </w:p>
          <w:p w14:paraId="172AE820" w14:textId="77777777" w:rsidR="00A44470" w:rsidRPr="00B00F73" w:rsidRDefault="00A44470" w:rsidP="001D4FB6">
            <w:pPr>
              <w:tabs>
                <w:tab w:val="left" w:pos="720"/>
              </w:tabs>
              <w:ind w:left="31"/>
              <w:contextualSpacing/>
              <w:rPr>
                <w:rFonts w:eastAsia="Times New Roman" w:cstheme="minorHAnsi"/>
                <w:sz w:val="20"/>
                <w:szCs w:val="20"/>
              </w:rPr>
            </w:pPr>
          </w:p>
        </w:tc>
        <w:tc>
          <w:tcPr>
            <w:tcW w:w="899" w:type="pct"/>
            <w:tcBorders>
              <w:top w:val="single" w:sz="4" w:space="0" w:color="auto"/>
              <w:left w:val="single" w:sz="4" w:space="0" w:color="auto"/>
              <w:bottom w:val="single" w:sz="4" w:space="0" w:color="auto"/>
              <w:right w:val="single" w:sz="4" w:space="0" w:color="auto"/>
            </w:tcBorders>
          </w:tcPr>
          <w:p w14:paraId="6417D63C" w14:textId="77777777" w:rsidR="00A44470" w:rsidRPr="00136892" w:rsidRDefault="00A44470" w:rsidP="00A44470">
            <w:pPr>
              <w:pStyle w:val="ListParagraph"/>
              <w:numPr>
                <w:ilvl w:val="0"/>
                <w:numId w:val="59"/>
              </w:numPr>
              <w:tabs>
                <w:tab w:val="left" w:pos="720"/>
              </w:tabs>
              <w:rPr>
                <w:sz w:val="24"/>
                <w:szCs w:val="24"/>
              </w:rPr>
            </w:pPr>
            <w:r w:rsidRPr="00136892">
              <w:rPr>
                <w:rFonts w:ascii="Calibri" w:eastAsia="Calibri" w:hAnsi="Calibri" w:cs="Calibri"/>
                <w:sz w:val="20"/>
                <w:szCs w:val="20"/>
              </w:rPr>
              <w:t xml:space="preserve">Regulator for </w:t>
            </w:r>
            <w:r w:rsidRPr="00136892">
              <w:rPr>
                <w:rFonts w:ascii="Calibri" w:eastAsia="Calibri" w:hAnsi="Calibri" w:cs="Calibri"/>
                <w:color w:val="000000" w:themeColor="text1"/>
                <w:sz w:val="20"/>
                <w:szCs w:val="20"/>
              </w:rPr>
              <w:t xml:space="preserve">all registered training organizations (RTOs) in Qld, SA, Tas, AC, </w:t>
            </w:r>
            <w:proofErr w:type="gramStart"/>
            <w:r w:rsidRPr="00136892">
              <w:rPr>
                <w:rFonts w:ascii="Calibri" w:eastAsia="Calibri" w:hAnsi="Calibri" w:cs="Calibri"/>
                <w:color w:val="000000" w:themeColor="text1"/>
                <w:sz w:val="20"/>
                <w:szCs w:val="20"/>
              </w:rPr>
              <w:t>NT</w:t>
            </w:r>
            <w:proofErr w:type="gramEnd"/>
            <w:r w:rsidRPr="00136892">
              <w:rPr>
                <w:rFonts w:ascii="Calibri" w:eastAsia="Calibri" w:hAnsi="Calibri" w:cs="Calibri"/>
                <w:color w:val="000000" w:themeColor="text1"/>
                <w:sz w:val="20"/>
                <w:szCs w:val="20"/>
              </w:rPr>
              <w:t xml:space="preserve"> and NSW. in VIC and WA provided that:</w:t>
            </w:r>
          </w:p>
          <w:p w14:paraId="0182A7FF" w14:textId="77777777" w:rsidR="00A44470" w:rsidRPr="00136892" w:rsidRDefault="00A44470" w:rsidP="00A44470">
            <w:pPr>
              <w:pStyle w:val="ListParagraph"/>
              <w:numPr>
                <w:ilvl w:val="0"/>
                <w:numId w:val="60"/>
              </w:numPr>
              <w:autoSpaceDE w:val="0"/>
              <w:autoSpaceDN w:val="0"/>
              <w:adjustRightInd w:val="0"/>
              <w:spacing w:after="120"/>
              <w:rPr>
                <w:rFonts w:cstheme="minorHAnsi"/>
                <w:sz w:val="20"/>
                <w:szCs w:val="20"/>
              </w:rPr>
            </w:pPr>
            <w:r w:rsidRPr="00136892">
              <w:rPr>
                <w:rFonts w:cstheme="minorHAnsi"/>
                <w:sz w:val="20"/>
                <w:szCs w:val="20"/>
              </w:rPr>
              <w:t>The RTO offers any course within ACT, NSW, NT, QLD, SA and TAS, or</w:t>
            </w:r>
          </w:p>
          <w:p w14:paraId="0C73A035" w14:textId="77777777" w:rsidR="00A44470" w:rsidRPr="00CA4961" w:rsidRDefault="00A44470" w:rsidP="00A44470">
            <w:pPr>
              <w:pStyle w:val="ListParagraph"/>
              <w:numPr>
                <w:ilvl w:val="0"/>
                <w:numId w:val="60"/>
              </w:numPr>
              <w:autoSpaceDE w:val="0"/>
              <w:autoSpaceDN w:val="0"/>
              <w:adjustRightInd w:val="0"/>
              <w:spacing w:after="240"/>
              <w:rPr>
                <w:rFonts w:ascii="Calibri" w:eastAsia="Calibri" w:hAnsi="Calibri" w:cs="Calibri"/>
                <w:sz w:val="20"/>
                <w:szCs w:val="20"/>
              </w:rPr>
            </w:pPr>
            <w:r w:rsidRPr="00136892">
              <w:rPr>
                <w:rFonts w:cstheme="minorHAnsi"/>
                <w:sz w:val="20"/>
                <w:szCs w:val="20"/>
              </w:rPr>
              <w:t>If the RTO chooses to offer courses to international students who have chosen to study in Australia or on student visas</w:t>
            </w:r>
            <w:r>
              <w:rPr>
                <w:rFonts w:cstheme="minorHAnsi"/>
                <w:sz w:val="20"/>
                <w:szCs w:val="20"/>
              </w:rPr>
              <w:t>.</w:t>
            </w:r>
          </w:p>
          <w:p w14:paraId="4AD5B811" w14:textId="77777777" w:rsidR="00A44470" w:rsidRDefault="00A44470" w:rsidP="001D4FB6">
            <w:pPr>
              <w:pStyle w:val="ListParagraph"/>
              <w:autoSpaceDE w:val="0"/>
              <w:autoSpaceDN w:val="0"/>
              <w:adjustRightInd w:val="0"/>
              <w:rPr>
                <w:rFonts w:ascii="Calibri" w:eastAsia="Calibri" w:hAnsi="Calibri" w:cs="Calibri"/>
                <w:sz w:val="20"/>
                <w:szCs w:val="20"/>
              </w:rPr>
            </w:pPr>
          </w:p>
          <w:p w14:paraId="04034CF8" w14:textId="77777777" w:rsidR="00A44470" w:rsidRPr="00BD765A" w:rsidRDefault="00A44470" w:rsidP="001D4FB6">
            <w:pPr>
              <w:rPr>
                <w:lang w:eastAsia="en-GB"/>
              </w:rPr>
            </w:pP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0DAC675E" w14:textId="77777777" w:rsidR="00A44470" w:rsidRPr="00D62EFF" w:rsidRDefault="00A44470" w:rsidP="00A44470">
            <w:pPr>
              <w:pStyle w:val="ListParagraph"/>
              <w:numPr>
                <w:ilvl w:val="0"/>
                <w:numId w:val="58"/>
              </w:numPr>
              <w:tabs>
                <w:tab w:val="left" w:pos="720"/>
              </w:tabs>
              <w:spacing w:after="120"/>
              <w:ind w:left="360"/>
              <w:rPr>
                <w:rFonts w:cstheme="minorHAnsi"/>
                <w:sz w:val="20"/>
                <w:szCs w:val="20"/>
              </w:rPr>
            </w:pPr>
            <w:r w:rsidRPr="00D62EFF">
              <w:rPr>
                <w:rFonts w:cstheme="minorHAnsi"/>
                <w:sz w:val="20"/>
                <w:szCs w:val="20"/>
              </w:rPr>
              <w:t xml:space="preserve">Supervises institutions across banking, insurance and superannuation and promotes financial system stability in Australia. </w:t>
            </w:r>
          </w:p>
          <w:p w14:paraId="2A062724" w14:textId="77777777" w:rsidR="00A44470" w:rsidRPr="00D62EFF" w:rsidRDefault="00A44470" w:rsidP="00A44470">
            <w:pPr>
              <w:pStyle w:val="ListParagraph"/>
              <w:numPr>
                <w:ilvl w:val="0"/>
                <w:numId w:val="58"/>
              </w:numPr>
              <w:tabs>
                <w:tab w:val="left" w:pos="720"/>
              </w:tabs>
              <w:spacing w:after="120"/>
              <w:ind w:left="360"/>
              <w:rPr>
                <w:rFonts w:cstheme="minorHAnsi"/>
                <w:sz w:val="20"/>
                <w:szCs w:val="20"/>
              </w:rPr>
            </w:pPr>
            <w:r w:rsidRPr="00D62EFF">
              <w:rPr>
                <w:rFonts w:cstheme="minorHAnsi"/>
                <w:sz w:val="20"/>
                <w:szCs w:val="20"/>
              </w:rPr>
              <w:t>Mandated to protect the Australian community by establishing and enforcing prudential standards and other components of the prudential framework to maintain the safety and soundness of the institutions it regulates.</w:t>
            </w:r>
          </w:p>
        </w:tc>
        <w:tc>
          <w:tcPr>
            <w:tcW w:w="898" w:type="pct"/>
            <w:tcBorders>
              <w:top w:val="single" w:sz="4" w:space="0" w:color="auto"/>
              <w:left w:val="single" w:sz="4" w:space="0" w:color="auto"/>
              <w:bottom w:val="single" w:sz="4" w:space="0" w:color="auto"/>
              <w:right w:val="single" w:sz="4" w:space="0" w:color="auto"/>
            </w:tcBorders>
          </w:tcPr>
          <w:p w14:paraId="49184713" w14:textId="77777777" w:rsidR="00A44470" w:rsidRPr="00165543" w:rsidRDefault="00A44470" w:rsidP="00A44470">
            <w:pPr>
              <w:pStyle w:val="ListParagraph"/>
              <w:numPr>
                <w:ilvl w:val="0"/>
                <w:numId w:val="58"/>
              </w:numPr>
              <w:tabs>
                <w:tab w:val="left" w:pos="720"/>
              </w:tabs>
              <w:spacing w:after="120"/>
              <w:ind w:left="360"/>
              <w:rPr>
                <w:rFonts w:cstheme="minorHAnsi"/>
                <w:sz w:val="20"/>
                <w:szCs w:val="20"/>
              </w:rPr>
            </w:pPr>
            <w:r w:rsidRPr="00165543">
              <w:rPr>
                <w:rFonts w:ascii="Calibri" w:eastAsia="Calibri" w:hAnsi="Calibri" w:cs="Calibri"/>
                <w:sz w:val="20"/>
                <w:szCs w:val="20"/>
              </w:rPr>
              <w:t>Leads</w:t>
            </w:r>
            <w:r w:rsidRPr="00165543">
              <w:rPr>
                <w:rFonts w:cstheme="minorHAnsi"/>
                <w:sz w:val="20"/>
                <w:szCs w:val="20"/>
              </w:rPr>
              <w:t xml:space="preserve"> and coordinates national improvements in the safety and quality of health care. </w:t>
            </w:r>
          </w:p>
        </w:tc>
      </w:tr>
      <w:tr w:rsidR="00A44470" w:rsidRPr="00B00F73" w14:paraId="5EF1735F" w14:textId="77777777" w:rsidTr="005F47A3">
        <w:trPr>
          <w:trHeight w:val="6455"/>
        </w:trPr>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A0DE3B" w14:textId="77777777" w:rsidR="00A44470" w:rsidRPr="00B00F73" w:rsidRDefault="00A44470" w:rsidP="001D4FB6">
            <w:pPr>
              <w:tabs>
                <w:tab w:val="left" w:pos="720"/>
              </w:tabs>
              <w:contextualSpacing/>
              <w:rPr>
                <w:rFonts w:eastAsia="Times New Roman" w:cstheme="minorHAnsi"/>
                <w:b/>
                <w:bCs/>
                <w:sz w:val="20"/>
                <w:szCs w:val="20"/>
              </w:rPr>
            </w:pPr>
            <w:r w:rsidRPr="00B00F73">
              <w:rPr>
                <w:rFonts w:eastAsia="Times New Roman" w:cstheme="minorHAnsi"/>
                <w:b/>
                <w:bCs/>
                <w:sz w:val="20"/>
                <w:szCs w:val="20"/>
              </w:rPr>
              <w:lastRenderedPageBreak/>
              <w:t>Functions</w:t>
            </w:r>
          </w:p>
        </w:tc>
        <w:tc>
          <w:tcPr>
            <w:tcW w:w="899" w:type="pct"/>
            <w:tcBorders>
              <w:top w:val="single" w:sz="4" w:space="0" w:color="auto"/>
              <w:left w:val="single" w:sz="4" w:space="0" w:color="auto"/>
              <w:bottom w:val="single" w:sz="4" w:space="0" w:color="auto"/>
              <w:right w:val="single" w:sz="4" w:space="0" w:color="auto"/>
            </w:tcBorders>
          </w:tcPr>
          <w:p w14:paraId="297A36E8"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t>Approv</w:t>
            </w:r>
            <w:r>
              <w:rPr>
                <w:rFonts w:eastAsia="Times New Roman" w:cstheme="minorHAnsi"/>
                <w:color w:val="000000"/>
                <w:sz w:val="20"/>
                <w:szCs w:val="20"/>
                <w:lang w:eastAsia="en-AU"/>
              </w:rPr>
              <w:t>es</w:t>
            </w:r>
            <w:r w:rsidRPr="00B00F73">
              <w:rPr>
                <w:rFonts w:eastAsia="Times New Roman" w:cstheme="minorHAnsi"/>
                <w:color w:val="000000"/>
                <w:sz w:val="20"/>
                <w:szCs w:val="20"/>
                <w:lang w:eastAsia="en-AU"/>
              </w:rPr>
              <w:t xml:space="preserve"> providers of aged care. </w:t>
            </w:r>
          </w:p>
          <w:p w14:paraId="509921F8"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t>Develop</w:t>
            </w:r>
            <w:r>
              <w:rPr>
                <w:rFonts w:eastAsia="Times New Roman" w:cstheme="minorHAnsi"/>
                <w:color w:val="000000"/>
                <w:sz w:val="20"/>
                <w:szCs w:val="20"/>
                <w:lang w:eastAsia="en-AU"/>
              </w:rPr>
              <w:t xml:space="preserve">s best practice models for providers, in </w:t>
            </w:r>
            <w:r w:rsidRPr="00B00F73">
              <w:rPr>
                <w:rFonts w:eastAsia="Times New Roman" w:cstheme="minorHAnsi"/>
                <w:color w:val="000000"/>
                <w:sz w:val="20"/>
                <w:szCs w:val="20"/>
                <w:lang w:eastAsia="en-AU"/>
              </w:rPr>
              <w:t xml:space="preserve">consultation with aged care consumers </w:t>
            </w:r>
          </w:p>
          <w:p w14:paraId="1DB91012"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t>Regulat</w:t>
            </w:r>
            <w:r>
              <w:rPr>
                <w:rFonts w:eastAsia="Times New Roman" w:cstheme="minorHAnsi"/>
                <w:color w:val="000000"/>
                <w:sz w:val="20"/>
                <w:szCs w:val="20"/>
                <w:lang w:eastAsia="en-AU"/>
              </w:rPr>
              <w:t>es</w:t>
            </w:r>
            <w:r w:rsidRPr="00B00F73">
              <w:rPr>
                <w:rFonts w:eastAsia="Times New Roman" w:cstheme="minorHAnsi"/>
                <w:color w:val="000000"/>
                <w:sz w:val="20"/>
                <w:szCs w:val="20"/>
                <w:lang w:eastAsia="en-AU"/>
              </w:rPr>
              <w:t xml:space="preserve"> aged care services according to the Rules by accrediting, conducting quality reviews, monitoring the quality of care and services, and registering quality assessors. </w:t>
            </w:r>
          </w:p>
          <w:p w14:paraId="5FAA485F"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t>Ensur</w:t>
            </w:r>
            <w:r>
              <w:rPr>
                <w:rFonts w:eastAsia="Times New Roman" w:cstheme="minorHAnsi"/>
                <w:color w:val="000000"/>
                <w:sz w:val="20"/>
                <w:szCs w:val="20"/>
                <w:lang w:eastAsia="en-AU"/>
              </w:rPr>
              <w:t>es</w:t>
            </w:r>
            <w:r w:rsidRPr="00B00F73">
              <w:rPr>
                <w:rFonts w:eastAsia="Times New Roman" w:cstheme="minorHAnsi"/>
                <w:color w:val="000000"/>
                <w:sz w:val="20"/>
                <w:szCs w:val="20"/>
                <w:lang w:eastAsia="en-AU"/>
              </w:rPr>
              <w:t xml:space="preserve"> compliance by approved providers with their aged care responsibilities. </w:t>
            </w:r>
          </w:p>
          <w:p w14:paraId="22A74971"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t>Deal</w:t>
            </w:r>
            <w:r>
              <w:rPr>
                <w:rFonts w:eastAsia="Times New Roman" w:cstheme="minorHAnsi"/>
                <w:color w:val="000000"/>
                <w:sz w:val="20"/>
                <w:szCs w:val="20"/>
                <w:lang w:eastAsia="en-AU"/>
              </w:rPr>
              <w:t>s</w:t>
            </w:r>
            <w:r w:rsidRPr="00B00F73">
              <w:rPr>
                <w:rFonts w:eastAsia="Times New Roman" w:cstheme="minorHAnsi"/>
                <w:color w:val="000000"/>
                <w:sz w:val="20"/>
                <w:szCs w:val="20"/>
                <w:lang w:eastAsia="en-AU"/>
              </w:rPr>
              <w:t xml:space="preserve"> with complaints made, or information given to the Commissioner, in accordance with the Rules about an approved provider’s responsibilities under the Aged Care Act 1997 or funding agreement. </w:t>
            </w:r>
          </w:p>
          <w:p w14:paraId="06B9413B" w14:textId="77777777" w:rsidR="00A44470" w:rsidRPr="00542D06" w:rsidRDefault="00A44470" w:rsidP="00A44470">
            <w:pPr>
              <w:numPr>
                <w:ilvl w:val="0"/>
                <w:numId w:val="55"/>
              </w:numPr>
              <w:shd w:val="clear" w:color="auto" w:fill="FFFFFF"/>
              <w:spacing w:before="100" w:beforeAutospacing="1" w:after="100" w:afterAutospacing="1"/>
              <w:rPr>
                <w:rFonts w:eastAsia="Times New Roman" w:cstheme="minorHAnsi"/>
                <w:sz w:val="20"/>
                <w:szCs w:val="20"/>
              </w:rPr>
            </w:pPr>
            <w:r w:rsidRPr="00B00F73">
              <w:rPr>
                <w:rFonts w:eastAsia="Times New Roman" w:cstheme="minorHAnsi"/>
                <w:color w:val="000000"/>
                <w:sz w:val="20"/>
                <w:szCs w:val="20"/>
                <w:lang w:eastAsia="en-AU"/>
              </w:rPr>
              <w:t>Impos</w:t>
            </w:r>
            <w:r>
              <w:rPr>
                <w:rFonts w:eastAsia="Times New Roman" w:cstheme="minorHAnsi"/>
                <w:color w:val="000000"/>
                <w:sz w:val="20"/>
                <w:szCs w:val="20"/>
                <w:lang w:eastAsia="en-AU"/>
              </w:rPr>
              <w:t>es and lift sanctions.</w:t>
            </w:r>
          </w:p>
          <w:p w14:paraId="0C082B5C"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sz w:val="20"/>
                <w:szCs w:val="20"/>
              </w:rPr>
            </w:pPr>
            <w:r>
              <w:rPr>
                <w:rFonts w:eastAsia="Times New Roman" w:cstheme="minorHAnsi"/>
                <w:color w:val="000000"/>
                <w:sz w:val="20"/>
                <w:szCs w:val="20"/>
                <w:lang w:eastAsia="en-AU"/>
              </w:rPr>
              <w:lastRenderedPageBreak/>
              <w:t>P</w:t>
            </w:r>
            <w:r w:rsidRPr="00B00F73">
              <w:rPr>
                <w:rFonts w:eastAsia="Times New Roman" w:cstheme="minorHAnsi"/>
                <w:color w:val="000000"/>
                <w:sz w:val="20"/>
                <w:szCs w:val="20"/>
                <w:lang w:eastAsia="en-AU"/>
              </w:rPr>
              <w:t>rovi</w:t>
            </w:r>
            <w:r>
              <w:rPr>
                <w:rFonts w:eastAsia="Times New Roman" w:cstheme="minorHAnsi"/>
                <w:color w:val="000000"/>
                <w:sz w:val="20"/>
                <w:szCs w:val="20"/>
                <w:lang w:eastAsia="en-AU"/>
              </w:rPr>
              <w:t xml:space="preserve">des </w:t>
            </w:r>
            <w:r w:rsidRPr="00B00F73">
              <w:rPr>
                <w:rFonts w:eastAsia="Times New Roman" w:cstheme="minorHAnsi"/>
                <w:color w:val="000000"/>
                <w:sz w:val="20"/>
                <w:szCs w:val="20"/>
                <w:lang w:eastAsia="en-AU"/>
              </w:rPr>
              <w:t xml:space="preserve">education and information about matters relating to </w:t>
            </w:r>
            <w:r>
              <w:rPr>
                <w:rFonts w:eastAsia="Times New Roman" w:cstheme="minorHAnsi"/>
                <w:color w:val="000000"/>
                <w:sz w:val="20"/>
                <w:szCs w:val="20"/>
                <w:lang w:eastAsia="en-AU"/>
              </w:rPr>
              <w:t>its</w:t>
            </w:r>
            <w:r w:rsidRPr="00B00F73">
              <w:rPr>
                <w:rFonts w:eastAsia="Times New Roman" w:cstheme="minorHAnsi"/>
                <w:color w:val="000000"/>
                <w:sz w:val="20"/>
                <w:szCs w:val="20"/>
                <w:lang w:eastAsia="en-AU"/>
              </w:rPr>
              <w:t xml:space="preserve"> functions to</w:t>
            </w:r>
            <w:r>
              <w:rPr>
                <w:rFonts w:eastAsia="Times New Roman" w:cstheme="minorHAnsi"/>
                <w:color w:val="000000"/>
                <w:sz w:val="20"/>
                <w:szCs w:val="20"/>
                <w:lang w:eastAsia="en-AU"/>
              </w:rPr>
              <w:t xml:space="preserve"> aged care providers, consumers and public</w:t>
            </w:r>
          </w:p>
        </w:tc>
        <w:tc>
          <w:tcPr>
            <w:tcW w:w="899" w:type="pct"/>
            <w:tcBorders>
              <w:top w:val="single" w:sz="4" w:space="0" w:color="auto"/>
              <w:left w:val="single" w:sz="4" w:space="0" w:color="auto"/>
              <w:bottom w:val="single" w:sz="4" w:space="0" w:color="auto"/>
              <w:right w:val="single" w:sz="4" w:space="0" w:color="auto"/>
            </w:tcBorders>
          </w:tcPr>
          <w:p w14:paraId="3074215E" w14:textId="77777777" w:rsidR="00A44470" w:rsidRPr="00B00F73" w:rsidRDefault="00A44470" w:rsidP="00A44470">
            <w:pPr>
              <w:numPr>
                <w:ilvl w:val="0"/>
                <w:numId w:val="55"/>
              </w:numPr>
              <w:shd w:val="clear" w:color="auto" w:fill="FFFFFF"/>
              <w:tabs>
                <w:tab w:val="left" w:pos="720"/>
              </w:tabs>
              <w:spacing w:before="100" w:beforeAutospacing="1" w:after="100" w:afterAutospacing="1"/>
              <w:contextualSpacing/>
              <w:rPr>
                <w:rFonts w:eastAsia="Times New Roman" w:cstheme="minorHAnsi"/>
                <w:color w:val="000000"/>
                <w:sz w:val="20"/>
                <w:szCs w:val="20"/>
                <w:lang w:eastAsia="en-AU"/>
              </w:rPr>
            </w:pPr>
            <w:r w:rsidRPr="00B00F73">
              <w:rPr>
                <w:rFonts w:eastAsia="Times New Roman" w:cstheme="minorHAnsi"/>
                <w:color w:val="000000"/>
                <w:sz w:val="20"/>
                <w:szCs w:val="20"/>
                <w:lang w:eastAsia="en-AU"/>
              </w:rPr>
              <w:lastRenderedPageBreak/>
              <w:t>Responds to concerns, complaints and reportable incidents</w:t>
            </w:r>
            <w:r>
              <w:rPr>
                <w:rFonts w:eastAsia="Times New Roman" w:cstheme="minorHAnsi"/>
                <w:color w:val="000000"/>
                <w:sz w:val="20"/>
                <w:szCs w:val="20"/>
                <w:lang w:eastAsia="en-AU"/>
              </w:rPr>
              <w:t xml:space="preserve"> relating to </w:t>
            </w:r>
            <w:r w:rsidRPr="00B00F73">
              <w:rPr>
                <w:rFonts w:eastAsia="Times New Roman" w:cstheme="minorHAnsi"/>
                <w:color w:val="000000"/>
                <w:sz w:val="20"/>
                <w:szCs w:val="20"/>
                <w:lang w:eastAsia="en-AU"/>
              </w:rPr>
              <w:t>NDIS participants </w:t>
            </w:r>
          </w:p>
          <w:p w14:paraId="7230EEC8" w14:textId="77777777" w:rsidR="00A44470"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4B06CC">
              <w:rPr>
                <w:rFonts w:eastAsia="Times New Roman" w:cstheme="minorHAnsi"/>
                <w:color w:val="000000"/>
                <w:sz w:val="20"/>
                <w:szCs w:val="20"/>
                <w:lang w:eastAsia="en-AU"/>
              </w:rPr>
              <w:t xml:space="preserve">Registers and regulates NDIS providers and oversees NDIS Code of Conduct and </w:t>
            </w:r>
            <w:r>
              <w:rPr>
                <w:rFonts w:eastAsia="Times New Roman" w:cstheme="minorHAnsi"/>
                <w:color w:val="000000"/>
                <w:sz w:val="20"/>
                <w:szCs w:val="20"/>
                <w:lang w:eastAsia="en-AU"/>
              </w:rPr>
              <w:t xml:space="preserve">NDIS </w:t>
            </w:r>
            <w:r w:rsidRPr="004B06CC">
              <w:rPr>
                <w:rFonts w:eastAsia="Times New Roman" w:cstheme="minorHAnsi"/>
                <w:color w:val="000000"/>
                <w:sz w:val="20"/>
                <w:szCs w:val="20"/>
                <w:lang w:eastAsia="en-AU"/>
              </w:rPr>
              <w:t xml:space="preserve">Practice Standards </w:t>
            </w:r>
          </w:p>
          <w:p w14:paraId="5A45747A" w14:textId="77777777" w:rsidR="00A44470" w:rsidRPr="004B06CC"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4B06CC">
              <w:rPr>
                <w:rFonts w:eastAsia="Times New Roman" w:cstheme="minorHAnsi"/>
                <w:color w:val="000000"/>
                <w:sz w:val="20"/>
                <w:szCs w:val="20"/>
                <w:lang w:eastAsia="en-AU"/>
              </w:rPr>
              <w:t>Monitors compliance against the NDIS Code of Conduct and NDIS Practice Standards, including undertaking investigations and taking enforcement action </w:t>
            </w:r>
          </w:p>
          <w:p w14:paraId="3592560C"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t>Monitors the use of restrictive practices within the NDIS with the aim of reducing and eliminating such practices </w:t>
            </w:r>
          </w:p>
          <w:p w14:paraId="49FBC926"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Pr>
                <w:rFonts w:eastAsia="Times New Roman" w:cstheme="minorHAnsi"/>
                <w:color w:val="000000"/>
                <w:sz w:val="20"/>
                <w:szCs w:val="20"/>
                <w:lang w:eastAsia="en-AU"/>
              </w:rPr>
              <w:t xml:space="preserve">Oversees implementation of </w:t>
            </w:r>
            <w:r w:rsidRPr="00B00F73">
              <w:rPr>
                <w:rFonts w:eastAsia="Times New Roman" w:cstheme="minorHAnsi"/>
                <w:color w:val="000000"/>
                <w:sz w:val="20"/>
                <w:szCs w:val="20"/>
                <w:lang w:eastAsia="en-AU"/>
              </w:rPr>
              <w:t>nationally consistent NDIS worker screening</w:t>
            </w:r>
            <w:r>
              <w:rPr>
                <w:rFonts w:eastAsia="Times New Roman" w:cstheme="minorHAnsi"/>
                <w:color w:val="000000"/>
                <w:sz w:val="20"/>
                <w:szCs w:val="20"/>
                <w:lang w:eastAsia="en-AU"/>
              </w:rPr>
              <w:t xml:space="preserve"> check, in partnership with states</w:t>
            </w:r>
            <w:r w:rsidRPr="00B00F73">
              <w:rPr>
                <w:rFonts w:eastAsia="Times New Roman" w:cstheme="minorHAnsi"/>
                <w:color w:val="000000"/>
                <w:sz w:val="20"/>
                <w:szCs w:val="20"/>
                <w:lang w:eastAsia="en-AU"/>
              </w:rPr>
              <w:t xml:space="preserve"> and territories </w:t>
            </w:r>
          </w:p>
          <w:p w14:paraId="5B6098E2"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lastRenderedPageBreak/>
              <w:t>Provides guidance and best practice information to NDIS providers on how to comply with their responsibilities </w:t>
            </w:r>
          </w:p>
          <w:p w14:paraId="23D60D64" w14:textId="77777777" w:rsidR="00A44470" w:rsidRPr="00B00F73" w:rsidRDefault="00A44470" w:rsidP="00A44470">
            <w:pPr>
              <w:numPr>
                <w:ilvl w:val="0"/>
                <w:numId w:val="55"/>
              </w:numPr>
              <w:shd w:val="clear" w:color="auto" w:fill="FFFFFF"/>
              <w:spacing w:before="100" w:beforeAutospacing="1" w:after="100" w:afterAutospacing="1"/>
              <w:rPr>
                <w:rFonts w:eastAsia="Times New Roman" w:cstheme="minorHAnsi"/>
                <w:color w:val="000000"/>
                <w:sz w:val="20"/>
                <w:szCs w:val="20"/>
                <w:lang w:eastAsia="en-AU"/>
              </w:rPr>
            </w:pPr>
            <w:r w:rsidRPr="00B00F73">
              <w:rPr>
                <w:rFonts w:eastAsia="Times New Roman" w:cstheme="minorHAnsi"/>
                <w:color w:val="000000"/>
                <w:sz w:val="20"/>
                <w:szCs w:val="20"/>
                <w:lang w:eastAsia="en-AU"/>
              </w:rPr>
              <w:t>Focuses on education, capacity building and development for people with disability, NDIS providers and workers</w:t>
            </w:r>
          </w:p>
          <w:p w14:paraId="65CC6F65" w14:textId="77777777" w:rsidR="00A44470" w:rsidRPr="00601F27" w:rsidRDefault="00A44470" w:rsidP="00A44470">
            <w:pPr>
              <w:numPr>
                <w:ilvl w:val="0"/>
                <w:numId w:val="55"/>
              </w:numPr>
              <w:shd w:val="clear" w:color="auto" w:fill="FFFFFF"/>
              <w:spacing w:before="100" w:beforeAutospacing="1"/>
              <w:rPr>
                <w:rFonts w:eastAsia="Times New Roman" w:cstheme="minorHAnsi"/>
                <w:sz w:val="20"/>
                <w:szCs w:val="20"/>
              </w:rPr>
            </w:pPr>
            <w:r w:rsidRPr="00B00F73">
              <w:rPr>
                <w:rFonts w:eastAsia="Times New Roman" w:cstheme="minorHAnsi"/>
                <w:color w:val="000000"/>
                <w:sz w:val="20"/>
                <w:szCs w:val="20"/>
                <w:lang w:eastAsia="en-AU"/>
              </w:rPr>
              <w:t>Facilitates information sharing with the National Disability Insurance Agency, state and territory authorities and other Commonwealth regulatory bodie</w:t>
            </w:r>
            <w:r>
              <w:rPr>
                <w:rFonts w:eastAsia="Times New Roman" w:cstheme="minorHAnsi"/>
                <w:color w:val="000000"/>
                <w:sz w:val="20"/>
                <w:szCs w:val="20"/>
                <w:lang w:eastAsia="en-AU"/>
              </w:rPr>
              <w:t xml:space="preserve">s. </w:t>
            </w:r>
          </w:p>
          <w:p w14:paraId="6EDA6D20" w14:textId="77777777" w:rsidR="00A44470" w:rsidRDefault="00A44470" w:rsidP="001D4FB6">
            <w:pPr>
              <w:textAlignment w:val="baseline"/>
              <w:rPr>
                <w:rFonts w:eastAsia="Times New Roman" w:cstheme="minorHAnsi"/>
                <w:color w:val="000000"/>
                <w:sz w:val="20"/>
                <w:szCs w:val="20"/>
                <w:lang w:eastAsia="en-AU"/>
              </w:rPr>
            </w:pPr>
          </w:p>
          <w:p w14:paraId="4C9952FE" w14:textId="77777777" w:rsidR="00A44470" w:rsidRPr="00601F27" w:rsidRDefault="00A44470" w:rsidP="001D4FB6">
            <w:pPr>
              <w:spacing w:after="120"/>
              <w:textAlignment w:val="baseline"/>
              <w:rPr>
                <w:rFonts w:eastAsia="Times New Roman" w:cstheme="minorHAnsi"/>
                <w:sz w:val="20"/>
                <w:szCs w:val="20"/>
              </w:rPr>
            </w:pPr>
            <w:r>
              <w:rPr>
                <w:rFonts w:eastAsia="Times New Roman" w:cstheme="minorHAnsi"/>
                <w:color w:val="000000"/>
                <w:sz w:val="20"/>
                <w:szCs w:val="20"/>
                <w:lang w:eastAsia="en-AU"/>
              </w:rPr>
              <w:t xml:space="preserve">The NDIS Commission </w:t>
            </w:r>
            <w:r w:rsidRPr="004117F9">
              <w:rPr>
                <w:rFonts w:eastAsia="Times New Roman" w:cstheme="minorHAnsi"/>
                <w:b/>
                <w:bCs/>
                <w:color w:val="000000"/>
                <w:sz w:val="20"/>
                <w:szCs w:val="20"/>
                <w:lang w:eastAsia="en-AU"/>
              </w:rPr>
              <w:t>does not</w:t>
            </w:r>
            <w:r>
              <w:rPr>
                <w:rFonts w:eastAsia="Times New Roman" w:cstheme="minorHAnsi"/>
                <w:color w:val="000000"/>
                <w:sz w:val="20"/>
                <w:szCs w:val="20"/>
                <w:lang w:eastAsia="en-AU"/>
              </w:rPr>
              <w:t xml:space="preserve"> conduct audits against the NDIS Practice Standards - </w:t>
            </w:r>
            <w:r>
              <w:rPr>
                <w:sz w:val="20"/>
                <w:szCs w:val="20"/>
              </w:rPr>
              <w:t>this is done by approved quality auditors.</w:t>
            </w:r>
          </w:p>
        </w:tc>
        <w:tc>
          <w:tcPr>
            <w:tcW w:w="899" w:type="pct"/>
            <w:tcBorders>
              <w:top w:val="single" w:sz="4" w:space="0" w:color="auto"/>
              <w:left w:val="single" w:sz="4" w:space="0" w:color="auto"/>
              <w:bottom w:val="single" w:sz="4" w:space="0" w:color="auto"/>
              <w:right w:val="single" w:sz="4" w:space="0" w:color="auto"/>
            </w:tcBorders>
          </w:tcPr>
          <w:p w14:paraId="3111C98B" w14:textId="77777777" w:rsidR="00A44470" w:rsidRPr="00B00F73" w:rsidRDefault="00A44470" w:rsidP="00A44470">
            <w:pPr>
              <w:numPr>
                <w:ilvl w:val="0"/>
                <w:numId w:val="29"/>
              </w:numPr>
              <w:contextualSpacing/>
              <w:rPr>
                <w:sz w:val="20"/>
                <w:szCs w:val="20"/>
              </w:rPr>
            </w:pPr>
            <w:r w:rsidRPr="00B00F73">
              <w:rPr>
                <w:sz w:val="20"/>
                <w:szCs w:val="20"/>
              </w:rPr>
              <w:lastRenderedPageBreak/>
              <w:t>Regulates:</w:t>
            </w:r>
          </w:p>
          <w:p w14:paraId="126DA939" w14:textId="77777777" w:rsidR="00A44470" w:rsidRPr="00136892" w:rsidRDefault="00A44470" w:rsidP="00A44470">
            <w:pPr>
              <w:pStyle w:val="ListParagraph"/>
              <w:numPr>
                <w:ilvl w:val="0"/>
                <w:numId w:val="60"/>
              </w:numPr>
              <w:autoSpaceDE w:val="0"/>
              <w:autoSpaceDN w:val="0"/>
              <w:adjustRightInd w:val="0"/>
              <w:spacing w:after="120"/>
              <w:rPr>
                <w:rFonts w:cstheme="minorHAnsi"/>
                <w:sz w:val="20"/>
                <w:szCs w:val="20"/>
              </w:rPr>
            </w:pPr>
            <w:r w:rsidRPr="00136892">
              <w:rPr>
                <w:rFonts w:cstheme="minorHAnsi"/>
                <w:sz w:val="20"/>
                <w:szCs w:val="20"/>
              </w:rPr>
              <w:t>training providers that deliver VET qualifications and courses to students in Australia or offer Australian qualifications overseas</w:t>
            </w:r>
          </w:p>
          <w:p w14:paraId="1401AD60" w14:textId="77777777" w:rsidR="00A44470" w:rsidRPr="00136892" w:rsidRDefault="00A44470" w:rsidP="00A44470">
            <w:pPr>
              <w:pStyle w:val="ListParagraph"/>
              <w:numPr>
                <w:ilvl w:val="0"/>
                <w:numId w:val="60"/>
              </w:numPr>
              <w:autoSpaceDE w:val="0"/>
              <w:autoSpaceDN w:val="0"/>
              <w:adjustRightInd w:val="0"/>
              <w:spacing w:after="120"/>
              <w:rPr>
                <w:rFonts w:cstheme="minorHAnsi"/>
                <w:sz w:val="20"/>
                <w:szCs w:val="20"/>
              </w:rPr>
            </w:pPr>
            <w:r w:rsidRPr="00136892">
              <w:rPr>
                <w:rFonts w:cstheme="minorHAnsi"/>
                <w:sz w:val="20"/>
                <w:szCs w:val="20"/>
              </w:rPr>
              <w:t>providers that deliver VET courses to people who are living in Australia on student visas</w:t>
            </w:r>
          </w:p>
          <w:p w14:paraId="1F650229" w14:textId="77777777" w:rsidR="00A44470" w:rsidRPr="00B00F73" w:rsidRDefault="00A44470" w:rsidP="00A44470">
            <w:pPr>
              <w:pStyle w:val="ListParagraph"/>
              <w:numPr>
                <w:ilvl w:val="0"/>
                <w:numId w:val="60"/>
              </w:numPr>
              <w:autoSpaceDE w:val="0"/>
              <w:autoSpaceDN w:val="0"/>
              <w:adjustRightInd w:val="0"/>
              <w:spacing w:after="120"/>
              <w:rPr>
                <w:color w:val="000000" w:themeColor="text1"/>
                <w:sz w:val="20"/>
                <w:szCs w:val="20"/>
              </w:rPr>
            </w:pPr>
            <w:r w:rsidRPr="00136892">
              <w:rPr>
                <w:rFonts w:cstheme="minorHAnsi"/>
                <w:sz w:val="20"/>
                <w:szCs w:val="20"/>
              </w:rPr>
              <w:t>certain providers that deliver English Language Intensive Courses for Overseas</w:t>
            </w:r>
            <w:r w:rsidRPr="00B00F73">
              <w:rPr>
                <w:color w:val="000000" w:themeColor="text1"/>
                <w:sz w:val="20"/>
                <w:szCs w:val="20"/>
              </w:rPr>
              <w:t xml:space="preserve"> Students. </w:t>
            </w:r>
          </w:p>
          <w:p w14:paraId="0110A0E9" w14:textId="77777777" w:rsidR="00A44470" w:rsidRPr="00B00F73" w:rsidRDefault="00A44470" w:rsidP="00A44470">
            <w:pPr>
              <w:numPr>
                <w:ilvl w:val="0"/>
                <w:numId w:val="53"/>
              </w:numPr>
              <w:contextualSpacing/>
              <w:rPr>
                <w:sz w:val="20"/>
                <w:szCs w:val="20"/>
              </w:rPr>
            </w:pPr>
            <w:r w:rsidRPr="00B00F73">
              <w:rPr>
                <w:sz w:val="20"/>
                <w:szCs w:val="20"/>
              </w:rPr>
              <w:t>Accredits VET courses to ensure they meet nationally approved standards, based on industry, enterprise, education, legislative and community needs.</w:t>
            </w:r>
          </w:p>
          <w:p w14:paraId="75F9BF17" w14:textId="77777777" w:rsidR="00A44470" w:rsidRPr="00B00F73" w:rsidRDefault="00A44470" w:rsidP="00A44470">
            <w:pPr>
              <w:numPr>
                <w:ilvl w:val="0"/>
                <w:numId w:val="53"/>
              </w:numPr>
              <w:contextualSpacing/>
              <w:rPr>
                <w:color w:val="000000" w:themeColor="text1"/>
                <w:sz w:val="20"/>
                <w:szCs w:val="20"/>
              </w:rPr>
            </w:pPr>
            <w:r w:rsidRPr="00B00F73">
              <w:rPr>
                <w:sz w:val="20"/>
                <w:szCs w:val="20"/>
              </w:rPr>
              <w:t xml:space="preserve">Assures training packages to provide compliance assessment </w:t>
            </w:r>
            <w:r w:rsidRPr="00B00F73">
              <w:rPr>
                <w:sz w:val="20"/>
                <w:szCs w:val="20"/>
              </w:rPr>
              <w:lastRenderedPageBreak/>
              <w:t>of training products</w:t>
            </w:r>
            <w:r w:rsidRPr="00B00F73">
              <w:rPr>
                <w:color w:val="000000" w:themeColor="text1"/>
                <w:sz w:val="20"/>
                <w:szCs w:val="20"/>
              </w:rPr>
              <w:t xml:space="preserve"> prior to recommending for endorsement.</w:t>
            </w: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0924DB42" w14:textId="77777777" w:rsidR="00A44470" w:rsidRPr="00D62EFF" w:rsidRDefault="00A44470" w:rsidP="00A44470">
            <w:pPr>
              <w:numPr>
                <w:ilvl w:val="0"/>
                <w:numId w:val="56"/>
              </w:numPr>
              <w:tabs>
                <w:tab w:val="left" w:pos="320"/>
              </w:tabs>
              <w:ind w:left="320" w:hanging="320"/>
              <w:contextualSpacing/>
              <w:rPr>
                <w:rFonts w:cstheme="minorHAnsi"/>
                <w:sz w:val="20"/>
                <w:szCs w:val="20"/>
              </w:rPr>
            </w:pPr>
            <w:r w:rsidRPr="00D62EFF">
              <w:rPr>
                <w:rFonts w:cstheme="minorHAnsi"/>
                <w:sz w:val="20"/>
                <w:szCs w:val="20"/>
              </w:rPr>
              <w:lastRenderedPageBreak/>
              <w:t xml:space="preserve">Establishes a comprehensive framework of prudential standards and practice guides. </w:t>
            </w:r>
          </w:p>
          <w:p w14:paraId="65FC2267" w14:textId="77777777" w:rsidR="00A44470" w:rsidRPr="00D62EFF" w:rsidRDefault="00A44470" w:rsidP="00A44470">
            <w:pPr>
              <w:numPr>
                <w:ilvl w:val="0"/>
                <w:numId w:val="56"/>
              </w:numPr>
              <w:tabs>
                <w:tab w:val="left" w:pos="320"/>
              </w:tabs>
              <w:ind w:left="320" w:hanging="320"/>
              <w:contextualSpacing/>
              <w:rPr>
                <w:rFonts w:cstheme="minorHAnsi"/>
                <w:sz w:val="20"/>
                <w:szCs w:val="20"/>
              </w:rPr>
            </w:pPr>
            <w:r w:rsidRPr="00D62EFF">
              <w:rPr>
                <w:rFonts w:cstheme="minorHAnsi"/>
                <w:sz w:val="20"/>
                <w:szCs w:val="20"/>
              </w:rPr>
              <w:t xml:space="preserve">Licenses banking, </w:t>
            </w:r>
            <w:proofErr w:type="gramStart"/>
            <w:r w:rsidRPr="00D62EFF">
              <w:rPr>
                <w:rFonts w:cstheme="minorHAnsi"/>
                <w:sz w:val="20"/>
                <w:szCs w:val="20"/>
              </w:rPr>
              <w:t>insurance</w:t>
            </w:r>
            <w:proofErr w:type="gramEnd"/>
            <w:r w:rsidRPr="00D62EFF">
              <w:rPr>
                <w:rFonts w:cstheme="minorHAnsi"/>
                <w:sz w:val="20"/>
                <w:szCs w:val="20"/>
              </w:rPr>
              <w:t xml:space="preserve"> and superannuation businesses to operate in Australia.</w:t>
            </w:r>
          </w:p>
          <w:p w14:paraId="14C0C8CD" w14:textId="77777777" w:rsidR="00A44470" w:rsidRPr="00D62EFF" w:rsidRDefault="00A44470" w:rsidP="00A44470">
            <w:pPr>
              <w:numPr>
                <w:ilvl w:val="0"/>
                <w:numId w:val="56"/>
              </w:numPr>
              <w:tabs>
                <w:tab w:val="left" w:pos="320"/>
              </w:tabs>
              <w:ind w:left="320" w:hanging="320"/>
              <w:contextualSpacing/>
              <w:rPr>
                <w:rFonts w:cstheme="minorHAnsi"/>
                <w:sz w:val="20"/>
                <w:szCs w:val="20"/>
              </w:rPr>
            </w:pPr>
            <w:r w:rsidRPr="00D62EFF">
              <w:rPr>
                <w:rFonts w:cstheme="minorHAnsi"/>
                <w:sz w:val="20"/>
                <w:szCs w:val="20"/>
              </w:rPr>
              <w:t>Supervises operating business to ensure that under all reasonable circumstances they keep their financial promises made to their beneficiaries.</w:t>
            </w:r>
          </w:p>
          <w:p w14:paraId="42E40BDB" w14:textId="77777777" w:rsidR="00A44470" w:rsidRPr="00D62EFF" w:rsidRDefault="00A44470" w:rsidP="00A44470">
            <w:pPr>
              <w:numPr>
                <w:ilvl w:val="0"/>
                <w:numId w:val="56"/>
              </w:numPr>
              <w:tabs>
                <w:tab w:val="left" w:pos="320"/>
              </w:tabs>
              <w:ind w:left="320" w:hanging="320"/>
              <w:contextualSpacing/>
              <w:rPr>
                <w:rFonts w:cstheme="minorHAnsi"/>
                <w:sz w:val="20"/>
                <w:szCs w:val="20"/>
              </w:rPr>
            </w:pPr>
            <w:r w:rsidRPr="00D62EFF">
              <w:rPr>
                <w:rFonts w:cstheme="minorHAnsi"/>
                <w:sz w:val="20"/>
                <w:szCs w:val="20"/>
              </w:rPr>
              <w:t xml:space="preserve">Identifies prudential risks proactively and takes action to prevent harm before it occurs. </w:t>
            </w:r>
          </w:p>
        </w:tc>
        <w:tc>
          <w:tcPr>
            <w:tcW w:w="898" w:type="pct"/>
            <w:tcBorders>
              <w:top w:val="single" w:sz="4" w:space="0" w:color="auto"/>
              <w:left w:val="single" w:sz="4" w:space="0" w:color="auto"/>
              <w:bottom w:val="single" w:sz="4" w:space="0" w:color="auto"/>
              <w:right w:val="single" w:sz="4" w:space="0" w:color="auto"/>
            </w:tcBorders>
          </w:tcPr>
          <w:p w14:paraId="41A7B0EB" w14:textId="77777777" w:rsidR="00A44470" w:rsidRPr="00B00F73" w:rsidRDefault="00A44470" w:rsidP="00A44470">
            <w:pPr>
              <w:numPr>
                <w:ilvl w:val="0"/>
                <w:numId w:val="56"/>
              </w:numPr>
              <w:tabs>
                <w:tab w:val="left" w:pos="320"/>
              </w:tabs>
              <w:ind w:left="320" w:hanging="320"/>
              <w:contextualSpacing/>
              <w:rPr>
                <w:rFonts w:cstheme="minorHAnsi"/>
                <w:sz w:val="20"/>
                <w:szCs w:val="20"/>
              </w:rPr>
            </w:pPr>
            <w:r w:rsidRPr="00B00F73">
              <w:rPr>
                <w:rFonts w:cstheme="minorHAnsi"/>
                <w:sz w:val="20"/>
                <w:szCs w:val="20"/>
              </w:rPr>
              <w:t>Formulat</w:t>
            </w:r>
            <w:r>
              <w:rPr>
                <w:rFonts w:cstheme="minorHAnsi"/>
                <w:sz w:val="20"/>
                <w:szCs w:val="20"/>
              </w:rPr>
              <w:t>es</w:t>
            </w:r>
            <w:r w:rsidRPr="00B00F73">
              <w:rPr>
                <w:rFonts w:cstheme="minorHAnsi"/>
                <w:sz w:val="20"/>
                <w:szCs w:val="20"/>
              </w:rPr>
              <w:t xml:space="preserve"> standards, guidelines and indicators relating to healthcare safety and quality matters </w:t>
            </w:r>
          </w:p>
          <w:p w14:paraId="593AF179" w14:textId="77777777" w:rsidR="00A44470" w:rsidRPr="00B00F73" w:rsidRDefault="00A44470" w:rsidP="00A44470">
            <w:pPr>
              <w:numPr>
                <w:ilvl w:val="0"/>
                <w:numId w:val="56"/>
              </w:numPr>
              <w:tabs>
                <w:tab w:val="left" w:pos="320"/>
              </w:tabs>
              <w:ind w:left="320" w:hanging="320"/>
              <w:contextualSpacing/>
              <w:rPr>
                <w:rFonts w:cstheme="minorHAnsi"/>
                <w:sz w:val="20"/>
                <w:szCs w:val="20"/>
              </w:rPr>
            </w:pPr>
            <w:r w:rsidRPr="00B00F73">
              <w:rPr>
                <w:rFonts w:cstheme="minorHAnsi"/>
                <w:sz w:val="20"/>
                <w:szCs w:val="20"/>
              </w:rPr>
              <w:t>Advis</w:t>
            </w:r>
            <w:r>
              <w:rPr>
                <w:rFonts w:cstheme="minorHAnsi"/>
                <w:sz w:val="20"/>
                <w:szCs w:val="20"/>
              </w:rPr>
              <w:t>es</w:t>
            </w:r>
            <w:r w:rsidRPr="00B00F73">
              <w:rPr>
                <w:rFonts w:cstheme="minorHAnsi"/>
                <w:sz w:val="20"/>
                <w:szCs w:val="20"/>
              </w:rPr>
              <w:t xml:space="preserve"> health ministers on national clinical standards </w:t>
            </w:r>
          </w:p>
          <w:p w14:paraId="454EA173" w14:textId="77777777" w:rsidR="00A44470" w:rsidRPr="00B00F73" w:rsidRDefault="00A44470" w:rsidP="00A44470">
            <w:pPr>
              <w:numPr>
                <w:ilvl w:val="0"/>
                <w:numId w:val="56"/>
              </w:numPr>
              <w:tabs>
                <w:tab w:val="left" w:pos="320"/>
              </w:tabs>
              <w:ind w:left="320" w:hanging="320"/>
              <w:contextualSpacing/>
              <w:rPr>
                <w:rFonts w:cstheme="minorHAnsi"/>
                <w:sz w:val="20"/>
                <w:szCs w:val="20"/>
              </w:rPr>
            </w:pPr>
            <w:r w:rsidRPr="00B00F73">
              <w:rPr>
                <w:rFonts w:cstheme="minorHAnsi"/>
                <w:sz w:val="20"/>
                <w:szCs w:val="20"/>
              </w:rPr>
              <w:t>Promot</w:t>
            </w:r>
            <w:r>
              <w:rPr>
                <w:rFonts w:cstheme="minorHAnsi"/>
                <w:sz w:val="20"/>
                <w:szCs w:val="20"/>
              </w:rPr>
              <w:t>es</w:t>
            </w:r>
            <w:r w:rsidRPr="00B00F73">
              <w:rPr>
                <w:rFonts w:cstheme="minorHAnsi"/>
                <w:sz w:val="20"/>
                <w:szCs w:val="20"/>
              </w:rPr>
              <w:t xml:space="preserve">, </w:t>
            </w:r>
            <w:proofErr w:type="gramStart"/>
            <w:r w:rsidRPr="00B00F73">
              <w:rPr>
                <w:rFonts w:cstheme="minorHAnsi"/>
                <w:sz w:val="20"/>
                <w:szCs w:val="20"/>
              </w:rPr>
              <w:t>support</w:t>
            </w:r>
            <w:r>
              <w:rPr>
                <w:rFonts w:cstheme="minorHAnsi"/>
                <w:sz w:val="20"/>
                <w:szCs w:val="20"/>
              </w:rPr>
              <w:t>s</w:t>
            </w:r>
            <w:proofErr w:type="gramEnd"/>
            <w:r w:rsidRPr="00B00F73">
              <w:rPr>
                <w:rFonts w:cstheme="minorHAnsi"/>
                <w:sz w:val="20"/>
                <w:szCs w:val="20"/>
              </w:rPr>
              <w:t xml:space="preserve"> and encourag</w:t>
            </w:r>
            <w:r>
              <w:rPr>
                <w:rFonts w:cstheme="minorHAnsi"/>
                <w:sz w:val="20"/>
                <w:szCs w:val="20"/>
              </w:rPr>
              <w:t>es</w:t>
            </w:r>
            <w:r w:rsidRPr="00B00F73">
              <w:rPr>
                <w:rFonts w:cstheme="minorHAnsi"/>
                <w:sz w:val="20"/>
                <w:szCs w:val="20"/>
              </w:rPr>
              <w:t xml:space="preserve"> the implementation of these standards, and related guidelines and indicators </w:t>
            </w:r>
          </w:p>
          <w:p w14:paraId="7494813B" w14:textId="77777777" w:rsidR="00A44470" w:rsidRPr="00B00F73" w:rsidRDefault="00A44470" w:rsidP="00A44470">
            <w:pPr>
              <w:numPr>
                <w:ilvl w:val="0"/>
                <w:numId w:val="56"/>
              </w:numPr>
              <w:tabs>
                <w:tab w:val="left" w:pos="320"/>
              </w:tabs>
              <w:ind w:left="320" w:hanging="320"/>
              <w:contextualSpacing/>
              <w:rPr>
                <w:rFonts w:cstheme="minorHAnsi"/>
                <w:sz w:val="20"/>
                <w:szCs w:val="20"/>
              </w:rPr>
            </w:pPr>
            <w:r w:rsidRPr="00B00F73">
              <w:rPr>
                <w:rFonts w:cstheme="minorHAnsi"/>
                <w:sz w:val="20"/>
                <w:szCs w:val="20"/>
              </w:rPr>
              <w:t>Monitor</w:t>
            </w:r>
            <w:r>
              <w:rPr>
                <w:rFonts w:cstheme="minorHAnsi"/>
                <w:sz w:val="20"/>
                <w:szCs w:val="20"/>
              </w:rPr>
              <w:t>s</w:t>
            </w:r>
            <w:r w:rsidRPr="00B00F73">
              <w:rPr>
                <w:rFonts w:cstheme="minorHAnsi"/>
                <w:sz w:val="20"/>
                <w:szCs w:val="20"/>
              </w:rPr>
              <w:t xml:space="preserve"> the implementation and impact of the standards </w:t>
            </w:r>
          </w:p>
          <w:p w14:paraId="002EA714" w14:textId="77777777" w:rsidR="00A44470" w:rsidRPr="00B00F73" w:rsidRDefault="00A44470" w:rsidP="00A44470">
            <w:pPr>
              <w:numPr>
                <w:ilvl w:val="0"/>
                <w:numId w:val="56"/>
              </w:numPr>
              <w:tabs>
                <w:tab w:val="left" w:pos="320"/>
              </w:tabs>
              <w:ind w:left="320" w:hanging="320"/>
              <w:contextualSpacing/>
              <w:rPr>
                <w:rFonts w:cstheme="minorHAnsi"/>
                <w:sz w:val="20"/>
                <w:szCs w:val="20"/>
              </w:rPr>
            </w:pPr>
            <w:r w:rsidRPr="00B00F73">
              <w:rPr>
                <w:rFonts w:cstheme="minorHAnsi"/>
                <w:sz w:val="20"/>
                <w:szCs w:val="20"/>
              </w:rPr>
              <w:t>Promot</w:t>
            </w:r>
            <w:r>
              <w:rPr>
                <w:rFonts w:cstheme="minorHAnsi"/>
                <w:sz w:val="20"/>
                <w:szCs w:val="20"/>
              </w:rPr>
              <w:t>es</w:t>
            </w:r>
            <w:r w:rsidRPr="00B00F73">
              <w:rPr>
                <w:rFonts w:cstheme="minorHAnsi"/>
                <w:sz w:val="20"/>
                <w:szCs w:val="20"/>
              </w:rPr>
              <w:t xml:space="preserve">, </w:t>
            </w:r>
            <w:proofErr w:type="gramStart"/>
            <w:r w:rsidRPr="00B00F73">
              <w:rPr>
                <w:rFonts w:cstheme="minorHAnsi"/>
                <w:sz w:val="20"/>
                <w:szCs w:val="20"/>
              </w:rPr>
              <w:t>support</w:t>
            </w:r>
            <w:r>
              <w:rPr>
                <w:rFonts w:cstheme="minorHAnsi"/>
                <w:sz w:val="20"/>
                <w:szCs w:val="20"/>
              </w:rPr>
              <w:t>s</w:t>
            </w:r>
            <w:proofErr w:type="gramEnd"/>
            <w:r w:rsidRPr="00B00F73">
              <w:rPr>
                <w:rFonts w:cstheme="minorHAnsi"/>
                <w:sz w:val="20"/>
                <w:szCs w:val="20"/>
              </w:rPr>
              <w:t xml:space="preserve"> and encourag</w:t>
            </w:r>
            <w:r>
              <w:rPr>
                <w:rFonts w:cstheme="minorHAnsi"/>
                <w:sz w:val="20"/>
                <w:szCs w:val="20"/>
              </w:rPr>
              <w:t>es</w:t>
            </w:r>
            <w:r w:rsidRPr="00B00F73">
              <w:rPr>
                <w:rFonts w:cstheme="minorHAnsi"/>
                <w:sz w:val="20"/>
                <w:szCs w:val="20"/>
              </w:rPr>
              <w:t xml:space="preserve"> the implementation of programs and initiatives relating to healthcare safety and quality </w:t>
            </w:r>
          </w:p>
          <w:p w14:paraId="18CC5A72" w14:textId="77777777" w:rsidR="00A44470" w:rsidRPr="00B00F73" w:rsidRDefault="00A44470" w:rsidP="00A44470">
            <w:pPr>
              <w:numPr>
                <w:ilvl w:val="0"/>
                <w:numId w:val="56"/>
              </w:numPr>
              <w:tabs>
                <w:tab w:val="left" w:pos="320"/>
              </w:tabs>
              <w:ind w:left="320" w:hanging="320"/>
              <w:contextualSpacing/>
              <w:rPr>
                <w:rFonts w:cstheme="minorHAnsi"/>
                <w:sz w:val="20"/>
                <w:szCs w:val="20"/>
              </w:rPr>
            </w:pPr>
            <w:r w:rsidRPr="00B00F73">
              <w:rPr>
                <w:rFonts w:cstheme="minorHAnsi"/>
                <w:sz w:val="20"/>
                <w:szCs w:val="20"/>
              </w:rPr>
              <w:t>Formulat</w:t>
            </w:r>
            <w:r>
              <w:rPr>
                <w:rFonts w:cstheme="minorHAnsi"/>
                <w:sz w:val="20"/>
                <w:szCs w:val="20"/>
              </w:rPr>
              <w:t>es</w:t>
            </w:r>
            <w:r w:rsidRPr="00B00F73">
              <w:rPr>
                <w:rFonts w:cstheme="minorHAnsi"/>
                <w:sz w:val="20"/>
                <w:szCs w:val="20"/>
              </w:rPr>
              <w:t xml:space="preserve"> national schemes for the accreditation of organizations that provide healthcare services, and relate to healthcare safety and quality </w:t>
            </w:r>
          </w:p>
          <w:p w14:paraId="72B69962" w14:textId="77777777" w:rsidR="00A44470" w:rsidRPr="00B00F73" w:rsidRDefault="00A44470" w:rsidP="00A44470">
            <w:pPr>
              <w:numPr>
                <w:ilvl w:val="0"/>
                <w:numId w:val="56"/>
              </w:numPr>
              <w:tabs>
                <w:tab w:val="left" w:pos="320"/>
              </w:tabs>
              <w:ind w:left="320" w:hanging="320"/>
              <w:contextualSpacing/>
              <w:rPr>
                <w:rFonts w:cstheme="minorHAnsi"/>
                <w:sz w:val="20"/>
                <w:szCs w:val="20"/>
              </w:rPr>
            </w:pPr>
            <w:r w:rsidRPr="00B00F73">
              <w:rPr>
                <w:rFonts w:cstheme="minorHAnsi"/>
                <w:sz w:val="20"/>
                <w:szCs w:val="20"/>
              </w:rPr>
              <w:lastRenderedPageBreak/>
              <w:t>Publish</w:t>
            </w:r>
            <w:r>
              <w:rPr>
                <w:rFonts w:cstheme="minorHAnsi"/>
                <w:sz w:val="20"/>
                <w:szCs w:val="20"/>
              </w:rPr>
              <w:t xml:space="preserve">es </w:t>
            </w:r>
            <w:r w:rsidRPr="00B00F73">
              <w:rPr>
                <w:rFonts w:cstheme="minorHAnsi"/>
                <w:sz w:val="20"/>
                <w:szCs w:val="20"/>
              </w:rPr>
              <w:t>reports and papers relating to healthcare safety and quality</w:t>
            </w:r>
          </w:p>
          <w:p w14:paraId="6227483B" w14:textId="77777777" w:rsidR="00A44470" w:rsidRPr="00B00F73" w:rsidRDefault="00A44470" w:rsidP="001D4FB6">
            <w:pPr>
              <w:textAlignment w:val="baseline"/>
              <w:rPr>
                <w:rFonts w:cstheme="minorHAnsi"/>
                <w:sz w:val="20"/>
                <w:szCs w:val="20"/>
              </w:rPr>
            </w:pPr>
          </w:p>
          <w:p w14:paraId="180AE69D" w14:textId="77777777" w:rsidR="00A44470" w:rsidRPr="00F207F2" w:rsidRDefault="00A44470" w:rsidP="001D4FB6">
            <w:pPr>
              <w:textAlignment w:val="baseline"/>
              <w:rPr>
                <w:sz w:val="20"/>
                <w:szCs w:val="20"/>
              </w:rPr>
            </w:pPr>
            <w:r>
              <w:rPr>
                <w:rFonts w:cstheme="minorHAnsi"/>
                <w:sz w:val="20"/>
                <w:szCs w:val="20"/>
              </w:rPr>
              <w:t xml:space="preserve">The ACQSHC </w:t>
            </w:r>
            <w:r w:rsidRPr="00460D09">
              <w:rPr>
                <w:rFonts w:cstheme="minorHAnsi"/>
                <w:b/>
                <w:bCs/>
                <w:sz w:val="20"/>
                <w:szCs w:val="20"/>
              </w:rPr>
              <w:t>does not</w:t>
            </w:r>
            <w:r>
              <w:rPr>
                <w:rFonts w:cstheme="minorHAnsi"/>
                <w:b/>
                <w:bCs/>
                <w:sz w:val="20"/>
                <w:szCs w:val="20"/>
              </w:rPr>
              <w:t xml:space="preserve"> </w:t>
            </w:r>
            <w:r>
              <w:rPr>
                <w:sz w:val="20"/>
                <w:szCs w:val="20"/>
              </w:rPr>
              <w:t>conduct</w:t>
            </w:r>
            <w:r w:rsidRPr="00B00F73">
              <w:rPr>
                <w:sz w:val="20"/>
                <w:szCs w:val="20"/>
              </w:rPr>
              <w:t xml:space="preserve"> accreditation</w:t>
            </w:r>
            <w:r>
              <w:rPr>
                <w:sz w:val="20"/>
                <w:szCs w:val="20"/>
              </w:rPr>
              <w:t xml:space="preserve"> (this is </w:t>
            </w:r>
            <w:r w:rsidRPr="00B00F73">
              <w:rPr>
                <w:sz w:val="20"/>
                <w:szCs w:val="20"/>
              </w:rPr>
              <w:t>conducted by an independent accrediting agency approved by the Commission</w:t>
            </w:r>
            <w:r>
              <w:rPr>
                <w:sz w:val="20"/>
                <w:szCs w:val="20"/>
              </w:rPr>
              <w:t xml:space="preserve">) or </w:t>
            </w:r>
            <w:r w:rsidRPr="00F207F2">
              <w:rPr>
                <w:sz w:val="20"/>
                <w:szCs w:val="20"/>
              </w:rPr>
              <w:t>deal with complaints (this is done by state-based health care complaints commissions and AHPRA and practitioner bodies where the complaint refers to an individual practitioner).</w:t>
            </w:r>
          </w:p>
          <w:p w14:paraId="753DCD14" w14:textId="77777777" w:rsidR="00A44470" w:rsidRPr="00B00F73" w:rsidRDefault="00A44470" w:rsidP="001D4FB6">
            <w:pPr>
              <w:ind w:left="495"/>
              <w:textAlignment w:val="baseline"/>
              <w:rPr>
                <w:rFonts w:eastAsia="Times New Roman" w:cstheme="minorHAnsi"/>
                <w:sz w:val="20"/>
                <w:szCs w:val="20"/>
                <w:lang w:eastAsia="en-AU"/>
              </w:rPr>
            </w:pPr>
          </w:p>
        </w:tc>
      </w:tr>
      <w:tr w:rsidR="00A44470" w:rsidRPr="00B00F73" w14:paraId="2288B874" w14:textId="77777777" w:rsidTr="00A44470">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FE3EE22" w14:textId="77777777" w:rsidR="00A44470" w:rsidRPr="00B00F73" w:rsidRDefault="00A44470" w:rsidP="001D4FB6">
            <w:pPr>
              <w:tabs>
                <w:tab w:val="left" w:pos="720"/>
              </w:tabs>
              <w:contextualSpacing/>
              <w:rPr>
                <w:sz w:val="24"/>
                <w:szCs w:val="24"/>
              </w:rPr>
            </w:pPr>
            <w:r w:rsidRPr="00476862">
              <w:rPr>
                <w:rFonts w:eastAsia="Times New Roman" w:cstheme="minorHAnsi"/>
                <w:b/>
                <w:bCs/>
                <w:sz w:val="20"/>
                <w:szCs w:val="20"/>
              </w:rPr>
              <w:lastRenderedPageBreak/>
              <w:t>Regulatory approach</w:t>
            </w:r>
            <w:r>
              <w:rPr>
                <w:rFonts w:eastAsia="Times New Roman" w:cstheme="minorHAnsi"/>
                <w:b/>
                <w:bCs/>
                <w:sz w:val="20"/>
                <w:szCs w:val="20"/>
              </w:rPr>
              <w:t>/ focus</w:t>
            </w:r>
          </w:p>
        </w:tc>
        <w:tc>
          <w:tcPr>
            <w:tcW w:w="899" w:type="pct"/>
            <w:tcBorders>
              <w:top w:val="single" w:sz="4" w:space="0" w:color="auto"/>
              <w:left w:val="single" w:sz="4" w:space="0" w:color="auto"/>
              <w:bottom w:val="single" w:sz="4" w:space="0" w:color="auto"/>
              <w:right w:val="single" w:sz="4" w:space="0" w:color="auto"/>
            </w:tcBorders>
          </w:tcPr>
          <w:p w14:paraId="16337A67" w14:textId="77777777" w:rsidR="00A44470" w:rsidRPr="00097BAA" w:rsidRDefault="00A44470" w:rsidP="00A44470">
            <w:pPr>
              <w:pStyle w:val="Default"/>
              <w:numPr>
                <w:ilvl w:val="0"/>
                <w:numId w:val="63"/>
              </w:numPr>
              <w:spacing w:after="64"/>
              <w:rPr>
                <w:rFonts w:asciiTheme="minorHAnsi" w:eastAsia="Times New Roman" w:hAnsiTheme="minorHAnsi" w:cstheme="minorHAnsi"/>
                <w:sz w:val="20"/>
                <w:szCs w:val="20"/>
                <w:lang w:eastAsia="en-AU"/>
              </w:rPr>
            </w:pPr>
            <w:r>
              <w:rPr>
                <w:rFonts w:asciiTheme="minorHAnsi" w:eastAsia="Times New Roman" w:hAnsiTheme="minorHAnsi" w:cstheme="minorHAnsi"/>
                <w:sz w:val="20"/>
                <w:szCs w:val="20"/>
                <w:lang w:eastAsia="en-AU"/>
              </w:rPr>
              <w:t xml:space="preserve">Current regulatory approach moves from </w:t>
            </w:r>
            <w:r w:rsidRPr="00097BAA">
              <w:rPr>
                <w:rFonts w:asciiTheme="minorHAnsi" w:eastAsia="Times New Roman" w:hAnsiTheme="minorHAnsi" w:cstheme="minorHAnsi"/>
                <w:sz w:val="20"/>
                <w:szCs w:val="20"/>
                <w:lang w:eastAsia="en-AU"/>
              </w:rPr>
              <w:t xml:space="preserve">cooperative and persuasive approaches </w:t>
            </w:r>
            <w:r>
              <w:rPr>
                <w:rFonts w:asciiTheme="minorHAnsi" w:eastAsia="Times New Roman" w:hAnsiTheme="minorHAnsi" w:cstheme="minorHAnsi"/>
                <w:sz w:val="20"/>
                <w:szCs w:val="20"/>
                <w:lang w:eastAsia="en-AU"/>
              </w:rPr>
              <w:t>to</w:t>
            </w:r>
            <w:r w:rsidRPr="00097BAA">
              <w:rPr>
                <w:rFonts w:asciiTheme="minorHAnsi" w:eastAsia="Times New Roman" w:hAnsiTheme="minorHAnsi" w:cstheme="minorHAnsi"/>
                <w:sz w:val="20"/>
                <w:szCs w:val="20"/>
                <w:lang w:eastAsia="en-AU"/>
              </w:rPr>
              <w:t xml:space="preserve"> more targeted and </w:t>
            </w:r>
            <w:r w:rsidRPr="00097BAA">
              <w:rPr>
                <w:rFonts w:asciiTheme="minorHAnsi" w:eastAsia="Times New Roman" w:hAnsiTheme="minorHAnsi" w:cstheme="minorHAnsi"/>
                <w:sz w:val="20"/>
                <w:szCs w:val="20"/>
                <w:lang w:eastAsia="en-AU"/>
              </w:rPr>
              <w:lastRenderedPageBreak/>
              <w:t>interventionist regulatory tools in response to potential or actual risk of harm to consumers.</w:t>
            </w:r>
            <w:r>
              <w:rPr>
                <w:rFonts w:asciiTheme="minorHAnsi" w:eastAsia="Times New Roman" w:hAnsiTheme="minorHAnsi" w:cstheme="minorHAnsi"/>
                <w:sz w:val="20"/>
                <w:szCs w:val="20"/>
                <w:lang w:eastAsia="en-AU"/>
              </w:rPr>
              <w:t xml:space="preserve"> </w:t>
            </w:r>
          </w:p>
          <w:p w14:paraId="4FEB7232" w14:textId="77777777" w:rsidR="00A44470" w:rsidRPr="00B00F73" w:rsidRDefault="00A44470" w:rsidP="00A44470">
            <w:pPr>
              <w:pStyle w:val="Default"/>
              <w:numPr>
                <w:ilvl w:val="0"/>
                <w:numId w:val="63"/>
              </w:numPr>
              <w:spacing w:after="64"/>
              <w:rPr>
                <w:rFonts w:eastAsia="Times New Roman" w:cstheme="minorHAnsi"/>
                <w:sz w:val="20"/>
                <w:szCs w:val="20"/>
              </w:rPr>
            </w:pPr>
            <w:r w:rsidRPr="00097BAA">
              <w:rPr>
                <w:rFonts w:asciiTheme="minorHAnsi" w:eastAsia="Times New Roman" w:hAnsiTheme="minorHAnsi" w:cstheme="minorHAnsi"/>
                <w:sz w:val="20"/>
                <w:szCs w:val="20"/>
                <w:lang w:eastAsia="en-AU"/>
              </w:rPr>
              <w:t>Seeking to move to responsive regulation which integrates both ‘compliance regulation' and ‘aspirational regulation’</w:t>
            </w:r>
            <w:r>
              <w:rPr>
                <w:rFonts w:asciiTheme="minorHAnsi" w:eastAsia="Times New Roman" w:hAnsiTheme="minorHAnsi" w:cstheme="minorHAnsi"/>
                <w:sz w:val="20"/>
                <w:szCs w:val="20"/>
                <w:lang w:eastAsia="en-AU"/>
              </w:rPr>
              <w:t>.</w:t>
            </w:r>
          </w:p>
        </w:tc>
        <w:tc>
          <w:tcPr>
            <w:tcW w:w="899" w:type="pct"/>
            <w:tcBorders>
              <w:top w:val="single" w:sz="4" w:space="0" w:color="auto"/>
              <w:left w:val="single" w:sz="4" w:space="0" w:color="auto"/>
              <w:bottom w:val="single" w:sz="4" w:space="0" w:color="auto"/>
              <w:right w:val="single" w:sz="4" w:space="0" w:color="auto"/>
            </w:tcBorders>
          </w:tcPr>
          <w:p w14:paraId="1688CB86" w14:textId="77777777" w:rsidR="00A44470" w:rsidRPr="00A27464" w:rsidRDefault="00A44470" w:rsidP="00A44470">
            <w:pPr>
              <w:numPr>
                <w:ilvl w:val="0"/>
                <w:numId w:val="55"/>
              </w:numPr>
              <w:shd w:val="clear" w:color="auto" w:fill="FFFFFF"/>
              <w:tabs>
                <w:tab w:val="left" w:pos="720"/>
              </w:tabs>
              <w:spacing w:before="100" w:beforeAutospacing="1" w:after="100" w:afterAutospacing="1"/>
              <w:contextualSpacing/>
              <w:rPr>
                <w:rFonts w:eastAsia="Times New Roman" w:cstheme="minorHAnsi"/>
                <w:color w:val="000000"/>
                <w:sz w:val="20"/>
                <w:szCs w:val="20"/>
                <w:lang w:eastAsia="en-AU"/>
              </w:rPr>
            </w:pPr>
            <w:r w:rsidRPr="00A27464">
              <w:rPr>
                <w:rFonts w:eastAsia="Times New Roman" w:cstheme="minorHAnsi"/>
                <w:color w:val="000000"/>
                <w:sz w:val="20"/>
                <w:szCs w:val="20"/>
                <w:lang w:eastAsia="en-AU"/>
              </w:rPr>
              <w:lastRenderedPageBreak/>
              <w:t xml:space="preserve">Strategic leadership values and </w:t>
            </w:r>
            <w:proofErr w:type="spellStart"/>
            <w:r w:rsidRPr="00A27464">
              <w:rPr>
                <w:rFonts w:eastAsia="Times New Roman" w:cstheme="minorHAnsi"/>
                <w:color w:val="000000"/>
                <w:sz w:val="20"/>
                <w:szCs w:val="20"/>
                <w:lang w:eastAsia="en-AU"/>
              </w:rPr>
              <w:t>prioritises</w:t>
            </w:r>
            <w:proofErr w:type="spellEnd"/>
            <w:r w:rsidRPr="00A27464">
              <w:rPr>
                <w:rFonts w:eastAsia="Times New Roman" w:cstheme="minorHAnsi"/>
                <w:color w:val="000000"/>
                <w:sz w:val="20"/>
                <w:szCs w:val="20"/>
                <w:lang w:eastAsia="en-AU"/>
              </w:rPr>
              <w:t xml:space="preserve"> the voices of participants </w:t>
            </w:r>
            <w:r>
              <w:rPr>
                <w:rFonts w:eastAsia="Times New Roman" w:cstheme="minorHAnsi"/>
                <w:color w:val="000000"/>
                <w:sz w:val="20"/>
                <w:szCs w:val="20"/>
                <w:lang w:eastAsia="en-AU"/>
              </w:rPr>
              <w:t>as ‘</w:t>
            </w:r>
            <w:r w:rsidRPr="00A27464">
              <w:rPr>
                <w:rFonts w:eastAsia="Times New Roman" w:cstheme="minorHAnsi"/>
                <w:color w:val="000000"/>
                <w:sz w:val="20"/>
                <w:szCs w:val="20"/>
                <w:lang w:eastAsia="en-AU"/>
              </w:rPr>
              <w:t xml:space="preserve">the </w:t>
            </w:r>
            <w:r w:rsidRPr="00A27464">
              <w:rPr>
                <w:rFonts w:eastAsia="Times New Roman" w:cstheme="minorHAnsi"/>
                <w:color w:val="000000"/>
                <w:sz w:val="20"/>
                <w:szCs w:val="20"/>
                <w:lang w:eastAsia="en-AU"/>
              </w:rPr>
              <w:lastRenderedPageBreak/>
              <w:t>makers of their own destinies.</w:t>
            </w:r>
            <w:r>
              <w:rPr>
                <w:rFonts w:eastAsia="Times New Roman" w:cstheme="minorHAnsi"/>
                <w:color w:val="000000"/>
                <w:sz w:val="20"/>
                <w:szCs w:val="20"/>
                <w:lang w:eastAsia="en-AU"/>
              </w:rPr>
              <w:t>’</w:t>
            </w:r>
          </w:p>
          <w:p w14:paraId="18F4819D" w14:textId="77777777" w:rsidR="00A44470" w:rsidRPr="00A27464" w:rsidRDefault="00A44470" w:rsidP="00A44470">
            <w:pPr>
              <w:numPr>
                <w:ilvl w:val="0"/>
                <w:numId w:val="55"/>
              </w:numPr>
              <w:shd w:val="clear" w:color="auto" w:fill="FFFFFF"/>
              <w:tabs>
                <w:tab w:val="left" w:pos="720"/>
              </w:tabs>
              <w:spacing w:before="100" w:beforeAutospacing="1" w:after="100" w:afterAutospacing="1"/>
              <w:contextualSpacing/>
              <w:rPr>
                <w:rFonts w:eastAsia="Times New Roman" w:cstheme="minorHAnsi"/>
                <w:color w:val="000000"/>
                <w:sz w:val="20"/>
                <w:szCs w:val="20"/>
                <w:lang w:eastAsia="en-AU"/>
              </w:rPr>
            </w:pPr>
            <w:r>
              <w:rPr>
                <w:rFonts w:eastAsia="Times New Roman" w:cstheme="minorHAnsi"/>
                <w:color w:val="000000"/>
                <w:sz w:val="20"/>
                <w:szCs w:val="20"/>
                <w:lang w:eastAsia="en-AU"/>
              </w:rPr>
              <w:t>S</w:t>
            </w:r>
            <w:r w:rsidRPr="00A27464">
              <w:rPr>
                <w:rFonts w:eastAsia="Times New Roman" w:cstheme="minorHAnsi"/>
                <w:color w:val="000000"/>
                <w:sz w:val="20"/>
                <w:szCs w:val="20"/>
                <w:lang w:eastAsia="en-AU"/>
              </w:rPr>
              <w:t>trategic partnerships</w:t>
            </w:r>
            <w:r>
              <w:rPr>
                <w:rFonts w:eastAsia="Times New Roman" w:cstheme="minorHAnsi"/>
                <w:color w:val="000000"/>
                <w:sz w:val="20"/>
                <w:szCs w:val="20"/>
                <w:lang w:eastAsia="en-AU"/>
              </w:rPr>
              <w:t xml:space="preserve"> used to</w:t>
            </w:r>
            <w:r w:rsidRPr="00A27464">
              <w:rPr>
                <w:rFonts w:eastAsia="Times New Roman" w:cstheme="minorHAnsi"/>
                <w:color w:val="000000"/>
                <w:sz w:val="20"/>
                <w:szCs w:val="20"/>
                <w:lang w:eastAsia="en-AU"/>
              </w:rPr>
              <w:t xml:space="preserve"> co-design </w:t>
            </w:r>
            <w:r>
              <w:rPr>
                <w:rFonts w:eastAsia="Times New Roman" w:cstheme="minorHAnsi"/>
                <w:color w:val="000000"/>
                <w:sz w:val="20"/>
                <w:szCs w:val="20"/>
                <w:lang w:eastAsia="en-AU"/>
              </w:rPr>
              <w:t xml:space="preserve">the </w:t>
            </w:r>
            <w:r w:rsidRPr="00A27464">
              <w:rPr>
                <w:rFonts w:eastAsia="Times New Roman" w:cstheme="minorHAnsi"/>
                <w:color w:val="000000"/>
                <w:sz w:val="20"/>
                <w:szCs w:val="20"/>
                <w:lang w:eastAsia="en-AU"/>
              </w:rPr>
              <w:t xml:space="preserve">regulatory framework, grounding regulation </w:t>
            </w:r>
            <w:r>
              <w:rPr>
                <w:rFonts w:eastAsia="Times New Roman" w:cstheme="minorHAnsi"/>
                <w:color w:val="000000"/>
                <w:sz w:val="20"/>
                <w:szCs w:val="20"/>
                <w:lang w:eastAsia="en-AU"/>
              </w:rPr>
              <w:t xml:space="preserve">in </w:t>
            </w:r>
            <w:r w:rsidRPr="00A27464">
              <w:rPr>
                <w:rFonts w:eastAsia="Times New Roman" w:cstheme="minorHAnsi"/>
                <w:color w:val="000000"/>
                <w:sz w:val="20"/>
                <w:szCs w:val="20"/>
                <w:lang w:eastAsia="en-AU"/>
              </w:rPr>
              <w:t>quality and safety rather than compliance</w:t>
            </w:r>
            <w:r>
              <w:rPr>
                <w:rFonts w:eastAsia="Times New Roman" w:cstheme="minorHAnsi"/>
                <w:color w:val="000000"/>
                <w:sz w:val="20"/>
                <w:szCs w:val="20"/>
                <w:lang w:eastAsia="en-AU"/>
              </w:rPr>
              <w:t xml:space="preserve">, and resulting in a </w:t>
            </w:r>
            <w:r w:rsidRPr="00A27464">
              <w:rPr>
                <w:rFonts w:eastAsia="Times New Roman" w:cstheme="minorHAnsi"/>
                <w:color w:val="000000"/>
                <w:sz w:val="20"/>
                <w:szCs w:val="20"/>
                <w:lang w:eastAsia="en-AU"/>
              </w:rPr>
              <w:t>sense of co-ownership</w:t>
            </w:r>
            <w:r>
              <w:rPr>
                <w:rFonts w:eastAsia="Times New Roman" w:cstheme="minorHAnsi"/>
                <w:color w:val="000000"/>
                <w:sz w:val="20"/>
                <w:szCs w:val="20"/>
                <w:lang w:eastAsia="en-AU"/>
              </w:rPr>
              <w:t>.</w:t>
            </w:r>
          </w:p>
          <w:p w14:paraId="771D24C5" w14:textId="77777777" w:rsidR="00A44470" w:rsidRPr="00601F27" w:rsidRDefault="00A44470" w:rsidP="001D4FB6">
            <w:pPr>
              <w:shd w:val="clear" w:color="auto" w:fill="FFFFFF"/>
              <w:tabs>
                <w:tab w:val="left" w:pos="720"/>
              </w:tabs>
              <w:spacing w:before="100" w:beforeAutospacing="1" w:after="100" w:afterAutospacing="1"/>
              <w:ind w:left="360"/>
              <w:contextualSpacing/>
              <w:rPr>
                <w:rFonts w:eastAsia="Times New Roman" w:cstheme="minorHAnsi"/>
                <w:sz w:val="20"/>
                <w:szCs w:val="20"/>
              </w:rPr>
            </w:pPr>
          </w:p>
        </w:tc>
        <w:tc>
          <w:tcPr>
            <w:tcW w:w="899" w:type="pct"/>
            <w:tcBorders>
              <w:top w:val="single" w:sz="4" w:space="0" w:color="auto"/>
              <w:left w:val="single" w:sz="4" w:space="0" w:color="auto"/>
              <w:bottom w:val="single" w:sz="4" w:space="0" w:color="auto"/>
              <w:right w:val="single" w:sz="4" w:space="0" w:color="auto"/>
            </w:tcBorders>
          </w:tcPr>
          <w:p w14:paraId="3418975F" w14:textId="77777777" w:rsidR="00A44470" w:rsidRPr="00E85B0D" w:rsidRDefault="00A44470" w:rsidP="00A44470">
            <w:pPr>
              <w:pStyle w:val="Default"/>
              <w:numPr>
                <w:ilvl w:val="0"/>
                <w:numId w:val="63"/>
              </w:numPr>
              <w:spacing w:after="64"/>
              <w:rPr>
                <w:rFonts w:asciiTheme="minorHAnsi" w:eastAsia="Times New Roman" w:hAnsiTheme="minorHAnsi" w:cstheme="minorHAnsi"/>
                <w:sz w:val="20"/>
                <w:szCs w:val="20"/>
                <w:lang w:eastAsia="en-AU"/>
              </w:rPr>
            </w:pPr>
            <w:r w:rsidRPr="00E85B0D">
              <w:rPr>
                <w:rFonts w:asciiTheme="minorHAnsi" w:eastAsia="Times New Roman" w:hAnsiTheme="minorHAnsi" w:cstheme="minorHAnsi"/>
                <w:sz w:val="20"/>
                <w:szCs w:val="20"/>
                <w:lang w:eastAsia="en-AU"/>
              </w:rPr>
              <w:lastRenderedPageBreak/>
              <w:t>Seeking to shift regulatory posture, away from input and compliance controls to a focus on self-</w:t>
            </w:r>
            <w:r w:rsidRPr="00E85B0D">
              <w:rPr>
                <w:rFonts w:asciiTheme="minorHAnsi" w:eastAsia="Times New Roman" w:hAnsiTheme="minorHAnsi" w:cstheme="minorHAnsi"/>
                <w:sz w:val="20"/>
                <w:szCs w:val="20"/>
                <w:lang w:eastAsia="en-AU"/>
              </w:rPr>
              <w:lastRenderedPageBreak/>
              <w:t xml:space="preserve">assurance and excellence in training outcomes.  </w:t>
            </w:r>
          </w:p>
          <w:p w14:paraId="2E73F074" w14:textId="77777777" w:rsidR="00A44470" w:rsidRPr="007D0AD5" w:rsidRDefault="00A44470" w:rsidP="00A44470">
            <w:pPr>
              <w:pStyle w:val="Default"/>
              <w:numPr>
                <w:ilvl w:val="0"/>
                <w:numId w:val="63"/>
              </w:numPr>
              <w:spacing w:after="64"/>
              <w:rPr>
                <w:rFonts w:asciiTheme="minorHAnsi" w:eastAsia="Times New Roman" w:hAnsiTheme="minorHAnsi" w:cstheme="minorHAnsi"/>
                <w:sz w:val="20"/>
                <w:szCs w:val="20"/>
                <w:lang w:eastAsia="en-AU"/>
              </w:rPr>
            </w:pPr>
            <w:r w:rsidRPr="00E85B0D">
              <w:rPr>
                <w:rFonts w:asciiTheme="minorHAnsi" w:eastAsia="Times New Roman" w:hAnsiTheme="minorHAnsi" w:cstheme="minorHAnsi"/>
                <w:sz w:val="20"/>
                <w:szCs w:val="20"/>
                <w:lang w:eastAsia="en-AU"/>
              </w:rPr>
              <w:t xml:space="preserve">Provider self-assessment is an </w:t>
            </w:r>
            <w:r w:rsidRPr="006D5923">
              <w:rPr>
                <w:rFonts w:asciiTheme="minorHAnsi" w:eastAsia="Times New Roman" w:hAnsiTheme="minorHAnsi" w:cstheme="minorHAnsi"/>
                <w:sz w:val="20"/>
                <w:szCs w:val="20"/>
                <w:lang w:eastAsia="en-AU"/>
              </w:rPr>
              <w:t>important regulatory tool and data sourc</w:t>
            </w:r>
            <w:r w:rsidRPr="007D0AD5">
              <w:rPr>
                <w:rFonts w:asciiTheme="minorHAnsi" w:eastAsia="Times New Roman" w:hAnsiTheme="minorHAnsi" w:cstheme="minorHAnsi"/>
                <w:sz w:val="20"/>
                <w:szCs w:val="20"/>
                <w:lang w:eastAsia="en-AU"/>
              </w:rPr>
              <w:t>e.</w:t>
            </w:r>
          </w:p>
          <w:p w14:paraId="10E587DA" w14:textId="7363351D" w:rsidR="00A44470" w:rsidRPr="00B00F73" w:rsidRDefault="00A44470" w:rsidP="005F47A3">
            <w:pPr>
              <w:numPr>
                <w:ilvl w:val="0"/>
                <w:numId w:val="52"/>
              </w:numPr>
              <w:shd w:val="clear" w:color="auto" w:fill="FFFFFF" w:themeFill="background1"/>
              <w:contextualSpacing/>
              <w:rPr>
                <w:rFonts w:ascii="Calibri" w:eastAsia="Calibri" w:hAnsi="Calibri" w:cs="Calibri"/>
                <w:sz w:val="20"/>
                <w:szCs w:val="20"/>
              </w:rPr>
            </w:pPr>
            <w:r w:rsidRPr="00E85B0D">
              <w:rPr>
                <w:rFonts w:eastAsia="Times New Roman" w:cstheme="minorHAnsi"/>
                <w:sz w:val="20"/>
                <w:szCs w:val="20"/>
              </w:rPr>
              <w:t>Significant</w:t>
            </w:r>
            <w:r w:rsidRPr="00E85B0D">
              <w:rPr>
                <w:rFonts w:eastAsia="Times New Roman" w:cstheme="minorHAnsi"/>
                <w:color w:val="000000"/>
                <w:sz w:val="20"/>
                <w:szCs w:val="20"/>
                <w:lang w:eastAsia="en-AU"/>
              </w:rPr>
              <w:t xml:space="preserve"> internal reform to regulatory practice underway, supporting broader reform in the VET sector.</w:t>
            </w: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50997FED" w14:textId="77777777" w:rsidR="00A44470" w:rsidRPr="00D62EFF" w:rsidRDefault="00A44470" w:rsidP="00A44470">
            <w:pPr>
              <w:numPr>
                <w:ilvl w:val="0"/>
                <w:numId w:val="52"/>
              </w:numPr>
              <w:shd w:val="clear" w:color="auto" w:fill="FFFFFF" w:themeFill="background1"/>
              <w:contextualSpacing/>
              <w:rPr>
                <w:rFonts w:eastAsia="Times New Roman" w:cstheme="minorHAnsi"/>
                <w:sz w:val="20"/>
                <w:szCs w:val="20"/>
              </w:rPr>
            </w:pPr>
            <w:r>
              <w:rPr>
                <w:sz w:val="20"/>
                <w:szCs w:val="20"/>
              </w:rPr>
              <w:lastRenderedPageBreak/>
              <w:t>R</w:t>
            </w:r>
            <w:r w:rsidRPr="00D62EFF">
              <w:rPr>
                <w:sz w:val="20"/>
                <w:szCs w:val="20"/>
              </w:rPr>
              <w:t xml:space="preserve">elationship-based supervision model to enhance its regulatory influence through close working relationships – </w:t>
            </w:r>
            <w:r w:rsidRPr="00D62EFF">
              <w:rPr>
                <w:sz w:val="20"/>
                <w:szCs w:val="20"/>
              </w:rPr>
              <w:lastRenderedPageBreak/>
              <w:t>described as an ex-ante (pre-emptive) approach to</w:t>
            </w:r>
            <w:r w:rsidRPr="00D62EFF">
              <w:rPr>
                <w:rFonts w:eastAsia="Times New Roman" w:cstheme="minorHAnsi"/>
                <w:sz w:val="20"/>
                <w:szCs w:val="20"/>
              </w:rPr>
              <w:t xml:space="preserve"> risk management. </w:t>
            </w:r>
          </w:p>
          <w:p w14:paraId="04515A74" w14:textId="3FF989B4" w:rsidR="00A44470" w:rsidRPr="00D62EFF" w:rsidRDefault="00A44470" w:rsidP="005F47A3">
            <w:pPr>
              <w:numPr>
                <w:ilvl w:val="0"/>
                <w:numId w:val="52"/>
              </w:numPr>
              <w:shd w:val="clear" w:color="auto" w:fill="FFFFFF" w:themeFill="background1"/>
              <w:contextualSpacing/>
              <w:rPr>
                <w:rFonts w:eastAsia="Times New Roman" w:cstheme="minorHAnsi"/>
                <w:sz w:val="20"/>
                <w:szCs w:val="20"/>
              </w:rPr>
            </w:pPr>
            <w:r>
              <w:rPr>
                <w:rFonts w:eastAsia="Times New Roman" w:cstheme="minorHAnsi"/>
                <w:sz w:val="20"/>
                <w:szCs w:val="20"/>
              </w:rPr>
              <w:t>H</w:t>
            </w:r>
            <w:r w:rsidRPr="00D62EFF">
              <w:rPr>
                <w:rFonts w:eastAsia="Times New Roman" w:cstheme="minorHAnsi"/>
                <w:sz w:val="20"/>
                <w:szCs w:val="20"/>
              </w:rPr>
              <w:t xml:space="preserve">as shifted from ‘enforcement as a last resort’ to ‘constructively tough enforcement’, </w:t>
            </w:r>
            <w:r>
              <w:rPr>
                <w:rFonts w:eastAsia="Times New Roman" w:cstheme="minorHAnsi"/>
                <w:sz w:val="20"/>
                <w:szCs w:val="20"/>
              </w:rPr>
              <w:t>signaling to</w:t>
            </w:r>
            <w:r w:rsidRPr="00D62EFF">
              <w:rPr>
                <w:rFonts w:eastAsia="Times New Roman" w:cstheme="minorHAnsi"/>
                <w:sz w:val="20"/>
                <w:szCs w:val="20"/>
              </w:rPr>
              <w:t xml:space="preserve"> stakeholders </w:t>
            </w:r>
            <w:r>
              <w:rPr>
                <w:rFonts w:eastAsia="Times New Roman" w:cstheme="minorHAnsi"/>
                <w:sz w:val="20"/>
                <w:szCs w:val="20"/>
              </w:rPr>
              <w:t>it is</w:t>
            </w:r>
            <w:r w:rsidRPr="00D62EFF">
              <w:rPr>
                <w:rFonts w:eastAsia="Times New Roman" w:cstheme="minorHAnsi"/>
                <w:sz w:val="20"/>
                <w:szCs w:val="20"/>
              </w:rPr>
              <w:t xml:space="preserve"> ready and willing to use enforcement options to ensure compliance.</w:t>
            </w:r>
          </w:p>
        </w:tc>
        <w:tc>
          <w:tcPr>
            <w:tcW w:w="898" w:type="pct"/>
            <w:tcBorders>
              <w:top w:val="single" w:sz="4" w:space="0" w:color="auto"/>
              <w:left w:val="single" w:sz="4" w:space="0" w:color="auto"/>
              <w:bottom w:val="single" w:sz="4" w:space="0" w:color="auto"/>
              <w:right w:val="single" w:sz="4" w:space="0" w:color="auto"/>
            </w:tcBorders>
          </w:tcPr>
          <w:p w14:paraId="4007B82E" w14:textId="77777777" w:rsidR="00A44470" w:rsidRDefault="00A44470" w:rsidP="00A44470">
            <w:pPr>
              <w:numPr>
                <w:ilvl w:val="0"/>
                <w:numId w:val="52"/>
              </w:numPr>
              <w:shd w:val="clear" w:color="auto" w:fill="FFFFFF" w:themeFill="background1"/>
              <w:contextualSpacing/>
              <w:rPr>
                <w:sz w:val="20"/>
                <w:szCs w:val="20"/>
              </w:rPr>
            </w:pPr>
            <w:r>
              <w:rPr>
                <w:sz w:val="20"/>
                <w:szCs w:val="20"/>
              </w:rPr>
              <w:lastRenderedPageBreak/>
              <w:t>Employs a partnership model (pa</w:t>
            </w:r>
            <w:r w:rsidRPr="00D55D3D">
              <w:rPr>
                <w:sz w:val="20"/>
                <w:szCs w:val="20"/>
              </w:rPr>
              <w:t>tients</w:t>
            </w:r>
            <w:r>
              <w:rPr>
                <w:sz w:val="20"/>
                <w:szCs w:val="20"/>
              </w:rPr>
              <w:t xml:space="preserve">, </w:t>
            </w:r>
            <w:proofErr w:type="spellStart"/>
            <w:r w:rsidRPr="00D55D3D">
              <w:rPr>
                <w:sz w:val="20"/>
                <w:szCs w:val="20"/>
              </w:rPr>
              <w:t>carers</w:t>
            </w:r>
            <w:proofErr w:type="spellEnd"/>
            <w:r>
              <w:rPr>
                <w:sz w:val="20"/>
                <w:szCs w:val="20"/>
              </w:rPr>
              <w:t>,</w:t>
            </w:r>
            <w:r w:rsidRPr="00D55D3D">
              <w:rPr>
                <w:sz w:val="20"/>
                <w:szCs w:val="20"/>
              </w:rPr>
              <w:t xml:space="preserve"> clinicians</w:t>
            </w:r>
            <w:r>
              <w:rPr>
                <w:sz w:val="20"/>
                <w:szCs w:val="20"/>
              </w:rPr>
              <w:t>,</w:t>
            </w:r>
            <w:r w:rsidRPr="00D55D3D">
              <w:rPr>
                <w:sz w:val="20"/>
                <w:szCs w:val="20"/>
              </w:rPr>
              <w:t xml:space="preserve"> Australian, state and territory health </w:t>
            </w:r>
            <w:r w:rsidRPr="00D55D3D">
              <w:rPr>
                <w:sz w:val="20"/>
                <w:szCs w:val="20"/>
              </w:rPr>
              <w:lastRenderedPageBreak/>
              <w:t>systems</w:t>
            </w:r>
            <w:r>
              <w:rPr>
                <w:sz w:val="20"/>
                <w:szCs w:val="20"/>
              </w:rPr>
              <w:t xml:space="preserve">, </w:t>
            </w:r>
            <w:r w:rsidRPr="00D55D3D">
              <w:rPr>
                <w:sz w:val="20"/>
                <w:szCs w:val="20"/>
              </w:rPr>
              <w:t xml:space="preserve">private sector, and healthcare </w:t>
            </w:r>
            <w:proofErr w:type="spellStart"/>
            <w:r w:rsidRPr="00D55D3D">
              <w:rPr>
                <w:sz w:val="20"/>
                <w:szCs w:val="20"/>
              </w:rPr>
              <w:t>organisations</w:t>
            </w:r>
            <w:proofErr w:type="spellEnd"/>
            <w:r>
              <w:rPr>
                <w:sz w:val="20"/>
                <w:szCs w:val="20"/>
              </w:rPr>
              <w:t xml:space="preserve">) to lead and coordinate </w:t>
            </w:r>
            <w:r w:rsidRPr="00D55D3D">
              <w:rPr>
                <w:sz w:val="20"/>
                <w:szCs w:val="20"/>
              </w:rPr>
              <w:t>national improvements in the safety and quality of health care.</w:t>
            </w:r>
          </w:p>
          <w:p w14:paraId="0331A4B7" w14:textId="77777777" w:rsidR="00A44470" w:rsidRPr="007053A1" w:rsidRDefault="00A44470" w:rsidP="001D4FB6">
            <w:pPr>
              <w:shd w:val="clear" w:color="auto" w:fill="FFFFFF" w:themeFill="background1"/>
              <w:contextualSpacing/>
              <w:rPr>
                <w:lang w:val="en-GB"/>
              </w:rPr>
            </w:pPr>
          </w:p>
        </w:tc>
      </w:tr>
      <w:tr w:rsidR="00A44470" w:rsidRPr="00B00F73" w14:paraId="1BF035DD" w14:textId="77777777" w:rsidTr="00A44470">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1907EA" w14:textId="77777777" w:rsidR="00A44470" w:rsidRPr="00B00F73" w:rsidRDefault="00A44470" w:rsidP="001D4FB6">
            <w:pPr>
              <w:tabs>
                <w:tab w:val="left" w:pos="720"/>
              </w:tabs>
              <w:contextualSpacing/>
              <w:rPr>
                <w:sz w:val="24"/>
                <w:szCs w:val="24"/>
              </w:rPr>
            </w:pPr>
            <w:r w:rsidRPr="00476862">
              <w:rPr>
                <w:rFonts w:eastAsia="Times New Roman" w:cstheme="minorHAnsi"/>
                <w:b/>
                <w:bCs/>
                <w:sz w:val="20"/>
                <w:szCs w:val="20"/>
              </w:rPr>
              <w:lastRenderedPageBreak/>
              <w:t xml:space="preserve">Funding </w:t>
            </w:r>
            <w:r>
              <w:rPr>
                <w:rFonts w:eastAsia="Times New Roman" w:cstheme="minorHAnsi"/>
                <w:b/>
                <w:bCs/>
                <w:sz w:val="20"/>
                <w:szCs w:val="20"/>
              </w:rPr>
              <w:t>source</w:t>
            </w:r>
          </w:p>
        </w:tc>
        <w:tc>
          <w:tcPr>
            <w:tcW w:w="899" w:type="pct"/>
            <w:tcBorders>
              <w:top w:val="single" w:sz="4" w:space="0" w:color="auto"/>
              <w:left w:val="single" w:sz="4" w:space="0" w:color="auto"/>
              <w:bottom w:val="single" w:sz="4" w:space="0" w:color="auto"/>
              <w:right w:val="single" w:sz="4" w:space="0" w:color="auto"/>
            </w:tcBorders>
          </w:tcPr>
          <w:p w14:paraId="4551A1AE" w14:textId="77777777" w:rsidR="00A44470" w:rsidRPr="00CD6262" w:rsidRDefault="00A44470" w:rsidP="00A44470">
            <w:pPr>
              <w:pStyle w:val="ListParagraph"/>
              <w:numPr>
                <w:ilvl w:val="0"/>
                <w:numId w:val="65"/>
              </w:numPr>
              <w:tabs>
                <w:tab w:val="left" w:pos="720"/>
              </w:tabs>
              <w:rPr>
                <w:rFonts w:eastAsia="Times New Roman" w:cstheme="minorHAnsi"/>
                <w:sz w:val="20"/>
                <w:szCs w:val="20"/>
              </w:rPr>
            </w:pPr>
            <w:r w:rsidRPr="00CD6262">
              <w:rPr>
                <w:rFonts w:eastAsia="Times New Roman" w:cstheme="minorHAnsi"/>
                <w:sz w:val="20"/>
                <w:szCs w:val="20"/>
              </w:rPr>
              <w:t xml:space="preserve">Australian government funded. </w:t>
            </w:r>
          </w:p>
          <w:p w14:paraId="67B46BD9" w14:textId="77777777" w:rsidR="00A44470" w:rsidRPr="00CD6262" w:rsidRDefault="00A44470" w:rsidP="00A44470">
            <w:pPr>
              <w:pStyle w:val="ListParagraph"/>
              <w:numPr>
                <w:ilvl w:val="0"/>
                <w:numId w:val="65"/>
              </w:numPr>
              <w:tabs>
                <w:tab w:val="left" w:pos="720"/>
              </w:tabs>
              <w:rPr>
                <w:rFonts w:eastAsia="Times New Roman" w:cstheme="minorHAnsi"/>
                <w:sz w:val="20"/>
                <w:szCs w:val="20"/>
              </w:rPr>
            </w:pPr>
            <w:r w:rsidRPr="00CD6262">
              <w:rPr>
                <w:rFonts w:eastAsia="Times New Roman" w:cstheme="minorHAnsi"/>
                <w:sz w:val="20"/>
                <w:szCs w:val="20"/>
              </w:rPr>
              <w:t>Cost recovery of some functions</w:t>
            </w:r>
            <w:r>
              <w:rPr>
                <w:rFonts w:eastAsia="Times New Roman" w:cstheme="minorHAnsi"/>
                <w:sz w:val="20"/>
                <w:szCs w:val="20"/>
              </w:rPr>
              <w:t>.</w:t>
            </w:r>
          </w:p>
        </w:tc>
        <w:tc>
          <w:tcPr>
            <w:tcW w:w="899" w:type="pct"/>
            <w:tcBorders>
              <w:top w:val="single" w:sz="4" w:space="0" w:color="auto"/>
              <w:left w:val="single" w:sz="4" w:space="0" w:color="auto"/>
              <w:bottom w:val="single" w:sz="4" w:space="0" w:color="auto"/>
              <w:right w:val="single" w:sz="4" w:space="0" w:color="auto"/>
            </w:tcBorders>
          </w:tcPr>
          <w:p w14:paraId="0F9A434B" w14:textId="77777777" w:rsidR="00A44470" w:rsidRPr="00CD6262" w:rsidRDefault="00A44470" w:rsidP="00A44470">
            <w:pPr>
              <w:pStyle w:val="ListParagraph"/>
              <w:numPr>
                <w:ilvl w:val="0"/>
                <w:numId w:val="65"/>
              </w:numPr>
              <w:tabs>
                <w:tab w:val="left" w:pos="720"/>
              </w:tabs>
              <w:rPr>
                <w:rFonts w:eastAsia="Times New Roman" w:cstheme="minorHAnsi"/>
                <w:sz w:val="20"/>
                <w:szCs w:val="20"/>
              </w:rPr>
            </w:pPr>
            <w:r w:rsidRPr="00CD6262">
              <w:rPr>
                <w:rFonts w:eastAsia="Times New Roman" w:cstheme="minorHAnsi"/>
                <w:sz w:val="20"/>
                <w:szCs w:val="20"/>
              </w:rPr>
              <w:t>Australian government funded.</w:t>
            </w:r>
          </w:p>
          <w:p w14:paraId="2C145775" w14:textId="77777777" w:rsidR="00A44470" w:rsidRPr="00CD6262" w:rsidRDefault="00A44470" w:rsidP="00A44470">
            <w:pPr>
              <w:pStyle w:val="ListParagraph"/>
              <w:numPr>
                <w:ilvl w:val="0"/>
                <w:numId w:val="65"/>
              </w:numPr>
              <w:tabs>
                <w:tab w:val="left" w:pos="720"/>
              </w:tabs>
              <w:spacing w:after="120"/>
              <w:rPr>
                <w:rFonts w:eastAsia="Times New Roman" w:cstheme="minorHAnsi"/>
                <w:sz w:val="20"/>
                <w:szCs w:val="20"/>
              </w:rPr>
            </w:pPr>
            <w:r w:rsidRPr="00CD6262">
              <w:rPr>
                <w:rFonts w:eastAsia="Times New Roman" w:cstheme="minorHAnsi"/>
                <w:sz w:val="20"/>
                <w:szCs w:val="20"/>
              </w:rPr>
              <w:t xml:space="preserve">Provider application and registration is free, but providers must pay for audit against the NDIS Practice Standards. </w:t>
            </w:r>
          </w:p>
        </w:tc>
        <w:tc>
          <w:tcPr>
            <w:tcW w:w="899" w:type="pct"/>
            <w:tcBorders>
              <w:top w:val="single" w:sz="4" w:space="0" w:color="auto"/>
              <w:left w:val="single" w:sz="4" w:space="0" w:color="auto"/>
              <w:bottom w:val="single" w:sz="4" w:space="0" w:color="auto"/>
              <w:right w:val="single" w:sz="4" w:space="0" w:color="auto"/>
            </w:tcBorders>
          </w:tcPr>
          <w:p w14:paraId="236BFAB9" w14:textId="77777777" w:rsidR="00A44470" w:rsidRPr="00CD6262" w:rsidRDefault="00A44470" w:rsidP="00A44470">
            <w:pPr>
              <w:pStyle w:val="ListParagraph"/>
              <w:numPr>
                <w:ilvl w:val="0"/>
                <w:numId w:val="65"/>
              </w:numPr>
              <w:tabs>
                <w:tab w:val="left" w:pos="720"/>
              </w:tabs>
              <w:rPr>
                <w:rFonts w:eastAsia="Times New Roman" w:cstheme="minorHAnsi"/>
                <w:sz w:val="20"/>
                <w:szCs w:val="20"/>
              </w:rPr>
            </w:pPr>
            <w:r w:rsidRPr="00CD6262">
              <w:rPr>
                <w:rFonts w:eastAsia="Times New Roman" w:cstheme="minorHAnsi"/>
                <w:sz w:val="20"/>
                <w:szCs w:val="20"/>
              </w:rPr>
              <w:t xml:space="preserve">Australian government funded. </w:t>
            </w:r>
          </w:p>
          <w:p w14:paraId="007E4F2C" w14:textId="77777777" w:rsidR="00A44470" w:rsidRPr="00CD6262" w:rsidRDefault="00A44470" w:rsidP="00A44470">
            <w:pPr>
              <w:pStyle w:val="ListParagraph"/>
              <w:numPr>
                <w:ilvl w:val="0"/>
                <w:numId w:val="65"/>
              </w:numPr>
              <w:tabs>
                <w:tab w:val="left" w:pos="720"/>
              </w:tabs>
              <w:rPr>
                <w:rFonts w:ascii="Calibri" w:eastAsia="Calibri" w:hAnsi="Calibri" w:cs="Calibri"/>
                <w:sz w:val="20"/>
                <w:szCs w:val="20"/>
              </w:rPr>
            </w:pPr>
            <w:r w:rsidRPr="00CD6262">
              <w:rPr>
                <w:rFonts w:eastAsia="Times New Roman" w:cstheme="minorHAnsi"/>
                <w:sz w:val="20"/>
                <w:szCs w:val="20"/>
              </w:rPr>
              <w:t>Cost recovery of some functions.</w:t>
            </w: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08AFF4CC" w14:textId="77777777" w:rsidR="00A44470" w:rsidRPr="00CD6262" w:rsidRDefault="00A44470" w:rsidP="00A44470">
            <w:pPr>
              <w:pStyle w:val="ListParagraph"/>
              <w:numPr>
                <w:ilvl w:val="0"/>
                <w:numId w:val="65"/>
              </w:numPr>
              <w:tabs>
                <w:tab w:val="left" w:pos="720"/>
              </w:tabs>
              <w:rPr>
                <w:rFonts w:eastAsia="Times New Roman" w:cstheme="minorHAnsi"/>
                <w:sz w:val="20"/>
                <w:szCs w:val="20"/>
              </w:rPr>
            </w:pPr>
            <w:r w:rsidRPr="00CD6262">
              <w:rPr>
                <w:rFonts w:eastAsia="Times New Roman" w:cstheme="minorHAnsi"/>
                <w:sz w:val="20"/>
                <w:szCs w:val="20"/>
              </w:rPr>
              <w:t xml:space="preserve">Australian government funded. </w:t>
            </w:r>
          </w:p>
          <w:p w14:paraId="614EF739" w14:textId="77777777" w:rsidR="00A44470" w:rsidRPr="00CD6262" w:rsidRDefault="00A44470" w:rsidP="00A44470">
            <w:pPr>
              <w:pStyle w:val="ListParagraph"/>
              <w:numPr>
                <w:ilvl w:val="0"/>
                <w:numId w:val="65"/>
              </w:numPr>
              <w:tabs>
                <w:tab w:val="left" w:pos="720"/>
              </w:tabs>
              <w:rPr>
                <w:rFonts w:eastAsia="Times New Roman" w:cstheme="minorHAnsi"/>
                <w:sz w:val="20"/>
                <w:szCs w:val="20"/>
              </w:rPr>
            </w:pPr>
            <w:r w:rsidRPr="00CD6262">
              <w:rPr>
                <w:rFonts w:eastAsia="Times New Roman" w:cstheme="minorHAnsi"/>
                <w:sz w:val="20"/>
                <w:szCs w:val="20"/>
              </w:rPr>
              <w:t>Cost recovery of some functions.</w:t>
            </w:r>
          </w:p>
        </w:tc>
        <w:tc>
          <w:tcPr>
            <w:tcW w:w="898" w:type="pct"/>
            <w:tcBorders>
              <w:top w:val="single" w:sz="4" w:space="0" w:color="auto"/>
              <w:left w:val="single" w:sz="4" w:space="0" w:color="auto"/>
              <w:bottom w:val="single" w:sz="4" w:space="0" w:color="auto"/>
              <w:right w:val="single" w:sz="4" w:space="0" w:color="auto"/>
            </w:tcBorders>
          </w:tcPr>
          <w:p w14:paraId="2D6F2521" w14:textId="77777777" w:rsidR="00A44470" w:rsidRPr="00CD6262" w:rsidRDefault="00A44470" w:rsidP="00A44470">
            <w:pPr>
              <w:pStyle w:val="ListParagraph"/>
              <w:numPr>
                <w:ilvl w:val="0"/>
                <w:numId w:val="65"/>
              </w:numPr>
              <w:tabs>
                <w:tab w:val="left" w:pos="720"/>
              </w:tabs>
              <w:rPr>
                <w:rFonts w:eastAsia="Times New Roman" w:cstheme="minorHAnsi"/>
                <w:sz w:val="20"/>
                <w:szCs w:val="20"/>
              </w:rPr>
            </w:pPr>
            <w:r w:rsidRPr="00CD6262">
              <w:rPr>
                <w:rFonts w:eastAsia="Times New Roman" w:cstheme="minorHAnsi"/>
                <w:sz w:val="20"/>
                <w:szCs w:val="20"/>
              </w:rPr>
              <w:t>Jointly funded by Australian and state and territory governments.</w:t>
            </w:r>
          </w:p>
        </w:tc>
      </w:tr>
      <w:tr w:rsidR="00A44470" w:rsidRPr="00B00F73" w14:paraId="2555713A" w14:textId="77777777" w:rsidTr="00A44470">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4F0EB6" w14:textId="77777777" w:rsidR="00A44470" w:rsidRPr="00B00F73" w:rsidRDefault="00A44470" w:rsidP="001D4FB6">
            <w:pPr>
              <w:tabs>
                <w:tab w:val="left" w:pos="720"/>
              </w:tabs>
              <w:contextualSpacing/>
              <w:rPr>
                <w:rFonts w:eastAsia="Times New Roman" w:cstheme="minorHAnsi"/>
                <w:b/>
                <w:bCs/>
                <w:sz w:val="20"/>
                <w:szCs w:val="20"/>
              </w:rPr>
            </w:pPr>
            <w:r w:rsidRPr="00B00F73">
              <w:rPr>
                <w:sz w:val="24"/>
                <w:szCs w:val="24"/>
              </w:rPr>
              <w:br w:type="page"/>
            </w:r>
            <w:r w:rsidRPr="00B00F73">
              <w:rPr>
                <w:rFonts w:eastAsia="Times New Roman" w:cstheme="minorHAnsi"/>
                <w:b/>
                <w:bCs/>
                <w:sz w:val="20"/>
                <w:szCs w:val="20"/>
              </w:rPr>
              <w:t>Entity type</w:t>
            </w:r>
          </w:p>
        </w:tc>
        <w:tc>
          <w:tcPr>
            <w:tcW w:w="899" w:type="pct"/>
            <w:tcBorders>
              <w:top w:val="single" w:sz="4" w:space="0" w:color="auto"/>
              <w:left w:val="single" w:sz="4" w:space="0" w:color="auto"/>
              <w:bottom w:val="single" w:sz="4" w:space="0" w:color="auto"/>
              <w:right w:val="single" w:sz="4" w:space="0" w:color="auto"/>
            </w:tcBorders>
          </w:tcPr>
          <w:p w14:paraId="18F45B7F" w14:textId="77777777" w:rsidR="00A44470" w:rsidRPr="003A7390" w:rsidRDefault="00A44470" w:rsidP="00A44470">
            <w:pPr>
              <w:pStyle w:val="ListParagraph"/>
              <w:numPr>
                <w:ilvl w:val="0"/>
                <w:numId w:val="66"/>
              </w:numPr>
              <w:tabs>
                <w:tab w:val="left" w:pos="720"/>
              </w:tabs>
              <w:rPr>
                <w:rFonts w:eastAsia="Times New Roman" w:cstheme="minorHAnsi"/>
                <w:sz w:val="20"/>
                <w:szCs w:val="20"/>
              </w:rPr>
            </w:pPr>
            <w:r w:rsidRPr="003A7390">
              <w:rPr>
                <w:rFonts w:eastAsia="Times New Roman" w:cstheme="minorHAnsi"/>
                <w:sz w:val="20"/>
                <w:szCs w:val="20"/>
              </w:rPr>
              <w:t>Independent statutory authority</w:t>
            </w:r>
          </w:p>
          <w:p w14:paraId="7166E8E1" w14:textId="77777777" w:rsidR="00A44470" w:rsidRPr="003A7390" w:rsidRDefault="00A44470" w:rsidP="00A44470">
            <w:pPr>
              <w:pStyle w:val="ListParagraph"/>
              <w:numPr>
                <w:ilvl w:val="0"/>
                <w:numId w:val="66"/>
              </w:numPr>
              <w:tabs>
                <w:tab w:val="left" w:pos="720"/>
              </w:tabs>
              <w:rPr>
                <w:rFonts w:eastAsia="Times New Roman" w:cstheme="minorHAnsi"/>
                <w:sz w:val="20"/>
                <w:szCs w:val="20"/>
              </w:rPr>
            </w:pPr>
            <w:r w:rsidRPr="003A7390">
              <w:rPr>
                <w:rFonts w:eastAsia="Times New Roman" w:cstheme="minorHAnsi"/>
                <w:sz w:val="20"/>
                <w:szCs w:val="20"/>
              </w:rPr>
              <w:t>Non-corporate Commonwealth entity</w:t>
            </w:r>
          </w:p>
          <w:p w14:paraId="14010676" w14:textId="77777777" w:rsidR="00A44470" w:rsidRPr="00B00F73" w:rsidRDefault="00A44470" w:rsidP="001D4FB6">
            <w:pPr>
              <w:tabs>
                <w:tab w:val="left" w:pos="720"/>
              </w:tabs>
              <w:ind w:left="360" w:hanging="360"/>
              <w:contextualSpacing/>
              <w:rPr>
                <w:rFonts w:eastAsia="Times New Roman" w:cstheme="minorHAnsi"/>
                <w:sz w:val="20"/>
                <w:szCs w:val="20"/>
              </w:rPr>
            </w:pPr>
          </w:p>
        </w:tc>
        <w:tc>
          <w:tcPr>
            <w:tcW w:w="899" w:type="pct"/>
            <w:tcBorders>
              <w:top w:val="single" w:sz="4" w:space="0" w:color="auto"/>
              <w:left w:val="single" w:sz="4" w:space="0" w:color="auto"/>
              <w:bottom w:val="single" w:sz="4" w:space="0" w:color="auto"/>
              <w:right w:val="single" w:sz="4" w:space="0" w:color="auto"/>
            </w:tcBorders>
          </w:tcPr>
          <w:p w14:paraId="0661A720" w14:textId="77777777" w:rsidR="00A44470" w:rsidRPr="00D62EFF" w:rsidRDefault="00A44470" w:rsidP="00A44470">
            <w:pPr>
              <w:pStyle w:val="ListParagraph"/>
              <w:numPr>
                <w:ilvl w:val="0"/>
                <w:numId w:val="66"/>
              </w:numPr>
              <w:tabs>
                <w:tab w:val="left" w:pos="720"/>
              </w:tabs>
              <w:rPr>
                <w:rFonts w:eastAsia="Times New Roman" w:cstheme="minorHAnsi"/>
                <w:sz w:val="20"/>
                <w:szCs w:val="20"/>
              </w:rPr>
            </w:pPr>
            <w:r w:rsidRPr="00D62EFF">
              <w:rPr>
                <w:rFonts w:eastAsia="Times New Roman" w:cstheme="minorHAnsi"/>
                <w:sz w:val="20"/>
                <w:szCs w:val="20"/>
              </w:rPr>
              <w:t>Independent statutory authority</w:t>
            </w:r>
          </w:p>
          <w:p w14:paraId="6B552A53" w14:textId="77777777" w:rsidR="00A44470" w:rsidRPr="00B00F73" w:rsidRDefault="00A44470" w:rsidP="00A44470">
            <w:pPr>
              <w:pStyle w:val="ListParagraph"/>
              <w:numPr>
                <w:ilvl w:val="0"/>
                <w:numId w:val="66"/>
              </w:numPr>
              <w:tabs>
                <w:tab w:val="left" w:pos="720"/>
              </w:tabs>
              <w:rPr>
                <w:rFonts w:eastAsia="Times New Roman" w:cstheme="minorHAnsi"/>
                <w:sz w:val="20"/>
                <w:szCs w:val="20"/>
              </w:rPr>
            </w:pPr>
            <w:r w:rsidRPr="00B00F73">
              <w:rPr>
                <w:rFonts w:eastAsia="Times New Roman" w:cstheme="minorHAnsi"/>
                <w:sz w:val="20"/>
                <w:szCs w:val="20"/>
              </w:rPr>
              <w:t>Non-corporate Commonwealth entity</w:t>
            </w:r>
          </w:p>
          <w:p w14:paraId="3D4598BB" w14:textId="77777777" w:rsidR="00A44470" w:rsidRPr="00B00F73" w:rsidRDefault="00A44470" w:rsidP="001D4FB6">
            <w:pPr>
              <w:pStyle w:val="ListParagraph"/>
              <w:tabs>
                <w:tab w:val="left" w:pos="720"/>
              </w:tabs>
              <w:ind w:left="360"/>
              <w:rPr>
                <w:rFonts w:eastAsia="Times New Roman" w:cstheme="minorHAnsi"/>
                <w:sz w:val="20"/>
                <w:szCs w:val="20"/>
              </w:rPr>
            </w:pPr>
          </w:p>
        </w:tc>
        <w:tc>
          <w:tcPr>
            <w:tcW w:w="899" w:type="pct"/>
            <w:tcBorders>
              <w:top w:val="single" w:sz="4" w:space="0" w:color="auto"/>
              <w:left w:val="single" w:sz="4" w:space="0" w:color="auto"/>
              <w:bottom w:val="single" w:sz="4" w:space="0" w:color="auto"/>
              <w:right w:val="single" w:sz="4" w:space="0" w:color="auto"/>
            </w:tcBorders>
          </w:tcPr>
          <w:p w14:paraId="32010B09" w14:textId="77777777" w:rsidR="00A44470" w:rsidRPr="00D62EFF" w:rsidRDefault="00A44470" w:rsidP="00A44470">
            <w:pPr>
              <w:pStyle w:val="ListParagraph"/>
              <w:numPr>
                <w:ilvl w:val="0"/>
                <w:numId w:val="66"/>
              </w:numPr>
              <w:tabs>
                <w:tab w:val="left" w:pos="720"/>
              </w:tabs>
              <w:rPr>
                <w:rFonts w:eastAsia="Times New Roman" w:cstheme="minorHAnsi"/>
                <w:sz w:val="20"/>
                <w:szCs w:val="20"/>
              </w:rPr>
            </w:pPr>
            <w:r w:rsidRPr="00D62EFF">
              <w:rPr>
                <w:rFonts w:eastAsia="Times New Roman" w:cstheme="minorHAnsi"/>
                <w:sz w:val="20"/>
                <w:szCs w:val="20"/>
              </w:rPr>
              <w:t>Independent statutory authority</w:t>
            </w:r>
          </w:p>
          <w:p w14:paraId="6D112E96" w14:textId="77777777" w:rsidR="00A44470" w:rsidRPr="003A7390" w:rsidRDefault="00A44470" w:rsidP="00A44470">
            <w:pPr>
              <w:pStyle w:val="ListParagraph"/>
              <w:numPr>
                <w:ilvl w:val="0"/>
                <w:numId w:val="66"/>
              </w:numPr>
              <w:tabs>
                <w:tab w:val="left" w:pos="720"/>
              </w:tabs>
              <w:rPr>
                <w:rFonts w:eastAsia="Times New Roman" w:cstheme="minorHAnsi"/>
                <w:sz w:val="20"/>
                <w:szCs w:val="20"/>
              </w:rPr>
            </w:pPr>
            <w:r w:rsidRPr="003A7390">
              <w:rPr>
                <w:rFonts w:eastAsia="Times New Roman" w:cstheme="minorHAnsi"/>
                <w:sz w:val="20"/>
                <w:szCs w:val="20"/>
              </w:rPr>
              <w:t>Non-corporate Commonwealth entity</w:t>
            </w:r>
          </w:p>
          <w:p w14:paraId="473513EC" w14:textId="77777777" w:rsidR="00A44470" w:rsidRPr="003A7390" w:rsidRDefault="00A44470" w:rsidP="001D4FB6">
            <w:pPr>
              <w:pStyle w:val="ListParagraph"/>
              <w:tabs>
                <w:tab w:val="left" w:pos="720"/>
              </w:tabs>
              <w:ind w:left="360"/>
              <w:rPr>
                <w:rFonts w:eastAsia="Times New Roman" w:cstheme="minorHAnsi"/>
                <w:sz w:val="20"/>
                <w:szCs w:val="20"/>
              </w:rPr>
            </w:pP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5A4A2012" w14:textId="77777777" w:rsidR="00A44470" w:rsidRPr="00D62EFF" w:rsidRDefault="00A44470" w:rsidP="00A44470">
            <w:pPr>
              <w:pStyle w:val="ListParagraph"/>
              <w:numPr>
                <w:ilvl w:val="0"/>
                <w:numId w:val="66"/>
              </w:numPr>
              <w:tabs>
                <w:tab w:val="left" w:pos="720"/>
              </w:tabs>
              <w:rPr>
                <w:rFonts w:eastAsia="Times New Roman" w:cstheme="minorHAnsi"/>
                <w:sz w:val="20"/>
                <w:szCs w:val="20"/>
              </w:rPr>
            </w:pPr>
            <w:r w:rsidRPr="00D62EFF">
              <w:rPr>
                <w:rFonts w:eastAsia="Times New Roman" w:cstheme="minorHAnsi"/>
                <w:sz w:val="20"/>
                <w:szCs w:val="20"/>
              </w:rPr>
              <w:t>Independent statutory authority</w:t>
            </w:r>
          </w:p>
          <w:p w14:paraId="68BD3C7C" w14:textId="77777777" w:rsidR="00A44470" w:rsidRPr="00D62EFF" w:rsidRDefault="00A44470" w:rsidP="00A44470">
            <w:pPr>
              <w:pStyle w:val="ListParagraph"/>
              <w:numPr>
                <w:ilvl w:val="0"/>
                <w:numId w:val="66"/>
              </w:numPr>
              <w:tabs>
                <w:tab w:val="left" w:pos="720"/>
              </w:tabs>
              <w:rPr>
                <w:rFonts w:eastAsia="Times New Roman" w:cstheme="minorHAnsi"/>
                <w:sz w:val="20"/>
                <w:szCs w:val="20"/>
              </w:rPr>
            </w:pPr>
            <w:r w:rsidRPr="00D62EFF">
              <w:rPr>
                <w:rFonts w:eastAsia="Times New Roman" w:cstheme="minorHAnsi"/>
                <w:sz w:val="20"/>
                <w:szCs w:val="20"/>
              </w:rPr>
              <w:t>Non-corporate Commonwealth entity</w:t>
            </w:r>
          </w:p>
          <w:p w14:paraId="3EC65B1B" w14:textId="77777777" w:rsidR="00A44470" w:rsidRPr="00D62EFF" w:rsidRDefault="00A44470" w:rsidP="001D4FB6">
            <w:pPr>
              <w:pStyle w:val="ListParagraph"/>
              <w:tabs>
                <w:tab w:val="left" w:pos="720"/>
              </w:tabs>
              <w:ind w:left="360"/>
              <w:rPr>
                <w:rFonts w:eastAsia="Times New Roman" w:cstheme="minorHAnsi"/>
                <w:sz w:val="20"/>
                <w:szCs w:val="20"/>
              </w:rPr>
            </w:pPr>
          </w:p>
        </w:tc>
        <w:tc>
          <w:tcPr>
            <w:tcW w:w="898" w:type="pct"/>
            <w:tcBorders>
              <w:top w:val="single" w:sz="4" w:space="0" w:color="auto"/>
              <w:left w:val="single" w:sz="4" w:space="0" w:color="auto"/>
              <w:bottom w:val="single" w:sz="4" w:space="0" w:color="auto"/>
              <w:right w:val="single" w:sz="4" w:space="0" w:color="auto"/>
            </w:tcBorders>
          </w:tcPr>
          <w:p w14:paraId="5AA1F086" w14:textId="77777777" w:rsidR="00A44470" w:rsidRPr="00D62EFF" w:rsidRDefault="00A44470" w:rsidP="00A44470">
            <w:pPr>
              <w:pStyle w:val="ListParagraph"/>
              <w:numPr>
                <w:ilvl w:val="0"/>
                <w:numId w:val="66"/>
              </w:numPr>
              <w:tabs>
                <w:tab w:val="left" w:pos="720"/>
              </w:tabs>
              <w:rPr>
                <w:rFonts w:eastAsia="Times New Roman" w:cstheme="minorHAnsi"/>
                <w:sz w:val="20"/>
                <w:szCs w:val="20"/>
              </w:rPr>
            </w:pPr>
            <w:r w:rsidRPr="00D62EFF">
              <w:rPr>
                <w:rFonts w:eastAsia="Times New Roman" w:cstheme="minorHAnsi"/>
                <w:sz w:val="20"/>
                <w:szCs w:val="20"/>
              </w:rPr>
              <w:t>Independent statutory authority</w:t>
            </w:r>
          </w:p>
          <w:p w14:paraId="11953D18" w14:textId="77777777" w:rsidR="00A44470" w:rsidRPr="00B00F73" w:rsidRDefault="00A44470" w:rsidP="00A44470">
            <w:pPr>
              <w:pStyle w:val="ListParagraph"/>
              <w:numPr>
                <w:ilvl w:val="0"/>
                <w:numId w:val="66"/>
              </w:numPr>
              <w:tabs>
                <w:tab w:val="left" w:pos="720"/>
              </w:tabs>
              <w:rPr>
                <w:rFonts w:eastAsia="Times New Roman" w:cstheme="minorHAnsi"/>
                <w:sz w:val="20"/>
                <w:szCs w:val="20"/>
              </w:rPr>
            </w:pPr>
            <w:r w:rsidRPr="00B00F73">
              <w:rPr>
                <w:rFonts w:eastAsia="Times New Roman" w:cstheme="minorHAnsi"/>
                <w:sz w:val="20"/>
                <w:szCs w:val="20"/>
              </w:rPr>
              <w:t>Corporate Commonwealth entity</w:t>
            </w:r>
          </w:p>
        </w:tc>
      </w:tr>
      <w:tr w:rsidR="00A44470" w:rsidRPr="00B00F73" w14:paraId="59DE6B95" w14:textId="77777777" w:rsidTr="00A44470">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E577B0" w14:textId="77777777" w:rsidR="00A44470" w:rsidRPr="00B00F73" w:rsidRDefault="00A44470" w:rsidP="001D4FB6">
            <w:pPr>
              <w:tabs>
                <w:tab w:val="left" w:pos="720"/>
              </w:tabs>
              <w:contextualSpacing/>
              <w:rPr>
                <w:rFonts w:eastAsia="Times New Roman" w:cstheme="minorHAnsi"/>
                <w:b/>
                <w:bCs/>
                <w:sz w:val="20"/>
                <w:szCs w:val="20"/>
              </w:rPr>
            </w:pPr>
            <w:r w:rsidRPr="00B00F73">
              <w:rPr>
                <w:rFonts w:eastAsia="Times New Roman" w:cstheme="minorHAnsi"/>
                <w:b/>
                <w:bCs/>
                <w:sz w:val="20"/>
                <w:szCs w:val="20"/>
              </w:rPr>
              <w:t>Accountability authority</w:t>
            </w:r>
          </w:p>
        </w:tc>
        <w:tc>
          <w:tcPr>
            <w:tcW w:w="899" w:type="pct"/>
            <w:tcBorders>
              <w:top w:val="single" w:sz="4" w:space="0" w:color="auto"/>
              <w:left w:val="single" w:sz="4" w:space="0" w:color="auto"/>
              <w:bottom w:val="single" w:sz="4" w:space="0" w:color="auto"/>
              <w:right w:val="single" w:sz="4" w:space="0" w:color="auto"/>
            </w:tcBorders>
          </w:tcPr>
          <w:p w14:paraId="532D8EED" w14:textId="77777777" w:rsidR="00A44470" w:rsidRPr="003A7390" w:rsidRDefault="00A44470" w:rsidP="00A44470">
            <w:pPr>
              <w:pStyle w:val="ListParagraph"/>
              <w:numPr>
                <w:ilvl w:val="0"/>
                <w:numId w:val="66"/>
              </w:numPr>
              <w:rPr>
                <w:rFonts w:eastAsia="Times New Roman" w:cstheme="minorHAnsi"/>
                <w:sz w:val="20"/>
                <w:szCs w:val="20"/>
              </w:rPr>
            </w:pPr>
            <w:r w:rsidRPr="003A7390">
              <w:rPr>
                <w:rFonts w:eastAsia="Times New Roman" w:cstheme="minorHAnsi"/>
                <w:sz w:val="20"/>
                <w:szCs w:val="20"/>
              </w:rPr>
              <w:t>The Commissioner</w:t>
            </w:r>
          </w:p>
        </w:tc>
        <w:tc>
          <w:tcPr>
            <w:tcW w:w="899" w:type="pct"/>
            <w:tcBorders>
              <w:top w:val="single" w:sz="4" w:space="0" w:color="auto"/>
              <w:left w:val="single" w:sz="4" w:space="0" w:color="auto"/>
              <w:bottom w:val="single" w:sz="4" w:space="0" w:color="auto"/>
              <w:right w:val="single" w:sz="4" w:space="0" w:color="auto"/>
            </w:tcBorders>
          </w:tcPr>
          <w:p w14:paraId="15D0FAD5" w14:textId="77777777" w:rsidR="00A44470" w:rsidRPr="003A7390" w:rsidRDefault="00A44470" w:rsidP="00A44470">
            <w:pPr>
              <w:pStyle w:val="ListParagraph"/>
              <w:numPr>
                <w:ilvl w:val="0"/>
                <w:numId w:val="66"/>
              </w:numPr>
              <w:tabs>
                <w:tab w:val="left" w:pos="720"/>
              </w:tabs>
              <w:rPr>
                <w:rFonts w:eastAsia="Times New Roman" w:cstheme="minorHAnsi"/>
                <w:sz w:val="20"/>
                <w:szCs w:val="20"/>
              </w:rPr>
            </w:pPr>
            <w:r w:rsidRPr="003A7390">
              <w:rPr>
                <w:rFonts w:eastAsia="Times New Roman" w:cstheme="minorHAnsi"/>
                <w:sz w:val="20"/>
                <w:szCs w:val="20"/>
              </w:rPr>
              <w:t xml:space="preserve">The Commissioner </w:t>
            </w:r>
          </w:p>
        </w:tc>
        <w:tc>
          <w:tcPr>
            <w:tcW w:w="899" w:type="pct"/>
            <w:tcBorders>
              <w:top w:val="single" w:sz="4" w:space="0" w:color="auto"/>
              <w:left w:val="single" w:sz="4" w:space="0" w:color="auto"/>
              <w:bottom w:val="single" w:sz="4" w:space="0" w:color="auto"/>
              <w:right w:val="single" w:sz="4" w:space="0" w:color="auto"/>
            </w:tcBorders>
          </w:tcPr>
          <w:p w14:paraId="0D3383F7" w14:textId="77777777" w:rsidR="00A44470" w:rsidRPr="003A7390" w:rsidRDefault="00A44470" w:rsidP="00A44470">
            <w:pPr>
              <w:pStyle w:val="ListParagraph"/>
              <w:numPr>
                <w:ilvl w:val="0"/>
                <w:numId w:val="66"/>
              </w:numPr>
              <w:rPr>
                <w:sz w:val="24"/>
                <w:szCs w:val="24"/>
              </w:rPr>
            </w:pPr>
            <w:r w:rsidRPr="003A7390">
              <w:rPr>
                <w:rFonts w:ascii="Calibri" w:eastAsia="Calibri" w:hAnsi="Calibri" w:cs="Calibri"/>
                <w:sz w:val="20"/>
                <w:szCs w:val="20"/>
              </w:rPr>
              <w:t>National VET Regulator, also known as the Chief Executive Officer</w:t>
            </w: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0C5A5241" w14:textId="77777777" w:rsidR="00A44470" w:rsidRPr="003A7390" w:rsidRDefault="00A44470" w:rsidP="00A44470">
            <w:pPr>
              <w:pStyle w:val="ListParagraph"/>
              <w:numPr>
                <w:ilvl w:val="0"/>
                <w:numId w:val="66"/>
              </w:numPr>
              <w:rPr>
                <w:rFonts w:eastAsia="Times New Roman" w:cstheme="minorHAnsi"/>
                <w:sz w:val="20"/>
                <w:szCs w:val="20"/>
              </w:rPr>
            </w:pPr>
            <w:r w:rsidRPr="003A7390">
              <w:rPr>
                <w:rFonts w:eastAsia="Times New Roman" w:cstheme="minorHAnsi"/>
                <w:sz w:val="20"/>
                <w:szCs w:val="20"/>
              </w:rPr>
              <w:t xml:space="preserve">Executive Board </w:t>
            </w:r>
          </w:p>
        </w:tc>
        <w:tc>
          <w:tcPr>
            <w:tcW w:w="898" w:type="pct"/>
            <w:tcBorders>
              <w:top w:val="single" w:sz="4" w:space="0" w:color="auto"/>
              <w:left w:val="single" w:sz="4" w:space="0" w:color="auto"/>
              <w:bottom w:val="single" w:sz="4" w:space="0" w:color="auto"/>
              <w:right w:val="single" w:sz="4" w:space="0" w:color="auto"/>
            </w:tcBorders>
          </w:tcPr>
          <w:p w14:paraId="001251F2" w14:textId="77777777" w:rsidR="00A44470" w:rsidRPr="003A7390" w:rsidRDefault="00A44470" w:rsidP="00A44470">
            <w:pPr>
              <w:pStyle w:val="ListParagraph"/>
              <w:numPr>
                <w:ilvl w:val="0"/>
                <w:numId w:val="66"/>
              </w:numPr>
              <w:rPr>
                <w:rFonts w:eastAsia="Times New Roman" w:cstheme="minorHAnsi"/>
                <w:sz w:val="20"/>
                <w:szCs w:val="20"/>
              </w:rPr>
            </w:pPr>
            <w:r w:rsidRPr="003A7390">
              <w:rPr>
                <w:rFonts w:eastAsia="Times New Roman" w:cstheme="minorHAnsi"/>
                <w:sz w:val="20"/>
                <w:szCs w:val="20"/>
              </w:rPr>
              <w:t xml:space="preserve">Commission Board </w:t>
            </w:r>
          </w:p>
        </w:tc>
      </w:tr>
      <w:tr w:rsidR="00A44470" w:rsidRPr="00B00F73" w14:paraId="4B864524" w14:textId="77777777" w:rsidTr="00A44470">
        <w:trPr>
          <w:trHeight w:val="1203"/>
        </w:trPr>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D21596" w14:textId="77777777" w:rsidR="00A44470" w:rsidRPr="00B00F73" w:rsidRDefault="00A44470" w:rsidP="001D4FB6">
            <w:pPr>
              <w:tabs>
                <w:tab w:val="left" w:pos="720"/>
              </w:tabs>
              <w:contextualSpacing/>
              <w:rPr>
                <w:rFonts w:eastAsia="Times New Roman" w:cstheme="minorHAnsi"/>
                <w:b/>
                <w:bCs/>
                <w:sz w:val="20"/>
                <w:szCs w:val="20"/>
              </w:rPr>
            </w:pPr>
            <w:r w:rsidRPr="00B00F73">
              <w:rPr>
                <w:rFonts w:eastAsia="Times New Roman" w:cstheme="minorHAnsi"/>
                <w:b/>
                <w:bCs/>
                <w:sz w:val="20"/>
                <w:szCs w:val="20"/>
              </w:rPr>
              <w:lastRenderedPageBreak/>
              <w:t>Enabling legislation and other key govt related details</w:t>
            </w:r>
          </w:p>
        </w:tc>
        <w:tc>
          <w:tcPr>
            <w:tcW w:w="899" w:type="pct"/>
            <w:tcBorders>
              <w:top w:val="single" w:sz="4" w:space="0" w:color="auto"/>
              <w:left w:val="single" w:sz="4" w:space="0" w:color="auto"/>
              <w:bottom w:val="single" w:sz="4" w:space="0" w:color="auto"/>
              <w:right w:val="single" w:sz="4" w:space="0" w:color="auto"/>
            </w:tcBorders>
          </w:tcPr>
          <w:p w14:paraId="4A92F688"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cstheme="minorHAnsi"/>
                <w:sz w:val="20"/>
                <w:szCs w:val="20"/>
              </w:rPr>
              <w:t>Aged Care Quality and Safety Commission Act 2018</w:t>
            </w:r>
          </w:p>
          <w:p w14:paraId="03088D7C"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cstheme="minorHAnsi"/>
                <w:sz w:val="20"/>
                <w:szCs w:val="20"/>
              </w:rPr>
              <w:t xml:space="preserve">Statutory Agency under the Public Service Act 1999 </w:t>
            </w:r>
          </w:p>
          <w:p w14:paraId="7A288BDC"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cstheme="minorHAnsi"/>
                <w:sz w:val="20"/>
                <w:szCs w:val="20"/>
              </w:rPr>
              <w:t xml:space="preserve">Listed entity under enabling legislation </w:t>
            </w:r>
          </w:p>
        </w:tc>
        <w:tc>
          <w:tcPr>
            <w:tcW w:w="899" w:type="pct"/>
            <w:tcBorders>
              <w:top w:val="single" w:sz="4" w:space="0" w:color="auto"/>
              <w:left w:val="single" w:sz="4" w:space="0" w:color="auto"/>
              <w:bottom w:val="single" w:sz="4" w:space="0" w:color="auto"/>
              <w:right w:val="single" w:sz="4" w:space="0" w:color="auto"/>
            </w:tcBorders>
          </w:tcPr>
          <w:p w14:paraId="008A7183" w14:textId="77777777" w:rsidR="00A44470" w:rsidRPr="00705254" w:rsidRDefault="00A44470" w:rsidP="00A44470">
            <w:pPr>
              <w:pStyle w:val="ListParagraph"/>
              <w:numPr>
                <w:ilvl w:val="0"/>
                <w:numId w:val="54"/>
              </w:numPr>
              <w:tabs>
                <w:tab w:val="left" w:pos="720"/>
              </w:tabs>
              <w:rPr>
                <w:rFonts w:eastAsia="Times New Roman" w:cstheme="minorHAnsi"/>
                <w:sz w:val="20"/>
                <w:szCs w:val="20"/>
              </w:rPr>
            </w:pPr>
            <w:r w:rsidRPr="00705254">
              <w:rPr>
                <w:rFonts w:eastAsia="Times New Roman"/>
                <w:sz w:val="20"/>
                <w:szCs w:val="20"/>
              </w:rPr>
              <w:t xml:space="preserve">National Disability Insurance Scheme Act 2013 </w:t>
            </w:r>
          </w:p>
          <w:p w14:paraId="5A315913" w14:textId="77777777" w:rsidR="00A44470" w:rsidRPr="00705254" w:rsidRDefault="00A44470" w:rsidP="00A44470">
            <w:pPr>
              <w:pStyle w:val="ListParagraph"/>
              <w:numPr>
                <w:ilvl w:val="0"/>
                <w:numId w:val="54"/>
              </w:numPr>
              <w:tabs>
                <w:tab w:val="left" w:pos="720"/>
              </w:tabs>
              <w:rPr>
                <w:rFonts w:eastAsia="Times New Roman" w:cstheme="minorHAnsi"/>
                <w:sz w:val="20"/>
                <w:szCs w:val="20"/>
              </w:rPr>
            </w:pPr>
            <w:r w:rsidRPr="00705254">
              <w:rPr>
                <w:rFonts w:eastAsia="Times New Roman"/>
                <w:sz w:val="20"/>
                <w:szCs w:val="20"/>
              </w:rPr>
              <w:t>Statutory Agency under the Public Service Act 1999</w:t>
            </w:r>
          </w:p>
          <w:p w14:paraId="3233075E" w14:textId="77777777" w:rsidR="00A44470" w:rsidRPr="00705254" w:rsidRDefault="00A44470" w:rsidP="00A44470">
            <w:pPr>
              <w:pStyle w:val="ListParagraph"/>
              <w:numPr>
                <w:ilvl w:val="0"/>
                <w:numId w:val="54"/>
              </w:numPr>
              <w:tabs>
                <w:tab w:val="left" w:pos="720"/>
              </w:tabs>
              <w:rPr>
                <w:rFonts w:eastAsia="Times New Roman" w:cstheme="minorHAnsi"/>
                <w:sz w:val="20"/>
                <w:szCs w:val="20"/>
              </w:rPr>
            </w:pPr>
            <w:r w:rsidRPr="00705254">
              <w:rPr>
                <w:rFonts w:eastAsia="Times New Roman"/>
                <w:sz w:val="20"/>
                <w:szCs w:val="20"/>
              </w:rPr>
              <w:t>Listed entity under enabling legislation</w:t>
            </w:r>
          </w:p>
        </w:tc>
        <w:tc>
          <w:tcPr>
            <w:tcW w:w="899" w:type="pct"/>
            <w:tcBorders>
              <w:top w:val="single" w:sz="4" w:space="0" w:color="auto"/>
              <w:left w:val="single" w:sz="4" w:space="0" w:color="auto"/>
              <w:bottom w:val="single" w:sz="4" w:space="0" w:color="auto"/>
              <w:right w:val="single" w:sz="4" w:space="0" w:color="auto"/>
            </w:tcBorders>
          </w:tcPr>
          <w:p w14:paraId="6AAE81CE" w14:textId="77777777" w:rsidR="00A44470" w:rsidRPr="00705254" w:rsidRDefault="00A44470" w:rsidP="00A44470">
            <w:pPr>
              <w:numPr>
                <w:ilvl w:val="0"/>
                <w:numId w:val="52"/>
              </w:numPr>
              <w:contextualSpacing/>
              <w:rPr>
                <w:sz w:val="20"/>
                <w:szCs w:val="20"/>
              </w:rPr>
            </w:pPr>
            <w:r w:rsidRPr="00705254">
              <w:rPr>
                <w:sz w:val="20"/>
                <w:szCs w:val="20"/>
              </w:rPr>
              <w:t xml:space="preserve">National Vocational Education and Training Regulator Act 2011 </w:t>
            </w:r>
          </w:p>
          <w:p w14:paraId="43B6A1D0" w14:textId="77777777" w:rsidR="00A44470" w:rsidRPr="00705254" w:rsidRDefault="00A44470" w:rsidP="00A44470">
            <w:pPr>
              <w:numPr>
                <w:ilvl w:val="0"/>
                <w:numId w:val="52"/>
              </w:numPr>
              <w:contextualSpacing/>
              <w:rPr>
                <w:sz w:val="20"/>
                <w:szCs w:val="20"/>
              </w:rPr>
            </w:pPr>
            <w:r w:rsidRPr="00705254">
              <w:rPr>
                <w:sz w:val="20"/>
                <w:szCs w:val="20"/>
              </w:rPr>
              <w:t xml:space="preserve">Statutory Agency under the Public Service Act 1999 </w:t>
            </w:r>
          </w:p>
          <w:p w14:paraId="506A8A91" w14:textId="77777777" w:rsidR="00A44470" w:rsidRPr="00705254" w:rsidRDefault="00A44470" w:rsidP="00A44470">
            <w:pPr>
              <w:numPr>
                <w:ilvl w:val="0"/>
                <w:numId w:val="52"/>
              </w:numPr>
              <w:contextualSpacing/>
              <w:rPr>
                <w:sz w:val="20"/>
                <w:szCs w:val="20"/>
              </w:rPr>
            </w:pPr>
            <w:r w:rsidRPr="00705254">
              <w:rPr>
                <w:rFonts w:ascii="Calibri" w:eastAsia="Calibri" w:hAnsi="Calibri" w:cs="Calibri"/>
                <w:sz w:val="20"/>
                <w:szCs w:val="20"/>
              </w:rPr>
              <w:t>Listed entity under enabling legislation</w:t>
            </w: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2252CCFF"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sz w:val="20"/>
                <w:szCs w:val="20"/>
              </w:rPr>
              <w:t xml:space="preserve">Australian Prudential Regulation Authority Act 1998. APRA can engage staff under this Act - it does not engage staff under the Public Service Act 1999. </w:t>
            </w:r>
          </w:p>
          <w:p w14:paraId="5D8F10D3"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sz w:val="20"/>
                <w:szCs w:val="20"/>
              </w:rPr>
              <w:t xml:space="preserve">Body corporate status but is prescribed as a non-corporate Commonwealth entity </w:t>
            </w:r>
          </w:p>
          <w:p w14:paraId="548565B6"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sz w:val="20"/>
                <w:szCs w:val="20"/>
              </w:rPr>
              <w:t>Listed entity under enabling legislation</w:t>
            </w:r>
          </w:p>
        </w:tc>
        <w:tc>
          <w:tcPr>
            <w:tcW w:w="898" w:type="pct"/>
            <w:tcBorders>
              <w:top w:val="single" w:sz="4" w:space="0" w:color="auto"/>
              <w:left w:val="single" w:sz="4" w:space="0" w:color="auto"/>
              <w:bottom w:val="single" w:sz="4" w:space="0" w:color="auto"/>
              <w:right w:val="single" w:sz="4" w:space="0" w:color="auto"/>
            </w:tcBorders>
          </w:tcPr>
          <w:p w14:paraId="1C9BE903"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sz w:val="20"/>
                <w:szCs w:val="20"/>
              </w:rPr>
              <w:t xml:space="preserve">National Health Reform Act 2011 </w:t>
            </w:r>
          </w:p>
          <w:p w14:paraId="2446CF2A" w14:textId="77777777" w:rsidR="00A44470" w:rsidRPr="00705254" w:rsidRDefault="00A44470" w:rsidP="00A44470">
            <w:pPr>
              <w:numPr>
                <w:ilvl w:val="0"/>
                <w:numId w:val="54"/>
              </w:numPr>
              <w:contextualSpacing/>
              <w:rPr>
                <w:rFonts w:eastAsia="Times New Roman" w:cstheme="minorHAnsi"/>
                <w:sz w:val="20"/>
                <w:szCs w:val="20"/>
              </w:rPr>
            </w:pPr>
            <w:r w:rsidRPr="00705254">
              <w:rPr>
                <w:rFonts w:eastAsia="Times New Roman"/>
                <w:sz w:val="20"/>
                <w:szCs w:val="20"/>
              </w:rPr>
              <w:t>Statutory Agency under the Public Service Act 1999</w:t>
            </w:r>
          </w:p>
        </w:tc>
      </w:tr>
      <w:tr w:rsidR="00A44470" w:rsidRPr="00B00F73" w14:paraId="00A31F0A" w14:textId="77777777" w:rsidTr="00A44470">
        <w:trPr>
          <w:trHeight w:val="4332"/>
        </w:trPr>
        <w:tc>
          <w:tcPr>
            <w:tcW w:w="507"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174978" w14:textId="77777777" w:rsidR="00A44470" w:rsidRPr="00545FBE" w:rsidRDefault="00A44470" w:rsidP="001D4FB6">
            <w:pPr>
              <w:tabs>
                <w:tab w:val="left" w:pos="720"/>
              </w:tabs>
              <w:contextualSpacing/>
              <w:rPr>
                <w:rFonts w:eastAsia="Times New Roman" w:cstheme="minorHAnsi"/>
                <w:b/>
                <w:bCs/>
                <w:sz w:val="20"/>
                <w:szCs w:val="20"/>
              </w:rPr>
            </w:pPr>
            <w:r w:rsidRPr="00545FBE">
              <w:rPr>
                <w:rFonts w:eastAsia="Times New Roman" w:cstheme="minorHAnsi"/>
                <w:b/>
                <w:bCs/>
                <w:sz w:val="20"/>
                <w:szCs w:val="20"/>
              </w:rPr>
              <w:t xml:space="preserve">Enablers for better practice </w:t>
            </w:r>
          </w:p>
          <w:p w14:paraId="0D6A872B" w14:textId="77777777" w:rsidR="00A44470" w:rsidRPr="00545FBE" w:rsidRDefault="00A44470" w:rsidP="001D4FB6">
            <w:pPr>
              <w:tabs>
                <w:tab w:val="left" w:pos="720"/>
              </w:tabs>
              <w:contextualSpacing/>
              <w:rPr>
                <w:rFonts w:eastAsia="Times New Roman" w:cstheme="minorHAnsi"/>
                <w:b/>
                <w:bCs/>
                <w:sz w:val="20"/>
                <w:szCs w:val="20"/>
              </w:rPr>
            </w:pPr>
          </w:p>
          <w:p w14:paraId="4AD038CA" w14:textId="77777777" w:rsidR="00A44470" w:rsidRPr="00B00F73" w:rsidRDefault="00A44470" w:rsidP="001D4FB6">
            <w:pPr>
              <w:rPr>
                <w:rFonts w:eastAsia="Times New Roman" w:cstheme="minorHAnsi"/>
                <w:b/>
                <w:bCs/>
                <w:sz w:val="20"/>
                <w:szCs w:val="20"/>
              </w:rPr>
            </w:pPr>
          </w:p>
        </w:tc>
        <w:tc>
          <w:tcPr>
            <w:tcW w:w="899" w:type="pct"/>
            <w:tcBorders>
              <w:top w:val="single" w:sz="4" w:space="0" w:color="auto"/>
              <w:left w:val="single" w:sz="4" w:space="0" w:color="auto"/>
              <w:bottom w:val="single" w:sz="4" w:space="0" w:color="auto"/>
              <w:right w:val="single" w:sz="4" w:space="0" w:color="auto"/>
            </w:tcBorders>
          </w:tcPr>
          <w:p w14:paraId="311F71C1" w14:textId="77777777" w:rsidR="00A44470" w:rsidRPr="00F01D2C" w:rsidRDefault="00A44470" w:rsidP="00A44470">
            <w:pPr>
              <w:numPr>
                <w:ilvl w:val="0"/>
                <w:numId w:val="54"/>
              </w:numPr>
              <w:contextualSpacing/>
              <w:rPr>
                <w:rFonts w:eastAsia="Times New Roman" w:cstheme="minorHAnsi"/>
                <w:sz w:val="20"/>
                <w:szCs w:val="20"/>
              </w:rPr>
            </w:pPr>
            <w:r w:rsidRPr="00F01D2C">
              <w:rPr>
                <w:rFonts w:eastAsia="Times New Roman" w:cstheme="minorHAnsi"/>
                <w:sz w:val="20"/>
                <w:szCs w:val="20"/>
              </w:rPr>
              <w:t xml:space="preserve">Grosvenor identified regulatory focus is shifting away from enforcement to changing the </w:t>
            </w:r>
            <w:proofErr w:type="spellStart"/>
            <w:r w:rsidRPr="00F01D2C">
              <w:rPr>
                <w:rFonts w:eastAsia="Times New Roman" w:cstheme="minorHAnsi"/>
                <w:sz w:val="20"/>
                <w:szCs w:val="20"/>
              </w:rPr>
              <w:t>behaviours</w:t>
            </w:r>
            <w:proofErr w:type="spellEnd"/>
            <w:r w:rsidRPr="00F01D2C">
              <w:rPr>
                <w:rFonts w:eastAsia="Times New Roman" w:cstheme="minorHAnsi"/>
                <w:sz w:val="20"/>
                <w:szCs w:val="20"/>
              </w:rPr>
              <w:t xml:space="preserve"> of regulated entities.</w:t>
            </w:r>
          </w:p>
          <w:p w14:paraId="1E5BC0D2" w14:textId="77777777" w:rsidR="00A44470" w:rsidRDefault="00A44470" w:rsidP="00A44470">
            <w:pPr>
              <w:numPr>
                <w:ilvl w:val="0"/>
                <w:numId w:val="54"/>
              </w:numPr>
              <w:spacing w:line="254" w:lineRule="auto"/>
              <w:contextualSpacing/>
              <w:rPr>
                <w:rFonts w:eastAsia="Times New Roman" w:cstheme="minorHAnsi"/>
                <w:sz w:val="20"/>
                <w:szCs w:val="20"/>
              </w:rPr>
            </w:pPr>
            <w:r w:rsidRPr="00D71704">
              <w:rPr>
                <w:rFonts w:eastAsia="Times New Roman" w:cstheme="minorHAnsi"/>
                <w:sz w:val="20"/>
                <w:szCs w:val="20"/>
              </w:rPr>
              <w:t>Grosvenor developed a capability architecture comprised of 37 capabilities categorized into 4 groups – Strategic, Regulatory, Enterprise Wide and Engagement.</w:t>
            </w:r>
          </w:p>
          <w:p w14:paraId="41010B9C" w14:textId="77777777" w:rsidR="00A44470" w:rsidRPr="00D71704" w:rsidRDefault="00A44470" w:rsidP="00A44470">
            <w:pPr>
              <w:numPr>
                <w:ilvl w:val="0"/>
                <w:numId w:val="54"/>
              </w:numPr>
              <w:spacing w:line="254" w:lineRule="auto"/>
              <w:contextualSpacing/>
              <w:rPr>
                <w:rFonts w:eastAsia="Times New Roman" w:cstheme="minorHAnsi"/>
                <w:sz w:val="20"/>
                <w:szCs w:val="20"/>
              </w:rPr>
            </w:pPr>
            <w:r w:rsidRPr="00D71704">
              <w:rPr>
                <w:rFonts w:eastAsia="Times New Roman" w:cstheme="minorHAnsi"/>
                <w:sz w:val="20"/>
                <w:szCs w:val="20"/>
              </w:rPr>
              <w:t xml:space="preserve">Grosvenor identified uplift was required in all 37 identified </w:t>
            </w:r>
            <w:r w:rsidRPr="00D71704">
              <w:rPr>
                <w:rFonts w:eastAsia="Times New Roman" w:cstheme="minorHAnsi"/>
                <w:sz w:val="20"/>
                <w:szCs w:val="20"/>
              </w:rPr>
              <w:lastRenderedPageBreak/>
              <w:t>capabilities. Gaps across capabilities varied, with the greatest gaps apparent in the Strategic and Enterprise-wide domains.</w:t>
            </w:r>
          </w:p>
          <w:p w14:paraId="602738E9" w14:textId="77777777" w:rsidR="00A44470" w:rsidRPr="00B00F73" w:rsidRDefault="00A44470" w:rsidP="001D4FB6">
            <w:pPr>
              <w:ind w:left="360"/>
              <w:contextualSpacing/>
              <w:rPr>
                <w:rFonts w:eastAsia="Times New Roman" w:cstheme="minorHAnsi"/>
                <w:sz w:val="20"/>
                <w:szCs w:val="20"/>
              </w:rPr>
            </w:pPr>
          </w:p>
        </w:tc>
        <w:tc>
          <w:tcPr>
            <w:tcW w:w="899" w:type="pct"/>
            <w:tcBorders>
              <w:top w:val="single" w:sz="4" w:space="0" w:color="auto"/>
              <w:left w:val="single" w:sz="4" w:space="0" w:color="auto"/>
              <w:bottom w:val="single" w:sz="4" w:space="0" w:color="auto"/>
              <w:right w:val="single" w:sz="4" w:space="0" w:color="auto"/>
            </w:tcBorders>
          </w:tcPr>
          <w:p w14:paraId="5BBF294C" w14:textId="77777777" w:rsidR="00A44470" w:rsidRDefault="00A44470" w:rsidP="001D4FB6">
            <w:pPr>
              <w:tabs>
                <w:tab w:val="left" w:pos="720"/>
              </w:tabs>
              <w:rPr>
                <w:rFonts w:eastAsia="Times New Roman"/>
                <w:sz w:val="20"/>
                <w:szCs w:val="20"/>
              </w:rPr>
            </w:pPr>
            <w:r w:rsidRPr="00E616E0">
              <w:rPr>
                <w:rFonts w:eastAsia="Times New Roman"/>
                <w:sz w:val="20"/>
                <w:szCs w:val="20"/>
              </w:rPr>
              <w:lastRenderedPageBreak/>
              <w:t>The NDIS Quality and Safeguards Commission</w:t>
            </w:r>
            <w:r>
              <w:rPr>
                <w:rFonts w:eastAsia="Times New Roman"/>
                <w:sz w:val="20"/>
                <w:szCs w:val="20"/>
              </w:rPr>
              <w:t>’s</w:t>
            </w:r>
            <w:r w:rsidRPr="00E616E0">
              <w:rPr>
                <w:rFonts w:eastAsia="Times New Roman"/>
                <w:sz w:val="20"/>
                <w:szCs w:val="20"/>
              </w:rPr>
              <w:t xml:space="preserve"> </w:t>
            </w:r>
            <w:r>
              <w:rPr>
                <w:rFonts w:eastAsia="Times New Roman"/>
                <w:sz w:val="20"/>
                <w:szCs w:val="20"/>
              </w:rPr>
              <w:t>regulatory approach is built on five principles:</w:t>
            </w:r>
          </w:p>
          <w:p w14:paraId="4FA01C9A" w14:textId="77777777" w:rsidR="00A44470" w:rsidRPr="00E616E0" w:rsidRDefault="00A44470" w:rsidP="00A44470">
            <w:pPr>
              <w:pStyle w:val="ListParagraph"/>
              <w:numPr>
                <w:ilvl w:val="0"/>
                <w:numId w:val="116"/>
              </w:numPr>
              <w:tabs>
                <w:tab w:val="left" w:pos="720"/>
              </w:tabs>
              <w:rPr>
                <w:rFonts w:eastAsia="Times New Roman"/>
                <w:sz w:val="20"/>
                <w:szCs w:val="20"/>
              </w:rPr>
            </w:pPr>
            <w:r w:rsidRPr="00E616E0">
              <w:rPr>
                <w:rFonts w:eastAsia="Times New Roman"/>
                <w:sz w:val="20"/>
                <w:szCs w:val="20"/>
              </w:rPr>
              <w:t>Leading the way - communicating</w:t>
            </w:r>
            <w:r>
              <w:rPr>
                <w:rFonts w:eastAsia="Times New Roman"/>
                <w:sz w:val="20"/>
                <w:szCs w:val="20"/>
              </w:rPr>
              <w:t xml:space="preserve">, anticipating, and proactively </w:t>
            </w:r>
            <w:r w:rsidRPr="00E616E0">
              <w:rPr>
                <w:rFonts w:eastAsia="Times New Roman"/>
                <w:sz w:val="20"/>
                <w:szCs w:val="20"/>
              </w:rPr>
              <w:t>responding to support people with a disability</w:t>
            </w:r>
            <w:r>
              <w:rPr>
                <w:rFonts w:eastAsia="Times New Roman"/>
                <w:sz w:val="20"/>
                <w:szCs w:val="20"/>
              </w:rPr>
              <w:t>.</w:t>
            </w:r>
          </w:p>
          <w:p w14:paraId="4C763189" w14:textId="77777777" w:rsidR="00A44470" w:rsidRPr="00E616E0" w:rsidRDefault="00A44470" w:rsidP="00A44470">
            <w:pPr>
              <w:pStyle w:val="ListParagraph"/>
              <w:numPr>
                <w:ilvl w:val="0"/>
                <w:numId w:val="116"/>
              </w:numPr>
              <w:tabs>
                <w:tab w:val="left" w:pos="720"/>
              </w:tabs>
              <w:rPr>
                <w:rFonts w:eastAsia="Times New Roman"/>
                <w:sz w:val="20"/>
                <w:szCs w:val="20"/>
              </w:rPr>
            </w:pPr>
            <w:r w:rsidRPr="00E616E0">
              <w:rPr>
                <w:rFonts w:eastAsia="Times New Roman"/>
                <w:sz w:val="20"/>
                <w:szCs w:val="20"/>
              </w:rPr>
              <w:t>Building trust</w:t>
            </w:r>
            <w:r>
              <w:rPr>
                <w:rFonts w:eastAsia="Times New Roman"/>
                <w:sz w:val="20"/>
                <w:szCs w:val="20"/>
              </w:rPr>
              <w:t xml:space="preserve"> - sharing information in a transparent, confident, and effective way to protect and safeguard people with a disability. </w:t>
            </w:r>
          </w:p>
          <w:p w14:paraId="6D573CB1" w14:textId="77777777" w:rsidR="00A44470" w:rsidRDefault="00A44470" w:rsidP="00A44470">
            <w:pPr>
              <w:pStyle w:val="ListParagraph"/>
              <w:numPr>
                <w:ilvl w:val="0"/>
                <w:numId w:val="116"/>
              </w:numPr>
              <w:tabs>
                <w:tab w:val="left" w:pos="720"/>
              </w:tabs>
              <w:rPr>
                <w:rFonts w:eastAsia="Times New Roman"/>
                <w:sz w:val="20"/>
                <w:szCs w:val="20"/>
              </w:rPr>
            </w:pPr>
            <w:r w:rsidRPr="00E616E0">
              <w:rPr>
                <w:rFonts w:eastAsia="Times New Roman"/>
                <w:sz w:val="20"/>
                <w:szCs w:val="20"/>
              </w:rPr>
              <w:t xml:space="preserve">Keep learning </w:t>
            </w:r>
            <w:r>
              <w:rPr>
                <w:rFonts w:eastAsia="Times New Roman"/>
                <w:sz w:val="20"/>
                <w:szCs w:val="20"/>
              </w:rPr>
              <w:t xml:space="preserve">– continuously investing in our development </w:t>
            </w:r>
            <w:r>
              <w:rPr>
                <w:rFonts w:eastAsia="Times New Roman"/>
                <w:sz w:val="20"/>
                <w:szCs w:val="20"/>
              </w:rPr>
              <w:lastRenderedPageBreak/>
              <w:t>and focused on building knowledge and learning new skills to hep use evolve and improve.</w:t>
            </w:r>
          </w:p>
          <w:p w14:paraId="46C05008" w14:textId="77777777" w:rsidR="00A44470" w:rsidRDefault="00A44470" w:rsidP="00A44470">
            <w:pPr>
              <w:pStyle w:val="ListParagraph"/>
              <w:numPr>
                <w:ilvl w:val="0"/>
                <w:numId w:val="116"/>
              </w:numPr>
              <w:tabs>
                <w:tab w:val="left" w:pos="720"/>
              </w:tabs>
              <w:rPr>
                <w:rFonts w:eastAsia="Times New Roman"/>
                <w:sz w:val="20"/>
                <w:szCs w:val="20"/>
              </w:rPr>
            </w:pPr>
            <w:r>
              <w:rPr>
                <w:rFonts w:eastAsia="Times New Roman"/>
                <w:sz w:val="20"/>
                <w:szCs w:val="20"/>
              </w:rPr>
              <w:t xml:space="preserve">Bringing insight - using data, </w:t>
            </w:r>
            <w:proofErr w:type="gramStart"/>
            <w:r>
              <w:rPr>
                <w:rFonts w:eastAsia="Times New Roman"/>
                <w:sz w:val="20"/>
                <w:szCs w:val="20"/>
              </w:rPr>
              <w:t>technology</w:t>
            </w:r>
            <w:proofErr w:type="gramEnd"/>
            <w:r>
              <w:rPr>
                <w:rFonts w:eastAsia="Times New Roman"/>
                <w:sz w:val="20"/>
                <w:szCs w:val="20"/>
              </w:rPr>
              <w:t xml:space="preserve"> and collaboration to identify patterns, act early, understand what people with a disability need and influence the Scheme.</w:t>
            </w:r>
          </w:p>
          <w:p w14:paraId="5ACB14F4" w14:textId="77777777" w:rsidR="00A44470" w:rsidRPr="0046566D" w:rsidRDefault="00A44470" w:rsidP="00A44470">
            <w:pPr>
              <w:pStyle w:val="ListParagraph"/>
              <w:numPr>
                <w:ilvl w:val="0"/>
                <w:numId w:val="116"/>
              </w:numPr>
              <w:tabs>
                <w:tab w:val="left" w:pos="720"/>
              </w:tabs>
              <w:rPr>
                <w:rFonts w:eastAsia="Times New Roman"/>
                <w:sz w:val="20"/>
                <w:szCs w:val="20"/>
              </w:rPr>
            </w:pPr>
            <w:r w:rsidRPr="0046566D">
              <w:rPr>
                <w:rFonts w:eastAsia="Times New Roman"/>
                <w:sz w:val="20"/>
                <w:szCs w:val="20"/>
              </w:rPr>
              <w:t xml:space="preserve">Staying connected – working together as part of the NDIS to learn, influence and adapt for regulatory impact </w:t>
            </w:r>
          </w:p>
          <w:p w14:paraId="746D1D35" w14:textId="77777777" w:rsidR="00A44470" w:rsidRPr="00E616E0" w:rsidRDefault="00A44470" w:rsidP="001D4FB6">
            <w:pPr>
              <w:tabs>
                <w:tab w:val="left" w:pos="720"/>
              </w:tabs>
              <w:rPr>
                <w:rFonts w:eastAsia="Times New Roman"/>
                <w:sz w:val="20"/>
                <w:szCs w:val="20"/>
                <w:highlight w:val="yellow"/>
              </w:rPr>
            </w:pPr>
            <w:r w:rsidRPr="00E616E0">
              <w:rPr>
                <w:rFonts w:eastAsia="Times New Roman"/>
                <w:sz w:val="20"/>
                <w:szCs w:val="20"/>
              </w:rPr>
              <w:t xml:space="preserve"> </w:t>
            </w: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19066E3F" w14:textId="77777777" w:rsidR="00A44470" w:rsidRPr="00E85B0D" w:rsidRDefault="00A44470" w:rsidP="001D4FB6">
            <w:pPr>
              <w:rPr>
                <w:rFonts w:eastAsia="Times New Roman"/>
                <w:sz w:val="20"/>
                <w:szCs w:val="20"/>
              </w:rPr>
            </w:pPr>
            <w:r w:rsidRPr="00E85B0D">
              <w:rPr>
                <w:rFonts w:eastAsia="Times New Roman"/>
                <w:sz w:val="20"/>
                <w:szCs w:val="20"/>
              </w:rPr>
              <w:lastRenderedPageBreak/>
              <w:t>ASQA is committed to best practice regulation based on th</w:t>
            </w:r>
            <w:r>
              <w:rPr>
                <w:rFonts w:eastAsia="Times New Roman"/>
                <w:sz w:val="20"/>
                <w:szCs w:val="20"/>
              </w:rPr>
              <w:t>ree</w:t>
            </w:r>
            <w:r w:rsidRPr="00E85B0D">
              <w:rPr>
                <w:rFonts w:eastAsia="Times New Roman"/>
                <w:sz w:val="20"/>
                <w:szCs w:val="20"/>
              </w:rPr>
              <w:t xml:space="preserve"> principles:</w:t>
            </w:r>
          </w:p>
          <w:p w14:paraId="26C02142" w14:textId="77777777" w:rsidR="00A44470" w:rsidRPr="00E85B0D" w:rsidRDefault="00A44470" w:rsidP="00A44470">
            <w:pPr>
              <w:numPr>
                <w:ilvl w:val="0"/>
                <w:numId w:val="52"/>
              </w:numPr>
              <w:contextualSpacing/>
              <w:rPr>
                <w:sz w:val="20"/>
                <w:szCs w:val="20"/>
              </w:rPr>
            </w:pPr>
            <w:r w:rsidRPr="00E85B0D">
              <w:rPr>
                <w:sz w:val="20"/>
                <w:szCs w:val="20"/>
              </w:rPr>
              <w:t>Continuous improvement and building trust – adopting a who</w:t>
            </w:r>
            <w:r>
              <w:rPr>
                <w:sz w:val="20"/>
                <w:szCs w:val="20"/>
              </w:rPr>
              <w:t>le</w:t>
            </w:r>
            <w:r w:rsidRPr="00E85B0D">
              <w:rPr>
                <w:sz w:val="20"/>
                <w:szCs w:val="20"/>
              </w:rPr>
              <w:t xml:space="preserve"> of system perspective and continuously improving performance, </w:t>
            </w:r>
            <w:proofErr w:type="gramStart"/>
            <w:r w:rsidRPr="00E85B0D">
              <w:rPr>
                <w:sz w:val="20"/>
                <w:szCs w:val="20"/>
              </w:rPr>
              <w:t>capability</w:t>
            </w:r>
            <w:proofErr w:type="gramEnd"/>
            <w:r w:rsidRPr="00E85B0D">
              <w:rPr>
                <w:sz w:val="20"/>
                <w:szCs w:val="20"/>
              </w:rPr>
              <w:t xml:space="preserve"> and culture to build trust and confidence in the regulatory settings</w:t>
            </w:r>
            <w:r>
              <w:rPr>
                <w:sz w:val="20"/>
                <w:szCs w:val="20"/>
              </w:rPr>
              <w:t>.</w:t>
            </w:r>
          </w:p>
          <w:p w14:paraId="33C8A78F" w14:textId="77777777" w:rsidR="00A44470" w:rsidRPr="00E85B0D" w:rsidRDefault="00A44470" w:rsidP="00A44470">
            <w:pPr>
              <w:numPr>
                <w:ilvl w:val="0"/>
                <w:numId w:val="52"/>
              </w:numPr>
              <w:contextualSpacing/>
              <w:rPr>
                <w:sz w:val="20"/>
                <w:szCs w:val="20"/>
              </w:rPr>
            </w:pPr>
            <w:r w:rsidRPr="00E85B0D">
              <w:rPr>
                <w:sz w:val="20"/>
                <w:szCs w:val="20"/>
              </w:rPr>
              <w:t xml:space="preserve">Risk based and data driven – managing risk proportionately and maintaining essential safeguards while </w:t>
            </w:r>
            <w:proofErr w:type="spellStart"/>
            <w:r w:rsidRPr="00E85B0D">
              <w:rPr>
                <w:sz w:val="20"/>
                <w:szCs w:val="20"/>
              </w:rPr>
              <w:t>minimising</w:t>
            </w:r>
            <w:proofErr w:type="spellEnd"/>
            <w:r w:rsidRPr="00E85B0D">
              <w:rPr>
                <w:sz w:val="20"/>
                <w:szCs w:val="20"/>
              </w:rPr>
              <w:t xml:space="preserve"> regulatory </w:t>
            </w:r>
            <w:r w:rsidRPr="00E85B0D">
              <w:rPr>
                <w:sz w:val="20"/>
                <w:szCs w:val="20"/>
              </w:rPr>
              <w:lastRenderedPageBreak/>
              <w:t>burden and leveraging data and digital technology to support those they regulate to comply and grow.</w:t>
            </w:r>
          </w:p>
          <w:p w14:paraId="33D0F6D6" w14:textId="77777777" w:rsidR="00A44470" w:rsidRPr="00E85B0D" w:rsidRDefault="00A44470" w:rsidP="00A44470">
            <w:pPr>
              <w:numPr>
                <w:ilvl w:val="0"/>
                <w:numId w:val="52"/>
              </w:numPr>
              <w:contextualSpacing/>
              <w:rPr>
                <w:sz w:val="20"/>
                <w:szCs w:val="20"/>
              </w:rPr>
            </w:pPr>
            <w:r w:rsidRPr="00E85B0D">
              <w:rPr>
                <w:sz w:val="20"/>
                <w:szCs w:val="20"/>
              </w:rPr>
              <w:t>Collaboration and engagement - focusing on transparent and responsive communication and implementing regulations in a modern and collaborative way</w:t>
            </w:r>
            <w:r>
              <w:rPr>
                <w:sz w:val="20"/>
                <w:szCs w:val="20"/>
              </w:rPr>
              <w:t>,</w:t>
            </w:r>
            <w:r w:rsidRPr="00E85B0D">
              <w:rPr>
                <w:sz w:val="20"/>
                <w:szCs w:val="20"/>
              </w:rPr>
              <w:t xml:space="preserve"> in partnership with the sector and stakeholders.</w:t>
            </w:r>
          </w:p>
          <w:p w14:paraId="13CA1969" w14:textId="77777777" w:rsidR="00A44470" w:rsidRPr="00E85B0D" w:rsidRDefault="00A44470" w:rsidP="001D4FB6">
            <w:pPr>
              <w:pStyle w:val="ListParagraph"/>
              <w:ind w:left="360"/>
              <w:rPr>
                <w:sz w:val="19"/>
                <w:szCs w:val="19"/>
              </w:rPr>
            </w:pPr>
          </w:p>
        </w:tc>
        <w:tc>
          <w:tcPr>
            <w:tcW w:w="899" w:type="pct"/>
            <w:tcBorders>
              <w:top w:val="single" w:sz="4" w:space="0" w:color="auto"/>
              <w:left w:val="single" w:sz="4" w:space="0" w:color="auto"/>
              <w:bottom w:val="single" w:sz="4" w:space="0" w:color="auto"/>
              <w:right w:val="single" w:sz="4" w:space="0" w:color="auto"/>
            </w:tcBorders>
            <w:shd w:val="clear" w:color="auto" w:fill="auto"/>
          </w:tcPr>
          <w:p w14:paraId="4B3D98DA" w14:textId="77777777" w:rsidR="00A44470" w:rsidRPr="002B00EC" w:rsidRDefault="00A44470" w:rsidP="00A44470">
            <w:pPr>
              <w:pStyle w:val="ListParagraph"/>
              <w:numPr>
                <w:ilvl w:val="0"/>
                <w:numId w:val="117"/>
              </w:numPr>
              <w:rPr>
                <w:rFonts w:eastAsia="Times New Roman"/>
                <w:sz w:val="20"/>
                <w:szCs w:val="20"/>
              </w:rPr>
            </w:pPr>
            <w:r w:rsidRPr="002B00EC">
              <w:rPr>
                <w:rFonts w:eastAsia="Times New Roman"/>
                <w:sz w:val="20"/>
                <w:szCs w:val="20"/>
              </w:rPr>
              <w:lastRenderedPageBreak/>
              <w:t>APRA employs a supervision led approach to identifying and responding to risks and vulnerabilities within the financial system.</w:t>
            </w:r>
          </w:p>
          <w:p w14:paraId="2FEFBF32" w14:textId="77777777" w:rsidR="00A44470" w:rsidRPr="002B00EC" w:rsidRDefault="00A44470" w:rsidP="00A44470">
            <w:pPr>
              <w:pStyle w:val="ListParagraph"/>
              <w:numPr>
                <w:ilvl w:val="0"/>
                <w:numId w:val="117"/>
              </w:numPr>
              <w:rPr>
                <w:rFonts w:eastAsia="Times New Roman"/>
                <w:sz w:val="20"/>
                <w:szCs w:val="20"/>
              </w:rPr>
            </w:pPr>
            <w:r w:rsidRPr="002B00EC">
              <w:rPr>
                <w:rFonts w:eastAsia="Times New Roman"/>
                <w:sz w:val="20"/>
                <w:szCs w:val="20"/>
              </w:rPr>
              <w:t>APRA describes its regulatory approach as forward-looking, risk-</w:t>
            </w:r>
            <w:proofErr w:type="gramStart"/>
            <w:r w:rsidRPr="002B00EC">
              <w:rPr>
                <w:rFonts w:eastAsia="Times New Roman"/>
                <w:sz w:val="20"/>
                <w:szCs w:val="20"/>
              </w:rPr>
              <w:t>based</w:t>
            </w:r>
            <w:proofErr w:type="gramEnd"/>
            <w:r w:rsidRPr="002B00EC">
              <w:rPr>
                <w:rFonts w:eastAsia="Times New Roman"/>
                <w:sz w:val="20"/>
                <w:szCs w:val="20"/>
              </w:rPr>
              <w:t xml:space="preserve"> and outcomes-focused – addressing potential problems before they adversely impact those it is tasked to protect, assisting in </w:t>
            </w:r>
            <w:proofErr w:type="spellStart"/>
            <w:r w:rsidRPr="002B00EC">
              <w:rPr>
                <w:rFonts w:eastAsia="Times New Roman"/>
                <w:sz w:val="20"/>
                <w:szCs w:val="20"/>
              </w:rPr>
              <w:t>minimising</w:t>
            </w:r>
            <w:proofErr w:type="spellEnd"/>
            <w:r w:rsidRPr="002B00EC">
              <w:rPr>
                <w:rFonts w:eastAsia="Times New Roman"/>
                <w:sz w:val="20"/>
                <w:szCs w:val="20"/>
              </w:rPr>
              <w:t xml:space="preserve"> regulatory burden and </w:t>
            </w:r>
            <w:r w:rsidRPr="002B00EC">
              <w:rPr>
                <w:rFonts w:eastAsia="Times New Roman"/>
                <w:sz w:val="20"/>
                <w:szCs w:val="20"/>
              </w:rPr>
              <w:lastRenderedPageBreak/>
              <w:t>facilitating competition and innovation.</w:t>
            </w:r>
          </w:p>
          <w:p w14:paraId="16ECB323" w14:textId="77777777" w:rsidR="00A44470" w:rsidRPr="002B00EC" w:rsidRDefault="00A44470" w:rsidP="00A44470">
            <w:pPr>
              <w:pStyle w:val="ListParagraph"/>
              <w:numPr>
                <w:ilvl w:val="0"/>
                <w:numId w:val="117"/>
              </w:numPr>
              <w:rPr>
                <w:rFonts w:eastAsia="Times New Roman"/>
                <w:sz w:val="20"/>
                <w:szCs w:val="20"/>
              </w:rPr>
            </w:pPr>
            <w:r w:rsidRPr="002B00EC">
              <w:rPr>
                <w:rFonts w:eastAsia="Times New Roman"/>
                <w:sz w:val="20"/>
                <w:szCs w:val="20"/>
              </w:rPr>
              <w:t>APRA references leveraging and building on its distinctive strengths including its people and values; supervision insights; system-wide perspective; and strong suite of regulatory powers.</w:t>
            </w:r>
          </w:p>
          <w:p w14:paraId="6B13D579" w14:textId="77777777" w:rsidR="00A44470" w:rsidRPr="002B00EC" w:rsidRDefault="00A44470" w:rsidP="00A44470">
            <w:pPr>
              <w:pStyle w:val="ListParagraph"/>
              <w:numPr>
                <w:ilvl w:val="0"/>
                <w:numId w:val="117"/>
              </w:numPr>
              <w:rPr>
                <w:rFonts w:eastAsia="Times New Roman"/>
                <w:sz w:val="20"/>
                <w:szCs w:val="20"/>
              </w:rPr>
            </w:pPr>
            <w:r w:rsidRPr="002B00EC">
              <w:rPr>
                <w:rFonts w:eastAsia="Times New Roman"/>
                <w:sz w:val="20"/>
                <w:szCs w:val="20"/>
              </w:rPr>
              <w:t>APRA commits to continuing to invest in delivering a modern and flexible working environment for its people to support hybrid working.</w:t>
            </w:r>
          </w:p>
        </w:tc>
        <w:tc>
          <w:tcPr>
            <w:tcW w:w="898" w:type="pct"/>
            <w:tcBorders>
              <w:top w:val="single" w:sz="4" w:space="0" w:color="auto"/>
              <w:left w:val="single" w:sz="4" w:space="0" w:color="auto"/>
              <w:bottom w:val="single" w:sz="4" w:space="0" w:color="auto"/>
              <w:right w:val="single" w:sz="4" w:space="0" w:color="auto"/>
            </w:tcBorders>
          </w:tcPr>
          <w:p w14:paraId="72F180AF" w14:textId="77777777" w:rsidR="00A44470" w:rsidRDefault="00A44470" w:rsidP="001D4FB6">
            <w:pPr>
              <w:pStyle w:val="IntroPara"/>
              <w:spacing w:before="0" w:after="0"/>
              <w:rPr>
                <w:lang w:val="en-GB" w:eastAsia="en-GB"/>
              </w:rPr>
            </w:pPr>
            <w:r>
              <w:rPr>
                <w:rFonts w:asciiTheme="minorHAnsi" w:eastAsia="Times New Roman" w:hAnsiTheme="minorHAnsi" w:cstheme="minorHAnsi"/>
                <w:color w:val="auto"/>
                <w:sz w:val="20"/>
                <w:lang w:eastAsia="en-GB"/>
              </w:rPr>
              <w:lastRenderedPageBreak/>
              <w:t>ACQSHC describes itself as:</w:t>
            </w:r>
          </w:p>
          <w:p w14:paraId="35E2B1FC" w14:textId="77777777" w:rsidR="00A44470" w:rsidRPr="00D71704" w:rsidRDefault="00A44470" w:rsidP="00A44470">
            <w:pPr>
              <w:numPr>
                <w:ilvl w:val="0"/>
                <w:numId w:val="52"/>
              </w:numPr>
              <w:contextualSpacing/>
              <w:rPr>
                <w:sz w:val="20"/>
                <w:szCs w:val="20"/>
              </w:rPr>
            </w:pPr>
            <w:r w:rsidRPr="00D71704">
              <w:rPr>
                <w:sz w:val="20"/>
                <w:szCs w:val="20"/>
              </w:rPr>
              <w:t>being an authoritative voice</w:t>
            </w:r>
          </w:p>
          <w:p w14:paraId="54D2E67D" w14:textId="77777777" w:rsidR="00A44470" w:rsidRPr="00D71704" w:rsidRDefault="00A44470" w:rsidP="00A44470">
            <w:pPr>
              <w:numPr>
                <w:ilvl w:val="0"/>
                <w:numId w:val="52"/>
              </w:numPr>
              <w:contextualSpacing/>
              <w:rPr>
                <w:sz w:val="20"/>
                <w:szCs w:val="20"/>
              </w:rPr>
            </w:pPr>
            <w:r w:rsidRPr="00D71704">
              <w:rPr>
                <w:sz w:val="20"/>
                <w:szCs w:val="20"/>
              </w:rPr>
              <w:t>taking a strategic whole-of-system approach</w:t>
            </w:r>
          </w:p>
          <w:p w14:paraId="39E1305D" w14:textId="77777777" w:rsidR="00A44470" w:rsidRPr="00D71704" w:rsidRDefault="00A44470" w:rsidP="00A44470">
            <w:pPr>
              <w:numPr>
                <w:ilvl w:val="0"/>
                <w:numId w:val="52"/>
              </w:numPr>
              <w:contextualSpacing/>
              <w:rPr>
                <w:sz w:val="20"/>
                <w:szCs w:val="20"/>
              </w:rPr>
            </w:pPr>
            <w:r w:rsidRPr="00D71704">
              <w:rPr>
                <w:sz w:val="20"/>
                <w:szCs w:val="20"/>
              </w:rPr>
              <w:t>using evidence as a foundation for action</w:t>
            </w:r>
          </w:p>
          <w:p w14:paraId="0F09294B" w14:textId="77777777" w:rsidR="00A44470" w:rsidRPr="00D71704" w:rsidRDefault="00A44470" w:rsidP="00A44470">
            <w:pPr>
              <w:numPr>
                <w:ilvl w:val="0"/>
                <w:numId w:val="52"/>
              </w:numPr>
              <w:contextualSpacing/>
              <w:rPr>
                <w:sz w:val="20"/>
                <w:szCs w:val="20"/>
              </w:rPr>
            </w:pPr>
            <w:r w:rsidRPr="00D71704">
              <w:rPr>
                <w:sz w:val="20"/>
                <w:szCs w:val="20"/>
              </w:rPr>
              <w:t>harnessing national knowledge and expertise</w:t>
            </w:r>
          </w:p>
          <w:p w14:paraId="6D81DCFD" w14:textId="77777777" w:rsidR="00A44470" w:rsidRPr="00D71704" w:rsidRDefault="00A44470" w:rsidP="00A44470">
            <w:pPr>
              <w:numPr>
                <w:ilvl w:val="0"/>
                <w:numId w:val="52"/>
              </w:numPr>
              <w:contextualSpacing/>
              <w:rPr>
                <w:sz w:val="20"/>
                <w:szCs w:val="20"/>
              </w:rPr>
            </w:pPr>
            <w:r w:rsidRPr="00D71704">
              <w:rPr>
                <w:sz w:val="20"/>
                <w:szCs w:val="20"/>
              </w:rPr>
              <w:t>driving a quality improvement culture</w:t>
            </w:r>
          </w:p>
          <w:p w14:paraId="2A07BF56" w14:textId="77777777" w:rsidR="00A44470" w:rsidRPr="00D71704" w:rsidRDefault="00A44470" w:rsidP="00A44470">
            <w:pPr>
              <w:numPr>
                <w:ilvl w:val="0"/>
                <w:numId w:val="52"/>
              </w:numPr>
              <w:contextualSpacing/>
              <w:rPr>
                <w:sz w:val="20"/>
                <w:szCs w:val="20"/>
              </w:rPr>
            </w:pPr>
            <w:r w:rsidRPr="00D71704">
              <w:rPr>
                <w:sz w:val="20"/>
                <w:szCs w:val="20"/>
              </w:rPr>
              <w:t>using data effectively</w:t>
            </w:r>
          </w:p>
          <w:p w14:paraId="06440F9A" w14:textId="77777777" w:rsidR="00A44470" w:rsidRPr="00D71704" w:rsidRDefault="00A44470" w:rsidP="00A44470">
            <w:pPr>
              <w:numPr>
                <w:ilvl w:val="0"/>
                <w:numId w:val="52"/>
              </w:numPr>
              <w:contextualSpacing/>
              <w:rPr>
                <w:sz w:val="20"/>
                <w:szCs w:val="20"/>
              </w:rPr>
            </w:pPr>
            <w:r w:rsidRPr="00D71704">
              <w:rPr>
                <w:sz w:val="20"/>
                <w:szCs w:val="20"/>
              </w:rPr>
              <w:t>reporting meaningful information publicly</w:t>
            </w:r>
          </w:p>
          <w:p w14:paraId="7C1733C0" w14:textId="77777777" w:rsidR="00A44470" w:rsidRPr="00D71704" w:rsidRDefault="00A44470" w:rsidP="00A44470">
            <w:pPr>
              <w:numPr>
                <w:ilvl w:val="0"/>
                <w:numId w:val="52"/>
              </w:numPr>
              <w:contextualSpacing/>
              <w:rPr>
                <w:sz w:val="20"/>
                <w:szCs w:val="20"/>
              </w:rPr>
            </w:pPr>
            <w:r w:rsidRPr="00D71704">
              <w:rPr>
                <w:sz w:val="20"/>
                <w:szCs w:val="20"/>
              </w:rPr>
              <w:t>empowering consumer action</w:t>
            </w:r>
          </w:p>
          <w:p w14:paraId="21293E6B" w14:textId="77777777" w:rsidR="00A44470" w:rsidRPr="00D71704" w:rsidRDefault="00A44470" w:rsidP="00A44470">
            <w:pPr>
              <w:numPr>
                <w:ilvl w:val="0"/>
                <w:numId w:val="52"/>
              </w:numPr>
              <w:contextualSpacing/>
              <w:rPr>
                <w:sz w:val="20"/>
                <w:szCs w:val="20"/>
              </w:rPr>
            </w:pPr>
            <w:r w:rsidRPr="00D71704">
              <w:rPr>
                <w:sz w:val="20"/>
                <w:szCs w:val="20"/>
              </w:rPr>
              <w:lastRenderedPageBreak/>
              <w:t>enabling and engaging clinicians</w:t>
            </w:r>
          </w:p>
          <w:p w14:paraId="464C577A" w14:textId="77777777" w:rsidR="00A44470" w:rsidRPr="00D71704" w:rsidRDefault="00A44470" w:rsidP="00A44470">
            <w:pPr>
              <w:numPr>
                <w:ilvl w:val="0"/>
                <w:numId w:val="52"/>
              </w:numPr>
              <w:contextualSpacing/>
              <w:rPr>
                <w:sz w:val="20"/>
                <w:szCs w:val="20"/>
              </w:rPr>
            </w:pPr>
            <w:r w:rsidRPr="00D71704">
              <w:rPr>
                <w:sz w:val="20"/>
                <w:szCs w:val="20"/>
              </w:rPr>
              <w:t>leading collaboration, cooperation, and integration</w:t>
            </w:r>
          </w:p>
          <w:p w14:paraId="79C4BD88" w14:textId="77777777" w:rsidR="00A44470" w:rsidRPr="00D71704" w:rsidRDefault="00A44470" w:rsidP="00A44470">
            <w:pPr>
              <w:numPr>
                <w:ilvl w:val="0"/>
                <w:numId w:val="52"/>
              </w:numPr>
              <w:contextualSpacing/>
              <w:rPr>
                <w:sz w:val="20"/>
                <w:szCs w:val="20"/>
              </w:rPr>
            </w:pPr>
            <w:r w:rsidRPr="00D71704">
              <w:rPr>
                <w:sz w:val="20"/>
                <w:szCs w:val="20"/>
              </w:rPr>
              <w:t xml:space="preserve">influencing funding, </w:t>
            </w:r>
            <w:proofErr w:type="gramStart"/>
            <w:r w:rsidRPr="00D71704">
              <w:rPr>
                <w:sz w:val="20"/>
                <w:szCs w:val="20"/>
              </w:rPr>
              <w:t>regulation</w:t>
            </w:r>
            <w:proofErr w:type="gramEnd"/>
            <w:r w:rsidRPr="00D71704">
              <w:rPr>
                <w:sz w:val="20"/>
                <w:szCs w:val="20"/>
              </w:rPr>
              <w:t xml:space="preserve"> and education</w:t>
            </w:r>
          </w:p>
          <w:p w14:paraId="0BA7FEEC" w14:textId="77777777" w:rsidR="00A44470" w:rsidRPr="00D71704" w:rsidRDefault="00A44470" w:rsidP="00A44470">
            <w:pPr>
              <w:numPr>
                <w:ilvl w:val="0"/>
                <w:numId w:val="52"/>
              </w:numPr>
              <w:contextualSpacing/>
              <w:rPr>
                <w:sz w:val="20"/>
                <w:szCs w:val="20"/>
              </w:rPr>
            </w:pPr>
            <w:r w:rsidRPr="00D71704">
              <w:rPr>
                <w:sz w:val="20"/>
                <w:szCs w:val="20"/>
              </w:rPr>
              <w:t>fostering use of safe digital technology and artificial intelligence</w:t>
            </w:r>
          </w:p>
          <w:p w14:paraId="46EB6898" w14:textId="77777777" w:rsidR="00A44470" w:rsidRPr="00D71704" w:rsidRDefault="00A44470" w:rsidP="00A44470">
            <w:pPr>
              <w:numPr>
                <w:ilvl w:val="0"/>
                <w:numId w:val="52"/>
              </w:numPr>
              <w:contextualSpacing/>
              <w:rPr>
                <w:sz w:val="20"/>
                <w:szCs w:val="20"/>
              </w:rPr>
            </w:pPr>
            <w:r w:rsidRPr="00D71704">
              <w:rPr>
                <w:sz w:val="20"/>
                <w:szCs w:val="20"/>
              </w:rPr>
              <w:t>guiding transparency and accountability</w:t>
            </w:r>
          </w:p>
          <w:p w14:paraId="50186649" w14:textId="77777777" w:rsidR="00A44470" w:rsidRPr="00D71704" w:rsidRDefault="00A44470" w:rsidP="00A44470">
            <w:pPr>
              <w:numPr>
                <w:ilvl w:val="0"/>
                <w:numId w:val="52"/>
              </w:numPr>
              <w:contextualSpacing/>
              <w:rPr>
                <w:sz w:val="20"/>
                <w:szCs w:val="20"/>
              </w:rPr>
            </w:pPr>
            <w:r w:rsidRPr="00D71704">
              <w:rPr>
                <w:sz w:val="20"/>
                <w:szCs w:val="20"/>
              </w:rPr>
              <w:t>supporting research and innovation</w:t>
            </w:r>
          </w:p>
          <w:p w14:paraId="5318DAE8" w14:textId="77777777" w:rsidR="00A44470" w:rsidRPr="00D71704" w:rsidRDefault="00A44470" w:rsidP="00A44470">
            <w:pPr>
              <w:numPr>
                <w:ilvl w:val="0"/>
                <w:numId w:val="52"/>
              </w:numPr>
              <w:contextualSpacing/>
              <w:rPr>
                <w:sz w:val="20"/>
                <w:szCs w:val="20"/>
              </w:rPr>
            </w:pPr>
            <w:r w:rsidRPr="00D71704">
              <w:rPr>
                <w:sz w:val="20"/>
                <w:szCs w:val="20"/>
              </w:rPr>
              <w:t>acknowledging and actively managing risk</w:t>
            </w:r>
          </w:p>
          <w:p w14:paraId="7B92CEB1" w14:textId="77777777" w:rsidR="00A44470" w:rsidRPr="00D71704" w:rsidRDefault="00A44470" w:rsidP="00A44470">
            <w:pPr>
              <w:numPr>
                <w:ilvl w:val="0"/>
                <w:numId w:val="52"/>
              </w:numPr>
              <w:contextualSpacing/>
              <w:rPr>
                <w:sz w:val="20"/>
                <w:szCs w:val="20"/>
              </w:rPr>
            </w:pPr>
            <w:r w:rsidRPr="00D71704">
              <w:rPr>
                <w:sz w:val="20"/>
                <w:szCs w:val="20"/>
              </w:rPr>
              <w:t>embedding safety and quality into systems and processes</w:t>
            </w:r>
          </w:p>
          <w:p w14:paraId="4A106964" w14:textId="77777777" w:rsidR="00A44470" w:rsidRPr="00D71704" w:rsidRDefault="00A44470" w:rsidP="00A44470">
            <w:pPr>
              <w:numPr>
                <w:ilvl w:val="0"/>
                <w:numId w:val="52"/>
              </w:numPr>
              <w:contextualSpacing/>
              <w:rPr>
                <w:sz w:val="20"/>
                <w:szCs w:val="20"/>
              </w:rPr>
            </w:pPr>
            <w:r w:rsidRPr="00D71704">
              <w:rPr>
                <w:sz w:val="20"/>
                <w:szCs w:val="20"/>
              </w:rPr>
              <w:t xml:space="preserve">encouraging development of learning </w:t>
            </w:r>
            <w:proofErr w:type="spellStart"/>
            <w:r w:rsidRPr="00D71704">
              <w:rPr>
                <w:sz w:val="20"/>
                <w:szCs w:val="20"/>
              </w:rPr>
              <w:t>organisations</w:t>
            </w:r>
            <w:proofErr w:type="spellEnd"/>
          </w:p>
          <w:p w14:paraId="3189703A" w14:textId="63249515" w:rsidR="00A44470" w:rsidRPr="00B00F73" w:rsidRDefault="00A44470" w:rsidP="005F47A3">
            <w:pPr>
              <w:numPr>
                <w:ilvl w:val="0"/>
                <w:numId w:val="52"/>
              </w:numPr>
              <w:contextualSpacing/>
              <w:rPr>
                <w:rFonts w:eastAsia="Times New Roman"/>
                <w:sz w:val="20"/>
                <w:szCs w:val="20"/>
              </w:rPr>
            </w:pPr>
            <w:r w:rsidRPr="00D71704">
              <w:rPr>
                <w:sz w:val="20"/>
                <w:szCs w:val="20"/>
              </w:rPr>
              <w:t>creating</w:t>
            </w:r>
            <w:r>
              <w:rPr>
                <w:lang w:val="en-GB"/>
              </w:rPr>
              <w:t xml:space="preserve"> </w:t>
            </w:r>
            <w:r w:rsidRPr="009756A4">
              <w:rPr>
                <w:sz w:val="20"/>
                <w:szCs w:val="20"/>
                <w:lang w:val="en-GB"/>
              </w:rPr>
              <w:t>networks of excellence.</w:t>
            </w:r>
          </w:p>
        </w:tc>
      </w:tr>
    </w:tbl>
    <w:p w14:paraId="1B00F37E" w14:textId="77777777" w:rsidR="00A44470" w:rsidRPr="00A44470" w:rsidRDefault="00A44470" w:rsidP="00A44470">
      <w:pPr>
        <w:rPr>
          <w:rFonts w:ascii="Arial" w:hAnsi="Arial" w:cs="Arial"/>
          <w:b/>
          <w:bCs/>
          <w:i/>
          <w:iCs/>
          <w:sz w:val="20"/>
          <w:szCs w:val="20"/>
        </w:rPr>
      </w:pPr>
      <w:r w:rsidRPr="00A44470">
        <w:rPr>
          <w:rFonts w:ascii="Arial" w:hAnsi="Arial" w:cs="Arial"/>
          <w:b/>
          <w:bCs/>
          <w:i/>
          <w:iCs/>
          <w:sz w:val="20"/>
          <w:szCs w:val="20"/>
        </w:rPr>
        <w:lastRenderedPageBreak/>
        <w:t xml:space="preserve">References: </w:t>
      </w:r>
    </w:p>
    <w:p w14:paraId="0E89EA3A" w14:textId="77777777" w:rsidR="00A44470" w:rsidRPr="00A44470" w:rsidRDefault="00A44470" w:rsidP="00A44470">
      <w:pPr>
        <w:spacing w:after="0"/>
        <w:rPr>
          <w:rFonts w:ascii="Arial" w:hAnsi="Arial" w:cs="Arial"/>
          <w:i/>
          <w:iCs/>
          <w:sz w:val="20"/>
          <w:szCs w:val="20"/>
        </w:rPr>
      </w:pPr>
      <w:r w:rsidRPr="00A44470">
        <w:rPr>
          <w:rFonts w:ascii="Arial" w:hAnsi="Arial" w:cs="Arial"/>
          <w:i/>
          <w:iCs/>
          <w:sz w:val="20"/>
          <w:szCs w:val="20"/>
        </w:rPr>
        <w:t xml:space="preserve">Grosvenor, Optimising capability to meet current and future challenges, 16 December 2021 </w:t>
      </w:r>
    </w:p>
    <w:p w14:paraId="5BEB6CCD" w14:textId="77777777" w:rsidR="00A44470" w:rsidRPr="00A44470" w:rsidRDefault="00024728" w:rsidP="00A44470">
      <w:pPr>
        <w:spacing w:after="0"/>
        <w:rPr>
          <w:rFonts w:ascii="Arial" w:hAnsi="Arial" w:cs="Arial"/>
          <w:i/>
          <w:iCs/>
          <w:sz w:val="20"/>
          <w:szCs w:val="20"/>
        </w:rPr>
      </w:pPr>
      <w:hyperlink r:id="rId48" w:history="1">
        <w:r w:rsidR="00A44470" w:rsidRPr="00A44470">
          <w:rPr>
            <w:rStyle w:val="Hyperlink"/>
            <w:rFonts w:ascii="Arial" w:hAnsi="Arial" w:cs="Arial"/>
            <w:i/>
            <w:iCs/>
            <w:sz w:val="20"/>
            <w:szCs w:val="20"/>
          </w:rPr>
          <w:t>ASQA Annual Report 2021–22</w:t>
        </w:r>
      </w:hyperlink>
      <w:r w:rsidR="00A44470" w:rsidRPr="00A44470">
        <w:rPr>
          <w:rFonts w:ascii="Arial" w:hAnsi="Arial" w:cs="Arial"/>
          <w:i/>
          <w:iCs/>
          <w:sz w:val="20"/>
          <w:szCs w:val="20"/>
        </w:rPr>
        <w:t xml:space="preserve"> and </w:t>
      </w:r>
      <w:hyperlink r:id="rId49" w:history="1">
        <w:r w:rsidR="00A44470" w:rsidRPr="00A44470">
          <w:rPr>
            <w:rStyle w:val="Hyperlink"/>
            <w:rFonts w:ascii="Arial" w:hAnsi="Arial" w:cs="Arial"/>
            <w:i/>
            <w:iCs/>
            <w:sz w:val="20"/>
            <w:szCs w:val="20"/>
          </w:rPr>
          <w:t>Australian Skills Quality Authority (ASQA)</w:t>
        </w:r>
      </w:hyperlink>
    </w:p>
    <w:p w14:paraId="58230012" w14:textId="77777777" w:rsidR="00A44470" w:rsidRPr="00A44470" w:rsidRDefault="00024728" w:rsidP="00A44470">
      <w:pPr>
        <w:spacing w:after="0"/>
        <w:rPr>
          <w:rFonts w:ascii="Arial" w:hAnsi="Arial" w:cs="Arial"/>
          <w:i/>
          <w:iCs/>
          <w:sz w:val="20"/>
          <w:szCs w:val="20"/>
        </w:rPr>
      </w:pPr>
      <w:hyperlink r:id="rId50" w:history="1">
        <w:r w:rsidR="00A44470" w:rsidRPr="00A44470">
          <w:rPr>
            <w:rStyle w:val="Hyperlink"/>
            <w:rFonts w:ascii="Arial" w:hAnsi="Arial" w:cs="Arial"/>
            <w:i/>
            <w:iCs/>
            <w:sz w:val="20"/>
            <w:szCs w:val="20"/>
          </w:rPr>
          <w:t>APRA Corporate Plan 2022-23</w:t>
        </w:r>
      </w:hyperlink>
      <w:r w:rsidR="00A44470" w:rsidRPr="00A44470">
        <w:rPr>
          <w:rFonts w:ascii="Arial" w:hAnsi="Arial" w:cs="Arial"/>
          <w:i/>
          <w:iCs/>
          <w:sz w:val="20"/>
          <w:szCs w:val="20"/>
        </w:rPr>
        <w:t xml:space="preserve"> and </w:t>
      </w:r>
      <w:hyperlink r:id="rId51" w:history="1">
        <w:r w:rsidR="00A44470" w:rsidRPr="00A44470">
          <w:rPr>
            <w:rStyle w:val="Hyperlink"/>
            <w:rFonts w:ascii="Arial" w:hAnsi="Arial" w:cs="Arial"/>
            <w:i/>
            <w:iCs/>
            <w:sz w:val="20"/>
            <w:szCs w:val="20"/>
          </w:rPr>
          <w:t>Welcome to APRA | APRA</w:t>
        </w:r>
      </w:hyperlink>
    </w:p>
    <w:p w14:paraId="51E7CE3B" w14:textId="262A670B" w:rsidR="006D6D72" w:rsidRDefault="00024728" w:rsidP="006D6D72">
      <w:pPr>
        <w:rPr>
          <w:lang w:val="en-US" w:eastAsia="en-AU"/>
        </w:rPr>
      </w:pPr>
      <w:hyperlink r:id="rId52" w:history="1">
        <w:r w:rsidR="00A44470" w:rsidRPr="00A44470">
          <w:rPr>
            <w:rStyle w:val="Hyperlink"/>
            <w:rFonts w:ascii="Arial" w:hAnsi="Arial" w:cs="Arial"/>
            <w:i/>
            <w:iCs/>
            <w:sz w:val="20"/>
            <w:szCs w:val="20"/>
          </w:rPr>
          <w:t>NDIS Quality and Safeguards Commission, High Level Regulatory Approach, 30 January 2023</w:t>
        </w:r>
      </w:hyperlink>
      <w:r w:rsidR="00A44470" w:rsidRPr="00A44470">
        <w:rPr>
          <w:rFonts w:ascii="Arial" w:hAnsi="Arial" w:cs="Arial"/>
          <w:i/>
          <w:iCs/>
          <w:sz w:val="20"/>
          <w:szCs w:val="20"/>
        </w:rPr>
        <w:t xml:space="preserve"> and </w:t>
      </w:r>
      <w:hyperlink r:id="rId53" w:history="1">
        <w:r w:rsidR="00A44470" w:rsidRPr="00A44470">
          <w:rPr>
            <w:rStyle w:val="Hyperlink"/>
            <w:rFonts w:ascii="Arial" w:hAnsi="Arial" w:cs="Arial"/>
            <w:i/>
            <w:iCs/>
            <w:sz w:val="20"/>
            <w:szCs w:val="20"/>
          </w:rPr>
          <w:t>Home | Making the NDIS safe (easyread.com.au)</w:t>
        </w:r>
      </w:hyperlink>
      <w:r w:rsidR="006D6D72">
        <w:br w:type="page"/>
      </w:r>
    </w:p>
    <w:p w14:paraId="37BC43AB" w14:textId="550BFB79" w:rsidR="00F256F5" w:rsidRPr="000E132D" w:rsidRDefault="00885ACC" w:rsidP="000E132D">
      <w:pPr>
        <w:pStyle w:val="Heading3"/>
      </w:pPr>
      <w:bookmarkStart w:id="38" w:name="_Toc131163561"/>
      <w:r w:rsidRPr="000E132D">
        <w:lastRenderedPageBreak/>
        <w:t xml:space="preserve">APPENDIX </w:t>
      </w:r>
      <w:r w:rsidR="003A7BF7" w:rsidRPr="000E132D">
        <w:t>F</w:t>
      </w:r>
      <w:r w:rsidR="000310AE" w:rsidRPr="000E132D">
        <w:t xml:space="preserve"> - </w:t>
      </w:r>
      <w:bookmarkEnd w:id="37"/>
      <w:r w:rsidRPr="000E132D">
        <w:t>Comparison of international health and social care regulatory systems</w:t>
      </w:r>
      <w:bookmarkEnd w:id="38"/>
    </w:p>
    <w:tbl>
      <w:tblPr>
        <w:tblStyle w:val="TableGrid1"/>
        <w:tblW w:w="5000" w:type="pct"/>
        <w:tblInd w:w="0" w:type="dxa"/>
        <w:tblLook w:val="04A0" w:firstRow="1" w:lastRow="0" w:firstColumn="1" w:lastColumn="0" w:noHBand="0" w:noVBand="1"/>
      </w:tblPr>
      <w:tblGrid>
        <w:gridCol w:w="1384"/>
        <w:gridCol w:w="3858"/>
        <w:gridCol w:w="4251"/>
        <w:gridCol w:w="4455"/>
      </w:tblGrid>
      <w:tr w:rsidR="00A44470" w:rsidRPr="00F256F5" w14:paraId="0168C535" w14:textId="77777777" w:rsidTr="001D4FB6">
        <w:trPr>
          <w:trHeight w:val="475"/>
          <w:tblHeader/>
        </w:trPr>
        <w:tc>
          <w:tcPr>
            <w:tcW w:w="496" w:type="pct"/>
            <w:tcBorders>
              <w:top w:val="single" w:sz="4" w:space="0" w:color="auto"/>
              <w:left w:val="single" w:sz="4" w:space="0" w:color="auto"/>
              <w:bottom w:val="single" w:sz="4" w:space="0" w:color="auto"/>
              <w:right w:val="single" w:sz="4" w:space="0" w:color="auto"/>
            </w:tcBorders>
            <w:shd w:val="clear" w:color="auto" w:fill="516A8E"/>
            <w:hideMark/>
          </w:tcPr>
          <w:p w14:paraId="73F6922D" w14:textId="77777777" w:rsidR="00A44470" w:rsidRPr="00F256F5" w:rsidRDefault="00A44470" w:rsidP="001D4FB6">
            <w:pPr>
              <w:tabs>
                <w:tab w:val="left" w:pos="720"/>
              </w:tabs>
              <w:rPr>
                <w:rFonts w:cstheme="minorHAnsi"/>
                <w:bCs/>
                <w:color w:val="F2F2F2" w:themeColor="background1" w:themeShade="F2"/>
                <w:sz w:val="20"/>
                <w:szCs w:val="20"/>
              </w:rPr>
            </w:pPr>
          </w:p>
        </w:tc>
        <w:tc>
          <w:tcPr>
            <w:tcW w:w="1383" w:type="pct"/>
            <w:tcBorders>
              <w:top w:val="single" w:sz="4" w:space="0" w:color="auto"/>
              <w:left w:val="single" w:sz="4" w:space="0" w:color="auto"/>
              <w:bottom w:val="single" w:sz="4" w:space="0" w:color="auto"/>
              <w:right w:val="single" w:sz="4" w:space="0" w:color="auto"/>
            </w:tcBorders>
            <w:shd w:val="clear" w:color="auto" w:fill="516A8E"/>
          </w:tcPr>
          <w:p w14:paraId="5552AB1A" w14:textId="77777777" w:rsidR="00A44470" w:rsidRPr="00F256F5" w:rsidRDefault="00A44470" w:rsidP="001D4FB6">
            <w:pPr>
              <w:tabs>
                <w:tab w:val="left" w:pos="720"/>
              </w:tabs>
              <w:rPr>
                <w:rFonts w:cstheme="minorHAnsi"/>
                <w:bCs/>
                <w:color w:val="F2F2F2" w:themeColor="background1" w:themeShade="F2"/>
                <w:sz w:val="20"/>
                <w:szCs w:val="20"/>
              </w:rPr>
            </w:pPr>
            <w:r w:rsidRPr="00F256F5">
              <w:rPr>
                <w:rFonts w:cstheme="minorHAnsi"/>
                <w:bCs/>
                <w:color w:val="F2F2F2" w:themeColor="background1" w:themeShade="F2"/>
                <w:sz w:val="20"/>
                <w:szCs w:val="20"/>
              </w:rPr>
              <w:t xml:space="preserve">England </w:t>
            </w:r>
          </w:p>
          <w:p w14:paraId="5F7AEDDE" w14:textId="77777777" w:rsidR="00A44470" w:rsidRPr="00F256F5" w:rsidRDefault="00A44470" w:rsidP="001D4FB6">
            <w:pPr>
              <w:tabs>
                <w:tab w:val="left" w:pos="720"/>
              </w:tabs>
              <w:rPr>
                <w:rFonts w:cstheme="minorHAnsi"/>
                <w:bCs/>
                <w:color w:val="F2F2F2" w:themeColor="background1" w:themeShade="F2"/>
                <w:sz w:val="20"/>
                <w:szCs w:val="20"/>
              </w:rPr>
            </w:pPr>
          </w:p>
        </w:tc>
        <w:tc>
          <w:tcPr>
            <w:tcW w:w="1524" w:type="pct"/>
            <w:tcBorders>
              <w:top w:val="single" w:sz="4" w:space="0" w:color="auto"/>
              <w:left w:val="single" w:sz="4" w:space="0" w:color="auto"/>
              <w:bottom w:val="single" w:sz="4" w:space="0" w:color="auto"/>
              <w:right w:val="single" w:sz="4" w:space="0" w:color="auto"/>
            </w:tcBorders>
            <w:shd w:val="clear" w:color="auto" w:fill="516A8E"/>
          </w:tcPr>
          <w:p w14:paraId="0A044D4C" w14:textId="77777777" w:rsidR="00A44470" w:rsidRPr="00F256F5" w:rsidRDefault="00A44470" w:rsidP="001D4FB6">
            <w:pPr>
              <w:tabs>
                <w:tab w:val="left" w:pos="720"/>
              </w:tabs>
              <w:rPr>
                <w:rFonts w:cstheme="minorHAnsi"/>
                <w:bCs/>
                <w:color w:val="F2F2F2" w:themeColor="background1" w:themeShade="F2"/>
                <w:sz w:val="20"/>
                <w:szCs w:val="20"/>
              </w:rPr>
            </w:pPr>
            <w:r w:rsidRPr="00F256F5">
              <w:rPr>
                <w:rFonts w:cstheme="minorHAnsi"/>
                <w:bCs/>
                <w:color w:val="F2F2F2" w:themeColor="background1" w:themeShade="F2"/>
                <w:sz w:val="20"/>
                <w:szCs w:val="20"/>
              </w:rPr>
              <w:t>Canada</w:t>
            </w:r>
          </w:p>
        </w:tc>
        <w:tc>
          <w:tcPr>
            <w:tcW w:w="1597" w:type="pct"/>
            <w:tcBorders>
              <w:top w:val="single" w:sz="4" w:space="0" w:color="auto"/>
              <w:left w:val="single" w:sz="4" w:space="0" w:color="auto"/>
              <w:bottom w:val="single" w:sz="4" w:space="0" w:color="auto"/>
              <w:right w:val="single" w:sz="4" w:space="0" w:color="auto"/>
            </w:tcBorders>
            <w:shd w:val="clear" w:color="auto" w:fill="516A8E"/>
          </w:tcPr>
          <w:p w14:paraId="62160272" w14:textId="77777777" w:rsidR="00A44470" w:rsidRPr="00F256F5" w:rsidRDefault="00A44470" w:rsidP="001D4FB6">
            <w:pPr>
              <w:tabs>
                <w:tab w:val="left" w:pos="720"/>
              </w:tabs>
              <w:rPr>
                <w:rFonts w:cstheme="minorHAnsi"/>
                <w:bCs/>
                <w:color w:val="F2F2F2" w:themeColor="background1" w:themeShade="F2"/>
                <w:sz w:val="20"/>
                <w:szCs w:val="20"/>
              </w:rPr>
            </w:pPr>
            <w:r w:rsidRPr="00F256F5">
              <w:rPr>
                <w:rFonts w:cstheme="minorHAnsi"/>
                <w:bCs/>
                <w:color w:val="F2F2F2" w:themeColor="background1" w:themeShade="F2"/>
                <w:sz w:val="20"/>
                <w:szCs w:val="20"/>
              </w:rPr>
              <w:t>New Zealand (NZ)</w:t>
            </w:r>
          </w:p>
        </w:tc>
      </w:tr>
      <w:tr w:rsidR="00A44470" w:rsidRPr="00F256F5" w14:paraId="7DE52F92" w14:textId="77777777" w:rsidTr="001D4FB6">
        <w:trPr>
          <w:trHeight w:val="844"/>
        </w:trPr>
        <w:tc>
          <w:tcPr>
            <w:tcW w:w="4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62240C" w14:textId="77777777" w:rsidR="00A44470" w:rsidRPr="00774050" w:rsidRDefault="00A44470" w:rsidP="001D4FB6">
            <w:pPr>
              <w:tabs>
                <w:tab w:val="left" w:pos="720"/>
              </w:tabs>
              <w:rPr>
                <w:rFonts w:cstheme="minorHAnsi"/>
                <w:b/>
                <w:sz w:val="20"/>
                <w:szCs w:val="20"/>
              </w:rPr>
            </w:pPr>
            <w:r w:rsidRPr="00774050">
              <w:rPr>
                <w:rFonts w:cstheme="minorHAnsi"/>
                <w:b/>
                <w:sz w:val="20"/>
                <w:szCs w:val="20"/>
              </w:rPr>
              <w:t>System Overview</w:t>
            </w:r>
          </w:p>
        </w:tc>
        <w:tc>
          <w:tcPr>
            <w:tcW w:w="1383" w:type="pct"/>
            <w:tcBorders>
              <w:top w:val="single" w:sz="4" w:space="0" w:color="auto"/>
              <w:left w:val="single" w:sz="4" w:space="0" w:color="auto"/>
              <w:bottom w:val="single" w:sz="4" w:space="0" w:color="auto"/>
              <w:right w:val="single" w:sz="4" w:space="0" w:color="auto"/>
            </w:tcBorders>
          </w:tcPr>
          <w:p w14:paraId="6F0DB720" w14:textId="77777777" w:rsidR="00A44470" w:rsidRPr="00F256F5" w:rsidRDefault="00A44470" w:rsidP="00A44470">
            <w:pPr>
              <w:numPr>
                <w:ilvl w:val="0"/>
                <w:numId w:val="32"/>
              </w:numPr>
              <w:rPr>
                <w:sz w:val="20"/>
                <w:szCs w:val="20"/>
              </w:rPr>
            </w:pPr>
            <w:r w:rsidRPr="00F256F5">
              <w:rPr>
                <w:sz w:val="20"/>
                <w:szCs w:val="20"/>
              </w:rPr>
              <w:t>Aged care is one component of a health care system comprising care needs across the lifespan rather than by age or disability.</w:t>
            </w:r>
          </w:p>
          <w:p w14:paraId="7C373900" w14:textId="77777777" w:rsidR="00A44470" w:rsidRPr="00F256F5" w:rsidRDefault="00A44470" w:rsidP="00A44470">
            <w:pPr>
              <w:numPr>
                <w:ilvl w:val="0"/>
                <w:numId w:val="32"/>
              </w:numPr>
              <w:rPr>
                <w:sz w:val="20"/>
                <w:szCs w:val="20"/>
              </w:rPr>
            </w:pPr>
            <w:r w:rsidRPr="00F256F5">
              <w:rPr>
                <w:sz w:val="20"/>
                <w:szCs w:val="20"/>
              </w:rPr>
              <w:t>Care delivery is moving to an integrated model. Collaboration across and between disciplines, providers and local government is an important driver.</w:t>
            </w:r>
          </w:p>
          <w:p w14:paraId="6D92ACA8" w14:textId="77777777" w:rsidR="00A44470" w:rsidRPr="00F256F5" w:rsidRDefault="00A44470" w:rsidP="00A44470">
            <w:pPr>
              <w:numPr>
                <w:ilvl w:val="0"/>
                <w:numId w:val="32"/>
              </w:numPr>
              <w:autoSpaceDE w:val="0"/>
              <w:autoSpaceDN w:val="0"/>
              <w:adjustRightInd w:val="0"/>
              <w:rPr>
                <w:sz w:val="20"/>
                <w:szCs w:val="20"/>
              </w:rPr>
            </w:pPr>
            <w:r w:rsidRPr="00F256F5">
              <w:rPr>
                <w:sz w:val="20"/>
                <w:szCs w:val="20"/>
              </w:rPr>
              <w:t xml:space="preserve">Responsibility for delivery sits with local government to ensure tailored service provision. </w:t>
            </w:r>
          </w:p>
          <w:p w14:paraId="2EF6AC62" w14:textId="77777777" w:rsidR="00A44470" w:rsidRPr="00F256F5" w:rsidRDefault="00A44470" w:rsidP="00A44470">
            <w:pPr>
              <w:numPr>
                <w:ilvl w:val="0"/>
                <w:numId w:val="32"/>
              </w:numPr>
              <w:autoSpaceDE w:val="0"/>
              <w:autoSpaceDN w:val="0"/>
              <w:adjustRightInd w:val="0"/>
              <w:spacing w:after="120"/>
              <w:rPr>
                <w:sz w:val="20"/>
                <w:szCs w:val="20"/>
              </w:rPr>
            </w:pPr>
            <w:r w:rsidRPr="00F256F5">
              <w:rPr>
                <w:sz w:val="20"/>
                <w:szCs w:val="20"/>
              </w:rPr>
              <w:t>Responsibility for regulation of health care standards rests with three separate entities</w:t>
            </w:r>
          </w:p>
          <w:p w14:paraId="483FEF1D" w14:textId="77777777" w:rsidR="00A44470" w:rsidRPr="00F256F5" w:rsidRDefault="00A44470" w:rsidP="00A44470">
            <w:pPr>
              <w:numPr>
                <w:ilvl w:val="0"/>
                <w:numId w:val="33"/>
              </w:numPr>
              <w:autoSpaceDE w:val="0"/>
              <w:autoSpaceDN w:val="0"/>
              <w:adjustRightInd w:val="0"/>
              <w:spacing w:after="120"/>
              <w:rPr>
                <w:sz w:val="20"/>
                <w:szCs w:val="20"/>
              </w:rPr>
            </w:pPr>
            <w:r w:rsidRPr="00F256F5">
              <w:rPr>
                <w:sz w:val="20"/>
                <w:szCs w:val="20"/>
              </w:rPr>
              <w:t>NHS England oversees Clinical Commissioning Groups (CCGs) and directly commissioned services (e.g., offender and military healthcare) and undertakes an annual review of all CCGs.</w:t>
            </w:r>
          </w:p>
          <w:p w14:paraId="57C4F843" w14:textId="77777777" w:rsidR="00A44470" w:rsidRPr="00F256F5" w:rsidRDefault="00A44470" w:rsidP="00A44470">
            <w:pPr>
              <w:numPr>
                <w:ilvl w:val="0"/>
                <w:numId w:val="33"/>
              </w:numPr>
              <w:autoSpaceDE w:val="0"/>
              <w:autoSpaceDN w:val="0"/>
              <w:adjustRightInd w:val="0"/>
              <w:spacing w:after="120"/>
              <w:rPr>
                <w:sz w:val="20"/>
                <w:szCs w:val="20"/>
              </w:rPr>
            </w:pPr>
            <w:r w:rsidRPr="00F256F5">
              <w:rPr>
                <w:sz w:val="20"/>
                <w:szCs w:val="20"/>
              </w:rPr>
              <w:t xml:space="preserve">NHS Improvement oversees NHS foundation trusts and NHS trusts which provide secondary care Acute hospital care, Ambulance, community care (home visits, minor </w:t>
            </w:r>
            <w:proofErr w:type="gramStart"/>
            <w:r w:rsidRPr="00F256F5">
              <w:rPr>
                <w:sz w:val="20"/>
                <w:szCs w:val="20"/>
              </w:rPr>
              <w:t>injuries</w:t>
            </w:r>
            <w:proofErr w:type="gramEnd"/>
            <w:r w:rsidRPr="00F256F5">
              <w:rPr>
                <w:sz w:val="20"/>
                <w:szCs w:val="20"/>
              </w:rPr>
              <w:t xml:space="preserve"> and outpatients) and Mental Health care.</w:t>
            </w:r>
          </w:p>
          <w:p w14:paraId="3A74FC2E" w14:textId="77777777" w:rsidR="00A44470" w:rsidRPr="00F256F5" w:rsidRDefault="00A44470" w:rsidP="00A44470">
            <w:pPr>
              <w:numPr>
                <w:ilvl w:val="0"/>
                <w:numId w:val="33"/>
              </w:numPr>
              <w:autoSpaceDE w:val="0"/>
              <w:autoSpaceDN w:val="0"/>
              <w:adjustRightInd w:val="0"/>
              <w:spacing w:after="120"/>
              <w:rPr>
                <w:sz w:val="20"/>
                <w:szCs w:val="20"/>
              </w:rPr>
            </w:pPr>
            <w:r w:rsidRPr="00F256F5">
              <w:rPr>
                <w:sz w:val="20"/>
                <w:szCs w:val="20"/>
              </w:rPr>
              <w:lastRenderedPageBreak/>
              <w:t xml:space="preserve">The Care Quality Commission (CQC) plays a key role in regulating home, residential and community care providers (see below). </w:t>
            </w:r>
          </w:p>
        </w:tc>
        <w:tc>
          <w:tcPr>
            <w:tcW w:w="1524" w:type="pct"/>
            <w:tcBorders>
              <w:top w:val="single" w:sz="4" w:space="0" w:color="auto"/>
              <w:left w:val="single" w:sz="4" w:space="0" w:color="auto"/>
              <w:bottom w:val="single" w:sz="4" w:space="0" w:color="auto"/>
              <w:right w:val="single" w:sz="4" w:space="0" w:color="auto"/>
            </w:tcBorders>
          </w:tcPr>
          <w:p w14:paraId="34FB4262" w14:textId="77777777" w:rsidR="00A44470" w:rsidRPr="00F256F5" w:rsidRDefault="00A44470" w:rsidP="00A44470">
            <w:pPr>
              <w:numPr>
                <w:ilvl w:val="0"/>
                <w:numId w:val="32"/>
              </w:numPr>
              <w:autoSpaceDE w:val="0"/>
              <w:autoSpaceDN w:val="0"/>
              <w:adjustRightInd w:val="0"/>
              <w:rPr>
                <w:sz w:val="20"/>
                <w:szCs w:val="20"/>
              </w:rPr>
            </w:pPr>
            <w:r w:rsidRPr="00F256F5">
              <w:rPr>
                <w:sz w:val="20"/>
                <w:szCs w:val="20"/>
              </w:rPr>
              <w:lastRenderedPageBreak/>
              <w:t xml:space="preserve">The phrase Long-Term Care (LTC) is used to include nursing homes and residences for senior citizens. LTC consumers include people over 18 with disabilities who require assistance with daily living. The majority of LTC occurs in the care recipients’ homes. </w:t>
            </w:r>
          </w:p>
          <w:p w14:paraId="262E82FE" w14:textId="77777777" w:rsidR="00A44470" w:rsidRPr="00F256F5" w:rsidRDefault="00A44470" w:rsidP="00A44470">
            <w:pPr>
              <w:numPr>
                <w:ilvl w:val="0"/>
                <w:numId w:val="32"/>
              </w:numPr>
              <w:rPr>
                <w:sz w:val="20"/>
                <w:szCs w:val="20"/>
              </w:rPr>
            </w:pPr>
            <w:r w:rsidRPr="00F256F5">
              <w:rPr>
                <w:sz w:val="20"/>
                <w:szCs w:val="20"/>
              </w:rPr>
              <w:t xml:space="preserve">The federal government is responsible for setting and administering national standards for the health care system through the </w:t>
            </w:r>
            <w:r w:rsidRPr="00F256F5">
              <w:rPr>
                <w:i/>
                <w:iCs/>
                <w:sz w:val="20"/>
                <w:szCs w:val="20"/>
              </w:rPr>
              <w:t>Canada Health Act 1984</w:t>
            </w:r>
            <w:r w:rsidRPr="00F256F5">
              <w:rPr>
                <w:sz w:val="20"/>
                <w:szCs w:val="20"/>
              </w:rPr>
              <w:t>. These standards are essentially operational and do not address standards for quality care.</w:t>
            </w:r>
          </w:p>
          <w:p w14:paraId="6164187F" w14:textId="77777777" w:rsidR="00A44470" w:rsidRPr="00F256F5" w:rsidRDefault="00A44470" w:rsidP="00A44470">
            <w:pPr>
              <w:numPr>
                <w:ilvl w:val="0"/>
                <w:numId w:val="32"/>
              </w:numPr>
              <w:rPr>
                <w:sz w:val="20"/>
                <w:szCs w:val="20"/>
              </w:rPr>
            </w:pPr>
            <w:r w:rsidRPr="00F256F5">
              <w:rPr>
                <w:sz w:val="20"/>
                <w:szCs w:val="20"/>
              </w:rPr>
              <w:t xml:space="preserve">Provincial and territorial governments are responsible for the management, </w:t>
            </w:r>
            <w:proofErr w:type="spellStart"/>
            <w:proofErr w:type="gramStart"/>
            <w:r w:rsidRPr="00F256F5">
              <w:rPr>
                <w:sz w:val="20"/>
                <w:szCs w:val="20"/>
              </w:rPr>
              <w:t>organisation</w:t>
            </w:r>
            <w:proofErr w:type="spellEnd"/>
            <w:proofErr w:type="gramEnd"/>
            <w:r w:rsidRPr="00F256F5">
              <w:rPr>
                <w:sz w:val="20"/>
                <w:szCs w:val="20"/>
              </w:rPr>
              <w:t xml:space="preserve"> and delivery of health care services for their residents. All but one jurisdiction has legislation in place for LTC.</w:t>
            </w:r>
          </w:p>
          <w:p w14:paraId="580CB240" w14:textId="77777777" w:rsidR="00A44470" w:rsidRPr="00F256F5" w:rsidRDefault="00A44470" w:rsidP="00A44470">
            <w:pPr>
              <w:numPr>
                <w:ilvl w:val="0"/>
                <w:numId w:val="32"/>
              </w:numPr>
              <w:rPr>
                <w:rFonts w:cstheme="minorHAnsi"/>
                <w:sz w:val="20"/>
                <w:szCs w:val="20"/>
              </w:rPr>
            </w:pPr>
            <w:r w:rsidRPr="00F256F5">
              <w:rPr>
                <w:sz w:val="20"/>
                <w:szCs w:val="20"/>
              </w:rPr>
              <w:t xml:space="preserve">The regulation of LTC in Canada is </w:t>
            </w:r>
            <w:r>
              <w:rPr>
                <w:sz w:val="20"/>
                <w:szCs w:val="20"/>
              </w:rPr>
              <w:t xml:space="preserve">under scrutiny, with </w:t>
            </w:r>
            <w:r w:rsidRPr="00984E63">
              <w:rPr>
                <w:sz w:val="20"/>
                <w:szCs w:val="20"/>
              </w:rPr>
              <w:t>calls for an agreed set of national standards</w:t>
            </w:r>
            <w:r>
              <w:rPr>
                <w:sz w:val="20"/>
                <w:szCs w:val="20"/>
              </w:rPr>
              <w:t xml:space="preserve">, </w:t>
            </w:r>
            <w:r w:rsidRPr="00984E63">
              <w:rPr>
                <w:sz w:val="20"/>
                <w:szCs w:val="20"/>
              </w:rPr>
              <w:t xml:space="preserve">a senior-centric </w:t>
            </w:r>
            <w:proofErr w:type="gramStart"/>
            <w:r w:rsidRPr="00984E63">
              <w:rPr>
                <w:sz w:val="20"/>
                <w:szCs w:val="20"/>
              </w:rPr>
              <w:t>focus</w:t>
            </w:r>
            <w:proofErr w:type="gramEnd"/>
            <w:r w:rsidRPr="00984E63">
              <w:rPr>
                <w:sz w:val="20"/>
                <w:szCs w:val="20"/>
              </w:rPr>
              <w:t xml:space="preserve"> and a co-design approach to the delivery of care.</w:t>
            </w:r>
          </w:p>
        </w:tc>
        <w:tc>
          <w:tcPr>
            <w:tcW w:w="1597" w:type="pct"/>
            <w:tcBorders>
              <w:top w:val="single" w:sz="4" w:space="0" w:color="auto"/>
              <w:left w:val="single" w:sz="4" w:space="0" w:color="auto"/>
              <w:bottom w:val="single" w:sz="4" w:space="0" w:color="auto"/>
              <w:right w:val="single" w:sz="4" w:space="0" w:color="auto"/>
            </w:tcBorders>
          </w:tcPr>
          <w:p w14:paraId="7A1F3396" w14:textId="77777777" w:rsidR="00A44470" w:rsidRPr="00F256F5" w:rsidRDefault="00A44470" w:rsidP="00A44470">
            <w:pPr>
              <w:numPr>
                <w:ilvl w:val="0"/>
                <w:numId w:val="32"/>
              </w:numPr>
              <w:rPr>
                <w:sz w:val="20"/>
                <w:szCs w:val="20"/>
              </w:rPr>
            </w:pPr>
            <w:r w:rsidRPr="00F256F5">
              <w:rPr>
                <w:sz w:val="20"/>
                <w:szCs w:val="20"/>
              </w:rPr>
              <w:t xml:space="preserve">Aged care services are part of a broader health and disability services system, which focuses on quality citizen-centric outcomes. </w:t>
            </w:r>
          </w:p>
          <w:p w14:paraId="1A0B08BE" w14:textId="77777777" w:rsidR="00A44470" w:rsidRPr="00F256F5" w:rsidRDefault="00A44470" w:rsidP="00A44470">
            <w:pPr>
              <w:numPr>
                <w:ilvl w:val="0"/>
                <w:numId w:val="32"/>
              </w:numPr>
              <w:rPr>
                <w:sz w:val="20"/>
                <w:szCs w:val="20"/>
              </w:rPr>
            </w:pPr>
            <w:r w:rsidRPr="00F256F5">
              <w:rPr>
                <w:sz w:val="20"/>
                <w:szCs w:val="20"/>
              </w:rPr>
              <w:t>Health and disability services may be owned by District Health Boards (DHBs) or private entities including NGOs, Māori and Pacific providers and may be not for profit or for profit.</w:t>
            </w:r>
          </w:p>
          <w:p w14:paraId="345B0F41" w14:textId="77777777" w:rsidR="00A44470" w:rsidRPr="00F256F5" w:rsidRDefault="00A44470" w:rsidP="00A44470">
            <w:pPr>
              <w:numPr>
                <w:ilvl w:val="0"/>
                <w:numId w:val="32"/>
              </w:numPr>
              <w:rPr>
                <w:rFonts w:cstheme="minorHAnsi"/>
                <w:sz w:val="20"/>
                <w:szCs w:val="20"/>
              </w:rPr>
            </w:pPr>
            <w:r w:rsidRPr="00F256F5">
              <w:rPr>
                <w:sz w:val="20"/>
                <w:szCs w:val="20"/>
              </w:rPr>
              <w:t>The Ministry of Health (the Ministry) is responsible for funding, monitoring and performance and regulation of health and disability services including all those relating to aged care. Regulatory roles and responsibilities are spread across an additional five entities:</w:t>
            </w:r>
          </w:p>
          <w:p w14:paraId="24650D3A" w14:textId="77777777" w:rsidR="00A44470" w:rsidRPr="00F256F5" w:rsidRDefault="00A44470" w:rsidP="00A44470">
            <w:pPr>
              <w:numPr>
                <w:ilvl w:val="0"/>
                <w:numId w:val="33"/>
              </w:numPr>
              <w:autoSpaceDE w:val="0"/>
              <w:autoSpaceDN w:val="0"/>
              <w:adjustRightInd w:val="0"/>
              <w:spacing w:after="120"/>
              <w:rPr>
                <w:rFonts w:cstheme="minorHAnsi"/>
                <w:sz w:val="20"/>
                <w:szCs w:val="20"/>
              </w:rPr>
            </w:pPr>
            <w:r w:rsidRPr="00F256F5">
              <w:rPr>
                <w:rFonts w:cstheme="minorHAnsi"/>
                <w:sz w:val="20"/>
                <w:szCs w:val="20"/>
              </w:rPr>
              <w:t xml:space="preserve">The Health Quality and Safety Commission (HQSC – see below) </w:t>
            </w:r>
          </w:p>
          <w:p w14:paraId="53B93107" w14:textId="77777777" w:rsidR="00A44470" w:rsidRPr="00F256F5" w:rsidRDefault="00A44470" w:rsidP="00A44470">
            <w:pPr>
              <w:numPr>
                <w:ilvl w:val="0"/>
                <w:numId w:val="33"/>
              </w:numPr>
              <w:autoSpaceDE w:val="0"/>
              <w:autoSpaceDN w:val="0"/>
              <w:adjustRightInd w:val="0"/>
              <w:spacing w:after="120"/>
              <w:rPr>
                <w:rFonts w:cstheme="minorHAnsi"/>
                <w:sz w:val="20"/>
                <w:szCs w:val="20"/>
              </w:rPr>
            </w:pPr>
            <w:r w:rsidRPr="00F256F5">
              <w:rPr>
                <w:rFonts w:cstheme="minorHAnsi"/>
                <w:sz w:val="20"/>
                <w:szCs w:val="20"/>
              </w:rPr>
              <w:t xml:space="preserve">The Aged Care Commissioner (see below) </w:t>
            </w:r>
          </w:p>
          <w:p w14:paraId="029AB3E9" w14:textId="77777777" w:rsidR="00A44470" w:rsidRPr="00F256F5" w:rsidRDefault="00A44470" w:rsidP="00A44470">
            <w:pPr>
              <w:numPr>
                <w:ilvl w:val="0"/>
                <w:numId w:val="33"/>
              </w:numPr>
              <w:autoSpaceDE w:val="0"/>
              <w:autoSpaceDN w:val="0"/>
              <w:adjustRightInd w:val="0"/>
              <w:spacing w:after="120"/>
              <w:rPr>
                <w:rFonts w:cstheme="minorHAnsi"/>
                <w:sz w:val="20"/>
                <w:szCs w:val="20"/>
              </w:rPr>
            </w:pPr>
            <w:proofErr w:type="spellStart"/>
            <w:r w:rsidRPr="00F256F5">
              <w:rPr>
                <w:rFonts w:cstheme="minorHAnsi"/>
                <w:sz w:val="20"/>
                <w:szCs w:val="20"/>
              </w:rPr>
              <w:t>Healthcert</w:t>
            </w:r>
            <w:proofErr w:type="spellEnd"/>
            <w:r w:rsidRPr="00F256F5">
              <w:rPr>
                <w:rFonts w:cstheme="minorHAnsi"/>
                <w:sz w:val="20"/>
                <w:szCs w:val="20"/>
              </w:rPr>
              <w:t>, an entity within the Ministry which administers and enforces legislation relating to reasonable levels of services in various facilities including rest homes and disability care homes.</w:t>
            </w:r>
          </w:p>
          <w:p w14:paraId="03F4A75F" w14:textId="77777777" w:rsidR="00A44470" w:rsidRPr="00F256F5" w:rsidRDefault="00A44470" w:rsidP="00A44470">
            <w:pPr>
              <w:numPr>
                <w:ilvl w:val="0"/>
                <w:numId w:val="33"/>
              </w:numPr>
              <w:autoSpaceDE w:val="0"/>
              <w:autoSpaceDN w:val="0"/>
              <w:adjustRightInd w:val="0"/>
              <w:spacing w:after="120"/>
              <w:rPr>
                <w:rFonts w:cstheme="minorHAnsi"/>
                <w:sz w:val="20"/>
                <w:szCs w:val="20"/>
              </w:rPr>
            </w:pPr>
            <w:r w:rsidRPr="00F256F5">
              <w:rPr>
                <w:rFonts w:cstheme="minorHAnsi"/>
                <w:sz w:val="20"/>
                <w:szCs w:val="20"/>
              </w:rPr>
              <w:t>Designated Audit Agencies, which undertake audits on behalf of the Ministry.</w:t>
            </w:r>
          </w:p>
          <w:p w14:paraId="5BC5A40E" w14:textId="77777777" w:rsidR="00A44470" w:rsidRPr="00F256F5" w:rsidRDefault="00A44470" w:rsidP="00A44470">
            <w:pPr>
              <w:numPr>
                <w:ilvl w:val="0"/>
                <w:numId w:val="33"/>
              </w:numPr>
              <w:autoSpaceDE w:val="0"/>
              <w:autoSpaceDN w:val="0"/>
              <w:adjustRightInd w:val="0"/>
              <w:spacing w:after="120"/>
              <w:rPr>
                <w:rFonts w:cstheme="minorHAnsi"/>
                <w:sz w:val="20"/>
                <w:szCs w:val="20"/>
              </w:rPr>
            </w:pPr>
            <w:r w:rsidRPr="00F256F5">
              <w:rPr>
                <w:rFonts w:cstheme="minorHAnsi"/>
                <w:sz w:val="20"/>
                <w:szCs w:val="20"/>
              </w:rPr>
              <w:t xml:space="preserve">DHBs, which have responsibility, under NZ’s </w:t>
            </w:r>
            <w:r w:rsidRPr="00F256F5">
              <w:rPr>
                <w:rFonts w:cstheme="minorHAnsi"/>
                <w:i/>
                <w:iCs/>
                <w:sz w:val="20"/>
                <w:szCs w:val="20"/>
              </w:rPr>
              <w:t>Public Health and Disability Act 2000</w:t>
            </w:r>
            <w:r w:rsidRPr="00F256F5">
              <w:rPr>
                <w:rFonts w:cstheme="minorHAnsi"/>
                <w:sz w:val="20"/>
                <w:szCs w:val="20"/>
              </w:rPr>
              <w:t xml:space="preserve">, for primary and secondary health service integration and delivery at the local level. </w:t>
            </w:r>
            <w:r w:rsidRPr="00F256F5">
              <w:rPr>
                <w:rFonts w:cstheme="minorHAnsi"/>
                <w:sz w:val="20"/>
                <w:szCs w:val="20"/>
              </w:rPr>
              <w:lastRenderedPageBreak/>
              <w:t xml:space="preserve">DHBs focus on inclusive service delivery and eliminating health disparities among population groups. </w:t>
            </w:r>
          </w:p>
          <w:p w14:paraId="483394ED" w14:textId="77777777" w:rsidR="00A44470" w:rsidRPr="00F256F5" w:rsidRDefault="00A44470" w:rsidP="00A44470">
            <w:pPr>
              <w:numPr>
                <w:ilvl w:val="0"/>
                <w:numId w:val="33"/>
              </w:numPr>
              <w:autoSpaceDE w:val="0"/>
              <w:autoSpaceDN w:val="0"/>
              <w:adjustRightInd w:val="0"/>
              <w:spacing w:after="120"/>
              <w:rPr>
                <w:rFonts w:cstheme="minorHAnsi"/>
                <w:sz w:val="20"/>
                <w:szCs w:val="20"/>
              </w:rPr>
            </w:pPr>
            <w:r w:rsidRPr="00F256F5">
              <w:rPr>
                <w:rFonts w:cstheme="minorHAnsi"/>
                <w:sz w:val="20"/>
                <w:szCs w:val="20"/>
              </w:rPr>
              <w:t xml:space="preserve">Chief Ombudsman, which examines and monitors the condition and treatment of people detained in health and disability facilities. </w:t>
            </w:r>
          </w:p>
        </w:tc>
      </w:tr>
      <w:tr w:rsidR="00A44470" w:rsidRPr="00F256F5" w14:paraId="29704D4F" w14:textId="77777777" w:rsidTr="002701C1">
        <w:trPr>
          <w:trHeight w:val="1203"/>
        </w:trPr>
        <w:tc>
          <w:tcPr>
            <w:tcW w:w="4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C5EEE52" w14:textId="77777777" w:rsidR="00A44470" w:rsidRPr="00984E63" w:rsidRDefault="00A44470" w:rsidP="001D4FB6">
            <w:pPr>
              <w:tabs>
                <w:tab w:val="left" w:pos="720"/>
              </w:tabs>
              <w:rPr>
                <w:rFonts w:cstheme="minorHAnsi"/>
                <w:b/>
                <w:sz w:val="20"/>
                <w:szCs w:val="20"/>
              </w:rPr>
            </w:pPr>
            <w:r w:rsidRPr="00984E63">
              <w:rPr>
                <w:rFonts w:cstheme="minorHAnsi"/>
                <w:b/>
                <w:sz w:val="20"/>
                <w:szCs w:val="20"/>
              </w:rPr>
              <w:lastRenderedPageBreak/>
              <w:t>Key regulatory bodies for aged care</w:t>
            </w:r>
          </w:p>
        </w:tc>
        <w:tc>
          <w:tcPr>
            <w:tcW w:w="1383" w:type="pct"/>
            <w:tcBorders>
              <w:top w:val="single" w:sz="4" w:space="0" w:color="auto"/>
              <w:left w:val="single" w:sz="4" w:space="0" w:color="auto"/>
              <w:bottom w:val="single" w:sz="4" w:space="0" w:color="auto"/>
              <w:right w:val="single" w:sz="4" w:space="0" w:color="auto"/>
            </w:tcBorders>
          </w:tcPr>
          <w:p w14:paraId="40E9AA6A" w14:textId="77777777" w:rsidR="00A44470" w:rsidRPr="00F256F5" w:rsidRDefault="00A44470" w:rsidP="001D4FB6">
            <w:pPr>
              <w:shd w:val="clear" w:color="auto" w:fill="FFFFFF"/>
              <w:rPr>
                <w:rFonts w:cstheme="minorHAnsi"/>
                <w:sz w:val="20"/>
                <w:szCs w:val="20"/>
              </w:rPr>
            </w:pPr>
            <w:r w:rsidRPr="00F256F5">
              <w:rPr>
                <w:rFonts w:cstheme="minorHAnsi"/>
                <w:sz w:val="20"/>
                <w:szCs w:val="20"/>
              </w:rPr>
              <w:t>The CQC regulates health and adult social care providers operating under the NHS and in the independent sector. The CQC:</w:t>
            </w:r>
          </w:p>
          <w:p w14:paraId="5F3B6A31"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registers and assesses providers against national standards of quality and safety</w:t>
            </w:r>
          </w:p>
          <w:p w14:paraId="0565B0CC"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 xml:space="preserve">regulates and inspects providers against the standards </w:t>
            </w:r>
          </w:p>
          <w:p w14:paraId="293C312B"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 xml:space="preserve">enforces compliance with the care quality standards using a range of powers </w:t>
            </w:r>
          </w:p>
          <w:p w14:paraId="0536F4CC" w14:textId="77777777" w:rsidR="00A44470" w:rsidRPr="00F256F5" w:rsidRDefault="00A44470" w:rsidP="00A44470">
            <w:pPr>
              <w:numPr>
                <w:ilvl w:val="0"/>
                <w:numId w:val="31"/>
              </w:numPr>
              <w:autoSpaceDE w:val="0"/>
              <w:autoSpaceDN w:val="0"/>
              <w:adjustRightInd w:val="0"/>
              <w:spacing w:after="120"/>
              <w:rPr>
                <w:rFonts w:cstheme="minorHAnsi"/>
                <w:sz w:val="20"/>
                <w:szCs w:val="20"/>
              </w:rPr>
            </w:pPr>
            <w:r w:rsidRPr="00F256F5">
              <w:rPr>
                <w:rFonts w:cstheme="minorHAnsi"/>
                <w:sz w:val="20"/>
                <w:szCs w:val="20"/>
              </w:rPr>
              <w:t>publishes information about the performance of health and social care services and engagement with key stakeholders.</w:t>
            </w:r>
          </w:p>
          <w:p w14:paraId="2859F61A" w14:textId="77777777" w:rsidR="00A44470" w:rsidRPr="00F256F5" w:rsidRDefault="00A44470" w:rsidP="001D4FB6">
            <w:pPr>
              <w:tabs>
                <w:tab w:val="left" w:pos="720"/>
              </w:tabs>
              <w:spacing w:after="120"/>
              <w:rPr>
                <w:rFonts w:cstheme="minorHAnsi"/>
                <w:sz w:val="20"/>
                <w:szCs w:val="20"/>
              </w:rPr>
            </w:pPr>
            <w:r w:rsidRPr="00F256F5">
              <w:rPr>
                <w:rFonts w:cstheme="minorHAnsi"/>
                <w:sz w:val="20"/>
                <w:szCs w:val="20"/>
              </w:rPr>
              <w:t xml:space="preserve">Several Government funded </w:t>
            </w:r>
            <w:proofErr w:type="spellStart"/>
            <w:r w:rsidRPr="00F256F5">
              <w:rPr>
                <w:rFonts w:cstheme="minorHAnsi"/>
                <w:sz w:val="20"/>
                <w:szCs w:val="20"/>
              </w:rPr>
              <w:t>organisations</w:t>
            </w:r>
            <w:proofErr w:type="spellEnd"/>
            <w:r w:rsidRPr="00F256F5">
              <w:rPr>
                <w:rFonts w:cstheme="minorHAnsi"/>
                <w:sz w:val="20"/>
                <w:szCs w:val="20"/>
              </w:rPr>
              <w:t xml:space="preserve"> participate in the quality process alongside the CQC, namely:</w:t>
            </w:r>
          </w:p>
          <w:p w14:paraId="1E42FB92"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the Social Care Institute for Excellence (promotes and communicate best practice)</w:t>
            </w:r>
          </w:p>
          <w:p w14:paraId="0AB9C564"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the National Institute for Health and Care Excellence (responsible for creating the quality standards)</w:t>
            </w:r>
          </w:p>
          <w:p w14:paraId="13D64D65"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Skills for Care (assists providers with their workforce), and</w:t>
            </w:r>
          </w:p>
          <w:p w14:paraId="54CD023F" w14:textId="2CFA8693" w:rsidR="00A44470" w:rsidRPr="00F256F5" w:rsidRDefault="00A44470" w:rsidP="002701C1">
            <w:pPr>
              <w:numPr>
                <w:ilvl w:val="0"/>
                <w:numId w:val="31"/>
              </w:numPr>
              <w:autoSpaceDE w:val="0"/>
              <w:autoSpaceDN w:val="0"/>
              <w:adjustRightInd w:val="0"/>
              <w:rPr>
                <w:rFonts w:ascii="Arial" w:hAnsi="Arial" w:cstheme="minorHAnsi"/>
                <w:color w:val="000000"/>
                <w:sz w:val="20"/>
                <w:szCs w:val="20"/>
              </w:rPr>
            </w:pPr>
            <w:r w:rsidRPr="00F256F5">
              <w:rPr>
                <w:rFonts w:cstheme="minorHAnsi"/>
                <w:sz w:val="20"/>
                <w:szCs w:val="20"/>
              </w:rPr>
              <w:lastRenderedPageBreak/>
              <w:t>Healthwatch teams (operate at a local level, representing consumers and members of the public in the oversight of quality care).</w:t>
            </w:r>
          </w:p>
        </w:tc>
        <w:tc>
          <w:tcPr>
            <w:tcW w:w="1524" w:type="pct"/>
            <w:tcBorders>
              <w:top w:val="single" w:sz="4" w:space="0" w:color="auto"/>
              <w:left w:val="single" w:sz="4" w:space="0" w:color="auto"/>
              <w:bottom w:val="single" w:sz="4" w:space="0" w:color="auto"/>
              <w:right w:val="single" w:sz="4" w:space="0" w:color="auto"/>
            </w:tcBorders>
          </w:tcPr>
          <w:p w14:paraId="57DC11B0" w14:textId="77777777" w:rsidR="00A44470" w:rsidRPr="00774050" w:rsidRDefault="00A44470" w:rsidP="00A44470">
            <w:pPr>
              <w:numPr>
                <w:ilvl w:val="0"/>
                <w:numId w:val="31"/>
              </w:numPr>
              <w:autoSpaceDE w:val="0"/>
              <w:autoSpaceDN w:val="0"/>
              <w:adjustRightInd w:val="0"/>
              <w:rPr>
                <w:rFonts w:cstheme="minorHAnsi"/>
                <w:sz w:val="20"/>
                <w:szCs w:val="20"/>
              </w:rPr>
            </w:pPr>
            <w:r w:rsidRPr="00774050">
              <w:rPr>
                <w:rFonts w:cstheme="minorHAnsi"/>
                <w:sz w:val="20"/>
                <w:szCs w:val="20"/>
              </w:rPr>
              <w:lastRenderedPageBreak/>
              <w:t>The Ministry of Health regulates government run LTC homes under the Long-Term Care Homes Act 2007. Inspections are carried out under the auspices of the Ministry. Despite a risk-based approach, 2020 performance reports indicate inspections generally occur with notice and in response to critical incidents and complaints. Reliance on the mandatory reporting of critical incidents and complaints to drive site visits does not enable proactive risk management.</w:t>
            </w:r>
          </w:p>
          <w:p w14:paraId="309F6EDF" w14:textId="77777777" w:rsidR="00A44470" w:rsidRPr="00774050" w:rsidRDefault="00A44470" w:rsidP="00A44470">
            <w:pPr>
              <w:numPr>
                <w:ilvl w:val="0"/>
                <w:numId w:val="31"/>
              </w:numPr>
              <w:autoSpaceDE w:val="0"/>
              <w:autoSpaceDN w:val="0"/>
              <w:adjustRightInd w:val="0"/>
              <w:rPr>
                <w:rFonts w:cstheme="minorHAnsi"/>
                <w:sz w:val="20"/>
                <w:szCs w:val="20"/>
              </w:rPr>
            </w:pPr>
            <w:r w:rsidRPr="00774050">
              <w:rPr>
                <w:rFonts w:cstheme="minorHAnsi"/>
                <w:sz w:val="20"/>
                <w:szCs w:val="20"/>
              </w:rPr>
              <w:t>Providers from the for-profit sector are not subjected to the same scrutiny. A study in the Canadian Medical Association Journal of all LTC homes in Canada highlights evidence to suggest that for-profit homes deliver inferior care across a variety of outcome and process measures.</w:t>
            </w:r>
          </w:p>
          <w:p w14:paraId="6F6D23FF" w14:textId="77777777" w:rsidR="00A44470" w:rsidRPr="00774050" w:rsidRDefault="00A44470" w:rsidP="00A44470">
            <w:pPr>
              <w:numPr>
                <w:ilvl w:val="0"/>
                <w:numId w:val="31"/>
              </w:numPr>
              <w:autoSpaceDE w:val="0"/>
              <w:autoSpaceDN w:val="0"/>
              <w:adjustRightInd w:val="0"/>
              <w:rPr>
                <w:rFonts w:cstheme="minorHAnsi"/>
                <w:sz w:val="20"/>
                <w:szCs w:val="20"/>
              </w:rPr>
            </w:pPr>
            <w:r w:rsidRPr="00774050">
              <w:rPr>
                <w:rFonts w:cstheme="minorHAnsi"/>
                <w:sz w:val="20"/>
                <w:szCs w:val="20"/>
              </w:rPr>
              <w:t xml:space="preserve">National level data is captured in the Home Care Reporting System (HCRS) managed by the Canadian Institute for Health Information. Information contains demographic, clinical, functional and resource utilization information on clients served by publicly funded home care programs in Canada. Data is provided by </w:t>
            </w:r>
            <w:r w:rsidRPr="00774050">
              <w:rPr>
                <w:rFonts w:cstheme="minorHAnsi"/>
                <w:sz w:val="20"/>
                <w:szCs w:val="20"/>
              </w:rPr>
              <w:lastRenderedPageBreak/>
              <w:t xml:space="preserve">provincial or territorial ministries of health and regional </w:t>
            </w:r>
            <w:proofErr w:type="spellStart"/>
            <w:r w:rsidRPr="00774050">
              <w:rPr>
                <w:rFonts w:cstheme="minorHAnsi"/>
                <w:sz w:val="20"/>
                <w:szCs w:val="20"/>
              </w:rPr>
              <w:t>organisations</w:t>
            </w:r>
            <w:proofErr w:type="spellEnd"/>
            <w:r w:rsidRPr="00774050">
              <w:rPr>
                <w:rFonts w:cstheme="minorHAnsi"/>
                <w:sz w:val="20"/>
                <w:szCs w:val="20"/>
              </w:rPr>
              <w:t xml:space="preserve"> including regional health authorities and community care access </w:t>
            </w:r>
            <w:proofErr w:type="spellStart"/>
            <w:r w:rsidRPr="00774050">
              <w:rPr>
                <w:rFonts w:cstheme="minorHAnsi"/>
                <w:sz w:val="20"/>
                <w:szCs w:val="20"/>
              </w:rPr>
              <w:t>centres</w:t>
            </w:r>
            <w:proofErr w:type="spellEnd"/>
            <w:r w:rsidRPr="00774050">
              <w:rPr>
                <w:rFonts w:cstheme="minorHAnsi"/>
                <w:sz w:val="20"/>
                <w:szCs w:val="20"/>
              </w:rPr>
              <w:t>.</w:t>
            </w:r>
          </w:p>
        </w:tc>
        <w:tc>
          <w:tcPr>
            <w:tcW w:w="1597" w:type="pct"/>
            <w:tcBorders>
              <w:top w:val="single" w:sz="4" w:space="0" w:color="auto"/>
              <w:left w:val="single" w:sz="4" w:space="0" w:color="auto"/>
              <w:bottom w:val="single" w:sz="4" w:space="0" w:color="auto"/>
              <w:right w:val="single" w:sz="4" w:space="0" w:color="auto"/>
            </w:tcBorders>
          </w:tcPr>
          <w:p w14:paraId="490AD650" w14:textId="77777777" w:rsidR="00A44470" w:rsidRPr="00F256F5" w:rsidRDefault="00A44470" w:rsidP="001D4FB6">
            <w:pPr>
              <w:autoSpaceDE w:val="0"/>
              <w:autoSpaceDN w:val="0"/>
              <w:adjustRightInd w:val="0"/>
              <w:rPr>
                <w:rFonts w:cstheme="minorHAnsi"/>
                <w:sz w:val="20"/>
                <w:szCs w:val="20"/>
              </w:rPr>
            </w:pPr>
            <w:r w:rsidRPr="00F256F5">
              <w:rPr>
                <w:rFonts w:cstheme="minorHAnsi"/>
                <w:sz w:val="20"/>
                <w:szCs w:val="20"/>
              </w:rPr>
              <w:lastRenderedPageBreak/>
              <w:t>The HQSC is an independent body responsible for:</w:t>
            </w:r>
          </w:p>
          <w:p w14:paraId="3FCC8B76"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providing advice to the Minister on how quality and safety in health and disability support services may be improved.</w:t>
            </w:r>
          </w:p>
          <w:p w14:paraId="250F03E3"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leading and coordinating improvements in safety and quality in healthcare</w:t>
            </w:r>
          </w:p>
          <w:p w14:paraId="4C14E305"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identifying key health and safety indicators to inform and monitor improvements in safety and quality</w:t>
            </w:r>
          </w:p>
          <w:p w14:paraId="58562290"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reporting publicly on safety and quality, including against national indicators</w:t>
            </w:r>
          </w:p>
          <w:p w14:paraId="7B78CFCA"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sharing knowledge about and advocating for safety and quality.</w:t>
            </w:r>
          </w:p>
          <w:p w14:paraId="64C884A6"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The Aged Care Commissioner is supported by a team within the Health and Disability Services Commission. The Commissioner’s role is to:</w:t>
            </w:r>
          </w:p>
          <w:p w14:paraId="7B95AF57"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advocate for quality health and disability services on behalf of older people – in their home, primary care, community care, care home, or public/private hospitals.</w:t>
            </w:r>
          </w:p>
          <w:p w14:paraId="3874910B" w14:textId="77777777" w:rsidR="00A44470" w:rsidRPr="00F256F5" w:rsidRDefault="00A44470" w:rsidP="00A44470">
            <w:pPr>
              <w:numPr>
                <w:ilvl w:val="0"/>
                <w:numId w:val="31"/>
              </w:numPr>
              <w:autoSpaceDE w:val="0"/>
              <w:autoSpaceDN w:val="0"/>
              <w:adjustRightInd w:val="0"/>
              <w:rPr>
                <w:rFonts w:cstheme="minorHAnsi"/>
                <w:sz w:val="20"/>
                <w:szCs w:val="20"/>
              </w:rPr>
            </w:pPr>
            <w:r w:rsidRPr="00F256F5">
              <w:rPr>
                <w:rFonts w:cstheme="minorHAnsi"/>
                <w:sz w:val="20"/>
                <w:szCs w:val="20"/>
              </w:rPr>
              <w:t>provide oversight of the aged-care sector.</w:t>
            </w:r>
          </w:p>
          <w:p w14:paraId="6AED3753" w14:textId="77777777" w:rsidR="00A44470" w:rsidRPr="00F256F5" w:rsidRDefault="00A44470" w:rsidP="00A44470">
            <w:pPr>
              <w:numPr>
                <w:ilvl w:val="0"/>
                <w:numId w:val="31"/>
              </w:numPr>
              <w:autoSpaceDE w:val="0"/>
              <w:autoSpaceDN w:val="0"/>
              <w:adjustRightInd w:val="0"/>
              <w:rPr>
                <w:rFonts w:cstheme="minorHAnsi"/>
                <w:sz w:val="20"/>
                <w:szCs w:val="20"/>
                <w:lang w:eastAsia="en-AU"/>
              </w:rPr>
            </w:pPr>
            <w:r w:rsidRPr="00F256F5">
              <w:rPr>
                <w:rFonts w:cstheme="minorHAnsi"/>
                <w:sz w:val="20"/>
                <w:szCs w:val="20"/>
              </w:rPr>
              <w:t xml:space="preserve">make statutory decisions on complaints and formal investigations into older people’s health and disability services, to protect their rights under </w:t>
            </w:r>
            <w:r w:rsidRPr="00774050">
              <w:rPr>
                <w:rFonts w:cstheme="minorHAnsi"/>
                <w:sz w:val="20"/>
                <w:szCs w:val="20"/>
              </w:rPr>
              <w:t>The Code of Health and Disability Services Consumers' Rights</w:t>
            </w:r>
            <w:r w:rsidRPr="00F256F5">
              <w:rPr>
                <w:rFonts w:cstheme="minorHAnsi"/>
                <w:sz w:val="20"/>
                <w:szCs w:val="20"/>
              </w:rPr>
              <w:t>.</w:t>
            </w:r>
          </w:p>
        </w:tc>
      </w:tr>
      <w:tr w:rsidR="00A44470" w:rsidRPr="00F256F5" w14:paraId="6F96F406" w14:textId="77777777" w:rsidTr="001D4FB6">
        <w:tc>
          <w:tcPr>
            <w:tcW w:w="496" w:type="pct"/>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52A7BD" w14:textId="77777777" w:rsidR="00A44470" w:rsidRPr="00984E63" w:rsidRDefault="00A44470" w:rsidP="001D4FB6">
            <w:pPr>
              <w:tabs>
                <w:tab w:val="left" w:pos="720"/>
              </w:tabs>
              <w:rPr>
                <w:rFonts w:cstheme="minorHAnsi"/>
                <w:b/>
                <w:sz w:val="20"/>
                <w:szCs w:val="20"/>
              </w:rPr>
            </w:pPr>
            <w:r w:rsidRPr="00984E63">
              <w:rPr>
                <w:rFonts w:cstheme="minorHAnsi"/>
                <w:b/>
                <w:sz w:val="20"/>
                <w:szCs w:val="20"/>
              </w:rPr>
              <w:t>Best practice enablers</w:t>
            </w:r>
          </w:p>
          <w:p w14:paraId="01F9E7EA" w14:textId="77777777" w:rsidR="00A44470" w:rsidRPr="00984E63" w:rsidRDefault="00A44470" w:rsidP="001D4FB6">
            <w:pPr>
              <w:tabs>
                <w:tab w:val="left" w:pos="720"/>
              </w:tabs>
              <w:rPr>
                <w:rFonts w:cstheme="minorHAnsi"/>
                <w:bCs/>
                <w:sz w:val="20"/>
                <w:szCs w:val="20"/>
                <w:highlight w:val="yellow"/>
              </w:rPr>
            </w:pPr>
          </w:p>
          <w:p w14:paraId="6B429ED9" w14:textId="77777777" w:rsidR="00A44470" w:rsidRPr="00F256F5" w:rsidRDefault="00A44470" w:rsidP="001D4FB6">
            <w:pPr>
              <w:tabs>
                <w:tab w:val="left" w:pos="720"/>
              </w:tabs>
              <w:rPr>
                <w:rFonts w:cstheme="minorHAnsi"/>
                <w:bCs/>
                <w:i/>
                <w:iCs/>
                <w:sz w:val="20"/>
                <w:szCs w:val="20"/>
              </w:rPr>
            </w:pPr>
          </w:p>
        </w:tc>
        <w:tc>
          <w:tcPr>
            <w:tcW w:w="1383" w:type="pct"/>
            <w:tcBorders>
              <w:top w:val="single" w:sz="4" w:space="0" w:color="auto"/>
              <w:left w:val="single" w:sz="4" w:space="0" w:color="auto"/>
              <w:bottom w:val="single" w:sz="4" w:space="0" w:color="auto"/>
              <w:right w:val="single" w:sz="4" w:space="0" w:color="auto"/>
            </w:tcBorders>
            <w:shd w:val="clear" w:color="auto" w:fill="auto"/>
          </w:tcPr>
          <w:p w14:paraId="75D4D66E" w14:textId="77777777" w:rsidR="00A44470" w:rsidRPr="00F256F5" w:rsidRDefault="00A44470" w:rsidP="001D4FB6">
            <w:pPr>
              <w:autoSpaceDE w:val="0"/>
              <w:autoSpaceDN w:val="0"/>
              <w:adjustRightInd w:val="0"/>
              <w:spacing w:after="120"/>
              <w:rPr>
                <w:sz w:val="20"/>
                <w:szCs w:val="20"/>
              </w:rPr>
            </w:pPr>
            <w:r>
              <w:rPr>
                <w:sz w:val="20"/>
                <w:szCs w:val="20"/>
              </w:rPr>
              <w:t xml:space="preserve"> Four </w:t>
            </w:r>
            <w:r w:rsidRPr="00F256F5">
              <w:rPr>
                <w:sz w:val="20"/>
                <w:szCs w:val="20"/>
              </w:rPr>
              <w:t>strengths in the English system:</w:t>
            </w:r>
          </w:p>
          <w:p w14:paraId="01332497" w14:textId="77777777" w:rsidR="00A44470" w:rsidRPr="00F256F5" w:rsidRDefault="00A44470" w:rsidP="00A44470">
            <w:pPr>
              <w:numPr>
                <w:ilvl w:val="0"/>
                <w:numId w:val="34"/>
              </w:numPr>
              <w:autoSpaceDE w:val="0"/>
              <w:autoSpaceDN w:val="0"/>
              <w:adjustRightInd w:val="0"/>
              <w:rPr>
                <w:rFonts w:cstheme="minorHAnsi"/>
                <w:sz w:val="20"/>
                <w:szCs w:val="20"/>
              </w:rPr>
            </w:pPr>
            <w:r w:rsidRPr="00F256F5">
              <w:rPr>
                <w:rFonts w:cstheme="minorHAnsi"/>
                <w:bCs/>
                <w:sz w:val="20"/>
                <w:szCs w:val="20"/>
              </w:rPr>
              <w:t>Intelligence, data sharing and data analytics</w:t>
            </w:r>
            <w:r w:rsidRPr="00F256F5">
              <w:rPr>
                <w:rFonts w:cstheme="minorHAnsi"/>
                <w:sz w:val="20"/>
                <w:szCs w:val="20"/>
              </w:rPr>
              <w:t xml:space="preserve"> – Feedback channels are supported by data </w:t>
            </w:r>
            <w:proofErr w:type="gramStart"/>
            <w:r w:rsidRPr="00F256F5">
              <w:rPr>
                <w:rFonts w:cstheme="minorHAnsi"/>
                <w:sz w:val="20"/>
                <w:szCs w:val="20"/>
              </w:rPr>
              <w:t>sharing</w:t>
            </w:r>
            <w:proofErr w:type="gramEnd"/>
            <w:r w:rsidRPr="00F256F5">
              <w:rPr>
                <w:rFonts w:cstheme="minorHAnsi"/>
                <w:sz w:val="20"/>
                <w:szCs w:val="20"/>
              </w:rPr>
              <w:t xml:space="preserve"> so people don’t need to repeat themselves. Technology and people capabilities combine to </w:t>
            </w:r>
            <w:proofErr w:type="spellStart"/>
            <w:r w:rsidRPr="00F256F5">
              <w:rPr>
                <w:rFonts w:cstheme="minorHAnsi"/>
                <w:sz w:val="20"/>
                <w:szCs w:val="20"/>
              </w:rPr>
              <w:t>optimise</w:t>
            </w:r>
            <w:proofErr w:type="spellEnd"/>
            <w:r w:rsidRPr="00F256F5">
              <w:rPr>
                <w:rFonts w:cstheme="minorHAnsi"/>
                <w:sz w:val="20"/>
                <w:szCs w:val="20"/>
              </w:rPr>
              <w:t xml:space="preserve"> insights from hard data and soft intelligence to identify heightened risks of a poor provider culture going undetected. Real time updates in performance data build trust in the regulator and data analytics enables risk management in terms of forecasting potential risks.</w:t>
            </w:r>
          </w:p>
          <w:p w14:paraId="220F5441" w14:textId="77777777" w:rsidR="00A44470" w:rsidRPr="00F256F5" w:rsidRDefault="00A44470" w:rsidP="00A44470">
            <w:pPr>
              <w:numPr>
                <w:ilvl w:val="0"/>
                <w:numId w:val="34"/>
              </w:numPr>
              <w:autoSpaceDE w:val="0"/>
              <w:autoSpaceDN w:val="0"/>
              <w:adjustRightInd w:val="0"/>
              <w:rPr>
                <w:rFonts w:cstheme="minorHAnsi"/>
                <w:sz w:val="20"/>
                <w:szCs w:val="20"/>
              </w:rPr>
            </w:pPr>
            <w:r w:rsidRPr="00F256F5">
              <w:rPr>
                <w:rFonts w:ascii="Calibri" w:hAnsi="Calibri" w:cstheme="minorHAnsi"/>
                <w:bCs/>
                <w:sz w:val="20"/>
                <w:szCs w:val="20"/>
              </w:rPr>
              <w:t>Consumer centric focus</w:t>
            </w:r>
            <w:r w:rsidRPr="00F256F5">
              <w:rPr>
                <w:rFonts w:ascii="Calibri" w:hAnsi="Calibri" w:cstheme="minorHAnsi"/>
                <w:sz w:val="20"/>
                <w:szCs w:val="20"/>
              </w:rPr>
              <w:t xml:space="preserve"> - Regulation is driven by people’s needs and experiences, focusing on what’s important to people and communities when </w:t>
            </w:r>
            <w:r w:rsidRPr="00F256F5">
              <w:rPr>
                <w:rFonts w:cstheme="minorHAnsi"/>
                <w:sz w:val="20"/>
                <w:szCs w:val="20"/>
              </w:rPr>
              <w:t xml:space="preserve">they access, </w:t>
            </w:r>
            <w:proofErr w:type="gramStart"/>
            <w:r w:rsidRPr="00F256F5">
              <w:rPr>
                <w:rFonts w:cstheme="minorHAnsi"/>
                <w:sz w:val="20"/>
                <w:szCs w:val="20"/>
              </w:rPr>
              <w:t>use</w:t>
            </w:r>
            <w:proofErr w:type="gramEnd"/>
            <w:r w:rsidRPr="00F256F5">
              <w:rPr>
                <w:rFonts w:cstheme="minorHAnsi"/>
                <w:sz w:val="20"/>
                <w:szCs w:val="20"/>
              </w:rPr>
              <w:t xml:space="preserve"> and move between services.</w:t>
            </w:r>
          </w:p>
          <w:p w14:paraId="411FF936" w14:textId="77777777" w:rsidR="00A44470" w:rsidRPr="00F256F5" w:rsidRDefault="00A44470" w:rsidP="00A44470">
            <w:pPr>
              <w:numPr>
                <w:ilvl w:val="0"/>
                <w:numId w:val="34"/>
              </w:numPr>
              <w:autoSpaceDE w:val="0"/>
              <w:autoSpaceDN w:val="0"/>
              <w:adjustRightInd w:val="0"/>
              <w:rPr>
                <w:rFonts w:cstheme="minorHAnsi"/>
                <w:sz w:val="20"/>
                <w:szCs w:val="20"/>
              </w:rPr>
            </w:pPr>
            <w:r w:rsidRPr="00F256F5">
              <w:rPr>
                <w:rFonts w:cstheme="minorHAnsi"/>
                <w:bCs/>
                <w:sz w:val="20"/>
                <w:szCs w:val="20"/>
              </w:rPr>
              <w:t>Collaboration</w:t>
            </w:r>
            <w:r w:rsidRPr="00F256F5">
              <w:rPr>
                <w:rFonts w:cstheme="minorHAnsi"/>
                <w:sz w:val="20"/>
                <w:szCs w:val="20"/>
              </w:rPr>
              <w:t xml:space="preserve"> - A shared culture of quality improvement is enabled through collaborative quality improvement programs in which staff develop ideas for improvement based on their experience and provide peer-to-peer learning. Collaboration is also identified as an important enabler for change management.</w:t>
            </w:r>
          </w:p>
          <w:p w14:paraId="02A8696C" w14:textId="77777777" w:rsidR="00A44470" w:rsidRPr="00F256F5" w:rsidRDefault="00A44470" w:rsidP="00A44470">
            <w:pPr>
              <w:numPr>
                <w:ilvl w:val="0"/>
                <w:numId w:val="34"/>
              </w:numPr>
              <w:autoSpaceDE w:val="0"/>
              <w:autoSpaceDN w:val="0"/>
              <w:adjustRightInd w:val="0"/>
              <w:rPr>
                <w:rFonts w:cstheme="minorHAnsi"/>
                <w:sz w:val="20"/>
                <w:szCs w:val="20"/>
              </w:rPr>
            </w:pPr>
            <w:r w:rsidRPr="00F256F5">
              <w:rPr>
                <w:rFonts w:cstheme="minorHAnsi"/>
                <w:bCs/>
                <w:sz w:val="20"/>
                <w:szCs w:val="20"/>
              </w:rPr>
              <w:lastRenderedPageBreak/>
              <w:t>Workforce planning</w:t>
            </w:r>
            <w:r w:rsidRPr="00F256F5">
              <w:rPr>
                <w:rFonts w:cstheme="minorHAnsi"/>
                <w:sz w:val="20"/>
                <w:szCs w:val="20"/>
              </w:rPr>
              <w:t xml:space="preserve"> - Strategic workforce planning includes identifying the capabilities, aptitudes, </w:t>
            </w:r>
            <w:proofErr w:type="gramStart"/>
            <w:r w:rsidRPr="00F256F5">
              <w:rPr>
                <w:rFonts w:cstheme="minorHAnsi"/>
                <w:sz w:val="20"/>
                <w:szCs w:val="20"/>
              </w:rPr>
              <w:t>skills</w:t>
            </w:r>
            <w:proofErr w:type="gramEnd"/>
            <w:r w:rsidRPr="00F256F5">
              <w:rPr>
                <w:rFonts w:cstheme="minorHAnsi"/>
                <w:sz w:val="20"/>
                <w:szCs w:val="20"/>
              </w:rPr>
              <w:t xml:space="preserve"> and qualifications required to enable the CQC to deliver better practice regulation. Relevant planning informs career progression, succession planning and professional learning and development.</w:t>
            </w:r>
          </w:p>
          <w:p w14:paraId="11E0F31C" w14:textId="77777777" w:rsidR="00A44470" w:rsidRPr="00F256F5" w:rsidRDefault="00A44470" w:rsidP="00A44470">
            <w:pPr>
              <w:numPr>
                <w:ilvl w:val="0"/>
                <w:numId w:val="34"/>
              </w:numPr>
              <w:autoSpaceDE w:val="0"/>
              <w:autoSpaceDN w:val="0"/>
              <w:adjustRightInd w:val="0"/>
              <w:spacing w:after="120"/>
              <w:rPr>
                <w:rFonts w:cstheme="minorHAnsi"/>
                <w:sz w:val="20"/>
                <w:szCs w:val="20"/>
              </w:rPr>
            </w:pPr>
            <w:r w:rsidRPr="00F256F5">
              <w:rPr>
                <w:rFonts w:cstheme="minorHAnsi"/>
                <w:bCs/>
                <w:sz w:val="20"/>
                <w:szCs w:val="20"/>
              </w:rPr>
              <w:t>Active community provider relationships</w:t>
            </w:r>
            <w:r w:rsidRPr="00F256F5">
              <w:rPr>
                <w:rFonts w:cstheme="minorHAnsi"/>
                <w:sz w:val="20"/>
                <w:szCs w:val="20"/>
              </w:rPr>
              <w:t xml:space="preserve"> - Active development and nurturing of constructive relationships enables intelligence gathering and identifies the demand for place-based needs across health and social care providers. Additionally, such relationships build awareness of how different disciplines integrate their care.</w:t>
            </w:r>
          </w:p>
        </w:tc>
        <w:tc>
          <w:tcPr>
            <w:tcW w:w="1524" w:type="pct"/>
            <w:tcBorders>
              <w:top w:val="single" w:sz="4" w:space="0" w:color="auto"/>
              <w:left w:val="single" w:sz="4" w:space="0" w:color="auto"/>
              <w:bottom w:val="single" w:sz="4" w:space="0" w:color="auto"/>
              <w:right w:val="single" w:sz="4" w:space="0" w:color="auto"/>
            </w:tcBorders>
          </w:tcPr>
          <w:p w14:paraId="7DDB265A" w14:textId="77777777" w:rsidR="00A44470" w:rsidRPr="00F256F5" w:rsidRDefault="00A44470" w:rsidP="001D4FB6">
            <w:pPr>
              <w:autoSpaceDE w:val="0"/>
              <w:autoSpaceDN w:val="0"/>
              <w:adjustRightInd w:val="0"/>
              <w:spacing w:after="120"/>
              <w:rPr>
                <w:sz w:val="20"/>
                <w:szCs w:val="20"/>
              </w:rPr>
            </w:pPr>
            <w:r>
              <w:rPr>
                <w:sz w:val="20"/>
                <w:szCs w:val="20"/>
              </w:rPr>
              <w:lastRenderedPageBreak/>
              <w:t xml:space="preserve">A </w:t>
            </w:r>
            <w:r w:rsidRPr="00F256F5">
              <w:rPr>
                <w:sz w:val="20"/>
                <w:szCs w:val="20"/>
              </w:rPr>
              <w:t xml:space="preserve">2021 white paper recommended four areas of capability to achieve world’s best practice in the delivery and regulation of aged care. These four areas are </w:t>
            </w:r>
            <w:proofErr w:type="spellStart"/>
            <w:r w:rsidRPr="00F256F5">
              <w:rPr>
                <w:sz w:val="20"/>
                <w:szCs w:val="20"/>
              </w:rPr>
              <w:t>summarised</w:t>
            </w:r>
            <w:proofErr w:type="spellEnd"/>
            <w:r w:rsidRPr="00F256F5">
              <w:rPr>
                <w:sz w:val="20"/>
                <w:szCs w:val="20"/>
              </w:rPr>
              <w:t xml:space="preserve"> below. </w:t>
            </w:r>
          </w:p>
          <w:p w14:paraId="5B5B4FD7" w14:textId="77777777" w:rsidR="00A44470" w:rsidRPr="00F256F5" w:rsidRDefault="00A44470" w:rsidP="00A44470">
            <w:pPr>
              <w:numPr>
                <w:ilvl w:val="0"/>
                <w:numId w:val="35"/>
              </w:numPr>
              <w:autoSpaceDE w:val="0"/>
              <w:autoSpaceDN w:val="0"/>
              <w:adjustRightInd w:val="0"/>
              <w:spacing w:after="61"/>
              <w:rPr>
                <w:rFonts w:cstheme="minorHAnsi"/>
                <w:bCs/>
                <w:sz w:val="20"/>
                <w:szCs w:val="20"/>
              </w:rPr>
            </w:pPr>
            <w:r w:rsidRPr="00F256F5">
              <w:rPr>
                <w:rFonts w:cstheme="minorHAnsi"/>
                <w:bCs/>
                <w:sz w:val="20"/>
                <w:szCs w:val="20"/>
              </w:rPr>
              <w:t xml:space="preserve">Good governance - </w:t>
            </w:r>
            <w:proofErr w:type="spellStart"/>
            <w:r w:rsidRPr="00F256F5">
              <w:rPr>
                <w:sz w:val="20"/>
                <w:szCs w:val="20"/>
              </w:rPr>
              <w:t>Optimised</w:t>
            </w:r>
            <w:proofErr w:type="spellEnd"/>
            <w:r w:rsidRPr="00F256F5">
              <w:rPr>
                <w:sz w:val="20"/>
                <w:szCs w:val="20"/>
              </w:rPr>
              <w:t xml:space="preserve"> aged care requires national standards</w:t>
            </w:r>
            <w:r w:rsidRPr="00F256F5">
              <w:rPr>
                <w:bCs/>
                <w:sz w:val="20"/>
                <w:szCs w:val="20"/>
              </w:rPr>
              <w:t xml:space="preserve"> </w:t>
            </w:r>
            <w:r w:rsidRPr="00F256F5">
              <w:rPr>
                <w:sz w:val="20"/>
                <w:szCs w:val="20"/>
              </w:rPr>
              <w:t xml:space="preserve">for quality care, </w:t>
            </w:r>
            <w:proofErr w:type="spellStart"/>
            <w:r w:rsidRPr="00F256F5">
              <w:rPr>
                <w:sz w:val="20"/>
                <w:szCs w:val="20"/>
              </w:rPr>
              <w:t>standardised</w:t>
            </w:r>
            <w:proofErr w:type="spellEnd"/>
            <w:r w:rsidRPr="00F256F5">
              <w:rPr>
                <w:sz w:val="20"/>
                <w:szCs w:val="20"/>
              </w:rPr>
              <w:t xml:space="preserve"> accountability metrics</w:t>
            </w:r>
            <w:r w:rsidRPr="00F256F5">
              <w:rPr>
                <w:bCs/>
                <w:sz w:val="20"/>
                <w:szCs w:val="20"/>
              </w:rPr>
              <w:t xml:space="preserve"> </w:t>
            </w:r>
            <w:r w:rsidRPr="00F256F5">
              <w:rPr>
                <w:sz w:val="20"/>
                <w:szCs w:val="20"/>
              </w:rPr>
              <w:t xml:space="preserve">and data (including the measurement of quality, </w:t>
            </w:r>
            <w:proofErr w:type="gramStart"/>
            <w:r w:rsidRPr="00F256F5">
              <w:rPr>
                <w:sz w:val="20"/>
                <w:szCs w:val="20"/>
              </w:rPr>
              <w:t>safety</w:t>
            </w:r>
            <w:proofErr w:type="gramEnd"/>
            <w:r w:rsidRPr="00F256F5">
              <w:rPr>
                <w:sz w:val="20"/>
                <w:szCs w:val="20"/>
              </w:rPr>
              <w:t xml:space="preserve"> and seniors’ satisfaction) and a national legal mandate legal mandate</w:t>
            </w:r>
            <w:r w:rsidRPr="00F256F5">
              <w:rPr>
                <w:bCs/>
                <w:sz w:val="20"/>
                <w:szCs w:val="20"/>
              </w:rPr>
              <w:t xml:space="preserve"> </w:t>
            </w:r>
            <w:r w:rsidRPr="00F256F5">
              <w:rPr>
                <w:sz w:val="20"/>
                <w:szCs w:val="20"/>
              </w:rPr>
              <w:t>for consistent regulatory authority</w:t>
            </w:r>
            <w:r w:rsidRPr="00F256F5">
              <w:rPr>
                <w:bCs/>
                <w:sz w:val="20"/>
                <w:szCs w:val="20"/>
              </w:rPr>
              <w:t xml:space="preserve"> </w:t>
            </w:r>
            <w:r w:rsidRPr="00F256F5">
              <w:rPr>
                <w:sz w:val="20"/>
                <w:szCs w:val="20"/>
              </w:rPr>
              <w:t xml:space="preserve">for the investigation, compliance and enforcement for all aged care providers. The inclusion of qualitative insights in performance management is a significant shift away from purely quantitative outcomes such as waiting times. </w:t>
            </w:r>
          </w:p>
          <w:p w14:paraId="5912E2C4" w14:textId="77777777" w:rsidR="00A44470" w:rsidRPr="00F256F5" w:rsidRDefault="00A44470" w:rsidP="00A44470">
            <w:pPr>
              <w:numPr>
                <w:ilvl w:val="0"/>
                <w:numId w:val="35"/>
              </w:numPr>
              <w:autoSpaceDE w:val="0"/>
              <w:autoSpaceDN w:val="0"/>
              <w:adjustRightInd w:val="0"/>
              <w:spacing w:after="61"/>
              <w:rPr>
                <w:sz w:val="20"/>
                <w:szCs w:val="20"/>
              </w:rPr>
            </w:pPr>
            <w:r w:rsidRPr="00F256F5">
              <w:rPr>
                <w:rFonts w:cstheme="minorHAnsi"/>
                <w:bCs/>
                <w:sz w:val="20"/>
                <w:szCs w:val="20"/>
              </w:rPr>
              <w:t xml:space="preserve">Integrated system partners - </w:t>
            </w:r>
            <w:r w:rsidRPr="00F256F5">
              <w:rPr>
                <w:sz w:val="20"/>
                <w:szCs w:val="20"/>
              </w:rPr>
              <w:t xml:space="preserve">An integrated model of care incorporates all system partners including interdisciplinary health and social care providers connected through </w:t>
            </w:r>
            <w:proofErr w:type="spellStart"/>
            <w:r w:rsidRPr="00F256F5">
              <w:rPr>
                <w:sz w:val="20"/>
                <w:szCs w:val="20"/>
              </w:rPr>
              <w:t>standardised</w:t>
            </w:r>
            <w:proofErr w:type="spellEnd"/>
            <w:r w:rsidRPr="00F256F5">
              <w:rPr>
                <w:sz w:val="20"/>
                <w:szCs w:val="20"/>
              </w:rPr>
              <w:t xml:space="preserve"> procedures, service agreements that reflect the quality standards, joint </w:t>
            </w:r>
            <w:proofErr w:type="gramStart"/>
            <w:r w:rsidRPr="00F256F5">
              <w:rPr>
                <w:sz w:val="20"/>
                <w:szCs w:val="20"/>
              </w:rPr>
              <w:t>training</w:t>
            </w:r>
            <w:proofErr w:type="gramEnd"/>
            <w:r w:rsidRPr="00F256F5">
              <w:rPr>
                <w:sz w:val="20"/>
                <w:szCs w:val="20"/>
              </w:rPr>
              <w:t xml:space="preserve"> and shared information systems. Systems which enable data sharing to reduce duplication of effort and automated reporting are attributed to </w:t>
            </w:r>
            <w:r w:rsidRPr="00F256F5">
              <w:rPr>
                <w:sz w:val="20"/>
                <w:szCs w:val="20"/>
              </w:rPr>
              <w:lastRenderedPageBreak/>
              <w:t xml:space="preserve">reducing the regulatory burden for providers, whilst increasing sector visibility. </w:t>
            </w:r>
          </w:p>
          <w:p w14:paraId="4492561D" w14:textId="77777777" w:rsidR="00A44470" w:rsidRPr="00F256F5" w:rsidRDefault="00A44470" w:rsidP="00A44470">
            <w:pPr>
              <w:numPr>
                <w:ilvl w:val="0"/>
                <w:numId w:val="35"/>
              </w:numPr>
              <w:autoSpaceDE w:val="0"/>
              <w:autoSpaceDN w:val="0"/>
              <w:adjustRightInd w:val="0"/>
              <w:spacing w:after="61"/>
              <w:rPr>
                <w:sz w:val="20"/>
                <w:szCs w:val="20"/>
              </w:rPr>
            </w:pPr>
            <w:r w:rsidRPr="00F256F5">
              <w:rPr>
                <w:rFonts w:cstheme="minorHAnsi"/>
                <w:bCs/>
                <w:sz w:val="20"/>
                <w:szCs w:val="20"/>
              </w:rPr>
              <w:t xml:space="preserve">Person centric care experience - </w:t>
            </w:r>
            <w:r w:rsidRPr="00F256F5">
              <w:rPr>
                <w:sz w:val="20"/>
                <w:szCs w:val="20"/>
              </w:rPr>
              <w:t xml:space="preserve">On-going plans or care journeys designed in collaboration with the older person and care providers to suit individual needs and preferences and to enable seniors to age in place, with access to care in their community. </w:t>
            </w:r>
          </w:p>
          <w:p w14:paraId="3CFE795E" w14:textId="77777777" w:rsidR="00A44470" w:rsidRPr="00F256F5" w:rsidRDefault="00A44470" w:rsidP="00A44470">
            <w:pPr>
              <w:numPr>
                <w:ilvl w:val="0"/>
                <w:numId w:val="35"/>
              </w:numPr>
              <w:autoSpaceDE w:val="0"/>
              <w:autoSpaceDN w:val="0"/>
              <w:adjustRightInd w:val="0"/>
              <w:spacing w:after="61"/>
              <w:rPr>
                <w:rFonts w:cstheme="minorHAnsi"/>
                <w:sz w:val="20"/>
                <w:szCs w:val="20"/>
              </w:rPr>
            </w:pPr>
            <w:r w:rsidRPr="00F256F5">
              <w:rPr>
                <w:rFonts w:cstheme="minorHAnsi"/>
                <w:bCs/>
                <w:sz w:val="20"/>
                <w:szCs w:val="20"/>
              </w:rPr>
              <w:t xml:space="preserve">Workforce planning - </w:t>
            </w:r>
            <w:r w:rsidRPr="00F256F5">
              <w:rPr>
                <w:sz w:val="20"/>
                <w:szCs w:val="20"/>
              </w:rPr>
              <w:t xml:space="preserve">Strategic planning to uplift people capabilities through targeted learning opportunities, succession planning and leadership development. </w:t>
            </w:r>
          </w:p>
        </w:tc>
        <w:tc>
          <w:tcPr>
            <w:tcW w:w="1597" w:type="pct"/>
            <w:tcBorders>
              <w:top w:val="single" w:sz="4" w:space="0" w:color="auto"/>
              <w:left w:val="single" w:sz="4" w:space="0" w:color="auto"/>
              <w:bottom w:val="single" w:sz="4" w:space="0" w:color="auto"/>
              <w:right w:val="single" w:sz="4" w:space="0" w:color="auto"/>
            </w:tcBorders>
          </w:tcPr>
          <w:p w14:paraId="0982D508" w14:textId="77777777" w:rsidR="00A44470" w:rsidRPr="00F256F5" w:rsidRDefault="00A44470" w:rsidP="001D4FB6">
            <w:pPr>
              <w:autoSpaceDE w:val="0"/>
              <w:autoSpaceDN w:val="0"/>
              <w:adjustRightInd w:val="0"/>
              <w:spacing w:after="120"/>
              <w:rPr>
                <w:sz w:val="20"/>
                <w:szCs w:val="20"/>
              </w:rPr>
            </w:pPr>
            <w:r>
              <w:rPr>
                <w:sz w:val="20"/>
                <w:szCs w:val="20"/>
              </w:rPr>
              <w:lastRenderedPageBreak/>
              <w:t xml:space="preserve">Four strengths in </w:t>
            </w:r>
            <w:r w:rsidRPr="00F256F5">
              <w:rPr>
                <w:sz w:val="20"/>
                <w:szCs w:val="20"/>
              </w:rPr>
              <w:t>the NZ system:</w:t>
            </w:r>
          </w:p>
          <w:p w14:paraId="7B334B20" w14:textId="77777777" w:rsidR="00A44470" w:rsidRPr="00F256F5" w:rsidRDefault="00A44470" w:rsidP="00A44470">
            <w:pPr>
              <w:numPr>
                <w:ilvl w:val="0"/>
                <w:numId w:val="36"/>
              </w:numPr>
              <w:autoSpaceDE w:val="0"/>
              <w:autoSpaceDN w:val="0"/>
              <w:adjustRightInd w:val="0"/>
              <w:spacing w:after="61"/>
              <w:rPr>
                <w:sz w:val="20"/>
                <w:szCs w:val="20"/>
              </w:rPr>
            </w:pPr>
            <w:r w:rsidRPr="00F256F5">
              <w:rPr>
                <w:rFonts w:cstheme="minorHAnsi"/>
                <w:bCs/>
                <w:sz w:val="20"/>
                <w:szCs w:val="20"/>
              </w:rPr>
              <w:t xml:space="preserve">Cultural competencies - </w:t>
            </w:r>
            <w:r w:rsidRPr="00F256F5">
              <w:rPr>
                <w:sz w:val="20"/>
                <w:szCs w:val="20"/>
              </w:rPr>
              <w:t xml:space="preserve">Building cultural competencies to ensure respectful, appropriate relationships and engagement with Māori and Pacific consumers, communities and providers enables place-based solutions to improvements in care quality and service delivery. </w:t>
            </w:r>
          </w:p>
          <w:p w14:paraId="79D605CE" w14:textId="77777777" w:rsidR="00A44470" w:rsidRPr="00F256F5" w:rsidRDefault="00A44470" w:rsidP="00A44470">
            <w:pPr>
              <w:numPr>
                <w:ilvl w:val="0"/>
                <w:numId w:val="36"/>
              </w:numPr>
              <w:autoSpaceDE w:val="0"/>
              <w:autoSpaceDN w:val="0"/>
              <w:adjustRightInd w:val="0"/>
              <w:spacing w:after="61"/>
              <w:rPr>
                <w:sz w:val="20"/>
                <w:szCs w:val="20"/>
              </w:rPr>
            </w:pPr>
            <w:proofErr w:type="spellStart"/>
            <w:r w:rsidRPr="00F256F5">
              <w:rPr>
                <w:rFonts w:cstheme="minorHAnsi"/>
                <w:bCs/>
                <w:sz w:val="20"/>
                <w:szCs w:val="20"/>
              </w:rPr>
              <w:t>Centralised</w:t>
            </w:r>
            <w:proofErr w:type="spellEnd"/>
            <w:r w:rsidRPr="00F256F5">
              <w:rPr>
                <w:rFonts w:cstheme="minorHAnsi"/>
                <w:bCs/>
                <w:sz w:val="20"/>
                <w:szCs w:val="20"/>
              </w:rPr>
              <w:t xml:space="preserve"> case management system - </w:t>
            </w:r>
            <w:r w:rsidRPr="00F256F5">
              <w:rPr>
                <w:sz w:val="20"/>
                <w:szCs w:val="20"/>
              </w:rPr>
              <w:t xml:space="preserve">The Ministry maintains and administers the Provider Regulation and Monitoring System (PRMS). Both audit and clinical data is stored in the PRMS with data uploaded by DHBs, auditors and providers. This enables system and provider oversight with multiple sources providing valuable intelligence. </w:t>
            </w:r>
          </w:p>
          <w:p w14:paraId="22A9A15B" w14:textId="77777777" w:rsidR="00A44470" w:rsidRPr="00F256F5" w:rsidRDefault="00A44470" w:rsidP="00A44470">
            <w:pPr>
              <w:numPr>
                <w:ilvl w:val="0"/>
                <w:numId w:val="36"/>
              </w:numPr>
              <w:autoSpaceDE w:val="0"/>
              <w:autoSpaceDN w:val="0"/>
              <w:adjustRightInd w:val="0"/>
              <w:spacing w:after="61"/>
              <w:rPr>
                <w:sz w:val="20"/>
                <w:szCs w:val="20"/>
              </w:rPr>
            </w:pPr>
            <w:r w:rsidRPr="00F256F5">
              <w:rPr>
                <w:rFonts w:cstheme="minorHAnsi"/>
                <w:bCs/>
                <w:sz w:val="20"/>
                <w:szCs w:val="20"/>
              </w:rPr>
              <w:t xml:space="preserve">Health Ageing Strategy - </w:t>
            </w:r>
            <w:r w:rsidRPr="00F256F5">
              <w:rPr>
                <w:sz w:val="20"/>
                <w:szCs w:val="20"/>
              </w:rPr>
              <w:t xml:space="preserve">An overarching vision for older people in New Zealand frames the desired outcomes and signs for success for all stakeholders. The strategy supports sector leadership, change </w:t>
            </w:r>
            <w:proofErr w:type="gramStart"/>
            <w:r w:rsidRPr="00F256F5">
              <w:rPr>
                <w:sz w:val="20"/>
                <w:szCs w:val="20"/>
              </w:rPr>
              <w:t>management</w:t>
            </w:r>
            <w:proofErr w:type="gramEnd"/>
            <w:r w:rsidRPr="00F256F5">
              <w:rPr>
                <w:sz w:val="20"/>
                <w:szCs w:val="20"/>
              </w:rPr>
              <w:t xml:space="preserve"> and helps to clarify successful aged care outcomes. </w:t>
            </w:r>
          </w:p>
          <w:p w14:paraId="609FDABA" w14:textId="77777777" w:rsidR="00A44470" w:rsidRPr="00F256F5" w:rsidRDefault="00A44470" w:rsidP="00A44470">
            <w:pPr>
              <w:numPr>
                <w:ilvl w:val="0"/>
                <w:numId w:val="36"/>
              </w:numPr>
              <w:autoSpaceDE w:val="0"/>
              <w:autoSpaceDN w:val="0"/>
              <w:adjustRightInd w:val="0"/>
              <w:spacing w:after="61"/>
              <w:rPr>
                <w:sz w:val="20"/>
                <w:szCs w:val="20"/>
              </w:rPr>
            </w:pPr>
            <w:r w:rsidRPr="00F256F5">
              <w:rPr>
                <w:rFonts w:cstheme="minorHAnsi"/>
                <w:bCs/>
                <w:sz w:val="20"/>
                <w:szCs w:val="20"/>
              </w:rPr>
              <w:t xml:space="preserve">Data sharing - </w:t>
            </w:r>
            <w:r w:rsidRPr="00F256F5">
              <w:rPr>
                <w:sz w:val="20"/>
                <w:szCs w:val="20"/>
              </w:rPr>
              <w:t xml:space="preserve">A </w:t>
            </w:r>
            <w:proofErr w:type="spellStart"/>
            <w:r w:rsidRPr="00F256F5">
              <w:rPr>
                <w:sz w:val="20"/>
                <w:szCs w:val="20"/>
              </w:rPr>
              <w:t>centralised</w:t>
            </w:r>
            <w:proofErr w:type="spellEnd"/>
            <w:r w:rsidRPr="00F256F5">
              <w:rPr>
                <w:sz w:val="20"/>
                <w:szCs w:val="20"/>
              </w:rPr>
              <w:t xml:space="preserve"> case management system ensures consistency in the way in which data is supplied and facilitates intelligence gathering and risk management. Collaboration with other stakeholders in the health system to support New Zealand’s health and research </w:t>
            </w:r>
            <w:r w:rsidRPr="00F256F5">
              <w:rPr>
                <w:sz w:val="20"/>
                <w:szCs w:val="20"/>
              </w:rPr>
              <w:lastRenderedPageBreak/>
              <w:t>strategy is intended to enable innovation and improvement in the aged care sector.</w:t>
            </w:r>
          </w:p>
        </w:tc>
      </w:tr>
    </w:tbl>
    <w:p w14:paraId="412934C6" w14:textId="77777777" w:rsidR="00855A3B" w:rsidRDefault="00855A3B">
      <w:pPr>
        <w:rPr>
          <w:rFonts w:asciiTheme="majorHAnsi" w:eastAsiaTheme="majorEastAsia" w:hAnsiTheme="majorHAnsi" w:cstheme="majorBidi"/>
          <w:b/>
          <w:bCs/>
          <w:color w:val="2F5496" w:themeColor="accent1" w:themeShade="BF"/>
          <w:sz w:val="32"/>
          <w:szCs w:val="32"/>
          <w:lang w:val="en-US"/>
        </w:rPr>
      </w:pPr>
      <w:r>
        <w:rPr>
          <w:rFonts w:asciiTheme="majorHAnsi" w:eastAsiaTheme="majorEastAsia" w:hAnsiTheme="majorHAnsi" w:cstheme="majorBidi"/>
          <w:b/>
          <w:bCs/>
          <w:color w:val="2F5496" w:themeColor="accent1" w:themeShade="BF"/>
          <w:sz w:val="32"/>
          <w:szCs w:val="32"/>
          <w:lang w:val="en-US"/>
        </w:rPr>
        <w:lastRenderedPageBreak/>
        <w:br w:type="page"/>
      </w:r>
    </w:p>
    <w:p w14:paraId="1FDB880E" w14:textId="111DED20" w:rsidR="00F826B6" w:rsidRPr="000E132D" w:rsidRDefault="00F826B6" w:rsidP="000E132D">
      <w:pPr>
        <w:pStyle w:val="Heading3"/>
        <w:rPr>
          <w:rFonts w:eastAsiaTheme="majorEastAsia"/>
        </w:rPr>
      </w:pPr>
      <w:bookmarkStart w:id="39" w:name="_Toc131163562"/>
      <w:bookmarkStart w:id="40" w:name="_Hlk128396507"/>
      <w:r w:rsidRPr="000E132D">
        <w:lastRenderedPageBreak/>
        <w:t xml:space="preserve">APPENDIX </w:t>
      </w:r>
      <w:r w:rsidR="003A7BF7" w:rsidRPr="000E132D">
        <w:t>G</w:t>
      </w:r>
      <w:r w:rsidR="00855A3B" w:rsidRPr="000E132D">
        <w:t xml:space="preserve"> - </w:t>
      </w:r>
      <w:r w:rsidRPr="000E132D">
        <w:rPr>
          <w:rFonts w:eastAsiaTheme="majorEastAsia"/>
        </w:rPr>
        <w:t>Regulatory best practice principles and capabilities</w:t>
      </w:r>
      <w:bookmarkEnd w:id="39"/>
      <w:r w:rsidRPr="000E132D">
        <w:rPr>
          <w:rFonts w:eastAsiaTheme="majorEastAsia"/>
        </w:rPr>
        <w:t xml:space="preserve"> </w:t>
      </w:r>
    </w:p>
    <w:tbl>
      <w:tblPr>
        <w:tblStyle w:val="TableGrid"/>
        <w:tblW w:w="0" w:type="auto"/>
        <w:tblLook w:val="04A0" w:firstRow="1" w:lastRow="0" w:firstColumn="1" w:lastColumn="0" w:noHBand="0" w:noVBand="1"/>
      </w:tblPr>
      <w:tblGrid>
        <w:gridCol w:w="4649"/>
        <w:gridCol w:w="4649"/>
        <w:gridCol w:w="4650"/>
      </w:tblGrid>
      <w:tr w:rsidR="009E1641" w14:paraId="522EC794" w14:textId="77777777" w:rsidTr="00A8493B">
        <w:tc>
          <w:tcPr>
            <w:tcW w:w="13948" w:type="dxa"/>
            <w:gridSpan w:val="3"/>
          </w:tcPr>
          <w:p w14:paraId="384535D4" w14:textId="4D3F5E47" w:rsidR="009E1641" w:rsidRDefault="009E1641" w:rsidP="009E1641">
            <w:pPr>
              <w:jc w:val="center"/>
            </w:pPr>
            <w:r>
              <w:rPr>
                <w:b/>
                <w:bCs/>
                <w:sz w:val="28"/>
                <w:szCs w:val="28"/>
              </w:rPr>
              <w:t>Regulatory best practice principles - c</w:t>
            </w:r>
            <w:r w:rsidRPr="005C3533">
              <w:rPr>
                <w:b/>
                <w:bCs/>
                <w:sz w:val="28"/>
                <w:szCs w:val="28"/>
              </w:rPr>
              <w:t>omparison table</w:t>
            </w:r>
          </w:p>
        </w:tc>
      </w:tr>
      <w:tr w:rsidR="009E1641" w14:paraId="21F999F0" w14:textId="77777777" w:rsidTr="009E1641">
        <w:tc>
          <w:tcPr>
            <w:tcW w:w="4649" w:type="dxa"/>
            <w:shd w:val="clear" w:color="auto" w:fill="D9E2F3" w:themeFill="accent1" w:themeFillTint="33"/>
          </w:tcPr>
          <w:p w14:paraId="46BDD299" w14:textId="77777777" w:rsidR="009E1641" w:rsidRPr="00F826B6" w:rsidRDefault="009E1641" w:rsidP="009E1641">
            <w:pPr>
              <w:rPr>
                <w:b/>
                <w:bCs/>
                <w:sz w:val="24"/>
                <w:szCs w:val="24"/>
              </w:rPr>
            </w:pPr>
            <w:r w:rsidRPr="00F826B6">
              <w:rPr>
                <w:b/>
                <w:bCs/>
                <w:sz w:val="24"/>
                <w:szCs w:val="24"/>
              </w:rPr>
              <w:t>Australian Government’s Regulator Performance Guide (the Guide) principles of best practice </w:t>
            </w:r>
          </w:p>
          <w:p w14:paraId="7B451AB5" w14:textId="77777777" w:rsidR="009E1641" w:rsidRPr="00F826B6" w:rsidRDefault="009E1641" w:rsidP="009E1641">
            <w:pPr>
              <w:rPr>
                <w:b/>
                <w:bCs/>
                <w:sz w:val="24"/>
                <w:szCs w:val="24"/>
              </w:rPr>
            </w:pPr>
          </w:p>
          <w:p w14:paraId="67AB5021" w14:textId="365DF112" w:rsidR="009E1641" w:rsidRDefault="009E1641" w:rsidP="009E1641">
            <w:r w:rsidRPr="00F826B6">
              <w:rPr>
                <w:b/>
                <w:bCs/>
                <w:i/>
                <w:iCs/>
                <w:color w:val="0070C0"/>
                <w:sz w:val="24"/>
                <w:szCs w:val="24"/>
              </w:rPr>
              <w:t xml:space="preserve">The </w:t>
            </w:r>
            <w:r w:rsidR="0026798A" w:rsidRPr="0026798A">
              <w:rPr>
                <w:b/>
                <w:bCs/>
                <w:i/>
                <w:iCs/>
                <w:color w:val="0070C0"/>
                <w:sz w:val="24"/>
                <w:szCs w:val="24"/>
                <w:lang w:val="en-AU"/>
              </w:rPr>
              <w:t>Commission</w:t>
            </w:r>
            <w:r w:rsidRPr="00F826B6">
              <w:rPr>
                <w:b/>
                <w:bCs/>
                <w:i/>
                <w:iCs/>
                <w:color w:val="0070C0"/>
                <w:sz w:val="24"/>
                <w:szCs w:val="24"/>
              </w:rPr>
              <w:t xml:space="preserve"> is one of 12 health portfolio agencies which operate </w:t>
            </w:r>
            <w:r>
              <w:rPr>
                <w:b/>
                <w:bCs/>
                <w:i/>
                <w:iCs/>
                <w:color w:val="0070C0"/>
                <w:sz w:val="24"/>
                <w:szCs w:val="24"/>
              </w:rPr>
              <w:t xml:space="preserve">and report </w:t>
            </w:r>
            <w:r w:rsidRPr="00F826B6">
              <w:rPr>
                <w:b/>
                <w:bCs/>
                <w:i/>
                <w:iCs/>
                <w:color w:val="0070C0"/>
                <w:sz w:val="24"/>
                <w:szCs w:val="24"/>
              </w:rPr>
              <w:t>under this Framework</w:t>
            </w:r>
          </w:p>
        </w:tc>
        <w:tc>
          <w:tcPr>
            <w:tcW w:w="4649" w:type="dxa"/>
            <w:shd w:val="clear" w:color="auto" w:fill="D9E2F3" w:themeFill="accent1" w:themeFillTint="33"/>
          </w:tcPr>
          <w:p w14:paraId="147E1CAE" w14:textId="77777777" w:rsidR="009E1641" w:rsidRPr="00F826B6" w:rsidRDefault="009E1641" w:rsidP="009E1641">
            <w:pPr>
              <w:rPr>
                <w:b/>
                <w:bCs/>
                <w:sz w:val="24"/>
                <w:szCs w:val="24"/>
              </w:rPr>
            </w:pPr>
            <w:proofErr w:type="spellStart"/>
            <w:r w:rsidRPr="00F826B6">
              <w:rPr>
                <w:b/>
                <w:bCs/>
                <w:sz w:val="24"/>
                <w:szCs w:val="24"/>
              </w:rPr>
              <w:t>Organisation</w:t>
            </w:r>
            <w:proofErr w:type="spellEnd"/>
            <w:r w:rsidRPr="00F826B6">
              <w:rPr>
                <w:b/>
                <w:bCs/>
                <w:sz w:val="24"/>
                <w:szCs w:val="24"/>
              </w:rPr>
              <w:t xml:space="preserve"> of Economic Cooperation and Development best practice principles for the governance of regulators</w:t>
            </w:r>
          </w:p>
          <w:p w14:paraId="451F008D" w14:textId="77777777" w:rsidR="009E1641" w:rsidRPr="00F826B6" w:rsidRDefault="009E1641" w:rsidP="009E1641">
            <w:pPr>
              <w:rPr>
                <w:b/>
                <w:bCs/>
                <w:sz w:val="24"/>
                <w:szCs w:val="24"/>
              </w:rPr>
            </w:pPr>
          </w:p>
          <w:p w14:paraId="322DFA40" w14:textId="5164FAB0" w:rsidR="009E1641" w:rsidRDefault="009E1641" w:rsidP="009E1641">
            <w:r w:rsidRPr="00F826B6">
              <w:rPr>
                <w:b/>
                <w:bCs/>
                <w:i/>
                <w:iCs/>
                <w:color w:val="0070C0"/>
                <w:sz w:val="24"/>
                <w:szCs w:val="24"/>
              </w:rPr>
              <w:t>Referenced in TORs</w:t>
            </w:r>
          </w:p>
        </w:tc>
        <w:tc>
          <w:tcPr>
            <w:tcW w:w="4650" w:type="dxa"/>
            <w:shd w:val="clear" w:color="auto" w:fill="D9E2F3" w:themeFill="accent1" w:themeFillTint="33"/>
          </w:tcPr>
          <w:p w14:paraId="7B6330C4" w14:textId="1659CC90" w:rsidR="009E1641" w:rsidRPr="00F826B6" w:rsidRDefault="009E1641" w:rsidP="009E1641">
            <w:pPr>
              <w:rPr>
                <w:b/>
                <w:bCs/>
                <w:sz w:val="24"/>
                <w:szCs w:val="24"/>
              </w:rPr>
            </w:pPr>
            <w:r w:rsidRPr="00F826B6">
              <w:rPr>
                <w:b/>
                <w:bCs/>
                <w:sz w:val="24"/>
                <w:szCs w:val="24"/>
              </w:rPr>
              <w:t>Grosvenor report key capabilities for world leading regulatory practices for care quality</w:t>
            </w:r>
          </w:p>
          <w:p w14:paraId="2752BC73" w14:textId="77777777" w:rsidR="009E1641" w:rsidRPr="00F826B6" w:rsidRDefault="009E1641" w:rsidP="009E1641">
            <w:pPr>
              <w:rPr>
                <w:b/>
                <w:bCs/>
                <w:i/>
                <w:iCs/>
                <w:color w:val="0070C0"/>
                <w:sz w:val="24"/>
                <w:szCs w:val="24"/>
              </w:rPr>
            </w:pPr>
          </w:p>
          <w:p w14:paraId="2C145B53" w14:textId="50066F7F" w:rsidR="009E1641" w:rsidRPr="00F826B6" w:rsidRDefault="009E1641" w:rsidP="009E1641">
            <w:pPr>
              <w:rPr>
                <w:b/>
                <w:bCs/>
                <w:i/>
                <w:iCs/>
                <w:color w:val="0070C0"/>
                <w:sz w:val="24"/>
                <w:szCs w:val="24"/>
              </w:rPr>
            </w:pPr>
            <w:r w:rsidRPr="00F826B6">
              <w:rPr>
                <w:b/>
                <w:bCs/>
                <w:i/>
                <w:iCs/>
                <w:color w:val="0070C0"/>
                <w:sz w:val="24"/>
                <w:szCs w:val="24"/>
              </w:rPr>
              <w:t>Deliverable</w:t>
            </w:r>
            <w:r>
              <w:rPr>
                <w:b/>
                <w:bCs/>
                <w:i/>
                <w:iCs/>
                <w:color w:val="0070C0"/>
                <w:sz w:val="24"/>
                <w:szCs w:val="24"/>
              </w:rPr>
              <w:t>s</w:t>
            </w:r>
            <w:r w:rsidRPr="00F826B6">
              <w:rPr>
                <w:b/>
                <w:bCs/>
                <w:i/>
                <w:iCs/>
                <w:color w:val="0070C0"/>
                <w:sz w:val="24"/>
                <w:szCs w:val="24"/>
              </w:rPr>
              <w:t xml:space="preserve"> of internal capability review undertaken by </w:t>
            </w:r>
            <w:r w:rsidR="0026798A" w:rsidRPr="0026798A">
              <w:rPr>
                <w:b/>
                <w:bCs/>
                <w:i/>
                <w:iCs/>
                <w:color w:val="0070C0"/>
                <w:sz w:val="24"/>
                <w:szCs w:val="24"/>
                <w:lang w:val="en-AU"/>
              </w:rPr>
              <w:t>Commission</w:t>
            </w:r>
            <w:r w:rsidRPr="00F826B6">
              <w:rPr>
                <w:b/>
                <w:bCs/>
                <w:i/>
                <w:iCs/>
                <w:color w:val="0070C0"/>
                <w:sz w:val="24"/>
                <w:szCs w:val="24"/>
              </w:rPr>
              <w:t xml:space="preserve"> </w:t>
            </w:r>
          </w:p>
          <w:p w14:paraId="28E6312F" w14:textId="77777777" w:rsidR="009E1641" w:rsidRDefault="009E1641" w:rsidP="009E1641"/>
        </w:tc>
      </w:tr>
      <w:tr w:rsidR="009E1641" w14:paraId="2CF95E88" w14:textId="77777777" w:rsidTr="00FD78F7">
        <w:tc>
          <w:tcPr>
            <w:tcW w:w="4649" w:type="dxa"/>
          </w:tcPr>
          <w:p w14:paraId="7F93590F" w14:textId="229B4144" w:rsidR="009E1641" w:rsidRDefault="009E1641" w:rsidP="009E1641">
            <w:r w:rsidRPr="00F826B6">
              <w:rPr>
                <w:sz w:val="24"/>
                <w:szCs w:val="24"/>
              </w:rPr>
              <w:t>Continuous improvement and building trust   </w:t>
            </w:r>
          </w:p>
        </w:tc>
        <w:tc>
          <w:tcPr>
            <w:tcW w:w="4649" w:type="dxa"/>
          </w:tcPr>
          <w:p w14:paraId="52CCA296" w14:textId="29F20722" w:rsidR="009E1641" w:rsidRDefault="009E1641" w:rsidP="009E1641">
            <w:r w:rsidRPr="00F826B6">
              <w:rPr>
                <w:sz w:val="24"/>
                <w:szCs w:val="24"/>
              </w:rPr>
              <w:t>Role clarity</w:t>
            </w:r>
          </w:p>
        </w:tc>
        <w:tc>
          <w:tcPr>
            <w:tcW w:w="4650" w:type="dxa"/>
          </w:tcPr>
          <w:p w14:paraId="0F86445D" w14:textId="240046F0" w:rsidR="009E1641" w:rsidRDefault="009E1641" w:rsidP="009E1641">
            <w:r w:rsidRPr="00F826B6">
              <w:rPr>
                <w:sz w:val="24"/>
                <w:szCs w:val="24"/>
              </w:rPr>
              <w:t>Visible, strategic leadership</w:t>
            </w:r>
          </w:p>
        </w:tc>
      </w:tr>
      <w:tr w:rsidR="009E1641" w14:paraId="7ED7DC01" w14:textId="77777777" w:rsidTr="00FD78F7">
        <w:tc>
          <w:tcPr>
            <w:tcW w:w="4649" w:type="dxa"/>
          </w:tcPr>
          <w:p w14:paraId="75AC4A77" w14:textId="39238B98" w:rsidR="009E1641" w:rsidRDefault="009E1641" w:rsidP="009E1641">
            <w:r w:rsidRPr="00F826B6">
              <w:rPr>
                <w:sz w:val="24"/>
                <w:szCs w:val="24"/>
              </w:rPr>
              <w:t>Risk based and data driven</w:t>
            </w:r>
          </w:p>
        </w:tc>
        <w:tc>
          <w:tcPr>
            <w:tcW w:w="4649" w:type="dxa"/>
          </w:tcPr>
          <w:p w14:paraId="6DB1A6DF" w14:textId="45086AFC" w:rsidR="009E1641" w:rsidRDefault="009E1641" w:rsidP="009E1641">
            <w:r w:rsidRPr="00F826B6">
              <w:rPr>
                <w:sz w:val="24"/>
                <w:szCs w:val="24"/>
              </w:rPr>
              <w:t>Preventing undue influence and maintaining trust</w:t>
            </w:r>
          </w:p>
        </w:tc>
        <w:tc>
          <w:tcPr>
            <w:tcW w:w="4650" w:type="dxa"/>
          </w:tcPr>
          <w:p w14:paraId="535BABBA" w14:textId="39AE191D" w:rsidR="009E1641" w:rsidRDefault="009E1641" w:rsidP="009E1641">
            <w:r w:rsidRPr="00F826B6">
              <w:rPr>
                <w:sz w:val="24"/>
                <w:szCs w:val="24"/>
              </w:rPr>
              <w:t>Outcomes focus</w:t>
            </w:r>
          </w:p>
        </w:tc>
      </w:tr>
      <w:tr w:rsidR="009E1641" w14:paraId="3AF37110" w14:textId="77777777" w:rsidTr="00FD78F7">
        <w:tc>
          <w:tcPr>
            <w:tcW w:w="4649" w:type="dxa"/>
          </w:tcPr>
          <w:p w14:paraId="3A1FFF9C" w14:textId="23AF2169" w:rsidR="009E1641" w:rsidRDefault="009E1641" w:rsidP="009E1641">
            <w:r w:rsidRPr="00F826B6">
              <w:rPr>
                <w:sz w:val="24"/>
                <w:szCs w:val="24"/>
              </w:rPr>
              <w:t>Collaboration and engagement</w:t>
            </w:r>
          </w:p>
        </w:tc>
        <w:tc>
          <w:tcPr>
            <w:tcW w:w="4649" w:type="dxa"/>
          </w:tcPr>
          <w:p w14:paraId="789DD737" w14:textId="6EFD11E5" w:rsidR="009E1641" w:rsidRDefault="009E1641" w:rsidP="009E1641">
            <w:r w:rsidRPr="00F826B6">
              <w:rPr>
                <w:sz w:val="24"/>
                <w:szCs w:val="24"/>
              </w:rPr>
              <w:t>Decision-making and governing body structure</w:t>
            </w:r>
          </w:p>
        </w:tc>
        <w:tc>
          <w:tcPr>
            <w:tcW w:w="4650" w:type="dxa"/>
          </w:tcPr>
          <w:p w14:paraId="5A564720" w14:textId="670642A7" w:rsidR="009E1641" w:rsidRDefault="009E1641" w:rsidP="009E1641">
            <w:r w:rsidRPr="00F826B6">
              <w:rPr>
                <w:sz w:val="24"/>
                <w:szCs w:val="24"/>
              </w:rPr>
              <w:t>Good governance</w:t>
            </w:r>
          </w:p>
        </w:tc>
      </w:tr>
      <w:tr w:rsidR="009E1641" w14:paraId="5AB9BBCD" w14:textId="77777777" w:rsidTr="00FD78F7">
        <w:tc>
          <w:tcPr>
            <w:tcW w:w="4649" w:type="dxa"/>
          </w:tcPr>
          <w:p w14:paraId="284555DF" w14:textId="77777777" w:rsidR="009E1641" w:rsidRDefault="009E1641" w:rsidP="009E1641"/>
        </w:tc>
        <w:tc>
          <w:tcPr>
            <w:tcW w:w="4649" w:type="dxa"/>
          </w:tcPr>
          <w:p w14:paraId="06FC0470" w14:textId="7DA481E9" w:rsidR="009E1641" w:rsidRDefault="009E1641" w:rsidP="009E1641">
            <w:r w:rsidRPr="00F826B6">
              <w:rPr>
                <w:sz w:val="24"/>
                <w:szCs w:val="24"/>
              </w:rPr>
              <w:t>Accountability and transparency</w:t>
            </w:r>
          </w:p>
        </w:tc>
        <w:tc>
          <w:tcPr>
            <w:tcW w:w="4650" w:type="dxa"/>
          </w:tcPr>
          <w:p w14:paraId="0D42E78D" w14:textId="7637E7B1" w:rsidR="009E1641" w:rsidRDefault="009E1641" w:rsidP="009E1641">
            <w:r w:rsidRPr="00F826B6">
              <w:rPr>
                <w:sz w:val="24"/>
                <w:szCs w:val="24"/>
              </w:rPr>
              <w:t>Advanced systems and data management</w:t>
            </w:r>
          </w:p>
        </w:tc>
      </w:tr>
      <w:tr w:rsidR="009E1641" w14:paraId="2D4F15A6" w14:textId="77777777" w:rsidTr="00FD78F7">
        <w:tc>
          <w:tcPr>
            <w:tcW w:w="4649" w:type="dxa"/>
          </w:tcPr>
          <w:p w14:paraId="22668E6D" w14:textId="77777777" w:rsidR="009E1641" w:rsidRDefault="009E1641" w:rsidP="009E1641"/>
        </w:tc>
        <w:tc>
          <w:tcPr>
            <w:tcW w:w="4649" w:type="dxa"/>
          </w:tcPr>
          <w:p w14:paraId="5372B51A" w14:textId="2B18D470" w:rsidR="009E1641" w:rsidRDefault="009E1641" w:rsidP="009E1641">
            <w:r w:rsidRPr="00F826B6">
              <w:rPr>
                <w:sz w:val="24"/>
                <w:szCs w:val="24"/>
              </w:rPr>
              <w:t>Engagement</w:t>
            </w:r>
          </w:p>
        </w:tc>
        <w:tc>
          <w:tcPr>
            <w:tcW w:w="4650" w:type="dxa"/>
          </w:tcPr>
          <w:p w14:paraId="729A878D" w14:textId="59C06823" w:rsidR="009E1641" w:rsidRDefault="009E1641" w:rsidP="009E1641">
            <w:r w:rsidRPr="00F826B6">
              <w:rPr>
                <w:sz w:val="24"/>
                <w:szCs w:val="24"/>
              </w:rPr>
              <w:t>Transformation and change management</w:t>
            </w:r>
          </w:p>
        </w:tc>
      </w:tr>
      <w:tr w:rsidR="009E1641" w14:paraId="1943FEB8" w14:textId="77777777" w:rsidTr="00FD78F7">
        <w:tc>
          <w:tcPr>
            <w:tcW w:w="4649" w:type="dxa"/>
          </w:tcPr>
          <w:p w14:paraId="4DFE4AA9" w14:textId="77777777" w:rsidR="009E1641" w:rsidRDefault="009E1641" w:rsidP="009E1641"/>
        </w:tc>
        <w:tc>
          <w:tcPr>
            <w:tcW w:w="4649" w:type="dxa"/>
          </w:tcPr>
          <w:p w14:paraId="2F830891" w14:textId="729A8BD9" w:rsidR="009E1641" w:rsidRDefault="009E1641" w:rsidP="009E1641">
            <w:r w:rsidRPr="00F826B6">
              <w:rPr>
                <w:sz w:val="24"/>
                <w:szCs w:val="24"/>
              </w:rPr>
              <w:t>Funding</w:t>
            </w:r>
          </w:p>
        </w:tc>
        <w:tc>
          <w:tcPr>
            <w:tcW w:w="4650" w:type="dxa"/>
          </w:tcPr>
          <w:p w14:paraId="50EC6DFA" w14:textId="4567E3DA" w:rsidR="009E1641" w:rsidRDefault="009E1641" w:rsidP="009E1641">
            <w:r w:rsidRPr="00F826B6">
              <w:rPr>
                <w:sz w:val="24"/>
                <w:szCs w:val="24"/>
              </w:rPr>
              <w:t>Strategically planned and executed external communications</w:t>
            </w:r>
          </w:p>
        </w:tc>
      </w:tr>
      <w:tr w:rsidR="009E1641" w14:paraId="07CC9842" w14:textId="77777777" w:rsidTr="00FD78F7">
        <w:tc>
          <w:tcPr>
            <w:tcW w:w="4649" w:type="dxa"/>
          </w:tcPr>
          <w:p w14:paraId="20E2A897" w14:textId="77777777" w:rsidR="009E1641" w:rsidRDefault="009E1641" w:rsidP="009E1641"/>
        </w:tc>
        <w:tc>
          <w:tcPr>
            <w:tcW w:w="4649" w:type="dxa"/>
          </w:tcPr>
          <w:p w14:paraId="326A5B35" w14:textId="2DF408C2" w:rsidR="009E1641" w:rsidRDefault="009E1641" w:rsidP="009E1641">
            <w:r w:rsidRPr="00F826B6">
              <w:rPr>
                <w:sz w:val="24"/>
                <w:szCs w:val="24"/>
              </w:rPr>
              <w:t>Performance evaluation</w:t>
            </w:r>
          </w:p>
        </w:tc>
        <w:tc>
          <w:tcPr>
            <w:tcW w:w="4650" w:type="dxa"/>
          </w:tcPr>
          <w:p w14:paraId="3539DC7E" w14:textId="3D9CF391" w:rsidR="009E1641" w:rsidRDefault="009E1641" w:rsidP="009E1641">
            <w:r w:rsidRPr="00F826B6">
              <w:rPr>
                <w:sz w:val="24"/>
                <w:szCs w:val="24"/>
              </w:rPr>
              <w:t>Agreed standards of care and safety and a performance framework</w:t>
            </w:r>
          </w:p>
        </w:tc>
      </w:tr>
    </w:tbl>
    <w:p w14:paraId="2E72FCDD" w14:textId="4ACDF996" w:rsidR="00F826B6" w:rsidRDefault="00F826B6" w:rsidP="00F826B6">
      <w:pPr>
        <w:rPr>
          <w:rFonts w:ascii="Arial" w:eastAsiaTheme="minorEastAsia" w:hAnsi="Arial" w:cs="Arial"/>
          <w:b/>
          <w:bCs/>
          <w:sz w:val="23"/>
          <w:szCs w:val="23"/>
        </w:rPr>
      </w:pPr>
      <w:r w:rsidRPr="00F826B6">
        <w:rPr>
          <w:rFonts w:ascii="Arial" w:eastAsiaTheme="minorEastAsia" w:hAnsi="Arial" w:cs="Arial"/>
          <w:b/>
          <w:bCs/>
          <w:sz w:val="23"/>
          <w:szCs w:val="23"/>
        </w:rPr>
        <w:br w:type="page"/>
      </w:r>
    </w:p>
    <w:tbl>
      <w:tblPr>
        <w:tblStyle w:val="TableGrid"/>
        <w:tblW w:w="13608" w:type="dxa"/>
        <w:tblInd w:w="-5" w:type="dxa"/>
        <w:tblLook w:val="04A0" w:firstRow="1" w:lastRow="0" w:firstColumn="1" w:lastColumn="0" w:noHBand="0" w:noVBand="1"/>
      </w:tblPr>
      <w:tblGrid>
        <w:gridCol w:w="13608"/>
      </w:tblGrid>
      <w:tr w:rsidR="00C6538E" w:rsidRPr="00F826B6" w14:paraId="427130B8" w14:textId="77777777" w:rsidTr="00A8493B">
        <w:trPr>
          <w:tblHeader/>
        </w:trPr>
        <w:tc>
          <w:tcPr>
            <w:tcW w:w="13608" w:type="dxa"/>
            <w:shd w:val="clear" w:color="auto" w:fill="B4C6E7" w:themeFill="accent1" w:themeFillTint="66"/>
          </w:tcPr>
          <w:p w14:paraId="3A2F44DA" w14:textId="77777777" w:rsidR="00C6538E" w:rsidRPr="00F826B6" w:rsidRDefault="00C6538E" w:rsidP="00A8493B">
            <w:pPr>
              <w:spacing w:after="120" w:line="264" w:lineRule="auto"/>
              <w:jc w:val="center"/>
              <w:rPr>
                <w:rFonts w:eastAsiaTheme="minorEastAsia" w:cstheme="minorHAnsi"/>
                <w:b/>
                <w:bCs/>
                <w:u w:val="single"/>
              </w:rPr>
            </w:pPr>
            <w:r w:rsidRPr="00F826B6">
              <w:rPr>
                <w:rFonts w:ascii="Arial" w:eastAsiaTheme="minorEastAsia" w:hAnsi="Arial" w:cs="Arial"/>
                <w:b/>
                <w:bCs/>
                <w:sz w:val="23"/>
                <w:szCs w:val="23"/>
              </w:rPr>
              <w:lastRenderedPageBreak/>
              <w:t xml:space="preserve">Australian Government’s </w:t>
            </w:r>
            <w:hyperlink r:id="rId54" w:tgtFrame="_blank" w:history="1">
              <w:r w:rsidRPr="00F826B6">
                <w:rPr>
                  <w:rFonts w:ascii="Arial" w:eastAsiaTheme="minorEastAsia" w:hAnsi="Arial" w:cs="Arial"/>
                  <w:b/>
                  <w:bCs/>
                  <w:sz w:val="23"/>
                  <w:szCs w:val="23"/>
                </w:rPr>
                <w:t>Regulator Performance Guide</w:t>
              </w:r>
            </w:hyperlink>
            <w:r w:rsidRPr="00F826B6">
              <w:rPr>
                <w:rFonts w:ascii="Arial" w:eastAsiaTheme="minorEastAsia" w:hAnsi="Arial" w:cs="Arial"/>
                <w:b/>
                <w:bCs/>
                <w:sz w:val="23"/>
                <w:szCs w:val="23"/>
              </w:rPr>
              <w:t xml:space="preserve"> </w:t>
            </w:r>
            <w:r>
              <w:rPr>
                <w:rFonts w:ascii="Arial" w:eastAsiaTheme="minorEastAsia" w:hAnsi="Arial" w:cs="Arial"/>
                <w:b/>
                <w:bCs/>
                <w:sz w:val="23"/>
                <w:szCs w:val="23"/>
              </w:rPr>
              <w:t>- P</w:t>
            </w:r>
            <w:r w:rsidRPr="00F826B6">
              <w:rPr>
                <w:rFonts w:ascii="Arial" w:eastAsiaTheme="minorEastAsia" w:hAnsi="Arial" w:cs="Arial"/>
                <w:b/>
                <w:bCs/>
                <w:sz w:val="23"/>
                <w:szCs w:val="23"/>
              </w:rPr>
              <w:t>rinciples of best practice</w:t>
            </w:r>
          </w:p>
        </w:tc>
      </w:tr>
      <w:tr w:rsidR="00C6538E" w:rsidRPr="00F826B6" w14:paraId="79067CEC" w14:textId="77777777" w:rsidTr="00A8493B">
        <w:tc>
          <w:tcPr>
            <w:tcW w:w="13608" w:type="dxa"/>
          </w:tcPr>
          <w:p w14:paraId="0B66CE4D" w14:textId="77777777" w:rsidR="00C6538E" w:rsidRPr="00F826B6" w:rsidRDefault="00C6538E" w:rsidP="001750D5">
            <w:pPr>
              <w:numPr>
                <w:ilvl w:val="0"/>
                <w:numId w:val="41"/>
              </w:numPr>
              <w:spacing w:after="120" w:line="264" w:lineRule="auto"/>
              <w:contextualSpacing/>
              <w:rPr>
                <w:rFonts w:eastAsia="Times New Roman" w:cstheme="minorHAnsi"/>
                <w:lang w:eastAsia="en-AU"/>
              </w:rPr>
            </w:pPr>
            <w:r w:rsidRPr="00F826B6">
              <w:rPr>
                <w:rFonts w:eastAsia="Times New Roman" w:cstheme="minorHAnsi"/>
                <w:b/>
                <w:bCs/>
                <w:lang w:eastAsia="en-AU"/>
              </w:rPr>
              <w:t xml:space="preserve">Continuous improvement and building trust - </w:t>
            </w:r>
            <w:r w:rsidRPr="00F826B6">
              <w:rPr>
                <w:rFonts w:eastAsia="Times New Roman" w:cstheme="minorHAnsi"/>
                <w:lang w:eastAsia="en-AU"/>
              </w:rPr>
              <w:t>Regulators are expected to continuously improve how they do their work. This means better matching regulatory treatments to the risk, so people can trust the system they regulate</w:t>
            </w:r>
            <w:r w:rsidRPr="00F826B6">
              <w:rPr>
                <w:rFonts w:eastAsia="Times New Roman" w:cstheme="minorHAnsi"/>
                <w:b/>
                <w:bCs/>
                <w:lang w:eastAsia="en-AU"/>
              </w:rPr>
              <w:t>.   </w:t>
            </w:r>
            <w:r w:rsidRPr="00F826B6">
              <w:rPr>
                <w:rFonts w:eastAsia="Times New Roman" w:cstheme="minorHAnsi"/>
                <w:lang w:eastAsia="en-AU"/>
              </w:rPr>
              <w:t>This principle encompasses regulators:</w:t>
            </w:r>
          </w:p>
          <w:p w14:paraId="02051015"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 xml:space="preserve">Seeking to improve how they exercise their powers and deliver their legislated functions, while remaining flexible and responsive to changing circumstances. </w:t>
            </w:r>
          </w:p>
          <w:p w14:paraId="17469A46"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Embedding methodologies to understand the costs, impact and outcomes of regulation and collect evidence of this at a system-wide level, using insights to support and drive improved outcomes</w:t>
            </w:r>
          </w:p>
          <w:p w14:paraId="0A991C18"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Taking a whole-of-system perspective, building, and maintaining collaborative relationships with other regulators to develop a shared understanding of respective roles and responsibilities and identify gaps and areas of overlap.</w:t>
            </w:r>
          </w:p>
          <w:p w14:paraId="2ED772BA" w14:textId="77777777" w:rsidR="00C6538E" w:rsidRPr="00F826B6" w:rsidRDefault="00C6538E" w:rsidP="00A8493B">
            <w:pPr>
              <w:shd w:val="clear" w:color="auto" w:fill="FFFFFF"/>
              <w:spacing w:after="120"/>
              <w:ind w:left="720"/>
              <w:contextualSpacing/>
              <w:rPr>
                <w:rFonts w:eastAsia="Times New Roman" w:cstheme="minorHAnsi"/>
                <w:lang w:eastAsia="en-AU"/>
              </w:rPr>
            </w:pPr>
          </w:p>
          <w:p w14:paraId="1A591148" w14:textId="77777777" w:rsidR="00C6538E" w:rsidRPr="00F826B6" w:rsidRDefault="00C6538E" w:rsidP="00A8493B">
            <w:pPr>
              <w:shd w:val="clear" w:color="auto" w:fill="FFFFFF"/>
              <w:ind w:left="360"/>
              <w:rPr>
                <w:rFonts w:eastAsia="Times New Roman" w:cstheme="minorHAnsi"/>
                <w:lang w:eastAsia="en-AU"/>
              </w:rPr>
            </w:pPr>
            <w:r w:rsidRPr="00F826B6">
              <w:rPr>
                <w:rFonts w:eastAsia="Times New Roman" w:cstheme="minorHAnsi"/>
                <w:lang w:eastAsia="en-AU"/>
              </w:rPr>
              <w:t xml:space="preserve">The Guide states that in practice, commitment to continuous improvement and building trust means: </w:t>
            </w:r>
          </w:p>
          <w:p w14:paraId="65F8A41C"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 xml:space="preserve">Having a well-defined, </w:t>
            </w:r>
            <w:proofErr w:type="gramStart"/>
            <w:r w:rsidRPr="00F826B6">
              <w:rPr>
                <w:rFonts w:eastAsia="Times New Roman" w:cstheme="minorHAnsi"/>
                <w:lang w:eastAsia="en-AU"/>
              </w:rPr>
              <w:t>communicated</w:t>
            </w:r>
            <w:proofErr w:type="gramEnd"/>
            <w:r w:rsidRPr="00F826B6">
              <w:rPr>
                <w:rFonts w:eastAsia="Times New Roman" w:cstheme="minorHAnsi"/>
                <w:lang w:eastAsia="en-AU"/>
              </w:rPr>
              <w:t xml:space="preserve"> and embedded </w:t>
            </w:r>
            <w:proofErr w:type="spellStart"/>
            <w:r w:rsidRPr="00F826B6">
              <w:rPr>
                <w:rFonts w:eastAsia="Times New Roman" w:cstheme="minorHAnsi"/>
                <w:lang w:eastAsia="en-AU"/>
              </w:rPr>
              <w:t>organisational</w:t>
            </w:r>
            <w:proofErr w:type="spellEnd"/>
            <w:r w:rsidRPr="00F826B6">
              <w:rPr>
                <w:rFonts w:eastAsia="Times New Roman" w:cstheme="minorHAnsi"/>
                <w:lang w:eastAsia="en-AU"/>
              </w:rPr>
              <w:t xml:space="preserve"> values and culture that articulate the type of regulator and regulatory posture they seek to adopt—such as through the development of cultural or values statements.</w:t>
            </w:r>
          </w:p>
          <w:p w14:paraId="0EBCC5C7"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Actively building staff capability, including ensuring staff have relevant knowledge of the regulatory craft and the industry they regulate, and have the capacity and are empowered to identify and implement improved practices.</w:t>
            </w:r>
          </w:p>
          <w:p w14:paraId="7AFC2394"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Having transparent external accountability processes encouraging procedural fairness, accessibility and responsiveness that builds public trust and confidence in the performance of their regulatory functions—such as easy to access and transparent complaints and feedback handling procedures, and, where appropriate, publishing processing times.</w:t>
            </w:r>
          </w:p>
          <w:p w14:paraId="35EDDF20"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Holding themselves to account through internal accountability processes that foster a culture of continuous improvement and reflection—such as holding rigorous ex-post reviews of regulatory actions to identify learnings and explore opportunities for improvement, and regular reviews of operating procedures.</w:t>
            </w:r>
          </w:p>
          <w:p w14:paraId="019599EF"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Undertaking regular and independent performance reviews and taking ownership of and respond to recommendations of external reviews of their performance, such as those conducted by the Australian National Audit Office.</w:t>
            </w:r>
          </w:p>
          <w:p w14:paraId="633F07FD"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Providing clear information about the rationale for compliance costs and actively engage with stakeholders to identify solutions to avoid or reduce unnecessary costs.</w:t>
            </w:r>
          </w:p>
          <w:p w14:paraId="04226E86"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Seeing guidance from the Department of Finance on the application of user charging (cost recovery) arrangements, ensuring these align with the Australian Government Charging Framework (for more information see RMG 302 – Australian Government Charging Framework under Tools and templates).</w:t>
            </w:r>
          </w:p>
          <w:p w14:paraId="37F6C20D"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Taking broad perspective of the regulatory environment, including conducting environmental scans and considering best practice examples from other jurisdictions and regulatory systems.</w:t>
            </w:r>
          </w:p>
          <w:p w14:paraId="107F4F7B"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lastRenderedPageBreak/>
              <w:t xml:space="preserve">Identifying and </w:t>
            </w:r>
            <w:proofErr w:type="spellStart"/>
            <w:r w:rsidRPr="00F826B6">
              <w:rPr>
                <w:rFonts w:eastAsia="Times New Roman" w:cstheme="minorHAnsi"/>
                <w:lang w:eastAsia="en-AU"/>
              </w:rPr>
              <w:t>minimising</w:t>
            </w:r>
            <w:proofErr w:type="spellEnd"/>
            <w:r w:rsidRPr="00F826B6">
              <w:rPr>
                <w:rFonts w:eastAsia="Times New Roman" w:cstheme="minorHAnsi"/>
                <w:lang w:eastAsia="en-AU"/>
              </w:rPr>
              <w:t xml:space="preserve"> duplication and </w:t>
            </w:r>
            <w:proofErr w:type="spellStart"/>
            <w:r w:rsidRPr="00F826B6">
              <w:rPr>
                <w:rFonts w:eastAsia="Times New Roman" w:cstheme="minorHAnsi"/>
                <w:lang w:eastAsia="en-AU"/>
              </w:rPr>
              <w:t>harmonise</w:t>
            </w:r>
            <w:proofErr w:type="spellEnd"/>
            <w:r w:rsidRPr="00F826B6">
              <w:rPr>
                <w:rFonts w:eastAsia="Times New Roman" w:cstheme="minorHAnsi"/>
                <w:lang w:eastAsia="en-AU"/>
              </w:rPr>
              <w:t xml:space="preserve"> activities with other regulators to achieve better regulatory outcomes, including establishing clear operational scopes, sharing </w:t>
            </w:r>
            <w:proofErr w:type="gramStart"/>
            <w:r w:rsidRPr="00F826B6">
              <w:rPr>
                <w:rFonts w:eastAsia="Times New Roman" w:cstheme="minorHAnsi"/>
                <w:lang w:eastAsia="en-AU"/>
              </w:rPr>
              <w:t>intelligence</w:t>
            </w:r>
            <w:proofErr w:type="gramEnd"/>
            <w:r w:rsidRPr="00F826B6">
              <w:rPr>
                <w:rFonts w:eastAsia="Times New Roman" w:cstheme="minorHAnsi"/>
                <w:lang w:eastAsia="en-AU"/>
              </w:rPr>
              <w:t xml:space="preserve"> and producing common guidance where appropriate, providing clarity, and reducing the overlapping compliance burden on business and individuals.</w:t>
            </w:r>
          </w:p>
          <w:p w14:paraId="7F18E497"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Actively sharing learnings and insights by participating in communities of practice, engaging with other regulators and stakeholders to reflect on best practice and lessons learned, including failures.</w:t>
            </w:r>
          </w:p>
        </w:tc>
      </w:tr>
      <w:tr w:rsidR="00C6538E" w:rsidRPr="00F826B6" w14:paraId="567BF6C5" w14:textId="77777777" w:rsidTr="00A8493B">
        <w:tc>
          <w:tcPr>
            <w:tcW w:w="13608" w:type="dxa"/>
          </w:tcPr>
          <w:p w14:paraId="08F3648C" w14:textId="77777777" w:rsidR="00C6538E" w:rsidRPr="00F826B6" w:rsidRDefault="00C6538E" w:rsidP="001750D5">
            <w:pPr>
              <w:numPr>
                <w:ilvl w:val="0"/>
                <w:numId w:val="41"/>
              </w:numPr>
              <w:spacing w:after="120" w:line="264" w:lineRule="auto"/>
              <w:contextualSpacing/>
              <w:rPr>
                <w:rFonts w:eastAsia="Times New Roman" w:cstheme="minorHAnsi"/>
                <w:lang w:eastAsia="en-AU"/>
              </w:rPr>
            </w:pPr>
            <w:r w:rsidRPr="00F826B6">
              <w:rPr>
                <w:rFonts w:eastAsia="Times New Roman" w:cstheme="minorHAnsi"/>
                <w:b/>
                <w:bCs/>
                <w:lang w:eastAsia="en-AU"/>
              </w:rPr>
              <w:lastRenderedPageBreak/>
              <w:t xml:space="preserve">Risk based and data driven   - </w:t>
            </w:r>
            <w:r w:rsidRPr="00F826B6">
              <w:rPr>
                <w:rFonts w:eastAsia="Times New Roman" w:cstheme="minorHAnsi"/>
                <w:lang w:eastAsia="en-AU"/>
              </w:rPr>
              <w:t xml:space="preserve">Regulators are expected to identify risks, </w:t>
            </w:r>
            <w:proofErr w:type="spellStart"/>
            <w:proofErr w:type="gramStart"/>
            <w:r w:rsidRPr="00F826B6">
              <w:rPr>
                <w:rFonts w:eastAsia="Times New Roman" w:cstheme="minorHAnsi"/>
                <w:lang w:eastAsia="en-AU"/>
              </w:rPr>
              <w:t>prioritise</w:t>
            </w:r>
            <w:proofErr w:type="spellEnd"/>
            <w:proofErr w:type="gramEnd"/>
            <w:r w:rsidRPr="00F826B6">
              <w:rPr>
                <w:rFonts w:eastAsia="Times New Roman" w:cstheme="minorHAnsi"/>
                <w:lang w:eastAsia="en-AU"/>
              </w:rPr>
              <w:t xml:space="preserve"> and respond to them. In doing so, regulators should </w:t>
            </w:r>
            <w:proofErr w:type="spellStart"/>
            <w:r w:rsidRPr="00F826B6">
              <w:rPr>
                <w:rFonts w:eastAsia="Times New Roman" w:cstheme="minorHAnsi"/>
                <w:lang w:eastAsia="en-AU"/>
              </w:rPr>
              <w:t>minimise</w:t>
            </w:r>
            <w:proofErr w:type="spellEnd"/>
            <w:r w:rsidRPr="00F826B6">
              <w:rPr>
                <w:rFonts w:eastAsia="Times New Roman" w:cstheme="minorHAnsi"/>
                <w:lang w:eastAsia="en-AU"/>
              </w:rPr>
              <w:t xml:space="preserve"> the impact of the regulations, but not at the expense of why they are regulating.  </w:t>
            </w:r>
            <w:r w:rsidRPr="00F826B6">
              <w:rPr>
                <w:rFonts w:eastAsia="Times New Roman" w:cstheme="minorHAnsi"/>
                <w:b/>
                <w:bCs/>
                <w:lang w:eastAsia="en-AU"/>
              </w:rPr>
              <w:t> </w:t>
            </w:r>
            <w:r w:rsidRPr="00F826B6">
              <w:rPr>
                <w:rFonts w:eastAsia="Times New Roman" w:cstheme="minorHAnsi"/>
                <w:lang w:eastAsia="en-AU"/>
              </w:rPr>
              <w:t>This principle encompasses regulators:</w:t>
            </w:r>
          </w:p>
          <w:p w14:paraId="7C64F73E" w14:textId="1C9535F8" w:rsidR="00C6538E" w:rsidRPr="00F826B6" w:rsidRDefault="00C6538E" w:rsidP="001750D5">
            <w:pPr>
              <w:numPr>
                <w:ilvl w:val="0"/>
                <w:numId w:val="42"/>
              </w:numPr>
              <w:shd w:val="clear" w:color="auto" w:fill="FFFFFF"/>
              <w:spacing w:after="120"/>
              <w:contextualSpacing/>
              <w:rPr>
                <w:rFonts w:eastAsia="Times New Roman" w:cstheme="minorHAnsi"/>
                <w:color w:val="212529"/>
                <w:lang w:eastAsia="en-AU"/>
              </w:rPr>
            </w:pPr>
            <w:r w:rsidRPr="00F826B6">
              <w:rPr>
                <w:rFonts w:eastAsia="Times New Roman" w:cstheme="minorHAnsi"/>
                <w:lang w:eastAsia="en-AU"/>
              </w:rPr>
              <w:t>Taking a risk</w:t>
            </w:r>
            <w:r w:rsidR="00F01D2C">
              <w:rPr>
                <w:rFonts w:eastAsia="Times New Roman" w:cstheme="minorHAnsi"/>
                <w:lang w:eastAsia="en-AU"/>
              </w:rPr>
              <w:t>-</w:t>
            </w:r>
            <w:r w:rsidRPr="00F826B6">
              <w:rPr>
                <w:rFonts w:eastAsia="Times New Roman" w:cstheme="minorHAnsi"/>
                <w:lang w:eastAsia="en-AU"/>
              </w:rPr>
              <w:t xml:space="preserve">based approach to operational policy development, administration, </w:t>
            </w:r>
            <w:proofErr w:type="gramStart"/>
            <w:r w:rsidRPr="00F826B6">
              <w:rPr>
                <w:rFonts w:eastAsia="Times New Roman" w:cstheme="minorHAnsi"/>
                <w:lang w:eastAsia="en-AU"/>
              </w:rPr>
              <w:t>compliance</w:t>
            </w:r>
            <w:proofErr w:type="gramEnd"/>
            <w:r w:rsidRPr="00F826B6">
              <w:rPr>
                <w:rFonts w:eastAsia="Times New Roman" w:cstheme="minorHAnsi"/>
                <w:lang w:eastAsia="en-AU"/>
              </w:rPr>
              <w:t xml:space="preserve"> and enforcement activities, and are informed by data, evidence and intelligence. A risk</w:t>
            </w:r>
            <w:r w:rsidR="00F01D2C">
              <w:rPr>
                <w:rFonts w:eastAsia="Times New Roman" w:cstheme="minorHAnsi"/>
                <w:lang w:eastAsia="en-AU"/>
              </w:rPr>
              <w:t>-</w:t>
            </w:r>
            <w:r w:rsidRPr="00F826B6">
              <w:rPr>
                <w:rFonts w:eastAsia="Times New Roman" w:cstheme="minorHAnsi"/>
                <w:lang w:eastAsia="en-AU"/>
              </w:rPr>
              <w:t xml:space="preserve">based approach allows a regulator to properly assess the risks of non-compliance and respond in a proportionate way to the harm being managed. Tolerances may be deliberately tight where there are, for example, risks to human life. Strategic management of risk can also improve efficiency by </w:t>
            </w:r>
            <w:proofErr w:type="spellStart"/>
            <w:r w:rsidRPr="00F826B6">
              <w:rPr>
                <w:rFonts w:eastAsia="Times New Roman" w:cstheme="minorHAnsi"/>
                <w:lang w:eastAsia="en-AU"/>
              </w:rPr>
              <w:t>prioritising</w:t>
            </w:r>
            <w:proofErr w:type="spellEnd"/>
            <w:r w:rsidRPr="00F826B6">
              <w:rPr>
                <w:rFonts w:eastAsia="Times New Roman" w:cstheme="minorHAnsi"/>
                <w:lang w:eastAsia="en-AU"/>
              </w:rPr>
              <w:t xml:space="preserve"> resources to the areas of highest </w:t>
            </w:r>
            <w:proofErr w:type="gramStart"/>
            <w:r w:rsidRPr="00F826B6">
              <w:rPr>
                <w:rFonts w:eastAsia="Times New Roman" w:cstheme="minorHAnsi"/>
                <w:lang w:eastAsia="en-AU"/>
              </w:rPr>
              <w:t>risk, and</w:t>
            </w:r>
            <w:proofErr w:type="gramEnd"/>
            <w:r w:rsidRPr="00F826B6">
              <w:rPr>
                <w:rFonts w:eastAsia="Times New Roman" w:cstheme="minorHAnsi"/>
                <w:lang w:eastAsia="en-AU"/>
              </w:rPr>
              <w:t xml:space="preserve"> increase compliance by focusing limited resources on the areas of the greatest risk of non-compliance. It can also reduce the overall compliance and cost burden by </w:t>
            </w:r>
            <w:proofErr w:type="spellStart"/>
            <w:r w:rsidRPr="00F826B6">
              <w:rPr>
                <w:rFonts w:eastAsia="Times New Roman" w:cstheme="minorHAnsi"/>
                <w:lang w:eastAsia="en-AU"/>
              </w:rPr>
              <w:t>minimising</w:t>
            </w:r>
            <w:proofErr w:type="spellEnd"/>
            <w:r w:rsidRPr="00F826B6">
              <w:rPr>
                <w:rFonts w:eastAsia="Times New Roman" w:cstheme="minorHAnsi"/>
                <w:lang w:eastAsia="en-AU"/>
              </w:rPr>
              <w:t xml:space="preserve"> Government intervention where the risks are relatively low.</w:t>
            </w:r>
          </w:p>
          <w:p w14:paraId="486E020E"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 xml:space="preserve">Leveraging data and digital technology to help regulators better understand and manage risks. This requires building capability and having the right infrastructure to support effective data use and digital literacy. Regulators should also consider opportunities to collaborate with other regulators and across Government entities to use existing data and digital solutions to </w:t>
            </w:r>
            <w:proofErr w:type="spellStart"/>
            <w:r w:rsidRPr="00F826B6">
              <w:rPr>
                <w:rFonts w:eastAsia="Times New Roman" w:cstheme="minorHAnsi"/>
                <w:lang w:eastAsia="en-AU"/>
              </w:rPr>
              <w:t>minimise</w:t>
            </w:r>
            <w:proofErr w:type="spellEnd"/>
            <w:r w:rsidRPr="00F826B6">
              <w:rPr>
                <w:rFonts w:eastAsia="Times New Roman" w:cstheme="minorHAnsi"/>
                <w:lang w:eastAsia="en-AU"/>
              </w:rPr>
              <w:t xml:space="preserve"> regulatory burden and cost.</w:t>
            </w:r>
          </w:p>
          <w:p w14:paraId="3F51A8BB"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Considering where compliance could be streamlined and, where appropriate, consider the business practices of regulated entities, allowing them to adopt innovative approaches to meet their obligations.</w:t>
            </w:r>
          </w:p>
          <w:p w14:paraId="3AC2D903" w14:textId="77777777" w:rsidR="00C6538E" w:rsidRPr="00F826B6" w:rsidRDefault="00C6538E" w:rsidP="001750D5">
            <w:pPr>
              <w:numPr>
                <w:ilvl w:val="0"/>
                <w:numId w:val="42"/>
              </w:numPr>
              <w:shd w:val="clear" w:color="auto" w:fill="FFFFFF"/>
              <w:spacing w:after="120"/>
              <w:contextualSpacing/>
              <w:rPr>
                <w:rFonts w:eastAsia="Times New Roman" w:cstheme="minorHAnsi"/>
                <w:lang w:eastAsia="en-AU"/>
              </w:rPr>
            </w:pPr>
            <w:r w:rsidRPr="00F826B6">
              <w:rPr>
                <w:rFonts w:eastAsia="Times New Roman" w:cstheme="minorHAnsi"/>
                <w:lang w:eastAsia="en-AU"/>
              </w:rPr>
              <w:t xml:space="preserve">Continually monitoring the </w:t>
            </w:r>
            <w:proofErr w:type="gramStart"/>
            <w:r w:rsidRPr="00F826B6">
              <w:rPr>
                <w:rFonts w:eastAsia="Times New Roman" w:cstheme="minorHAnsi"/>
                <w:lang w:eastAsia="en-AU"/>
              </w:rPr>
              <w:t>environment</w:t>
            </w:r>
            <w:proofErr w:type="gramEnd"/>
            <w:r w:rsidRPr="00F826B6">
              <w:rPr>
                <w:rFonts w:eastAsia="Times New Roman" w:cstheme="minorHAnsi"/>
                <w:lang w:eastAsia="en-AU"/>
              </w:rPr>
              <w:t xml:space="preserve"> they operate to ensure regulatory approaches keep pace with changes in technology, industry practices and community expectations, and effect change accordingly.</w:t>
            </w:r>
          </w:p>
          <w:p w14:paraId="600C2214" w14:textId="77777777" w:rsidR="00C6538E" w:rsidRPr="00F826B6" w:rsidRDefault="00C6538E" w:rsidP="00A8493B">
            <w:pPr>
              <w:shd w:val="clear" w:color="auto" w:fill="FFFFFF"/>
              <w:spacing w:after="120"/>
              <w:ind w:left="720"/>
              <w:contextualSpacing/>
              <w:rPr>
                <w:rFonts w:eastAsia="Times New Roman" w:cstheme="minorHAnsi"/>
                <w:lang w:eastAsia="en-AU"/>
              </w:rPr>
            </w:pPr>
          </w:p>
          <w:p w14:paraId="4C8438E0" w14:textId="77777777" w:rsidR="00C6538E" w:rsidRPr="00F826B6" w:rsidRDefault="00C6538E" w:rsidP="00A8493B">
            <w:pPr>
              <w:spacing w:after="120" w:line="264" w:lineRule="auto"/>
              <w:ind w:left="360"/>
              <w:contextualSpacing/>
              <w:rPr>
                <w:rFonts w:eastAsia="Times New Roman" w:cstheme="minorHAnsi"/>
                <w:lang w:eastAsia="en-AU"/>
              </w:rPr>
            </w:pPr>
            <w:r w:rsidRPr="00F826B6">
              <w:rPr>
                <w:rFonts w:eastAsia="Times New Roman" w:cstheme="minorHAnsi"/>
                <w:lang w:eastAsia="en-AU"/>
              </w:rPr>
              <w:t>The Guide states that adopting a risk based and data driven approach means regulators:</w:t>
            </w:r>
          </w:p>
          <w:p w14:paraId="0786BA87"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consider the risks, cost effectiveness and impact of regulatory action, both before and after the regulatory action has commenced</w:t>
            </w:r>
          </w:p>
          <w:p w14:paraId="56AE75A7"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maintain a compliance and enforcement strategy that articulates the regulator’s approach to risk and how this informs decision-making, publishing where appropriate</w:t>
            </w:r>
          </w:p>
          <w:p w14:paraId="7DE472BD" w14:textId="42697851"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focus on risk culture, build staff understanding of regulator’s approach to risk and how it flows to day-to-day decision making</w:t>
            </w:r>
          </w:p>
          <w:p w14:paraId="4012AC27"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build staff and </w:t>
            </w:r>
            <w:proofErr w:type="spellStart"/>
            <w:r w:rsidRPr="00F826B6">
              <w:rPr>
                <w:rFonts w:eastAsia="Times New Roman" w:cstheme="minorHAnsi"/>
                <w:lang w:eastAsia="en-AU"/>
              </w:rPr>
              <w:t>organisational</w:t>
            </w:r>
            <w:proofErr w:type="spellEnd"/>
            <w:r w:rsidRPr="00F826B6">
              <w:rPr>
                <w:rFonts w:eastAsia="Times New Roman" w:cstheme="minorHAnsi"/>
                <w:lang w:eastAsia="en-AU"/>
              </w:rPr>
              <w:t xml:space="preserve"> data capability and digital literacy, drawing on expertise to support effective use, including regulatory technology (</w:t>
            </w:r>
            <w:proofErr w:type="spellStart"/>
            <w:r w:rsidRPr="00F826B6">
              <w:rPr>
                <w:rFonts w:eastAsia="Times New Roman" w:cstheme="minorHAnsi"/>
                <w:lang w:eastAsia="en-AU"/>
              </w:rPr>
              <w:t>RegTech</w:t>
            </w:r>
            <w:proofErr w:type="spellEnd"/>
            <w:r w:rsidRPr="00F826B6">
              <w:rPr>
                <w:rFonts w:eastAsia="Times New Roman" w:cstheme="minorHAnsi"/>
                <w:lang w:eastAsia="en-AU"/>
              </w:rPr>
              <w:t>) solutions</w:t>
            </w:r>
          </w:p>
          <w:p w14:paraId="276338CC" w14:textId="32B5C829"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use intelligence and data, including data points such as enterprise size, to inform a risk</w:t>
            </w:r>
            <w:r w:rsidR="0068467F">
              <w:rPr>
                <w:rFonts w:eastAsia="Times New Roman" w:cstheme="minorHAnsi"/>
                <w:lang w:eastAsia="en-AU"/>
              </w:rPr>
              <w:t>-</w:t>
            </w:r>
            <w:r w:rsidRPr="00F826B6">
              <w:rPr>
                <w:rFonts w:eastAsia="Times New Roman" w:cstheme="minorHAnsi"/>
                <w:lang w:eastAsia="en-AU"/>
              </w:rPr>
              <w:t>based approach to compliance and enforcement</w:t>
            </w:r>
          </w:p>
          <w:p w14:paraId="2486C1C7"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actively monitor and plan for risks of market changes and new business models that may have flow-on effects for operations, including those on the edge of, or just outside, a regulator’s legal objectives, </w:t>
            </w:r>
            <w:proofErr w:type="gramStart"/>
            <w:r w:rsidRPr="00F826B6">
              <w:rPr>
                <w:rFonts w:eastAsia="Times New Roman" w:cstheme="minorHAnsi"/>
                <w:lang w:eastAsia="en-AU"/>
              </w:rPr>
              <w:t>functions</w:t>
            </w:r>
            <w:proofErr w:type="gramEnd"/>
            <w:r w:rsidRPr="00F826B6">
              <w:rPr>
                <w:rFonts w:eastAsia="Times New Roman" w:cstheme="minorHAnsi"/>
                <w:lang w:eastAsia="en-AU"/>
              </w:rPr>
              <w:t xml:space="preserve"> and role</w:t>
            </w:r>
          </w:p>
          <w:p w14:paraId="60C4B6B3"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lastRenderedPageBreak/>
              <w:t>modify their regulatory approach to encourage voluntary compliance where appropriate and focus compliance and enforcement activity where risks and impact of harm are greatest</w:t>
            </w:r>
          </w:p>
          <w:p w14:paraId="75A1CED6"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commit to publish the data they hold and share data across regulators where permitted and appropriate</w:t>
            </w:r>
          </w:p>
          <w:p w14:paraId="5B88D177"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proofErr w:type="gramStart"/>
            <w:r w:rsidRPr="00F826B6">
              <w:rPr>
                <w:rFonts w:eastAsia="Times New Roman" w:cstheme="minorHAnsi"/>
                <w:lang w:eastAsia="en-AU"/>
              </w:rPr>
              <w:t>take into account</w:t>
            </w:r>
            <w:proofErr w:type="gramEnd"/>
            <w:r w:rsidRPr="00F826B6">
              <w:rPr>
                <w:rFonts w:eastAsia="Times New Roman" w:cstheme="minorHAnsi"/>
                <w:lang w:eastAsia="en-AU"/>
              </w:rPr>
              <w:t xml:space="preserve"> the cumulative burden of regulations, including the impact on smaller businesses and sole traders, when establishing and implementing processes</w:t>
            </w:r>
          </w:p>
          <w:p w14:paraId="2AD8A776"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seek to achieve their objectives while ensuring that economic outcomes, such as impacts on competition, </w:t>
            </w:r>
            <w:proofErr w:type="gramStart"/>
            <w:r w:rsidRPr="00F826B6">
              <w:rPr>
                <w:rFonts w:eastAsia="Times New Roman" w:cstheme="minorHAnsi"/>
                <w:lang w:eastAsia="en-AU"/>
              </w:rPr>
              <w:t>innovation</w:t>
            </w:r>
            <w:proofErr w:type="gramEnd"/>
            <w:r w:rsidRPr="00F826B6">
              <w:rPr>
                <w:rFonts w:eastAsia="Times New Roman" w:cstheme="minorHAnsi"/>
                <w:lang w:eastAsia="en-AU"/>
              </w:rPr>
              <w:t xml:space="preserve"> and growth, are explicitly considered in implementation</w:t>
            </w:r>
          </w:p>
          <w:p w14:paraId="2A5D4064" w14:textId="234434AD" w:rsidR="00C6538E" w:rsidRPr="00F826B6" w:rsidRDefault="00C6538E" w:rsidP="00F01D2C">
            <w:pPr>
              <w:numPr>
                <w:ilvl w:val="0"/>
                <w:numId w:val="42"/>
              </w:numPr>
              <w:shd w:val="clear" w:color="auto" w:fill="FFFFFF"/>
              <w:tabs>
                <w:tab w:val="num" w:pos="720"/>
              </w:tabs>
              <w:spacing w:after="120" w:line="264" w:lineRule="auto"/>
              <w:contextualSpacing/>
              <w:rPr>
                <w:rFonts w:eastAsia="Times New Roman" w:cstheme="minorHAnsi"/>
                <w:b/>
                <w:bCs/>
                <w:lang w:eastAsia="en-AU"/>
              </w:rPr>
            </w:pPr>
            <w:r w:rsidRPr="00F826B6">
              <w:rPr>
                <w:rFonts w:eastAsia="Times New Roman" w:cstheme="minorHAnsi"/>
                <w:lang w:eastAsia="en-AU"/>
              </w:rPr>
              <w:t>are receptive to diverse views about implementation of regulation, while ensuring the integrity of the regulatory system</w:t>
            </w:r>
            <w:r w:rsidRPr="00F826B6">
              <w:rPr>
                <w:rFonts w:cstheme="minorHAnsi"/>
                <w:color w:val="212529"/>
              </w:rPr>
              <w:t xml:space="preserve">. </w:t>
            </w:r>
          </w:p>
        </w:tc>
      </w:tr>
      <w:tr w:rsidR="00C6538E" w:rsidRPr="00F826B6" w14:paraId="15D049C4" w14:textId="77777777" w:rsidTr="00A8493B">
        <w:tc>
          <w:tcPr>
            <w:tcW w:w="13608" w:type="dxa"/>
          </w:tcPr>
          <w:p w14:paraId="6CB6D77A" w14:textId="77777777" w:rsidR="00C6538E" w:rsidRPr="00F826B6" w:rsidRDefault="00C6538E" w:rsidP="001750D5">
            <w:pPr>
              <w:numPr>
                <w:ilvl w:val="0"/>
                <w:numId w:val="41"/>
              </w:numPr>
              <w:spacing w:after="120" w:line="264" w:lineRule="auto"/>
              <w:contextualSpacing/>
              <w:rPr>
                <w:rFonts w:eastAsia="Times New Roman" w:cstheme="minorHAnsi"/>
                <w:b/>
                <w:bCs/>
                <w:lang w:eastAsia="en-AU"/>
              </w:rPr>
            </w:pPr>
            <w:r w:rsidRPr="00F826B6">
              <w:rPr>
                <w:rFonts w:cstheme="minorHAnsi"/>
              </w:rPr>
              <w:lastRenderedPageBreak/>
              <w:br w:type="page"/>
            </w:r>
            <w:r w:rsidRPr="00F826B6">
              <w:rPr>
                <w:rFonts w:eastAsia="Times New Roman" w:cstheme="minorHAnsi"/>
                <w:b/>
                <w:bCs/>
                <w:lang w:eastAsia="en-AU"/>
              </w:rPr>
              <w:t xml:space="preserve">Collaboration and engagement - </w:t>
            </w:r>
            <w:r w:rsidRPr="00F826B6">
              <w:rPr>
                <w:rFonts w:eastAsia="Times New Roman" w:cstheme="minorHAnsi"/>
                <w:lang w:eastAsia="en-AU"/>
              </w:rPr>
              <w:t xml:space="preserve">Regulators are expected to be </w:t>
            </w:r>
            <w:proofErr w:type="gramStart"/>
            <w:r w:rsidRPr="00F826B6">
              <w:rPr>
                <w:rFonts w:eastAsia="Times New Roman" w:cstheme="minorHAnsi"/>
                <w:lang w:eastAsia="en-AU"/>
              </w:rPr>
              <w:t>open</w:t>
            </w:r>
            <w:proofErr w:type="gramEnd"/>
            <w:r w:rsidRPr="00F826B6">
              <w:rPr>
                <w:rFonts w:eastAsia="Times New Roman" w:cstheme="minorHAnsi"/>
                <w:lang w:eastAsia="en-AU"/>
              </w:rPr>
              <w:t xml:space="preserve"> to feedback on how they regulate and be clear with the public on why and how they regulate.</w:t>
            </w:r>
          </w:p>
          <w:p w14:paraId="3D756373" w14:textId="77777777" w:rsidR="00C6538E" w:rsidRPr="00F826B6" w:rsidRDefault="00C6538E" w:rsidP="00A8493B">
            <w:pPr>
              <w:spacing w:line="264" w:lineRule="auto"/>
              <w:ind w:left="360"/>
              <w:rPr>
                <w:rFonts w:eastAsia="Times New Roman" w:cstheme="minorHAnsi"/>
                <w:lang w:eastAsia="en-AU"/>
              </w:rPr>
            </w:pPr>
            <w:r w:rsidRPr="00F826B6">
              <w:rPr>
                <w:rFonts w:eastAsia="Times New Roman" w:cstheme="minorHAnsi"/>
                <w:lang w:eastAsia="en-AU"/>
              </w:rPr>
              <w:t>This principle encompasses regulators:</w:t>
            </w:r>
          </w:p>
          <w:p w14:paraId="5B74FDA1"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Being transparent, </w:t>
            </w:r>
            <w:proofErr w:type="gramStart"/>
            <w:r w:rsidRPr="00F826B6">
              <w:rPr>
                <w:rFonts w:eastAsia="Times New Roman" w:cstheme="minorHAnsi"/>
                <w:lang w:eastAsia="en-AU"/>
              </w:rPr>
              <w:t>open</w:t>
            </w:r>
            <w:proofErr w:type="gramEnd"/>
            <w:r w:rsidRPr="00F826B6">
              <w:rPr>
                <w:rFonts w:eastAsia="Times New Roman" w:cstheme="minorHAnsi"/>
                <w:lang w:eastAsia="en-AU"/>
              </w:rPr>
              <w:t xml:space="preserve"> and responsive to feedback on how they operate, engaging in genuine two-way dialogue with stakeholders and the broader community on their performance. Transparency in process supports community trust by demonstrating a regulator’s priorities and integrity. Regulators should clearly communicate regulatory processes and be transparent about the decision-making criteria.</w:t>
            </w:r>
          </w:p>
          <w:p w14:paraId="3232F4F0"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Having genuine consultation processes in place to ensure that stakeholders are engaged in essential decisions that involve them, with critical information shared in a timely way. Best practice regulators embed processes to provide the public with opportunities to provide feedback on operational regulatory design, including co-design of solutions where appropriate.</w:t>
            </w:r>
          </w:p>
          <w:p w14:paraId="67EB60CB" w14:textId="77777777" w:rsidR="00C6538E" w:rsidRPr="00F826B6" w:rsidRDefault="00C6538E" w:rsidP="00A8493B">
            <w:pPr>
              <w:shd w:val="clear" w:color="auto" w:fill="FFFFFF"/>
              <w:spacing w:after="120"/>
              <w:ind w:left="720"/>
              <w:contextualSpacing/>
              <w:rPr>
                <w:rFonts w:eastAsia="Times New Roman" w:cstheme="minorHAnsi"/>
                <w:lang w:eastAsia="en-AU"/>
              </w:rPr>
            </w:pPr>
          </w:p>
          <w:p w14:paraId="4BED4222" w14:textId="77777777" w:rsidR="00C6538E" w:rsidRPr="00F826B6" w:rsidRDefault="00C6538E" w:rsidP="00A8493B">
            <w:pPr>
              <w:spacing w:line="264" w:lineRule="auto"/>
              <w:ind w:left="360"/>
              <w:rPr>
                <w:rFonts w:eastAsia="Times New Roman" w:cstheme="minorHAnsi"/>
                <w:lang w:eastAsia="en-AU"/>
              </w:rPr>
            </w:pPr>
            <w:r w:rsidRPr="00F826B6">
              <w:rPr>
                <w:rFonts w:eastAsia="Times New Roman" w:cstheme="minorHAnsi"/>
                <w:lang w:eastAsia="en-AU"/>
              </w:rPr>
              <w:t>The Guide states that in practice, demonstrating collaboration and engagement means regulators:</w:t>
            </w:r>
          </w:p>
          <w:p w14:paraId="680EEBE4"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engage genuinely and regularly with stakeholders, including regulated entities, other </w:t>
            </w:r>
            <w:proofErr w:type="gramStart"/>
            <w:r w:rsidRPr="00F826B6">
              <w:rPr>
                <w:rFonts w:eastAsia="Times New Roman" w:cstheme="minorHAnsi"/>
                <w:lang w:eastAsia="en-AU"/>
              </w:rPr>
              <w:t>regulators</w:t>
            </w:r>
            <w:proofErr w:type="gramEnd"/>
            <w:r w:rsidRPr="00F826B6">
              <w:rPr>
                <w:rFonts w:eastAsia="Times New Roman" w:cstheme="minorHAnsi"/>
                <w:lang w:eastAsia="en-AU"/>
              </w:rPr>
              <w:t xml:space="preserve"> and the community, including on the development of and reporting against meaningful performance measures</w:t>
            </w:r>
          </w:p>
          <w:p w14:paraId="1F7C65FE"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seek out real time stakeholder feedback to inform regulatory decisions, and loop back in a timely way on outcomes</w:t>
            </w:r>
          </w:p>
          <w:p w14:paraId="026184CA"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offer a range of consultation mechanisms to ensure small businesses, sole traders and the wider community </w:t>
            </w:r>
            <w:proofErr w:type="gramStart"/>
            <w:r w:rsidRPr="00F826B6">
              <w:rPr>
                <w:rFonts w:eastAsia="Times New Roman" w:cstheme="minorHAnsi"/>
                <w:lang w:eastAsia="en-AU"/>
              </w:rPr>
              <w:t>are able to</w:t>
            </w:r>
            <w:proofErr w:type="gramEnd"/>
            <w:r w:rsidRPr="00F826B6">
              <w:rPr>
                <w:rFonts w:eastAsia="Times New Roman" w:cstheme="minorHAnsi"/>
                <w:lang w:eastAsia="en-AU"/>
              </w:rPr>
              <w:t xml:space="preserve"> easily engage and provide feedback</w:t>
            </w:r>
          </w:p>
          <w:p w14:paraId="722FDFBE"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establish processes that enable meaningful and timely stakeholder engagement by providing early notification of operational changes</w:t>
            </w:r>
          </w:p>
          <w:p w14:paraId="31A77C3B"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provide guidance and information that is relevant, clear, </w:t>
            </w:r>
            <w:proofErr w:type="gramStart"/>
            <w:r w:rsidRPr="00F826B6">
              <w:rPr>
                <w:rFonts w:eastAsia="Times New Roman" w:cstheme="minorHAnsi"/>
                <w:lang w:eastAsia="en-AU"/>
              </w:rPr>
              <w:t>concise</w:t>
            </w:r>
            <w:proofErr w:type="gramEnd"/>
            <w:r w:rsidRPr="00F826B6">
              <w:rPr>
                <w:rFonts w:eastAsia="Times New Roman" w:cstheme="minorHAnsi"/>
                <w:lang w:eastAsia="en-AU"/>
              </w:rPr>
              <w:t xml:space="preserve"> and easily accessible to help regulated entities understand their obligations and responsibilities to encourage voluntary compliance</w:t>
            </w:r>
          </w:p>
          <w:p w14:paraId="0155A5C0" w14:textId="77777777" w:rsidR="00C6538E" w:rsidRPr="00F826B6" w:rsidRDefault="00C6538E" w:rsidP="001750D5">
            <w:pPr>
              <w:numPr>
                <w:ilvl w:val="0"/>
                <w:numId w:val="42"/>
              </w:numPr>
              <w:shd w:val="clear" w:color="auto" w:fill="FFFFFF"/>
              <w:tabs>
                <w:tab w:val="num" w:pos="720"/>
              </w:tabs>
              <w:spacing w:after="120"/>
              <w:contextualSpacing/>
              <w:rPr>
                <w:rFonts w:eastAsia="Times New Roman" w:cstheme="minorHAnsi"/>
                <w:lang w:eastAsia="en-AU"/>
              </w:rPr>
            </w:pPr>
            <w:r w:rsidRPr="00F826B6">
              <w:rPr>
                <w:rFonts w:eastAsia="Times New Roman" w:cstheme="minorHAnsi"/>
                <w:lang w:eastAsia="en-AU"/>
              </w:rPr>
              <w:t xml:space="preserve">are transparent in their decision-making and, where possible, provide reasons for regulatory decisions or share </w:t>
            </w:r>
            <w:proofErr w:type="spellStart"/>
            <w:r w:rsidRPr="00F826B6">
              <w:rPr>
                <w:rFonts w:eastAsia="Times New Roman" w:cstheme="minorHAnsi"/>
                <w:lang w:eastAsia="en-AU"/>
              </w:rPr>
              <w:t>anonymised</w:t>
            </w:r>
            <w:proofErr w:type="spellEnd"/>
            <w:r w:rsidRPr="00F826B6">
              <w:rPr>
                <w:rFonts w:eastAsia="Times New Roman" w:cstheme="minorHAnsi"/>
                <w:lang w:eastAsia="en-AU"/>
              </w:rPr>
              <w:t xml:space="preserve"> compliance or enforcement ‘case summaries’</w:t>
            </w:r>
          </w:p>
          <w:p w14:paraId="01BEF52C" w14:textId="0AA59290" w:rsidR="00C6538E" w:rsidRPr="00F826B6" w:rsidRDefault="00C6538E" w:rsidP="00F01D2C">
            <w:pPr>
              <w:numPr>
                <w:ilvl w:val="0"/>
                <w:numId w:val="42"/>
              </w:numPr>
              <w:shd w:val="clear" w:color="auto" w:fill="FFFFFF"/>
              <w:tabs>
                <w:tab w:val="num" w:pos="720"/>
              </w:tabs>
              <w:spacing w:after="120"/>
              <w:contextualSpacing/>
              <w:rPr>
                <w:rFonts w:eastAsia="Times New Roman" w:cstheme="minorHAnsi"/>
                <w:b/>
                <w:bCs/>
                <w:lang w:eastAsia="en-AU"/>
              </w:rPr>
            </w:pPr>
            <w:r w:rsidRPr="00F826B6">
              <w:rPr>
                <w:rFonts w:eastAsia="Times New Roman" w:cstheme="minorHAnsi"/>
                <w:lang w:eastAsia="en-AU"/>
              </w:rPr>
              <w:t xml:space="preserve">implement innovative approaches in considering regulatory or policy issues such as ‘regulatory </w:t>
            </w:r>
            <w:proofErr w:type="gramStart"/>
            <w:r w:rsidRPr="00F826B6">
              <w:rPr>
                <w:rFonts w:eastAsia="Times New Roman" w:cstheme="minorHAnsi"/>
                <w:lang w:eastAsia="en-AU"/>
              </w:rPr>
              <w:t>sandboxes’</w:t>
            </w:r>
            <w:proofErr w:type="gramEnd"/>
            <w:r w:rsidRPr="00F826B6">
              <w:rPr>
                <w:rFonts w:eastAsia="Times New Roman" w:cstheme="minorHAnsi"/>
                <w:lang w:eastAsia="en-AU"/>
              </w:rPr>
              <w:t>.</w:t>
            </w:r>
          </w:p>
        </w:tc>
      </w:tr>
    </w:tbl>
    <w:p w14:paraId="16F6E677" w14:textId="77777777" w:rsidR="00C6538E" w:rsidRPr="00A44470" w:rsidRDefault="00C6538E" w:rsidP="002D5F76">
      <w:pPr>
        <w:spacing w:before="240"/>
        <w:rPr>
          <w:rFonts w:ascii="Arial" w:hAnsi="Arial" w:cs="Arial"/>
          <w:b/>
          <w:bCs/>
          <w:i/>
          <w:iCs/>
          <w:sz w:val="20"/>
          <w:szCs w:val="20"/>
        </w:rPr>
      </w:pPr>
      <w:r w:rsidRPr="00A44470">
        <w:rPr>
          <w:rFonts w:ascii="Arial" w:hAnsi="Arial" w:cs="Arial"/>
          <w:b/>
          <w:bCs/>
          <w:i/>
          <w:iCs/>
          <w:sz w:val="20"/>
          <w:szCs w:val="20"/>
        </w:rPr>
        <w:lastRenderedPageBreak/>
        <w:t xml:space="preserve">References: </w:t>
      </w:r>
    </w:p>
    <w:p w14:paraId="18F41AE8" w14:textId="77777777" w:rsidR="00C6538E" w:rsidRPr="00A44470" w:rsidRDefault="00024728" w:rsidP="00C6538E">
      <w:pPr>
        <w:rPr>
          <w:rFonts w:ascii="Arial" w:eastAsia="Times New Roman" w:hAnsi="Arial" w:cs="Arial"/>
          <w:i/>
          <w:iCs/>
          <w:color w:val="006FB0"/>
          <w:sz w:val="20"/>
          <w:szCs w:val="20"/>
          <w:u w:val="single"/>
          <w:lang w:eastAsia="en-AU"/>
        </w:rPr>
      </w:pPr>
      <w:hyperlink r:id="rId55" w:tgtFrame="_blank" w:history="1">
        <w:r w:rsidR="00C6538E" w:rsidRPr="00A44470">
          <w:rPr>
            <w:rFonts w:ascii="Arial" w:eastAsia="Times New Roman" w:hAnsi="Arial" w:cs="Arial"/>
            <w:i/>
            <w:iCs/>
            <w:color w:val="006FB0"/>
            <w:sz w:val="20"/>
            <w:szCs w:val="20"/>
            <w:u w:val="single"/>
            <w:lang w:eastAsia="en-AU"/>
          </w:rPr>
          <w:t>Regulator Performance Guide</w:t>
        </w:r>
      </w:hyperlink>
    </w:p>
    <w:p w14:paraId="67B8E82E" w14:textId="77777777" w:rsidR="00C6538E" w:rsidRPr="00A44470" w:rsidRDefault="00024728" w:rsidP="00C6538E">
      <w:pPr>
        <w:rPr>
          <w:rFonts w:ascii="Arial" w:hAnsi="Arial" w:cs="Arial"/>
          <w:i/>
          <w:iCs/>
          <w:color w:val="0000FF"/>
          <w:sz w:val="20"/>
          <w:szCs w:val="20"/>
          <w:u w:val="single"/>
        </w:rPr>
      </w:pPr>
      <w:hyperlink r:id="rId56" w:history="1">
        <w:r w:rsidR="00C6538E" w:rsidRPr="00A44470">
          <w:rPr>
            <w:rFonts w:ascii="Arial" w:hAnsi="Arial" w:cs="Arial"/>
            <w:i/>
            <w:iCs/>
            <w:color w:val="0000FF"/>
            <w:sz w:val="20"/>
            <w:szCs w:val="20"/>
            <w:u w:val="single"/>
          </w:rPr>
          <w:t>Principle 1: Continuous improvement and building trust | Department of Finance</w:t>
        </w:r>
      </w:hyperlink>
    </w:p>
    <w:p w14:paraId="3BB02BDD" w14:textId="77777777" w:rsidR="00C6538E" w:rsidRPr="00A44470" w:rsidRDefault="00024728" w:rsidP="00C6538E">
      <w:pPr>
        <w:rPr>
          <w:rFonts w:ascii="Arial" w:hAnsi="Arial" w:cs="Arial"/>
          <w:i/>
          <w:iCs/>
          <w:color w:val="0000FF"/>
          <w:sz w:val="20"/>
          <w:szCs w:val="20"/>
          <w:u w:val="single"/>
        </w:rPr>
      </w:pPr>
      <w:hyperlink r:id="rId57" w:history="1">
        <w:r w:rsidR="00C6538E" w:rsidRPr="00A44470">
          <w:rPr>
            <w:rFonts w:ascii="Arial" w:hAnsi="Arial" w:cs="Arial"/>
            <w:i/>
            <w:iCs/>
            <w:color w:val="0000FF"/>
            <w:sz w:val="20"/>
            <w:szCs w:val="20"/>
            <w:u w:val="single"/>
          </w:rPr>
          <w:t xml:space="preserve">Principle 2: Risk </w:t>
        </w:r>
        <w:proofErr w:type="gramStart"/>
        <w:r w:rsidR="00C6538E" w:rsidRPr="00A44470">
          <w:rPr>
            <w:rFonts w:ascii="Arial" w:hAnsi="Arial" w:cs="Arial"/>
            <w:i/>
            <w:iCs/>
            <w:color w:val="0000FF"/>
            <w:sz w:val="20"/>
            <w:szCs w:val="20"/>
            <w:u w:val="single"/>
          </w:rPr>
          <w:t>based</w:t>
        </w:r>
        <w:proofErr w:type="gramEnd"/>
        <w:r w:rsidR="00C6538E" w:rsidRPr="00A44470">
          <w:rPr>
            <w:rFonts w:ascii="Arial" w:hAnsi="Arial" w:cs="Arial"/>
            <w:i/>
            <w:iCs/>
            <w:color w:val="0000FF"/>
            <w:sz w:val="20"/>
            <w:szCs w:val="20"/>
            <w:u w:val="single"/>
          </w:rPr>
          <w:t xml:space="preserve"> and data driven | Department of Finance</w:t>
        </w:r>
      </w:hyperlink>
    </w:p>
    <w:p w14:paraId="708FA07D" w14:textId="77777777" w:rsidR="00C6538E" w:rsidRPr="00A44470" w:rsidRDefault="00024728" w:rsidP="00C6538E">
      <w:pPr>
        <w:rPr>
          <w:rFonts w:ascii="Arial" w:hAnsi="Arial" w:cs="Arial"/>
          <w:b/>
          <w:bCs/>
          <w:i/>
          <w:iCs/>
          <w:sz w:val="20"/>
          <w:szCs w:val="20"/>
        </w:rPr>
      </w:pPr>
      <w:hyperlink r:id="rId58" w:history="1">
        <w:r w:rsidR="00C6538E" w:rsidRPr="00A44470">
          <w:rPr>
            <w:rFonts w:ascii="Arial" w:hAnsi="Arial" w:cs="Arial"/>
            <w:i/>
            <w:iCs/>
            <w:color w:val="0000FF"/>
            <w:sz w:val="20"/>
            <w:szCs w:val="20"/>
            <w:u w:val="single"/>
          </w:rPr>
          <w:t>Principle 3: Collaboration and engagement | Department of Finance</w:t>
        </w:r>
      </w:hyperlink>
    </w:p>
    <w:p w14:paraId="24147CFE" w14:textId="510CC821" w:rsidR="00C6538E" w:rsidRDefault="00C6538E" w:rsidP="00C6538E">
      <w:pPr>
        <w:spacing w:after="0"/>
        <w:rPr>
          <w:rFonts w:ascii="Arial" w:eastAsiaTheme="minorEastAsia" w:hAnsi="Arial" w:cs="Arial"/>
          <w:b/>
          <w:bCs/>
          <w:sz w:val="23"/>
          <w:szCs w:val="23"/>
        </w:rPr>
      </w:pPr>
      <w:r w:rsidRPr="00F826B6">
        <w:rPr>
          <w:b/>
          <w:bCs/>
        </w:rPr>
        <w:br w:type="page"/>
      </w:r>
    </w:p>
    <w:tbl>
      <w:tblPr>
        <w:tblStyle w:val="TableGrid"/>
        <w:tblW w:w="13467" w:type="dxa"/>
        <w:tblInd w:w="-5" w:type="dxa"/>
        <w:tblLook w:val="04A0" w:firstRow="1" w:lastRow="0" w:firstColumn="1" w:lastColumn="0" w:noHBand="0" w:noVBand="1"/>
      </w:tblPr>
      <w:tblGrid>
        <w:gridCol w:w="13467"/>
      </w:tblGrid>
      <w:tr w:rsidR="00F826B6" w:rsidRPr="00F826B6" w14:paraId="6130B876" w14:textId="77777777" w:rsidTr="00A8493B">
        <w:trPr>
          <w:tblHeader/>
        </w:trPr>
        <w:tc>
          <w:tcPr>
            <w:tcW w:w="13467" w:type="dxa"/>
            <w:shd w:val="clear" w:color="auto" w:fill="B4C6E7" w:themeFill="accent1" w:themeFillTint="66"/>
          </w:tcPr>
          <w:p w14:paraId="14677CF0" w14:textId="6738710B" w:rsidR="00F826B6" w:rsidRPr="00F826B6" w:rsidRDefault="005C3533" w:rsidP="005C3533">
            <w:pPr>
              <w:spacing w:after="120"/>
              <w:jc w:val="center"/>
              <w:rPr>
                <w:rFonts w:ascii="Arial" w:eastAsiaTheme="minorEastAsia" w:hAnsi="Arial" w:cs="Arial"/>
                <w:b/>
                <w:bCs/>
                <w:u w:val="single"/>
              </w:rPr>
            </w:pPr>
            <w:r w:rsidRPr="00F826B6">
              <w:rPr>
                <w:rFonts w:ascii="Arial" w:eastAsiaTheme="minorEastAsia" w:hAnsi="Arial" w:cs="Arial"/>
                <w:b/>
                <w:bCs/>
                <w:sz w:val="23"/>
                <w:szCs w:val="23"/>
              </w:rPr>
              <w:lastRenderedPageBreak/>
              <w:t>OECD Best practice principles for the governance of regulators</w:t>
            </w:r>
          </w:p>
        </w:tc>
      </w:tr>
      <w:tr w:rsidR="00F826B6" w:rsidRPr="00F826B6" w14:paraId="079CA07D" w14:textId="77777777" w:rsidTr="00A8493B">
        <w:tc>
          <w:tcPr>
            <w:tcW w:w="13467" w:type="dxa"/>
          </w:tcPr>
          <w:p w14:paraId="25216654" w14:textId="77777777" w:rsidR="00F826B6" w:rsidRPr="00F826B6" w:rsidRDefault="00F826B6" w:rsidP="001750D5">
            <w:pPr>
              <w:numPr>
                <w:ilvl w:val="0"/>
                <w:numId w:val="40"/>
              </w:numPr>
              <w:spacing w:after="120"/>
              <w:contextualSpacing/>
              <w:textAlignment w:val="baseline"/>
              <w:rPr>
                <w:rFonts w:eastAsia="Times New Roman" w:cstheme="minorHAnsi"/>
                <w:lang w:eastAsia="en-AU"/>
              </w:rPr>
            </w:pPr>
            <w:r w:rsidRPr="00F826B6">
              <w:rPr>
                <w:rFonts w:eastAsia="Times New Roman" w:cstheme="minorHAnsi"/>
                <w:b/>
                <w:bCs/>
                <w:lang w:eastAsia="en-AU"/>
              </w:rPr>
              <w:t>Role clarity:</w:t>
            </w:r>
            <w:r w:rsidRPr="00F826B6">
              <w:rPr>
                <w:rFonts w:eastAsia="Times New Roman" w:cstheme="minorHAnsi"/>
                <w:lang w:eastAsia="en-AU"/>
              </w:rPr>
              <w:t xml:space="preserve"> An effective regulator must have clear objectives, with clear and linked functions and the mechanisms to co-ordinate with other relevant bodies to achieve the desired regulatory outcomes.</w:t>
            </w:r>
          </w:p>
          <w:p w14:paraId="0D5F67BB" w14:textId="77777777" w:rsidR="00F826B6" w:rsidRPr="00F826B6" w:rsidRDefault="00F826B6" w:rsidP="00F826B6">
            <w:pPr>
              <w:spacing w:after="120"/>
              <w:ind w:left="360"/>
              <w:textAlignment w:val="baseline"/>
              <w:rPr>
                <w:rFonts w:eastAsia="Times New Roman" w:cstheme="minorHAnsi"/>
                <w:b/>
                <w:bCs/>
                <w:lang w:eastAsia="en-AU"/>
              </w:rPr>
            </w:pPr>
            <w:r w:rsidRPr="00F826B6">
              <w:rPr>
                <w:rFonts w:eastAsia="Times New Roman" w:cstheme="minorHAnsi"/>
                <w:lang w:eastAsia="en-AU"/>
              </w:rPr>
              <w:t>Role clarity is essential for a regulator to understand and fulfil its role effectively.</w:t>
            </w:r>
          </w:p>
          <w:p w14:paraId="201B21CA" w14:textId="77777777" w:rsidR="00F826B6" w:rsidRPr="00F826B6" w:rsidRDefault="00F826B6" w:rsidP="00F826B6">
            <w:pPr>
              <w:spacing w:after="120"/>
              <w:ind w:left="360"/>
              <w:textAlignment w:val="baseline"/>
              <w:rPr>
                <w:rFonts w:eastAsia="Times New Roman" w:cstheme="minorHAnsi"/>
                <w:b/>
                <w:bCs/>
                <w:lang w:eastAsia="en-AU"/>
              </w:rPr>
            </w:pPr>
            <w:r w:rsidRPr="00F826B6">
              <w:rPr>
                <w:rFonts w:eastAsia="Times New Roman" w:cstheme="minorHAnsi"/>
                <w:lang w:eastAsia="en-AU"/>
              </w:rPr>
              <w:t>The regulatory powers and other functions to be carried out to achieve the regulators objectives should be clearly specified in the establishing legislation and be appropriate and sufficient to achieving objectives.</w:t>
            </w:r>
            <w:r w:rsidRPr="00F826B6">
              <w:rPr>
                <w:rFonts w:eastAsia="Times New Roman" w:cstheme="minorHAnsi"/>
                <w:b/>
                <w:bCs/>
                <w:lang w:eastAsia="en-AU"/>
              </w:rPr>
              <w:t> </w:t>
            </w:r>
          </w:p>
          <w:p w14:paraId="4BEC0658" w14:textId="77777777" w:rsidR="00F826B6" w:rsidRPr="00F826B6" w:rsidRDefault="00F826B6" w:rsidP="00F826B6">
            <w:pPr>
              <w:spacing w:after="120"/>
              <w:ind w:left="360"/>
              <w:textAlignment w:val="baseline"/>
              <w:rPr>
                <w:rFonts w:eastAsia="Times New Roman" w:cstheme="minorHAnsi"/>
                <w:b/>
                <w:bCs/>
                <w:lang w:eastAsia="en-AU"/>
              </w:rPr>
            </w:pPr>
            <w:r w:rsidRPr="00F826B6">
              <w:rPr>
                <w:rFonts w:eastAsia="Times New Roman" w:cstheme="minorHAnsi"/>
                <w:lang w:eastAsia="en-AU"/>
              </w:rPr>
              <w:t>Regulators should not be assigned conflicting or competing functions or goals (without) clear public benefit in combining these functions and where the risks of conflicts can be managed effectively.</w:t>
            </w:r>
          </w:p>
          <w:p w14:paraId="38BC2E25" w14:textId="77777777" w:rsidR="00F826B6" w:rsidRPr="00F826B6" w:rsidRDefault="00F826B6" w:rsidP="001750D5">
            <w:pPr>
              <w:numPr>
                <w:ilvl w:val="0"/>
                <w:numId w:val="39"/>
              </w:numPr>
              <w:contextualSpacing/>
              <w:textAlignment w:val="baseline"/>
              <w:rPr>
                <w:rFonts w:eastAsia="Times New Roman" w:cstheme="minorHAnsi"/>
                <w:lang w:eastAsia="en-AU"/>
              </w:rPr>
            </w:pPr>
            <w:r w:rsidRPr="00F826B6">
              <w:rPr>
                <w:rFonts w:eastAsia="Times New Roman" w:cstheme="minorHAnsi"/>
                <w:lang w:eastAsia="en-AU"/>
              </w:rPr>
              <w:t>“Structural separation of conflicting functions is generally ideal, but if this is not possible …. separating teams and their reporting lines.</w:t>
            </w:r>
          </w:p>
          <w:p w14:paraId="2643028E" w14:textId="77777777" w:rsidR="00F826B6" w:rsidRPr="00F826B6" w:rsidRDefault="00F826B6" w:rsidP="001750D5">
            <w:pPr>
              <w:numPr>
                <w:ilvl w:val="0"/>
                <w:numId w:val="39"/>
              </w:numPr>
              <w:contextualSpacing/>
              <w:textAlignment w:val="baseline"/>
              <w:rPr>
                <w:rFonts w:eastAsia="Times New Roman" w:cstheme="minorHAnsi"/>
                <w:b/>
                <w:bCs/>
                <w:lang w:eastAsia="en-AU"/>
              </w:rPr>
            </w:pPr>
            <w:r w:rsidRPr="00F826B6">
              <w:rPr>
                <w:rFonts w:eastAsia="Times New Roman" w:cstheme="minorHAnsi"/>
                <w:lang w:eastAsia="en-AU"/>
              </w:rPr>
              <w:t>There may be limited cases where the assignment of potentially conflicting functions is desirable…. functions that generate a strong intelligence base that can readily inform regulatory activities”</w:t>
            </w:r>
            <w:r w:rsidRPr="00F826B6">
              <w:rPr>
                <w:rFonts w:eastAsia="Times New Roman" w:cstheme="minorHAnsi"/>
                <w:b/>
                <w:bCs/>
                <w:lang w:eastAsia="en-AU"/>
              </w:rPr>
              <w:t> </w:t>
            </w:r>
          </w:p>
          <w:p w14:paraId="73C5D581" w14:textId="77777777" w:rsidR="00F826B6" w:rsidRPr="00F826B6" w:rsidRDefault="00F826B6" w:rsidP="00F826B6">
            <w:pPr>
              <w:textAlignment w:val="baseline"/>
              <w:rPr>
                <w:rFonts w:ascii="Arial" w:eastAsiaTheme="minorEastAsia" w:hAnsi="Arial" w:cs="Arial"/>
                <w:b/>
                <w:bCs/>
                <w:u w:val="single"/>
              </w:rPr>
            </w:pPr>
          </w:p>
        </w:tc>
      </w:tr>
      <w:tr w:rsidR="00F826B6" w:rsidRPr="00F826B6" w14:paraId="557FCF82" w14:textId="77777777" w:rsidTr="00A8493B">
        <w:tc>
          <w:tcPr>
            <w:tcW w:w="13467" w:type="dxa"/>
          </w:tcPr>
          <w:p w14:paraId="1EC5A12C" w14:textId="77777777" w:rsidR="00F826B6" w:rsidRPr="00F826B6" w:rsidRDefault="00F826B6" w:rsidP="001750D5">
            <w:pPr>
              <w:numPr>
                <w:ilvl w:val="0"/>
                <w:numId w:val="40"/>
              </w:numPr>
              <w:spacing w:after="120"/>
              <w:contextualSpacing/>
              <w:textAlignment w:val="baseline"/>
              <w:rPr>
                <w:rFonts w:eastAsia="Times New Roman" w:cstheme="minorHAnsi"/>
                <w:lang w:eastAsia="en-AU"/>
              </w:rPr>
            </w:pPr>
            <w:r w:rsidRPr="00F826B6">
              <w:rPr>
                <w:rFonts w:eastAsia="Times New Roman" w:cstheme="minorHAnsi"/>
                <w:b/>
                <w:bCs/>
                <w:lang w:eastAsia="en-AU"/>
              </w:rPr>
              <w:t xml:space="preserve">Preventing undue influence and maintaining trust: </w:t>
            </w:r>
            <w:r w:rsidRPr="00F826B6">
              <w:rPr>
                <w:rFonts w:eastAsia="Times New Roman" w:cstheme="minorHAnsi"/>
                <w:lang w:eastAsia="en-AU"/>
              </w:rPr>
              <w:t xml:space="preserve">It is important that regulatory decisions and functions are conducted with the upmost integrity to ensure that there is confidence in the regulatory regime. </w:t>
            </w:r>
          </w:p>
          <w:p w14:paraId="1EC4CC95" w14:textId="77777777" w:rsidR="00F826B6" w:rsidRPr="00F826B6" w:rsidRDefault="00F826B6" w:rsidP="00F826B6">
            <w:pPr>
              <w:spacing w:after="120"/>
              <w:ind w:left="360"/>
              <w:textAlignment w:val="baseline"/>
              <w:rPr>
                <w:rFonts w:eastAsia="Times New Roman" w:cstheme="minorHAnsi"/>
                <w:b/>
                <w:bCs/>
                <w:lang w:eastAsia="en-AU"/>
              </w:rPr>
            </w:pPr>
            <w:r w:rsidRPr="00F826B6">
              <w:rPr>
                <w:rFonts w:eastAsia="Times New Roman" w:cstheme="minorHAnsi"/>
                <w:lang w:eastAsia="en-AU"/>
              </w:rPr>
              <w:t>Where legislation empowers the Minister to direct an independent regulator, the limits of the power to direct the regulator should be clearly set out. </w:t>
            </w:r>
            <w:r w:rsidRPr="00F826B6">
              <w:rPr>
                <w:rFonts w:eastAsia="Times New Roman" w:cstheme="minorHAnsi"/>
                <w:b/>
                <w:bCs/>
                <w:lang w:eastAsia="en-AU"/>
              </w:rPr>
              <w:t> </w:t>
            </w:r>
          </w:p>
          <w:p w14:paraId="7EE9416C" w14:textId="77777777" w:rsidR="00F826B6" w:rsidRPr="00F826B6" w:rsidRDefault="00F826B6" w:rsidP="00F826B6">
            <w:pPr>
              <w:spacing w:after="120"/>
              <w:ind w:left="360"/>
              <w:textAlignment w:val="baseline"/>
              <w:rPr>
                <w:rFonts w:ascii="Arial" w:eastAsiaTheme="minorEastAsia" w:hAnsi="Arial" w:cs="Arial"/>
                <w:b/>
                <w:bCs/>
                <w:u w:val="single"/>
              </w:rPr>
            </w:pPr>
            <w:r w:rsidRPr="00F826B6">
              <w:rPr>
                <w:rFonts w:eastAsia="Times New Roman" w:cstheme="minorHAnsi"/>
                <w:lang w:eastAsia="en-AU"/>
              </w:rPr>
              <w:t>The principal responsibility for assisting the executive to develop government policy should sit with the responsible executive agency and the regulator should have a formal advisory role in this task… and there should be specified mechanisms for regulators to contribute to the policy-making process.</w:t>
            </w:r>
          </w:p>
        </w:tc>
      </w:tr>
      <w:tr w:rsidR="00F826B6" w:rsidRPr="00F826B6" w14:paraId="11B9A493" w14:textId="77777777" w:rsidTr="00A8493B">
        <w:tc>
          <w:tcPr>
            <w:tcW w:w="13467" w:type="dxa"/>
          </w:tcPr>
          <w:p w14:paraId="2348910F" w14:textId="4E72A7B4" w:rsidR="00F826B6" w:rsidRPr="00F826B6" w:rsidRDefault="00F826B6" w:rsidP="001750D5">
            <w:pPr>
              <w:numPr>
                <w:ilvl w:val="0"/>
                <w:numId w:val="40"/>
              </w:numPr>
              <w:spacing w:after="120"/>
              <w:contextualSpacing/>
              <w:textAlignment w:val="baseline"/>
              <w:rPr>
                <w:rFonts w:eastAsia="Times New Roman" w:cstheme="minorHAnsi"/>
                <w:b/>
                <w:bCs/>
                <w:lang w:eastAsia="en-AU"/>
              </w:rPr>
            </w:pPr>
            <w:r w:rsidRPr="00F826B6">
              <w:rPr>
                <w:rFonts w:eastAsia="Times New Roman" w:cstheme="minorHAnsi"/>
                <w:b/>
                <w:bCs/>
                <w:lang w:eastAsia="en-AU"/>
              </w:rPr>
              <w:t xml:space="preserve">Decision making and governing body structure for independent regulators: </w:t>
            </w:r>
            <w:r w:rsidRPr="00F826B6">
              <w:rPr>
                <w:rFonts w:eastAsia="Times New Roman" w:cstheme="minorHAnsi"/>
                <w:lang w:eastAsia="en-AU"/>
              </w:rPr>
              <w:t xml:space="preserve">Regulators require governance arrangement that ensure their effective functioning, preserve its regulatory </w:t>
            </w:r>
            <w:proofErr w:type="gramStart"/>
            <w:r w:rsidRPr="00F826B6">
              <w:rPr>
                <w:rFonts w:eastAsia="Times New Roman" w:cstheme="minorHAnsi"/>
                <w:lang w:eastAsia="en-AU"/>
              </w:rPr>
              <w:t>integrity</w:t>
            </w:r>
            <w:proofErr w:type="gramEnd"/>
            <w:r w:rsidRPr="00F826B6">
              <w:rPr>
                <w:rFonts w:eastAsia="Times New Roman" w:cstheme="minorHAnsi"/>
                <w:lang w:eastAsia="en-AU"/>
              </w:rPr>
              <w:t xml:space="preserve"> and deliver regulatory objectives of its mandate.</w:t>
            </w:r>
          </w:p>
          <w:p w14:paraId="31F1B654" w14:textId="77777777" w:rsidR="00F826B6" w:rsidRPr="00F826B6" w:rsidRDefault="00F826B6" w:rsidP="00F826B6">
            <w:pPr>
              <w:ind w:left="360"/>
              <w:textAlignment w:val="baseline"/>
              <w:rPr>
                <w:rFonts w:eastAsia="Times New Roman" w:cstheme="minorHAnsi"/>
                <w:lang w:eastAsia="en-AU"/>
              </w:rPr>
            </w:pPr>
            <w:r w:rsidRPr="00F826B6">
              <w:rPr>
                <w:rFonts w:eastAsia="Times New Roman" w:cstheme="minorHAnsi"/>
                <w:b/>
                <w:bCs/>
                <w:lang w:eastAsia="en-AU"/>
              </w:rPr>
              <w:t> </w:t>
            </w:r>
            <w:r w:rsidRPr="00F826B6">
              <w:rPr>
                <w:rFonts w:eastAsia="Times New Roman" w:cstheme="minorHAnsi"/>
                <w:lang w:eastAsia="en-AU"/>
              </w:rPr>
              <w:t>The OECD identified three main governance structures for independent regulators:</w:t>
            </w:r>
          </w:p>
          <w:p w14:paraId="20EC921A" w14:textId="77777777" w:rsidR="00F826B6" w:rsidRPr="00F826B6" w:rsidRDefault="00F826B6" w:rsidP="001750D5">
            <w:pPr>
              <w:numPr>
                <w:ilvl w:val="0"/>
                <w:numId w:val="39"/>
              </w:numPr>
              <w:contextualSpacing/>
              <w:textAlignment w:val="baseline"/>
              <w:rPr>
                <w:rFonts w:eastAsia="Times New Roman" w:cstheme="minorHAnsi"/>
                <w:lang w:eastAsia="en-AU"/>
              </w:rPr>
            </w:pPr>
            <w:r w:rsidRPr="00F826B6">
              <w:rPr>
                <w:rFonts w:eastAsia="Times New Roman" w:cstheme="minorHAnsi"/>
                <w:lang w:eastAsia="en-AU"/>
              </w:rPr>
              <w:t>Governance board model – Strategic oversight with regulatory decisions delegated to CEO and staff</w:t>
            </w:r>
          </w:p>
          <w:p w14:paraId="2EADC444" w14:textId="77777777" w:rsidR="00F826B6" w:rsidRPr="00F826B6" w:rsidRDefault="00F826B6" w:rsidP="001750D5">
            <w:pPr>
              <w:numPr>
                <w:ilvl w:val="0"/>
                <w:numId w:val="39"/>
              </w:numPr>
              <w:contextualSpacing/>
              <w:textAlignment w:val="baseline"/>
              <w:rPr>
                <w:rFonts w:eastAsia="Times New Roman" w:cstheme="minorHAnsi"/>
                <w:lang w:eastAsia="en-AU"/>
              </w:rPr>
            </w:pPr>
            <w:r w:rsidRPr="00F826B6">
              <w:rPr>
                <w:rFonts w:eastAsia="Times New Roman" w:cstheme="minorHAnsi"/>
                <w:lang w:eastAsia="en-AU"/>
              </w:rPr>
              <w:t>Commission model – The Board makes make regulatory decisions</w:t>
            </w:r>
          </w:p>
          <w:p w14:paraId="5B4F2FDB" w14:textId="77777777" w:rsidR="00F826B6" w:rsidRPr="00F826B6" w:rsidRDefault="00F826B6" w:rsidP="001750D5">
            <w:pPr>
              <w:numPr>
                <w:ilvl w:val="0"/>
                <w:numId w:val="39"/>
              </w:numPr>
              <w:spacing w:after="120"/>
              <w:contextualSpacing/>
              <w:textAlignment w:val="baseline"/>
              <w:rPr>
                <w:rFonts w:eastAsia="Times New Roman" w:cstheme="minorHAnsi"/>
                <w:lang w:eastAsia="en-AU"/>
              </w:rPr>
            </w:pPr>
            <w:r w:rsidRPr="00F826B6">
              <w:rPr>
                <w:rFonts w:eastAsia="Times New Roman" w:cstheme="minorHAnsi"/>
                <w:lang w:eastAsia="en-AU"/>
              </w:rPr>
              <w:t>Single member regulator – an individual makes substantive regulatory decisions and delegates other decisions to staff.</w:t>
            </w:r>
          </w:p>
          <w:p w14:paraId="07EBC585" w14:textId="77777777" w:rsidR="00F826B6" w:rsidRPr="00F826B6" w:rsidRDefault="00F826B6" w:rsidP="00F826B6">
            <w:pPr>
              <w:spacing w:after="120"/>
              <w:ind w:left="360"/>
              <w:textAlignment w:val="baseline"/>
              <w:rPr>
                <w:rFonts w:eastAsia="Times New Roman" w:cstheme="minorHAnsi"/>
                <w:lang w:eastAsia="en-AU"/>
              </w:rPr>
            </w:pPr>
            <w:proofErr w:type="gramStart"/>
            <w:r w:rsidRPr="00F826B6">
              <w:rPr>
                <w:rFonts w:eastAsia="Times New Roman" w:cstheme="minorHAnsi"/>
                <w:lang w:eastAsia="en-AU"/>
              </w:rPr>
              <w:t>“ …</w:t>
            </w:r>
            <w:proofErr w:type="gramEnd"/>
            <w:r w:rsidRPr="00F826B6">
              <w:rPr>
                <w:rFonts w:eastAsia="Times New Roman" w:cstheme="minorHAnsi"/>
                <w:lang w:eastAsia="en-AU"/>
              </w:rPr>
              <w:t xml:space="preserve">the great majority of independent regulators in OECD countries have a board (or a Commission), and that a board is considered a more reliable for decision-making as collegiality is expected to ensure greater level on independence and integrity” </w:t>
            </w:r>
          </w:p>
          <w:p w14:paraId="7B053470" w14:textId="77777777" w:rsidR="00F826B6" w:rsidRPr="00F826B6" w:rsidRDefault="00F826B6" w:rsidP="00F826B6">
            <w:pPr>
              <w:spacing w:after="120"/>
              <w:ind w:left="360"/>
              <w:textAlignment w:val="baseline"/>
              <w:rPr>
                <w:rFonts w:ascii="Arial" w:eastAsiaTheme="minorEastAsia" w:hAnsi="Arial" w:cs="Arial"/>
                <w:b/>
                <w:bCs/>
                <w:u w:val="single"/>
              </w:rPr>
            </w:pPr>
            <w:r w:rsidRPr="00F826B6">
              <w:rPr>
                <w:rFonts w:eastAsia="Times New Roman" w:cstheme="minorHAnsi"/>
                <w:lang w:eastAsia="en-AU"/>
              </w:rPr>
              <w:t>“Where a single-member decision maker is chosen it is important to consider the interaction between the role of the regulatory decision maker and the role the CEO or equivalent.</w:t>
            </w:r>
          </w:p>
        </w:tc>
      </w:tr>
      <w:tr w:rsidR="00F826B6" w:rsidRPr="00F826B6" w14:paraId="23DC516A" w14:textId="77777777" w:rsidTr="00A8493B">
        <w:tc>
          <w:tcPr>
            <w:tcW w:w="13467" w:type="dxa"/>
          </w:tcPr>
          <w:p w14:paraId="19EB66DC" w14:textId="77777777" w:rsidR="00F826B6" w:rsidRPr="00F826B6" w:rsidRDefault="00F826B6" w:rsidP="001750D5">
            <w:pPr>
              <w:numPr>
                <w:ilvl w:val="0"/>
                <w:numId w:val="40"/>
              </w:numPr>
              <w:spacing w:after="120"/>
              <w:contextualSpacing/>
              <w:textAlignment w:val="baseline"/>
              <w:rPr>
                <w:rFonts w:eastAsia="Times New Roman" w:cstheme="minorHAnsi"/>
                <w:b/>
                <w:bCs/>
                <w:lang w:eastAsia="en-AU"/>
              </w:rPr>
            </w:pPr>
            <w:r w:rsidRPr="00F826B6">
              <w:rPr>
                <w:rFonts w:eastAsia="Times New Roman" w:cstheme="minorHAnsi"/>
                <w:b/>
                <w:bCs/>
                <w:lang w:eastAsia="en-AU"/>
              </w:rPr>
              <w:lastRenderedPageBreak/>
              <w:t xml:space="preserve">Accountability and transparency: </w:t>
            </w:r>
            <w:r w:rsidRPr="00F826B6">
              <w:rPr>
                <w:rFonts w:eastAsia="Times New Roman" w:cstheme="minorHAnsi"/>
                <w:lang w:eastAsia="en-AU"/>
              </w:rPr>
              <w:t>Businesses and citizens expect the delivery of regulatory outcomes from government and regulatory agencies, and the proper use of public authority and resources to achieve them.</w:t>
            </w:r>
          </w:p>
          <w:p w14:paraId="76D5B606" w14:textId="1F98825A" w:rsidR="00F826B6" w:rsidRPr="00F826B6" w:rsidRDefault="00F826B6" w:rsidP="00F826B6">
            <w:pPr>
              <w:spacing w:after="120"/>
              <w:ind w:left="360"/>
              <w:textAlignment w:val="baseline"/>
              <w:rPr>
                <w:rFonts w:eastAsia="Times New Roman" w:cstheme="minorHAnsi"/>
                <w:lang w:eastAsia="en-AU"/>
              </w:rPr>
            </w:pPr>
            <w:r w:rsidRPr="00F826B6">
              <w:rPr>
                <w:rFonts w:eastAsia="Times New Roman" w:cstheme="minorHAnsi"/>
                <w:lang w:eastAsia="en-AU"/>
              </w:rPr>
              <w:t>Regulators are generally accountable to three groups of stakeholders: ministers and the legislature; regulated entities and the public.</w:t>
            </w:r>
          </w:p>
          <w:p w14:paraId="7FB4F58B" w14:textId="77777777" w:rsidR="00F826B6" w:rsidRPr="00F826B6" w:rsidRDefault="00F826B6" w:rsidP="00F826B6">
            <w:pPr>
              <w:spacing w:after="120"/>
              <w:ind w:left="360"/>
              <w:textAlignment w:val="baseline"/>
              <w:rPr>
                <w:rFonts w:eastAsia="Times New Roman" w:cstheme="minorHAnsi"/>
                <w:lang w:eastAsia="en-AU"/>
              </w:rPr>
            </w:pPr>
            <w:r w:rsidRPr="00F826B6">
              <w:rPr>
                <w:rFonts w:eastAsia="Times New Roman" w:cstheme="minorHAnsi"/>
                <w:lang w:eastAsia="en-AU"/>
              </w:rPr>
              <w:t>The role of members of the governing body who are appointed for their technical expertise or industry knowledge should clearly be to support robust decision making in the public interest, rather than to represent stakeholder interests.</w:t>
            </w:r>
          </w:p>
          <w:p w14:paraId="5C3CCEF4" w14:textId="77777777" w:rsidR="00F826B6" w:rsidRPr="00F826B6" w:rsidRDefault="00F826B6" w:rsidP="00F826B6">
            <w:pPr>
              <w:spacing w:after="120"/>
              <w:ind w:left="360"/>
              <w:textAlignment w:val="baseline"/>
              <w:rPr>
                <w:rFonts w:ascii="Arial" w:eastAsiaTheme="minorEastAsia" w:hAnsi="Arial" w:cs="Arial"/>
                <w:b/>
                <w:bCs/>
                <w:u w:val="single"/>
              </w:rPr>
            </w:pPr>
            <w:r w:rsidRPr="00F826B6">
              <w:rPr>
                <w:rFonts w:eastAsia="Times New Roman" w:cstheme="minorHAnsi"/>
                <w:lang w:eastAsia="en-AU"/>
              </w:rPr>
              <w:t xml:space="preserve"> “Information and access to appeal processes and systems should be made easily available to regulated entities by regulators. Regulators should establish and publish processes for arms-length internal review by significant delegated decisions (such as those made by inspectors.</w:t>
            </w:r>
          </w:p>
        </w:tc>
      </w:tr>
      <w:tr w:rsidR="00F826B6" w:rsidRPr="00F826B6" w14:paraId="764C77BC" w14:textId="77777777" w:rsidTr="00A8493B">
        <w:tc>
          <w:tcPr>
            <w:tcW w:w="13467" w:type="dxa"/>
          </w:tcPr>
          <w:p w14:paraId="562C2320" w14:textId="38CD87FE" w:rsidR="00F826B6" w:rsidRPr="00F826B6" w:rsidRDefault="00F826B6" w:rsidP="001750D5">
            <w:pPr>
              <w:numPr>
                <w:ilvl w:val="0"/>
                <w:numId w:val="40"/>
              </w:numPr>
              <w:spacing w:after="120" w:line="264" w:lineRule="auto"/>
              <w:contextualSpacing/>
              <w:rPr>
                <w:rFonts w:ascii="Arial" w:eastAsiaTheme="minorEastAsia" w:hAnsi="Arial" w:cs="Arial"/>
                <w:b/>
                <w:bCs/>
                <w:u w:val="single"/>
              </w:rPr>
            </w:pPr>
            <w:r w:rsidRPr="00F826B6">
              <w:rPr>
                <w:rFonts w:eastAsia="Times New Roman" w:cstheme="minorHAnsi"/>
                <w:b/>
                <w:bCs/>
                <w:lang w:eastAsia="en-AU"/>
              </w:rPr>
              <w:t xml:space="preserve">Engagement: </w:t>
            </w:r>
            <w:r w:rsidRPr="00F826B6">
              <w:rPr>
                <w:rFonts w:eastAsia="Times New Roman" w:cstheme="minorHAnsi"/>
                <w:lang w:eastAsia="en-AU"/>
              </w:rPr>
              <w:t>Good regulators have established mechanisms for engagement with the stakeholders as part of achieving their objectives. The knowledge of regulated sectors and the business and citizens affected by regulatory schemes assist to regulate effectively.</w:t>
            </w:r>
          </w:p>
        </w:tc>
      </w:tr>
      <w:tr w:rsidR="00F826B6" w:rsidRPr="00F826B6" w14:paraId="4884CB8C" w14:textId="77777777" w:rsidTr="00A8493B">
        <w:tc>
          <w:tcPr>
            <w:tcW w:w="13467" w:type="dxa"/>
          </w:tcPr>
          <w:p w14:paraId="6E9A63D3" w14:textId="77777777" w:rsidR="00F826B6" w:rsidRPr="00F826B6" w:rsidRDefault="00F826B6" w:rsidP="001750D5">
            <w:pPr>
              <w:numPr>
                <w:ilvl w:val="0"/>
                <w:numId w:val="40"/>
              </w:numPr>
              <w:spacing w:after="120"/>
              <w:contextualSpacing/>
              <w:textAlignment w:val="baseline"/>
              <w:rPr>
                <w:rFonts w:eastAsia="Times New Roman" w:cstheme="minorHAnsi"/>
                <w:lang w:eastAsia="en-AU"/>
              </w:rPr>
            </w:pPr>
            <w:r w:rsidRPr="00F826B6">
              <w:rPr>
                <w:rFonts w:eastAsia="Times New Roman" w:cstheme="minorHAnsi"/>
                <w:b/>
                <w:bCs/>
                <w:lang w:eastAsia="en-AU"/>
              </w:rPr>
              <w:t xml:space="preserve">Funding </w:t>
            </w:r>
            <w:r w:rsidRPr="00F826B6">
              <w:rPr>
                <w:rFonts w:eastAsia="Times New Roman" w:cstheme="minorHAnsi"/>
                <w:lang w:eastAsia="en-AU"/>
              </w:rPr>
              <w:t xml:space="preserve">- The amount and source of funding for a regulator will determine its </w:t>
            </w:r>
            <w:proofErr w:type="spellStart"/>
            <w:r w:rsidRPr="00F826B6">
              <w:rPr>
                <w:rFonts w:eastAsia="Times New Roman" w:cstheme="minorHAnsi"/>
                <w:lang w:eastAsia="en-AU"/>
              </w:rPr>
              <w:t>organisation</w:t>
            </w:r>
            <w:proofErr w:type="spellEnd"/>
            <w:r w:rsidRPr="00F826B6">
              <w:rPr>
                <w:rFonts w:eastAsia="Times New Roman" w:cstheme="minorHAnsi"/>
                <w:lang w:eastAsia="en-AU"/>
              </w:rPr>
              <w:t xml:space="preserve"> and operations. It should not influence the regulatory decisions and the regulator should be enabled to be impartial and efficient to achieve its objectives.</w:t>
            </w:r>
          </w:p>
          <w:p w14:paraId="33F491A9" w14:textId="77777777" w:rsidR="00F826B6" w:rsidRPr="00F826B6" w:rsidRDefault="00F826B6" w:rsidP="00F826B6">
            <w:pPr>
              <w:spacing w:after="120"/>
              <w:ind w:left="360"/>
              <w:textAlignment w:val="baseline"/>
              <w:rPr>
                <w:rFonts w:ascii="Arial" w:eastAsiaTheme="minorEastAsia" w:hAnsi="Arial" w:cs="Arial"/>
                <w:b/>
                <w:bCs/>
                <w:u w:val="single"/>
              </w:rPr>
            </w:pPr>
            <w:r w:rsidRPr="00F826B6">
              <w:rPr>
                <w:rFonts w:eastAsia="Times New Roman" w:cstheme="minorHAnsi"/>
                <w:lang w:eastAsia="en-AU"/>
              </w:rPr>
              <w:t xml:space="preserve">Funding levels should be adequate to enable the regulator, operating efficiently, to effectively fulfil the objectives set by government… [and] Funding processes should be transparent, </w:t>
            </w:r>
            <w:proofErr w:type="gramStart"/>
            <w:r w:rsidRPr="00F826B6">
              <w:rPr>
                <w:rFonts w:eastAsia="Times New Roman" w:cstheme="minorHAnsi"/>
                <w:lang w:eastAsia="en-AU"/>
              </w:rPr>
              <w:t>efficient</w:t>
            </w:r>
            <w:proofErr w:type="gramEnd"/>
            <w:r w:rsidRPr="00F826B6">
              <w:rPr>
                <w:rFonts w:eastAsia="Times New Roman" w:cstheme="minorHAnsi"/>
                <w:lang w:eastAsia="en-AU"/>
              </w:rPr>
              <w:t xml:space="preserve"> and as simple as possible.</w:t>
            </w:r>
          </w:p>
        </w:tc>
      </w:tr>
      <w:tr w:rsidR="00F826B6" w:rsidRPr="00F826B6" w14:paraId="344AF708" w14:textId="77777777" w:rsidTr="00A8493B">
        <w:tc>
          <w:tcPr>
            <w:tcW w:w="13467" w:type="dxa"/>
          </w:tcPr>
          <w:p w14:paraId="29819AD1" w14:textId="77777777" w:rsidR="00F826B6" w:rsidRPr="00F826B6" w:rsidRDefault="00F826B6" w:rsidP="001750D5">
            <w:pPr>
              <w:numPr>
                <w:ilvl w:val="0"/>
                <w:numId w:val="40"/>
              </w:numPr>
              <w:spacing w:after="120" w:line="264" w:lineRule="auto"/>
              <w:contextualSpacing/>
              <w:rPr>
                <w:rFonts w:eastAsia="Times New Roman" w:cstheme="minorHAnsi"/>
                <w:lang w:eastAsia="en-AU"/>
              </w:rPr>
            </w:pPr>
            <w:r w:rsidRPr="00F826B6">
              <w:rPr>
                <w:rFonts w:eastAsia="Times New Roman" w:cstheme="minorHAnsi"/>
                <w:b/>
                <w:bCs/>
                <w:lang w:eastAsia="en-AU"/>
              </w:rPr>
              <w:t>Performance evaluation:</w:t>
            </w:r>
            <w:r w:rsidRPr="00F826B6">
              <w:rPr>
                <w:rFonts w:eastAsia="Times New Roman" w:cstheme="minorHAnsi"/>
                <w:lang w:eastAsia="en-AU"/>
              </w:rPr>
              <w:t xml:space="preserve"> Regular independent external reviews of regulators should be arranged by the government, </w:t>
            </w:r>
            <w:proofErr w:type="gramStart"/>
            <w:r w:rsidRPr="00F826B6">
              <w:rPr>
                <w:rFonts w:eastAsia="Times New Roman" w:cstheme="minorHAnsi"/>
                <w:lang w:eastAsia="en-AU"/>
              </w:rPr>
              <w:t>legislature</w:t>
            </w:r>
            <w:proofErr w:type="gramEnd"/>
            <w:r w:rsidRPr="00F826B6">
              <w:rPr>
                <w:rFonts w:eastAsia="Times New Roman" w:cstheme="minorHAnsi"/>
                <w:lang w:eastAsia="en-AU"/>
              </w:rPr>
              <w:t xml:space="preserve"> or the regulator itself, in addition to any internal reviews.</w:t>
            </w:r>
          </w:p>
          <w:p w14:paraId="6C1D1F69" w14:textId="77777777" w:rsidR="00F826B6" w:rsidRPr="00F826B6" w:rsidRDefault="00F826B6" w:rsidP="00F826B6">
            <w:pPr>
              <w:spacing w:after="120" w:line="264" w:lineRule="auto"/>
              <w:ind w:left="360"/>
              <w:contextualSpacing/>
              <w:rPr>
                <w:rFonts w:eastAsia="Times New Roman" w:cstheme="minorHAnsi"/>
                <w:lang w:eastAsia="en-AU"/>
              </w:rPr>
            </w:pPr>
            <w:r w:rsidRPr="00F826B6">
              <w:rPr>
                <w:rFonts w:eastAsia="Times New Roman" w:cstheme="minorHAnsi"/>
                <w:lang w:eastAsia="en-AU"/>
              </w:rPr>
              <w:t>It is important that regulators are aware of the impacts of their regulatory actions and decisions. This helps drive improvements and enhance systems and processes internally. It also demonstrates the effectiveness of the regulator to whom it is accountable and helps to build confidence in the regulatory system.</w:t>
            </w:r>
          </w:p>
        </w:tc>
      </w:tr>
    </w:tbl>
    <w:p w14:paraId="331AD4E4" w14:textId="77777777" w:rsidR="00F826B6" w:rsidRPr="00A44470" w:rsidRDefault="00F826B6" w:rsidP="002D5F76">
      <w:pPr>
        <w:spacing w:before="240"/>
        <w:rPr>
          <w:rFonts w:ascii="Arial" w:hAnsi="Arial" w:cs="Arial"/>
          <w:i/>
          <w:iCs/>
          <w:sz w:val="20"/>
          <w:szCs w:val="20"/>
        </w:rPr>
      </w:pPr>
      <w:r w:rsidRPr="00A44470">
        <w:rPr>
          <w:rFonts w:ascii="Arial" w:hAnsi="Arial" w:cs="Arial"/>
          <w:b/>
          <w:bCs/>
          <w:i/>
          <w:iCs/>
          <w:sz w:val="20"/>
          <w:szCs w:val="20"/>
        </w:rPr>
        <w:t>Reference:</w:t>
      </w:r>
      <w:r w:rsidRPr="00A44470">
        <w:rPr>
          <w:rFonts w:ascii="Arial" w:hAnsi="Arial" w:cs="Arial"/>
          <w:i/>
          <w:iCs/>
          <w:sz w:val="20"/>
          <w:szCs w:val="20"/>
        </w:rPr>
        <w:t xml:space="preserve"> </w:t>
      </w:r>
    </w:p>
    <w:p w14:paraId="2765F9D5" w14:textId="77777777" w:rsidR="00F826B6" w:rsidRPr="00A44470" w:rsidRDefault="00024728" w:rsidP="00F826B6">
      <w:pPr>
        <w:rPr>
          <w:rFonts w:ascii="Arial" w:eastAsiaTheme="minorEastAsia" w:hAnsi="Arial" w:cs="Arial"/>
          <w:b/>
          <w:bCs/>
          <w:i/>
          <w:iCs/>
          <w:sz w:val="20"/>
          <w:szCs w:val="20"/>
        </w:rPr>
      </w:pPr>
      <w:hyperlink r:id="rId59" w:history="1">
        <w:r w:rsidR="00F826B6" w:rsidRPr="00A44470">
          <w:rPr>
            <w:rFonts w:ascii="Arial" w:hAnsi="Arial" w:cs="Arial"/>
            <w:i/>
            <w:iCs/>
            <w:color w:val="0000FF"/>
            <w:sz w:val="20"/>
            <w:szCs w:val="20"/>
            <w:u w:val="single"/>
          </w:rPr>
          <w:t xml:space="preserve">The Governance of Regulators | OECD Best Practice Principles for Regulatory Policy | OECD </w:t>
        </w:r>
        <w:proofErr w:type="spellStart"/>
        <w:r w:rsidR="00F826B6" w:rsidRPr="00A44470">
          <w:rPr>
            <w:rFonts w:ascii="Arial" w:hAnsi="Arial" w:cs="Arial"/>
            <w:i/>
            <w:iCs/>
            <w:color w:val="0000FF"/>
            <w:sz w:val="20"/>
            <w:szCs w:val="20"/>
            <w:u w:val="single"/>
          </w:rPr>
          <w:t>iLibrary</w:t>
        </w:r>
        <w:proofErr w:type="spellEnd"/>
        <w:r w:rsidR="00F826B6" w:rsidRPr="00A44470">
          <w:rPr>
            <w:rFonts w:ascii="Arial" w:hAnsi="Arial" w:cs="Arial"/>
            <w:i/>
            <w:iCs/>
            <w:color w:val="0000FF"/>
            <w:sz w:val="20"/>
            <w:szCs w:val="20"/>
            <w:u w:val="single"/>
          </w:rPr>
          <w:t xml:space="preserve"> (oecd-ilibrary.org)</w:t>
        </w:r>
      </w:hyperlink>
    </w:p>
    <w:p w14:paraId="0E2E3367" w14:textId="77777777" w:rsidR="00F826B6" w:rsidRPr="00F826B6" w:rsidRDefault="00F826B6" w:rsidP="00F826B6">
      <w:pPr>
        <w:rPr>
          <w:b/>
          <w:bCs/>
        </w:rPr>
      </w:pPr>
      <w:r w:rsidRPr="00F826B6">
        <w:rPr>
          <w:b/>
          <w:bCs/>
        </w:rPr>
        <w:br w:type="page"/>
      </w:r>
    </w:p>
    <w:tbl>
      <w:tblPr>
        <w:tblStyle w:val="TableGrid"/>
        <w:tblW w:w="0" w:type="auto"/>
        <w:tblLook w:val="04A0" w:firstRow="1" w:lastRow="0" w:firstColumn="1" w:lastColumn="0" w:noHBand="0" w:noVBand="1"/>
      </w:tblPr>
      <w:tblGrid>
        <w:gridCol w:w="13948"/>
      </w:tblGrid>
      <w:tr w:rsidR="00C6538E" w14:paraId="541DFE75" w14:textId="77777777" w:rsidTr="00A8493B">
        <w:trPr>
          <w:cantSplit/>
          <w:tblHeader/>
        </w:trPr>
        <w:tc>
          <w:tcPr>
            <w:tcW w:w="13948" w:type="dxa"/>
            <w:shd w:val="clear" w:color="auto" w:fill="B4C6E7" w:themeFill="accent1" w:themeFillTint="66"/>
          </w:tcPr>
          <w:p w14:paraId="0DA37DCE" w14:textId="77777777" w:rsidR="00C6538E" w:rsidRDefault="00C6538E" w:rsidP="00A8493B">
            <w:pPr>
              <w:spacing w:after="120"/>
              <w:jc w:val="center"/>
              <w:rPr>
                <w:rFonts w:ascii="Arial" w:hAnsi="Arial" w:cs="Arial"/>
                <w:b/>
                <w:bCs/>
                <w:sz w:val="24"/>
                <w:szCs w:val="24"/>
              </w:rPr>
            </w:pPr>
            <w:bookmarkStart w:id="41" w:name="_Hlk128396129"/>
            <w:r w:rsidRPr="00D01750">
              <w:rPr>
                <w:rFonts w:ascii="Arial" w:hAnsi="Arial" w:cs="Arial"/>
                <w:b/>
                <w:bCs/>
                <w:sz w:val="24"/>
                <w:szCs w:val="24"/>
              </w:rPr>
              <w:lastRenderedPageBreak/>
              <w:t>Grosvenor Report - Seven key capabilities for world leading regulatory practices for care quality</w:t>
            </w:r>
            <w:bookmarkEnd w:id="41"/>
          </w:p>
        </w:tc>
      </w:tr>
      <w:tr w:rsidR="00C6538E" w14:paraId="2C264E19" w14:textId="77777777" w:rsidTr="00A8493B">
        <w:tc>
          <w:tcPr>
            <w:tcW w:w="13948" w:type="dxa"/>
          </w:tcPr>
          <w:p w14:paraId="1DB7B84E" w14:textId="77777777" w:rsidR="00C6538E" w:rsidRDefault="00C6538E" w:rsidP="00A8493B">
            <w:pPr>
              <w:spacing w:after="120"/>
              <w:rPr>
                <w:rFonts w:ascii="Arial" w:hAnsi="Arial" w:cs="Arial"/>
                <w:b/>
                <w:bCs/>
                <w:sz w:val="24"/>
                <w:szCs w:val="24"/>
              </w:rPr>
            </w:pPr>
            <w:r w:rsidRPr="00F826B6">
              <w:rPr>
                <w:rFonts w:cstheme="minorHAnsi"/>
                <w:b/>
                <w:bCs/>
              </w:rPr>
              <w:t xml:space="preserve">Visible, strategic leadership: </w:t>
            </w:r>
            <w:r w:rsidRPr="00F826B6">
              <w:rPr>
                <w:rFonts w:cstheme="minorHAnsi"/>
              </w:rPr>
              <w:t xml:space="preserve">Generates a collective culture for continuous improvement to </w:t>
            </w:r>
            <w:proofErr w:type="spellStart"/>
            <w:r w:rsidRPr="00F826B6">
              <w:rPr>
                <w:rFonts w:cstheme="minorHAnsi"/>
              </w:rPr>
              <w:t>optimise</w:t>
            </w:r>
            <w:proofErr w:type="spellEnd"/>
            <w:r w:rsidRPr="00F826B6">
              <w:rPr>
                <w:rFonts w:cstheme="minorHAnsi"/>
              </w:rPr>
              <w:t xml:space="preserve"> care outcomes for consumers. Relies on nurturing relationships and strategic partnerships. Instils public confidence and trust in the integrity of the regulator.</w:t>
            </w:r>
          </w:p>
        </w:tc>
      </w:tr>
      <w:tr w:rsidR="00C6538E" w14:paraId="2EFF053F" w14:textId="77777777" w:rsidTr="00A8493B">
        <w:tc>
          <w:tcPr>
            <w:tcW w:w="13948" w:type="dxa"/>
          </w:tcPr>
          <w:p w14:paraId="548ECCAE" w14:textId="77777777" w:rsidR="00C6538E" w:rsidRPr="00F826B6" w:rsidRDefault="00C6538E" w:rsidP="00A8493B">
            <w:pPr>
              <w:rPr>
                <w:rFonts w:cstheme="minorHAnsi"/>
              </w:rPr>
            </w:pPr>
            <w:r w:rsidRPr="00F826B6">
              <w:rPr>
                <w:rFonts w:cstheme="minorHAnsi"/>
                <w:b/>
                <w:bCs/>
              </w:rPr>
              <w:t xml:space="preserve">Outcomes focus: </w:t>
            </w:r>
            <w:r w:rsidRPr="00F826B6">
              <w:rPr>
                <w:rFonts w:cstheme="minorHAnsi"/>
              </w:rPr>
              <w:t>Entails a holistic model of care that relies on several levers including:</w:t>
            </w:r>
          </w:p>
          <w:p w14:paraId="054F0083" w14:textId="77777777" w:rsidR="00C6538E" w:rsidRPr="00F826B6" w:rsidRDefault="00C6538E" w:rsidP="001750D5">
            <w:pPr>
              <w:numPr>
                <w:ilvl w:val="0"/>
                <w:numId w:val="43"/>
              </w:numPr>
              <w:contextualSpacing/>
              <w:rPr>
                <w:rFonts w:cstheme="minorHAnsi"/>
              </w:rPr>
            </w:pPr>
            <w:r w:rsidRPr="00F826B6">
              <w:rPr>
                <w:rFonts w:cstheme="minorHAnsi"/>
              </w:rPr>
              <w:t>monitoring prudential, quality and safety compliance and using multiple sources to generate system and individual insights</w:t>
            </w:r>
          </w:p>
          <w:p w14:paraId="42D35823" w14:textId="77777777" w:rsidR="00C6538E" w:rsidRPr="00F826B6" w:rsidRDefault="00C6538E" w:rsidP="001750D5">
            <w:pPr>
              <w:numPr>
                <w:ilvl w:val="0"/>
                <w:numId w:val="43"/>
              </w:numPr>
              <w:contextualSpacing/>
              <w:rPr>
                <w:rFonts w:cstheme="minorHAnsi"/>
              </w:rPr>
            </w:pPr>
            <w:r w:rsidRPr="00F826B6">
              <w:rPr>
                <w:rFonts w:cstheme="minorHAnsi"/>
              </w:rPr>
              <w:t>identifying and managing risk, drawing on capabilities related to investigations and intelligence gathering</w:t>
            </w:r>
          </w:p>
          <w:p w14:paraId="40E9198C" w14:textId="77777777" w:rsidR="00C6538E" w:rsidRPr="00F826B6" w:rsidRDefault="00C6538E" w:rsidP="001750D5">
            <w:pPr>
              <w:numPr>
                <w:ilvl w:val="0"/>
                <w:numId w:val="43"/>
              </w:numPr>
              <w:contextualSpacing/>
              <w:rPr>
                <w:rFonts w:cstheme="minorHAnsi"/>
              </w:rPr>
            </w:pPr>
            <w:r w:rsidRPr="00F826B6">
              <w:rPr>
                <w:rFonts w:cstheme="minorHAnsi"/>
              </w:rPr>
              <w:t xml:space="preserve">provider motivation to demonstrate excellence, supported by clarity around the outcomes, consistent </w:t>
            </w:r>
            <w:proofErr w:type="gramStart"/>
            <w:r w:rsidRPr="00F826B6">
              <w:rPr>
                <w:rFonts w:cstheme="minorHAnsi"/>
              </w:rPr>
              <w:t>application</w:t>
            </w:r>
            <w:proofErr w:type="gramEnd"/>
            <w:r w:rsidRPr="00F826B6">
              <w:rPr>
                <w:rFonts w:cstheme="minorHAnsi"/>
              </w:rPr>
              <w:t xml:space="preserve"> and review of standards, enabled by regulatory support</w:t>
            </w:r>
          </w:p>
          <w:p w14:paraId="4985D9BD" w14:textId="77777777" w:rsidR="00C6538E" w:rsidRPr="00D01750" w:rsidRDefault="00C6538E" w:rsidP="001750D5">
            <w:pPr>
              <w:pStyle w:val="ListParagraph"/>
              <w:numPr>
                <w:ilvl w:val="0"/>
                <w:numId w:val="43"/>
              </w:numPr>
              <w:spacing w:after="120"/>
              <w:rPr>
                <w:rFonts w:ascii="Arial" w:hAnsi="Arial" w:cs="Arial"/>
                <w:b/>
                <w:bCs/>
                <w:sz w:val="24"/>
                <w:szCs w:val="24"/>
              </w:rPr>
            </w:pPr>
            <w:r w:rsidRPr="00D01750">
              <w:rPr>
                <w:rFonts w:cstheme="minorHAnsi"/>
              </w:rPr>
              <w:t>empowering consumer voices which focus outcomes on meeting community/consumer needs.</w:t>
            </w:r>
          </w:p>
        </w:tc>
      </w:tr>
      <w:tr w:rsidR="00C6538E" w14:paraId="538918A6" w14:textId="77777777" w:rsidTr="00A8493B">
        <w:tc>
          <w:tcPr>
            <w:tcW w:w="13948" w:type="dxa"/>
          </w:tcPr>
          <w:p w14:paraId="087916B6" w14:textId="77777777" w:rsidR="00C6538E" w:rsidRPr="00F826B6" w:rsidRDefault="00C6538E" w:rsidP="00A8493B">
            <w:pPr>
              <w:spacing w:line="264" w:lineRule="auto"/>
              <w:rPr>
                <w:rFonts w:cstheme="minorHAnsi"/>
              </w:rPr>
            </w:pPr>
            <w:r w:rsidRPr="00F826B6">
              <w:rPr>
                <w:rFonts w:eastAsia="Times New Roman" w:cstheme="minorHAnsi"/>
                <w:b/>
                <w:bCs/>
                <w:lang w:eastAsia="en-AU"/>
              </w:rPr>
              <w:t xml:space="preserve">Good governance: </w:t>
            </w:r>
            <w:r w:rsidRPr="00F826B6">
              <w:rPr>
                <w:rFonts w:cstheme="minorHAnsi"/>
              </w:rPr>
              <w:t xml:space="preserve">Requiring </w:t>
            </w:r>
            <w:proofErr w:type="spellStart"/>
            <w:r w:rsidRPr="00F826B6">
              <w:rPr>
                <w:rFonts w:cstheme="minorHAnsi"/>
              </w:rPr>
              <w:t>organisations</w:t>
            </w:r>
            <w:proofErr w:type="spellEnd"/>
            <w:r w:rsidRPr="00F826B6">
              <w:rPr>
                <w:rFonts w:cstheme="minorHAnsi"/>
              </w:rPr>
              <w:t xml:space="preserve"> to clearly define strategic directions, including their roles, </w:t>
            </w:r>
            <w:proofErr w:type="gramStart"/>
            <w:r w:rsidRPr="00F826B6">
              <w:rPr>
                <w:rFonts w:cstheme="minorHAnsi"/>
              </w:rPr>
              <w:t>objectives</w:t>
            </w:r>
            <w:proofErr w:type="gramEnd"/>
            <w:r w:rsidRPr="00F826B6">
              <w:rPr>
                <w:rFonts w:cstheme="minorHAnsi"/>
              </w:rPr>
              <w:t xml:space="preserve"> and interaction with other entities, to deliver on their mission:</w:t>
            </w:r>
          </w:p>
          <w:p w14:paraId="2868E8E9" w14:textId="77777777" w:rsidR="00C6538E" w:rsidRPr="00F826B6" w:rsidRDefault="00C6538E" w:rsidP="001750D5">
            <w:pPr>
              <w:numPr>
                <w:ilvl w:val="0"/>
                <w:numId w:val="43"/>
              </w:numPr>
              <w:contextualSpacing/>
              <w:rPr>
                <w:rFonts w:cstheme="minorHAnsi"/>
              </w:rPr>
            </w:pPr>
            <w:r w:rsidRPr="00F826B6">
              <w:rPr>
                <w:rFonts w:cstheme="minorHAnsi"/>
              </w:rPr>
              <w:t>reflects a pragmatic approach to prosecutions and enforcement with appropriate guidance and conformance with the deployment of all tools in the regulatory toolkit</w:t>
            </w:r>
          </w:p>
          <w:p w14:paraId="5BBBED3D" w14:textId="77777777" w:rsidR="00C6538E" w:rsidRPr="005C3533" w:rsidRDefault="00C6538E" w:rsidP="001750D5">
            <w:pPr>
              <w:pStyle w:val="ListParagraph"/>
              <w:numPr>
                <w:ilvl w:val="0"/>
                <w:numId w:val="43"/>
              </w:numPr>
              <w:spacing w:after="120"/>
              <w:rPr>
                <w:rFonts w:ascii="Arial" w:hAnsi="Arial" w:cs="Arial"/>
                <w:b/>
                <w:bCs/>
                <w:sz w:val="24"/>
                <w:szCs w:val="24"/>
              </w:rPr>
            </w:pPr>
            <w:r w:rsidRPr="005C3533">
              <w:rPr>
                <w:rFonts w:cstheme="minorHAnsi"/>
              </w:rPr>
              <w:t xml:space="preserve">contributes to an internal values-based culture, builds partnerships </w:t>
            </w:r>
            <w:proofErr w:type="spellStart"/>
            <w:r w:rsidRPr="005C3533">
              <w:rPr>
                <w:rFonts w:cstheme="minorHAnsi"/>
              </w:rPr>
              <w:t>characterised</w:t>
            </w:r>
            <w:proofErr w:type="spellEnd"/>
            <w:r w:rsidRPr="005C3533">
              <w:rPr>
                <w:rFonts w:cstheme="minorHAnsi"/>
              </w:rPr>
              <w:t xml:space="preserve"> by empathetic, respectful stakeholder engagement</w:t>
            </w:r>
          </w:p>
        </w:tc>
      </w:tr>
      <w:tr w:rsidR="00C6538E" w14:paraId="3AF3FFF2" w14:textId="77777777" w:rsidTr="00A8493B">
        <w:tc>
          <w:tcPr>
            <w:tcW w:w="13948" w:type="dxa"/>
          </w:tcPr>
          <w:p w14:paraId="4D8369D3" w14:textId="77777777" w:rsidR="00C6538E" w:rsidRPr="00F826B6" w:rsidRDefault="00C6538E" w:rsidP="00A8493B">
            <w:pPr>
              <w:spacing w:line="264" w:lineRule="auto"/>
              <w:rPr>
                <w:rFonts w:cstheme="minorHAnsi"/>
              </w:rPr>
            </w:pPr>
            <w:r w:rsidRPr="00F826B6">
              <w:rPr>
                <w:rFonts w:cstheme="minorHAnsi"/>
                <w:b/>
                <w:bCs/>
              </w:rPr>
              <w:t xml:space="preserve">Advanced systems and data management: </w:t>
            </w:r>
            <w:proofErr w:type="spellStart"/>
            <w:r w:rsidRPr="00F826B6">
              <w:rPr>
                <w:rFonts w:cstheme="minorHAnsi"/>
              </w:rPr>
              <w:t>Recognising</w:t>
            </w:r>
            <w:proofErr w:type="spellEnd"/>
            <w:r w:rsidRPr="00F826B6">
              <w:rPr>
                <w:rFonts w:cstheme="minorHAnsi"/>
              </w:rPr>
              <w:t xml:space="preserve"> data as an asset with the ability to combine and interrogate qualitative and quantitative information and visually represent findings, preferably in real time, which includes:</w:t>
            </w:r>
          </w:p>
          <w:p w14:paraId="457FB578" w14:textId="77777777" w:rsidR="00C6538E" w:rsidRPr="00F826B6" w:rsidRDefault="00C6538E" w:rsidP="001750D5">
            <w:pPr>
              <w:numPr>
                <w:ilvl w:val="0"/>
                <w:numId w:val="43"/>
              </w:numPr>
              <w:contextualSpacing/>
              <w:rPr>
                <w:rFonts w:cstheme="minorHAnsi"/>
              </w:rPr>
            </w:pPr>
            <w:r w:rsidRPr="00F826B6">
              <w:rPr>
                <w:rFonts w:cstheme="minorHAnsi"/>
              </w:rPr>
              <w:t>data is integral to evidence-informed decision-making, risk management and intelligence</w:t>
            </w:r>
          </w:p>
          <w:p w14:paraId="4F61930F" w14:textId="77777777" w:rsidR="00C6538E" w:rsidRPr="00F826B6" w:rsidRDefault="00C6538E" w:rsidP="001750D5">
            <w:pPr>
              <w:numPr>
                <w:ilvl w:val="0"/>
                <w:numId w:val="43"/>
              </w:numPr>
              <w:contextualSpacing/>
              <w:rPr>
                <w:rFonts w:cstheme="minorHAnsi"/>
              </w:rPr>
            </w:pPr>
            <w:r w:rsidRPr="00F826B6">
              <w:rPr>
                <w:rFonts w:cstheme="minorHAnsi"/>
              </w:rPr>
              <w:t>where there are longitudinal datasets and/or data sharing arrangements to build out datasets, data analytics enable early identification and pre-emptive interventions to ensure safety and quality service/care delivery</w:t>
            </w:r>
          </w:p>
          <w:p w14:paraId="6D5397D0" w14:textId="77777777" w:rsidR="00C6538E" w:rsidRPr="005C3533" w:rsidRDefault="00C6538E" w:rsidP="001750D5">
            <w:pPr>
              <w:pStyle w:val="ListParagraph"/>
              <w:numPr>
                <w:ilvl w:val="0"/>
                <w:numId w:val="43"/>
              </w:numPr>
              <w:spacing w:after="120"/>
              <w:rPr>
                <w:rFonts w:ascii="Arial" w:hAnsi="Arial" w:cs="Arial"/>
                <w:b/>
                <w:bCs/>
                <w:sz w:val="24"/>
                <w:szCs w:val="24"/>
              </w:rPr>
            </w:pPr>
            <w:r w:rsidRPr="005C3533">
              <w:rPr>
                <w:rFonts w:cstheme="minorHAnsi"/>
              </w:rPr>
              <w:t xml:space="preserve">systems and data integration are augmented by workforce capabilities, such as data analytics and </w:t>
            </w:r>
            <w:proofErr w:type="spellStart"/>
            <w:r w:rsidRPr="005C3533">
              <w:rPr>
                <w:rFonts w:cstheme="minorHAnsi"/>
              </w:rPr>
              <w:t>visualisation</w:t>
            </w:r>
            <w:proofErr w:type="spellEnd"/>
            <w:r w:rsidRPr="005C3533">
              <w:rPr>
                <w:rFonts w:cstheme="minorHAnsi"/>
              </w:rPr>
              <w:t>.</w:t>
            </w:r>
          </w:p>
        </w:tc>
      </w:tr>
      <w:tr w:rsidR="00C6538E" w14:paraId="75A0ECB6" w14:textId="77777777" w:rsidTr="00A8493B">
        <w:tc>
          <w:tcPr>
            <w:tcW w:w="13948" w:type="dxa"/>
          </w:tcPr>
          <w:p w14:paraId="3DAECAA5" w14:textId="77777777" w:rsidR="00C6538E" w:rsidRDefault="00C6538E" w:rsidP="00A8493B">
            <w:pPr>
              <w:spacing w:after="120"/>
              <w:rPr>
                <w:rFonts w:ascii="Arial" w:hAnsi="Arial" w:cs="Arial"/>
                <w:b/>
                <w:bCs/>
                <w:sz w:val="24"/>
                <w:szCs w:val="24"/>
              </w:rPr>
            </w:pPr>
            <w:bookmarkStart w:id="42" w:name="_Hlk128396097"/>
            <w:r w:rsidRPr="00F826B6">
              <w:rPr>
                <w:rFonts w:cstheme="minorHAnsi"/>
                <w:b/>
                <w:bCs/>
              </w:rPr>
              <w:t xml:space="preserve">Transformation and change management: </w:t>
            </w:r>
            <w:r w:rsidRPr="00F826B6">
              <w:rPr>
                <w:rFonts w:cstheme="minorHAnsi"/>
              </w:rPr>
              <w:t xml:space="preserve">Enabled by strategic use of </w:t>
            </w:r>
            <w:proofErr w:type="spellStart"/>
            <w:r w:rsidRPr="00F826B6">
              <w:rPr>
                <w:rFonts w:cstheme="minorHAnsi"/>
              </w:rPr>
              <w:t>behavioural</w:t>
            </w:r>
            <w:proofErr w:type="spellEnd"/>
            <w:r w:rsidRPr="00F826B6">
              <w:rPr>
                <w:rFonts w:cstheme="minorHAnsi"/>
              </w:rPr>
              <w:t xml:space="preserve"> insights; sector knowledge to inform differentiated planning for communications, sector education, learning and development and functional agility, including </w:t>
            </w:r>
            <w:proofErr w:type="spellStart"/>
            <w:r w:rsidRPr="00F826B6">
              <w:rPr>
                <w:rFonts w:cstheme="minorHAnsi"/>
              </w:rPr>
              <w:t>organisational</w:t>
            </w:r>
            <w:proofErr w:type="spellEnd"/>
            <w:r w:rsidRPr="00F826B6">
              <w:rPr>
                <w:rFonts w:cstheme="minorHAnsi"/>
              </w:rPr>
              <w:t xml:space="preserve"> resilience</w:t>
            </w:r>
            <w:r>
              <w:rPr>
                <w:rFonts w:cstheme="minorHAnsi"/>
              </w:rPr>
              <w:t>.</w:t>
            </w:r>
            <w:bookmarkEnd w:id="42"/>
          </w:p>
        </w:tc>
      </w:tr>
      <w:tr w:rsidR="00C6538E" w14:paraId="18C50FB0" w14:textId="77777777" w:rsidTr="00A8493B">
        <w:tc>
          <w:tcPr>
            <w:tcW w:w="13948" w:type="dxa"/>
          </w:tcPr>
          <w:p w14:paraId="39A5FAFA" w14:textId="77777777" w:rsidR="00C6538E" w:rsidRPr="00F826B6" w:rsidRDefault="00C6538E" w:rsidP="00A8493B">
            <w:pPr>
              <w:spacing w:line="264" w:lineRule="auto"/>
              <w:rPr>
                <w:rFonts w:cstheme="minorHAnsi"/>
              </w:rPr>
            </w:pPr>
            <w:r w:rsidRPr="00F826B6">
              <w:rPr>
                <w:rFonts w:cstheme="minorHAnsi"/>
                <w:b/>
                <w:bCs/>
              </w:rPr>
              <w:t xml:space="preserve">Strategically planned and executed external communications: </w:t>
            </w:r>
            <w:r w:rsidRPr="00F826B6">
              <w:rPr>
                <w:rFonts w:cstheme="minorHAnsi"/>
              </w:rPr>
              <w:t>The key to building trust and confidence in regulation and entail:</w:t>
            </w:r>
          </w:p>
          <w:p w14:paraId="2F9A2236" w14:textId="77777777" w:rsidR="00C6538E" w:rsidRPr="00F826B6" w:rsidRDefault="00C6538E" w:rsidP="001750D5">
            <w:pPr>
              <w:numPr>
                <w:ilvl w:val="0"/>
                <w:numId w:val="43"/>
              </w:numPr>
              <w:contextualSpacing/>
              <w:rPr>
                <w:rFonts w:cstheme="minorHAnsi"/>
              </w:rPr>
            </w:pPr>
            <w:r w:rsidRPr="00F826B6">
              <w:rPr>
                <w:rFonts w:cstheme="minorHAnsi"/>
              </w:rPr>
              <w:t>building awareness and understanding of the regulator’s role to drive equity of public access to quality care and services</w:t>
            </w:r>
          </w:p>
          <w:p w14:paraId="471F3FD8" w14:textId="77777777" w:rsidR="00C6538E" w:rsidRPr="00F826B6" w:rsidRDefault="00C6538E" w:rsidP="001750D5">
            <w:pPr>
              <w:numPr>
                <w:ilvl w:val="0"/>
                <w:numId w:val="43"/>
              </w:numPr>
              <w:contextualSpacing/>
              <w:rPr>
                <w:rFonts w:cstheme="minorHAnsi"/>
              </w:rPr>
            </w:pPr>
            <w:r w:rsidRPr="00F826B6">
              <w:rPr>
                <w:rFonts w:cstheme="minorHAnsi"/>
              </w:rPr>
              <w:t>leveraging the use of multiple channels and modes of communication to meet diverse audience needs</w:t>
            </w:r>
          </w:p>
          <w:p w14:paraId="14E10D39" w14:textId="77777777" w:rsidR="00C6538E" w:rsidRDefault="00C6538E" w:rsidP="00A8493B">
            <w:pPr>
              <w:spacing w:after="120"/>
              <w:rPr>
                <w:rFonts w:ascii="Arial" w:hAnsi="Arial" w:cs="Arial"/>
                <w:b/>
                <w:bCs/>
                <w:sz w:val="24"/>
                <w:szCs w:val="24"/>
              </w:rPr>
            </w:pPr>
            <w:r w:rsidRPr="00F826B6">
              <w:rPr>
                <w:rFonts w:cstheme="minorHAnsi"/>
              </w:rPr>
              <w:t>proactive management of issues in the media manages public perceptions of both the regulator and quality care</w:t>
            </w:r>
            <w:r>
              <w:rPr>
                <w:rFonts w:cstheme="minorHAnsi"/>
              </w:rPr>
              <w:t>.</w:t>
            </w:r>
          </w:p>
        </w:tc>
      </w:tr>
      <w:tr w:rsidR="00C6538E" w14:paraId="65FA9605" w14:textId="77777777" w:rsidTr="00A8493B">
        <w:tc>
          <w:tcPr>
            <w:tcW w:w="13948" w:type="dxa"/>
          </w:tcPr>
          <w:p w14:paraId="5AF78D75" w14:textId="77777777" w:rsidR="00C6538E" w:rsidRDefault="00C6538E" w:rsidP="00A8493B">
            <w:pPr>
              <w:spacing w:after="120"/>
              <w:rPr>
                <w:rFonts w:ascii="Arial" w:hAnsi="Arial" w:cs="Arial"/>
                <w:b/>
                <w:bCs/>
                <w:sz w:val="24"/>
                <w:szCs w:val="24"/>
              </w:rPr>
            </w:pPr>
            <w:r w:rsidRPr="00F826B6">
              <w:rPr>
                <w:rFonts w:cstheme="minorHAnsi"/>
                <w:b/>
                <w:bCs/>
              </w:rPr>
              <w:lastRenderedPageBreak/>
              <w:t xml:space="preserve">Agreed standards of care and safety and a performance framework: </w:t>
            </w:r>
            <w:r w:rsidRPr="00F826B6">
              <w:rPr>
                <w:rFonts w:cstheme="minorHAnsi"/>
              </w:rPr>
              <w:t xml:space="preserve">Reflect a relationship between accreditation, regulation and ISO systems for quality and risk management and are reinforced through regular reviews and updates to standards, </w:t>
            </w:r>
            <w:proofErr w:type="gramStart"/>
            <w:r w:rsidRPr="00F826B6">
              <w:rPr>
                <w:rFonts w:cstheme="minorHAnsi"/>
              </w:rPr>
              <w:t>processes</w:t>
            </w:r>
            <w:proofErr w:type="gramEnd"/>
            <w:r w:rsidRPr="00F826B6">
              <w:rPr>
                <w:rFonts w:cstheme="minorHAnsi"/>
              </w:rPr>
              <w:t xml:space="preserve"> and procedures with input from across the system for ongoing improvement and quality assurance.</w:t>
            </w:r>
          </w:p>
        </w:tc>
      </w:tr>
    </w:tbl>
    <w:p w14:paraId="595A39D2" w14:textId="1F1A0FC0" w:rsidR="00C6538E" w:rsidRPr="00A44470" w:rsidRDefault="00C6538E" w:rsidP="002D5F76">
      <w:pPr>
        <w:spacing w:before="240"/>
        <w:rPr>
          <w:rFonts w:ascii="Arial" w:hAnsi="Arial" w:cs="Arial"/>
          <w:b/>
          <w:bCs/>
          <w:sz w:val="24"/>
          <w:szCs w:val="24"/>
        </w:rPr>
      </w:pPr>
      <w:r w:rsidRPr="00A44470">
        <w:rPr>
          <w:rFonts w:ascii="Arial" w:eastAsiaTheme="minorEastAsia" w:hAnsi="Arial" w:cs="Arial"/>
          <w:b/>
          <w:bCs/>
          <w:i/>
          <w:iCs/>
          <w:sz w:val="20"/>
          <w:szCs w:val="20"/>
        </w:rPr>
        <w:t>Reference:</w:t>
      </w:r>
      <w:r w:rsidRPr="00A44470">
        <w:rPr>
          <w:rFonts w:ascii="Arial" w:eastAsiaTheme="minorEastAsia" w:hAnsi="Arial" w:cs="Arial"/>
          <w:i/>
          <w:iCs/>
          <w:sz w:val="20"/>
          <w:szCs w:val="20"/>
        </w:rPr>
        <w:t xml:space="preserve"> </w:t>
      </w:r>
      <w:r w:rsidRPr="00A44470">
        <w:rPr>
          <w:rFonts w:ascii="Arial" w:hAnsi="Arial" w:cs="Arial"/>
          <w:i/>
          <w:iCs/>
          <w:color w:val="000000"/>
          <w:sz w:val="20"/>
          <w:szCs w:val="20"/>
        </w:rPr>
        <w:t>Optimising Capability to Meet Current and Future Challenges, Grosvenor Public Service Advisory, December 2021, p</w:t>
      </w:r>
      <w:r w:rsidR="00A23E95" w:rsidRPr="00A44470">
        <w:rPr>
          <w:rFonts w:ascii="Arial" w:hAnsi="Arial" w:cs="Arial"/>
          <w:i/>
          <w:iCs/>
          <w:color w:val="000000"/>
          <w:sz w:val="20"/>
          <w:szCs w:val="20"/>
        </w:rPr>
        <w:t>9-11</w:t>
      </w:r>
    </w:p>
    <w:bookmarkEnd w:id="40"/>
    <w:p w14:paraId="52370E42" w14:textId="0EA61499" w:rsidR="00F826B6" w:rsidRDefault="00F826B6">
      <w:pPr>
        <w:rPr>
          <w:rFonts w:ascii="Arial" w:hAnsi="Arial" w:cs="Arial"/>
          <w:b/>
          <w:bCs/>
          <w:sz w:val="28"/>
          <w:szCs w:val="28"/>
          <w:highlight w:val="yellow"/>
        </w:rPr>
      </w:pPr>
      <w:r>
        <w:rPr>
          <w:rFonts w:ascii="Arial" w:hAnsi="Arial" w:cs="Arial"/>
          <w:b/>
          <w:bCs/>
          <w:sz w:val="28"/>
          <w:szCs w:val="28"/>
          <w:highlight w:val="yellow"/>
        </w:rPr>
        <w:br w:type="page"/>
      </w:r>
    </w:p>
    <w:p w14:paraId="2B2AB12B" w14:textId="77777777" w:rsidR="00F826B6" w:rsidRDefault="00F826B6">
      <w:pPr>
        <w:rPr>
          <w:rFonts w:ascii="Arial" w:hAnsi="Arial" w:cs="Arial"/>
          <w:b/>
          <w:bCs/>
          <w:sz w:val="28"/>
          <w:szCs w:val="28"/>
          <w:highlight w:val="yellow"/>
        </w:rPr>
        <w:sectPr w:rsidR="00F826B6" w:rsidSect="00BE5A26">
          <w:pgSz w:w="16838" w:h="11906" w:orient="landscape" w:code="9"/>
          <w:pgMar w:top="1440" w:right="1440" w:bottom="1440" w:left="1440" w:header="709" w:footer="709" w:gutter="0"/>
          <w:cols w:space="708"/>
          <w:titlePg/>
          <w:docGrid w:linePitch="360"/>
        </w:sectPr>
      </w:pPr>
    </w:p>
    <w:p w14:paraId="3CF544FA" w14:textId="6EB6AA19" w:rsidR="003C78DC" w:rsidRPr="000E132D" w:rsidRDefault="00BA3EB7" w:rsidP="000E132D">
      <w:pPr>
        <w:pStyle w:val="Heading3"/>
      </w:pPr>
      <w:bookmarkStart w:id="43" w:name="_Toc131163563"/>
      <w:r w:rsidRPr="000E132D">
        <w:lastRenderedPageBreak/>
        <w:t>A</w:t>
      </w:r>
      <w:r w:rsidR="003C78DC" w:rsidRPr="000E132D">
        <w:t xml:space="preserve">PPENDIX </w:t>
      </w:r>
      <w:r w:rsidR="003A7BF7" w:rsidRPr="000E132D">
        <w:t>H</w:t>
      </w:r>
      <w:r w:rsidR="00855A3B" w:rsidRPr="000E132D">
        <w:t xml:space="preserve"> - </w:t>
      </w:r>
      <w:r w:rsidRPr="000E132D">
        <w:t>G</w:t>
      </w:r>
      <w:r w:rsidR="00D2238A" w:rsidRPr="000E132D">
        <w:t>lossary</w:t>
      </w:r>
      <w:bookmarkEnd w:id="43"/>
    </w:p>
    <w:tbl>
      <w:tblPr>
        <w:tblStyle w:val="TableGrid"/>
        <w:tblW w:w="0" w:type="auto"/>
        <w:tblLook w:val="04A0" w:firstRow="1" w:lastRow="0" w:firstColumn="1" w:lastColumn="0" w:noHBand="0" w:noVBand="1"/>
      </w:tblPr>
      <w:tblGrid>
        <w:gridCol w:w="1838"/>
        <w:gridCol w:w="7178"/>
      </w:tblGrid>
      <w:tr w:rsidR="009443B5" w14:paraId="77C2827C" w14:textId="77777777" w:rsidTr="00F30A26">
        <w:tc>
          <w:tcPr>
            <w:tcW w:w="1838" w:type="dxa"/>
          </w:tcPr>
          <w:p w14:paraId="734B4302" w14:textId="76360238" w:rsidR="009443B5" w:rsidRDefault="009443B5" w:rsidP="00F30A26">
            <w:pPr>
              <w:tabs>
                <w:tab w:val="right" w:leader="dot" w:pos="9016"/>
              </w:tabs>
              <w:spacing w:before="120" w:after="120"/>
              <w:rPr>
                <w:rFonts w:ascii="Arial" w:hAnsi="Arial" w:cs="Arial"/>
                <w:sz w:val="24"/>
                <w:szCs w:val="24"/>
              </w:rPr>
            </w:pPr>
            <w:r>
              <w:rPr>
                <w:rFonts w:ascii="Arial" w:hAnsi="Arial" w:cs="Arial"/>
                <w:sz w:val="24"/>
                <w:szCs w:val="24"/>
              </w:rPr>
              <w:t>ACQSC</w:t>
            </w:r>
          </w:p>
        </w:tc>
        <w:tc>
          <w:tcPr>
            <w:tcW w:w="7178" w:type="dxa"/>
          </w:tcPr>
          <w:p w14:paraId="29568895" w14:textId="17F3BF26" w:rsidR="009443B5" w:rsidRDefault="009443B5" w:rsidP="00F30A26">
            <w:pPr>
              <w:tabs>
                <w:tab w:val="right" w:leader="dot" w:pos="9016"/>
              </w:tabs>
              <w:spacing w:before="120" w:after="120"/>
              <w:rPr>
                <w:rFonts w:ascii="Arial" w:hAnsi="Arial" w:cs="Arial"/>
                <w:sz w:val="24"/>
                <w:szCs w:val="24"/>
              </w:rPr>
            </w:pPr>
            <w:r>
              <w:rPr>
                <w:rFonts w:ascii="Arial" w:hAnsi="Arial" w:cs="Arial"/>
                <w:sz w:val="24"/>
                <w:szCs w:val="24"/>
              </w:rPr>
              <w:t>Aged Care Quality and Safety Commission</w:t>
            </w:r>
          </w:p>
        </w:tc>
      </w:tr>
      <w:tr w:rsidR="006931E3" w14:paraId="135D5133" w14:textId="77777777" w:rsidTr="00F30A26">
        <w:tc>
          <w:tcPr>
            <w:tcW w:w="1838" w:type="dxa"/>
          </w:tcPr>
          <w:p w14:paraId="4D57B979" w14:textId="369A1B83" w:rsidR="006931E3" w:rsidRDefault="006931E3" w:rsidP="00F30A26">
            <w:pPr>
              <w:tabs>
                <w:tab w:val="right" w:leader="dot" w:pos="9016"/>
              </w:tabs>
              <w:spacing w:before="120" w:after="120"/>
              <w:rPr>
                <w:rFonts w:ascii="Arial" w:hAnsi="Arial" w:cs="Arial"/>
                <w:sz w:val="24"/>
                <w:szCs w:val="24"/>
              </w:rPr>
            </w:pPr>
            <w:r>
              <w:rPr>
                <w:rFonts w:ascii="Arial" w:hAnsi="Arial" w:cs="Arial"/>
                <w:sz w:val="24"/>
                <w:szCs w:val="24"/>
              </w:rPr>
              <w:t>AC</w:t>
            </w:r>
            <w:r w:rsidR="009443B5">
              <w:rPr>
                <w:rFonts w:ascii="Arial" w:hAnsi="Arial" w:cs="Arial"/>
                <w:sz w:val="24"/>
                <w:szCs w:val="24"/>
              </w:rPr>
              <w:t>S</w:t>
            </w:r>
            <w:r>
              <w:rPr>
                <w:rFonts w:ascii="Arial" w:hAnsi="Arial" w:cs="Arial"/>
                <w:sz w:val="24"/>
                <w:szCs w:val="24"/>
              </w:rPr>
              <w:t>Q</w:t>
            </w:r>
            <w:r w:rsidR="009443B5">
              <w:rPr>
                <w:rFonts w:ascii="Arial" w:hAnsi="Arial" w:cs="Arial"/>
                <w:sz w:val="24"/>
                <w:szCs w:val="24"/>
              </w:rPr>
              <w:t>HC</w:t>
            </w:r>
          </w:p>
        </w:tc>
        <w:tc>
          <w:tcPr>
            <w:tcW w:w="7178" w:type="dxa"/>
          </w:tcPr>
          <w:p w14:paraId="3973324C" w14:textId="0910A0C0" w:rsidR="006931E3" w:rsidRDefault="006931E3" w:rsidP="00F30A26">
            <w:pPr>
              <w:tabs>
                <w:tab w:val="right" w:leader="dot" w:pos="9016"/>
              </w:tabs>
              <w:spacing w:before="120" w:after="120"/>
              <w:rPr>
                <w:rFonts w:ascii="Arial" w:hAnsi="Arial" w:cs="Arial"/>
                <w:sz w:val="24"/>
                <w:szCs w:val="24"/>
              </w:rPr>
            </w:pPr>
            <w:r>
              <w:rPr>
                <w:rFonts w:ascii="Arial" w:hAnsi="Arial" w:cs="Arial"/>
                <w:sz w:val="24"/>
                <w:szCs w:val="24"/>
              </w:rPr>
              <w:t xml:space="preserve">Australian Commission on </w:t>
            </w:r>
            <w:r w:rsidR="009443B5">
              <w:rPr>
                <w:rFonts w:ascii="Arial" w:hAnsi="Arial" w:cs="Arial"/>
                <w:sz w:val="24"/>
                <w:szCs w:val="24"/>
              </w:rPr>
              <w:t xml:space="preserve">Safety and </w:t>
            </w:r>
            <w:r>
              <w:rPr>
                <w:rFonts w:ascii="Arial" w:hAnsi="Arial" w:cs="Arial"/>
                <w:sz w:val="24"/>
                <w:szCs w:val="24"/>
              </w:rPr>
              <w:t>Quality in Health</w:t>
            </w:r>
            <w:r w:rsidR="009443B5">
              <w:rPr>
                <w:rFonts w:ascii="Arial" w:hAnsi="Arial" w:cs="Arial"/>
                <w:sz w:val="24"/>
                <w:szCs w:val="24"/>
              </w:rPr>
              <w:t xml:space="preserve"> C</w:t>
            </w:r>
            <w:r>
              <w:rPr>
                <w:rFonts w:ascii="Arial" w:hAnsi="Arial" w:cs="Arial"/>
                <w:sz w:val="24"/>
                <w:szCs w:val="24"/>
              </w:rPr>
              <w:t>are</w:t>
            </w:r>
          </w:p>
        </w:tc>
      </w:tr>
      <w:tr w:rsidR="009443B5" w14:paraId="14893A32" w14:textId="77777777" w:rsidTr="00F30A26">
        <w:tc>
          <w:tcPr>
            <w:tcW w:w="1838" w:type="dxa"/>
          </w:tcPr>
          <w:p w14:paraId="0274667D" w14:textId="274C8022" w:rsidR="009443B5" w:rsidRDefault="009443B5" w:rsidP="00F30A26">
            <w:pPr>
              <w:tabs>
                <w:tab w:val="right" w:leader="dot" w:pos="9016"/>
              </w:tabs>
              <w:spacing w:before="120" w:after="120"/>
              <w:rPr>
                <w:rFonts w:ascii="Arial" w:hAnsi="Arial" w:cs="Arial"/>
                <w:sz w:val="24"/>
                <w:szCs w:val="24"/>
              </w:rPr>
            </w:pPr>
            <w:r>
              <w:rPr>
                <w:rFonts w:ascii="Arial" w:hAnsi="Arial" w:cs="Arial"/>
                <w:sz w:val="24"/>
                <w:szCs w:val="24"/>
              </w:rPr>
              <w:t>Advisory Council</w:t>
            </w:r>
          </w:p>
        </w:tc>
        <w:tc>
          <w:tcPr>
            <w:tcW w:w="7178" w:type="dxa"/>
          </w:tcPr>
          <w:p w14:paraId="468C6EF3" w14:textId="26DFDA1B" w:rsidR="009443B5" w:rsidRDefault="009443B5" w:rsidP="00F30A26">
            <w:pPr>
              <w:tabs>
                <w:tab w:val="right" w:leader="dot" w:pos="9016"/>
              </w:tabs>
              <w:spacing w:before="120" w:after="120"/>
              <w:rPr>
                <w:rFonts w:ascii="Arial" w:hAnsi="Arial" w:cs="Arial"/>
                <w:sz w:val="24"/>
                <w:szCs w:val="24"/>
              </w:rPr>
            </w:pPr>
            <w:r>
              <w:rPr>
                <w:rFonts w:ascii="Arial" w:hAnsi="Arial" w:cs="Arial"/>
                <w:sz w:val="24"/>
                <w:szCs w:val="24"/>
              </w:rPr>
              <w:t>Aged Care Quality and Safety Advisory Council</w:t>
            </w:r>
          </w:p>
        </w:tc>
      </w:tr>
      <w:tr w:rsidR="00774050" w14:paraId="745C3A51" w14:textId="77777777" w:rsidTr="00280B5E">
        <w:tc>
          <w:tcPr>
            <w:tcW w:w="1838" w:type="dxa"/>
          </w:tcPr>
          <w:p w14:paraId="73452F9A" w14:textId="77777777" w:rsidR="00774050" w:rsidRDefault="00774050" w:rsidP="00280B5E">
            <w:pPr>
              <w:tabs>
                <w:tab w:val="right" w:leader="dot" w:pos="9016"/>
              </w:tabs>
              <w:spacing w:before="120" w:after="120"/>
              <w:rPr>
                <w:rFonts w:ascii="Arial" w:hAnsi="Arial" w:cs="Arial"/>
                <w:sz w:val="24"/>
                <w:szCs w:val="24"/>
              </w:rPr>
            </w:pPr>
            <w:r>
              <w:rPr>
                <w:rFonts w:ascii="Arial" w:hAnsi="Arial" w:cs="Arial"/>
                <w:sz w:val="24"/>
                <w:szCs w:val="24"/>
              </w:rPr>
              <w:t>APRA</w:t>
            </w:r>
          </w:p>
        </w:tc>
        <w:tc>
          <w:tcPr>
            <w:tcW w:w="7178" w:type="dxa"/>
          </w:tcPr>
          <w:p w14:paraId="40400DBF" w14:textId="77777777" w:rsidR="00774050" w:rsidRDefault="00774050" w:rsidP="00280B5E">
            <w:pPr>
              <w:tabs>
                <w:tab w:val="right" w:leader="dot" w:pos="9016"/>
              </w:tabs>
              <w:spacing w:before="120" w:after="120"/>
              <w:rPr>
                <w:rFonts w:ascii="Arial" w:hAnsi="Arial" w:cs="Arial"/>
                <w:sz w:val="24"/>
                <w:szCs w:val="24"/>
              </w:rPr>
            </w:pPr>
            <w:r w:rsidRPr="00DE48FA">
              <w:rPr>
                <w:rFonts w:ascii="Arial" w:hAnsi="Arial" w:cs="Arial"/>
                <w:sz w:val="24"/>
                <w:szCs w:val="24"/>
              </w:rPr>
              <w:t>Australian Prudential Regulation Authority</w:t>
            </w:r>
          </w:p>
        </w:tc>
      </w:tr>
      <w:tr w:rsidR="00774050" w14:paraId="15118881" w14:textId="77777777" w:rsidTr="00F30A26">
        <w:tc>
          <w:tcPr>
            <w:tcW w:w="1838" w:type="dxa"/>
          </w:tcPr>
          <w:p w14:paraId="48025051" w14:textId="54C514A5"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APS</w:t>
            </w:r>
          </w:p>
        </w:tc>
        <w:tc>
          <w:tcPr>
            <w:tcW w:w="7178" w:type="dxa"/>
          </w:tcPr>
          <w:p w14:paraId="1BCFFC5F" w14:textId="27B5E63E"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Australian Public Service</w:t>
            </w:r>
          </w:p>
        </w:tc>
      </w:tr>
      <w:tr w:rsidR="00774050" w14:paraId="11747897" w14:textId="77777777" w:rsidTr="00280B5E">
        <w:tc>
          <w:tcPr>
            <w:tcW w:w="1838" w:type="dxa"/>
          </w:tcPr>
          <w:p w14:paraId="51DD4F32" w14:textId="77777777" w:rsidR="00774050" w:rsidRDefault="00774050" w:rsidP="00280B5E">
            <w:pPr>
              <w:tabs>
                <w:tab w:val="right" w:leader="dot" w:pos="9016"/>
              </w:tabs>
              <w:spacing w:before="120" w:after="120"/>
              <w:rPr>
                <w:rFonts w:ascii="Arial" w:hAnsi="Arial" w:cs="Arial"/>
                <w:sz w:val="24"/>
                <w:szCs w:val="24"/>
              </w:rPr>
            </w:pPr>
            <w:r>
              <w:rPr>
                <w:rFonts w:ascii="Arial" w:hAnsi="Arial" w:cs="Arial"/>
                <w:sz w:val="24"/>
                <w:szCs w:val="24"/>
              </w:rPr>
              <w:t>ASQA</w:t>
            </w:r>
          </w:p>
        </w:tc>
        <w:tc>
          <w:tcPr>
            <w:tcW w:w="7178" w:type="dxa"/>
          </w:tcPr>
          <w:p w14:paraId="32340A1B" w14:textId="77777777" w:rsidR="00774050" w:rsidRDefault="00774050" w:rsidP="00280B5E">
            <w:pPr>
              <w:tabs>
                <w:tab w:val="right" w:leader="dot" w:pos="9016"/>
              </w:tabs>
              <w:spacing w:before="120" w:after="120"/>
              <w:rPr>
                <w:rFonts w:ascii="Arial" w:hAnsi="Arial" w:cs="Arial"/>
                <w:sz w:val="24"/>
                <w:szCs w:val="24"/>
              </w:rPr>
            </w:pPr>
            <w:r>
              <w:rPr>
                <w:rFonts w:ascii="Arial" w:hAnsi="Arial" w:cs="Arial"/>
                <w:sz w:val="24"/>
                <w:szCs w:val="24"/>
              </w:rPr>
              <w:t>Australian Skills Quality Authority</w:t>
            </w:r>
          </w:p>
        </w:tc>
      </w:tr>
      <w:tr w:rsidR="00774050" w14:paraId="5894B91E" w14:textId="77777777" w:rsidTr="00F30A26">
        <w:tc>
          <w:tcPr>
            <w:tcW w:w="1838" w:type="dxa"/>
          </w:tcPr>
          <w:p w14:paraId="5277953A" w14:textId="2D90F2B3"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BAU</w:t>
            </w:r>
          </w:p>
        </w:tc>
        <w:tc>
          <w:tcPr>
            <w:tcW w:w="7178" w:type="dxa"/>
          </w:tcPr>
          <w:p w14:paraId="50A4AD2F" w14:textId="2B22393F"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Business as usual</w:t>
            </w:r>
          </w:p>
        </w:tc>
      </w:tr>
      <w:tr w:rsidR="0068467F" w14:paraId="1B836E58" w14:textId="77777777" w:rsidTr="00F30A26">
        <w:tc>
          <w:tcPr>
            <w:tcW w:w="1838" w:type="dxa"/>
          </w:tcPr>
          <w:p w14:paraId="02A66691" w14:textId="5971DFEF" w:rsidR="0068467F" w:rsidRPr="00824FA9" w:rsidRDefault="0068467F" w:rsidP="00774050">
            <w:pPr>
              <w:tabs>
                <w:tab w:val="right" w:leader="dot" w:pos="9016"/>
              </w:tabs>
              <w:spacing w:before="120" w:after="120"/>
              <w:rPr>
                <w:rFonts w:ascii="Arial" w:hAnsi="Arial" w:cs="Arial"/>
                <w:sz w:val="24"/>
                <w:szCs w:val="24"/>
              </w:rPr>
            </w:pPr>
            <w:r>
              <w:rPr>
                <w:rFonts w:ascii="Arial" w:hAnsi="Arial" w:cs="Arial"/>
                <w:sz w:val="24"/>
                <w:szCs w:val="24"/>
              </w:rPr>
              <w:t>CHSP</w:t>
            </w:r>
          </w:p>
        </w:tc>
        <w:tc>
          <w:tcPr>
            <w:tcW w:w="7178" w:type="dxa"/>
          </w:tcPr>
          <w:p w14:paraId="44B9807F" w14:textId="2412D983" w:rsidR="0068467F" w:rsidRDefault="0068467F" w:rsidP="00774050">
            <w:pPr>
              <w:tabs>
                <w:tab w:val="right" w:leader="dot" w:pos="9016"/>
              </w:tabs>
              <w:spacing w:before="120" w:after="120"/>
              <w:rPr>
                <w:rFonts w:ascii="Arial" w:hAnsi="Arial" w:cs="Arial"/>
                <w:sz w:val="24"/>
                <w:szCs w:val="24"/>
              </w:rPr>
            </w:pPr>
            <w:r>
              <w:rPr>
                <w:rFonts w:ascii="Arial" w:hAnsi="Arial" w:cs="Arial"/>
                <w:sz w:val="24"/>
                <w:szCs w:val="24"/>
              </w:rPr>
              <w:t>Commonwealth Home Support program (CHSP)</w:t>
            </w:r>
          </w:p>
        </w:tc>
      </w:tr>
      <w:tr w:rsidR="00774050" w14:paraId="542E2888" w14:textId="77777777" w:rsidTr="00F30A26">
        <w:tc>
          <w:tcPr>
            <w:tcW w:w="1838" w:type="dxa"/>
          </w:tcPr>
          <w:p w14:paraId="5576DAF4" w14:textId="79CECDBF" w:rsidR="00774050" w:rsidRPr="00824FA9" w:rsidRDefault="00774050" w:rsidP="00774050">
            <w:pPr>
              <w:tabs>
                <w:tab w:val="right" w:leader="dot" w:pos="9016"/>
              </w:tabs>
              <w:spacing w:before="120" w:after="120"/>
              <w:rPr>
                <w:rFonts w:ascii="Arial" w:hAnsi="Arial" w:cs="Arial"/>
                <w:sz w:val="24"/>
                <w:szCs w:val="24"/>
              </w:rPr>
            </w:pPr>
            <w:r w:rsidRPr="00824FA9">
              <w:rPr>
                <w:rFonts w:ascii="Arial" w:hAnsi="Arial" w:cs="Arial"/>
                <w:sz w:val="24"/>
                <w:szCs w:val="24"/>
              </w:rPr>
              <w:t>Commission</w:t>
            </w:r>
          </w:p>
        </w:tc>
        <w:tc>
          <w:tcPr>
            <w:tcW w:w="7178" w:type="dxa"/>
          </w:tcPr>
          <w:p w14:paraId="4BBAB13C" w14:textId="1717E598" w:rsidR="00774050" w:rsidRPr="00B308B7"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Aged Care Quality and Safety Commission</w:t>
            </w:r>
          </w:p>
        </w:tc>
      </w:tr>
      <w:tr w:rsidR="00774050" w14:paraId="3157AED8" w14:textId="77777777" w:rsidTr="00280B5E">
        <w:tc>
          <w:tcPr>
            <w:tcW w:w="1838" w:type="dxa"/>
          </w:tcPr>
          <w:p w14:paraId="58986C08" w14:textId="77777777" w:rsidR="00774050" w:rsidRPr="00824FA9" w:rsidRDefault="00774050" w:rsidP="00280B5E">
            <w:pPr>
              <w:tabs>
                <w:tab w:val="right" w:leader="dot" w:pos="9016"/>
              </w:tabs>
              <w:spacing w:before="120" w:after="120"/>
              <w:rPr>
                <w:rFonts w:ascii="Arial" w:hAnsi="Arial" w:cs="Arial"/>
                <w:sz w:val="24"/>
                <w:szCs w:val="24"/>
              </w:rPr>
            </w:pPr>
            <w:r>
              <w:rPr>
                <w:rFonts w:ascii="Arial" w:hAnsi="Arial" w:cs="Arial"/>
                <w:sz w:val="24"/>
                <w:szCs w:val="24"/>
              </w:rPr>
              <w:t>CQC</w:t>
            </w:r>
          </w:p>
        </w:tc>
        <w:tc>
          <w:tcPr>
            <w:tcW w:w="7178" w:type="dxa"/>
          </w:tcPr>
          <w:p w14:paraId="6A754EAA" w14:textId="68996B3A" w:rsidR="00774050" w:rsidRDefault="00774050" w:rsidP="00280B5E">
            <w:pPr>
              <w:tabs>
                <w:tab w:val="right" w:leader="dot" w:pos="9016"/>
              </w:tabs>
              <w:spacing w:before="120" w:after="120"/>
              <w:rPr>
                <w:rFonts w:ascii="Arial" w:hAnsi="Arial" w:cs="Arial"/>
                <w:sz w:val="24"/>
                <w:szCs w:val="24"/>
              </w:rPr>
            </w:pPr>
            <w:r w:rsidRPr="00B92240">
              <w:rPr>
                <w:rFonts w:ascii="Arial" w:hAnsi="Arial" w:cs="Arial"/>
                <w:sz w:val="24"/>
                <w:szCs w:val="24"/>
              </w:rPr>
              <w:t>Care Quality Commission (</w:t>
            </w:r>
            <w:r>
              <w:rPr>
                <w:rFonts w:ascii="Arial" w:hAnsi="Arial" w:cs="Arial"/>
                <w:sz w:val="24"/>
                <w:szCs w:val="24"/>
              </w:rPr>
              <w:t>United Kingdom)</w:t>
            </w:r>
          </w:p>
        </w:tc>
      </w:tr>
      <w:tr w:rsidR="00774050" w14:paraId="7FF24283" w14:textId="77777777" w:rsidTr="00F30A26">
        <w:tc>
          <w:tcPr>
            <w:tcW w:w="1838" w:type="dxa"/>
          </w:tcPr>
          <w:p w14:paraId="0F6D2C49" w14:textId="1CEE1C4D"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Department</w:t>
            </w:r>
          </w:p>
        </w:tc>
        <w:tc>
          <w:tcPr>
            <w:tcW w:w="7178" w:type="dxa"/>
          </w:tcPr>
          <w:p w14:paraId="6A48A517" w14:textId="5918E3B2"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Department of Health and Aged Care</w:t>
            </w:r>
          </w:p>
        </w:tc>
      </w:tr>
      <w:tr w:rsidR="00774050" w14:paraId="0BDA9B98" w14:textId="77777777" w:rsidTr="00F30A26">
        <w:tc>
          <w:tcPr>
            <w:tcW w:w="1838" w:type="dxa"/>
          </w:tcPr>
          <w:p w14:paraId="7DF62341" w14:textId="7CC2EBC6" w:rsidR="00774050" w:rsidRDefault="00774050" w:rsidP="00774050">
            <w:pPr>
              <w:tabs>
                <w:tab w:val="right" w:leader="dot" w:pos="9016"/>
              </w:tabs>
              <w:spacing w:before="120" w:after="120"/>
              <w:rPr>
                <w:rFonts w:ascii="Arial" w:hAnsi="Arial" w:cs="Arial"/>
                <w:sz w:val="24"/>
                <w:szCs w:val="24"/>
              </w:rPr>
            </w:pPr>
            <w:proofErr w:type="spellStart"/>
            <w:r>
              <w:rPr>
                <w:rFonts w:ascii="Arial" w:hAnsi="Arial" w:cs="Arial"/>
                <w:sz w:val="24"/>
                <w:szCs w:val="24"/>
              </w:rPr>
              <w:t>DoHAC</w:t>
            </w:r>
            <w:proofErr w:type="spellEnd"/>
          </w:p>
        </w:tc>
        <w:tc>
          <w:tcPr>
            <w:tcW w:w="7178" w:type="dxa"/>
          </w:tcPr>
          <w:p w14:paraId="66B36946" w14:textId="2F6A9744"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Department of Health and Aged Care</w:t>
            </w:r>
          </w:p>
        </w:tc>
      </w:tr>
      <w:tr w:rsidR="00774050" w14:paraId="34308757" w14:textId="77777777" w:rsidTr="00F30A26">
        <w:tc>
          <w:tcPr>
            <w:tcW w:w="1838" w:type="dxa"/>
          </w:tcPr>
          <w:p w14:paraId="54CAAB73" w14:textId="6459463C"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ELG</w:t>
            </w:r>
          </w:p>
        </w:tc>
        <w:tc>
          <w:tcPr>
            <w:tcW w:w="7178" w:type="dxa"/>
          </w:tcPr>
          <w:p w14:paraId="7E203224" w14:textId="6A8B9145"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Executive Leadership Group</w:t>
            </w:r>
          </w:p>
        </w:tc>
      </w:tr>
      <w:tr w:rsidR="00774050" w14:paraId="0A0C8A16" w14:textId="77777777" w:rsidTr="00F30A26">
        <w:tc>
          <w:tcPr>
            <w:tcW w:w="1838" w:type="dxa"/>
          </w:tcPr>
          <w:p w14:paraId="4436A91F" w14:textId="0681853C"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ICT</w:t>
            </w:r>
          </w:p>
        </w:tc>
        <w:tc>
          <w:tcPr>
            <w:tcW w:w="7178" w:type="dxa"/>
          </w:tcPr>
          <w:p w14:paraId="0002E4B4" w14:textId="7CAA169B"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Information and communications technology</w:t>
            </w:r>
          </w:p>
        </w:tc>
      </w:tr>
      <w:tr w:rsidR="00774050" w14:paraId="70A75A1A" w14:textId="77777777" w:rsidTr="00F30A26">
        <w:tc>
          <w:tcPr>
            <w:tcW w:w="1838" w:type="dxa"/>
          </w:tcPr>
          <w:p w14:paraId="5D287139" w14:textId="355854DE" w:rsidR="00774050" w:rsidRDefault="00774050" w:rsidP="00774050">
            <w:pPr>
              <w:tabs>
                <w:tab w:val="right" w:leader="dot" w:pos="9016"/>
              </w:tabs>
              <w:spacing w:before="120" w:after="120"/>
              <w:rPr>
                <w:rFonts w:ascii="Arial" w:hAnsi="Arial" w:cs="Arial"/>
                <w:sz w:val="24"/>
                <w:szCs w:val="24"/>
              </w:rPr>
            </w:pPr>
            <w:r w:rsidRPr="006931E3">
              <w:rPr>
                <w:rFonts w:ascii="Arial" w:hAnsi="Arial" w:cs="Arial"/>
                <w:sz w:val="24"/>
                <w:szCs w:val="24"/>
              </w:rPr>
              <w:t>LGBTIQ</w:t>
            </w:r>
            <w:r>
              <w:rPr>
                <w:rFonts w:ascii="Arial" w:hAnsi="Arial" w:cs="Arial"/>
                <w:sz w:val="24"/>
                <w:szCs w:val="24"/>
              </w:rPr>
              <w:t>+</w:t>
            </w:r>
          </w:p>
        </w:tc>
        <w:tc>
          <w:tcPr>
            <w:tcW w:w="7178" w:type="dxa"/>
          </w:tcPr>
          <w:p w14:paraId="738C83C0" w14:textId="161F2F56" w:rsidR="00774050" w:rsidRDefault="00774050" w:rsidP="00774050">
            <w:pPr>
              <w:spacing w:before="120" w:after="120"/>
              <w:rPr>
                <w:rFonts w:ascii="Arial" w:hAnsi="Arial" w:cs="Arial"/>
                <w:sz w:val="24"/>
                <w:szCs w:val="24"/>
              </w:rPr>
            </w:pPr>
            <w:r>
              <w:rPr>
                <w:rFonts w:ascii="Arial" w:hAnsi="Arial" w:cs="Arial"/>
                <w:sz w:val="24"/>
                <w:szCs w:val="24"/>
              </w:rPr>
              <w:t>L</w:t>
            </w:r>
            <w:r w:rsidRPr="002E2687">
              <w:rPr>
                <w:rFonts w:ascii="Arial" w:hAnsi="Arial" w:cs="Arial"/>
                <w:sz w:val="24"/>
                <w:szCs w:val="24"/>
              </w:rPr>
              <w:t>esbian, gay, bisexual, transgender, intersex, queer, and other sexually or gender diverse</w:t>
            </w:r>
          </w:p>
        </w:tc>
      </w:tr>
      <w:tr w:rsidR="00774050" w14:paraId="7799482D" w14:textId="77777777" w:rsidTr="00F30A26">
        <w:tc>
          <w:tcPr>
            <w:tcW w:w="1838" w:type="dxa"/>
          </w:tcPr>
          <w:p w14:paraId="69BE8F62" w14:textId="162B1F65"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MOU</w:t>
            </w:r>
          </w:p>
        </w:tc>
        <w:tc>
          <w:tcPr>
            <w:tcW w:w="7178" w:type="dxa"/>
          </w:tcPr>
          <w:p w14:paraId="4E8FA427" w14:textId="1A03A6A3" w:rsidR="00774050" w:rsidRDefault="00774050" w:rsidP="00774050">
            <w:pPr>
              <w:spacing w:before="120" w:after="120"/>
              <w:rPr>
                <w:rFonts w:ascii="Arial" w:hAnsi="Arial" w:cs="Arial"/>
                <w:sz w:val="24"/>
                <w:szCs w:val="24"/>
              </w:rPr>
            </w:pPr>
            <w:r>
              <w:rPr>
                <w:rFonts w:ascii="Arial" w:hAnsi="Arial" w:cs="Arial"/>
                <w:sz w:val="24"/>
                <w:szCs w:val="24"/>
              </w:rPr>
              <w:t>Memorandum of Understanding</w:t>
            </w:r>
          </w:p>
        </w:tc>
      </w:tr>
      <w:tr w:rsidR="00774050" w14:paraId="690F1F1D" w14:textId="77777777" w:rsidTr="00F30A26">
        <w:tc>
          <w:tcPr>
            <w:tcW w:w="1838" w:type="dxa"/>
          </w:tcPr>
          <w:p w14:paraId="1CE84582" w14:textId="6AAA1F98" w:rsidR="00774050" w:rsidRPr="00F30A26"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NLG</w:t>
            </w:r>
          </w:p>
        </w:tc>
        <w:tc>
          <w:tcPr>
            <w:tcW w:w="7178" w:type="dxa"/>
          </w:tcPr>
          <w:p w14:paraId="15BF5AE7" w14:textId="5941A55A" w:rsidR="00774050" w:rsidRPr="00F30A26" w:rsidRDefault="00774050" w:rsidP="00774050">
            <w:pPr>
              <w:spacing w:before="120" w:after="120"/>
              <w:rPr>
                <w:rFonts w:ascii="Arial" w:hAnsi="Arial" w:cs="Arial"/>
                <w:sz w:val="24"/>
                <w:szCs w:val="24"/>
              </w:rPr>
            </w:pPr>
            <w:r>
              <w:rPr>
                <w:rFonts w:ascii="Arial" w:hAnsi="Arial" w:cs="Arial"/>
                <w:sz w:val="24"/>
                <w:szCs w:val="24"/>
              </w:rPr>
              <w:t>National Leadership Group</w:t>
            </w:r>
          </w:p>
        </w:tc>
      </w:tr>
      <w:tr w:rsidR="00774050" w14:paraId="0287971A" w14:textId="77777777" w:rsidTr="00F30A26">
        <w:tc>
          <w:tcPr>
            <w:tcW w:w="1838" w:type="dxa"/>
          </w:tcPr>
          <w:p w14:paraId="4AC7D221" w14:textId="4D009BAE" w:rsidR="00774050" w:rsidRPr="00F30A26"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NDIS Commission</w:t>
            </w:r>
          </w:p>
        </w:tc>
        <w:tc>
          <w:tcPr>
            <w:tcW w:w="7178" w:type="dxa"/>
          </w:tcPr>
          <w:p w14:paraId="6ED528B5" w14:textId="4AF97EC9" w:rsidR="00774050" w:rsidRPr="00F30A26" w:rsidRDefault="00774050" w:rsidP="00774050">
            <w:pPr>
              <w:spacing w:before="120" w:after="120"/>
              <w:rPr>
                <w:rFonts w:ascii="Arial" w:hAnsi="Arial" w:cs="Arial"/>
                <w:sz w:val="24"/>
                <w:szCs w:val="24"/>
              </w:rPr>
            </w:pPr>
            <w:r>
              <w:rPr>
                <w:rFonts w:ascii="Arial" w:hAnsi="Arial" w:cs="Arial"/>
                <w:sz w:val="24"/>
                <w:szCs w:val="24"/>
              </w:rPr>
              <w:t>NDIS Quality and Safeguards Commission</w:t>
            </w:r>
          </w:p>
        </w:tc>
      </w:tr>
      <w:tr w:rsidR="00774050" w14:paraId="34EAE6AD" w14:textId="77777777" w:rsidTr="00F30A26">
        <w:tc>
          <w:tcPr>
            <w:tcW w:w="1838" w:type="dxa"/>
          </w:tcPr>
          <w:p w14:paraId="63800CBD" w14:textId="7F9E1A8F" w:rsidR="00774050" w:rsidRDefault="00774050" w:rsidP="00774050">
            <w:pPr>
              <w:tabs>
                <w:tab w:val="right" w:leader="dot" w:pos="9016"/>
              </w:tabs>
              <w:spacing w:before="120" w:after="120"/>
              <w:rPr>
                <w:rFonts w:ascii="Arial" w:hAnsi="Arial" w:cs="Arial"/>
                <w:sz w:val="24"/>
                <w:szCs w:val="24"/>
              </w:rPr>
            </w:pPr>
            <w:r w:rsidRPr="00F30A26">
              <w:rPr>
                <w:rFonts w:ascii="Arial" w:hAnsi="Arial" w:cs="Arial"/>
                <w:sz w:val="24"/>
                <w:szCs w:val="24"/>
              </w:rPr>
              <w:t>NATSIFACP</w:t>
            </w:r>
          </w:p>
        </w:tc>
        <w:tc>
          <w:tcPr>
            <w:tcW w:w="7178" w:type="dxa"/>
          </w:tcPr>
          <w:p w14:paraId="42759BE8" w14:textId="2ED05FC1" w:rsidR="00774050" w:rsidRDefault="00774050" w:rsidP="00774050">
            <w:pPr>
              <w:spacing w:before="120" w:after="120"/>
              <w:rPr>
                <w:rFonts w:ascii="Arial" w:hAnsi="Arial" w:cs="Arial"/>
                <w:sz w:val="24"/>
                <w:szCs w:val="24"/>
              </w:rPr>
            </w:pPr>
            <w:r w:rsidRPr="00F30A26">
              <w:rPr>
                <w:rFonts w:ascii="Arial" w:hAnsi="Arial" w:cs="Arial"/>
                <w:sz w:val="24"/>
                <w:szCs w:val="24"/>
              </w:rPr>
              <w:t xml:space="preserve">National </w:t>
            </w:r>
            <w:r w:rsidR="00A23E95">
              <w:rPr>
                <w:rFonts w:ascii="Arial" w:hAnsi="Arial" w:cs="Arial"/>
                <w:sz w:val="24"/>
                <w:szCs w:val="24"/>
              </w:rPr>
              <w:t xml:space="preserve">Aboriginal </w:t>
            </w:r>
            <w:r w:rsidRPr="00F30A26">
              <w:rPr>
                <w:rFonts w:ascii="Arial" w:hAnsi="Arial" w:cs="Arial"/>
                <w:sz w:val="24"/>
                <w:szCs w:val="24"/>
              </w:rPr>
              <w:t xml:space="preserve">and Torres Strait Islander Flexible Aged Care Program </w:t>
            </w:r>
          </w:p>
        </w:tc>
      </w:tr>
      <w:tr w:rsidR="00774050" w14:paraId="03D06CFF" w14:textId="77777777" w:rsidTr="00F30A26">
        <w:tc>
          <w:tcPr>
            <w:tcW w:w="1838" w:type="dxa"/>
          </w:tcPr>
          <w:p w14:paraId="1E1A266B" w14:textId="2AF7F2C9"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NPP</w:t>
            </w:r>
          </w:p>
        </w:tc>
        <w:tc>
          <w:tcPr>
            <w:tcW w:w="7178" w:type="dxa"/>
          </w:tcPr>
          <w:p w14:paraId="6C408F90" w14:textId="25D8055B"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New policy proposal</w:t>
            </w:r>
          </w:p>
        </w:tc>
      </w:tr>
      <w:tr w:rsidR="00774050" w:rsidRPr="00873457" w14:paraId="569E4349" w14:textId="77777777" w:rsidTr="00F30A26">
        <w:tc>
          <w:tcPr>
            <w:tcW w:w="1838" w:type="dxa"/>
          </w:tcPr>
          <w:p w14:paraId="7163C10E" w14:textId="6CBC7BED"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OECD</w:t>
            </w:r>
          </w:p>
        </w:tc>
        <w:tc>
          <w:tcPr>
            <w:tcW w:w="7178" w:type="dxa"/>
          </w:tcPr>
          <w:p w14:paraId="1AF225BB" w14:textId="0F7AE97A" w:rsidR="00774050" w:rsidRDefault="00774050" w:rsidP="00774050">
            <w:pPr>
              <w:spacing w:before="120" w:after="120"/>
              <w:rPr>
                <w:rFonts w:ascii="Arial" w:hAnsi="Arial" w:cs="Arial"/>
                <w:sz w:val="24"/>
                <w:szCs w:val="24"/>
              </w:rPr>
            </w:pPr>
            <w:proofErr w:type="spellStart"/>
            <w:r w:rsidRPr="00F663F6">
              <w:rPr>
                <w:rFonts w:ascii="Arial" w:hAnsi="Arial" w:cs="Arial"/>
                <w:sz w:val="24"/>
                <w:szCs w:val="24"/>
              </w:rPr>
              <w:t>Organisation</w:t>
            </w:r>
            <w:proofErr w:type="spellEnd"/>
            <w:r w:rsidRPr="00F663F6">
              <w:rPr>
                <w:rFonts w:ascii="Arial" w:hAnsi="Arial" w:cs="Arial"/>
                <w:sz w:val="24"/>
                <w:szCs w:val="24"/>
              </w:rPr>
              <w:t xml:space="preserve"> </w:t>
            </w:r>
            <w:r>
              <w:rPr>
                <w:rFonts w:ascii="Arial" w:hAnsi="Arial" w:cs="Arial"/>
                <w:sz w:val="24"/>
                <w:szCs w:val="24"/>
              </w:rPr>
              <w:t>for E</w:t>
            </w:r>
            <w:r w:rsidRPr="00F663F6">
              <w:rPr>
                <w:rFonts w:ascii="Arial" w:hAnsi="Arial" w:cs="Arial"/>
                <w:sz w:val="24"/>
                <w:szCs w:val="24"/>
              </w:rPr>
              <w:t>conomic Co</w:t>
            </w:r>
            <w:r>
              <w:rPr>
                <w:rFonts w:ascii="Arial" w:hAnsi="Arial" w:cs="Arial"/>
                <w:sz w:val="24"/>
                <w:szCs w:val="24"/>
              </w:rPr>
              <w:t>-</w:t>
            </w:r>
            <w:r w:rsidRPr="00F663F6">
              <w:rPr>
                <w:rFonts w:ascii="Arial" w:hAnsi="Arial" w:cs="Arial"/>
                <w:sz w:val="24"/>
                <w:szCs w:val="24"/>
              </w:rPr>
              <w:t>operation and Development</w:t>
            </w:r>
          </w:p>
        </w:tc>
      </w:tr>
      <w:tr w:rsidR="00774050" w:rsidRPr="00873457" w14:paraId="24A5329A" w14:textId="77777777" w:rsidTr="00F30A26">
        <w:tc>
          <w:tcPr>
            <w:tcW w:w="1838" w:type="dxa"/>
          </w:tcPr>
          <w:p w14:paraId="08ADFE9E" w14:textId="1C139326" w:rsidR="00774050"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PBS</w:t>
            </w:r>
          </w:p>
        </w:tc>
        <w:tc>
          <w:tcPr>
            <w:tcW w:w="7178" w:type="dxa"/>
          </w:tcPr>
          <w:p w14:paraId="160DA5FA" w14:textId="62911EA3" w:rsidR="00774050" w:rsidRPr="00873457" w:rsidRDefault="00774050" w:rsidP="00774050">
            <w:pPr>
              <w:spacing w:before="120" w:after="120"/>
              <w:rPr>
                <w:rFonts w:ascii="Arial" w:hAnsi="Arial" w:cs="Arial"/>
                <w:sz w:val="24"/>
                <w:szCs w:val="24"/>
              </w:rPr>
            </w:pPr>
            <w:r>
              <w:rPr>
                <w:rFonts w:ascii="Arial" w:hAnsi="Arial" w:cs="Arial"/>
                <w:sz w:val="24"/>
                <w:szCs w:val="24"/>
              </w:rPr>
              <w:t>Portfolio Budget Statement</w:t>
            </w:r>
          </w:p>
        </w:tc>
      </w:tr>
      <w:tr w:rsidR="00774050" w:rsidRPr="00873457" w14:paraId="789FE49F" w14:textId="77777777" w:rsidTr="00F30A26">
        <w:tc>
          <w:tcPr>
            <w:tcW w:w="1838" w:type="dxa"/>
          </w:tcPr>
          <w:p w14:paraId="1DC82E07" w14:textId="551C1648" w:rsidR="00774050" w:rsidRPr="00873457" w:rsidRDefault="00774050" w:rsidP="00774050">
            <w:pPr>
              <w:tabs>
                <w:tab w:val="right" w:leader="dot" w:pos="9016"/>
              </w:tabs>
              <w:spacing w:before="120" w:after="120"/>
              <w:rPr>
                <w:rFonts w:ascii="Arial" w:hAnsi="Arial" w:cs="Arial"/>
                <w:sz w:val="24"/>
                <w:szCs w:val="24"/>
              </w:rPr>
            </w:pPr>
            <w:r>
              <w:rPr>
                <w:rFonts w:ascii="Arial" w:hAnsi="Arial" w:cs="Arial"/>
                <w:sz w:val="24"/>
                <w:szCs w:val="24"/>
              </w:rPr>
              <w:lastRenderedPageBreak/>
              <w:t>PSPF</w:t>
            </w:r>
          </w:p>
        </w:tc>
        <w:tc>
          <w:tcPr>
            <w:tcW w:w="7178" w:type="dxa"/>
          </w:tcPr>
          <w:p w14:paraId="239A7C51" w14:textId="264614F9" w:rsidR="00774050" w:rsidRPr="00873457" w:rsidRDefault="00774050" w:rsidP="00774050">
            <w:pPr>
              <w:spacing w:before="120" w:after="120"/>
              <w:rPr>
                <w:rFonts w:ascii="Arial" w:hAnsi="Arial" w:cs="Arial"/>
                <w:sz w:val="24"/>
                <w:szCs w:val="24"/>
              </w:rPr>
            </w:pPr>
            <w:r w:rsidRPr="00873457">
              <w:rPr>
                <w:rFonts w:ascii="Arial" w:hAnsi="Arial" w:cs="Arial"/>
                <w:sz w:val="24"/>
                <w:szCs w:val="24"/>
              </w:rPr>
              <w:t>Protective Security Policy Framework</w:t>
            </w:r>
            <w:r>
              <w:rPr>
                <w:rFonts w:ascii="Arial" w:hAnsi="Arial" w:cs="Arial"/>
                <w:sz w:val="24"/>
                <w:szCs w:val="24"/>
              </w:rPr>
              <w:t xml:space="preserve"> </w:t>
            </w:r>
            <w:r w:rsidRPr="00873457">
              <w:rPr>
                <w:rFonts w:ascii="Arial" w:hAnsi="Arial" w:cs="Arial"/>
                <w:sz w:val="24"/>
                <w:szCs w:val="24"/>
              </w:rPr>
              <w:t xml:space="preserve">is the </w:t>
            </w:r>
            <w:r>
              <w:rPr>
                <w:rFonts w:ascii="Arial" w:hAnsi="Arial" w:cs="Arial"/>
                <w:sz w:val="24"/>
                <w:szCs w:val="24"/>
              </w:rPr>
              <w:t>Australian Government’s</w:t>
            </w:r>
            <w:r w:rsidRPr="00873457">
              <w:rPr>
                <w:rFonts w:ascii="Arial" w:hAnsi="Arial" w:cs="Arial"/>
                <w:sz w:val="24"/>
                <w:szCs w:val="24"/>
              </w:rPr>
              <w:t xml:space="preserve"> protective security framework that all government agencies must comply with across security governance, information security, personnel </w:t>
            </w:r>
            <w:proofErr w:type="gramStart"/>
            <w:r w:rsidRPr="00873457">
              <w:rPr>
                <w:rFonts w:ascii="Arial" w:hAnsi="Arial" w:cs="Arial"/>
                <w:sz w:val="24"/>
                <w:szCs w:val="24"/>
              </w:rPr>
              <w:t>security</w:t>
            </w:r>
            <w:proofErr w:type="gramEnd"/>
            <w:r w:rsidRPr="00873457">
              <w:rPr>
                <w:rFonts w:ascii="Arial" w:hAnsi="Arial" w:cs="Arial"/>
                <w:sz w:val="24"/>
                <w:szCs w:val="24"/>
              </w:rPr>
              <w:t xml:space="preserve"> and physical security.</w:t>
            </w:r>
            <w:r>
              <w:rPr>
                <w:rFonts w:ascii="Arial" w:hAnsi="Arial" w:cs="Arial"/>
                <w:sz w:val="24"/>
                <w:szCs w:val="24"/>
              </w:rPr>
              <w:t xml:space="preserve"> </w:t>
            </w:r>
          </w:p>
        </w:tc>
      </w:tr>
      <w:tr w:rsidR="00774050" w14:paraId="764D0BB4" w14:textId="77777777" w:rsidTr="00F30A26">
        <w:tc>
          <w:tcPr>
            <w:tcW w:w="1838" w:type="dxa"/>
          </w:tcPr>
          <w:p w14:paraId="7C520C2B" w14:textId="316E75F4" w:rsidR="00774050" w:rsidRPr="00F30A26"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QAMG</w:t>
            </w:r>
          </w:p>
        </w:tc>
        <w:tc>
          <w:tcPr>
            <w:tcW w:w="7178" w:type="dxa"/>
          </w:tcPr>
          <w:p w14:paraId="72A9C73B" w14:textId="4E9E2C98" w:rsidR="00774050" w:rsidRPr="00F30A26"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Quality Assessment and Monitoring Group</w:t>
            </w:r>
          </w:p>
        </w:tc>
      </w:tr>
      <w:tr w:rsidR="00774050" w14:paraId="00635760" w14:textId="77777777" w:rsidTr="00F30A26">
        <w:tc>
          <w:tcPr>
            <w:tcW w:w="1838" w:type="dxa"/>
          </w:tcPr>
          <w:p w14:paraId="653B8DC8" w14:textId="055333B0" w:rsidR="00774050" w:rsidRPr="00F30A26"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QA</w:t>
            </w:r>
          </w:p>
        </w:tc>
        <w:tc>
          <w:tcPr>
            <w:tcW w:w="7178" w:type="dxa"/>
          </w:tcPr>
          <w:p w14:paraId="38BB3169" w14:textId="75AADD4A" w:rsidR="00774050" w:rsidRPr="00F30A26" w:rsidRDefault="00774050" w:rsidP="00774050">
            <w:pPr>
              <w:tabs>
                <w:tab w:val="right" w:leader="dot" w:pos="9016"/>
              </w:tabs>
              <w:spacing w:before="120" w:after="120"/>
              <w:rPr>
                <w:rFonts w:ascii="Arial" w:hAnsi="Arial" w:cs="Arial"/>
                <w:sz w:val="24"/>
                <w:szCs w:val="24"/>
              </w:rPr>
            </w:pPr>
            <w:r>
              <w:rPr>
                <w:rFonts w:ascii="Arial" w:hAnsi="Arial" w:cs="Arial"/>
                <w:sz w:val="24"/>
                <w:szCs w:val="24"/>
              </w:rPr>
              <w:t>Quality Assurance</w:t>
            </w:r>
          </w:p>
        </w:tc>
      </w:tr>
      <w:tr w:rsidR="00774050" w14:paraId="13AA834B" w14:textId="77777777" w:rsidTr="00F30A26">
        <w:tc>
          <w:tcPr>
            <w:tcW w:w="1838" w:type="dxa"/>
          </w:tcPr>
          <w:p w14:paraId="6DF2127B" w14:textId="71EE39F2" w:rsidR="00774050" w:rsidRDefault="00774050" w:rsidP="00774050">
            <w:pPr>
              <w:tabs>
                <w:tab w:val="right" w:leader="dot" w:pos="9016"/>
              </w:tabs>
              <w:spacing w:before="120" w:after="120"/>
              <w:rPr>
                <w:rFonts w:ascii="Arial" w:hAnsi="Arial" w:cs="Arial"/>
                <w:sz w:val="24"/>
                <w:szCs w:val="24"/>
              </w:rPr>
            </w:pPr>
            <w:r w:rsidRPr="00F30A26">
              <w:rPr>
                <w:rFonts w:ascii="Arial" w:hAnsi="Arial" w:cs="Arial"/>
                <w:sz w:val="24"/>
                <w:szCs w:val="24"/>
              </w:rPr>
              <w:t>RBTIS</w:t>
            </w:r>
          </w:p>
        </w:tc>
        <w:tc>
          <w:tcPr>
            <w:tcW w:w="7178" w:type="dxa"/>
          </w:tcPr>
          <w:p w14:paraId="7ABBDA16" w14:textId="37EB6AD3" w:rsidR="00774050" w:rsidRDefault="00774050" w:rsidP="00774050">
            <w:pPr>
              <w:tabs>
                <w:tab w:val="right" w:leader="dot" w:pos="9016"/>
              </w:tabs>
              <w:spacing w:before="120" w:after="120"/>
              <w:rPr>
                <w:rFonts w:ascii="Arial" w:hAnsi="Arial" w:cs="Arial"/>
                <w:sz w:val="24"/>
                <w:szCs w:val="24"/>
              </w:rPr>
            </w:pPr>
            <w:r w:rsidRPr="00F30A26">
              <w:rPr>
                <w:rFonts w:ascii="Arial" w:hAnsi="Arial" w:cs="Arial"/>
                <w:sz w:val="24"/>
                <w:szCs w:val="24"/>
              </w:rPr>
              <w:t>Risk-</w:t>
            </w:r>
            <w:r>
              <w:rPr>
                <w:rFonts w:ascii="Arial" w:hAnsi="Arial" w:cs="Arial"/>
                <w:sz w:val="24"/>
                <w:szCs w:val="24"/>
              </w:rPr>
              <w:t>B</w:t>
            </w:r>
            <w:r w:rsidRPr="00F30A26">
              <w:rPr>
                <w:rFonts w:ascii="Arial" w:hAnsi="Arial" w:cs="Arial"/>
                <w:sz w:val="24"/>
                <w:szCs w:val="24"/>
              </w:rPr>
              <w:t>ased Targeting and Information Sharing tool – this enables improved risk profiling, risk identification and information sharing across all regulatory functions of the Commission.</w:t>
            </w:r>
          </w:p>
        </w:tc>
      </w:tr>
      <w:tr w:rsidR="0068467F" w14:paraId="4525B95F" w14:textId="77777777" w:rsidTr="00F30A26">
        <w:tc>
          <w:tcPr>
            <w:tcW w:w="1838" w:type="dxa"/>
          </w:tcPr>
          <w:p w14:paraId="7101D6BA" w14:textId="619FB8CB" w:rsidR="0068467F" w:rsidRPr="00C50205" w:rsidRDefault="0068467F" w:rsidP="00774050">
            <w:pPr>
              <w:tabs>
                <w:tab w:val="right" w:leader="dot" w:pos="9016"/>
              </w:tabs>
              <w:spacing w:before="120" w:after="120"/>
              <w:rPr>
                <w:rFonts w:ascii="Arial" w:hAnsi="Arial" w:cs="Arial"/>
                <w:sz w:val="24"/>
                <w:szCs w:val="24"/>
              </w:rPr>
            </w:pPr>
            <w:r>
              <w:rPr>
                <w:rFonts w:ascii="Arial" w:hAnsi="Arial" w:cs="Arial"/>
                <w:sz w:val="24"/>
                <w:szCs w:val="24"/>
              </w:rPr>
              <w:t>SES</w:t>
            </w:r>
          </w:p>
        </w:tc>
        <w:tc>
          <w:tcPr>
            <w:tcW w:w="7178" w:type="dxa"/>
          </w:tcPr>
          <w:p w14:paraId="6E978066" w14:textId="36A5BEBB" w:rsidR="0068467F" w:rsidRPr="00C50205" w:rsidRDefault="0068467F" w:rsidP="00774050">
            <w:pPr>
              <w:tabs>
                <w:tab w:val="right" w:leader="dot" w:pos="9016"/>
              </w:tabs>
              <w:spacing w:before="120" w:after="120"/>
              <w:rPr>
                <w:rFonts w:ascii="Arial" w:hAnsi="Arial" w:cs="Arial"/>
                <w:sz w:val="24"/>
                <w:szCs w:val="24"/>
              </w:rPr>
            </w:pPr>
            <w:r>
              <w:rPr>
                <w:rFonts w:ascii="Arial" w:hAnsi="Arial" w:cs="Arial"/>
                <w:sz w:val="24"/>
                <w:szCs w:val="24"/>
              </w:rPr>
              <w:t>Senior Executive Service</w:t>
            </w:r>
          </w:p>
        </w:tc>
      </w:tr>
      <w:tr w:rsidR="00774050" w14:paraId="14DA7A42" w14:textId="77777777" w:rsidTr="00F30A26">
        <w:tc>
          <w:tcPr>
            <w:tcW w:w="1838" w:type="dxa"/>
          </w:tcPr>
          <w:p w14:paraId="0F7B8D1F" w14:textId="60C29FF5" w:rsidR="00774050" w:rsidRDefault="00774050" w:rsidP="00774050">
            <w:pPr>
              <w:tabs>
                <w:tab w:val="right" w:leader="dot" w:pos="9016"/>
              </w:tabs>
              <w:spacing w:before="120" w:after="120"/>
              <w:rPr>
                <w:rFonts w:ascii="Arial" w:hAnsi="Arial" w:cs="Arial"/>
                <w:sz w:val="24"/>
                <w:szCs w:val="24"/>
              </w:rPr>
            </w:pPr>
            <w:r w:rsidRPr="00C50205">
              <w:rPr>
                <w:rFonts w:ascii="Arial" w:hAnsi="Arial" w:cs="Arial"/>
                <w:sz w:val="24"/>
                <w:szCs w:val="24"/>
              </w:rPr>
              <w:t>SIRS</w:t>
            </w:r>
          </w:p>
        </w:tc>
        <w:tc>
          <w:tcPr>
            <w:tcW w:w="7178" w:type="dxa"/>
          </w:tcPr>
          <w:p w14:paraId="11E18C92" w14:textId="7456C782" w:rsidR="00774050" w:rsidRDefault="00774050" w:rsidP="00774050">
            <w:pPr>
              <w:tabs>
                <w:tab w:val="right" w:leader="dot" w:pos="9016"/>
              </w:tabs>
              <w:spacing w:before="120" w:after="120"/>
              <w:rPr>
                <w:rFonts w:ascii="Arial" w:hAnsi="Arial" w:cs="Arial"/>
                <w:sz w:val="24"/>
                <w:szCs w:val="24"/>
              </w:rPr>
            </w:pPr>
            <w:r w:rsidRPr="00C50205">
              <w:rPr>
                <w:rFonts w:ascii="Arial" w:hAnsi="Arial" w:cs="Arial"/>
                <w:sz w:val="24"/>
                <w:szCs w:val="24"/>
              </w:rPr>
              <w:t>Serious Incident Response Scheme</w:t>
            </w:r>
          </w:p>
        </w:tc>
      </w:tr>
    </w:tbl>
    <w:p w14:paraId="00031814" w14:textId="77777777" w:rsidR="0068467F" w:rsidRPr="00F30A26" w:rsidRDefault="0068467F" w:rsidP="002D5F76"/>
    <w:sectPr w:rsidR="0068467F" w:rsidRPr="00F30A26" w:rsidSect="00B933A0">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24660F" w14:textId="77777777" w:rsidR="00024728" w:rsidRDefault="00024728" w:rsidP="002D0743">
      <w:pPr>
        <w:spacing w:after="0" w:line="240" w:lineRule="auto"/>
      </w:pPr>
      <w:r>
        <w:separator/>
      </w:r>
    </w:p>
  </w:endnote>
  <w:endnote w:type="continuationSeparator" w:id="0">
    <w:p w14:paraId="4ECE115F" w14:textId="77777777" w:rsidR="00024728" w:rsidRDefault="00024728" w:rsidP="002D0743">
      <w:pPr>
        <w:spacing w:after="0" w:line="240" w:lineRule="auto"/>
      </w:pPr>
      <w:r>
        <w:continuationSeparator/>
      </w:r>
    </w:p>
  </w:endnote>
  <w:endnote w:type="continuationNotice" w:id="1">
    <w:p w14:paraId="2C7C0F20" w14:textId="77777777" w:rsidR="00024728" w:rsidRDefault="0002472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Aktiv Grotesk">
    <w:altName w:val="Calibri"/>
    <w:panose1 w:val="00000000000000000000"/>
    <w:charset w:val="00"/>
    <w:family w:val="swiss"/>
    <w:notTrueType/>
    <w:pitch w:val="default"/>
    <w:sig w:usb0="00000003" w:usb1="00000000" w:usb2="00000000" w:usb3="00000000" w:csb0="00000001" w:csb1="00000000"/>
  </w:font>
  <w:font w:name="Proxima Nova">
    <w:altName w:val="Tahoma"/>
    <w:panose1 w:val="00000000000000000000"/>
    <w:charset w:val="00"/>
    <w:family w:val="auto"/>
    <w:notTrueType/>
    <w:pitch w:val="variable"/>
    <w:sig w:usb0="00000003" w:usb1="00000000" w:usb2="00000000" w:usb3="00000000" w:csb0="00000001" w:csb1="00000000"/>
  </w:font>
  <w:font w:name="Fira Sans Light">
    <w:altName w:val="Fira Sans Light"/>
    <w:charset w:val="00"/>
    <w:family w:val="swiss"/>
    <w:pitch w:val="variable"/>
    <w:sig w:usb0="600002FF" w:usb1="00000001" w:usb2="00000000" w:usb3="00000000" w:csb0="0000019F" w:csb1="00000000"/>
  </w:font>
  <w:font w:name="Fira Sans">
    <w:altName w:val="Fira Sans"/>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71004" w14:textId="104DA874" w:rsidR="00632D2C" w:rsidRDefault="00632D2C">
    <w:pPr>
      <w:pStyle w:val="BodyText"/>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5FAD5" w14:textId="77777777" w:rsidR="00632D2C" w:rsidRDefault="00632D2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C439E" w14:textId="6DF9668E" w:rsidR="00632D2C" w:rsidRPr="002D0743" w:rsidRDefault="00632D2C">
    <w:pPr>
      <w:pStyle w:val="Footer"/>
      <w:jc w:val="right"/>
      <w:rPr>
        <w:rFonts w:ascii="Arial" w:hAnsi="Arial" w:cs="Arial"/>
        <w:sz w:val="20"/>
        <w:szCs w:val="20"/>
      </w:rPr>
    </w:pPr>
    <w:r w:rsidRPr="002D0743">
      <w:rPr>
        <w:rFonts w:ascii="Arial" w:hAnsi="Arial" w:cs="Arial"/>
        <w:sz w:val="20"/>
        <w:szCs w:val="20"/>
      </w:rPr>
      <w:t xml:space="preserve">Page </w:t>
    </w:r>
    <w:sdt>
      <w:sdtPr>
        <w:rPr>
          <w:rFonts w:ascii="Arial" w:hAnsi="Arial" w:cs="Arial"/>
          <w:sz w:val="20"/>
          <w:szCs w:val="20"/>
        </w:rPr>
        <w:id w:val="1010260839"/>
        <w:docPartObj>
          <w:docPartGallery w:val="Page Numbers (Bottom of Page)"/>
          <w:docPartUnique/>
        </w:docPartObj>
      </w:sdtPr>
      <w:sdtEndPr>
        <w:rPr>
          <w:noProof/>
        </w:rPr>
      </w:sdtEndPr>
      <w:sdtContent>
        <w:r w:rsidRPr="002D0743">
          <w:rPr>
            <w:rFonts w:ascii="Arial" w:hAnsi="Arial" w:cs="Arial"/>
            <w:sz w:val="20"/>
            <w:szCs w:val="20"/>
          </w:rPr>
          <w:fldChar w:fldCharType="begin"/>
        </w:r>
        <w:r w:rsidRPr="002D0743">
          <w:rPr>
            <w:rFonts w:ascii="Arial" w:hAnsi="Arial" w:cs="Arial"/>
            <w:sz w:val="20"/>
            <w:szCs w:val="20"/>
          </w:rPr>
          <w:instrText xml:space="preserve"> PAGE   \* MERGEFORMAT </w:instrText>
        </w:r>
        <w:r w:rsidRPr="002D0743">
          <w:rPr>
            <w:rFonts w:ascii="Arial" w:hAnsi="Arial" w:cs="Arial"/>
            <w:sz w:val="20"/>
            <w:szCs w:val="20"/>
          </w:rPr>
          <w:fldChar w:fldCharType="separate"/>
        </w:r>
        <w:r w:rsidRPr="002D0743">
          <w:rPr>
            <w:rFonts w:ascii="Arial" w:hAnsi="Arial" w:cs="Arial"/>
            <w:noProof/>
            <w:sz w:val="20"/>
            <w:szCs w:val="20"/>
          </w:rPr>
          <w:t>2</w:t>
        </w:r>
        <w:r w:rsidRPr="002D0743">
          <w:rPr>
            <w:rFonts w:ascii="Arial" w:hAnsi="Arial" w:cs="Arial"/>
            <w:noProof/>
            <w:sz w:val="20"/>
            <w:szCs w:val="20"/>
          </w:rPr>
          <w:fldChar w:fldCharType="end"/>
        </w:r>
      </w:sdtContent>
    </w:sdt>
  </w:p>
  <w:p w14:paraId="1B7BAA45" w14:textId="77777777" w:rsidR="00632D2C" w:rsidRDefault="00632D2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2DD92" w14:textId="5A0216E0" w:rsidR="00632D2C" w:rsidRDefault="00632D2C">
    <w:pPr>
      <w:pStyle w:val="Footer"/>
      <w:jc w:val="right"/>
    </w:pPr>
    <w:r>
      <w:t xml:space="preserve">Page </w:t>
    </w:r>
    <w:r>
      <w:fldChar w:fldCharType="begin"/>
    </w:r>
    <w:r>
      <w:instrText xml:space="preserve"> PAGE   \* MERGEFORMAT </w:instrText>
    </w:r>
    <w:r>
      <w:fldChar w:fldCharType="separate"/>
    </w:r>
    <w:r>
      <w:rPr>
        <w:noProof/>
      </w:rPr>
      <w:t>2</w:t>
    </w:r>
    <w:r>
      <w:rPr>
        <w:noProof/>
      </w:rPr>
      <w:fldChar w:fldCharType="end"/>
    </w:r>
  </w:p>
  <w:p w14:paraId="778C613E" w14:textId="77777777" w:rsidR="00632D2C" w:rsidRDefault="00632D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1064BA" w14:textId="77777777" w:rsidR="00024728" w:rsidRDefault="00024728" w:rsidP="002D0743">
      <w:pPr>
        <w:spacing w:after="0" w:line="240" w:lineRule="auto"/>
      </w:pPr>
      <w:r>
        <w:separator/>
      </w:r>
    </w:p>
  </w:footnote>
  <w:footnote w:type="continuationSeparator" w:id="0">
    <w:p w14:paraId="6EB3C892" w14:textId="77777777" w:rsidR="00024728" w:rsidRDefault="00024728" w:rsidP="002D0743">
      <w:pPr>
        <w:spacing w:after="0" w:line="240" w:lineRule="auto"/>
      </w:pPr>
      <w:r>
        <w:continuationSeparator/>
      </w:r>
    </w:p>
  </w:footnote>
  <w:footnote w:type="continuationNotice" w:id="1">
    <w:p w14:paraId="0298DA08" w14:textId="77777777" w:rsidR="00024728" w:rsidRDefault="00024728">
      <w:pPr>
        <w:spacing w:after="0" w:line="240" w:lineRule="auto"/>
      </w:pPr>
    </w:p>
  </w:footnote>
  <w:footnote w:id="2">
    <w:p w14:paraId="36540BC3" w14:textId="77777777" w:rsidR="00632D2C" w:rsidRDefault="00632D2C" w:rsidP="009E53EE">
      <w:pPr>
        <w:pStyle w:val="FootnoteText"/>
      </w:pPr>
      <w:r>
        <w:rPr>
          <w:rStyle w:val="FootnoteReference"/>
        </w:rPr>
        <w:footnoteRef/>
      </w:r>
      <w:r>
        <w:t xml:space="preserve"> </w:t>
      </w:r>
      <w:hyperlink r:id="rId1" w:history="1">
        <w:r w:rsidRPr="00484E64">
          <w:rPr>
            <w:rStyle w:val="Hyperlink"/>
          </w:rPr>
          <w:t>Health Portfolio PBS Budget Statement</w:t>
        </w:r>
      </w:hyperlink>
      <w:r>
        <w:t xml:space="preserve"> 2019-20 p.155 </w:t>
      </w:r>
    </w:p>
  </w:footnote>
  <w:footnote w:id="3">
    <w:p w14:paraId="1E7835C8" w14:textId="24D82D7D" w:rsidR="00632D2C" w:rsidRDefault="00632D2C" w:rsidP="009E53EE">
      <w:pPr>
        <w:pStyle w:val="FootnoteText"/>
      </w:pPr>
      <w:r>
        <w:rPr>
          <w:rStyle w:val="FootnoteReference"/>
        </w:rPr>
        <w:footnoteRef/>
      </w:r>
      <w:r>
        <w:t xml:space="preserve"> </w:t>
      </w:r>
      <w:hyperlink r:id="rId2" w:history="1">
        <w:r w:rsidRPr="00484E64">
          <w:rPr>
            <w:rStyle w:val="Hyperlink"/>
          </w:rPr>
          <w:t>Commission PBS Budget October 2022-23</w:t>
        </w:r>
      </w:hyperlink>
      <w:r>
        <w:t xml:space="preserve"> p.131</w:t>
      </w:r>
      <w:r w:rsidR="007A640D">
        <w:t xml:space="preserve"> (note that this figure includes $97 million of prior year appropriations</w:t>
      </w:r>
    </w:p>
  </w:footnote>
  <w:footnote w:id="4">
    <w:p w14:paraId="5E3B0F7D" w14:textId="6F829595" w:rsidR="00AF5A6D" w:rsidRDefault="00AF5A6D" w:rsidP="00AF5A6D">
      <w:pPr>
        <w:pStyle w:val="FootnoteText"/>
      </w:pPr>
      <w:r>
        <w:rPr>
          <w:rStyle w:val="FootnoteReference"/>
        </w:rPr>
        <w:footnoteRef/>
      </w:r>
      <w:r>
        <w:t xml:space="preserve"> Current as </w:t>
      </w:r>
      <w:proofErr w:type="gramStart"/>
      <w:r>
        <w:t>at</w:t>
      </w:r>
      <w:proofErr w:type="gramEnd"/>
      <w:r>
        <w:t xml:space="preserve"> </w:t>
      </w:r>
      <w:r w:rsidR="007A640D">
        <w:t>19 January 2023</w:t>
      </w:r>
    </w:p>
  </w:footnote>
  <w:footnote w:id="5">
    <w:p w14:paraId="57DE1206" w14:textId="77777777" w:rsidR="00632D2C" w:rsidRPr="00110CCD" w:rsidRDefault="00632D2C" w:rsidP="009E53EE">
      <w:pPr>
        <w:pStyle w:val="FootnoteText"/>
      </w:pPr>
      <w:r>
        <w:rPr>
          <w:rStyle w:val="FootnoteReference"/>
        </w:rPr>
        <w:footnoteRef/>
      </w:r>
      <w:r>
        <w:t xml:space="preserve"> </w:t>
      </w:r>
      <w:hyperlink r:id="rId3" w:history="1">
        <w:r w:rsidRPr="00110CCD">
          <w:rPr>
            <w:rStyle w:val="Hyperlink"/>
          </w:rPr>
          <w:t>Commission Corporate Plan 2022-23</w:t>
        </w:r>
      </w:hyperlink>
      <w:r w:rsidRPr="00110CCD">
        <w:t xml:space="preserve"> p. 8</w:t>
      </w:r>
    </w:p>
  </w:footnote>
  <w:footnote w:id="6">
    <w:p w14:paraId="633A7643" w14:textId="77777777" w:rsidR="00632D2C" w:rsidRPr="00110CCD" w:rsidRDefault="00632D2C" w:rsidP="009E53EE">
      <w:pPr>
        <w:pStyle w:val="NormalWeb"/>
        <w:shd w:val="clear" w:color="auto" w:fill="FFFFFF"/>
        <w:spacing w:after="0"/>
        <w:rPr>
          <w:rFonts w:asciiTheme="minorHAnsi" w:hAnsiTheme="minorHAnsi" w:cstheme="minorHAnsi"/>
          <w:sz w:val="20"/>
          <w:szCs w:val="20"/>
        </w:rPr>
      </w:pPr>
      <w:r w:rsidRPr="00110CCD">
        <w:rPr>
          <w:rStyle w:val="FootnoteReference"/>
          <w:rFonts w:asciiTheme="minorHAnsi" w:hAnsiTheme="minorHAnsi"/>
          <w:sz w:val="20"/>
          <w:szCs w:val="20"/>
        </w:rPr>
        <w:footnoteRef/>
      </w:r>
      <w:r w:rsidRPr="00110CCD">
        <w:rPr>
          <w:rFonts w:asciiTheme="minorHAnsi" w:hAnsiTheme="minorHAnsi"/>
          <w:sz w:val="20"/>
          <w:szCs w:val="20"/>
        </w:rPr>
        <w:t xml:space="preserve"> </w:t>
      </w:r>
      <w:hyperlink r:id="rId4" w:history="1">
        <w:r w:rsidRPr="00110CCD">
          <w:rPr>
            <w:rStyle w:val="Hyperlink"/>
            <w:rFonts w:asciiTheme="minorHAnsi" w:hAnsiTheme="minorHAnsi"/>
            <w:sz w:val="20"/>
            <w:szCs w:val="20"/>
          </w:rPr>
          <w:t xml:space="preserve">Commission webpage | </w:t>
        </w:r>
        <w:r w:rsidRPr="00110CCD">
          <w:rPr>
            <w:rStyle w:val="Hyperlink"/>
            <w:rFonts w:asciiTheme="minorHAnsi" w:hAnsiTheme="minorHAnsi" w:cstheme="minorHAnsi"/>
            <w:sz w:val="20"/>
            <w:szCs w:val="20"/>
          </w:rPr>
          <w:t>Legislation and policies</w:t>
        </w:r>
      </w:hyperlink>
      <w:r w:rsidRPr="00110CCD">
        <w:rPr>
          <w:rFonts w:asciiTheme="minorHAnsi" w:hAnsiTheme="minorHAnsi" w:cstheme="minorHAnsi"/>
          <w:sz w:val="20"/>
          <w:szCs w:val="20"/>
        </w:rPr>
        <w:t xml:space="preserve"> </w:t>
      </w:r>
    </w:p>
  </w:footnote>
  <w:footnote w:id="7">
    <w:p w14:paraId="53D11982" w14:textId="6EFAD0EC" w:rsidR="00632D2C" w:rsidRPr="00110CCD" w:rsidRDefault="00632D2C" w:rsidP="009E53EE">
      <w:pPr>
        <w:pStyle w:val="FootnoteText"/>
      </w:pPr>
      <w:r w:rsidRPr="00110CCD">
        <w:rPr>
          <w:rStyle w:val="FootnoteReference"/>
          <w:rFonts w:cstheme="minorHAnsi"/>
        </w:rPr>
        <w:footnoteRef/>
      </w:r>
      <w:r w:rsidRPr="00110CCD">
        <w:rPr>
          <w:rFonts w:cstheme="minorHAnsi"/>
        </w:rPr>
        <w:t xml:space="preserve"> </w:t>
      </w:r>
      <w:proofErr w:type="spellStart"/>
      <w:r w:rsidRPr="00110CCD">
        <w:rPr>
          <w:rFonts w:cstheme="minorHAnsi"/>
        </w:rPr>
        <w:t>D</w:t>
      </w:r>
      <w:r w:rsidR="00F01D2C">
        <w:rPr>
          <w:rFonts w:cstheme="minorHAnsi"/>
        </w:rPr>
        <w:t>o</w:t>
      </w:r>
      <w:r w:rsidRPr="00110CCD">
        <w:rPr>
          <w:rFonts w:cstheme="minorHAnsi"/>
        </w:rPr>
        <w:t>HAC</w:t>
      </w:r>
      <w:proofErr w:type="spellEnd"/>
      <w:r w:rsidRPr="00110CCD">
        <w:rPr>
          <w:rFonts w:cstheme="minorHAnsi"/>
        </w:rPr>
        <w:t xml:space="preserve"> Briefing Paper, Aged Care Quality and Safety Commissioner’s Regulatory Functions</w:t>
      </w:r>
    </w:p>
  </w:footnote>
  <w:footnote w:id="8">
    <w:p w14:paraId="562A46CA" w14:textId="272DDC08" w:rsidR="00632D2C" w:rsidRDefault="00632D2C" w:rsidP="009E53EE">
      <w:pPr>
        <w:pStyle w:val="FootnoteText"/>
      </w:pPr>
      <w:r w:rsidRPr="00110CCD">
        <w:rPr>
          <w:rStyle w:val="FootnoteReference"/>
        </w:rPr>
        <w:footnoteRef/>
      </w:r>
      <w:r w:rsidRPr="00110CCD">
        <w:t xml:space="preserve"> </w:t>
      </w:r>
      <w:proofErr w:type="spellStart"/>
      <w:r w:rsidRPr="00110CCD">
        <w:t>D</w:t>
      </w:r>
      <w:r w:rsidR="00F01D2C">
        <w:t>o</w:t>
      </w:r>
      <w:r w:rsidRPr="00110CCD">
        <w:t>HAC</w:t>
      </w:r>
      <w:proofErr w:type="spellEnd"/>
      <w:r w:rsidRPr="00110CCD">
        <w:t xml:space="preserve"> PowerPoint, Regulatory Functions of the Aged Care Quality and Safety Commissioner</w:t>
      </w:r>
    </w:p>
  </w:footnote>
  <w:footnote w:id="9">
    <w:p w14:paraId="25C35F41" w14:textId="77777777" w:rsidR="00632D2C" w:rsidRDefault="00632D2C" w:rsidP="009E53EE">
      <w:pPr>
        <w:pStyle w:val="FootnoteText"/>
      </w:pPr>
      <w:r>
        <w:rPr>
          <w:rStyle w:val="FootnoteReference"/>
        </w:rPr>
        <w:footnoteRef/>
      </w:r>
      <w:r>
        <w:t xml:space="preserve"> </w:t>
      </w:r>
      <w:hyperlink r:id="rId5" w:history="1">
        <w:r w:rsidRPr="00182EAB">
          <w:rPr>
            <w:rStyle w:val="Hyperlink"/>
          </w:rPr>
          <w:t>Commission Corporate Plan 2022-23</w:t>
        </w:r>
      </w:hyperlink>
      <w:r>
        <w:t xml:space="preserve"> p. 10</w:t>
      </w:r>
    </w:p>
  </w:footnote>
  <w:footnote w:id="10">
    <w:p w14:paraId="3245EAFE" w14:textId="744E40CB" w:rsidR="00632D2C" w:rsidRDefault="00632D2C">
      <w:pPr>
        <w:pStyle w:val="FootnoteText"/>
      </w:pPr>
      <w:r>
        <w:rPr>
          <w:rStyle w:val="FootnoteReference"/>
        </w:rPr>
        <w:footnoteRef/>
      </w:r>
      <w:r>
        <w:t xml:space="preserve"> </w:t>
      </w:r>
      <w:r w:rsidR="00AF5A6D">
        <w:t xml:space="preserve">Current as </w:t>
      </w:r>
      <w:proofErr w:type="gramStart"/>
      <w:r w:rsidR="00AF5A6D">
        <w:t>at</w:t>
      </w:r>
      <w:proofErr w:type="gramEnd"/>
      <w:r>
        <w:t xml:space="preserve"> </w:t>
      </w:r>
      <w:r w:rsidR="007A640D">
        <w:t>19 January 2023</w:t>
      </w:r>
    </w:p>
  </w:footnote>
  <w:footnote w:id="11">
    <w:p w14:paraId="6769A1A4" w14:textId="77777777" w:rsidR="00632D2C" w:rsidRDefault="00632D2C" w:rsidP="009E53EE">
      <w:pPr>
        <w:pStyle w:val="FootnoteText"/>
      </w:pPr>
      <w:r>
        <w:rPr>
          <w:rStyle w:val="FootnoteReference"/>
        </w:rPr>
        <w:footnoteRef/>
      </w:r>
      <w:r>
        <w:t xml:space="preserve"> </w:t>
      </w:r>
      <w:hyperlink r:id="rId6" w:history="1">
        <w:r w:rsidRPr="00182EAB">
          <w:rPr>
            <w:rStyle w:val="Hyperlink"/>
          </w:rPr>
          <w:t>Commission Corporate Plan 2022-23</w:t>
        </w:r>
      </w:hyperlink>
      <w:r>
        <w:t xml:space="preserve"> p. 13</w:t>
      </w:r>
    </w:p>
  </w:footnote>
  <w:footnote w:id="12">
    <w:p w14:paraId="3D55146D" w14:textId="77777777" w:rsidR="00632D2C" w:rsidRDefault="00632D2C" w:rsidP="009E53EE">
      <w:pPr>
        <w:pStyle w:val="FootnoteText"/>
      </w:pPr>
      <w:r>
        <w:rPr>
          <w:rStyle w:val="FootnoteReference"/>
        </w:rPr>
        <w:footnoteRef/>
      </w:r>
      <w:r>
        <w:t xml:space="preserve"> </w:t>
      </w:r>
      <w:hyperlink r:id="rId7" w:history="1">
        <w:r w:rsidRPr="007C79B2">
          <w:rPr>
            <w:rStyle w:val="Hyperlink"/>
          </w:rPr>
          <w:t>Commission Regulatory Strategy v 2.1, 14 February 2020</w:t>
        </w:r>
      </w:hyperlink>
      <w:r w:rsidRPr="007C79B2">
        <w:t xml:space="preserve"> </w:t>
      </w:r>
      <w:r>
        <w:t>p.5</w:t>
      </w:r>
    </w:p>
  </w:footnote>
  <w:footnote w:id="13">
    <w:p w14:paraId="473018CB" w14:textId="3FE6F82F" w:rsidR="00632D2C" w:rsidRDefault="00632D2C" w:rsidP="009E53EE">
      <w:pPr>
        <w:pStyle w:val="FootnoteText"/>
      </w:pPr>
      <w:r>
        <w:rPr>
          <w:rStyle w:val="FootnoteReference"/>
        </w:rPr>
        <w:footnoteRef/>
      </w:r>
      <w:hyperlink r:id="rId8" w:history="1">
        <w:r w:rsidRPr="00182EAB">
          <w:rPr>
            <w:rStyle w:val="Hyperlink"/>
          </w:rPr>
          <w:t>Commission Corporate Plan 2022-23</w:t>
        </w:r>
      </w:hyperlink>
      <w:r>
        <w:t xml:space="preserve"> p.20</w:t>
      </w:r>
    </w:p>
  </w:footnote>
  <w:footnote w:id="14">
    <w:p w14:paraId="5EF1E3C0" w14:textId="1ACC05E8" w:rsidR="00632D2C" w:rsidRDefault="00632D2C" w:rsidP="009E53EE">
      <w:pPr>
        <w:pStyle w:val="FootnoteText"/>
      </w:pPr>
      <w:r>
        <w:rPr>
          <w:rStyle w:val="FootnoteReference"/>
        </w:rPr>
        <w:footnoteRef/>
      </w:r>
      <w:hyperlink r:id="rId9" w:history="1">
        <w:r w:rsidRPr="00182EAB">
          <w:rPr>
            <w:rStyle w:val="Hyperlink"/>
          </w:rPr>
          <w:t>Commission Corporate Plan 2022-23</w:t>
        </w:r>
      </w:hyperlink>
      <w:r>
        <w:t xml:space="preserve"> p.21</w:t>
      </w:r>
    </w:p>
  </w:footnote>
  <w:footnote w:id="15">
    <w:p w14:paraId="765A6F1D" w14:textId="6A6A404C" w:rsidR="00632D2C" w:rsidRPr="001364C7" w:rsidRDefault="00632D2C" w:rsidP="001364C7">
      <w:pPr>
        <w:pStyle w:val="FootnoteText"/>
        <w:spacing w:after="240"/>
        <w:rPr>
          <w:u w:val="single"/>
        </w:rPr>
      </w:pPr>
      <w:r>
        <w:rPr>
          <w:rStyle w:val="FootnoteReference"/>
        </w:rPr>
        <w:footnoteRef/>
      </w:r>
      <w:r>
        <w:t xml:space="preserve"> </w:t>
      </w:r>
      <w:hyperlink r:id="rId10" w:history="1">
        <w:r w:rsidRPr="00E05E60">
          <w:rPr>
            <w:rStyle w:val="Hyperlink"/>
          </w:rPr>
          <w:t>Commission Annual Report 2018-19</w:t>
        </w:r>
      </w:hyperlink>
      <w:r>
        <w:t xml:space="preserve"> p.68-79 ; </w:t>
      </w:r>
      <w:hyperlink r:id="rId11" w:history="1">
        <w:r w:rsidRPr="00E05E60">
          <w:rPr>
            <w:rStyle w:val="Hyperlink"/>
          </w:rPr>
          <w:t>Commission Annual Report 2019-20</w:t>
        </w:r>
      </w:hyperlink>
      <w:r>
        <w:t xml:space="preserve"> p. 85-98 ; </w:t>
      </w:r>
      <w:hyperlink r:id="rId12" w:history="1">
        <w:r w:rsidRPr="00E05E60">
          <w:rPr>
            <w:rStyle w:val="Hyperlink"/>
          </w:rPr>
          <w:t xml:space="preserve">Commission Annual </w:t>
        </w:r>
        <w:r>
          <w:rPr>
            <w:rStyle w:val="Hyperlink"/>
          </w:rPr>
          <w:t>R</w:t>
        </w:r>
        <w:r w:rsidRPr="00E05E60">
          <w:rPr>
            <w:rStyle w:val="Hyperlink"/>
          </w:rPr>
          <w:t>eport 2020-21</w:t>
        </w:r>
      </w:hyperlink>
      <w:r>
        <w:t xml:space="preserve"> p. 87-132 ; </w:t>
      </w:r>
      <w:hyperlink r:id="rId13" w:history="1">
        <w:r w:rsidRPr="00E05E60">
          <w:rPr>
            <w:rStyle w:val="Hyperlink"/>
          </w:rPr>
          <w:t>Commission Annual Report 2021-22</w:t>
        </w:r>
      </w:hyperlink>
    </w:p>
  </w:footnote>
  <w:footnote w:id="16">
    <w:p w14:paraId="5F71DD06" w14:textId="31152A10" w:rsidR="00632D2C" w:rsidRDefault="00632D2C" w:rsidP="001364C7">
      <w:pPr>
        <w:pStyle w:val="FootnoteText"/>
        <w:spacing w:after="120"/>
      </w:pPr>
      <w:r>
        <w:rPr>
          <w:rStyle w:val="FootnoteReference"/>
        </w:rPr>
        <w:footnoteRef/>
      </w:r>
      <w:hyperlink r:id="rId14" w:history="1">
        <w:r w:rsidRPr="00182EAB">
          <w:rPr>
            <w:rStyle w:val="Hyperlink"/>
          </w:rPr>
          <w:t>Commission Corporate Plan 2022-23</w:t>
        </w:r>
      </w:hyperlink>
    </w:p>
  </w:footnote>
  <w:footnote w:id="17">
    <w:p w14:paraId="2676AAE7" w14:textId="6F4E857A" w:rsidR="00632D2C" w:rsidRPr="00720315" w:rsidRDefault="00632D2C" w:rsidP="009E53EE">
      <w:pPr>
        <w:pStyle w:val="FootnoteText"/>
      </w:pPr>
      <w:r>
        <w:rPr>
          <w:rStyle w:val="FootnoteReference"/>
        </w:rPr>
        <w:footnoteRef/>
      </w:r>
      <w:r>
        <w:t xml:space="preserve"> Commission PowerPoint, </w:t>
      </w:r>
      <w:hyperlink r:id="rId15" w:history="1">
        <w:r w:rsidRPr="00720315">
          <w:t>Session 1</w:t>
        </w:r>
        <w:r>
          <w:t>: Overview,</w:t>
        </w:r>
      </w:hyperlink>
      <w:r w:rsidRPr="00720315">
        <w:t xml:space="preserve"> 25 October 2022</w:t>
      </w:r>
    </w:p>
  </w:footnote>
  <w:footnote w:id="18">
    <w:p w14:paraId="45303DAB" w14:textId="77777777" w:rsidR="00632D2C" w:rsidRPr="0039462C" w:rsidRDefault="00632D2C" w:rsidP="006F7AA2">
      <w:pPr>
        <w:pStyle w:val="FootnoteText"/>
      </w:pPr>
      <w:r>
        <w:rPr>
          <w:rStyle w:val="FootnoteReference"/>
        </w:rPr>
        <w:footnoteRef/>
      </w:r>
      <w:r>
        <w:t xml:space="preserve"> Commission PowerPoint, Session 4: Data and Intelligence, 16 November 2022</w:t>
      </w:r>
    </w:p>
  </w:footnote>
  <w:footnote w:id="19">
    <w:p w14:paraId="4B117BE3" w14:textId="0E3A1E06" w:rsidR="00632D2C" w:rsidRPr="005757E2" w:rsidRDefault="00632D2C" w:rsidP="006F7AA2">
      <w:pPr>
        <w:pStyle w:val="CoverTitle"/>
        <w:spacing w:before="120"/>
        <w:rPr>
          <w:b w:val="0"/>
          <w:bCs w:val="0"/>
          <w:sz w:val="20"/>
          <w:szCs w:val="20"/>
          <w:lang w:val="en-GB"/>
        </w:rPr>
      </w:pPr>
      <w:r w:rsidRPr="00100A94">
        <w:rPr>
          <w:rStyle w:val="FootnoteReference"/>
          <w:b w:val="0"/>
          <w:bCs w:val="0"/>
          <w:sz w:val="20"/>
          <w:szCs w:val="20"/>
        </w:rPr>
        <w:footnoteRef/>
      </w:r>
      <w:r>
        <w:rPr>
          <w:b w:val="0"/>
          <w:bCs w:val="0"/>
          <w:sz w:val="20"/>
          <w:szCs w:val="20"/>
        </w:rPr>
        <w:t xml:space="preserve"> </w:t>
      </w:r>
      <w:proofErr w:type="spellStart"/>
      <w:r w:rsidRPr="002C6288">
        <w:rPr>
          <w:rFonts w:asciiTheme="minorHAnsi" w:hAnsiTheme="minorHAnsi"/>
          <w:b w:val="0"/>
          <w:bCs w:val="0"/>
          <w:sz w:val="20"/>
          <w:szCs w:val="20"/>
        </w:rPr>
        <w:t>D</w:t>
      </w:r>
      <w:r w:rsidR="00F01D2C" w:rsidRPr="002C6288">
        <w:rPr>
          <w:rFonts w:asciiTheme="minorHAnsi" w:hAnsiTheme="minorHAnsi"/>
          <w:b w:val="0"/>
          <w:bCs w:val="0"/>
          <w:sz w:val="20"/>
          <w:szCs w:val="20"/>
        </w:rPr>
        <w:t>o</w:t>
      </w:r>
      <w:r w:rsidRPr="002C6288">
        <w:rPr>
          <w:rFonts w:asciiTheme="minorHAnsi" w:hAnsiTheme="minorHAnsi"/>
          <w:b w:val="0"/>
          <w:bCs w:val="0"/>
          <w:sz w:val="20"/>
          <w:szCs w:val="20"/>
        </w:rPr>
        <w:t>HAC</w:t>
      </w:r>
      <w:proofErr w:type="spellEnd"/>
      <w:r w:rsidRPr="002C6288">
        <w:rPr>
          <w:rFonts w:asciiTheme="minorHAnsi" w:hAnsiTheme="minorHAnsi"/>
          <w:b w:val="0"/>
          <w:bCs w:val="0"/>
          <w:sz w:val="20"/>
          <w:szCs w:val="20"/>
        </w:rPr>
        <w:t xml:space="preserve">, </w:t>
      </w:r>
      <w:r w:rsidRPr="002C6288">
        <w:rPr>
          <w:rFonts w:asciiTheme="minorHAnsi" w:hAnsiTheme="minorHAnsi"/>
          <w:b w:val="0"/>
          <w:bCs w:val="0"/>
          <w:sz w:val="20"/>
          <w:szCs w:val="20"/>
          <w:lang w:val="en-GB"/>
        </w:rPr>
        <w:t xml:space="preserve">A new model for regulating Aged Care, Consultation Paper No.2 – Details of the proposed new model, </w:t>
      </w:r>
      <w:r w:rsidR="00356280">
        <w:rPr>
          <w:rFonts w:asciiTheme="minorHAnsi" w:hAnsiTheme="minorHAnsi"/>
          <w:b w:val="0"/>
          <w:bCs w:val="0"/>
          <w:sz w:val="20"/>
          <w:szCs w:val="20"/>
          <w:lang w:val="en-GB"/>
        </w:rPr>
        <w:t>April</w:t>
      </w:r>
      <w:r w:rsidRPr="002C6288">
        <w:rPr>
          <w:rFonts w:asciiTheme="minorHAnsi" w:hAnsiTheme="minorHAnsi"/>
          <w:b w:val="0"/>
          <w:bCs w:val="0"/>
          <w:sz w:val="20"/>
          <w:szCs w:val="20"/>
          <w:lang w:val="en-GB"/>
        </w:rPr>
        <w:t xml:space="preserve"> 2023</w:t>
      </w:r>
    </w:p>
  </w:footnote>
  <w:footnote w:id="20">
    <w:p w14:paraId="38AC8F72" w14:textId="404DF4AD" w:rsidR="00E75FBE" w:rsidRDefault="00E75FBE" w:rsidP="00E75FBE">
      <w:pPr>
        <w:pStyle w:val="FootnoteText"/>
      </w:pPr>
      <w:r>
        <w:rPr>
          <w:rStyle w:val="FootnoteReference"/>
        </w:rPr>
        <w:footnoteRef/>
      </w:r>
      <w:r>
        <w:t xml:space="preserve"> </w:t>
      </w:r>
      <w:r w:rsidR="00AD3F2A">
        <w:t xml:space="preserve">Current </w:t>
      </w:r>
      <w:r>
        <w:t xml:space="preserve">as </w:t>
      </w:r>
      <w:proofErr w:type="gramStart"/>
      <w:r>
        <w:t>at</w:t>
      </w:r>
      <w:proofErr w:type="gramEnd"/>
      <w:r>
        <w:t xml:space="preserve"> 19 January 2023</w:t>
      </w:r>
    </w:p>
  </w:footnote>
  <w:footnote w:id="21">
    <w:p w14:paraId="184F4819" w14:textId="7D22B552" w:rsidR="00632D2C" w:rsidRPr="00144D72" w:rsidRDefault="00632D2C" w:rsidP="006F7AA2">
      <w:pPr>
        <w:pStyle w:val="FootnoteText"/>
      </w:pPr>
      <w:r w:rsidRPr="00144D72">
        <w:rPr>
          <w:rStyle w:val="FootnoteReference"/>
        </w:rPr>
        <w:footnoteRef/>
      </w:r>
      <w:r w:rsidRPr="00144D72">
        <w:t xml:space="preserve"> </w:t>
      </w:r>
      <w:r>
        <w:t xml:space="preserve">Grosvenor, </w:t>
      </w:r>
      <w:r w:rsidRPr="00144D72">
        <w:t>Optimising capability to meet current and future challenges</w:t>
      </w:r>
      <w:r>
        <w:t xml:space="preserve">, </w:t>
      </w:r>
      <w:r w:rsidR="005A6AF5">
        <w:t xml:space="preserve">16 December </w:t>
      </w:r>
      <w:r>
        <w:t>2021 p. 20</w:t>
      </w:r>
      <w:r w:rsidRPr="00144D72">
        <w:t xml:space="preserve"> </w:t>
      </w:r>
    </w:p>
  </w:footnote>
  <w:footnote w:id="22">
    <w:p w14:paraId="14A3CDD4" w14:textId="71360D7E" w:rsidR="00632D2C" w:rsidRPr="001364C7" w:rsidRDefault="00632D2C" w:rsidP="001364C7">
      <w:pPr>
        <w:pStyle w:val="CoverTitle"/>
        <w:spacing w:before="0" w:after="120" w:line="238" w:lineRule="auto"/>
        <w:rPr>
          <w:rFonts w:asciiTheme="minorHAnsi" w:hAnsiTheme="minorHAnsi"/>
          <w:color w:val="auto"/>
          <w:sz w:val="20"/>
          <w:szCs w:val="20"/>
          <w:lang w:val="en-GB"/>
        </w:rPr>
      </w:pPr>
      <w:r w:rsidRPr="002C6288">
        <w:rPr>
          <w:rStyle w:val="FootnoteReference"/>
          <w:rFonts w:asciiTheme="minorHAnsi" w:hAnsiTheme="minorHAnsi"/>
          <w:sz w:val="20"/>
          <w:szCs w:val="20"/>
        </w:rPr>
        <w:footnoteRef/>
      </w:r>
      <w:r w:rsidR="00EB4143">
        <w:rPr>
          <w:rFonts w:asciiTheme="minorHAnsi" w:hAnsiTheme="minorHAnsi"/>
          <w:b w:val="0"/>
          <w:bCs w:val="0"/>
          <w:color w:val="auto"/>
          <w:sz w:val="20"/>
          <w:szCs w:val="20"/>
        </w:rPr>
        <w:t xml:space="preserve"> </w:t>
      </w:r>
      <w:proofErr w:type="spellStart"/>
      <w:r w:rsidRPr="00EB4143">
        <w:rPr>
          <w:rFonts w:asciiTheme="minorHAnsi" w:hAnsiTheme="minorHAnsi"/>
          <w:b w:val="0"/>
          <w:bCs w:val="0"/>
          <w:color w:val="auto"/>
          <w:sz w:val="20"/>
          <w:szCs w:val="20"/>
        </w:rPr>
        <w:t>D</w:t>
      </w:r>
      <w:r w:rsidR="00F01D2C" w:rsidRPr="00EB4143">
        <w:rPr>
          <w:rFonts w:asciiTheme="minorHAnsi" w:hAnsiTheme="minorHAnsi"/>
          <w:b w:val="0"/>
          <w:bCs w:val="0"/>
          <w:color w:val="auto"/>
          <w:sz w:val="20"/>
          <w:szCs w:val="20"/>
        </w:rPr>
        <w:t>o</w:t>
      </w:r>
      <w:r w:rsidRPr="00EB4143">
        <w:rPr>
          <w:rFonts w:asciiTheme="minorHAnsi" w:hAnsiTheme="minorHAnsi"/>
          <w:b w:val="0"/>
          <w:bCs w:val="0"/>
          <w:color w:val="auto"/>
          <w:sz w:val="20"/>
          <w:szCs w:val="20"/>
        </w:rPr>
        <w:t>HAC</w:t>
      </w:r>
      <w:proofErr w:type="spellEnd"/>
      <w:r w:rsidRPr="00EB4143">
        <w:rPr>
          <w:rFonts w:asciiTheme="minorHAnsi" w:hAnsiTheme="minorHAnsi"/>
          <w:b w:val="0"/>
          <w:bCs w:val="0"/>
          <w:color w:val="auto"/>
          <w:sz w:val="20"/>
          <w:szCs w:val="20"/>
        </w:rPr>
        <w:t xml:space="preserve">, </w:t>
      </w:r>
      <w:r w:rsidRPr="00EB4143">
        <w:rPr>
          <w:rFonts w:asciiTheme="minorHAnsi" w:hAnsiTheme="minorHAnsi"/>
          <w:b w:val="0"/>
          <w:bCs w:val="0"/>
          <w:color w:val="auto"/>
          <w:sz w:val="20"/>
          <w:szCs w:val="20"/>
          <w:lang w:val="en-GB"/>
        </w:rPr>
        <w:t xml:space="preserve">A new model for regulating Aged Care, Consultation Paper No.2 – Details of the proposed new model, </w:t>
      </w:r>
      <w:r w:rsidR="00356280">
        <w:rPr>
          <w:rFonts w:asciiTheme="minorHAnsi" w:hAnsiTheme="minorHAnsi"/>
          <w:b w:val="0"/>
          <w:bCs w:val="0"/>
          <w:color w:val="auto"/>
          <w:sz w:val="20"/>
          <w:szCs w:val="20"/>
          <w:lang w:val="en-GB"/>
        </w:rPr>
        <w:t>April</w:t>
      </w:r>
      <w:r w:rsidRPr="00EB4143">
        <w:rPr>
          <w:rFonts w:asciiTheme="minorHAnsi" w:hAnsiTheme="minorHAnsi"/>
          <w:b w:val="0"/>
          <w:bCs w:val="0"/>
          <w:color w:val="auto"/>
          <w:sz w:val="20"/>
          <w:szCs w:val="20"/>
          <w:lang w:val="en-GB"/>
        </w:rPr>
        <w:t xml:space="preserve"> 2023</w:t>
      </w:r>
    </w:p>
  </w:footnote>
  <w:footnote w:id="23">
    <w:p w14:paraId="63287EE0" w14:textId="77777777" w:rsidR="00632D2C" w:rsidRDefault="00632D2C" w:rsidP="006F7AA2">
      <w:pPr>
        <w:pStyle w:val="FootnoteText"/>
      </w:pPr>
      <w:r>
        <w:rPr>
          <w:rStyle w:val="FootnoteReference"/>
        </w:rPr>
        <w:footnoteRef/>
      </w:r>
      <w:r>
        <w:t xml:space="preserve"> </w:t>
      </w:r>
      <w:hyperlink r:id="rId16" w:history="1">
        <w:r w:rsidRPr="008E6690">
          <w:rPr>
            <w:rStyle w:val="Hyperlink"/>
          </w:rPr>
          <w:t>Department of Prime Minister and Cabinet, Regulator Performance Guide, July 2021</w:t>
        </w:r>
      </w:hyperlink>
    </w:p>
  </w:footnote>
  <w:footnote w:id="24">
    <w:p w14:paraId="2266D475" w14:textId="77777777" w:rsidR="00632D2C" w:rsidRDefault="00632D2C" w:rsidP="006F7AA2">
      <w:pPr>
        <w:pStyle w:val="FootnoteText"/>
      </w:pPr>
      <w:r>
        <w:rPr>
          <w:rStyle w:val="FootnoteReference"/>
        </w:rPr>
        <w:footnoteRef/>
      </w:r>
      <w:r>
        <w:t xml:space="preserve"> </w:t>
      </w:r>
      <w:hyperlink r:id="rId17" w:anchor="page4" w:history="1">
        <w:r w:rsidRPr="000E154D">
          <w:rPr>
            <w:rStyle w:val="Hyperlink"/>
            <w:shd w:val="clear" w:color="auto" w:fill="FFFFFF"/>
          </w:rPr>
          <w:t xml:space="preserve">OECD 2014, </w:t>
        </w:r>
        <w:r w:rsidRPr="000E154D">
          <w:rPr>
            <w:rStyle w:val="Hyperlink"/>
          </w:rPr>
          <w:t>The Governance of Regulators</w:t>
        </w:r>
        <w:r w:rsidRPr="000E154D">
          <w:rPr>
            <w:rStyle w:val="Hyperlink"/>
            <w:shd w:val="clear" w:color="auto" w:fill="FFFFFF"/>
          </w:rPr>
          <w:t>, OECD Best Practice Principles for Regulatory Policy</w:t>
        </w:r>
      </w:hyperlink>
    </w:p>
  </w:footnote>
  <w:footnote w:id="25">
    <w:p w14:paraId="3D9F4A7D" w14:textId="379311F6" w:rsidR="00632D2C" w:rsidRDefault="00632D2C" w:rsidP="006F7AA2">
      <w:pPr>
        <w:pStyle w:val="FootnoteText"/>
      </w:pPr>
      <w:r>
        <w:rPr>
          <w:rStyle w:val="FootnoteReference"/>
        </w:rPr>
        <w:footnoteRef/>
      </w:r>
      <w:r>
        <w:t xml:space="preserve"> Grosvenor, </w:t>
      </w:r>
      <w:r w:rsidRPr="00144D72">
        <w:t>Optimising capability to meet current and future challenges</w:t>
      </w:r>
      <w:r>
        <w:t xml:space="preserve">, </w:t>
      </w:r>
      <w:r w:rsidR="005A6AF5">
        <w:t xml:space="preserve">16 December </w:t>
      </w:r>
      <w:r>
        <w:t>2021</w:t>
      </w:r>
      <w:r w:rsidR="005A6AF5">
        <w:t xml:space="preserve"> p. 20</w:t>
      </w:r>
    </w:p>
  </w:footnote>
  <w:footnote w:id="26">
    <w:p w14:paraId="5F564786" w14:textId="77777777" w:rsidR="00632D2C" w:rsidRDefault="00632D2C" w:rsidP="006F7AA2">
      <w:pPr>
        <w:pStyle w:val="FootnoteText"/>
      </w:pPr>
      <w:r>
        <w:rPr>
          <w:rStyle w:val="FootnoteReference"/>
        </w:rPr>
        <w:footnoteRef/>
      </w:r>
      <w:r>
        <w:t xml:space="preserve"> </w:t>
      </w:r>
      <w:hyperlink r:id="rId18" w:history="1">
        <w:r>
          <w:rPr>
            <w:rStyle w:val="Hyperlink"/>
          </w:rPr>
          <w:t>Care Quality Commission (cqc.org.uk)</w:t>
        </w:r>
      </w:hyperlink>
    </w:p>
  </w:footnote>
  <w:footnote w:id="27">
    <w:p w14:paraId="1AADC312" w14:textId="77777777" w:rsidR="00632D2C" w:rsidRPr="00C56564" w:rsidRDefault="00632D2C" w:rsidP="006F7AA2">
      <w:pPr>
        <w:pStyle w:val="FootnoteText"/>
      </w:pPr>
      <w:r w:rsidRPr="00C56564">
        <w:rPr>
          <w:rStyle w:val="FootnoteReference"/>
        </w:rPr>
        <w:footnoteRef/>
      </w:r>
      <w:r w:rsidRPr="00C56564">
        <w:t xml:space="preserve"> </w:t>
      </w:r>
      <w:hyperlink r:id="rId19" w:history="1">
        <w:r w:rsidRPr="00C56564">
          <w:rPr>
            <w:rStyle w:val="Hyperlink"/>
          </w:rPr>
          <w:t>The Australian and New Zealand School of Government, Agile: a new way of governing, 5 May 2020</w:t>
        </w:r>
      </w:hyperlink>
    </w:p>
  </w:footnote>
  <w:footnote w:id="28">
    <w:p w14:paraId="7326FDD7" w14:textId="722F7627" w:rsidR="00632D2C" w:rsidRDefault="00632D2C" w:rsidP="006F7AA2">
      <w:pPr>
        <w:spacing w:after="0"/>
      </w:pPr>
      <w:r w:rsidRPr="00C56564">
        <w:rPr>
          <w:rStyle w:val="FootnoteReference"/>
          <w:sz w:val="20"/>
          <w:szCs w:val="20"/>
        </w:rPr>
        <w:footnoteRef/>
      </w:r>
      <w:r w:rsidRPr="00C56564">
        <w:rPr>
          <w:sz w:val="20"/>
          <w:szCs w:val="20"/>
        </w:rPr>
        <w:t xml:space="preserve"> </w:t>
      </w:r>
      <w:hyperlink r:id="rId20" w:history="1">
        <w:r w:rsidRPr="00C56564">
          <w:rPr>
            <w:rStyle w:val="Hyperlink"/>
            <w:sz w:val="20"/>
            <w:szCs w:val="20"/>
          </w:rPr>
          <w:t>Australian Public Service Commission, APS Hierarchy and Classification Review, 26 August 2022</w:t>
        </w:r>
      </w:hyperlink>
    </w:p>
  </w:footnote>
  <w:footnote w:id="29">
    <w:p w14:paraId="1F4DF06F" w14:textId="09302178" w:rsidR="00632D2C" w:rsidRDefault="00632D2C" w:rsidP="006F7AA2">
      <w:pPr>
        <w:pStyle w:val="FootnoteText"/>
      </w:pPr>
      <w:r w:rsidRPr="002C6288">
        <w:rPr>
          <w:rStyle w:val="FootnoteReference"/>
        </w:rPr>
        <w:footnoteRef/>
      </w:r>
      <w:r w:rsidRPr="002C6288">
        <w:t xml:space="preserve"> ANZSOG research on leadership capabilities for regulators </w:t>
      </w:r>
      <w:hyperlink r:id="rId21" w:history="1">
        <w:r w:rsidR="00773CC2">
          <w:rPr>
            <w:rStyle w:val="Hyperlink"/>
            <w:rFonts w:eastAsia="Times New Roman"/>
          </w:rPr>
          <w:t>Research insights | ANZSOG</w:t>
        </w:r>
      </w:hyperlink>
    </w:p>
  </w:footnote>
  <w:footnote w:id="30">
    <w:p w14:paraId="328BE229" w14:textId="77777777" w:rsidR="00632D2C" w:rsidRDefault="00632D2C" w:rsidP="00767505">
      <w:pPr>
        <w:pStyle w:val="FootnoteText"/>
      </w:pPr>
      <w:r>
        <w:rPr>
          <w:rStyle w:val="FootnoteReference"/>
        </w:rPr>
        <w:footnoteRef/>
      </w:r>
      <w:r>
        <w:t xml:space="preserve"> </w:t>
      </w:r>
      <w:hyperlink r:id="rId22" w:history="1">
        <w:r w:rsidRPr="00D143C0">
          <w:rPr>
            <w:rStyle w:val="Hyperlink"/>
          </w:rPr>
          <w:t>State of the Service Report 2021-2022</w:t>
        </w:r>
      </w:hyperlink>
      <w:r w:rsidRPr="00C56564">
        <w:t xml:space="preserve"> </w:t>
      </w:r>
      <w:r>
        <w:t>p. 5</w:t>
      </w:r>
    </w:p>
  </w:footnote>
  <w:footnote w:id="31">
    <w:p w14:paraId="4ED9A00F" w14:textId="77777777" w:rsidR="00632D2C" w:rsidRDefault="00632D2C" w:rsidP="00767505">
      <w:pPr>
        <w:pStyle w:val="FootnoteText"/>
      </w:pPr>
      <w:r>
        <w:rPr>
          <w:rStyle w:val="FootnoteReference"/>
        </w:rPr>
        <w:footnoteRef/>
      </w:r>
      <w:r>
        <w:t xml:space="preserve"> </w:t>
      </w:r>
      <w:hyperlink r:id="rId23" w:history="1">
        <w:r w:rsidRPr="00DC61EF">
          <w:rPr>
            <w:rStyle w:val="Hyperlink"/>
          </w:rPr>
          <w:t>Commission Highlights Report, APS Employee Census 2022</w:t>
        </w:r>
      </w:hyperlink>
      <w:r>
        <w:t xml:space="preserve"> p.5</w:t>
      </w:r>
    </w:p>
  </w:footnote>
  <w:footnote w:id="32">
    <w:p w14:paraId="46FE1A27" w14:textId="77777777" w:rsidR="00632D2C" w:rsidRDefault="00632D2C" w:rsidP="00767505">
      <w:pPr>
        <w:pStyle w:val="FootnoteText"/>
      </w:pPr>
      <w:r>
        <w:rPr>
          <w:rStyle w:val="FootnoteReference"/>
        </w:rPr>
        <w:footnoteRef/>
      </w:r>
      <w:r>
        <w:t xml:space="preserve"> </w:t>
      </w:r>
      <w:hyperlink r:id="rId24" w:history="1">
        <w:r w:rsidRPr="00DC61EF">
          <w:rPr>
            <w:rStyle w:val="Hyperlink"/>
          </w:rPr>
          <w:t>Commission Highlights Report, APS Employee Census 2022</w:t>
        </w:r>
      </w:hyperlink>
      <w:r>
        <w:t xml:space="preserve"> p.5</w:t>
      </w:r>
    </w:p>
  </w:footnote>
  <w:footnote w:id="33">
    <w:p w14:paraId="4A1F503C" w14:textId="77777777" w:rsidR="00632D2C" w:rsidRDefault="00632D2C" w:rsidP="00767505">
      <w:pPr>
        <w:pStyle w:val="FootnoteText"/>
      </w:pPr>
      <w:r>
        <w:rPr>
          <w:rStyle w:val="FootnoteReference"/>
        </w:rPr>
        <w:footnoteRef/>
      </w:r>
      <w:r>
        <w:t xml:space="preserve"> </w:t>
      </w:r>
      <w:hyperlink r:id="rId25" w:history="1">
        <w:r w:rsidRPr="00DC61EF">
          <w:rPr>
            <w:rStyle w:val="Hyperlink"/>
          </w:rPr>
          <w:t>Commission Highlights Report, APS Employee Census 2022</w:t>
        </w:r>
      </w:hyperlink>
      <w:r>
        <w:t xml:space="preserve"> p.10</w:t>
      </w:r>
    </w:p>
  </w:footnote>
  <w:footnote w:id="34">
    <w:p w14:paraId="2B6217AD" w14:textId="77777777" w:rsidR="00632D2C" w:rsidRDefault="00632D2C" w:rsidP="00767505">
      <w:pPr>
        <w:pStyle w:val="FootnoteText"/>
      </w:pPr>
      <w:r>
        <w:rPr>
          <w:rStyle w:val="FootnoteReference"/>
        </w:rPr>
        <w:footnoteRef/>
      </w:r>
      <w:r>
        <w:t xml:space="preserve"> D</w:t>
      </w:r>
      <w:r w:rsidRPr="00A01841">
        <w:rPr>
          <w:rFonts w:cs="Arial"/>
        </w:rPr>
        <w:t>escribed in the Commission’s People Strategy 2021-2023. Page 8 outlines the activities required to develop a One Commission culture supported by signature behaviours.</w:t>
      </w:r>
      <w:r>
        <w:rPr>
          <w:rFonts w:ascii="Arial" w:hAnsi="Arial" w:cs="Arial"/>
          <w:sz w:val="24"/>
          <w:szCs w:val="24"/>
        </w:rPr>
        <w:t> </w:t>
      </w:r>
    </w:p>
  </w:footnote>
  <w:footnote w:id="35">
    <w:p w14:paraId="01E094A8" w14:textId="77777777" w:rsidR="00632D2C" w:rsidRDefault="00632D2C" w:rsidP="00767505">
      <w:pPr>
        <w:pStyle w:val="FootnoteText"/>
      </w:pPr>
      <w:r>
        <w:rPr>
          <w:rStyle w:val="FootnoteReference"/>
        </w:rPr>
        <w:footnoteRef/>
      </w:r>
      <w:r>
        <w:t xml:space="preserve"> Additional questions included by Commission in APS Employee Census 2022</w:t>
      </w:r>
    </w:p>
  </w:footnote>
  <w:footnote w:id="36">
    <w:p w14:paraId="2F008FF0" w14:textId="7EE2D275" w:rsidR="00632D2C" w:rsidRDefault="00632D2C" w:rsidP="00767505">
      <w:pPr>
        <w:pStyle w:val="FootnoteText"/>
      </w:pPr>
      <w:r w:rsidRPr="002C6288">
        <w:rPr>
          <w:rStyle w:val="FootnoteReference"/>
        </w:rPr>
        <w:footnoteRef/>
      </w:r>
      <w:r w:rsidRPr="002C6288">
        <w:t xml:space="preserve"> </w:t>
      </w:r>
      <w:r w:rsidR="00773CC2">
        <w:t>Commission PowerPoint, Session 8: Corporate Enablers, 15 November 2022</w:t>
      </w:r>
    </w:p>
  </w:footnote>
  <w:footnote w:id="37">
    <w:p w14:paraId="2C231DA8" w14:textId="77777777" w:rsidR="00632D2C" w:rsidRDefault="00632D2C" w:rsidP="00767505">
      <w:pPr>
        <w:pStyle w:val="FootnoteText"/>
      </w:pPr>
      <w:r>
        <w:rPr>
          <w:rStyle w:val="FootnoteReference"/>
        </w:rPr>
        <w:footnoteRef/>
      </w:r>
      <w:r>
        <w:t xml:space="preserve"> </w:t>
      </w:r>
      <w:hyperlink r:id="rId26" w:history="1">
        <w:r w:rsidRPr="00110CCD">
          <w:rPr>
            <w:rStyle w:val="Hyperlink"/>
            <w:shd w:val="clear" w:color="auto" w:fill="FFFFFF"/>
          </w:rPr>
          <w:t xml:space="preserve">OECD 2014, </w:t>
        </w:r>
        <w:r w:rsidRPr="00110CCD">
          <w:rPr>
            <w:rStyle w:val="Hyperlink"/>
          </w:rPr>
          <w:t>The Governance of Regulators</w:t>
        </w:r>
        <w:r w:rsidRPr="00110CCD">
          <w:rPr>
            <w:rStyle w:val="Hyperlink"/>
            <w:shd w:val="clear" w:color="auto" w:fill="FFFFFF"/>
          </w:rPr>
          <w:t>, OECD Best Practice Principles for Regulatory Policy</w:t>
        </w:r>
      </w:hyperlink>
    </w:p>
  </w:footnote>
  <w:footnote w:id="38">
    <w:p w14:paraId="3B2D3A91" w14:textId="77777777" w:rsidR="00632D2C" w:rsidRDefault="00632D2C" w:rsidP="00767505">
      <w:pPr>
        <w:pStyle w:val="FootnoteText"/>
      </w:pPr>
      <w:r>
        <w:rPr>
          <w:rStyle w:val="FootnoteReference"/>
        </w:rPr>
        <w:footnoteRef/>
      </w:r>
      <w:r>
        <w:t xml:space="preserve"> </w:t>
      </w:r>
      <w:hyperlink r:id="rId27" w:history="1">
        <w:r w:rsidRPr="008E6690">
          <w:rPr>
            <w:rStyle w:val="Hyperlink"/>
          </w:rPr>
          <w:t>Department of Prime Minister and Cabinet, Regulator Performance Guide, July 2021</w:t>
        </w:r>
      </w:hyperlink>
    </w:p>
  </w:footnote>
  <w:footnote w:id="39">
    <w:p w14:paraId="287BB9B5" w14:textId="77777777" w:rsidR="00632D2C" w:rsidRDefault="00632D2C" w:rsidP="00767505">
      <w:pPr>
        <w:pStyle w:val="FootnoteText"/>
      </w:pPr>
      <w:r>
        <w:rPr>
          <w:rStyle w:val="FootnoteReference"/>
        </w:rPr>
        <w:footnoteRef/>
      </w:r>
      <w:r>
        <w:t xml:space="preserve"> </w:t>
      </w:r>
      <w:hyperlink r:id="rId28" w:history="1">
        <w:r w:rsidRPr="008E6690">
          <w:rPr>
            <w:rStyle w:val="Hyperlink"/>
          </w:rPr>
          <w:t>Department of Prime Minister and Cabinet, Regulator Performance Guide, July 2021</w:t>
        </w:r>
      </w:hyperlink>
    </w:p>
  </w:footnote>
  <w:footnote w:id="40">
    <w:p w14:paraId="13A21BF5" w14:textId="77777777" w:rsidR="00632D2C" w:rsidRDefault="00632D2C" w:rsidP="00767505">
      <w:pPr>
        <w:pStyle w:val="FootnoteText"/>
      </w:pPr>
      <w:r>
        <w:rPr>
          <w:rStyle w:val="FootnoteReference"/>
        </w:rPr>
        <w:footnoteRef/>
      </w:r>
      <w:r>
        <w:t xml:space="preserve"> </w:t>
      </w:r>
      <w:hyperlink r:id="rId29" w:history="1">
        <w:r>
          <w:rPr>
            <w:rStyle w:val="Hyperlink"/>
          </w:rPr>
          <w:t>Aged Care Quality and Safety Commission Act 2018</w:t>
        </w:r>
      </w:hyperlink>
    </w:p>
  </w:footnote>
  <w:footnote w:id="41">
    <w:p w14:paraId="00538EF8" w14:textId="77777777" w:rsidR="00632D2C" w:rsidRDefault="00632D2C" w:rsidP="00767505">
      <w:pPr>
        <w:pStyle w:val="FootnoteText"/>
      </w:pPr>
      <w:r>
        <w:rPr>
          <w:rStyle w:val="FootnoteReference"/>
        </w:rPr>
        <w:footnoteRef/>
      </w:r>
      <w:r>
        <w:t xml:space="preserve"> </w:t>
      </w:r>
      <w:hyperlink r:id="rId30" w:history="1">
        <w:r>
          <w:rPr>
            <w:rStyle w:val="Hyperlink"/>
          </w:rPr>
          <w:t>Home | Aged Care Quality and Safety Commission</w:t>
        </w:r>
      </w:hyperlink>
    </w:p>
  </w:footnote>
  <w:footnote w:id="42">
    <w:p w14:paraId="320093F3" w14:textId="3AEC4E69" w:rsidR="00632D2C" w:rsidRDefault="00632D2C" w:rsidP="00767505">
      <w:pPr>
        <w:pStyle w:val="FootnoteText"/>
      </w:pPr>
      <w:r>
        <w:rPr>
          <w:rStyle w:val="FootnoteReference"/>
        </w:rPr>
        <w:footnoteRef/>
      </w:r>
      <w:r>
        <w:t xml:space="preserve"> </w:t>
      </w:r>
      <w:hyperlink r:id="rId31" w:history="1">
        <w:r w:rsidRPr="00661E3C">
          <w:rPr>
            <w:rStyle w:val="Hyperlink"/>
          </w:rPr>
          <w:t>Commission Statement of Intent</w:t>
        </w:r>
      </w:hyperlink>
    </w:p>
  </w:footnote>
  <w:footnote w:id="43">
    <w:p w14:paraId="28523F3A" w14:textId="1688EDA3" w:rsidR="00632D2C" w:rsidRDefault="00632D2C" w:rsidP="00767505">
      <w:pPr>
        <w:pStyle w:val="FootnoteText"/>
      </w:pPr>
      <w:r>
        <w:rPr>
          <w:rStyle w:val="FootnoteReference"/>
        </w:rPr>
        <w:footnoteRef/>
      </w:r>
      <w:hyperlink r:id="rId32" w:history="1">
        <w:r w:rsidRPr="00802E60">
          <w:rPr>
            <w:rStyle w:val="Hyperlink"/>
          </w:rPr>
          <w:t>State of the Service Report 2021-2022 p. 67</w:t>
        </w:r>
      </w:hyperlink>
    </w:p>
  </w:footnote>
  <w:footnote w:id="44">
    <w:p w14:paraId="1612F6E3" w14:textId="53E2FED8" w:rsidR="00632D2C" w:rsidRDefault="00632D2C" w:rsidP="00767505">
      <w:pPr>
        <w:spacing w:after="0" w:line="240" w:lineRule="auto"/>
      </w:pPr>
      <w:r>
        <w:rPr>
          <w:rStyle w:val="FootnoteReference"/>
        </w:rPr>
        <w:footnoteRef/>
      </w:r>
      <w:r>
        <w:t xml:space="preserve"> </w:t>
      </w:r>
      <w:r w:rsidRPr="001D24D0">
        <w:rPr>
          <w:sz w:val="20"/>
          <w:szCs w:val="20"/>
        </w:rPr>
        <w:t xml:space="preserve">Grosvenor, Optimising capability to meet current and future challenges, </w:t>
      </w:r>
      <w:r w:rsidR="005A6AF5">
        <w:rPr>
          <w:sz w:val="20"/>
          <w:szCs w:val="20"/>
        </w:rPr>
        <w:t>16 December</w:t>
      </w:r>
      <w:r w:rsidRPr="001D24D0">
        <w:rPr>
          <w:sz w:val="20"/>
          <w:szCs w:val="20"/>
        </w:rPr>
        <w:t xml:space="preserve"> 2021 p</w:t>
      </w:r>
      <w:r>
        <w:rPr>
          <w:sz w:val="20"/>
          <w:szCs w:val="20"/>
        </w:rPr>
        <w:t>.</w:t>
      </w:r>
      <w:r w:rsidRPr="001D24D0">
        <w:rPr>
          <w:sz w:val="20"/>
          <w:szCs w:val="20"/>
        </w:rPr>
        <w:t xml:space="preserve"> </w:t>
      </w:r>
      <w:r w:rsidR="005A6AF5">
        <w:rPr>
          <w:sz w:val="20"/>
          <w:szCs w:val="20"/>
        </w:rPr>
        <w:t>22</w:t>
      </w:r>
    </w:p>
  </w:footnote>
  <w:footnote w:id="45">
    <w:p w14:paraId="448BF0BB" w14:textId="1E113160" w:rsidR="00632D2C" w:rsidRDefault="00632D2C" w:rsidP="00CA75A9">
      <w:pPr>
        <w:pStyle w:val="FootnoteText"/>
      </w:pPr>
      <w:r>
        <w:rPr>
          <w:rStyle w:val="FootnoteReference"/>
        </w:rPr>
        <w:footnoteRef/>
      </w:r>
      <w:hyperlink r:id="rId33" w:history="1">
        <w:r>
          <w:rPr>
            <w:rStyle w:val="Hyperlink"/>
          </w:rPr>
          <w:t>Care Quality Commission (cqc.org.uk)</w:t>
        </w:r>
      </w:hyperlink>
    </w:p>
  </w:footnote>
  <w:footnote w:id="46">
    <w:p w14:paraId="16D79E5D" w14:textId="77777777" w:rsidR="00632D2C" w:rsidRDefault="00632D2C" w:rsidP="00CA75A9">
      <w:pPr>
        <w:pStyle w:val="FootnoteText"/>
      </w:pPr>
      <w:r>
        <w:rPr>
          <w:rStyle w:val="FootnoteReference"/>
        </w:rPr>
        <w:footnoteRef/>
      </w:r>
      <w:r>
        <w:t xml:space="preserve"> </w:t>
      </w:r>
      <w:r w:rsidRPr="006C2067">
        <w:t xml:space="preserve">Cultural capability refers to the skills, knowledge, </w:t>
      </w:r>
      <w:proofErr w:type="gramStart"/>
      <w:r w:rsidRPr="006C2067">
        <w:t>behaviours</w:t>
      </w:r>
      <w:proofErr w:type="gramEnd"/>
      <w:r w:rsidRPr="006C2067">
        <w:t xml:space="preserve"> and systems that are required to plan, support, improve and deliver services in a culturally respectful and appropriate manner.</w:t>
      </w:r>
    </w:p>
  </w:footnote>
  <w:footnote w:id="47">
    <w:p w14:paraId="06E09723" w14:textId="77777777" w:rsidR="00632D2C" w:rsidRDefault="00632D2C" w:rsidP="00CA75A9">
      <w:pPr>
        <w:pStyle w:val="FootnoteText"/>
      </w:pPr>
      <w:r>
        <w:rPr>
          <w:rStyle w:val="FootnoteReference"/>
        </w:rPr>
        <w:footnoteRef/>
      </w:r>
      <w:r>
        <w:t xml:space="preserve"> </w:t>
      </w:r>
      <w:hyperlink r:id="rId34" w:history="1">
        <w:r w:rsidRPr="00271277">
          <w:rPr>
            <w:rStyle w:val="Hyperlink"/>
          </w:rPr>
          <w:t>State of the Service Report 2021-2022 p. 24</w:t>
        </w:r>
      </w:hyperlink>
    </w:p>
  </w:footnote>
  <w:footnote w:id="48">
    <w:p w14:paraId="51C944A9" w14:textId="313DD4EF" w:rsidR="00CD389D" w:rsidRDefault="00CD389D">
      <w:pPr>
        <w:pStyle w:val="FootnoteText"/>
      </w:pPr>
      <w:r>
        <w:rPr>
          <w:rStyle w:val="FootnoteReference"/>
        </w:rPr>
        <w:footnoteRef/>
      </w:r>
      <w:r>
        <w:t xml:space="preserve"> Current as </w:t>
      </w:r>
      <w:proofErr w:type="gramStart"/>
      <w:r>
        <w:t>at</w:t>
      </w:r>
      <w:proofErr w:type="gramEnd"/>
      <w:r>
        <w:t xml:space="preserve"> 19 January 2023</w:t>
      </w:r>
    </w:p>
  </w:footnote>
  <w:footnote w:id="49">
    <w:p w14:paraId="56F7B0F9" w14:textId="77777777" w:rsidR="00632D2C" w:rsidRDefault="00632D2C" w:rsidP="00CA75A9">
      <w:pPr>
        <w:pStyle w:val="FootnoteText"/>
        <w:rPr>
          <w:lang w:val="en-US"/>
        </w:rPr>
      </w:pPr>
      <w:r>
        <w:rPr>
          <w:rStyle w:val="FootnoteReference"/>
        </w:rPr>
        <w:footnoteRef/>
      </w:r>
      <w:r>
        <w:t xml:space="preserve"> Commission </w:t>
      </w:r>
      <w:r>
        <w:rPr>
          <w:lang w:val="en-US"/>
        </w:rPr>
        <w:t xml:space="preserve">IT Governance, Workforce Planning and Financial Governance Report, 31 October 2022 </w:t>
      </w:r>
    </w:p>
  </w:footnote>
  <w:footnote w:id="50">
    <w:p w14:paraId="3FC7EB5C" w14:textId="53B81ED3" w:rsidR="00632D2C" w:rsidRPr="002C6288" w:rsidRDefault="00632D2C" w:rsidP="00CA75A9">
      <w:pPr>
        <w:pStyle w:val="FootnoteText"/>
      </w:pPr>
      <w:r w:rsidRPr="002C6288">
        <w:rPr>
          <w:rStyle w:val="FootnoteReference"/>
        </w:rPr>
        <w:footnoteRef/>
      </w:r>
      <w:r w:rsidRPr="002C6288">
        <w:t xml:space="preserve"> Department of Health Annual Report 2021-2022, Information Technology Division</w:t>
      </w:r>
      <w:r w:rsidR="00773CC2">
        <w:t xml:space="preserve">, </w:t>
      </w:r>
      <w:r w:rsidRPr="002C6288">
        <w:t>10 November 2022</w:t>
      </w:r>
    </w:p>
  </w:footnote>
  <w:footnote w:id="51">
    <w:p w14:paraId="50F194E0" w14:textId="6BD8562C" w:rsidR="00632D2C" w:rsidRDefault="00632D2C" w:rsidP="00CA75A9">
      <w:pPr>
        <w:pStyle w:val="FootnoteText"/>
      </w:pPr>
      <w:r w:rsidRPr="002C6288">
        <w:rPr>
          <w:rStyle w:val="FootnoteReference"/>
        </w:rPr>
        <w:footnoteRef/>
      </w:r>
      <w:r w:rsidRPr="002C6288">
        <w:t>Civil Aviation Safety Authority Information Technology Group</w:t>
      </w:r>
      <w:r w:rsidR="00773CC2">
        <w:t xml:space="preserve">, </w:t>
      </w:r>
      <w:r w:rsidRPr="002C6288">
        <w:t>25 November 2022</w:t>
      </w:r>
    </w:p>
  </w:footnote>
  <w:footnote w:id="52">
    <w:p w14:paraId="4D31A501" w14:textId="77777777" w:rsidR="00632D2C" w:rsidRDefault="00632D2C" w:rsidP="00CA75A9">
      <w:pPr>
        <w:pStyle w:val="FootnoteText"/>
      </w:pPr>
      <w:r>
        <w:rPr>
          <w:rStyle w:val="FootnoteReference"/>
        </w:rPr>
        <w:footnoteRef/>
      </w:r>
      <w:r>
        <w:t xml:space="preserve"> </w:t>
      </w:r>
      <w:hyperlink r:id="rId35" w:history="1">
        <w:r w:rsidRPr="00E3704F">
          <w:rPr>
            <w:rStyle w:val="Hyperlink"/>
          </w:rPr>
          <w:t>Commission Highlights Report, APS Employee Census 2022</w:t>
        </w:r>
      </w:hyperlink>
      <w:r>
        <w:t xml:space="preserve"> p.3</w:t>
      </w:r>
    </w:p>
  </w:footnote>
  <w:footnote w:id="53">
    <w:p w14:paraId="02C9F01B" w14:textId="77777777" w:rsidR="00632D2C" w:rsidRDefault="00632D2C" w:rsidP="00CA75A9">
      <w:pPr>
        <w:pStyle w:val="FootnoteText"/>
      </w:pPr>
      <w:r>
        <w:rPr>
          <w:rStyle w:val="FootnoteReference"/>
        </w:rPr>
        <w:footnoteRef/>
      </w:r>
      <w:r>
        <w:t xml:space="preserve"> </w:t>
      </w:r>
      <w:hyperlink r:id="rId36" w:history="1">
        <w:r w:rsidRPr="008E6690">
          <w:rPr>
            <w:rStyle w:val="Hyperlink"/>
          </w:rPr>
          <w:t>Department of Prime Minister and Cabinet, Regulator Performance Guide, July 2021</w:t>
        </w:r>
      </w:hyperlink>
    </w:p>
  </w:footnote>
  <w:footnote w:id="54">
    <w:p w14:paraId="680F03DB" w14:textId="77777777" w:rsidR="00632D2C" w:rsidRDefault="00632D2C" w:rsidP="00CA75A9">
      <w:pPr>
        <w:pStyle w:val="FootnoteText"/>
      </w:pPr>
      <w:r>
        <w:rPr>
          <w:rStyle w:val="FootnoteReference"/>
        </w:rPr>
        <w:footnoteRef/>
      </w:r>
      <w:r>
        <w:t xml:space="preserve"> James Shipton,</w:t>
      </w:r>
      <w:r w:rsidRPr="00660479">
        <w:t xml:space="preserve"> </w:t>
      </w:r>
      <w:hyperlink r:id="rId37" w:history="1">
        <w:r w:rsidRPr="00660479">
          <w:rPr>
            <w:rStyle w:val="Hyperlink"/>
          </w:rPr>
          <w:t>Regulation, trust, and social license</w:t>
        </w:r>
      </w:hyperlink>
      <w:r w:rsidRPr="00660479">
        <w:t>,</w:t>
      </w:r>
      <w:r>
        <w:t xml:space="preserve"> ANZSOG National Regulators Community of Practice webinar, 11 August 2020</w:t>
      </w:r>
    </w:p>
  </w:footnote>
  <w:footnote w:id="55">
    <w:p w14:paraId="31B9FB38" w14:textId="77777777" w:rsidR="00632D2C" w:rsidRDefault="00632D2C" w:rsidP="00CA75A9">
      <w:pPr>
        <w:pStyle w:val="FootnoteText"/>
      </w:pPr>
      <w:r>
        <w:rPr>
          <w:rStyle w:val="FootnoteReference"/>
        </w:rPr>
        <w:footnoteRef/>
      </w:r>
      <w:r>
        <w:t xml:space="preserve"> James Shipton,</w:t>
      </w:r>
      <w:r w:rsidRPr="00660479">
        <w:t xml:space="preserve"> </w:t>
      </w:r>
      <w:hyperlink r:id="rId38" w:history="1">
        <w:r w:rsidRPr="00660479">
          <w:rPr>
            <w:rStyle w:val="Hyperlink"/>
          </w:rPr>
          <w:t>Regulation, trust, and social license</w:t>
        </w:r>
      </w:hyperlink>
      <w:r w:rsidRPr="00660479">
        <w:t>,</w:t>
      </w:r>
      <w:r>
        <w:t xml:space="preserve"> ANZSOG National Regulators Community of Practice webinar, 11 August 2020</w:t>
      </w:r>
    </w:p>
  </w:footnote>
  <w:footnote w:id="56">
    <w:p w14:paraId="23E1908E" w14:textId="6C1B061A" w:rsidR="00632D2C" w:rsidRDefault="00632D2C" w:rsidP="00CA75A9">
      <w:pPr>
        <w:pStyle w:val="FootnoteText"/>
      </w:pPr>
      <w:r>
        <w:rPr>
          <w:rStyle w:val="FootnoteReference"/>
        </w:rPr>
        <w:footnoteRef/>
      </w:r>
      <w:r>
        <w:t xml:space="preserve"> </w:t>
      </w:r>
      <w:proofErr w:type="spellStart"/>
      <w:r w:rsidRPr="002C6288">
        <w:t>D</w:t>
      </w:r>
      <w:r w:rsidR="003F46AE" w:rsidRPr="002C6288">
        <w:t>o</w:t>
      </w:r>
      <w:r w:rsidRPr="002C6288">
        <w:t>HAC</w:t>
      </w:r>
      <w:proofErr w:type="spellEnd"/>
      <w:r w:rsidRPr="002C6288">
        <w:t xml:space="preserve">, A new model for regulating Aged Care, Consultation Paper No.2 – Details of the proposed new model, </w:t>
      </w:r>
      <w:r w:rsidR="00356280">
        <w:t>April</w:t>
      </w:r>
      <w:r w:rsidRPr="002C6288">
        <w:t xml:space="preserve"> 2023</w:t>
      </w:r>
    </w:p>
  </w:footnote>
  <w:footnote w:id="57">
    <w:p w14:paraId="0E72365B" w14:textId="77777777" w:rsidR="00632D2C" w:rsidRDefault="00632D2C" w:rsidP="00CA75A9">
      <w:pPr>
        <w:pStyle w:val="FootnoteText"/>
      </w:pPr>
      <w:r>
        <w:rPr>
          <w:rStyle w:val="FootnoteReference"/>
        </w:rPr>
        <w:footnoteRef/>
      </w:r>
      <w:r>
        <w:t xml:space="preserve"> </w:t>
      </w:r>
      <w:hyperlink r:id="rId39" w:history="1">
        <w:r w:rsidRPr="005E638B">
          <w:rPr>
            <w:rStyle w:val="Hyperlink"/>
          </w:rPr>
          <w:t>Commission Cost recovery Implementation Statement – Applications for aged care approved provider status 2022-23</w:t>
        </w:r>
      </w:hyperlink>
    </w:p>
  </w:footnote>
  <w:footnote w:id="58">
    <w:p w14:paraId="3C293621" w14:textId="149FFB55" w:rsidR="00632D2C" w:rsidRDefault="00632D2C" w:rsidP="00CA75A9">
      <w:pPr>
        <w:pStyle w:val="FootnoteText"/>
      </w:pPr>
      <w:r>
        <w:rPr>
          <w:rStyle w:val="FootnoteReference"/>
        </w:rPr>
        <w:footnoteRef/>
      </w:r>
      <w:hyperlink r:id="rId40" w:history="1">
        <w:r w:rsidRPr="005E638B">
          <w:rPr>
            <w:rStyle w:val="Hyperlink"/>
          </w:rPr>
          <w:t>Commission webpage | Cost recovery for accreditation</w:t>
        </w:r>
      </w:hyperlink>
      <w:r w:rsidRPr="005E638B">
        <w:t xml:space="preserve"> </w:t>
      </w:r>
    </w:p>
  </w:footnote>
  <w:footnote w:id="59">
    <w:p w14:paraId="051F545A" w14:textId="77777777" w:rsidR="00632D2C" w:rsidRDefault="00632D2C" w:rsidP="00CA75A9">
      <w:pPr>
        <w:pStyle w:val="FootnoteText"/>
      </w:pPr>
      <w:r>
        <w:rPr>
          <w:rStyle w:val="FootnoteReference"/>
        </w:rPr>
        <w:footnoteRef/>
      </w:r>
      <w:r>
        <w:t xml:space="preserve"> Commission response to request for Information: Cost Recovery</w:t>
      </w:r>
    </w:p>
  </w:footnote>
  <w:footnote w:id="60">
    <w:p w14:paraId="14E520B0" w14:textId="77777777" w:rsidR="00632D2C" w:rsidRDefault="00632D2C" w:rsidP="00CA75A9">
      <w:pPr>
        <w:pStyle w:val="FootnoteText"/>
      </w:pPr>
      <w:r>
        <w:rPr>
          <w:rStyle w:val="FootnoteReference"/>
        </w:rPr>
        <w:footnoteRef/>
      </w:r>
      <w:r>
        <w:t xml:space="preserve"> Commission response to request for Information: Cost Recovery</w:t>
      </w:r>
    </w:p>
  </w:footnote>
  <w:footnote w:id="61">
    <w:p w14:paraId="42CB47B3" w14:textId="7E2C874B" w:rsidR="00632D2C" w:rsidRDefault="00632D2C" w:rsidP="00CA75A9">
      <w:pPr>
        <w:pStyle w:val="FootnoteText"/>
      </w:pPr>
      <w:r>
        <w:rPr>
          <w:rStyle w:val="FootnoteReference"/>
        </w:rPr>
        <w:footnoteRef/>
      </w:r>
      <w:r>
        <w:rPr>
          <w:rFonts w:cstheme="minorHAnsi"/>
        </w:rPr>
        <w:t xml:space="preserve"> Grosvenor, Optimising capability to meet current and future challenges, </w:t>
      </w:r>
      <w:r w:rsidR="005A6AF5">
        <w:rPr>
          <w:rFonts w:cstheme="minorHAnsi"/>
        </w:rPr>
        <w:t>16 December</w:t>
      </w:r>
      <w:r>
        <w:rPr>
          <w:rFonts w:cstheme="minorHAnsi"/>
        </w:rPr>
        <w:t xml:space="preserve"> 2021</w:t>
      </w:r>
      <w:r>
        <w:t>, p</w:t>
      </w:r>
      <w:r w:rsidR="005A6AF5">
        <w:t>20</w:t>
      </w:r>
      <w:r>
        <w:t xml:space="preserve">; </w:t>
      </w:r>
      <w:r w:rsidRPr="009E66F8">
        <w:t>Commission Briefing Note, Optimising Capability Project</w:t>
      </w:r>
    </w:p>
  </w:footnote>
  <w:footnote w:id="62">
    <w:p w14:paraId="390B08D2" w14:textId="77777777" w:rsidR="00632D2C" w:rsidRDefault="00632D2C" w:rsidP="005867AA">
      <w:pPr>
        <w:pStyle w:val="FootnoteText"/>
      </w:pPr>
      <w:r>
        <w:rPr>
          <w:rStyle w:val="FootnoteReference"/>
        </w:rPr>
        <w:footnoteRef/>
      </w:r>
      <w:r>
        <w:t xml:space="preserve"> </w:t>
      </w:r>
      <w:hyperlink r:id="rId41" w:history="1">
        <w:r>
          <w:rPr>
            <w:rStyle w:val="Hyperlink"/>
            <w:rFonts w:cstheme="minorHAnsi"/>
          </w:rPr>
          <w:t>Commission Corporate Plan 2022-23</w:t>
        </w:r>
      </w:hyperlink>
      <w:r>
        <w:rPr>
          <w:rFonts w:cstheme="minorHAnsi"/>
        </w:rPr>
        <w:t xml:space="preserve"> </w:t>
      </w:r>
      <w:r>
        <w:t>p. 20</w:t>
      </w:r>
    </w:p>
  </w:footnote>
  <w:footnote w:id="63">
    <w:p w14:paraId="0C9CA391" w14:textId="77777777" w:rsidR="00632D2C" w:rsidRDefault="00632D2C" w:rsidP="005867AA">
      <w:pPr>
        <w:pStyle w:val="FootnoteText"/>
      </w:pPr>
      <w:r>
        <w:rPr>
          <w:rStyle w:val="FootnoteReference"/>
        </w:rPr>
        <w:footnoteRef/>
      </w:r>
      <w:r>
        <w:t xml:space="preserve"> </w:t>
      </w:r>
      <w:hyperlink r:id="rId42" w:history="1">
        <w:r w:rsidRPr="00550927">
          <w:rPr>
            <w:rStyle w:val="Hyperlink"/>
          </w:rPr>
          <w:t>Commission Regulatory Strategy v 2.1, 14 February 2020</w:t>
        </w:r>
      </w:hyperlink>
    </w:p>
  </w:footnote>
  <w:footnote w:id="64">
    <w:p w14:paraId="6A57542C" w14:textId="77777777" w:rsidR="00632D2C" w:rsidRDefault="00632D2C" w:rsidP="005867AA">
      <w:pPr>
        <w:pStyle w:val="FootnoteText"/>
      </w:pPr>
      <w:r>
        <w:rPr>
          <w:rStyle w:val="FootnoteReference"/>
        </w:rPr>
        <w:footnoteRef/>
      </w:r>
      <w:hyperlink r:id="rId43" w:history="1">
        <w:r w:rsidRPr="00550927">
          <w:rPr>
            <w:rStyle w:val="Hyperlink"/>
          </w:rPr>
          <w:t>Commission Regulatory Strategy v 2.1, 14 February 2020</w:t>
        </w:r>
      </w:hyperlink>
      <w:r>
        <w:t xml:space="preserve">; </w:t>
      </w:r>
      <w:hyperlink r:id="rId44" w:history="1">
        <w:r>
          <w:rPr>
            <w:rStyle w:val="Hyperlink"/>
            <w:rFonts w:cstheme="minorHAnsi"/>
          </w:rPr>
          <w:t>Commission Corporate Plan 2022-23</w:t>
        </w:r>
      </w:hyperlink>
      <w:r>
        <w:rPr>
          <w:rFonts w:cstheme="minorHAnsi"/>
        </w:rPr>
        <w:t xml:space="preserve"> </w:t>
      </w:r>
      <w:r>
        <w:t>p.8, 13 and 20</w:t>
      </w:r>
    </w:p>
  </w:footnote>
  <w:footnote w:id="65">
    <w:p w14:paraId="5DD29A6D" w14:textId="77777777" w:rsidR="00632D2C" w:rsidRPr="0039462C" w:rsidRDefault="00632D2C" w:rsidP="005867AA">
      <w:pPr>
        <w:pStyle w:val="FootnoteText"/>
        <w:spacing w:before="120"/>
      </w:pPr>
      <w:r>
        <w:rPr>
          <w:rStyle w:val="FootnoteReference"/>
        </w:rPr>
        <w:footnoteRef/>
      </w:r>
      <w:r>
        <w:t xml:space="preserve"> </w:t>
      </w:r>
      <w:r>
        <w:rPr>
          <w:rFonts w:cstheme="minorHAnsi"/>
        </w:rPr>
        <w:t>Commission PowerPoint, Session 4: Data and Intelligence, 16 November 2022</w:t>
      </w:r>
    </w:p>
  </w:footnote>
  <w:footnote w:id="66">
    <w:p w14:paraId="71A07785" w14:textId="77777777" w:rsidR="00632D2C" w:rsidRDefault="00632D2C" w:rsidP="005867AA">
      <w:pPr>
        <w:pStyle w:val="FootnoteText"/>
      </w:pPr>
      <w:r>
        <w:rPr>
          <w:rStyle w:val="FootnoteReference"/>
        </w:rPr>
        <w:footnoteRef/>
      </w:r>
      <w:r>
        <w:t xml:space="preserve"> </w:t>
      </w:r>
      <w:r>
        <w:rPr>
          <w:rFonts w:cstheme="minorHAnsi"/>
        </w:rPr>
        <w:t xml:space="preserve">Jonathon </w:t>
      </w:r>
      <w:proofErr w:type="spellStart"/>
      <w:r>
        <w:rPr>
          <w:rFonts w:cstheme="minorHAnsi"/>
        </w:rPr>
        <w:t>Koleib</w:t>
      </w:r>
      <w:proofErr w:type="spellEnd"/>
      <w:r>
        <w:rPr>
          <w:rFonts w:cstheme="minorHAnsi"/>
        </w:rPr>
        <w:t xml:space="preserve">, </w:t>
      </w:r>
      <w:hyperlink r:id="rId45" w:history="1">
        <w:r w:rsidRPr="0034600B">
          <w:rPr>
            <w:rStyle w:val="Hyperlink"/>
            <w:rFonts w:cstheme="minorHAnsi"/>
          </w:rPr>
          <w:t>When to Punish, When to Persuade and When to Reward: Strengthening Responsive Regulation with the Regulatory Diamond</w:t>
        </w:r>
      </w:hyperlink>
      <w:r>
        <w:rPr>
          <w:rFonts w:cstheme="minorHAnsi"/>
        </w:rPr>
        <w:t>, November 2015</w:t>
      </w:r>
    </w:p>
  </w:footnote>
  <w:footnote w:id="67">
    <w:p w14:paraId="0E5EBD71" w14:textId="77777777" w:rsidR="00632D2C" w:rsidRDefault="00632D2C" w:rsidP="005867AA">
      <w:pPr>
        <w:pStyle w:val="FootnoteText"/>
      </w:pPr>
      <w:r>
        <w:rPr>
          <w:rStyle w:val="FootnoteReference"/>
        </w:rPr>
        <w:footnoteRef/>
      </w:r>
      <w:r>
        <w:t xml:space="preserve"> The National Aboriginal Community Controlled Health Organisation includes a Board, advisory </w:t>
      </w:r>
      <w:proofErr w:type="gramStart"/>
      <w:r>
        <w:t>committees</w:t>
      </w:r>
      <w:proofErr w:type="gramEnd"/>
      <w:r>
        <w:t xml:space="preserve"> and accountability mechanisms for directors, such as a Code of Conduct and a Charter</w:t>
      </w:r>
    </w:p>
  </w:footnote>
  <w:footnote w:id="68">
    <w:p w14:paraId="7BD2F690" w14:textId="2E8BCAE0" w:rsidR="00632D2C" w:rsidRPr="00391668" w:rsidRDefault="00632D2C" w:rsidP="005867AA">
      <w:pPr>
        <w:pStyle w:val="FootnoteText"/>
        <w:rPr>
          <w:rFonts w:cstheme="minorHAnsi"/>
        </w:rPr>
      </w:pPr>
      <w:r w:rsidRPr="00391668">
        <w:rPr>
          <w:rStyle w:val="FootnoteReference"/>
          <w:rFonts w:cstheme="minorHAnsi"/>
        </w:rPr>
        <w:footnoteRef/>
      </w:r>
      <w:r w:rsidRPr="00391668">
        <w:rPr>
          <w:rFonts w:cstheme="minorHAnsi"/>
        </w:rPr>
        <w:t xml:space="preserve"> Grosvenor, Optimising capability to meet current and future challenges, </w:t>
      </w:r>
      <w:r w:rsidR="005A6AF5">
        <w:rPr>
          <w:rFonts w:cstheme="minorHAnsi"/>
        </w:rPr>
        <w:t>16 December</w:t>
      </w:r>
      <w:r w:rsidRPr="00391668">
        <w:rPr>
          <w:rFonts w:cstheme="minorHAnsi"/>
        </w:rPr>
        <w:t xml:space="preserve"> 2021 p.21</w:t>
      </w:r>
    </w:p>
  </w:footnote>
  <w:footnote w:id="69">
    <w:p w14:paraId="07F8C8FF" w14:textId="4C61DD8D" w:rsidR="00632D2C" w:rsidRPr="00391668" w:rsidRDefault="00632D2C" w:rsidP="005867AA">
      <w:pPr>
        <w:pStyle w:val="FootnoteText"/>
        <w:rPr>
          <w:rFonts w:cstheme="minorHAnsi"/>
        </w:rPr>
      </w:pPr>
      <w:r w:rsidRPr="00391668">
        <w:rPr>
          <w:rStyle w:val="FootnoteReference"/>
          <w:rFonts w:cstheme="minorHAnsi"/>
        </w:rPr>
        <w:footnoteRef/>
      </w:r>
      <w:r w:rsidRPr="00391668">
        <w:rPr>
          <w:rFonts w:cstheme="minorHAnsi"/>
        </w:rPr>
        <w:t xml:space="preserve"> Appendix F: Australian Government’s Regulator Performance Guide principles of best practice.</w:t>
      </w:r>
    </w:p>
  </w:footnote>
  <w:footnote w:id="70">
    <w:p w14:paraId="68A3DE59" w14:textId="3B6CA780" w:rsidR="00632D2C" w:rsidRPr="00391668" w:rsidRDefault="00632D2C" w:rsidP="005867AA">
      <w:pPr>
        <w:pStyle w:val="FootnoteText"/>
        <w:rPr>
          <w:rFonts w:cstheme="minorHAnsi"/>
        </w:rPr>
      </w:pPr>
      <w:r w:rsidRPr="00391668">
        <w:rPr>
          <w:rStyle w:val="FootnoteReference"/>
          <w:rFonts w:cstheme="minorHAnsi"/>
        </w:rPr>
        <w:footnoteRef/>
      </w:r>
      <w:r w:rsidRPr="00391668">
        <w:rPr>
          <w:rFonts w:cstheme="minorHAnsi"/>
        </w:rPr>
        <w:t xml:space="preserve"> Grosvenor, Optimising capability to meet current and future challenges, </w:t>
      </w:r>
      <w:r w:rsidR="005A6AF5">
        <w:rPr>
          <w:rFonts w:cstheme="minorHAnsi"/>
        </w:rPr>
        <w:t>16 December</w:t>
      </w:r>
      <w:r w:rsidRPr="00391668">
        <w:rPr>
          <w:rFonts w:cstheme="minorHAnsi"/>
        </w:rPr>
        <w:t xml:space="preserve"> 2021 </w:t>
      </w:r>
      <w:r w:rsidRPr="00773AC0">
        <w:rPr>
          <w:rFonts w:cstheme="minorHAnsi"/>
        </w:rPr>
        <w:t>p</w:t>
      </w:r>
      <w:r w:rsidRPr="00391668">
        <w:rPr>
          <w:rFonts w:cstheme="minorHAnsi"/>
        </w:rPr>
        <w:t>.31-32</w:t>
      </w:r>
    </w:p>
  </w:footnote>
  <w:footnote w:id="71">
    <w:p w14:paraId="6CA84038" w14:textId="77777777" w:rsidR="00632D2C" w:rsidRPr="00391668" w:rsidRDefault="00632D2C" w:rsidP="005867AA">
      <w:pPr>
        <w:pStyle w:val="FootnoteText"/>
        <w:rPr>
          <w:rFonts w:cstheme="minorHAnsi"/>
        </w:rPr>
      </w:pPr>
      <w:r w:rsidRPr="00391668">
        <w:rPr>
          <w:rStyle w:val="FootnoteReference"/>
          <w:rFonts w:cstheme="minorHAnsi"/>
        </w:rPr>
        <w:footnoteRef/>
      </w:r>
      <w:r w:rsidRPr="00391668">
        <w:rPr>
          <w:rFonts w:cstheme="minorHAnsi"/>
        </w:rPr>
        <w:t xml:space="preserve"> </w:t>
      </w:r>
      <w:hyperlink r:id="rId46" w:history="1">
        <w:r w:rsidRPr="00391668">
          <w:rPr>
            <w:rStyle w:val="Hyperlink"/>
            <w:rFonts w:cstheme="minorHAnsi"/>
          </w:rPr>
          <w:t>Commission Annual Report 2021-22</w:t>
        </w:r>
      </w:hyperlink>
    </w:p>
  </w:footnote>
  <w:footnote w:id="72">
    <w:p w14:paraId="2D2998B1" w14:textId="77777777" w:rsidR="00632D2C" w:rsidRPr="00391668" w:rsidRDefault="00632D2C" w:rsidP="005867AA">
      <w:pPr>
        <w:pStyle w:val="FootnoteText"/>
        <w:rPr>
          <w:rFonts w:cstheme="minorHAnsi"/>
        </w:rPr>
      </w:pPr>
      <w:r w:rsidRPr="00391668">
        <w:rPr>
          <w:rStyle w:val="FootnoteReference"/>
          <w:rFonts w:cstheme="minorHAnsi"/>
        </w:rPr>
        <w:footnoteRef/>
      </w:r>
      <w:r w:rsidRPr="00391668">
        <w:rPr>
          <w:rFonts w:cstheme="minorHAnsi"/>
        </w:rPr>
        <w:t xml:space="preserve"> </w:t>
      </w:r>
      <w:r>
        <w:rPr>
          <w:rFonts w:cstheme="minorHAnsi"/>
        </w:rPr>
        <w:t xml:space="preserve">Commission PowerPoint </w:t>
      </w:r>
      <w:r w:rsidRPr="00391668">
        <w:rPr>
          <w:rFonts w:cstheme="minorHAnsi"/>
        </w:rPr>
        <w:t>Session 6: Consumer and provider engagement, communication and education</w:t>
      </w:r>
      <w:r>
        <w:rPr>
          <w:rFonts w:cstheme="minorHAnsi"/>
        </w:rPr>
        <w:t xml:space="preserve">, </w:t>
      </w:r>
      <w:r w:rsidRPr="00391668">
        <w:rPr>
          <w:rFonts w:cstheme="minorHAnsi"/>
        </w:rPr>
        <w:t>15 November 2022</w:t>
      </w:r>
    </w:p>
  </w:footnote>
  <w:footnote w:id="73">
    <w:p w14:paraId="0BE5DB71" w14:textId="77777777" w:rsidR="00632D2C" w:rsidRDefault="00632D2C" w:rsidP="005867AA">
      <w:pPr>
        <w:pStyle w:val="FootnoteText"/>
      </w:pPr>
      <w:r w:rsidRPr="00391668">
        <w:rPr>
          <w:rStyle w:val="FootnoteReference"/>
          <w:rFonts w:cstheme="minorHAnsi"/>
        </w:rPr>
        <w:footnoteRef/>
      </w:r>
      <w:r w:rsidRPr="00391668">
        <w:rPr>
          <w:rFonts w:cstheme="minorHAnsi"/>
        </w:rPr>
        <w:t xml:space="preserve"> </w:t>
      </w:r>
      <w:hyperlink r:id="rId47" w:history="1">
        <w:r>
          <w:rPr>
            <w:rStyle w:val="Hyperlink"/>
            <w:rFonts w:cstheme="minorHAnsi"/>
          </w:rPr>
          <w:t>Commission Corporate Plan 2022-23</w:t>
        </w:r>
      </w:hyperlink>
      <w:r>
        <w:rPr>
          <w:rFonts w:cstheme="minorHAnsi"/>
        </w:rPr>
        <w:t xml:space="preserve"> </w:t>
      </w:r>
      <w:r w:rsidRPr="00391668">
        <w:rPr>
          <w:rFonts w:cstheme="minorHAnsi"/>
        </w:rPr>
        <w:t>p.15</w:t>
      </w:r>
    </w:p>
  </w:footnote>
  <w:footnote w:id="74">
    <w:p w14:paraId="30755ED2" w14:textId="77777777" w:rsidR="00632D2C" w:rsidRDefault="00632D2C" w:rsidP="005867AA">
      <w:pPr>
        <w:pStyle w:val="FootnoteText"/>
      </w:pPr>
      <w:r>
        <w:rPr>
          <w:rStyle w:val="FootnoteReference"/>
        </w:rPr>
        <w:footnoteRef/>
      </w:r>
      <w:r>
        <w:t xml:space="preserve"> Commission policy paper, Becoming a world-class regulator of aged care in Australia, 2022.</w:t>
      </w:r>
    </w:p>
  </w:footnote>
  <w:footnote w:id="75">
    <w:p w14:paraId="0889EF22" w14:textId="77777777" w:rsidR="00632D2C" w:rsidRDefault="00632D2C" w:rsidP="005867AA">
      <w:pPr>
        <w:pStyle w:val="FootnoteText"/>
      </w:pPr>
      <w:r>
        <w:rPr>
          <w:rStyle w:val="FootnoteReference"/>
        </w:rPr>
        <w:footnoteRef/>
      </w:r>
      <w:r>
        <w:t xml:space="preserve"> Commission policy paper, Becoming a world-class regulator of aged care in Australia, 2022.</w:t>
      </w:r>
    </w:p>
  </w:footnote>
  <w:footnote w:id="76">
    <w:p w14:paraId="006CD85E" w14:textId="1E38F8F7" w:rsidR="00632D2C" w:rsidRDefault="00632D2C" w:rsidP="005867AA">
      <w:pPr>
        <w:pStyle w:val="FootnoteText"/>
      </w:pPr>
      <w:r>
        <w:rPr>
          <w:rStyle w:val="FootnoteReference"/>
        </w:rPr>
        <w:footnoteRef/>
      </w:r>
      <w:r>
        <w:t xml:space="preserve"> </w:t>
      </w:r>
      <w:r>
        <w:rPr>
          <w:rFonts w:cstheme="minorHAnsi"/>
        </w:rPr>
        <w:t xml:space="preserve">Grosvenor, Optimising capability to meet current and future challenges, </w:t>
      </w:r>
      <w:r w:rsidR="005A6AF5">
        <w:rPr>
          <w:rFonts w:cstheme="minorHAnsi"/>
        </w:rPr>
        <w:t>16 December</w:t>
      </w:r>
      <w:r>
        <w:rPr>
          <w:rFonts w:cstheme="minorHAnsi"/>
        </w:rPr>
        <w:t xml:space="preserve"> 2021 p.32 </w:t>
      </w:r>
    </w:p>
  </w:footnote>
  <w:footnote w:id="77">
    <w:p w14:paraId="1EA4826F" w14:textId="77777777" w:rsidR="00632D2C" w:rsidRDefault="00632D2C" w:rsidP="005867AA">
      <w:pPr>
        <w:pStyle w:val="FootnoteText"/>
      </w:pPr>
      <w:r>
        <w:rPr>
          <w:rStyle w:val="FootnoteReference"/>
        </w:rPr>
        <w:footnoteRef/>
      </w:r>
      <w:r>
        <w:t xml:space="preserve"> </w:t>
      </w:r>
      <w:hyperlink r:id="rId48" w:history="1">
        <w:r w:rsidRPr="004D3FD9">
          <w:rPr>
            <w:rStyle w:val="Hyperlink"/>
          </w:rPr>
          <w:t>Care Quality Commission (cqc.org.uk)</w:t>
        </w:r>
      </w:hyperlink>
    </w:p>
  </w:footnote>
  <w:footnote w:id="78">
    <w:p w14:paraId="47BCFE8A" w14:textId="77777777" w:rsidR="00632D2C" w:rsidRPr="00473FA2" w:rsidRDefault="00632D2C" w:rsidP="009200C1">
      <w:pPr>
        <w:pStyle w:val="FootnoteText"/>
        <w:rPr>
          <w:rFonts w:cstheme="minorHAnsi"/>
        </w:rPr>
      </w:pPr>
      <w:r w:rsidRPr="00473FA2">
        <w:rPr>
          <w:rStyle w:val="FootnoteReference"/>
          <w:rFonts w:cstheme="minorHAnsi"/>
        </w:rPr>
        <w:footnoteRef/>
      </w:r>
      <w:r w:rsidRPr="00473FA2">
        <w:rPr>
          <w:rFonts w:cstheme="minorHAnsi"/>
        </w:rPr>
        <w:t xml:space="preserve"> Commission </w:t>
      </w:r>
      <w:r>
        <w:rPr>
          <w:rFonts w:cstheme="minorHAnsi"/>
        </w:rPr>
        <w:t xml:space="preserve">response to request for information: </w:t>
      </w:r>
      <w:r w:rsidRPr="00473FA2">
        <w:rPr>
          <w:rFonts w:cstheme="minorHAnsi"/>
        </w:rPr>
        <w:t>Quality controls for quality assessors</w:t>
      </w:r>
    </w:p>
  </w:footnote>
  <w:footnote w:id="79">
    <w:p w14:paraId="25129760" w14:textId="34115804" w:rsidR="00632D2C" w:rsidRPr="00473FA2" w:rsidRDefault="00632D2C" w:rsidP="009200C1">
      <w:pPr>
        <w:pStyle w:val="FootnoteText"/>
        <w:rPr>
          <w:rFonts w:cstheme="minorHAnsi"/>
        </w:rPr>
      </w:pPr>
      <w:r w:rsidRPr="00473FA2">
        <w:rPr>
          <w:rStyle w:val="FootnoteReference"/>
          <w:rFonts w:cstheme="minorHAnsi"/>
        </w:rPr>
        <w:footnoteRef/>
      </w:r>
      <w:r w:rsidRPr="00473FA2">
        <w:rPr>
          <w:rFonts w:cstheme="minorHAnsi"/>
        </w:rPr>
        <w:t xml:space="preserve"> </w:t>
      </w:r>
      <w:r w:rsidR="00033025">
        <w:rPr>
          <w:rFonts w:cstheme="minorHAnsi"/>
        </w:rPr>
        <w:t xml:space="preserve">Current </w:t>
      </w:r>
      <w:proofErr w:type="gramStart"/>
      <w:r w:rsidR="00033025">
        <w:rPr>
          <w:rFonts w:cstheme="minorHAnsi"/>
        </w:rPr>
        <w:t>at</w:t>
      </w:r>
      <w:proofErr w:type="gramEnd"/>
      <w:r w:rsidR="00033025">
        <w:rPr>
          <w:rFonts w:cstheme="minorHAnsi"/>
        </w:rPr>
        <w:t xml:space="preserve"> 19 January 2023</w:t>
      </w:r>
    </w:p>
  </w:footnote>
  <w:footnote w:id="80">
    <w:p w14:paraId="1C22143B" w14:textId="77777777" w:rsidR="00632D2C" w:rsidRPr="00473FA2" w:rsidRDefault="00632D2C" w:rsidP="009200C1">
      <w:pPr>
        <w:pStyle w:val="FootnoteText"/>
        <w:rPr>
          <w:rFonts w:cstheme="minorHAnsi"/>
        </w:rPr>
      </w:pPr>
      <w:r w:rsidRPr="00473FA2">
        <w:rPr>
          <w:rStyle w:val="FootnoteReference"/>
          <w:rFonts w:cstheme="minorHAnsi"/>
        </w:rPr>
        <w:footnoteRef/>
      </w:r>
      <w:r w:rsidRPr="00473FA2">
        <w:rPr>
          <w:rFonts w:cstheme="minorHAnsi"/>
        </w:rPr>
        <w:t xml:space="preserve"> Commission </w:t>
      </w:r>
      <w:r>
        <w:rPr>
          <w:rFonts w:cstheme="minorHAnsi"/>
        </w:rPr>
        <w:t xml:space="preserve">response to request for information: </w:t>
      </w:r>
      <w:r w:rsidRPr="00473FA2">
        <w:rPr>
          <w:rFonts w:cstheme="minorHAnsi"/>
        </w:rPr>
        <w:t>Quality controls for quality assessors</w:t>
      </w:r>
    </w:p>
  </w:footnote>
  <w:footnote w:id="81">
    <w:p w14:paraId="422E39DE" w14:textId="77777777" w:rsidR="00632D2C" w:rsidRDefault="00632D2C" w:rsidP="009200C1">
      <w:pPr>
        <w:pStyle w:val="FootnoteText"/>
      </w:pPr>
      <w:r w:rsidRPr="00473FA2">
        <w:rPr>
          <w:rStyle w:val="FootnoteReference"/>
          <w:rFonts w:cstheme="minorHAnsi"/>
        </w:rPr>
        <w:footnoteRef/>
      </w:r>
      <w:r w:rsidRPr="00473FA2">
        <w:rPr>
          <w:rFonts w:cstheme="minorHAnsi"/>
        </w:rPr>
        <w:t xml:space="preserve"> Commission </w:t>
      </w:r>
      <w:r>
        <w:rPr>
          <w:rFonts w:cstheme="minorHAnsi"/>
        </w:rPr>
        <w:t xml:space="preserve">response to request for information: </w:t>
      </w:r>
      <w:r w:rsidRPr="00473FA2">
        <w:rPr>
          <w:rFonts w:cstheme="minorHAnsi"/>
        </w:rPr>
        <w:t>Quality controls for quality assessors</w:t>
      </w:r>
    </w:p>
  </w:footnote>
  <w:footnote w:id="82">
    <w:p w14:paraId="166A8065" w14:textId="77777777" w:rsidR="00632D2C" w:rsidRPr="00473FA2" w:rsidRDefault="00632D2C" w:rsidP="009200C1">
      <w:pPr>
        <w:pStyle w:val="FootnoteText"/>
        <w:rPr>
          <w:rFonts w:cstheme="minorHAnsi"/>
        </w:rPr>
      </w:pPr>
      <w:r w:rsidRPr="00473FA2">
        <w:rPr>
          <w:rStyle w:val="FootnoteReference"/>
          <w:rFonts w:cstheme="minorHAnsi"/>
        </w:rPr>
        <w:footnoteRef/>
      </w:r>
      <w:r w:rsidRPr="00473FA2">
        <w:rPr>
          <w:rFonts w:cstheme="minorHAnsi"/>
        </w:rPr>
        <w:t xml:space="preserve"> </w:t>
      </w:r>
      <w:hyperlink r:id="rId49" w:history="1">
        <w:r w:rsidRPr="00473FA2">
          <w:rPr>
            <w:rStyle w:val="Hyperlink"/>
            <w:rFonts w:cstheme="minorHAnsi"/>
          </w:rPr>
          <w:t>Commission Corporate Plan 2022-23</w:t>
        </w:r>
      </w:hyperlink>
    </w:p>
  </w:footnote>
  <w:footnote w:id="83">
    <w:p w14:paraId="48782A50" w14:textId="620B66DB" w:rsidR="00632D2C" w:rsidRPr="002C6288" w:rsidRDefault="00632D2C" w:rsidP="009200C1">
      <w:pPr>
        <w:pStyle w:val="FootnoteText"/>
      </w:pPr>
      <w:r>
        <w:rPr>
          <w:rStyle w:val="FootnoteReference"/>
        </w:rPr>
        <w:footnoteRef/>
      </w:r>
      <w:r>
        <w:t xml:space="preserve"> </w:t>
      </w:r>
      <w:r w:rsidRPr="002C6288">
        <w:t xml:space="preserve">Commission </w:t>
      </w:r>
      <w:r w:rsidR="00773CC2">
        <w:t>response to request for information</w:t>
      </w:r>
      <w:r w:rsidRPr="002C6288">
        <w:t>: Additional Funding for Site (reaccreditation) Audits 2023</w:t>
      </w:r>
      <w:r w:rsidR="00773CC2">
        <w:noBreakHyphen/>
      </w:r>
      <w:r w:rsidRPr="002C6288">
        <w:t xml:space="preserve">24 </w:t>
      </w:r>
    </w:p>
  </w:footnote>
  <w:footnote w:id="84">
    <w:p w14:paraId="60923B46" w14:textId="1CA35741" w:rsidR="00632D2C" w:rsidRDefault="00632D2C" w:rsidP="009200C1">
      <w:pPr>
        <w:pStyle w:val="FootnoteText"/>
      </w:pPr>
      <w:r w:rsidRPr="002C6288">
        <w:rPr>
          <w:rStyle w:val="FootnoteReference"/>
        </w:rPr>
        <w:footnoteRef/>
      </w:r>
      <w:r w:rsidRPr="002C6288">
        <w:t xml:space="preserve"> Commission response to</w:t>
      </w:r>
      <w:r>
        <w:t xml:space="preserve"> request for information: Third Party Provider Overview</w:t>
      </w:r>
    </w:p>
  </w:footnote>
  <w:footnote w:id="85">
    <w:p w14:paraId="5FF3F5D6" w14:textId="77777777" w:rsidR="00632D2C" w:rsidRDefault="00632D2C" w:rsidP="005C65B7">
      <w:pPr>
        <w:pStyle w:val="FootnoteText"/>
      </w:pPr>
      <w:r w:rsidRPr="00473FA2">
        <w:rPr>
          <w:rStyle w:val="FootnoteReference"/>
          <w:rFonts w:cstheme="minorHAnsi"/>
        </w:rPr>
        <w:footnoteRef/>
      </w:r>
      <w:r w:rsidRPr="00473FA2">
        <w:rPr>
          <w:rFonts w:cstheme="minorHAnsi"/>
        </w:rPr>
        <w:t xml:space="preserve"> </w:t>
      </w:r>
      <w:r>
        <w:rPr>
          <w:rFonts w:cstheme="minorHAnsi"/>
        </w:rPr>
        <w:t>Commission</w:t>
      </w:r>
      <w:r w:rsidRPr="00473FA2">
        <w:rPr>
          <w:rFonts w:cstheme="minorHAnsi"/>
        </w:rPr>
        <w:t xml:space="preserve"> factsheet</w:t>
      </w:r>
      <w:r>
        <w:rPr>
          <w:rFonts w:cstheme="minorHAnsi"/>
        </w:rPr>
        <w:t>,</w:t>
      </w:r>
      <w:r w:rsidRPr="00473FA2">
        <w:rPr>
          <w:rFonts w:cstheme="minorHAnsi"/>
        </w:rPr>
        <w:t xml:space="preserve"> </w:t>
      </w:r>
      <w:hyperlink r:id="rId50" w:history="1">
        <w:r w:rsidRPr="00473FA2">
          <w:rPr>
            <w:rStyle w:val="Hyperlink"/>
            <w:rFonts w:cstheme="minorHAnsi"/>
          </w:rPr>
          <w:t>Strengthened Aged Care Quality Standards pilot program</w:t>
        </w:r>
      </w:hyperlink>
    </w:p>
  </w:footnote>
  <w:footnote w:id="86">
    <w:p w14:paraId="72F8DAEA" w14:textId="0691CD9E" w:rsidR="00632D2C" w:rsidRDefault="00632D2C" w:rsidP="005C65B7">
      <w:pPr>
        <w:pStyle w:val="FootnoteText"/>
      </w:pPr>
      <w:r>
        <w:rPr>
          <w:rStyle w:val="FootnoteReference"/>
        </w:rPr>
        <w:footnoteRef/>
      </w:r>
      <w:r>
        <w:t xml:space="preserve"> Commission response to request for information</w:t>
      </w:r>
    </w:p>
  </w:footnote>
  <w:footnote w:id="87">
    <w:p w14:paraId="33EC0D13" w14:textId="77777777" w:rsidR="00632D2C" w:rsidRDefault="00632D2C" w:rsidP="005C65B7">
      <w:pPr>
        <w:pStyle w:val="FootnoteText"/>
      </w:pPr>
      <w:r>
        <w:rPr>
          <w:rStyle w:val="FootnoteReference"/>
        </w:rPr>
        <w:footnoteRef/>
      </w:r>
      <w:r>
        <w:t xml:space="preserve"> Commission PowerPoint Session 2: Regulatory Strategy and Aged Care reforms, 3 November 2022. </w:t>
      </w:r>
    </w:p>
  </w:footnote>
  <w:footnote w:id="88">
    <w:p w14:paraId="0DC9739D" w14:textId="536049B7" w:rsidR="00632D2C" w:rsidRPr="005B0931" w:rsidRDefault="00632D2C" w:rsidP="005C65B7">
      <w:pPr>
        <w:pStyle w:val="FootnoteText"/>
        <w:rPr>
          <w:rFonts w:cstheme="minorHAnsi"/>
        </w:rPr>
      </w:pPr>
      <w:r w:rsidRPr="005B0931">
        <w:rPr>
          <w:rStyle w:val="FootnoteReference"/>
          <w:rFonts w:cstheme="minorHAnsi"/>
        </w:rPr>
        <w:footnoteRef/>
      </w:r>
      <w:r w:rsidRPr="005B0931">
        <w:rPr>
          <w:rFonts w:cstheme="minorHAnsi"/>
        </w:rPr>
        <w:t xml:space="preserve"> </w:t>
      </w:r>
      <w:hyperlink r:id="rId51" w:history="1">
        <w:r w:rsidRPr="00441D83">
          <w:rPr>
            <w:rStyle w:val="Hyperlink"/>
            <w:rFonts w:cstheme="minorHAnsi"/>
            <w:shd w:val="clear" w:color="auto" w:fill="FFFFFF"/>
          </w:rPr>
          <w:t xml:space="preserve">OECD 2014, </w:t>
        </w:r>
        <w:r w:rsidRPr="00441D83">
          <w:rPr>
            <w:rStyle w:val="Hyperlink"/>
            <w:rFonts w:cstheme="minorHAnsi"/>
          </w:rPr>
          <w:t>The Governance of Regulators</w:t>
        </w:r>
        <w:r w:rsidRPr="00441D83">
          <w:rPr>
            <w:rStyle w:val="Hyperlink"/>
            <w:rFonts w:cstheme="minorHAnsi"/>
            <w:shd w:val="clear" w:color="auto" w:fill="FFFFFF"/>
          </w:rPr>
          <w:t>, OECD Best Practice Principles for Regulatory Policy</w:t>
        </w:r>
      </w:hyperlink>
    </w:p>
  </w:footnote>
  <w:footnote w:id="89">
    <w:p w14:paraId="4A2FF292" w14:textId="2F107CD1" w:rsidR="00701DF9" w:rsidRDefault="00701DF9" w:rsidP="00701DF9">
      <w:pPr>
        <w:pStyle w:val="FootnoteText"/>
      </w:pPr>
      <w:r>
        <w:rPr>
          <w:rStyle w:val="FootnoteReference"/>
        </w:rPr>
        <w:footnoteRef/>
      </w:r>
      <w:r>
        <w:t xml:space="preserve"> </w:t>
      </w:r>
      <w:r>
        <w:rPr>
          <w:lang w:val="en-US"/>
        </w:rPr>
        <w:t>Full</w:t>
      </w:r>
      <w:r w:rsidRPr="00626A3B">
        <w:rPr>
          <w:lang w:val="en-US"/>
        </w:rPr>
        <w:t xml:space="preserve"> list of reviewable decisions is set out in </w:t>
      </w:r>
      <w:r>
        <w:rPr>
          <w:lang w:val="en-US"/>
        </w:rPr>
        <w:t xml:space="preserve">section </w:t>
      </w:r>
      <w:r w:rsidRPr="00626A3B">
        <w:rPr>
          <w:lang w:val="en-US"/>
        </w:rPr>
        <w:t xml:space="preserve">74J of the </w:t>
      </w:r>
      <w:hyperlink r:id="rId52" w:history="1">
        <w:r w:rsidRPr="00626A3B">
          <w:rPr>
            <w:rStyle w:val="Hyperlink"/>
            <w:lang w:val="en-US"/>
          </w:rPr>
          <w:t>Aged Care Quality and Safety Commission Act 2018</w:t>
        </w:r>
      </w:hyperlink>
      <w:r w:rsidRPr="00DB6844">
        <w:rPr>
          <w:i/>
          <w:iCs/>
          <w:lang w:val="en-US"/>
        </w:rPr>
        <w:t xml:space="preserve"> </w:t>
      </w:r>
    </w:p>
  </w:footnote>
  <w:footnote w:id="90">
    <w:p w14:paraId="49241EF0" w14:textId="77777777" w:rsidR="00632D2C" w:rsidRPr="005B0931" w:rsidRDefault="00632D2C" w:rsidP="005C65B7">
      <w:pPr>
        <w:pStyle w:val="FootnoteText"/>
        <w:rPr>
          <w:rFonts w:cstheme="minorHAnsi"/>
        </w:rPr>
      </w:pPr>
      <w:r w:rsidRPr="005B0931">
        <w:rPr>
          <w:rStyle w:val="FootnoteReference"/>
          <w:rFonts w:cstheme="minorHAnsi"/>
        </w:rPr>
        <w:footnoteRef/>
      </w:r>
      <w:r w:rsidRPr="005B0931">
        <w:rPr>
          <w:rFonts w:cstheme="minorHAnsi"/>
        </w:rPr>
        <w:t xml:space="preserve"> </w:t>
      </w:r>
      <w:hyperlink r:id="rId53" w:history="1">
        <w:r w:rsidRPr="00441D83">
          <w:rPr>
            <w:rStyle w:val="Hyperlink"/>
            <w:rFonts w:cstheme="minorHAnsi"/>
          </w:rPr>
          <w:t>Aged Care Quality and Safety Commission Act 2018</w:t>
        </w:r>
      </w:hyperlink>
      <w:r w:rsidRPr="005B0931">
        <w:rPr>
          <w:rFonts w:cstheme="minorHAnsi"/>
        </w:rPr>
        <w:t xml:space="preserve"> </w:t>
      </w:r>
      <w:r>
        <w:rPr>
          <w:rFonts w:cstheme="minorHAnsi"/>
        </w:rPr>
        <w:t xml:space="preserve">; </w:t>
      </w:r>
      <w:hyperlink r:id="rId54" w:history="1">
        <w:r w:rsidRPr="00441D83">
          <w:rPr>
            <w:rStyle w:val="Hyperlink"/>
            <w:rFonts w:cstheme="minorHAnsi"/>
          </w:rPr>
          <w:t>Aged Care Quality and Safety Commission Rules 2018</w:t>
        </w:r>
      </w:hyperlink>
    </w:p>
  </w:footnote>
  <w:footnote w:id="91">
    <w:p w14:paraId="5077DEC7" w14:textId="77777777" w:rsidR="00632D2C" w:rsidRPr="004110E7" w:rsidRDefault="00632D2C" w:rsidP="004110E7">
      <w:pPr>
        <w:pStyle w:val="FootnoteText"/>
        <w:rPr>
          <w:rFonts w:cstheme="minorHAnsi"/>
        </w:rPr>
      </w:pPr>
      <w:r w:rsidRPr="005B0931">
        <w:rPr>
          <w:rStyle w:val="FootnoteReference"/>
          <w:rFonts w:cstheme="minorHAnsi"/>
        </w:rPr>
        <w:footnoteRef/>
      </w:r>
      <w:r>
        <w:rPr>
          <w:rFonts w:cstheme="minorHAnsi"/>
        </w:rPr>
        <w:t xml:space="preserve"> </w:t>
      </w:r>
      <w:hyperlink r:id="rId55" w:history="1">
        <w:r w:rsidRPr="005B0931">
          <w:rPr>
            <w:rStyle w:val="Hyperlink"/>
            <w:rFonts w:cstheme="minorHAnsi"/>
          </w:rPr>
          <w:t>Commission Regulatory Bulletin 2021-12 Reconsideration of reviewable decisions</w:t>
        </w:r>
      </w:hyperlink>
    </w:p>
  </w:footnote>
  <w:footnote w:id="92">
    <w:p w14:paraId="04109112" w14:textId="77777777" w:rsidR="00632D2C" w:rsidRDefault="00632D2C" w:rsidP="004110E7">
      <w:pPr>
        <w:pStyle w:val="FootnoteText"/>
      </w:pPr>
      <w:r w:rsidRPr="00820ED7">
        <w:rPr>
          <w:rStyle w:val="FootnoteReference"/>
          <w:rFonts w:cstheme="minorHAnsi"/>
        </w:rPr>
        <w:footnoteRef/>
      </w:r>
      <w:r w:rsidRPr="00820ED7">
        <w:rPr>
          <w:rFonts w:cstheme="minorHAnsi"/>
        </w:rPr>
        <w:t xml:space="preserve"> </w:t>
      </w:r>
      <w:hyperlink r:id="rId56" w:history="1">
        <w:r w:rsidRPr="00820ED7">
          <w:rPr>
            <w:rStyle w:val="Hyperlink"/>
            <w:rFonts w:cstheme="minorHAnsi"/>
          </w:rPr>
          <w:t>Commission Annual Report 2021-22</w:t>
        </w:r>
      </w:hyperlink>
      <w:r>
        <w:rPr>
          <w:rFonts w:cstheme="minorHAnsi"/>
        </w:rPr>
        <w:t xml:space="preserve"> </w:t>
      </w:r>
      <w:r w:rsidRPr="00820ED7">
        <w:rPr>
          <w:rFonts w:cstheme="minorHAnsi"/>
        </w:rPr>
        <w:t>p. 176-177</w:t>
      </w:r>
    </w:p>
  </w:footnote>
  <w:footnote w:id="93">
    <w:p w14:paraId="04C4BB97" w14:textId="77777777" w:rsidR="00632D2C" w:rsidRPr="006B4884" w:rsidRDefault="00632D2C" w:rsidP="004110E7">
      <w:pPr>
        <w:pStyle w:val="FootnoteText"/>
        <w:rPr>
          <w:rFonts w:cstheme="minorHAnsi"/>
        </w:rPr>
      </w:pPr>
      <w:r w:rsidRPr="006B4884">
        <w:rPr>
          <w:rStyle w:val="FootnoteReference"/>
          <w:rFonts w:cstheme="minorHAnsi"/>
        </w:rPr>
        <w:footnoteRef/>
      </w:r>
      <w:r w:rsidRPr="006B4884">
        <w:rPr>
          <w:rFonts w:cstheme="minorHAnsi"/>
        </w:rPr>
        <w:t xml:space="preserve"> </w:t>
      </w:r>
      <w:hyperlink r:id="rId57" w:history="1">
        <w:r w:rsidRPr="00AE52D3">
          <w:rPr>
            <w:rStyle w:val="Hyperlink"/>
            <w:rFonts w:cstheme="minorHAnsi"/>
          </w:rPr>
          <w:t>Royal Commission into Aged Care Quality and Safety, A Summary of the Final Report</w:t>
        </w:r>
      </w:hyperlink>
    </w:p>
  </w:footnote>
  <w:footnote w:id="94">
    <w:p w14:paraId="55475A30" w14:textId="77777777" w:rsidR="00632D2C" w:rsidRPr="006B4884" w:rsidRDefault="00632D2C" w:rsidP="004110E7">
      <w:pPr>
        <w:pStyle w:val="FootnoteText"/>
        <w:rPr>
          <w:rFonts w:cstheme="minorHAnsi"/>
        </w:rPr>
      </w:pPr>
      <w:r w:rsidRPr="006B4884">
        <w:rPr>
          <w:rStyle w:val="FootnoteReference"/>
          <w:rFonts w:cstheme="minorHAnsi"/>
        </w:rPr>
        <w:footnoteRef/>
      </w:r>
      <w:r w:rsidRPr="006B4884">
        <w:rPr>
          <w:rFonts w:cstheme="minorHAnsi"/>
        </w:rPr>
        <w:t xml:space="preserve"> </w:t>
      </w:r>
      <w:hyperlink r:id="rId58" w:history="1">
        <w:r w:rsidRPr="00AE52D3">
          <w:rPr>
            <w:rStyle w:val="Hyperlink"/>
            <w:rFonts w:cstheme="minorHAnsi"/>
          </w:rPr>
          <w:t>Commission website</w:t>
        </w:r>
      </w:hyperlink>
      <w:r>
        <w:rPr>
          <w:rFonts w:cstheme="minorHAnsi"/>
        </w:rPr>
        <w:t xml:space="preserve"> </w:t>
      </w:r>
    </w:p>
  </w:footnote>
  <w:footnote w:id="95">
    <w:p w14:paraId="6B13EE85" w14:textId="77777777" w:rsidR="00632D2C" w:rsidRDefault="00632D2C" w:rsidP="004110E7">
      <w:pPr>
        <w:pStyle w:val="FootnoteText"/>
      </w:pPr>
      <w:r w:rsidRPr="006B4884">
        <w:rPr>
          <w:rStyle w:val="FootnoteReference"/>
          <w:rFonts w:cstheme="minorHAnsi"/>
        </w:rPr>
        <w:footnoteRef/>
      </w:r>
      <w:r w:rsidRPr="006B4884">
        <w:rPr>
          <w:rFonts w:cstheme="minorHAnsi"/>
        </w:rPr>
        <w:t xml:space="preserve"> Commission PowerPoint Session 3: Commission functions, 8 November 2022</w:t>
      </w:r>
    </w:p>
  </w:footnote>
  <w:footnote w:id="96">
    <w:p w14:paraId="1AA02BBB" w14:textId="77777777" w:rsidR="00632D2C" w:rsidRDefault="00632D2C" w:rsidP="004110E7">
      <w:pPr>
        <w:pStyle w:val="FootnoteText"/>
      </w:pPr>
      <w:r>
        <w:rPr>
          <w:rStyle w:val="FootnoteReference"/>
        </w:rPr>
        <w:footnoteRef/>
      </w:r>
      <w:r w:rsidRPr="00213ABF">
        <w:rPr>
          <w:rFonts w:cstheme="minorHAnsi"/>
        </w:rPr>
        <w:t xml:space="preserve"> </w:t>
      </w:r>
      <w:hyperlink r:id="rId59" w:history="1">
        <w:r w:rsidRPr="004B5328">
          <w:rPr>
            <w:rStyle w:val="Hyperlink"/>
            <w:rFonts w:cstheme="minorHAnsi"/>
          </w:rPr>
          <w:t>Royal Commission into Aged Care Quality and Safety, A Summary of the Final Report</w:t>
        </w:r>
        <w:r w:rsidRPr="004B5328">
          <w:rPr>
            <w:rStyle w:val="Hyperlink"/>
          </w:rPr>
          <w:t xml:space="preserve"> </w:t>
        </w:r>
      </w:hyperlink>
      <w:r>
        <w:t xml:space="preserve">; </w:t>
      </w:r>
      <w:hyperlink r:id="rId60" w:history="1">
        <w:r>
          <w:rPr>
            <w:rStyle w:val="Hyperlink"/>
          </w:rPr>
          <w:t>Aged Care Royal Commission Final Report: Recommendations</w:t>
        </w:r>
      </w:hyperlink>
    </w:p>
  </w:footnote>
  <w:footnote w:id="97">
    <w:p w14:paraId="6F0B5AE4" w14:textId="77777777" w:rsidR="00632D2C" w:rsidRDefault="00632D2C" w:rsidP="004110E7">
      <w:pPr>
        <w:pStyle w:val="FootnoteText"/>
      </w:pPr>
      <w:r>
        <w:rPr>
          <w:rStyle w:val="FootnoteReference"/>
        </w:rPr>
        <w:footnoteRef/>
      </w:r>
      <w:r>
        <w:t xml:space="preserve"> </w:t>
      </w:r>
      <w:proofErr w:type="spellStart"/>
      <w:r>
        <w:t>Labor</w:t>
      </w:r>
      <w:proofErr w:type="spellEnd"/>
      <w:r>
        <w:t xml:space="preserve"> election policy, July 2022</w:t>
      </w:r>
    </w:p>
  </w:footnote>
  <w:footnote w:id="98">
    <w:p w14:paraId="186123ED" w14:textId="77777777" w:rsidR="007A57C4" w:rsidRDefault="007A57C4" w:rsidP="007A57C4">
      <w:pPr>
        <w:pStyle w:val="FootnoteText"/>
      </w:pPr>
      <w:r>
        <w:rPr>
          <w:rStyle w:val="FootnoteReference"/>
        </w:rPr>
        <w:footnoteRef/>
      </w:r>
      <w:r>
        <w:t xml:space="preserve"> </w:t>
      </w:r>
      <w:r>
        <w:rPr>
          <w:rFonts w:cstheme="minorHAnsi"/>
        </w:rPr>
        <w:t>Commission PowerPoint Session 3: Commission functions, 8 November 2022</w:t>
      </w:r>
    </w:p>
  </w:footnote>
  <w:footnote w:id="99">
    <w:p w14:paraId="138F009C" w14:textId="77777777" w:rsidR="00632D2C" w:rsidRDefault="00024728" w:rsidP="00F7295A">
      <w:pPr>
        <w:pStyle w:val="FootnoteText"/>
      </w:pPr>
      <w:hyperlink r:id="rId61" w:history="1">
        <w:r w:rsidR="00632D2C" w:rsidRPr="00722E39">
          <w:rPr>
            <w:rStyle w:val="Hyperlink"/>
            <w:u w:val="none"/>
            <w:vertAlign w:val="superscript"/>
          </w:rPr>
          <w:footnoteRef/>
        </w:r>
        <w:r w:rsidR="00632D2C" w:rsidRPr="00722E39">
          <w:t xml:space="preserve"> </w:t>
        </w:r>
        <w:r w:rsidR="00632D2C" w:rsidRPr="00A86D2D">
          <w:rPr>
            <w:rStyle w:val="Hyperlink"/>
          </w:rPr>
          <w:t>Commission Financial and Prudential Regulatory Insights – February 2023</w:t>
        </w:r>
      </w:hyperlink>
      <w:r w:rsidR="00632D2C" w:rsidRPr="00A86D2D">
        <w:t xml:space="preserve"> </w:t>
      </w:r>
      <w:r w:rsidR="00632D2C">
        <w:t xml:space="preserve">; </w:t>
      </w:r>
      <w:hyperlink r:id="rId62" w:history="1">
        <w:r w:rsidR="00632D2C" w:rsidRPr="00722E39">
          <w:rPr>
            <w:rStyle w:val="Hyperlink"/>
          </w:rPr>
          <w:t>Commission Aged Care Quality Bulletin #38 – February 2022</w:t>
        </w:r>
      </w:hyperlink>
      <w:r w:rsidR="00632D2C" w:rsidRPr="00B859AD">
        <w:rPr>
          <w:color w:val="0000FF"/>
          <w:u w:val="single"/>
        </w:rPr>
        <w:t xml:space="preserve"> </w:t>
      </w:r>
    </w:p>
  </w:footnote>
  <w:footnote w:id="100">
    <w:p w14:paraId="322A1B90" w14:textId="77777777" w:rsidR="00632D2C" w:rsidRDefault="00632D2C" w:rsidP="00F7295A">
      <w:pPr>
        <w:pStyle w:val="FootnoteText"/>
      </w:pPr>
      <w:r>
        <w:rPr>
          <w:rStyle w:val="FootnoteReference"/>
        </w:rPr>
        <w:footnoteRef/>
      </w:r>
      <w:r>
        <w:t xml:space="preserve"> </w:t>
      </w:r>
      <w:r>
        <w:rPr>
          <w:rFonts w:cstheme="minorHAnsi"/>
        </w:rPr>
        <w:t>Commission PowerPoint Session 3: Commission functions, 8 November 2022</w:t>
      </w:r>
    </w:p>
  </w:footnote>
  <w:footnote w:id="101">
    <w:p w14:paraId="0768F09B" w14:textId="47DB8D76" w:rsidR="00632D2C" w:rsidRDefault="00632D2C" w:rsidP="00F7295A">
      <w:pPr>
        <w:pStyle w:val="FootnoteText"/>
      </w:pPr>
      <w:r>
        <w:rPr>
          <w:rStyle w:val="FootnoteReference"/>
        </w:rPr>
        <w:footnoteRef/>
      </w:r>
      <w:r>
        <w:t xml:space="preserve"> Commission PowerPoint Session 5: Functions of the Chief Clinical Adviser, 21 November 2022</w:t>
      </w:r>
    </w:p>
  </w:footnote>
  <w:footnote w:id="102">
    <w:p w14:paraId="6C0DAFFB" w14:textId="32D5EF55" w:rsidR="00632D2C" w:rsidRDefault="00632D2C" w:rsidP="00F7295A">
      <w:pPr>
        <w:pStyle w:val="FootnoteText"/>
      </w:pPr>
      <w:r>
        <w:rPr>
          <w:rStyle w:val="FootnoteReference"/>
        </w:rPr>
        <w:footnoteRef/>
      </w:r>
      <w:r>
        <w:t xml:space="preserve"> Commission PowerPoint Session 5: Functions of the Chief Clinical Adviser, 21 November 2022</w:t>
      </w:r>
    </w:p>
  </w:footnote>
  <w:footnote w:id="103">
    <w:p w14:paraId="6E2AFC9F" w14:textId="77777777" w:rsidR="00632D2C" w:rsidRDefault="00632D2C" w:rsidP="00F7295A">
      <w:pPr>
        <w:pStyle w:val="FootnoteText"/>
      </w:pPr>
      <w:r>
        <w:rPr>
          <w:rStyle w:val="FootnoteReference"/>
        </w:rPr>
        <w:footnoteRef/>
      </w:r>
      <w:r>
        <w:t xml:space="preserve"> </w:t>
      </w:r>
      <w:r w:rsidRPr="002B4CB9">
        <w:rPr>
          <w:rFonts w:cs="Arial"/>
        </w:rPr>
        <w:t>This process commenced in July 2021</w:t>
      </w:r>
      <w:r>
        <w:rPr>
          <w:rFonts w:cs="Arial"/>
        </w:rPr>
        <w:t xml:space="preserve"> with ri</w:t>
      </w:r>
      <w:r w:rsidRPr="002B4CB9">
        <w:rPr>
          <w:rFonts w:cs="Arial"/>
        </w:rPr>
        <w:t>sk identification and monitoring transferring</w:t>
      </w:r>
      <w:r>
        <w:rPr>
          <w:rFonts w:cs="Arial"/>
        </w:rPr>
        <w:t xml:space="preserve"> on</w:t>
      </w:r>
      <w:r w:rsidRPr="002B4CB9">
        <w:rPr>
          <w:rFonts w:cs="Arial"/>
        </w:rPr>
        <w:t xml:space="preserve"> 1 July 2023</w:t>
      </w:r>
      <w:r>
        <w:rPr>
          <w:rFonts w:cs="Arial"/>
        </w:rPr>
        <w:t xml:space="preserve"> and the </w:t>
      </w:r>
      <w:r w:rsidRPr="002B4CB9">
        <w:rPr>
          <w:rFonts w:cs="Arial"/>
        </w:rPr>
        <w:t>Bond guarantee scheme (pay R</w:t>
      </w:r>
      <w:r>
        <w:rPr>
          <w:rFonts w:cs="Arial"/>
        </w:rPr>
        <w:t>efundable Accommodation Deposits</w:t>
      </w:r>
      <w:r w:rsidRPr="002B4CB9">
        <w:rPr>
          <w:rFonts w:cs="Arial"/>
        </w:rPr>
        <w:t xml:space="preserve"> back where providers insolvent) transferring</w:t>
      </w:r>
      <w:r>
        <w:rPr>
          <w:rFonts w:cs="Arial"/>
        </w:rPr>
        <w:t xml:space="preserve"> on</w:t>
      </w:r>
      <w:r w:rsidRPr="002B4CB9">
        <w:rPr>
          <w:rFonts w:cs="Arial"/>
        </w:rPr>
        <w:t xml:space="preserve"> 1 July 2024</w:t>
      </w:r>
      <w:r>
        <w:rPr>
          <w:rFonts w:cs="Arial"/>
        </w:rPr>
        <w:t>,</w:t>
      </w:r>
      <w:r w:rsidRPr="002B4CB9">
        <w:rPr>
          <w:rFonts w:cs="Arial"/>
        </w:rPr>
        <w:t xml:space="preserve"> subject to legislative changes through new Aged Care Act</w:t>
      </w:r>
    </w:p>
  </w:footnote>
  <w:footnote w:id="104">
    <w:p w14:paraId="38661B65" w14:textId="6F7DCBE3" w:rsidR="00632D2C" w:rsidRPr="0033448B" w:rsidRDefault="00632D2C" w:rsidP="00F7295A">
      <w:pPr>
        <w:pStyle w:val="FootnoteText"/>
      </w:pPr>
      <w:r>
        <w:rPr>
          <w:rStyle w:val="FootnoteReference"/>
        </w:rPr>
        <w:footnoteRef/>
      </w:r>
      <w:r>
        <w:t xml:space="preserve"> </w:t>
      </w:r>
      <w:hyperlink r:id="rId63" w:history="1">
        <w:r w:rsidRPr="0033448B">
          <w:rPr>
            <w:rStyle w:val="Hyperlink"/>
          </w:rPr>
          <w:t>OECD 2014, The Governance of Regulators, OECD Best Practice Principles for Regulatory Policy</w:t>
        </w:r>
      </w:hyperlink>
    </w:p>
  </w:footnote>
  <w:footnote w:id="105">
    <w:p w14:paraId="46439C9B" w14:textId="77777777" w:rsidR="00632D2C" w:rsidRDefault="00632D2C" w:rsidP="00F7295A">
      <w:r w:rsidRPr="0033448B">
        <w:rPr>
          <w:rStyle w:val="FootnoteReference"/>
          <w:sz w:val="20"/>
          <w:szCs w:val="20"/>
        </w:rPr>
        <w:footnoteRef/>
      </w:r>
      <w:r w:rsidRPr="0033448B">
        <w:rPr>
          <w:sz w:val="20"/>
          <w:szCs w:val="20"/>
        </w:rPr>
        <w:t xml:space="preserve"> </w:t>
      </w:r>
      <w:hyperlink r:id="rId64" w:history="1">
        <w:r w:rsidRPr="0033448B">
          <w:rPr>
            <w:rStyle w:val="Hyperlink"/>
            <w:rFonts w:cstheme="minorHAnsi"/>
            <w:sz w:val="20"/>
            <w:szCs w:val="20"/>
          </w:rPr>
          <w:t>Types of Australian Government Bodies | Department of Finance</w:t>
        </w:r>
      </w:hyperlink>
    </w:p>
  </w:footnote>
  <w:footnote w:id="106">
    <w:p w14:paraId="07B6ED31" w14:textId="77777777" w:rsidR="00632D2C" w:rsidRPr="0033448B" w:rsidRDefault="00632D2C" w:rsidP="00F7295A">
      <w:pPr>
        <w:pStyle w:val="FootnoteText"/>
      </w:pPr>
      <w:r w:rsidRPr="0033448B">
        <w:rPr>
          <w:rStyle w:val="FootnoteReference"/>
        </w:rPr>
        <w:footnoteRef/>
      </w:r>
      <w:r w:rsidRPr="0033448B">
        <w:t xml:space="preserve"> </w:t>
      </w:r>
      <w:hyperlink r:id="rId65" w:history="1">
        <w:r w:rsidRPr="0033448B">
          <w:rPr>
            <w:rStyle w:val="Hyperlink"/>
          </w:rPr>
          <w:t>OECD 2014, The Governance of Regulators, OECD Best Practice Principles for Regulatory Policy</w:t>
        </w:r>
      </w:hyperlink>
    </w:p>
  </w:footnote>
  <w:footnote w:id="107">
    <w:p w14:paraId="0F27E66F" w14:textId="77777777" w:rsidR="00632D2C" w:rsidRPr="0033448B" w:rsidRDefault="00632D2C" w:rsidP="00F7295A">
      <w:pPr>
        <w:pStyle w:val="FootnoteText"/>
      </w:pPr>
      <w:r w:rsidRPr="0033448B">
        <w:rPr>
          <w:rStyle w:val="FootnoteReference"/>
        </w:rPr>
        <w:footnoteRef/>
      </w:r>
      <w:r w:rsidRPr="0033448B">
        <w:t xml:space="preserve"> </w:t>
      </w:r>
      <w:r>
        <w:t xml:space="preserve">Department of Finance, </w:t>
      </w:r>
      <w:hyperlink r:id="rId66" w:history="1">
        <w:r w:rsidRPr="0033448B">
          <w:rPr>
            <w:rStyle w:val="Hyperlink"/>
            <w:rFonts w:cstheme="minorHAnsi"/>
          </w:rPr>
          <w:t>Public Governance, Performance and Accountability Act 2013 (PGPA Act) Commonwealth entities and companies</w:t>
        </w:r>
      </w:hyperlink>
    </w:p>
  </w:footnote>
  <w:footnote w:id="108">
    <w:p w14:paraId="65C250C3" w14:textId="77777777" w:rsidR="00632D2C" w:rsidRPr="0033448B" w:rsidRDefault="00632D2C" w:rsidP="00F7295A">
      <w:pPr>
        <w:rPr>
          <w:sz w:val="20"/>
          <w:szCs w:val="20"/>
        </w:rPr>
      </w:pPr>
      <w:r w:rsidRPr="0033448B">
        <w:rPr>
          <w:rStyle w:val="FootnoteReference"/>
          <w:sz w:val="20"/>
          <w:szCs w:val="20"/>
        </w:rPr>
        <w:footnoteRef/>
      </w:r>
      <w:r w:rsidRPr="0033448B">
        <w:rPr>
          <w:sz w:val="20"/>
          <w:szCs w:val="20"/>
        </w:rPr>
        <w:t xml:space="preserve"> </w:t>
      </w:r>
      <w:hyperlink r:id="rId67" w:history="1">
        <w:r w:rsidRPr="0033448B">
          <w:rPr>
            <w:rStyle w:val="Hyperlink"/>
            <w:sz w:val="20"/>
            <w:szCs w:val="20"/>
          </w:rPr>
          <w:t>OECD 2014, The Governance of Regulators, OECD Best Practice Principles for Regulatory Policy</w:t>
        </w:r>
      </w:hyperlink>
    </w:p>
    <w:p w14:paraId="6AA1491D" w14:textId="77777777" w:rsidR="00632D2C" w:rsidRDefault="00632D2C" w:rsidP="00F7295A">
      <w:pPr>
        <w:pStyle w:val="FootnoteText"/>
      </w:pPr>
    </w:p>
  </w:footnote>
  <w:footnote w:id="109">
    <w:p w14:paraId="453C12E3" w14:textId="77777777" w:rsidR="00632D2C" w:rsidRDefault="00632D2C" w:rsidP="00F7295A">
      <w:pPr>
        <w:pStyle w:val="FootnoteText"/>
      </w:pPr>
      <w:r>
        <w:rPr>
          <w:rStyle w:val="FootnoteReference"/>
        </w:rPr>
        <w:footnoteRef/>
      </w:r>
      <w:r>
        <w:t xml:space="preserve"> </w:t>
      </w:r>
      <w:hyperlink r:id="rId68" w:history="1">
        <w:r w:rsidRPr="0076715F">
          <w:rPr>
            <w:rStyle w:val="Hyperlink"/>
          </w:rPr>
          <w:t>Commission Options Paper - Regulatory Powers of the ACQSC - Final 2019</w:t>
        </w:r>
      </w:hyperlink>
      <w:r w:rsidRPr="009C5A21">
        <w:t xml:space="preserve"> </w:t>
      </w:r>
    </w:p>
  </w:footnote>
  <w:footnote w:id="110">
    <w:p w14:paraId="1BF9C91B" w14:textId="77777777" w:rsidR="00632D2C" w:rsidRDefault="00632D2C" w:rsidP="00F7295A">
      <w:pPr>
        <w:pStyle w:val="FootnoteText"/>
      </w:pPr>
      <w:r>
        <w:rPr>
          <w:rStyle w:val="FootnoteReference"/>
        </w:rPr>
        <w:footnoteRef/>
      </w:r>
      <w:r>
        <w:t xml:space="preserve"> Commission response to request for information, December 2022</w:t>
      </w:r>
    </w:p>
  </w:footnote>
  <w:footnote w:id="111">
    <w:p w14:paraId="1527AE23" w14:textId="77777777" w:rsidR="00632D2C" w:rsidRDefault="00632D2C" w:rsidP="00F7295A">
      <w:pPr>
        <w:pStyle w:val="FootnoteText"/>
      </w:pPr>
      <w:r>
        <w:rPr>
          <w:rStyle w:val="FootnoteReference"/>
        </w:rPr>
        <w:footnoteRef/>
      </w:r>
      <w:r>
        <w:t xml:space="preserve"> Advisory Council Charter, </w:t>
      </w:r>
      <w:r w:rsidRPr="00711CBD">
        <w:t>April 2022 v1</w:t>
      </w:r>
    </w:p>
  </w:footnote>
  <w:footnote w:id="112">
    <w:p w14:paraId="3D878055" w14:textId="6D6F06E6" w:rsidR="00632D2C" w:rsidRDefault="00632D2C" w:rsidP="00F7295A">
      <w:pPr>
        <w:pStyle w:val="FootnoteText"/>
      </w:pPr>
      <w:r>
        <w:rPr>
          <w:rStyle w:val="FootnoteReference"/>
        </w:rPr>
        <w:footnoteRef/>
      </w:r>
      <w:r>
        <w:t xml:space="preserve"> D</w:t>
      </w:r>
      <w:r w:rsidRPr="006672D4">
        <w:t>escribed in</w:t>
      </w:r>
      <w:r w:rsidR="00145081">
        <w:t xml:space="preserve"> Royal Commission</w:t>
      </w:r>
      <w:r w:rsidRPr="006672D4">
        <w:t xml:space="preserve"> </w:t>
      </w:r>
      <w:hyperlink r:id="rId69" w:history="1">
        <w:r w:rsidRPr="00607471">
          <w:rPr>
            <w:rStyle w:val="Hyperlink"/>
          </w:rPr>
          <w:t>Final Report - Volume 2: The current system</w:t>
        </w:r>
      </w:hyperlink>
      <w:r w:rsidRPr="006672D4">
        <w:t xml:space="preserve"> p</w:t>
      </w:r>
      <w:r>
        <w:t xml:space="preserve">. </w:t>
      </w:r>
      <w:r w:rsidRPr="006672D4">
        <w:t>226</w:t>
      </w:r>
    </w:p>
  </w:footnote>
  <w:footnote w:id="113">
    <w:p w14:paraId="1DB0B7EB" w14:textId="77777777" w:rsidR="00632D2C" w:rsidRDefault="00632D2C" w:rsidP="00F7295A">
      <w:pPr>
        <w:pStyle w:val="FootnoteText"/>
      </w:pPr>
      <w:r>
        <w:rPr>
          <w:rStyle w:val="FootnoteReference"/>
        </w:rPr>
        <w:footnoteRef/>
      </w:r>
      <w:r>
        <w:t xml:space="preserve"> </w:t>
      </w:r>
      <w:hyperlink r:id="rId70" w:history="1">
        <w:r>
          <w:rPr>
            <w:rStyle w:val="Hyperlink"/>
          </w:rPr>
          <w:t>Review of Public Sector Board Appointments Processes | APS Reform</w:t>
        </w:r>
      </w:hyperlink>
    </w:p>
  </w:footnote>
  <w:footnote w:id="114">
    <w:p w14:paraId="6C3CDB24" w14:textId="77777777" w:rsidR="00632D2C" w:rsidRPr="000310AE" w:rsidRDefault="00632D2C" w:rsidP="000310AE">
      <w:pPr>
        <w:spacing w:before="120" w:line="240" w:lineRule="auto"/>
        <w:rPr>
          <w:rFonts w:ascii="Arial" w:hAnsi="Arial" w:cs="Arial"/>
          <w:i/>
          <w:sz w:val="20"/>
          <w:szCs w:val="20"/>
        </w:rPr>
      </w:pPr>
      <w:r>
        <w:rPr>
          <w:rStyle w:val="FootnoteReference"/>
        </w:rPr>
        <w:footnoteRef/>
      </w:r>
      <w:r>
        <w:t xml:space="preserve"> </w:t>
      </w:r>
      <w:r w:rsidRPr="000310AE">
        <w:rPr>
          <w:rFonts w:ascii="Arial" w:hAnsi="Arial" w:cs="Arial"/>
          <w:sz w:val="20"/>
          <w:szCs w:val="20"/>
        </w:rPr>
        <w:t xml:space="preserve">Including but not limited to the </w:t>
      </w:r>
      <w:r w:rsidRPr="000310AE">
        <w:rPr>
          <w:rFonts w:ascii="Arial" w:hAnsi="Arial" w:cs="Arial"/>
          <w:i/>
          <w:sz w:val="20"/>
          <w:szCs w:val="20"/>
        </w:rPr>
        <w:t xml:space="preserve">Aged Care Quality and Safety Commission Act 2018, </w:t>
      </w:r>
      <w:r w:rsidRPr="000310AE">
        <w:rPr>
          <w:rFonts w:ascii="Arial" w:hAnsi="Arial" w:cs="Arial"/>
          <w:sz w:val="20"/>
          <w:szCs w:val="20"/>
        </w:rPr>
        <w:t xml:space="preserve">the </w:t>
      </w:r>
      <w:r w:rsidRPr="000310AE">
        <w:rPr>
          <w:rFonts w:ascii="Arial" w:hAnsi="Arial" w:cs="Arial"/>
          <w:i/>
          <w:sz w:val="20"/>
          <w:szCs w:val="20"/>
        </w:rPr>
        <w:t xml:space="preserve">Aged Care Quality and Safety Commission Rules 2018, </w:t>
      </w:r>
      <w:r w:rsidRPr="000310AE">
        <w:rPr>
          <w:rFonts w:ascii="Arial" w:hAnsi="Arial" w:cs="Arial"/>
          <w:sz w:val="20"/>
          <w:szCs w:val="20"/>
        </w:rPr>
        <w:t xml:space="preserve">the </w:t>
      </w:r>
      <w:r w:rsidRPr="000310AE">
        <w:rPr>
          <w:rFonts w:ascii="Arial" w:hAnsi="Arial" w:cs="Arial"/>
          <w:i/>
          <w:sz w:val="20"/>
          <w:szCs w:val="20"/>
        </w:rPr>
        <w:t xml:space="preserve">Aged Care Act 1997, </w:t>
      </w:r>
      <w:r w:rsidRPr="000310AE">
        <w:rPr>
          <w:rFonts w:ascii="Arial" w:hAnsi="Arial" w:cs="Arial"/>
          <w:sz w:val="20"/>
          <w:szCs w:val="20"/>
        </w:rPr>
        <w:t xml:space="preserve">the </w:t>
      </w:r>
      <w:r w:rsidRPr="000310AE">
        <w:rPr>
          <w:rFonts w:ascii="Arial" w:hAnsi="Arial" w:cs="Arial"/>
          <w:i/>
          <w:sz w:val="20"/>
          <w:szCs w:val="20"/>
        </w:rPr>
        <w:t xml:space="preserve">Aged Care Act 1997 </w:t>
      </w:r>
      <w:r w:rsidRPr="000310AE">
        <w:rPr>
          <w:rFonts w:ascii="Arial" w:hAnsi="Arial" w:cs="Arial"/>
          <w:sz w:val="20"/>
          <w:szCs w:val="20"/>
        </w:rPr>
        <w:t xml:space="preserve">objects and principles and the </w:t>
      </w:r>
      <w:r w:rsidRPr="000310AE">
        <w:rPr>
          <w:rFonts w:ascii="Arial" w:hAnsi="Arial" w:cs="Arial"/>
          <w:i/>
          <w:sz w:val="20"/>
          <w:szCs w:val="20"/>
        </w:rPr>
        <w:t>Public Governance, Performance and Accountability Act 2013.</w:t>
      </w:r>
    </w:p>
    <w:p w14:paraId="4A8D8C37" w14:textId="75AFE66A" w:rsidR="00632D2C" w:rsidRDefault="00632D2C">
      <w:pPr>
        <w:pStyle w:val="FootnoteText"/>
      </w:pPr>
    </w:p>
  </w:footnote>
  <w:footnote w:id="115">
    <w:p w14:paraId="35CC7765" w14:textId="544B5FC0" w:rsidR="00632D2C" w:rsidRPr="00B73AB6" w:rsidRDefault="00632D2C" w:rsidP="00640563">
      <w:pPr>
        <w:pStyle w:val="FootnoteText"/>
        <w:rPr>
          <w:i/>
          <w:iCs/>
        </w:rPr>
      </w:pPr>
      <w:r>
        <w:rPr>
          <w:rStyle w:val="FootnoteReference"/>
        </w:rPr>
        <w:footnoteRef/>
      </w:r>
      <w:r>
        <w:t xml:space="preserve"> A</w:t>
      </w:r>
      <w:r w:rsidRPr="00B73AB6">
        <w:t xml:space="preserve"> constructive compliance approach recognises the importance of providing all participants within a regulatory framework with comprehensive information and education about their duties and responsibilities. It balances the use of positive motivators and deterrence measures to improve outcomes</w:t>
      </w:r>
      <w:r w:rsidRPr="00B73AB6">
        <w:rPr>
          <w:i/>
          <w:iCs/>
        </w:rPr>
        <w:t xml:space="preserve">. Aged Care Workforce </w:t>
      </w:r>
      <w:r>
        <w:rPr>
          <w:i/>
          <w:iCs/>
        </w:rPr>
        <w:t>Industry</w:t>
      </w:r>
      <w:r w:rsidRPr="00B73AB6">
        <w:rPr>
          <w:i/>
          <w:iCs/>
        </w:rPr>
        <w:t xml:space="preserve"> Council Submission to the Independent Capability Review of the Aged Care Quality and Safety Commission</w:t>
      </w:r>
      <w:r>
        <w:rPr>
          <w:i/>
          <w:iCs/>
        </w:rPr>
        <w:t xml:space="preserve">. 2 December 2022 </w:t>
      </w:r>
      <w:hyperlink r:id="rId71" w:history="1">
        <w:r w:rsidRPr="007F2D11">
          <w:rPr>
            <w:rStyle w:val="Hyperlink"/>
            <w:i/>
            <w:iCs/>
          </w:rPr>
          <w:t>https://acwic.com.au/acwic_news/submission-to-the-independent-capability-review-of-the-aged-care-quality-and-safety-commission/</w:t>
        </w:r>
      </w:hyperlink>
      <w:r>
        <w:rPr>
          <w:i/>
          <w:iCs/>
        </w:rPr>
        <w:t xml:space="preserve"> </w:t>
      </w:r>
    </w:p>
  </w:footnote>
  <w:footnote w:id="116">
    <w:p w14:paraId="05C8E2A7" w14:textId="77777777" w:rsidR="00A81FD4" w:rsidRDefault="00A81FD4" w:rsidP="00A81FD4">
      <w:pPr>
        <w:pStyle w:val="FootnoteText"/>
      </w:pPr>
      <w:r>
        <w:rPr>
          <w:rStyle w:val="FootnoteReference"/>
        </w:rPr>
        <w:footnoteRef/>
      </w:r>
      <w:r>
        <w:t xml:space="preserve"> Types of ‘soft’ skills include </w:t>
      </w:r>
      <w:r w:rsidRPr="005773BF">
        <w:t>curiosity, initiative, persistence, adaptability, leadership and social or cultural awareness.</w:t>
      </w:r>
      <w:r>
        <w:t xml:space="preserve"> </w:t>
      </w:r>
      <w:hyperlink r:id="rId72" w:history="1">
        <w:r w:rsidRPr="007F2D11">
          <w:rPr>
            <w:rStyle w:val="Hyperlink"/>
          </w:rPr>
          <w:t>https://www.open.edu.au/advice/insights/what-are-soft-skills-and-why-are-they-important</w:t>
        </w:r>
      </w:hyperlink>
      <w:r>
        <w:t xml:space="preserve"> </w:t>
      </w:r>
    </w:p>
  </w:footnote>
  <w:footnote w:id="117">
    <w:p w14:paraId="29D58E61" w14:textId="77777777" w:rsidR="00632D2C" w:rsidRDefault="00632D2C" w:rsidP="008819DF">
      <w:pPr>
        <w:pStyle w:val="FootnoteText"/>
      </w:pPr>
      <w:r>
        <w:rPr>
          <w:rStyle w:val="FootnoteReference"/>
        </w:rPr>
        <w:footnoteRef/>
      </w:r>
      <w:r>
        <w:t xml:space="preserve"> </w:t>
      </w:r>
      <w:hyperlink r:id="rId73" w:history="1">
        <w:r>
          <w:rPr>
            <w:rStyle w:val="Hyperlink"/>
          </w:rPr>
          <w:t>Quality of Care Principles 2014 (legislation.gov.au)</w:t>
        </w:r>
      </w:hyperlink>
    </w:p>
  </w:footnote>
  <w:footnote w:id="118">
    <w:p w14:paraId="00C3F902" w14:textId="77777777" w:rsidR="00632D2C" w:rsidRDefault="00632D2C" w:rsidP="008819DF">
      <w:pPr>
        <w:pStyle w:val="FootnoteText"/>
      </w:pPr>
      <w:r>
        <w:rPr>
          <w:rStyle w:val="FootnoteReference"/>
        </w:rPr>
        <w:footnoteRef/>
      </w:r>
      <w:r>
        <w:t xml:space="preserve"> </w:t>
      </w:r>
      <w:hyperlink r:id="rId74" w:history="1">
        <w:r>
          <w:rPr>
            <w:rStyle w:val="Hyperlink"/>
          </w:rPr>
          <w:t>An introduction to the SIRS | Aged Care Quality and Safety Commission</w:t>
        </w:r>
      </w:hyperlink>
    </w:p>
  </w:footnote>
  <w:footnote w:id="119">
    <w:p w14:paraId="79346610" w14:textId="77777777" w:rsidR="00632D2C" w:rsidRDefault="00632D2C" w:rsidP="008819DF">
      <w:pPr>
        <w:pStyle w:val="FootnoteText"/>
      </w:pPr>
      <w:r>
        <w:rPr>
          <w:rStyle w:val="FootnoteReference"/>
        </w:rPr>
        <w:footnoteRef/>
      </w:r>
      <w:r>
        <w:t xml:space="preserve"> </w:t>
      </w:r>
      <w:hyperlink r:id="rId75" w:history="1">
        <w:r>
          <w:rPr>
            <w:rStyle w:val="Hyperlink"/>
          </w:rPr>
          <w:t>Minimising the use of restrictive practices | Aged Care Quality and Safety Commission</w:t>
        </w:r>
      </w:hyperlink>
    </w:p>
  </w:footnote>
  <w:footnote w:id="120">
    <w:p w14:paraId="6A3C77AF" w14:textId="77777777" w:rsidR="00632D2C" w:rsidRDefault="00632D2C" w:rsidP="008819DF">
      <w:pPr>
        <w:pStyle w:val="FootnoteText"/>
      </w:pPr>
      <w:r>
        <w:rPr>
          <w:rStyle w:val="FootnoteReference"/>
        </w:rPr>
        <w:footnoteRef/>
      </w:r>
      <w:r>
        <w:t xml:space="preserve"> </w:t>
      </w:r>
      <w:hyperlink r:id="rId76" w:anchor="S" w:history="1">
        <w:r>
          <w:rPr>
            <w:rStyle w:val="Hyperlink"/>
          </w:rPr>
          <w:t>Aged Care Quality and Safety Commission - Glossary | Aged Care Quality and Safety Commission</w:t>
        </w:r>
      </w:hyperlink>
    </w:p>
  </w:footnote>
  <w:footnote w:id="121">
    <w:p w14:paraId="2CC87454" w14:textId="77777777" w:rsidR="00632D2C" w:rsidRDefault="00632D2C" w:rsidP="008819DF">
      <w:pPr>
        <w:pStyle w:val="FootnoteText"/>
      </w:pPr>
      <w:r>
        <w:rPr>
          <w:rStyle w:val="FootnoteReference"/>
        </w:rPr>
        <w:footnoteRef/>
      </w:r>
      <w:r>
        <w:t xml:space="preserve"> </w:t>
      </w:r>
      <w:hyperlink r:id="rId77" w:history="1">
        <w:r>
          <w:rPr>
            <w:rStyle w:val="Hyperlink"/>
          </w:rPr>
          <w:t>PowerPoint Presentation (agedcarequality.gov.au)</w:t>
        </w:r>
      </w:hyperlink>
    </w:p>
  </w:footnote>
  <w:footnote w:id="122">
    <w:p w14:paraId="212388BE" w14:textId="77777777" w:rsidR="00632D2C" w:rsidRPr="0073379F" w:rsidRDefault="00632D2C" w:rsidP="008819DF">
      <w:pPr>
        <w:pStyle w:val="FootnoteText"/>
      </w:pPr>
      <w:r>
        <w:rPr>
          <w:rStyle w:val="FootnoteReference"/>
        </w:rPr>
        <w:footnoteRef/>
      </w:r>
      <w:r>
        <w:t xml:space="preserve"> </w:t>
      </w:r>
      <w:hyperlink r:id="rId78" w:history="1">
        <w:r>
          <w:rPr>
            <w:rStyle w:val="Hyperlink"/>
          </w:rPr>
          <w:t>Aged Care Quality and Safety Commission Act 2018 (legislation.gov.au)</w:t>
        </w:r>
      </w:hyperlink>
      <w:r>
        <w:rPr>
          <w:rStyle w:val="Hyperlink"/>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8771A" w14:textId="4EA3097D" w:rsidR="00632D2C" w:rsidRDefault="00632D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05317" w14:textId="5FAFF12D" w:rsidR="00632D2C" w:rsidRDefault="00632D2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CD6CD" w14:textId="39C17B46" w:rsidR="00632D2C" w:rsidRDefault="00632D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A7DA3" w14:textId="30F2BBAB" w:rsidR="00632D2C" w:rsidRDefault="00632D2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65015" w14:textId="6B165CF8" w:rsidR="00632D2C" w:rsidRDefault="00632D2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77175" w14:textId="7BC43358" w:rsidR="00632D2C" w:rsidRDefault="00632D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1D3C918"/>
    <w:multiLevelType w:val="hybridMultilevel"/>
    <w:tmpl w:val="CF85B48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1"/>
    <w:multiLevelType w:val="hybridMultilevel"/>
    <w:tmpl w:val="D80E29DE"/>
    <w:lvl w:ilvl="0" w:tplc="07F81EF4">
      <w:start w:val="1"/>
      <w:numFmt w:val="bullet"/>
      <w:pStyle w:val="mpcbullets1"/>
      <w:lvlText w:val="•"/>
      <w:lvlJc w:val="left"/>
      <w:pPr>
        <w:ind w:left="360" w:hanging="360"/>
      </w:pPr>
    </w:lvl>
    <w:lvl w:ilvl="1" w:tplc="FFFFFFFF">
      <w:numFmt w:val="decimal"/>
      <w:lvlText w:val=""/>
      <w:lvlJc w:val="left"/>
    </w:lvl>
    <w:lvl w:ilvl="2" w:tplc="08090003">
      <w:start w:val="1"/>
      <w:numFmt w:val="bullet"/>
      <w:lvlText w:val="o"/>
      <w:lvlJc w:val="left"/>
      <w:pPr>
        <w:ind w:left="1080" w:hanging="360"/>
      </w:pPr>
      <w:rPr>
        <w:rFonts w:ascii="Courier New" w:hAnsi="Courier New" w:cs="Courier New" w:hint="default"/>
      </w:r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530F5B"/>
    <w:multiLevelType w:val="hybridMultilevel"/>
    <w:tmpl w:val="9F6C6A2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2F17928"/>
    <w:multiLevelType w:val="hybridMultilevel"/>
    <w:tmpl w:val="AB9625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2F63C16"/>
    <w:multiLevelType w:val="hybridMultilevel"/>
    <w:tmpl w:val="089A5EB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3674471"/>
    <w:multiLevelType w:val="hybridMultilevel"/>
    <w:tmpl w:val="DC36B5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40A27B0"/>
    <w:multiLevelType w:val="multilevel"/>
    <w:tmpl w:val="A8C87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42357D3"/>
    <w:multiLevelType w:val="hybridMultilevel"/>
    <w:tmpl w:val="0B0406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6175BF5"/>
    <w:multiLevelType w:val="hybridMultilevel"/>
    <w:tmpl w:val="36E6A33C"/>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7AD1752"/>
    <w:multiLevelType w:val="hybridMultilevel"/>
    <w:tmpl w:val="FCC8336A"/>
    <w:lvl w:ilvl="0" w:tplc="C8CE2978">
      <w:start w:val="1"/>
      <w:numFmt w:val="bullet"/>
      <w:lvlText w:val="·"/>
      <w:lvlJc w:val="left"/>
      <w:pPr>
        <w:ind w:left="360" w:hanging="360"/>
      </w:pPr>
      <w:rPr>
        <w:rFonts w:ascii="Symbol" w:hAnsi="Symbol" w:hint="default"/>
      </w:rPr>
    </w:lvl>
    <w:lvl w:ilvl="1" w:tplc="3CE8E154">
      <w:start w:val="1"/>
      <w:numFmt w:val="bullet"/>
      <w:lvlText w:val="o"/>
      <w:lvlJc w:val="left"/>
      <w:pPr>
        <w:ind w:left="1080" w:hanging="360"/>
      </w:pPr>
      <w:rPr>
        <w:rFonts w:ascii="Courier New" w:hAnsi="Courier New" w:hint="default"/>
      </w:rPr>
    </w:lvl>
    <w:lvl w:ilvl="2" w:tplc="F60E00DA">
      <w:start w:val="1"/>
      <w:numFmt w:val="bullet"/>
      <w:lvlText w:val=""/>
      <w:lvlJc w:val="left"/>
      <w:pPr>
        <w:ind w:left="1800" w:hanging="360"/>
      </w:pPr>
      <w:rPr>
        <w:rFonts w:ascii="Wingdings" w:hAnsi="Wingdings" w:hint="default"/>
      </w:rPr>
    </w:lvl>
    <w:lvl w:ilvl="3" w:tplc="2792833A">
      <w:start w:val="1"/>
      <w:numFmt w:val="bullet"/>
      <w:lvlText w:val=""/>
      <w:lvlJc w:val="left"/>
      <w:pPr>
        <w:ind w:left="2520" w:hanging="360"/>
      </w:pPr>
      <w:rPr>
        <w:rFonts w:ascii="Symbol" w:hAnsi="Symbol" w:hint="default"/>
      </w:rPr>
    </w:lvl>
    <w:lvl w:ilvl="4" w:tplc="BD227226">
      <w:start w:val="1"/>
      <w:numFmt w:val="bullet"/>
      <w:lvlText w:val="o"/>
      <w:lvlJc w:val="left"/>
      <w:pPr>
        <w:ind w:left="3240" w:hanging="360"/>
      </w:pPr>
      <w:rPr>
        <w:rFonts w:ascii="Courier New" w:hAnsi="Courier New" w:hint="default"/>
      </w:rPr>
    </w:lvl>
    <w:lvl w:ilvl="5" w:tplc="A7C230F6">
      <w:start w:val="1"/>
      <w:numFmt w:val="bullet"/>
      <w:lvlText w:val=""/>
      <w:lvlJc w:val="left"/>
      <w:pPr>
        <w:ind w:left="3960" w:hanging="360"/>
      </w:pPr>
      <w:rPr>
        <w:rFonts w:ascii="Wingdings" w:hAnsi="Wingdings" w:hint="default"/>
      </w:rPr>
    </w:lvl>
    <w:lvl w:ilvl="6" w:tplc="98240354">
      <w:start w:val="1"/>
      <w:numFmt w:val="bullet"/>
      <w:lvlText w:val=""/>
      <w:lvlJc w:val="left"/>
      <w:pPr>
        <w:ind w:left="4680" w:hanging="360"/>
      </w:pPr>
      <w:rPr>
        <w:rFonts w:ascii="Symbol" w:hAnsi="Symbol" w:hint="default"/>
      </w:rPr>
    </w:lvl>
    <w:lvl w:ilvl="7" w:tplc="FA54F832">
      <w:start w:val="1"/>
      <w:numFmt w:val="bullet"/>
      <w:lvlText w:val="o"/>
      <w:lvlJc w:val="left"/>
      <w:pPr>
        <w:ind w:left="5400" w:hanging="360"/>
      </w:pPr>
      <w:rPr>
        <w:rFonts w:ascii="Courier New" w:hAnsi="Courier New" w:hint="default"/>
      </w:rPr>
    </w:lvl>
    <w:lvl w:ilvl="8" w:tplc="4942D574">
      <w:start w:val="1"/>
      <w:numFmt w:val="bullet"/>
      <w:lvlText w:val=""/>
      <w:lvlJc w:val="left"/>
      <w:pPr>
        <w:ind w:left="6120" w:hanging="360"/>
      </w:pPr>
      <w:rPr>
        <w:rFonts w:ascii="Wingdings" w:hAnsi="Wingdings" w:hint="default"/>
      </w:rPr>
    </w:lvl>
  </w:abstractNum>
  <w:abstractNum w:abstractNumId="10" w15:restartNumberingAfterBreak="0">
    <w:nsid w:val="07CF39F8"/>
    <w:multiLevelType w:val="hybridMultilevel"/>
    <w:tmpl w:val="470266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B877396"/>
    <w:multiLevelType w:val="hybridMultilevel"/>
    <w:tmpl w:val="B3C2A2E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BEE50B5"/>
    <w:multiLevelType w:val="hybridMultilevel"/>
    <w:tmpl w:val="CD40C75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0C6E0A20"/>
    <w:multiLevelType w:val="hybridMultilevel"/>
    <w:tmpl w:val="5F48B4C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0CE72730"/>
    <w:multiLevelType w:val="hybridMultilevel"/>
    <w:tmpl w:val="78E8BFC0"/>
    <w:lvl w:ilvl="0" w:tplc="493E556A">
      <w:start w:val="20"/>
      <w:numFmt w:val="bullet"/>
      <w:pStyle w:val="mpcbullets2"/>
      <w:lvlText w:val="–"/>
      <w:lvlJc w:val="left"/>
      <w:pPr>
        <w:ind w:left="720" w:hanging="360"/>
      </w:pPr>
      <w:rPr>
        <w:rFonts w:ascii="Times New Roman" w:eastAsia="Times New Roman" w:hAnsi="Times New Roman" w:cs="Times New Roman" w:hint="default"/>
      </w:rPr>
    </w:lvl>
    <w:lvl w:ilvl="1" w:tplc="C92ADC00">
      <w:start w:val="1"/>
      <w:numFmt w:val="bullet"/>
      <w:pStyle w:val="mpcbullets3"/>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D687612"/>
    <w:multiLevelType w:val="hybridMultilevel"/>
    <w:tmpl w:val="B49672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0F3D497A"/>
    <w:multiLevelType w:val="hybridMultilevel"/>
    <w:tmpl w:val="BB9A8A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10350719"/>
    <w:multiLevelType w:val="hybridMultilevel"/>
    <w:tmpl w:val="51849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07D5060"/>
    <w:multiLevelType w:val="hybridMultilevel"/>
    <w:tmpl w:val="959877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0C75F74"/>
    <w:multiLevelType w:val="hybridMultilevel"/>
    <w:tmpl w:val="5D4486A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11FD407C"/>
    <w:multiLevelType w:val="hybridMultilevel"/>
    <w:tmpl w:val="56E4D31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123F234B"/>
    <w:multiLevelType w:val="hybridMultilevel"/>
    <w:tmpl w:val="AF527F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16491851"/>
    <w:multiLevelType w:val="hybridMultilevel"/>
    <w:tmpl w:val="22F2E8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16AB5DCD"/>
    <w:multiLevelType w:val="hybridMultilevel"/>
    <w:tmpl w:val="AE5EFCC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16EB73B0"/>
    <w:multiLevelType w:val="hybridMultilevel"/>
    <w:tmpl w:val="F1142B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9383C2A"/>
    <w:multiLevelType w:val="hybridMultilevel"/>
    <w:tmpl w:val="8B723E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A962CE1"/>
    <w:multiLevelType w:val="hybridMultilevel"/>
    <w:tmpl w:val="CDF49C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1C5776B0"/>
    <w:multiLevelType w:val="hybridMultilevel"/>
    <w:tmpl w:val="127C87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1D545E6A"/>
    <w:multiLevelType w:val="hybridMultilevel"/>
    <w:tmpl w:val="905829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1D865790"/>
    <w:multiLevelType w:val="multilevel"/>
    <w:tmpl w:val="813A34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F5F451C"/>
    <w:multiLevelType w:val="hybridMultilevel"/>
    <w:tmpl w:val="EC60AAC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1" w15:restartNumberingAfterBreak="0">
    <w:nsid w:val="1F89089E"/>
    <w:multiLevelType w:val="hybridMultilevel"/>
    <w:tmpl w:val="9E7C82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202430A9"/>
    <w:multiLevelType w:val="hybridMultilevel"/>
    <w:tmpl w:val="E8F45BB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20296E9F"/>
    <w:multiLevelType w:val="hybridMultilevel"/>
    <w:tmpl w:val="17AA532A"/>
    <w:lvl w:ilvl="0" w:tplc="0C090001">
      <w:start w:val="1"/>
      <w:numFmt w:val="bullet"/>
      <w:lvlText w:val=""/>
      <w:lvlJc w:val="left"/>
      <w:pPr>
        <w:ind w:left="0" w:hanging="360"/>
      </w:pPr>
      <w:rPr>
        <w:rFonts w:ascii="Symbol" w:hAnsi="Symbol" w:hint="default"/>
      </w:rPr>
    </w:lvl>
    <w:lvl w:ilvl="1" w:tplc="0C090003" w:tentative="1">
      <w:start w:val="1"/>
      <w:numFmt w:val="bullet"/>
      <w:lvlText w:val="o"/>
      <w:lvlJc w:val="left"/>
      <w:pPr>
        <w:ind w:left="720" w:hanging="360"/>
      </w:pPr>
      <w:rPr>
        <w:rFonts w:ascii="Courier New" w:hAnsi="Courier New" w:cs="Courier New" w:hint="default"/>
      </w:rPr>
    </w:lvl>
    <w:lvl w:ilvl="2" w:tplc="0C090005" w:tentative="1">
      <w:start w:val="1"/>
      <w:numFmt w:val="bullet"/>
      <w:lvlText w:val=""/>
      <w:lvlJc w:val="left"/>
      <w:pPr>
        <w:ind w:left="1440" w:hanging="360"/>
      </w:pPr>
      <w:rPr>
        <w:rFonts w:ascii="Wingdings" w:hAnsi="Wingdings" w:hint="default"/>
      </w:rPr>
    </w:lvl>
    <w:lvl w:ilvl="3" w:tplc="0C090001" w:tentative="1">
      <w:start w:val="1"/>
      <w:numFmt w:val="bullet"/>
      <w:lvlText w:val=""/>
      <w:lvlJc w:val="left"/>
      <w:pPr>
        <w:ind w:left="2160" w:hanging="360"/>
      </w:pPr>
      <w:rPr>
        <w:rFonts w:ascii="Symbol" w:hAnsi="Symbol" w:hint="default"/>
      </w:rPr>
    </w:lvl>
    <w:lvl w:ilvl="4" w:tplc="0C090003" w:tentative="1">
      <w:start w:val="1"/>
      <w:numFmt w:val="bullet"/>
      <w:lvlText w:val="o"/>
      <w:lvlJc w:val="left"/>
      <w:pPr>
        <w:ind w:left="2880" w:hanging="360"/>
      </w:pPr>
      <w:rPr>
        <w:rFonts w:ascii="Courier New" w:hAnsi="Courier New" w:cs="Courier New" w:hint="default"/>
      </w:rPr>
    </w:lvl>
    <w:lvl w:ilvl="5" w:tplc="0C090005" w:tentative="1">
      <w:start w:val="1"/>
      <w:numFmt w:val="bullet"/>
      <w:lvlText w:val=""/>
      <w:lvlJc w:val="left"/>
      <w:pPr>
        <w:ind w:left="3600" w:hanging="360"/>
      </w:pPr>
      <w:rPr>
        <w:rFonts w:ascii="Wingdings" w:hAnsi="Wingdings" w:hint="default"/>
      </w:rPr>
    </w:lvl>
    <w:lvl w:ilvl="6" w:tplc="0C090001" w:tentative="1">
      <w:start w:val="1"/>
      <w:numFmt w:val="bullet"/>
      <w:lvlText w:val=""/>
      <w:lvlJc w:val="left"/>
      <w:pPr>
        <w:ind w:left="4320" w:hanging="360"/>
      </w:pPr>
      <w:rPr>
        <w:rFonts w:ascii="Symbol" w:hAnsi="Symbol" w:hint="default"/>
      </w:rPr>
    </w:lvl>
    <w:lvl w:ilvl="7" w:tplc="0C090003" w:tentative="1">
      <w:start w:val="1"/>
      <w:numFmt w:val="bullet"/>
      <w:lvlText w:val="o"/>
      <w:lvlJc w:val="left"/>
      <w:pPr>
        <w:ind w:left="5040" w:hanging="360"/>
      </w:pPr>
      <w:rPr>
        <w:rFonts w:ascii="Courier New" w:hAnsi="Courier New" w:cs="Courier New" w:hint="default"/>
      </w:rPr>
    </w:lvl>
    <w:lvl w:ilvl="8" w:tplc="0C090005" w:tentative="1">
      <w:start w:val="1"/>
      <w:numFmt w:val="bullet"/>
      <w:lvlText w:val=""/>
      <w:lvlJc w:val="left"/>
      <w:pPr>
        <w:ind w:left="5760" w:hanging="360"/>
      </w:pPr>
      <w:rPr>
        <w:rFonts w:ascii="Wingdings" w:hAnsi="Wingdings" w:hint="default"/>
      </w:rPr>
    </w:lvl>
  </w:abstractNum>
  <w:abstractNum w:abstractNumId="34" w15:restartNumberingAfterBreak="0">
    <w:nsid w:val="2078428A"/>
    <w:multiLevelType w:val="hybridMultilevel"/>
    <w:tmpl w:val="CADE23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07F7319"/>
    <w:multiLevelType w:val="hybridMultilevel"/>
    <w:tmpl w:val="BCF817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20D36A4E"/>
    <w:multiLevelType w:val="hybridMultilevel"/>
    <w:tmpl w:val="FB1CEA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21A15DC3"/>
    <w:multiLevelType w:val="hybridMultilevel"/>
    <w:tmpl w:val="B4CA46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2001F43"/>
    <w:multiLevelType w:val="hybridMultilevel"/>
    <w:tmpl w:val="1BBEC6B4"/>
    <w:lvl w:ilvl="0" w:tplc="BFA0131E">
      <w:start w:val="2"/>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226F35EC"/>
    <w:multiLevelType w:val="hybridMultilevel"/>
    <w:tmpl w:val="A7E6D3AE"/>
    <w:lvl w:ilvl="0" w:tplc="EE7A728A">
      <w:start w:val="1"/>
      <w:numFmt w:val="decimal"/>
      <w:lvlText w:val="%1."/>
      <w:lvlJc w:val="left"/>
      <w:pPr>
        <w:ind w:left="720" w:hanging="360"/>
      </w:pPr>
      <w:rPr>
        <w:rFonts w:hint="default"/>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0" w15:restartNumberingAfterBreak="0">
    <w:nsid w:val="24632EFF"/>
    <w:multiLevelType w:val="hybridMultilevel"/>
    <w:tmpl w:val="74A448D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25D47253"/>
    <w:multiLevelType w:val="hybridMultilevel"/>
    <w:tmpl w:val="4C6087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26A42C2B"/>
    <w:multiLevelType w:val="hybridMultilevel"/>
    <w:tmpl w:val="524A79D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275E7D2A"/>
    <w:multiLevelType w:val="hybridMultilevel"/>
    <w:tmpl w:val="0EF8C5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28E46327"/>
    <w:multiLevelType w:val="hybridMultilevel"/>
    <w:tmpl w:val="1D8E45CA"/>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5" w15:restartNumberingAfterBreak="0">
    <w:nsid w:val="2953171D"/>
    <w:multiLevelType w:val="hybridMultilevel"/>
    <w:tmpl w:val="B5FE572A"/>
    <w:lvl w:ilvl="0" w:tplc="6F462F62">
      <w:start w:val="1"/>
      <w:numFmt w:val="decimal"/>
      <w:lvlText w:val="%1."/>
      <w:lvlJc w:val="left"/>
      <w:pPr>
        <w:ind w:left="460" w:hanging="360"/>
      </w:pPr>
      <w:rPr>
        <w:rFonts w:ascii="Calibri" w:eastAsia="Calibri" w:hAnsi="Calibri" w:cs="Calibri" w:hint="default"/>
        <w:b w:val="0"/>
        <w:bCs w:val="0"/>
        <w:i w:val="0"/>
        <w:iCs w:val="0"/>
        <w:w w:val="100"/>
        <w:sz w:val="22"/>
        <w:szCs w:val="22"/>
        <w:lang w:val="en-US" w:eastAsia="en-US" w:bidi="ar-SA"/>
      </w:rPr>
    </w:lvl>
    <w:lvl w:ilvl="1" w:tplc="087A7232">
      <w:start w:val="1"/>
      <w:numFmt w:val="lowerLetter"/>
      <w:lvlText w:val="%2)"/>
      <w:lvlJc w:val="left"/>
      <w:pPr>
        <w:ind w:left="1180" w:hanging="360"/>
      </w:pPr>
      <w:rPr>
        <w:rFonts w:ascii="Calibri" w:eastAsia="Calibri" w:hAnsi="Calibri" w:cs="Calibri" w:hint="default"/>
        <w:b w:val="0"/>
        <w:bCs w:val="0"/>
        <w:i w:val="0"/>
        <w:iCs w:val="0"/>
        <w:spacing w:val="-1"/>
        <w:w w:val="100"/>
        <w:sz w:val="22"/>
        <w:szCs w:val="22"/>
        <w:lang w:val="en-US" w:eastAsia="en-US" w:bidi="ar-SA"/>
      </w:rPr>
    </w:lvl>
    <w:lvl w:ilvl="2" w:tplc="5CAA6946">
      <w:numFmt w:val="bullet"/>
      <w:lvlText w:val="•"/>
      <w:lvlJc w:val="left"/>
      <w:pPr>
        <w:ind w:left="2074" w:hanging="360"/>
      </w:pPr>
      <w:rPr>
        <w:rFonts w:hint="default"/>
        <w:lang w:val="en-US" w:eastAsia="en-US" w:bidi="ar-SA"/>
      </w:rPr>
    </w:lvl>
    <w:lvl w:ilvl="3" w:tplc="3FD8C64A">
      <w:numFmt w:val="bullet"/>
      <w:lvlText w:val="•"/>
      <w:lvlJc w:val="left"/>
      <w:pPr>
        <w:ind w:left="2968" w:hanging="360"/>
      </w:pPr>
      <w:rPr>
        <w:rFonts w:hint="default"/>
        <w:lang w:val="en-US" w:eastAsia="en-US" w:bidi="ar-SA"/>
      </w:rPr>
    </w:lvl>
    <w:lvl w:ilvl="4" w:tplc="89FE5E5A">
      <w:numFmt w:val="bullet"/>
      <w:lvlText w:val="•"/>
      <w:lvlJc w:val="left"/>
      <w:pPr>
        <w:ind w:left="3862" w:hanging="360"/>
      </w:pPr>
      <w:rPr>
        <w:rFonts w:hint="default"/>
        <w:lang w:val="en-US" w:eastAsia="en-US" w:bidi="ar-SA"/>
      </w:rPr>
    </w:lvl>
    <w:lvl w:ilvl="5" w:tplc="391EA570">
      <w:numFmt w:val="bullet"/>
      <w:lvlText w:val="•"/>
      <w:lvlJc w:val="left"/>
      <w:pPr>
        <w:ind w:left="4756" w:hanging="360"/>
      </w:pPr>
      <w:rPr>
        <w:rFonts w:hint="default"/>
        <w:lang w:val="en-US" w:eastAsia="en-US" w:bidi="ar-SA"/>
      </w:rPr>
    </w:lvl>
    <w:lvl w:ilvl="6" w:tplc="27C06890">
      <w:numFmt w:val="bullet"/>
      <w:lvlText w:val="•"/>
      <w:lvlJc w:val="left"/>
      <w:pPr>
        <w:ind w:left="5650" w:hanging="360"/>
      </w:pPr>
      <w:rPr>
        <w:rFonts w:hint="default"/>
        <w:lang w:val="en-US" w:eastAsia="en-US" w:bidi="ar-SA"/>
      </w:rPr>
    </w:lvl>
    <w:lvl w:ilvl="7" w:tplc="D21888B8">
      <w:numFmt w:val="bullet"/>
      <w:lvlText w:val="•"/>
      <w:lvlJc w:val="left"/>
      <w:pPr>
        <w:ind w:left="6544" w:hanging="360"/>
      </w:pPr>
      <w:rPr>
        <w:rFonts w:hint="default"/>
        <w:lang w:val="en-US" w:eastAsia="en-US" w:bidi="ar-SA"/>
      </w:rPr>
    </w:lvl>
    <w:lvl w:ilvl="8" w:tplc="916EC96A">
      <w:numFmt w:val="bullet"/>
      <w:lvlText w:val="•"/>
      <w:lvlJc w:val="left"/>
      <w:pPr>
        <w:ind w:left="7438" w:hanging="360"/>
      </w:pPr>
      <w:rPr>
        <w:rFonts w:hint="default"/>
        <w:lang w:val="en-US" w:eastAsia="en-US" w:bidi="ar-SA"/>
      </w:rPr>
    </w:lvl>
  </w:abstractNum>
  <w:abstractNum w:abstractNumId="46" w15:restartNumberingAfterBreak="0">
    <w:nsid w:val="2B687F4D"/>
    <w:multiLevelType w:val="hybridMultilevel"/>
    <w:tmpl w:val="FB86C86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2C0164D4"/>
    <w:multiLevelType w:val="hybridMultilevel"/>
    <w:tmpl w:val="C4AA52A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2C932EA8"/>
    <w:multiLevelType w:val="hybridMultilevel"/>
    <w:tmpl w:val="34A623B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2CCB131B"/>
    <w:multiLevelType w:val="hybridMultilevel"/>
    <w:tmpl w:val="5FA004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2CEC0737"/>
    <w:multiLevelType w:val="hybridMultilevel"/>
    <w:tmpl w:val="9FC4A3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2E856886"/>
    <w:multiLevelType w:val="hybridMultilevel"/>
    <w:tmpl w:val="397CA5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2" w15:restartNumberingAfterBreak="0">
    <w:nsid w:val="31D0408E"/>
    <w:multiLevelType w:val="hybridMultilevel"/>
    <w:tmpl w:val="A7E6D3AE"/>
    <w:lvl w:ilvl="0" w:tplc="EE7A728A">
      <w:start w:val="1"/>
      <w:numFmt w:val="decimal"/>
      <w:lvlText w:val="%1."/>
      <w:lvlJc w:val="left"/>
      <w:pPr>
        <w:ind w:left="720" w:hanging="360"/>
      </w:pPr>
      <w:rPr>
        <w:rFonts w:hint="default"/>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3" w15:restartNumberingAfterBreak="0">
    <w:nsid w:val="32EE11E3"/>
    <w:multiLevelType w:val="hybridMultilevel"/>
    <w:tmpl w:val="BF98BF2E"/>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3B73C91"/>
    <w:multiLevelType w:val="hybridMultilevel"/>
    <w:tmpl w:val="B2FAC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33C83C3A"/>
    <w:multiLevelType w:val="hybridMultilevel"/>
    <w:tmpl w:val="959033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340F6FA3"/>
    <w:multiLevelType w:val="hybridMultilevel"/>
    <w:tmpl w:val="282ECA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37073F30"/>
    <w:multiLevelType w:val="hybridMultilevel"/>
    <w:tmpl w:val="A1386AD4"/>
    <w:lvl w:ilvl="0" w:tplc="0C090019">
      <w:start w:val="1"/>
      <w:numFmt w:val="lowerLetter"/>
      <w:lvlText w:val="%1."/>
      <w:lvlJc w:val="left"/>
      <w:pPr>
        <w:ind w:left="1494" w:hanging="360"/>
      </w:p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8" w15:restartNumberingAfterBreak="0">
    <w:nsid w:val="3780788E"/>
    <w:multiLevelType w:val="hybridMultilevel"/>
    <w:tmpl w:val="AF527F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37E33570"/>
    <w:multiLevelType w:val="hybridMultilevel"/>
    <w:tmpl w:val="A016F6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380E27D9"/>
    <w:multiLevelType w:val="hybridMultilevel"/>
    <w:tmpl w:val="BFEC798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3B31170B"/>
    <w:multiLevelType w:val="hybridMultilevel"/>
    <w:tmpl w:val="7536FD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2" w15:restartNumberingAfterBreak="0">
    <w:nsid w:val="3B8E6866"/>
    <w:multiLevelType w:val="hybridMultilevel"/>
    <w:tmpl w:val="B58A22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3D3E2C8F"/>
    <w:multiLevelType w:val="hybridMultilevel"/>
    <w:tmpl w:val="36A6E3D6"/>
    <w:lvl w:ilvl="0" w:tplc="58D2F318">
      <w:start w:val="1"/>
      <w:numFmt w:val="bullet"/>
      <w:lvlText w:val=""/>
      <w:lvlJc w:val="left"/>
      <w:pPr>
        <w:ind w:left="780" w:hanging="360"/>
      </w:pPr>
      <w:rPr>
        <w:rFonts w:ascii="Symbol" w:hAnsi="Symbol" w:hint="default"/>
        <w:sz w:val="24"/>
        <w:szCs w:val="24"/>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4" w15:restartNumberingAfterBreak="0">
    <w:nsid w:val="3F26444F"/>
    <w:multiLevelType w:val="hybridMultilevel"/>
    <w:tmpl w:val="AADADF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40885022"/>
    <w:multiLevelType w:val="hybridMultilevel"/>
    <w:tmpl w:val="E7F65200"/>
    <w:lvl w:ilvl="0" w:tplc="BFA0131E">
      <w:start w:val="2"/>
      <w:numFmt w:val="bullet"/>
      <w:lvlText w:val="–"/>
      <w:lvlJc w:val="left"/>
      <w:pPr>
        <w:ind w:left="720" w:hanging="360"/>
      </w:pPr>
      <w:rPr>
        <w:rFonts w:ascii="Calibri" w:eastAsiaTheme="minorHAnsi" w:hAnsi="Calibri" w:cs="Calibri" w:hint="default"/>
      </w:rPr>
    </w:lvl>
    <w:lvl w:ilvl="1" w:tplc="C08C583E">
      <w:start w:val="1"/>
      <w:numFmt w:val="bullet"/>
      <w:lvlText w:val="o"/>
      <w:lvlJc w:val="left"/>
      <w:pPr>
        <w:ind w:left="1440" w:hanging="360"/>
      </w:pPr>
      <w:rPr>
        <w:rFonts w:ascii="Courier New" w:hAnsi="Courier New" w:hint="default"/>
      </w:rPr>
    </w:lvl>
    <w:lvl w:ilvl="2" w:tplc="CC6E0CEE">
      <w:start w:val="1"/>
      <w:numFmt w:val="bullet"/>
      <w:lvlText w:val=""/>
      <w:lvlJc w:val="left"/>
      <w:pPr>
        <w:ind w:left="2160" w:hanging="360"/>
      </w:pPr>
      <w:rPr>
        <w:rFonts w:ascii="Wingdings" w:hAnsi="Wingdings" w:hint="default"/>
      </w:rPr>
    </w:lvl>
    <w:lvl w:ilvl="3" w:tplc="7B9C7496">
      <w:start w:val="1"/>
      <w:numFmt w:val="bullet"/>
      <w:lvlText w:val=""/>
      <w:lvlJc w:val="left"/>
      <w:pPr>
        <w:ind w:left="2880" w:hanging="360"/>
      </w:pPr>
      <w:rPr>
        <w:rFonts w:ascii="Symbol" w:hAnsi="Symbol" w:hint="default"/>
      </w:rPr>
    </w:lvl>
    <w:lvl w:ilvl="4" w:tplc="19D667AE">
      <w:start w:val="1"/>
      <w:numFmt w:val="bullet"/>
      <w:lvlText w:val="o"/>
      <w:lvlJc w:val="left"/>
      <w:pPr>
        <w:ind w:left="3600" w:hanging="360"/>
      </w:pPr>
      <w:rPr>
        <w:rFonts w:ascii="Courier New" w:hAnsi="Courier New" w:hint="default"/>
      </w:rPr>
    </w:lvl>
    <w:lvl w:ilvl="5" w:tplc="EDA8E506">
      <w:start w:val="1"/>
      <w:numFmt w:val="bullet"/>
      <w:lvlText w:val=""/>
      <w:lvlJc w:val="left"/>
      <w:pPr>
        <w:ind w:left="4320" w:hanging="360"/>
      </w:pPr>
      <w:rPr>
        <w:rFonts w:ascii="Wingdings" w:hAnsi="Wingdings" w:hint="default"/>
      </w:rPr>
    </w:lvl>
    <w:lvl w:ilvl="6" w:tplc="9F90F110">
      <w:start w:val="1"/>
      <w:numFmt w:val="bullet"/>
      <w:lvlText w:val=""/>
      <w:lvlJc w:val="left"/>
      <w:pPr>
        <w:ind w:left="5040" w:hanging="360"/>
      </w:pPr>
      <w:rPr>
        <w:rFonts w:ascii="Symbol" w:hAnsi="Symbol" w:hint="default"/>
      </w:rPr>
    </w:lvl>
    <w:lvl w:ilvl="7" w:tplc="974A6618">
      <w:start w:val="1"/>
      <w:numFmt w:val="bullet"/>
      <w:lvlText w:val="o"/>
      <w:lvlJc w:val="left"/>
      <w:pPr>
        <w:ind w:left="5760" w:hanging="360"/>
      </w:pPr>
      <w:rPr>
        <w:rFonts w:ascii="Courier New" w:hAnsi="Courier New" w:hint="default"/>
      </w:rPr>
    </w:lvl>
    <w:lvl w:ilvl="8" w:tplc="14BCB524">
      <w:start w:val="1"/>
      <w:numFmt w:val="bullet"/>
      <w:lvlText w:val=""/>
      <w:lvlJc w:val="left"/>
      <w:pPr>
        <w:ind w:left="6480" w:hanging="360"/>
      </w:pPr>
      <w:rPr>
        <w:rFonts w:ascii="Wingdings" w:hAnsi="Wingdings" w:hint="default"/>
      </w:rPr>
    </w:lvl>
  </w:abstractNum>
  <w:abstractNum w:abstractNumId="66" w15:restartNumberingAfterBreak="0">
    <w:nsid w:val="417B4F75"/>
    <w:multiLevelType w:val="hybridMultilevel"/>
    <w:tmpl w:val="19D2EC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7" w15:restartNumberingAfterBreak="0">
    <w:nsid w:val="41D555BC"/>
    <w:multiLevelType w:val="hybridMultilevel"/>
    <w:tmpl w:val="CC2414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42020EE1"/>
    <w:multiLevelType w:val="hybridMultilevel"/>
    <w:tmpl w:val="28661F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9" w15:restartNumberingAfterBreak="0">
    <w:nsid w:val="43573378"/>
    <w:multiLevelType w:val="hybridMultilevel"/>
    <w:tmpl w:val="823E109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0" w15:restartNumberingAfterBreak="0">
    <w:nsid w:val="437D4F06"/>
    <w:multiLevelType w:val="hybridMultilevel"/>
    <w:tmpl w:val="E31400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1" w15:restartNumberingAfterBreak="0">
    <w:nsid w:val="442C21C1"/>
    <w:multiLevelType w:val="hybridMultilevel"/>
    <w:tmpl w:val="72F8072C"/>
    <w:lvl w:ilvl="0" w:tplc="63784A50">
      <w:start w:val="1"/>
      <w:numFmt w:val="lowerLetter"/>
      <w:lvlText w:val="(%1)"/>
      <w:lvlJc w:val="left"/>
      <w:pPr>
        <w:ind w:left="3" w:hanging="360"/>
      </w:pPr>
      <w:rPr>
        <w:rFonts w:hint="default"/>
      </w:rPr>
    </w:lvl>
    <w:lvl w:ilvl="1" w:tplc="0C090019" w:tentative="1">
      <w:start w:val="1"/>
      <w:numFmt w:val="lowerLetter"/>
      <w:lvlText w:val="%2."/>
      <w:lvlJc w:val="left"/>
      <w:pPr>
        <w:ind w:left="723" w:hanging="360"/>
      </w:pPr>
    </w:lvl>
    <w:lvl w:ilvl="2" w:tplc="0C09001B" w:tentative="1">
      <w:start w:val="1"/>
      <w:numFmt w:val="lowerRoman"/>
      <w:lvlText w:val="%3."/>
      <w:lvlJc w:val="right"/>
      <w:pPr>
        <w:ind w:left="1443" w:hanging="180"/>
      </w:pPr>
    </w:lvl>
    <w:lvl w:ilvl="3" w:tplc="0C09000F" w:tentative="1">
      <w:start w:val="1"/>
      <w:numFmt w:val="decimal"/>
      <w:lvlText w:val="%4."/>
      <w:lvlJc w:val="left"/>
      <w:pPr>
        <w:ind w:left="2163" w:hanging="360"/>
      </w:pPr>
    </w:lvl>
    <w:lvl w:ilvl="4" w:tplc="0C090019" w:tentative="1">
      <w:start w:val="1"/>
      <w:numFmt w:val="lowerLetter"/>
      <w:lvlText w:val="%5."/>
      <w:lvlJc w:val="left"/>
      <w:pPr>
        <w:ind w:left="2883" w:hanging="360"/>
      </w:pPr>
    </w:lvl>
    <w:lvl w:ilvl="5" w:tplc="0C09001B" w:tentative="1">
      <w:start w:val="1"/>
      <w:numFmt w:val="lowerRoman"/>
      <w:lvlText w:val="%6."/>
      <w:lvlJc w:val="right"/>
      <w:pPr>
        <w:ind w:left="3603" w:hanging="180"/>
      </w:pPr>
    </w:lvl>
    <w:lvl w:ilvl="6" w:tplc="0C09000F" w:tentative="1">
      <w:start w:val="1"/>
      <w:numFmt w:val="decimal"/>
      <w:lvlText w:val="%7."/>
      <w:lvlJc w:val="left"/>
      <w:pPr>
        <w:ind w:left="4323" w:hanging="360"/>
      </w:pPr>
    </w:lvl>
    <w:lvl w:ilvl="7" w:tplc="0C090019" w:tentative="1">
      <w:start w:val="1"/>
      <w:numFmt w:val="lowerLetter"/>
      <w:lvlText w:val="%8."/>
      <w:lvlJc w:val="left"/>
      <w:pPr>
        <w:ind w:left="5043" w:hanging="360"/>
      </w:pPr>
    </w:lvl>
    <w:lvl w:ilvl="8" w:tplc="0C09001B" w:tentative="1">
      <w:start w:val="1"/>
      <w:numFmt w:val="lowerRoman"/>
      <w:lvlText w:val="%9."/>
      <w:lvlJc w:val="right"/>
      <w:pPr>
        <w:ind w:left="5763" w:hanging="180"/>
      </w:pPr>
    </w:lvl>
  </w:abstractNum>
  <w:abstractNum w:abstractNumId="72" w15:restartNumberingAfterBreak="0">
    <w:nsid w:val="480A5D6A"/>
    <w:multiLevelType w:val="hybridMultilevel"/>
    <w:tmpl w:val="0F101E8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3" w15:restartNumberingAfterBreak="0">
    <w:nsid w:val="48C03219"/>
    <w:multiLevelType w:val="hybridMultilevel"/>
    <w:tmpl w:val="2DF0C31C"/>
    <w:lvl w:ilvl="0" w:tplc="58D2F318">
      <w:start w:val="1"/>
      <w:numFmt w:val="bullet"/>
      <w:lvlText w:val=""/>
      <w:lvlJc w:val="left"/>
      <w:pPr>
        <w:ind w:left="720" w:hanging="360"/>
      </w:pPr>
      <w:rPr>
        <w:rFonts w:ascii="Symbol" w:hAnsi="Symbol" w:hint="default"/>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4BBD56B9"/>
    <w:multiLevelType w:val="hybridMultilevel"/>
    <w:tmpl w:val="9FAE76C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4D156036"/>
    <w:multiLevelType w:val="hybridMultilevel"/>
    <w:tmpl w:val="87F443EC"/>
    <w:lvl w:ilvl="0" w:tplc="46049504">
      <w:start w:val="1"/>
      <w:numFmt w:val="decimal"/>
      <w:lvlText w:val="%1."/>
      <w:lvlJc w:val="left"/>
      <w:pPr>
        <w:ind w:left="460" w:hanging="360"/>
      </w:pPr>
      <w:rPr>
        <w:rFonts w:ascii="Calibri" w:eastAsia="Calibri" w:hAnsi="Calibri" w:cs="Calibri" w:hint="default"/>
        <w:b w:val="0"/>
        <w:bCs w:val="0"/>
        <w:i w:val="0"/>
        <w:iCs w:val="0"/>
        <w:w w:val="100"/>
        <w:sz w:val="22"/>
        <w:szCs w:val="22"/>
        <w:lang w:val="en-US" w:eastAsia="en-US" w:bidi="ar-SA"/>
      </w:rPr>
    </w:lvl>
    <w:lvl w:ilvl="1" w:tplc="4B00B34A">
      <w:numFmt w:val="bullet"/>
      <w:lvlText w:val="•"/>
      <w:lvlJc w:val="left"/>
      <w:pPr>
        <w:ind w:left="1336" w:hanging="360"/>
      </w:pPr>
      <w:rPr>
        <w:rFonts w:hint="default"/>
        <w:lang w:val="en-US" w:eastAsia="en-US" w:bidi="ar-SA"/>
      </w:rPr>
    </w:lvl>
    <w:lvl w:ilvl="2" w:tplc="8CD669BE">
      <w:numFmt w:val="bullet"/>
      <w:lvlText w:val="•"/>
      <w:lvlJc w:val="left"/>
      <w:pPr>
        <w:ind w:left="2213" w:hanging="360"/>
      </w:pPr>
      <w:rPr>
        <w:rFonts w:hint="default"/>
        <w:lang w:val="en-US" w:eastAsia="en-US" w:bidi="ar-SA"/>
      </w:rPr>
    </w:lvl>
    <w:lvl w:ilvl="3" w:tplc="28522D62">
      <w:numFmt w:val="bullet"/>
      <w:lvlText w:val="•"/>
      <w:lvlJc w:val="left"/>
      <w:pPr>
        <w:ind w:left="3089" w:hanging="360"/>
      </w:pPr>
      <w:rPr>
        <w:rFonts w:hint="default"/>
        <w:lang w:val="en-US" w:eastAsia="en-US" w:bidi="ar-SA"/>
      </w:rPr>
    </w:lvl>
    <w:lvl w:ilvl="4" w:tplc="6C30CCD0">
      <w:numFmt w:val="bullet"/>
      <w:lvlText w:val="•"/>
      <w:lvlJc w:val="left"/>
      <w:pPr>
        <w:ind w:left="3966" w:hanging="360"/>
      </w:pPr>
      <w:rPr>
        <w:rFonts w:hint="default"/>
        <w:lang w:val="en-US" w:eastAsia="en-US" w:bidi="ar-SA"/>
      </w:rPr>
    </w:lvl>
    <w:lvl w:ilvl="5" w:tplc="F5B0F55C">
      <w:numFmt w:val="bullet"/>
      <w:lvlText w:val="•"/>
      <w:lvlJc w:val="left"/>
      <w:pPr>
        <w:ind w:left="4843" w:hanging="360"/>
      </w:pPr>
      <w:rPr>
        <w:rFonts w:hint="default"/>
        <w:lang w:val="en-US" w:eastAsia="en-US" w:bidi="ar-SA"/>
      </w:rPr>
    </w:lvl>
    <w:lvl w:ilvl="6" w:tplc="6BECACCE">
      <w:numFmt w:val="bullet"/>
      <w:lvlText w:val="•"/>
      <w:lvlJc w:val="left"/>
      <w:pPr>
        <w:ind w:left="5719" w:hanging="360"/>
      </w:pPr>
      <w:rPr>
        <w:rFonts w:hint="default"/>
        <w:lang w:val="en-US" w:eastAsia="en-US" w:bidi="ar-SA"/>
      </w:rPr>
    </w:lvl>
    <w:lvl w:ilvl="7" w:tplc="E19826BA">
      <w:numFmt w:val="bullet"/>
      <w:lvlText w:val="•"/>
      <w:lvlJc w:val="left"/>
      <w:pPr>
        <w:ind w:left="6596" w:hanging="360"/>
      </w:pPr>
      <w:rPr>
        <w:rFonts w:hint="default"/>
        <w:lang w:val="en-US" w:eastAsia="en-US" w:bidi="ar-SA"/>
      </w:rPr>
    </w:lvl>
    <w:lvl w:ilvl="8" w:tplc="39DC30C2">
      <w:numFmt w:val="bullet"/>
      <w:lvlText w:val="•"/>
      <w:lvlJc w:val="left"/>
      <w:pPr>
        <w:ind w:left="7473" w:hanging="360"/>
      </w:pPr>
      <w:rPr>
        <w:rFonts w:hint="default"/>
        <w:lang w:val="en-US" w:eastAsia="en-US" w:bidi="ar-SA"/>
      </w:rPr>
    </w:lvl>
  </w:abstractNum>
  <w:abstractNum w:abstractNumId="76" w15:restartNumberingAfterBreak="0">
    <w:nsid w:val="4DC37E69"/>
    <w:multiLevelType w:val="hybridMultilevel"/>
    <w:tmpl w:val="9E688B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7" w15:restartNumberingAfterBreak="0">
    <w:nsid w:val="4F646C2D"/>
    <w:multiLevelType w:val="hybridMultilevel"/>
    <w:tmpl w:val="70DE62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50657DAF"/>
    <w:multiLevelType w:val="multilevel"/>
    <w:tmpl w:val="DC0A2B7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9" w15:restartNumberingAfterBreak="0">
    <w:nsid w:val="50714DD7"/>
    <w:multiLevelType w:val="hybridMultilevel"/>
    <w:tmpl w:val="A17203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0" w15:restartNumberingAfterBreak="0">
    <w:nsid w:val="51F264AC"/>
    <w:multiLevelType w:val="hybridMultilevel"/>
    <w:tmpl w:val="ECDAEB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1" w15:restartNumberingAfterBreak="0">
    <w:nsid w:val="530704B5"/>
    <w:multiLevelType w:val="hybridMultilevel"/>
    <w:tmpl w:val="8EF49550"/>
    <w:lvl w:ilvl="0" w:tplc="0C090001">
      <w:start w:val="1"/>
      <w:numFmt w:val="bullet"/>
      <w:lvlText w:val=""/>
      <w:lvlJc w:val="left"/>
      <w:pPr>
        <w:ind w:left="1080" w:hanging="360"/>
      </w:pPr>
      <w:rPr>
        <w:rFonts w:ascii="Symbol" w:hAnsi="Symbol" w:hint="default"/>
      </w:rPr>
    </w:lvl>
    <w:lvl w:ilvl="1" w:tplc="0C090001">
      <w:start w:val="1"/>
      <w:numFmt w:val="bullet"/>
      <w:lvlText w:val=""/>
      <w:lvlJc w:val="left"/>
      <w:pPr>
        <w:ind w:left="1800" w:hanging="360"/>
      </w:pPr>
      <w:rPr>
        <w:rFonts w:ascii="Symbol" w:hAnsi="Symbol"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2" w15:restartNumberingAfterBreak="0">
    <w:nsid w:val="53367901"/>
    <w:multiLevelType w:val="hybridMultilevel"/>
    <w:tmpl w:val="01BAB2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3" w15:restartNumberingAfterBreak="0">
    <w:nsid w:val="56EB4F66"/>
    <w:multiLevelType w:val="hybridMultilevel"/>
    <w:tmpl w:val="B62090D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4" w15:restartNumberingAfterBreak="0">
    <w:nsid w:val="58F046A9"/>
    <w:multiLevelType w:val="multilevel"/>
    <w:tmpl w:val="CB32F2B4"/>
    <w:name w:val="StandardBulletedList"/>
    <w:lvl w:ilvl="0">
      <w:start w:val="1"/>
      <w:numFmt w:val="bullet"/>
      <w:pStyle w:val="Bullet"/>
      <w:lvlText w:val="•"/>
      <w:lvlJc w:val="left"/>
      <w:pPr>
        <w:tabs>
          <w:tab w:val="num" w:pos="567"/>
        </w:tabs>
        <w:ind w:left="567" w:hanging="567"/>
      </w:pPr>
      <w:rPr>
        <w:rFonts w:ascii="Times New Roman" w:hAnsi="Times New Roman" w:cs="Times New Roman"/>
      </w:rPr>
    </w:lvl>
    <w:lvl w:ilvl="1">
      <w:start w:val="1"/>
      <w:numFmt w:val="bullet"/>
      <w:pStyle w:val="Dash"/>
      <w:lvlText w:val="–"/>
      <w:lvlJc w:val="left"/>
      <w:pPr>
        <w:tabs>
          <w:tab w:val="num" w:pos="1134"/>
        </w:tabs>
        <w:ind w:left="1134" w:hanging="567"/>
      </w:pPr>
      <w:rPr>
        <w:rFonts w:ascii="Times New Roman" w:hAnsi="Times New Roman" w:cs="Times New Roman"/>
      </w:r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5" w15:restartNumberingAfterBreak="0">
    <w:nsid w:val="5A292E9C"/>
    <w:multiLevelType w:val="hybridMultilevel"/>
    <w:tmpl w:val="959C23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5A2D3E01"/>
    <w:multiLevelType w:val="hybridMultilevel"/>
    <w:tmpl w:val="ECE4A1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5AA6533C"/>
    <w:multiLevelType w:val="hybridMultilevel"/>
    <w:tmpl w:val="EFC4F7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8" w15:restartNumberingAfterBreak="0">
    <w:nsid w:val="5C08782A"/>
    <w:multiLevelType w:val="hybridMultilevel"/>
    <w:tmpl w:val="6A1E7AB6"/>
    <w:lvl w:ilvl="0" w:tplc="AC54A598">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5CD9497F"/>
    <w:multiLevelType w:val="hybridMultilevel"/>
    <w:tmpl w:val="87F443EC"/>
    <w:lvl w:ilvl="0" w:tplc="46049504">
      <w:start w:val="1"/>
      <w:numFmt w:val="decimal"/>
      <w:lvlText w:val="%1."/>
      <w:lvlJc w:val="left"/>
      <w:pPr>
        <w:ind w:left="460" w:hanging="360"/>
      </w:pPr>
      <w:rPr>
        <w:rFonts w:ascii="Calibri" w:eastAsia="Calibri" w:hAnsi="Calibri" w:cs="Calibri" w:hint="default"/>
        <w:b w:val="0"/>
        <w:bCs w:val="0"/>
        <w:i w:val="0"/>
        <w:iCs w:val="0"/>
        <w:w w:val="100"/>
        <w:sz w:val="22"/>
        <w:szCs w:val="22"/>
        <w:lang w:val="en-US" w:eastAsia="en-US" w:bidi="ar-SA"/>
      </w:rPr>
    </w:lvl>
    <w:lvl w:ilvl="1" w:tplc="4B00B34A">
      <w:numFmt w:val="bullet"/>
      <w:lvlText w:val="•"/>
      <w:lvlJc w:val="left"/>
      <w:pPr>
        <w:ind w:left="1336" w:hanging="360"/>
      </w:pPr>
      <w:rPr>
        <w:rFonts w:hint="default"/>
        <w:lang w:val="en-US" w:eastAsia="en-US" w:bidi="ar-SA"/>
      </w:rPr>
    </w:lvl>
    <w:lvl w:ilvl="2" w:tplc="8CD669BE">
      <w:numFmt w:val="bullet"/>
      <w:lvlText w:val="•"/>
      <w:lvlJc w:val="left"/>
      <w:pPr>
        <w:ind w:left="2213" w:hanging="360"/>
      </w:pPr>
      <w:rPr>
        <w:rFonts w:hint="default"/>
        <w:lang w:val="en-US" w:eastAsia="en-US" w:bidi="ar-SA"/>
      </w:rPr>
    </w:lvl>
    <w:lvl w:ilvl="3" w:tplc="28522D62">
      <w:numFmt w:val="bullet"/>
      <w:lvlText w:val="•"/>
      <w:lvlJc w:val="left"/>
      <w:pPr>
        <w:ind w:left="3089" w:hanging="360"/>
      </w:pPr>
      <w:rPr>
        <w:rFonts w:hint="default"/>
        <w:lang w:val="en-US" w:eastAsia="en-US" w:bidi="ar-SA"/>
      </w:rPr>
    </w:lvl>
    <w:lvl w:ilvl="4" w:tplc="6C30CCD0">
      <w:numFmt w:val="bullet"/>
      <w:lvlText w:val="•"/>
      <w:lvlJc w:val="left"/>
      <w:pPr>
        <w:ind w:left="3966" w:hanging="360"/>
      </w:pPr>
      <w:rPr>
        <w:rFonts w:hint="default"/>
        <w:lang w:val="en-US" w:eastAsia="en-US" w:bidi="ar-SA"/>
      </w:rPr>
    </w:lvl>
    <w:lvl w:ilvl="5" w:tplc="F5B0F55C">
      <w:numFmt w:val="bullet"/>
      <w:lvlText w:val="•"/>
      <w:lvlJc w:val="left"/>
      <w:pPr>
        <w:ind w:left="4843" w:hanging="360"/>
      </w:pPr>
      <w:rPr>
        <w:rFonts w:hint="default"/>
        <w:lang w:val="en-US" w:eastAsia="en-US" w:bidi="ar-SA"/>
      </w:rPr>
    </w:lvl>
    <w:lvl w:ilvl="6" w:tplc="6BECACCE">
      <w:numFmt w:val="bullet"/>
      <w:lvlText w:val="•"/>
      <w:lvlJc w:val="left"/>
      <w:pPr>
        <w:ind w:left="5719" w:hanging="360"/>
      </w:pPr>
      <w:rPr>
        <w:rFonts w:hint="default"/>
        <w:lang w:val="en-US" w:eastAsia="en-US" w:bidi="ar-SA"/>
      </w:rPr>
    </w:lvl>
    <w:lvl w:ilvl="7" w:tplc="E19826BA">
      <w:numFmt w:val="bullet"/>
      <w:lvlText w:val="•"/>
      <w:lvlJc w:val="left"/>
      <w:pPr>
        <w:ind w:left="6596" w:hanging="360"/>
      </w:pPr>
      <w:rPr>
        <w:rFonts w:hint="default"/>
        <w:lang w:val="en-US" w:eastAsia="en-US" w:bidi="ar-SA"/>
      </w:rPr>
    </w:lvl>
    <w:lvl w:ilvl="8" w:tplc="39DC30C2">
      <w:numFmt w:val="bullet"/>
      <w:lvlText w:val="•"/>
      <w:lvlJc w:val="left"/>
      <w:pPr>
        <w:ind w:left="7473" w:hanging="360"/>
      </w:pPr>
      <w:rPr>
        <w:rFonts w:hint="default"/>
        <w:lang w:val="en-US" w:eastAsia="en-US" w:bidi="ar-SA"/>
      </w:rPr>
    </w:lvl>
  </w:abstractNum>
  <w:abstractNum w:abstractNumId="90" w15:restartNumberingAfterBreak="0">
    <w:nsid w:val="5D1D7B17"/>
    <w:multiLevelType w:val="hybridMultilevel"/>
    <w:tmpl w:val="D5B889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5E53737B"/>
    <w:multiLevelType w:val="hybridMultilevel"/>
    <w:tmpl w:val="477605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2" w15:restartNumberingAfterBreak="0">
    <w:nsid w:val="5F58014B"/>
    <w:multiLevelType w:val="hybridMultilevel"/>
    <w:tmpl w:val="110AF37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3" w15:restartNumberingAfterBreak="0">
    <w:nsid w:val="601558E9"/>
    <w:multiLevelType w:val="multilevel"/>
    <w:tmpl w:val="930A4E42"/>
    <w:lvl w:ilvl="0">
      <w:start w:val="1"/>
      <w:numFmt w:val="decimal"/>
      <w:lvlText w:val="%1."/>
      <w:lvlJc w:val="left"/>
      <w:pPr>
        <w:ind w:left="360" w:hanging="360"/>
      </w:pPr>
    </w:lvl>
    <w:lvl w:ilvl="1">
      <w:start w:val="5"/>
      <w:numFmt w:val="decimal"/>
      <w:isLgl/>
      <w:lvlText w:val="%1.%2"/>
      <w:lvlJc w:val="left"/>
      <w:pPr>
        <w:ind w:left="465" w:hanging="46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94" w15:restartNumberingAfterBreak="0">
    <w:nsid w:val="616A6BE3"/>
    <w:multiLevelType w:val="hybridMultilevel"/>
    <w:tmpl w:val="41E429A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5" w15:restartNumberingAfterBreak="0">
    <w:nsid w:val="62536671"/>
    <w:multiLevelType w:val="hybridMultilevel"/>
    <w:tmpl w:val="B88ECFF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6" w15:restartNumberingAfterBreak="0">
    <w:nsid w:val="628E39F3"/>
    <w:multiLevelType w:val="hybridMultilevel"/>
    <w:tmpl w:val="A04CFF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7" w15:restartNumberingAfterBreak="0">
    <w:nsid w:val="637C6511"/>
    <w:multiLevelType w:val="hybridMultilevel"/>
    <w:tmpl w:val="C88418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64196DB8"/>
    <w:multiLevelType w:val="hybridMultilevel"/>
    <w:tmpl w:val="193A16FA"/>
    <w:lvl w:ilvl="0" w:tplc="0C09000F">
      <w:start w:val="1"/>
      <w:numFmt w:val="decimal"/>
      <w:lvlText w:val="%1."/>
      <w:lvlJc w:val="left"/>
      <w:pPr>
        <w:ind w:left="720" w:hanging="360"/>
      </w:pPr>
      <w:rPr>
        <w:rFonts w:hint="default"/>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66EF3F04"/>
    <w:multiLevelType w:val="hybridMultilevel"/>
    <w:tmpl w:val="88CC67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0" w15:restartNumberingAfterBreak="0">
    <w:nsid w:val="66FF184B"/>
    <w:multiLevelType w:val="hybridMultilevel"/>
    <w:tmpl w:val="F86CEE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1" w15:restartNumberingAfterBreak="0">
    <w:nsid w:val="68F14286"/>
    <w:multiLevelType w:val="hybridMultilevel"/>
    <w:tmpl w:val="C4AA52A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2" w15:restartNumberingAfterBreak="0">
    <w:nsid w:val="6B8178C6"/>
    <w:multiLevelType w:val="hybridMultilevel"/>
    <w:tmpl w:val="0AF254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3" w15:restartNumberingAfterBreak="0">
    <w:nsid w:val="6C1415AF"/>
    <w:multiLevelType w:val="hybridMultilevel"/>
    <w:tmpl w:val="D0C838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4" w15:restartNumberingAfterBreak="0">
    <w:nsid w:val="6CD317D8"/>
    <w:multiLevelType w:val="hybridMultilevel"/>
    <w:tmpl w:val="EFE0E308"/>
    <w:lvl w:ilvl="0" w:tplc="928440C2">
      <w:start w:val="6"/>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6CED17FB"/>
    <w:multiLevelType w:val="hybridMultilevel"/>
    <w:tmpl w:val="423A3C60"/>
    <w:lvl w:ilvl="0" w:tplc="B958ED32">
      <w:start w:val="1"/>
      <w:numFmt w:val="decimal"/>
      <w:lvlText w:val="%1."/>
      <w:lvlJc w:val="left"/>
      <w:pPr>
        <w:ind w:left="527" w:hanging="428"/>
      </w:pPr>
      <w:rPr>
        <w:rFonts w:ascii="Calibri" w:eastAsia="Calibri" w:hAnsi="Calibri" w:cs="Calibri" w:hint="default"/>
        <w:b w:val="0"/>
        <w:bCs w:val="0"/>
        <w:i w:val="0"/>
        <w:iCs w:val="0"/>
        <w:w w:val="100"/>
        <w:sz w:val="22"/>
        <w:szCs w:val="22"/>
        <w:lang w:val="en-US" w:eastAsia="en-US" w:bidi="ar-SA"/>
      </w:rPr>
    </w:lvl>
    <w:lvl w:ilvl="1" w:tplc="3FB8E582">
      <w:start w:val="1"/>
      <w:numFmt w:val="lowerLetter"/>
      <w:lvlText w:val="%2."/>
      <w:lvlJc w:val="left"/>
      <w:pPr>
        <w:ind w:left="1540" w:hanging="360"/>
      </w:pPr>
      <w:rPr>
        <w:rFonts w:ascii="Calibri" w:eastAsia="Calibri" w:hAnsi="Calibri" w:cs="Calibri" w:hint="default"/>
        <w:b w:val="0"/>
        <w:bCs w:val="0"/>
        <w:i w:val="0"/>
        <w:iCs w:val="0"/>
        <w:spacing w:val="-1"/>
        <w:w w:val="100"/>
        <w:sz w:val="22"/>
        <w:szCs w:val="22"/>
        <w:lang w:val="en-US" w:eastAsia="en-US" w:bidi="ar-SA"/>
      </w:rPr>
    </w:lvl>
    <w:lvl w:ilvl="2" w:tplc="2E085A90">
      <w:numFmt w:val="bullet"/>
      <w:lvlText w:val="•"/>
      <w:lvlJc w:val="left"/>
      <w:pPr>
        <w:ind w:left="2394" w:hanging="360"/>
      </w:pPr>
      <w:rPr>
        <w:rFonts w:hint="default"/>
        <w:lang w:val="en-US" w:eastAsia="en-US" w:bidi="ar-SA"/>
      </w:rPr>
    </w:lvl>
    <w:lvl w:ilvl="3" w:tplc="C970598A">
      <w:numFmt w:val="bullet"/>
      <w:lvlText w:val="•"/>
      <w:lvlJc w:val="left"/>
      <w:pPr>
        <w:ind w:left="3248" w:hanging="360"/>
      </w:pPr>
      <w:rPr>
        <w:rFonts w:hint="default"/>
        <w:lang w:val="en-US" w:eastAsia="en-US" w:bidi="ar-SA"/>
      </w:rPr>
    </w:lvl>
    <w:lvl w:ilvl="4" w:tplc="96E68A1A">
      <w:numFmt w:val="bullet"/>
      <w:lvlText w:val="•"/>
      <w:lvlJc w:val="left"/>
      <w:pPr>
        <w:ind w:left="4102" w:hanging="360"/>
      </w:pPr>
      <w:rPr>
        <w:rFonts w:hint="default"/>
        <w:lang w:val="en-US" w:eastAsia="en-US" w:bidi="ar-SA"/>
      </w:rPr>
    </w:lvl>
    <w:lvl w:ilvl="5" w:tplc="A95A94DC">
      <w:numFmt w:val="bullet"/>
      <w:lvlText w:val="•"/>
      <w:lvlJc w:val="left"/>
      <w:pPr>
        <w:ind w:left="4956" w:hanging="360"/>
      </w:pPr>
      <w:rPr>
        <w:rFonts w:hint="default"/>
        <w:lang w:val="en-US" w:eastAsia="en-US" w:bidi="ar-SA"/>
      </w:rPr>
    </w:lvl>
    <w:lvl w:ilvl="6" w:tplc="5E94E4FC">
      <w:numFmt w:val="bullet"/>
      <w:lvlText w:val="•"/>
      <w:lvlJc w:val="left"/>
      <w:pPr>
        <w:ind w:left="5810" w:hanging="360"/>
      </w:pPr>
      <w:rPr>
        <w:rFonts w:hint="default"/>
        <w:lang w:val="en-US" w:eastAsia="en-US" w:bidi="ar-SA"/>
      </w:rPr>
    </w:lvl>
    <w:lvl w:ilvl="7" w:tplc="2C40FF26">
      <w:numFmt w:val="bullet"/>
      <w:lvlText w:val="•"/>
      <w:lvlJc w:val="left"/>
      <w:pPr>
        <w:ind w:left="6664" w:hanging="360"/>
      </w:pPr>
      <w:rPr>
        <w:rFonts w:hint="default"/>
        <w:lang w:val="en-US" w:eastAsia="en-US" w:bidi="ar-SA"/>
      </w:rPr>
    </w:lvl>
    <w:lvl w:ilvl="8" w:tplc="FA34652A">
      <w:numFmt w:val="bullet"/>
      <w:lvlText w:val="•"/>
      <w:lvlJc w:val="left"/>
      <w:pPr>
        <w:ind w:left="7518" w:hanging="360"/>
      </w:pPr>
      <w:rPr>
        <w:rFonts w:hint="default"/>
        <w:lang w:val="en-US" w:eastAsia="en-US" w:bidi="ar-SA"/>
      </w:rPr>
    </w:lvl>
  </w:abstractNum>
  <w:abstractNum w:abstractNumId="106" w15:restartNumberingAfterBreak="0">
    <w:nsid w:val="6D610344"/>
    <w:multiLevelType w:val="hybridMultilevel"/>
    <w:tmpl w:val="DA78CD8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7" w15:restartNumberingAfterBreak="0">
    <w:nsid w:val="6E8A6B56"/>
    <w:multiLevelType w:val="hybridMultilevel"/>
    <w:tmpl w:val="F5CE847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8" w15:restartNumberingAfterBreak="0">
    <w:nsid w:val="70776141"/>
    <w:multiLevelType w:val="hybridMultilevel"/>
    <w:tmpl w:val="C1A0AD3C"/>
    <w:lvl w:ilvl="0" w:tplc="6936C1B6">
      <w:start w:val="1"/>
      <w:numFmt w:val="bullet"/>
      <w:lvlText w:val="·"/>
      <w:lvlJc w:val="left"/>
      <w:pPr>
        <w:ind w:left="360" w:hanging="360"/>
      </w:pPr>
      <w:rPr>
        <w:rFonts w:ascii="Symbol" w:hAnsi="Symbol" w:hint="default"/>
      </w:rPr>
    </w:lvl>
    <w:lvl w:ilvl="1" w:tplc="00CC014C">
      <w:start w:val="1"/>
      <w:numFmt w:val="bullet"/>
      <w:lvlText w:val="o"/>
      <w:lvlJc w:val="left"/>
      <w:pPr>
        <w:ind w:left="1080" w:hanging="360"/>
      </w:pPr>
      <w:rPr>
        <w:rFonts w:ascii="Courier New" w:hAnsi="Courier New" w:hint="default"/>
      </w:rPr>
    </w:lvl>
    <w:lvl w:ilvl="2" w:tplc="2D02F258">
      <w:start w:val="1"/>
      <w:numFmt w:val="bullet"/>
      <w:lvlText w:val=""/>
      <w:lvlJc w:val="left"/>
      <w:pPr>
        <w:ind w:left="1800" w:hanging="360"/>
      </w:pPr>
      <w:rPr>
        <w:rFonts w:ascii="Wingdings" w:hAnsi="Wingdings" w:hint="default"/>
      </w:rPr>
    </w:lvl>
    <w:lvl w:ilvl="3" w:tplc="DF86A01A">
      <w:start w:val="1"/>
      <w:numFmt w:val="bullet"/>
      <w:lvlText w:val=""/>
      <w:lvlJc w:val="left"/>
      <w:pPr>
        <w:ind w:left="2520" w:hanging="360"/>
      </w:pPr>
      <w:rPr>
        <w:rFonts w:ascii="Symbol" w:hAnsi="Symbol" w:hint="default"/>
      </w:rPr>
    </w:lvl>
    <w:lvl w:ilvl="4" w:tplc="9494650E">
      <w:start w:val="1"/>
      <w:numFmt w:val="bullet"/>
      <w:lvlText w:val="o"/>
      <w:lvlJc w:val="left"/>
      <w:pPr>
        <w:ind w:left="3240" w:hanging="360"/>
      </w:pPr>
      <w:rPr>
        <w:rFonts w:ascii="Courier New" w:hAnsi="Courier New" w:hint="default"/>
      </w:rPr>
    </w:lvl>
    <w:lvl w:ilvl="5" w:tplc="63701CE6">
      <w:start w:val="1"/>
      <w:numFmt w:val="bullet"/>
      <w:lvlText w:val=""/>
      <w:lvlJc w:val="left"/>
      <w:pPr>
        <w:ind w:left="3960" w:hanging="360"/>
      </w:pPr>
      <w:rPr>
        <w:rFonts w:ascii="Wingdings" w:hAnsi="Wingdings" w:hint="default"/>
      </w:rPr>
    </w:lvl>
    <w:lvl w:ilvl="6" w:tplc="21A88938">
      <w:start w:val="1"/>
      <w:numFmt w:val="bullet"/>
      <w:lvlText w:val=""/>
      <w:lvlJc w:val="left"/>
      <w:pPr>
        <w:ind w:left="4680" w:hanging="360"/>
      </w:pPr>
      <w:rPr>
        <w:rFonts w:ascii="Symbol" w:hAnsi="Symbol" w:hint="default"/>
      </w:rPr>
    </w:lvl>
    <w:lvl w:ilvl="7" w:tplc="A5B2057E">
      <w:start w:val="1"/>
      <w:numFmt w:val="bullet"/>
      <w:lvlText w:val="o"/>
      <w:lvlJc w:val="left"/>
      <w:pPr>
        <w:ind w:left="5400" w:hanging="360"/>
      </w:pPr>
      <w:rPr>
        <w:rFonts w:ascii="Courier New" w:hAnsi="Courier New" w:hint="default"/>
      </w:rPr>
    </w:lvl>
    <w:lvl w:ilvl="8" w:tplc="F01ADA9E">
      <w:start w:val="1"/>
      <w:numFmt w:val="bullet"/>
      <w:lvlText w:val=""/>
      <w:lvlJc w:val="left"/>
      <w:pPr>
        <w:ind w:left="6120" w:hanging="360"/>
      </w:pPr>
      <w:rPr>
        <w:rFonts w:ascii="Wingdings" w:hAnsi="Wingdings" w:hint="default"/>
      </w:rPr>
    </w:lvl>
  </w:abstractNum>
  <w:abstractNum w:abstractNumId="109" w15:restartNumberingAfterBreak="0">
    <w:nsid w:val="7252133A"/>
    <w:multiLevelType w:val="hybridMultilevel"/>
    <w:tmpl w:val="A4A610C8"/>
    <w:lvl w:ilvl="0" w:tplc="0C09000F">
      <w:start w:val="1"/>
      <w:numFmt w:val="decimal"/>
      <w:lvlText w:val="%1."/>
      <w:lvlJc w:val="left"/>
      <w:pPr>
        <w:ind w:left="720" w:hanging="360"/>
      </w:pPr>
    </w:lvl>
    <w:lvl w:ilvl="1" w:tplc="0C090001">
      <w:start w:val="1"/>
      <w:numFmt w:val="bullet"/>
      <w:lvlText w:val=""/>
      <w:lvlJc w:val="left"/>
      <w:pPr>
        <w:ind w:left="1800" w:hanging="72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72FA28C9"/>
    <w:multiLevelType w:val="hybridMultilevel"/>
    <w:tmpl w:val="DA6E48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1" w15:restartNumberingAfterBreak="0">
    <w:nsid w:val="749B3BE9"/>
    <w:multiLevelType w:val="hybridMultilevel"/>
    <w:tmpl w:val="34AADCB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2" w15:restartNumberingAfterBreak="0">
    <w:nsid w:val="75ED5E0D"/>
    <w:multiLevelType w:val="hybridMultilevel"/>
    <w:tmpl w:val="6E7264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3" w15:restartNumberingAfterBreak="0">
    <w:nsid w:val="78134B09"/>
    <w:multiLevelType w:val="multilevel"/>
    <w:tmpl w:val="C7F46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4" w15:restartNumberingAfterBreak="0">
    <w:nsid w:val="7BB05538"/>
    <w:multiLevelType w:val="hybridMultilevel"/>
    <w:tmpl w:val="30C6830E"/>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7F982F02"/>
    <w:multiLevelType w:val="multilevel"/>
    <w:tmpl w:val="CB98FE3A"/>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num w:numId="1">
    <w:abstractNumId w:val="29"/>
  </w:num>
  <w:num w:numId="2">
    <w:abstractNumId w:val="94"/>
  </w:num>
  <w:num w:numId="3">
    <w:abstractNumId w:val="1"/>
  </w:num>
  <w:num w:numId="4">
    <w:abstractNumId w:val="14"/>
  </w:num>
  <w:num w:numId="5">
    <w:abstractNumId w:val="106"/>
  </w:num>
  <w:num w:numId="6">
    <w:abstractNumId w:val="28"/>
  </w:num>
  <w:num w:numId="7">
    <w:abstractNumId w:val="35"/>
  </w:num>
  <w:num w:numId="8">
    <w:abstractNumId w:val="71"/>
  </w:num>
  <w:num w:numId="9">
    <w:abstractNumId w:val="67"/>
  </w:num>
  <w:num w:numId="10">
    <w:abstractNumId w:val="98"/>
  </w:num>
  <w:num w:numId="11">
    <w:abstractNumId w:val="8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70"/>
  </w:num>
  <w:num w:numId="14">
    <w:abstractNumId w:val="88"/>
  </w:num>
  <w:num w:numId="15">
    <w:abstractNumId w:val="93"/>
  </w:num>
  <w:num w:numId="16">
    <w:abstractNumId w:val="104"/>
  </w:num>
  <w:num w:numId="17">
    <w:abstractNumId w:val="3"/>
  </w:num>
  <w:num w:numId="18">
    <w:abstractNumId w:val="90"/>
  </w:num>
  <w:num w:numId="19">
    <w:abstractNumId w:val="59"/>
  </w:num>
  <w:num w:numId="20">
    <w:abstractNumId w:val="89"/>
  </w:num>
  <w:num w:numId="21">
    <w:abstractNumId w:val="105"/>
  </w:num>
  <w:num w:numId="22">
    <w:abstractNumId w:val="45"/>
  </w:num>
  <w:num w:numId="23">
    <w:abstractNumId w:val="75"/>
  </w:num>
  <w:num w:numId="24">
    <w:abstractNumId w:val="34"/>
  </w:num>
  <w:num w:numId="25">
    <w:abstractNumId w:val="113"/>
  </w:num>
  <w:num w:numId="26">
    <w:abstractNumId w:val="6"/>
  </w:num>
  <w:num w:numId="27">
    <w:abstractNumId w:val="62"/>
  </w:num>
  <w:num w:numId="28">
    <w:abstractNumId w:val="30"/>
  </w:num>
  <w:num w:numId="29">
    <w:abstractNumId w:val="31"/>
  </w:num>
  <w:num w:numId="30">
    <w:abstractNumId w:val="33"/>
  </w:num>
  <w:num w:numId="31">
    <w:abstractNumId w:val="79"/>
  </w:num>
  <w:num w:numId="32">
    <w:abstractNumId w:val="23"/>
  </w:num>
  <w:num w:numId="33">
    <w:abstractNumId w:val="38"/>
  </w:num>
  <w:num w:numId="34">
    <w:abstractNumId w:val="4"/>
  </w:num>
  <w:num w:numId="35">
    <w:abstractNumId w:val="48"/>
  </w:num>
  <w:num w:numId="36">
    <w:abstractNumId w:val="60"/>
  </w:num>
  <w:num w:numId="37">
    <w:abstractNumId w:val="85"/>
  </w:num>
  <w:num w:numId="38">
    <w:abstractNumId w:val="46"/>
  </w:num>
  <w:num w:numId="39">
    <w:abstractNumId w:val="95"/>
  </w:num>
  <w:num w:numId="40">
    <w:abstractNumId w:val="21"/>
  </w:num>
  <w:num w:numId="41">
    <w:abstractNumId w:val="58"/>
  </w:num>
  <w:num w:numId="42">
    <w:abstractNumId w:val="22"/>
  </w:num>
  <w:num w:numId="43">
    <w:abstractNumId w:val="16"/>
  </w:num>
  <w:num w:numId="44">
    <w:abstractNumId w:val="76"/>
  </w:num>
  <w:num w:numId="45">
    <w:abstractNumId w:val="81"/>
  </w:num>
  <w:num w:numId="46">
    <w:abstractNumId w:val="83"/>
  </w:num>
  <w:num w:numId="47">
    <w:abstractNumId w:val="110"/>
  </w:num>
  <w:num w:numId="48">
    <w:abstractNumId w:val="7"/>
  </w:num>
  <w:num w:numId="49">
    <w:abstractNumId w:val="17"/>
  </w:num>
  <w:num w:numId="50">
    <w:abstractNumId w:val="41"/>
  </w:num>
  <w:num w:numId="51">
    <w:abstractNumId w:val="86"/>
  </w:num>
  <w:num w:numId="52">
    <w:abstractNumId w:val="9"/>
  </w:num>
  <w:num w:numId="53">
    <w:abstractNumId w:val="108"/>
  </w:num>
  <w:num w:numId="54">
    <w:abstractNumId w:val="103"/>
  </w:num>
  <w:num w:numId="55">
    <w:abstractNumId w:val="78"/>
  </w:num>
  <w:num w:numId="56">
    <w:abstractNumId w:val="37"/>
  </w:num>
  <w:num w:numId="57">
    <w:abstractNumId w:val="18"/>
  </w:num>
  <w:num w:numId="58">
    <w:abstractNumId w:val="97"/>
  </w:num>
  <w:num w:numId="59">
    <w:abstractNumId w:val="69"/>
  </w:num>
  <w:num w:numId="60">
    <w:abstractNumId w:val="65"/>
  </w:num>
  <w:num w:numId="61">
    <w:abstractNumId w:val="13"/>
  </w:num>
  <w:num w:numId="62">
    <w:abstractNumId w:val="101"/>
  </w:num>
  <w:num w:numId="63">
    <w:abstractNumId w:val="51"/>
  </w:num>
  <w:num w:numId="64">
    <w:abstractNumId w:val="47"/>
  </w:num>
  <w:num w:numId="65">
    <w:abstractNumId w:val="43"/>
  </w:num>
  <w:num w:numId="66">
    <w:abstractNumId w:val="100"/>
  </w:num>
  <w:num w:numId="67">
    <w:abstractNumId w:val="0"/>
  </w:num>
  <w:num w:numId="68">
    <w:abstractNumId w:val="32"/>
  </w:num>
  <w:num w:numId="69">
    <w:abstractNumId w:val="77"/>
  </w:num>
  <w:num w:numId="70">
    <w:abstractNumId w:val="92"/>
  </w:num>
  <w:num w:numId="71">
    <w:abstractNumId w:val="36"/>
  </w:num>
  <w:num w:numId="72">
    <w:abstractNumId w:val="102"/>
  </w:num>
  <w:num w:numId="73">
    <w:abstractNumId w:val="66"/>
  </w:num>
  <w:num w:numId="74">
    <w:abstractNumId w:val="111"/>
  </w:num>
  <w:num w:numId="75">
    <w:abstractNumId w:val="26"/>
  </w:num>
  <w:num w:numId="76">
    <w:abstractNumId w:val="96"/>
  </w:num>
  <w:num w:numId="77">
    <w:abstractNumId w:val="73"/>
  </w:num>
  <w:num w:numId="78">
    <w:abstractNumId w:val="63"/>
  </w:num>
  <w:num w:numId="79">
    <w:abstractNumId w:val="54"/>
  </w:num>
  <w:num w:numId="80">
    <w:abstractNumId w:val="25"/>
  </w:num>
  <w:num w:numId="81">
    <w:abstractNumId w:val="24"/>
  </w:num>
  <w:num w:numId="82">
    <w:abstractNumId w:val="53"/>
  </w:num>
  <w:num w:numId="83">
    <w:abstractNumId w:val="40"/>
  </w:num>
  <w:num w:numId="84">
    <w:abstractNumId w:val="55"/>
  </w:num>
  <w:num w:numId="85">
    <w:abstractNumId w:val="56"/>
  </w:num>
  <w:num w:numId="86">
    <w:abstractNumId w:val="8"/>
  </w:num>
  <w:num w:numId="87">
    <w:abstractNumId w:val="2"/>
  </w:num>
  <w:num w:numId="88">
    <w:abstractNumId w:val="50"/>
  </w:num>
  <w:num w:numId="89">
    <w:abstractNumId w:val="114"/>
  </w:num>
  <w:num w:numId="90">
    <w:abstractNumId w:val="11"/>
  </w:num>
  <w:num w:numId="91">
    <w:abstractNumId w:val="64"/>
  </w:num>
  <w:num w:numId="92">
    <w:abstractNumId w:val="74"/>
  </w:num>
  <w:num w:numId="93">
    <w:abstractNumId w:val="10"/>
  </w:num>
  <w:num w:numId="94">
    <w:abstractNumId w:val="109"/>
  </w:num>
  <w:num w:numId="95">
    <w:abstractNumId w:val="72"/>
  </w:num>
  <w:num w:numId="96">
    <w:abstractNumId w:val="68"/>
  </w:num>
  <w:num w:numId="97">
    <w:abstractNumId w:val="112"/>
  </w:num>
  <w:num w:numId="98">
    <w:abstractNumId w:val="99"/>
  </w:num>
  <w:num w:numId="99">
    <w:abstractNumId w:val="87"/>
  </w:num>
  <w:num w:numId="100">
    <w:abstractNumId w:val="52"/>
  </w:num>
  <w:num w:numId="101">
    <w:abstractNumId w:val="39"/>
  </w:num>
  <w:num w:numId="102">
    <w:abstractNumId w:val="15"/>
  </w:num>
  <w:num w:numId="103">
    <w:abstractNumId w:val="4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80"/>
  </w:num>
  <w:num w:numId="105">
    <w:abstractNumId w:val="57"/>
  </w:num>
  <w:num w:numId="106">
    <w:abstractNumId w:val="20"/>
  </w:num>
  <w:num w:numId="107">
    <w:abstractNumId w:val="82"/>
  </w:num>
  <w:num w:numId="108">
    <w:abstractNumId w:val="61"/>
  </w:num>
  <w:num w:numId="109">
    <w:abstractNumId w:val="91"/>
  </w:num>
  <w:num w:numId="110">
    <w:abstractNumId w:val="49"/>
  </w:num>
  <w:num w:numId="111">
    <w:abstractNumId w:val="42"/>
  </w:num>
  <w:num w:numId="112">
    <w:abstractNumId w:val="27"/>
  </w:num>
  <w:num w:numId="113">
    <w:abstractNumId w:val="19"/>
  </w:num>
  <w:num w:numId="114">
    <w:abstractNumId w:val="102"/>
  </w:num>
  <w:num w:numId="115">
    <w:abstractNumId w:val="115"/>
  </w:num>
  <w:num w:numId="116">
    <w:abstractNumId w:val="107"/>
  </w:num>
  <w:num w:numId="117">
    <w:abstractNumId w:val="12"/>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743"/>
    <w:rsid w:val="000016E0"/>
    <w:rsid w:val="0000193C"/>
    <w:rsid w:val="00001FBF"/>
    <w:rsid w:val="0001225E"/>
    <w:rsid w:val="00012F91"/>
    <w:rsid w:val="000134D1"/>
    <w:rsid w:val="00014BF4"/>
    <w:rsid w:val="000161AB"/>
    <w:rsid w:val="00024728"/>
    <w:rsid w:val="00024846"/>
    <w:rsid w:val="000276A4"/>
    <w:rsid w:val="00027CEB"/>
    <w:rsid w:val="000310AE"/>
    <w:rsid w:val="0003253C"/>
    <w:rsid w:val="00033025"/>
    <w:rsid w:val="00033865"/>
    <w:rsid w:val="00033A5E"/>
    <w:rsid w:val="00034229"/>
    <w:rsid w:val="00035F8F"/>
    <w:rsid w:val="000376BD"/>
    <w:rsid w:val="00043031"/>
    <w:rsid w:val="000448A2"/>
    <w:rsid w:val="00045042"/>
    <w:rsid w:val="00045908"/>
    <w:rsid w:val="00045982"/>
    <w:rsid w:val="00047187"/>
    <w:rsid w:val="0005158C"/>
    <w:rsid w:val="00052345"/>
    <w:rsid w:val="000525E7"/>
    <w:rsid w:val="00055154"/>
    <w:rsid w:val="00055D26"/>
    <w:rsid w:val="00056496"/>
    <w:rsid w:val="00060835"/>
    <w:rsid w:val="00060E9E"/>
    <w:rsid w:val="00063371"/>
    <w:rsid w:val="000640DA"/>
    <w:rsid w:val="00065032"/>
    <w:rsid w:val="00066E08"/>
    <w:rsid w:val="00071B2C"/>
    <w:rsid w:val="00072546"/>
    <w:rsid w:val="0007688E"/>
    <w:rsid w:val="00077516"/>
    <w:rsid w:val="00077631"/>
    <w:rsid w:val="000812D2"/>
    <w:rsid w:val="00083C84"/>
    <w:rsid w:val="00093106"/>
    <w:rsid w:val="000A3399"/>
    <w:rsid w:val="000A5A48"/>
    <w:rsid w:val="000A65BC"/>
    <w:rsid w:val="000A6BDA"/>
    <w:rsid w:val="000A7A00"/>
    <w:rsid w:val="000B04F5"/>
    <w:rsid w:val="000B11AF"/>
    <w:rsid w:val="000B136C"/>
    <w:rsid w:val="000B3736"/>
    <w:rsid w:val="000B38AC"/>
    <w:rsid w:val="000B451D"/>
    <w:rsid w:val="000B4C93"/>
    <w:rsid w:val="000C1577"/>
    <w:rsid w:val="000C1B19"/>
    <w:rsid w:val="000C5591"/>
    <w:rsid w:val="000C5F65"/>
    <w:rsid w:val="000C6AE5"/>
    <w:rsid w:val="000C7201"/>
    <w:rsid w:val="000D073A"/>
    <w:rsid w:val="000D0C89"/>
    <w:rsid w:val="000D3ED2"/>
    <w:rsid w:val="000D5A35"/>
    <w:rsid w:val="000D5A9A"/>
    <w:rsid w:val="000D5C2C"/>
    <w:rsid w:val="000D5D48"/>
    <w:rsid w:val="000D63D8"/>
    <w:rsid w:val="000D658C"/>
    <w:rsid w:val="000D6B7B"/>
    <w:rsid w:val="000D7A30"/>
    <w:rsid w:val="000E0448"/>
    <w:rsid w:val="000E10B1"/>
    <w:rsid w:val="000E132D"/>
    <w:rsid w:val="000E189F"/>
    <w:rsid w:val="000E4AD2"/>
    <w:rsid w:val="000E7269"/>
    <w:rsid w:val="000E7526"/>
    <w:rsid w:val="000E7A71"/>
    <w:rsid w:val="000E7F9D"/>
    <w:rsid w:val="000F0083"/>
    <w:rsid w:val="000F2A86"/>
    <w:rsid w:val="000F3B1C"/>
    <w:rsid w:val="000F4B7D"/>
    <w:rsid w:val="000F4CD9"/>
    <w:rsid w:val="000F4CEC"/>
    <w:rsid w:val="000F51B1"/>
    <w:rsid w:val="000F56E2"/>
    <w:rsid w:val="00100301"/>
    <w:rsid w:val="00101F28"/>
    <w:rsid w:val="00102EB6"/>
    <w:rsid w:val="0010619F"/>
    <w:rsid w:val="00106ABF"/>
    <w:rsid w:val="0010703A"/>
    <w:rsid w:val="001126F1"/>
    <w:rsid w:val="00112995"/>
    <w:rsid w:val="001151DE"/>
    <w:rsid w:val="001175FE"/>
    <w:rsid w:val="0011784A"/>
    <w:rsid w:val="0012004D"/>
    <w:rsid w:val="00124AD3"/>
    <w:rsid w:val="00124D2E"/>
    <w:rsid w:val="00124DB3"/>
    <w:rsid w:val="00124E08"/>
    <w:rsid w:val="00124E12"/>
    <w:rsid w:val="00125FB5"/>
    <w:rsid w:val="00126523"/>
    <w:rsid w:val="00126797"/>
    <w:rsid w:val="00126E2C"/>
    <w:rsid w:val="00127A80"/>
    <w:rsid w:val="0013140A"/>
    <w:rsid w:val="001328A7"/>
    <w:rsid w:val="00133042"/>
    <w:rsid w:val="00134150"/>
    <w:rsid w:val="0013597E"/>
    <w:rsid w:val="001364C7"/>
    <w:rsid w:val="00137B96"/>
    <w:rsid w:val="001411E3"/>
    <w:rsid w:val="001414C7"/>
    <w:rsid w:val="00141E81"/>
    <w:rsid w:val="001426F1"/>
    <w:rsid w:val="00142AFE"/>
    <w:rsid w:val="00144241"/>
    <w:rsid w:val="00144359"/>
    <w:rsid w:val="001448ED"/>
    <w:rsid w:val="00145081"/>
    <w:rsid w:val="00145B80"/>
    <w:rsid w:val="00145E6D"/>
    <w:rsid w:val="00150F27"/>
    <w:rsid w:val="00155CBF"/>
    <w:rsid w:val="00156851"/>
    <w:rsid w:val="00156C53"/>
    <w:rsid w:val="00156E97"/>
    <w:rsid w:val="00157F72"/>
    <w:rsid w:val="00160216"/>
    <w:rsid w:val="00160C05"/>
    <w:rsid w:val="00164369"/>
    <w:rsid w:val="00164895"/>
    <w:rsid w:val="00172275"/>
    <w:rsid w:val="00173EC1"/>
    <w:rsid w:val="00174221"/>
    <w:rsid w:val="001750D5"/>
    <w:rsid w:val="00175609"/>
    <w:rsid w:val="00176981"/>
    <w:rsid w:val="0018237D"/>
    <w:rsid w:val="00186865"/>
    <w:rsid w:val="00191869"/>
    <w:rsid w:val="00195C0B"/>
    <w:rsid w:val="00196236"/>
    <w:rsid w:val="001966EB"/>
    <w:rsid w:val="00196C63"/>
    <w:rsid w:val="001A03B6"/>
    <w:rsid w:val="001A03ED"/>
    <w:rsid w:val="001A0DBB"/>
    <w:rsid w:val="001A1291"/>
    <w:rsid w:val="001A2FE8"/>
    <w:rsid w:val="001A374C"/>
    <w:rsid w:val="001A4253"/>
    <w:rsid w:val="001A4C95"/>
    <w:rsid w:val="001A52FA"/>
    <w:rsid w:val="001A7218"/>
    <w:rsid w:val="001A75FB"/>
    <w:rsid w:val="001B3CB0"/>
    <w:rsid w:val="001B68BA"/>
    <w:rsid w:val="001C0123"/>
    <w:rsid w:val="001C0208"/>
    <w:rsid w:val="001C0B9C"/>
    <w:rsid w:val="001C11BC"/>
    <w:rsid w:val="001C5FCA"/>
    <w:rsid w:val="001C6324"/>
    <w:rsid w:val="001C6661"/>
    <w:rsid w:val="001C69EB"/>
    <w:rsid w:val="001D01A7"/>
    <w:rsid w:val="001D1BE2"/>
    <w:rsid w:val="001D26A5"/>
    <w:rsid w:val="001D3B8F"/>
    <w:rsid w:val="001D49EC"/>
    <w:rsid w:val="001D6381"/>
    <w:rsid w:val="001E2049"/>
    <w:rsid w:val="001E5EE1"/>
    <w:rsid w:val="001F281E"/>
    <w:rsid w:val="001F3863"/>
    <w:rsid w:val="001F683A"/>
    <w:rsid w:val="001F7105"/>
    <w:rsid w:val="001F71E5"/>
    <w:rsid w:val="00201481"/>
    <w:rsid w:val="00201EF6"/>
    <w:rsid w:val="00202A0C"/>
    <w:rsid w:val="00203257"/>
    <w:rsid w:val="00204C78"/>
    <w:rsid w:val="00206EDD"/>
    <w:rsid w:val="00207FA2"/>
    <w:rsid w:val="00210CA6"/>
    <w:rsid w:val="00211402"/>
    <w:rsid w:val="00214023"/>
    <w:rsid w:val="002152F6"/>
    <w:rsid w:val="00215FC9"/>
    <w:rsid w:val="002161DB"/>
    <w:rsid w:val="002166F0"/>
    <w:rsid w:val="00216A3C"/>
    <w:rsid w:val="00216FED"/>
    <w:rsid w:val="00221774"/>
    <w:rsid w:val="0022207B"/>
    <w:rsid w:val="00224303"/>
    <w:rsid w:val="002253AA"/>
    <w:rsid w:val="002267B6"/>
    <w:rsid w:val="00230967"/>
    <w:rsid w:val="00232621"/>
    <w:rsid w:val="002327CE"/>
    <w:rsid w:val="00233CCD"/>
    <w:rsid w:val="0023416F"/>
    <w:rsid w:val="0023698C"/>
    <w:rsid w:val="00237396"/>
    <w:rsid w:val="00241000"/>
    <w:rsid w:val="0024199A"/>
    <w:rsid w:val="0024283B"/>
    <w:rsid w:val="002449D9"/>
    <w:rsid w:val="00244BB6"/>
    <w:rsid w:val="00250100"/>
    <w:rsid w:val="002515AF"/>
    <w:rsid w:val="00251E36"/>
    <w:rsid w:val="00251FC0"/>
    <w:rsid w:val="00254852"/>
    <w:rsid w:val="00256C17"/>
    <w:rsid w:val="00257A32"/>
    <w:rsid w:val="00261286"/>
    <w:rsid w:val="00261EEF"/>
    <w:rsid w:val="00262271"/>
    <w:rsid w:val="002628E9"/>
    <w:rsid w:val="00263801"/>
    <w:rsid w:val="00263A20"/>
    <w:rsid w:val="0026798A"/>
    <w:rsid w:val="002701C1"/>
    <w:rsid w:val="00270DB6"/>
    <w:rsid w:val="002716BB"/>
    <w:rsid w:val="002722F8"/>
    <w:rsid w:val="00272E78"/>
    <w:rsid w:val="002759CE"/>
    <w:rsid w:val="00275D92"/>
    <w:rsid w:val="0027656F"/>
    <w:rsid w:val="002776AE"/>
    <w:rsid w:val="00280B5E"/>
    <w:rsid w:val="00281AD6"/>
    <w:rsid w:val="002822A1"/>
    <w:rsid w:val="0028331C"/>
    <w:rsid w:val="0028388D"/>
    <w:rsid w:val="00284C59"/>
    <w:rsid w:val="00284E8A"/>
    <w:rsid w:val="00286EE1"/>
    <w:rsid w:val="002875D7"/>
    <w:rsid w:val="00287E42"/>
    <w:rsid w:val="002929B1"/>
    <w:rsid w:val="0029337B"/>
    <w:rsid w:val="0029348A"/>
    <w:rsid w:val="00293AE3"/>
    <w:rsid w:val="00295311"/>
    <w:rsid w:val="00295EDF"/>
    <w:rsid w:val="00296CFB"/>
    <w:rsid w:val="0029735A"/>
    <w:rsid w:val="00297E13"/>
    <w:rsid w:val="002A0E5F"/>
    <w:rsid w:val="002A22A7"/>
    <w:rsid w:val="002A3795"/>
    <w:rsid w:val="002A4FF2"/>
    <w:rsid w:val="002A6AA7"/>
    <w:rsid w:val="002A75A9"/>
    <w:rsid w:val="002A7744"/>
    <w:rsid w:val="002A7D9E"/>
    <w:rsid w:val="002B0F1B"/>
    <w:rsid w:val="002C0437"/>
    <w:rsid w:val="002C3398"/>
    <w:rsid w:val="002C6288"/>
    <w:rsid w:val="002C730F"/>
    <w:rsid w:val="002C7D0F"/>
    <w:rsid w:val="002D0743"/>
    <w:rsid w:val="002D0C55"/>
    <w:rsid w:val="002D0DAE"/>
    <w:rsid w:val="002D20FB"/>
    <w:rsid w:val="002D2A18"/>
    <w:rsid w:val="002D2BBF"/>
    <w:rsid w:val="002D4013"/>
    <w:rsid w:val="002D5F76"/>
    <w:rsid w:val="002D74FE"/>
    <w:rsid w:val="002E00B0"/>
    <w:rsid w:val="002E170B"/>
    <w:rsid w:val="002E1A05"/>
    <w:rsid w:val="002E2687"/>
    <w:rsid w:val="002E2B69"/>
    <w:rsid w:val="002E2BFC"/>
    <w:rsid w:val="002E4AC2"/>
    <w:rsid w:val="002E582C"/>
    <w:rsid w:val="002E6F31"/>
    <w:rsid w:val="002E7828"/>
    <w:rsid w:val="002F085F"/>
    <w:rsid w:val="002F230B"/>
    <w:rsid w:val="002F4AD7"/>
    <w:rsid w:val="002F4F8A"/>
    <w:rsid w:val="002F741D"/>
    <w:rsid w:val="0030244B"/>
    <w:rsid w:val="00304602"/>
    <w:rsid w:val="00306BBD"/>
    <w:rsid w:val="003073DA"/>
    <w:rsid w:val="003075BD"/>
    <w:rsid w:val="00310046"/>
    <w:rsid w:val="00311502"/>
    <w:rsid w:val="003120DB"/>
    <w:rsid w:val="003122D0"/>
    <w:rsid w:val="003128BB"/>
    <w:rsid w:val="00312E47"/>
    <w:rsid w:val="00313FCE"/>
    <w:rsid w:val="003148B2"/>
    <w:rsid w:val="00315195"/>
    <w:rsid w:val="00320C86"/>
    <w:rsid w:val="00321162"/>
    <w:rsid w:val="00323086"/>
    <w:rsid w:val="00323307"/>
    <w:rsid w:val="003259F6"/>
    <w:rsid w:val="00331E91"/>
    <w:rsid w:val="00334F4F"/>
    <w:rsid w:val="00335ED5"/>
    <w:rsid w:val="00337C31"/>
    <w:rsid w:val="00341B5F"/>
    <w:rsid w:val="00343640"/>
    <w:rsid w:val="003437A7"/>
    <w:rsid w:val="003452BC"/>
    <w:rsid w:val="00346676"/>
    <w:rsid w:val="00346D7F"/>
    <w:rsid w:val="003506C4"/>
    <w:rsid w:val="003507E8"/>
    <w:rsid w:val="003512DE"/>
    <w:rsid w:val="00352718"/>
    <w:rsid w:val="00352F17"/>
    <w:rsid w:val="0035335E"/>
    <w:rsid w:val="0035397D"/>
    <w:rsid w:val="00356280"/>
    <w:rsid w:val="003576ED"/>
    <w:rsid w:val="00364298"/>
    <w:rsid w:val="003650E3"/>
    <w:rsid w:val="00366C1D"/>
    <w:rsid w:val="00373F06"/>
    <w:rsid w:val="00374019"/>
    <w:rsid w:val="00376A42"/>
    <w:rsid w:val="0037704F"/>
    <w:rsid w:val="00377421"/>
    <w:rsid w:val="0037796C"/>
    <w:rsid w:val="00383ADB"/>
    <w:rsid w:val="003844F1"/>
    <w:rsid w:val="00384D7E"/>
    <w:rsid w:val="0038554C"/>
    <w:rsid w:val="00385777"/>
    <w:rsid w:val="00386512"/>
    <w:rsid w:val="003867BA"/>
    <w:rsid w:val="003868A6"/>
    <w:rsid w:val="00386957"/>
    <w:rsid w:val="00386B72"/>
    <w:rsid w:val="003876EE"/>
    <w:rsid w:val="00390C5B"/>
    <w:rsid w:val="003927C1"/>
    <w:rsid w:val="003934C9"/>
    <w:rsid w:val="00397B66"/>
    <w:rsid w:val="003A2E46"/>
    <w:rsid w:val="003A3372"/>
    <w:rsid w:val="003A339C"/>
    <w:rsid w:val="003A4218"/>
    <w:rsid w:val="003A4BA7"/>
    <w:rsid w:val="003A578B"/>
    <w:rsid w:val="003A6891"/>
    <w:rsid w:val="003A6994"/>
    <w:rsid w:val="003A6B9F"/>
    <w:rsid w:val="003A7BF7"/>
    <w:rsid w:val="003B0A38"/>
    <w:rsid w:val="003B12D7"/>
    <w:rsid w:val="003B1EFF"/>
    <w:rsid w:val="003B2A43"/>
    <w:rsid w:val="003B2C53"/>
    <w:rsid w:val="003B3B6A"/>
    <w:rsid w:val="003B5435"/>
    <w:rsid w:val="003B6469"/>
    <w:rsid w:val="003B7E27"/>
    <w:rsid w:val="003C0D37"/>
    <w:rsid w:val="003C288C"/>
    <w:rsid w:val="003C28D1"/>
    <w:rsid w:val="003C2E77"/>
    <w:rsid w:val="003C388D"/>
    <w:rsid w:val="003C3E00"/>
    <w:rsid w:val="003C3E61"/>
    <w:rsid w:val="003C58EB"/>
    <w:rsid w:val="003C78DC"/>
    <w:rsid w:val="003D19B9"/>
    <w:rsid w:val="003D1D8F"/>
    <w:rsid w:val="003D2D93"/>
    <w:rsid w:val="003D44CB"/>
    <w:rsid w:val="003D524C"/>
    <w:rsid w:val="003D5CF8"/>
    <w:rsid w:val="003E029A"/>
    <w:rsid w:val="003E0AB5"/>
    <w:rsid w:val="003E4CFE"/>
    <w:rsid w:val="003E5FC9"/>
    <w:rsid w:val="003E7CFE"/>
    <w:rsid w:val="003F03AE"/>
    <w:rsid w:val="003F0578"/>
    <w:rsid w:val="003F1123"/>
    <w:rsid w:val="003F115A"/>
    <w:rsid w:val="003F46AE"/>
    <w:rsid w:val="003F5CF5"/>
    <w:rsid w:val="00400853"/>
    <w:rsid w:val="00400B58"/>
    <w:rsid w:val="004039A4"/>
    <w:rsid w:val="00403E37"/>
    <w:rsid w:val="00404B5C"/>
    <w:rsid w:val="00406428"/>
    <w:rsid w:val="00406482"/>
    <w:rsid w:val="00406D77"/>
    <w:rsid w:val="00406F32"/>
    <w:rsid w:val="004107AF"/>
    <w:rsid w:val="00410B17"/>
    <w:rsid w:val="004110E7"/>
    <w:rsid w:val="00412E9C"/>
    <w:rsid w:val="00413FE3"/>
    <w:rsid w:val="00414900"/>
    <w:rsid w:val="00416115"/>
    <w:rsid w:val="004167B4"/>
    <w:rsid w:val="00420093"/>
    <w:rsid w:val="0042541B"/>
    <w:rsid w:val="00427D7D"/>
    <w:rsid w:val="004303F8"/>
    <w:rsid w:val="0043300F"/>
    <w:rsid w:val="00433697"/>
    <w:rsid w:val="00433DF8"/>
    <w:rsid w:val="00433F0F"/>
    <w:rsid w:val="00434CAD"/>
    <w:rsid w:val="00437F1E"/>
    <w:rsid w:val="004417AF"/>
    <w:rsid w:val="00442311"/>
    <w:rsid w:val="00442D8F"/>
    <w:rsid w:val="00443706"/>
    <w:rsid w:val="0044512A"/>
    <w:rsid w:val="004452B4"/>
    <w:rsid w:val="00447425"/>
    <w:rsid w:val="00450670"/>
    <w:rsid w:val="00450854"/>
    <w:rsid w:val="004556FC"/>
    <w:rsid w:val="00457D5B"/>
    <w:rsid w:val="00465841"/>
    <w:rsid w:val="0047063C"/>
    <w:rsid w:val="0047241E"/>
    <w:rsid w:val="00473016"/>
    <w:rsid w:val="00473133"/>
    <w:rsid w:val="00474B09"/>
    <w:rsid w:val="00474DAF"/>
    <w:rsid w:val="00474E7A"/>
    <w:rsid w:val="00475647"/>
    <w:rsid w:val="00476704"/>
    <w:rsid w:val="00480B7C"/>
    <w:rsid w:val="00481B2F"/>
    <w:rsid w:val="00482EAE"/>
    <w:rsid w:val="004835D7"/>
    <w:rsid w:val="0048363A"/>
    <w:rsid w:val="00491515"/>
    <w:rsid w:val="004927D2"/>
    <w:rsid w:val="004962F3"/>
    <w:rsid w:val="00496A8A"/>
    <w:rsid w:val="0049791A"/>
    <w:rsid w:val="00497D6C"/>
    <w:rsid w:val="004A1927"/>
    <w:rsid w:val="004A676F"/>
    <w:rsid w:val="004A73CF"/>
    <w:rsid w:val="004B228B"/>
    <w:rsid w:val="004B2DB7"/>
    <w:rsid w:val="004B6E1B"/>
    <w:rsid w:val="004C04AE"/>
    <w:rsid w:val="004C1010"/>
    <w:rsid w:val="004C1376"/>
    <w:rsid w:val="004C1EF7"/>
    <w:rsid w:val="004C47E0"/>
    <w:rsid w:val="004C557E"/>
    <w:rsid w:val="004C5B1B"/>
    <w:rsid w:val="004C645B"/>
    <w:rsid w:val="004D0284"/>
    <w:rsid w:val="004D0297"/>
    <w:rsid w:val="004D2DC5"/>
    <w:rsid w:val="004D35D7"/>
    <w:rsid w:val="004D398B"/>
    <w:rsid w:val="004E0BAF"/>
    <w:rsid w:val="004E66A1"/>
    <w:rsid w:val="004F2274"/>
    <w:rsid w:val="004F298B"/>
    <w:rsid w:val="004F3DD1"/>
    <w:rsid w:val="004F6B06"/>
    <w:rsid w:val="005011D5"/>
    <w:rsid w:val="00501CDD"/>
    <w:rsid w:val="00502A78"/>
    <w:rsid w:val="00502B9F"/>
    <w:rsid w:val="00503DF9"/>
    <w:rsid w:val="00504D81"/>
    <w:rsid w:val="005070F9"/>
    <w:rsid w:val="00507509"/>
    <w:rsid w:val="00512DE5"/>
    <w:rsid w:val="00512F78"/>
    <w:rsid w:val="0051558F"/>
    <w:rsid w:val="005156A8"/>
    <w:rsid w:val="005159EF"/>
    <w:rsid w:val="00515BB6"/>
    <w:rsid w:val="00516093"/>
    <w:rsid w:val="00516538"/>
    <w:rsid w:val="00517439"/>
    <w:rsid w:val="0051797D"/>
    <w:rsid w:val="00520294"/>
    <w:rsid w:val="00520850"/>
    <w:rsid w:val="0052143D"/>
    <w:rsid w:val="00523D2E"/>
    <w:rsid w:val="00526E5B"/>
    <w:rsid w:val="00527B76"/>
    <w:rsid w:val="00530410"/>
    <w:rsid w:val="0053435D"/>
    <w:rsid w:val="00534761"/>
    <w:rsid w:val="00536B2D"/>
    <w:rsid w:val="00540974"/>
    <w:rsid w:val="00541DB1"/>
    <w:rsid w:val="00541DB6"/>
    <w:rsid w:val="005446F9"/>
    <w:rsid w:val="005448AA"/>
    <w:rsid w:val="00545FFE"/>
    <w:rsid w:val="00551995"/>
    <w:rsid w:val="00557E11"/>
    <w:rsid w:val="00560AFA"/>
    <w:rsid w:val="00561D11"/>
    <w:rsid w:val="0056365B"/>
    <w:rsid w:val="00564FDF"/>
    <w:rsid w:val="00565F2C"/>
    <w:rsid w:val="00567AF2"/>
    <w:rsid w:val="0057500B"/>
    <w:rsid w:val="00575593"/>
    <w:rsid w:val="005771D0"/>
    <w:rsid w:val="0057794E"/>
    <w:rsid w:val="00577959"/>
    <w:rsid w:val="00577BBD"/>
    <w:rsid w:val="00577EE4"/>
    <w:rsid w:val="00580B0E"/>
    <w:rsid w:val="00580FF0"/>
    <w:rsid w:val="00581C09"/>
    <w:rsid w:val="00583F88"/>
    <w:rsid w:val="0058417F"/>
    <w:rsid w:val="00584F98"/>
    <w:rsid w:val="005867AA"/>
    <w:rsid w:val="00587362"/>
    <w:rsid w:val="005901E3"/>
    <w:rsid w:val="0059143A"/>
    <w:rsid w:val="00591470"/>
    <w:rsid w:val="00591F66"/>
    <w:rsid w:val="00592093"/>
    <w:rsid w:val="00593CF8"/>
    <w:rsid w:val="0059544A"/>
    <w:rsid w:val="00597EDF"/>
    <w:rsid w:val="005A38D9"/>
    <w:rsid w:val="005A6AF5"/>
    <w:rsid w:val="005A7273"/>
    <w:rsid w:val="005A76D9"/>
    <w:rsid w:val="005A7DFC"/>
    <w:rsid w:val="005B0275"/>
    <w:rsid w:val="005B0CFA"/>
    <w:rsid w:val="005B3409"/>
    <w:rsid w:val="005B3733"/>
    <w:rsid w:val="005B407B"/>
    <w:rsid w:val="005B504A"/>
    <w:rsid w:val="005B6B91"/>
    <w:rsid w:val="005C2524"/>
    <w:rsid w:val="005C30A8"/>
    <w:rsid w:val="005C3533"/>
    <w:rsid w:val="005C39F0"/>
    <w:rsid w:val="005C65B7"/>
    <w:rsid w:val="005C668D"/>
    <w:rsid w:val="005C72E8"/>
    <w:rsid w:val="005D0AF3"/>
    <w:rsid w:val="005D0D51"/>
    <w:rsid w:val="005D1A03"/>
    <w:rsid w:val="005D24FC"/>
    <w:rsid w:val="005D4CD7"/>
    <w:rsid w:val="005D5AED"/>
    <w:rsid w:val="005D5EB5"/>
    <w:rsid w:val="005D6E26"/>
    <w:rsid w:val="005D7523"/>
    <w:rsid w:val="005D7C5E"/>
    <w:rsid w:val="005E05A4"/>
    <w:rsid w:val="005E06FD"/>
    <w:rsid w:val="005E0889"/>
    <w:rsid w:val="005E17ED"/>
    <w:rsid w:val="005E1D6C"/>
    <w:rsid w:val="005E5436"/>
    <w:rsid w:val="005E67BD"/>
    <w:rsid w:val="005E701F"/>
    <w:rsid w:val="005E7F8E"/>
    <w:rsid w:val="005F14B0"/>
    <w:rsid w:val="005F18D0"/>
    <w:rsid w:val="005F1E34"/>
    <w:rsid w:val="005F22A1"/>
    <w:rsid w:val="005F47A3"/>
    <w:rsid w:val="005F51FB"/>
    <w:rsid w:val="005F6AB4"/>
    <w:rsid w:val="00600CA1"/>
    <w:rsid w:val="00600FF6"/>
    <w:rsid w:val="00601687"/>
    <w:rsid w:val="006018A8"/>
    <w:rsid w:val="0060373C"/>
    <w:rsid w:val="00604C12"/>
    <w:rsid w:val="00604E90"/>
    <w:rsid w:val="00604F40"/>
    <w:rsid w:val="00606445"/>
    <w:rsid w:val="00606880"/>
    <w:rsid w:val="006069C0"/>
    <w:rsid w:val="006103E6"/>
    <w:rsid w:val="00612189"/>
    <w:rsid w:val="00612795"/>
    <w:rsid w:val="00614198"/>
    <w:rsid w:val="00615EE3"/>
    <w:rsid w:val="00616C07"/>
    <w:rsid w:val="00616D7D"/>
    <w:rsid w:val="0061709B"/>
    <w:rsid w:val="006173C7"/>
    <w:rsid w:val="0061764C"/>
    <w:rsid w:val="006238B1"/>
    <w:rsid w:val="006246AC"/>
    <w:rsid w:val="0062635C"/>
    <w:rsid w:val="00630AE3"/>
    <w:rsid w:val="00631157"/>
    <w:rsid w:val="00632408"/>
    <w:rsid w:val="00632920"/>
    <w:rsid w:val="00632D2C"/>
    <w:rsid w:val="00635589"/>
    <w:rsid w:val="00636CA9"/>
    <w:rsid w:val="00640563"/>
    <w:rsid w:val="0064094D"/>
    <w:rsid w:val="00641573"/>
    <w:rsid w:val="0064234C"/>
    <w:rsid w:val="00643D5F"/>
    <w:rsid w:val="00646FA0"/>
    <w:rsid w:val="006474E4"/>
    <w:rsid w:val="00650F8D"/>
    <w:rsid w:val="00651E50"/>
    <w:rsid w:val="0065282C"/>
    <w:rsid w:val="006536A9"/>
    <w:rsid w:val="00653E4D"/>
    <w:rsid w:val="00654446"/>
    <w:rsid w:val="006552BE"/>
    <w:rsid w:val="006577A8"/>
    <w:rsid w:val="00660111"/>
    <w:rsid w:val="006601AB"/>
    <w:rsid w:val="00660CE1"/>
    <w:rsid w:val="00661B5C"/>
    <w:rsid w:val="00663968"/>
    <w:rsid w:val="0066777A"/>
    <w:rsid w:val="00670309"/>
    <w:rsid w:val="00670AB3"/>
    <w:rsid w:val="00671BA5"/>
    <w:rsid w:val="00671C7F"/>
    <w:rsid w:val="00675C71"/>
    <w:rsid w:val="0067643B"/>
    <w:rsid w:val="00676CEE"/>
    <w:rsid w:val="00682715"/>
    <w:rsid w:val="0068467F"/>
    <w:rsid w:val="0068613A"/>
    <w:rsid w:val="00690A1A"/>
    <w:rsid w:val="006931E3"/>
    <w:rsid w:val="00694CAC"/>
    <w:rsid w:val="00694DED"/>
    <w:rsid w:val="00696E1A"/>
    <w:rsid w:val="00696EBE"/>
    <w:rsid w:val="006A020F"/>
    <w:rsid w:val="006A123E"/>
    <w:rsid w:val="006A42FA"/>
    <w:rsid w:val="006A530B"/>
    <w:rsid w:val="006A586F"/>
    <w:rsid w:val="006A6FD8"/>
    <w:rsid w:val="006B1DA0"/>
    <w:rsid w:val="006B23E3"/>
    <w:rsid w:val="006B3CD9"/>
    <w:rsid w:val="006B5CD4"/>
    <w:rsid w:val="006B5E30"/>
    <w:rsid w:val="006C203C"/>
    <w:rsid w:val="006C7222"/>
    <w:rsid w:val="006D16F9"/>
    <w:rsid w:val="006D50A0"/>
    <w:rsid w:val="006D50A7"/>
    <w:rsid w:val="006D6D72"/>
    <w:rsid w:val="006D6FDE"/>
    <w:rsid w:val="006D7418"/>
    <w:rsid w:val="006E0536"/>
    <w:rsid w:val="006E1F8A"/>
    <w:rsid w:val="006E205A"/>
    <w:rsid w:val="006E34BA"/>
    <w:rsid w:val="006E6245"/>
    <w:rsid w:val="006E6779"/>
    <w:rsid w:val="006E68C2"/>
    <w:rsid w:val="006F18AF"/>
    <w:rsid w:val="006F2C7C"/>
    <w:rsid w:val="006F463D"/>
    <w:rsid w:val="006F7AA2"/>
    <w:rsid w:val="00701DF9"/>
    <w:rsid w:val="0070300C"/>
    <w:rsid w:val="00703DD9"/>
    <w:rsid w:val="00704493"/>
    <w:rsid w:val="00706946"/>
    <w:rsid w:val="007168FF"/>
    <w:rsid w:val="00723451"/>
    <w:rsid w:val="00724F0B"/>
    <w:rsid w:val="0073073B"/>
    <w:rsid w:val="007312E7"/>
    <w:rsid w:val="00732186"/>
    <w:rsid w:val="007333CB"/>
    <w:rsid w:val="00734E1D"/>
    <w:rsid w:val="007413FF"/>
    <w:rsid w:val="007417D3"/>
    <w:rsid w:val="00743525"/>
    <w:rsid w:val="00744354"/>
    <w:rsid w:val="00744EF8"/>
    <w:rsid w:val="007450FD"/>
    <w:rsid w:val="00745436"/>
    <w:rsid w:val="007456E8"/>
    <w:rsid w:val="00746404"/>
    <w:rsid w:val="0074761F"/>
    <w:rsid w:val="00750171"/>
    <w:rsid w:val="00753F9F"/>
    <w:rsid w:val="00755CC3"/>
    <w:rsid w:val="007579EA"/>
    <w:rsid w:val="00760282"/>
    <w:rsid w:val="00760418"/>
    <w:rsid w:val="007611AE"/>
    <w:rsid w:val="007634F2"/>
    <w:rsid w:val="00766167"/>
    <w:rsid w:val="00767349"/>
    <w:rsid w:val="00767505"/>
    <w:rsid w:val="00767587"/>
    <w:rsid w:val="00767595"/>
    <w:rsid w:val="00767FFE"/>
    <w:rsid w:val="0077087F"/>
    <w:rsid w:val="00770BD3"/>
    <w:rsid w:val="0077142F"/>
    <w:rsid w:val="00772BE5"/>
    <w:rsid w:val="00773CC2"/>
    <w:rsid w:val="00773DA1"/>
    <w:rsid w:val="00774050"/>
    <w:rsid w:val="007748B2"/>
    <w:rsid w:val="00774AEA"/>
    <w:rsid w:val="00775F5B"/>
    <w:rsid w:val="00776622"/>
    <w:rsid w:val="007766E6"/>
    <w:rsid w:val="00776B9E"/>
    <w:rsid w:val="00777414"/>
    <w:rsid w:val="007777C9"/>
    <w:rsid w:val="007805AA"/>
    <w:rsid w:val="00781A59"/>
    <w:rsid w:val="00781AED"/>
    <w:rsid w:val="00781B7F"/>
    <w:rsid w:val="00781D46"/>
    <w:rsid w:val="00783A9B"/>
    <w:rsid w:val="00783D20"/>
    <w:rsid w:val="00786AEF"/>
    <w:rsid w:val="00786D55"/>
    <w:rsid w:val="007900F9"/>
    <w:rsid w:val="00790380"/>
    <w:rsid w:val="0079085B"/>
    <w:rsid w:val="00791BD9"/>
    <w:rsid w:val="00796082"/>
    <w:rsid w:val="007977FA"/>
    <w:rsid w:val="007A0A09"/>
    <w:rsid w:val="007A1B90"/>
    <w:rsid w:val="007A3FB2"/>
    <w:rsid w:val="007A57C4"/>
    <w:rsid w:val="007A640D"/>
    <w:rsid w:val="007B24FC"/>
    <w:rsid w:val="007B2F39"/>
    <w:rsid w:val="007B3045"/>
    <w:rsid w:val="007B3D28"/>
    <w:rsid w:val="007B779A"/>
    <w:rsid w:val="007C1499"/>
    <w:rsid w:val="007C2881"/>
    <w:rsid w:val="007C38CC"/>
    <w:rsid w:val="007C4F50"/>
    <w:rsid w:val="007C5BD4"/>
    <w:rsid w:val="007C68F0"/>
    <w:rsid w:val="007D09AF"/>
    <w:rsid w:val="007D210C"/>
    <w:rsid w:val="007D26AE"/>
    <w:rsid w:val="007D6517"/>
    <w:rsid w:val="007D6A89"/>
    <w:rsid w:val="007E3695"/>
    <w:rsid w:val="007E3877"/>
    <w:rsid w:val="007E4EBC"/>
    <w:rsid w:val="007F06F8"/>
    <w:rsid w:val="007F12FA"/>
    <w:rsid w:val="007F213B"/>
    <w:rsid w:val="007F37D6"/>
    <w:rsid w:val="007F3981"/>
    <w:rsid w:val="007F5564"/>
    <w:rsid w:val="007F68A2"/>
    <w:rsid w:val="007F742C"/>
    <w:rsid w:val="007F7829"/>
    <w:rsid w:val="007F7CB6"/>
    <w:rsid w:val="008056E3"/>
    <w:rsid w:val="00806632"/>
    <w:rsid w:val="00807BD7"/>
    <w:rsid w:val="008106DF"/>
    <w:rsid w:val="0081133B"/>
    <w:rsid w:val="00811CC3"/>
    <w:rsid w:val="008149E4"/>
    <w:rsid w:val="008154F4"/>
    <w:rsid w:val="00815B83"/>
    <w:rsid w:val="00815D6D"/>
    <w:rsid w:val="00816B1D"/>
    <w:rsid w:val="00817A0C"/>
    <w:rsid w:val="00817D04"/>
    <w:rsid w:val="0082042A"/>
    <w:rsid w:val="00820D41"/>
    <w:rsid w:val="00823E2F"/>
    <w:rsid w:val="00824518"/>
    <w:rsid w:val="00824FA9"/>
    <w:rsid w:val="008274D3"/>
    <w:rsid w:val="00827A9D"/>
    <w:rsid w:val="00827B9D"/>
    <w:rsid w:val="008302DE"/>
    <w:rsid w:val="00830540"/>
    <w:rsid w:val="0083084B"/>
    <w:rsid w:val="00830F08"/>
    <w:rsid w:val="00831E99"/>
    <w:rsid w:val="0083326C"/>
    <w:rsid w:val="00833D08"/>
    <w:rsid w:val="0083436D"/>
    <w:rsid w:val="008352B8"/>
    <w:rsid w:val="00836CCA"/>
    <w:rsid w:val="00836E82"/>
    <w:rsid w:val="0084412C"/>
    <w:rsid w:val="00846BA8"/>
    <w:rsid w:val="008516A4"/>
    <w:rsid w:val="00851D01"/>
    <w:rsid w:val="00852B55"/>
    <w:rsid w:val="00852CD6"/>
    <w:rsid w:val="0085542F"/>
    <w:rsid w:val="00855A3B"/>
    <w:rsid w:val="00862347"/>
    <w:rsid w:val="008634E1"/>
    <w:rsid w:val="008674FD"/>
    <w:rsid w:val="008704EC"/>
    <w:rsid w:val="00872986"/>
    <w:rsid w:val="00873457"/>
    <w:rsid w:val="00873986"/>
    <w:rsid w:val="00875ED2"/>
    <w:rsid w:val="008766A9"/>
    <w:rsid w:val="008773B7"/>
    <w:rsid w:val="00880964"/>
    <w:rsid w:val="008819DF"/>
    <w:rsid w:val="00885ACC"/>
    <w:rsid w:val="008875AE"/>
    <w:rsid w:val="00890FAA"/>
    <w:rsid w:val="00891527"/>
    <w:rsid w:val="008916C8"/>
    <w:rsid w:val="008933AB"/>
    <w:rsid w:val="00893538"/>
    <w:rsid w:val="00893617"/>
    <w:rsid w:val="00893EBA"/>
    <w:rsid w:val="0089560D"/>
    <w:rsid w:val="0089566F"/>
    <w:rsid w:val="00897148"/>
    <w:rsid w:val="008A36B4"/>
    <w:rsid w:val="008A62B9"/>
    <w:rsid w:val="008B0574"/>
    <w:rsid w:val="008B100E"/>
    <w:rsid w:val="008B3BD4"/>
    <w:rsid w:val="008B48BF"/>
    <w:rsid w:val="008B730A"/>
    <w:rsid w:val="008C0F8E"/>
    <w:rsid w:val="008C219B"/>
    <w:rsid w:val="008C259F"/>
    <w:rsid w:val="008C285E"/>
    <w:rsid w:val="008C655A"/>
    <w:rsid w:val="008C6E5B"/>
    <w:rsid w:val="008D0C93"/>
    <w:rsid w:val="008D0DF3"/>
    <w:rsid w:val="008D1329"/>
    <w:rsid w:val="008D1692"/>
    <w:rsid w:val="008D38FA"/>
    <w:rsid w:val="008D5398"/>
    <w:rsid w:val="008D5F59"/>
    <w:rsid w:val="008D79B5"/>
    <w:rsid w:val="008E14F6"/>
    <w:rsid w:val="008E1BC2"/>
    <w:rsid w:val="008E1FD6"/>
    <w:rsid w:val="008E5480"/>
    <w:rsid w:val="008E6930"/>
    <w:rsid w:val="008E7890"/>
    <w:rsid w:val="008E7A46"/>
    <w:rsid w:val="008F12C6"/>
    <w:rsid w:val="008F3694"/>
    <w:rsid w:val="008F5C6B"/>
    <w:rsid w:val="008F7B6E"/>
    <w:rsid w:val="0090164C"/>
    <w:rsid w:val="00901937"/>
    <w:rsid w:val="0090344E"/>
    <w:rsid w:val="00905085"/>
    <w:rsid w:val="0090528E"/>
    <w:rsid w:val="00910256"/>
    <w:rsid w:val="0091137D"/>
    <w:rsid w:val="00913012"/>
    <w:rsid w:val="0091396B"/>
    <w:rsid w:val="00916161"/>
    <w:rsid w:val="00917AA6"/>
    <w:rsid w:val="009200C1"/>
    <w:rsid w:val="0092176E"/>
    <w:rsid w:val="00923608"/>
    <w:rsid w:val="0092469F"/>
    <w:rsid w:val="00924E6E"/>
    <w:rsid w:val="009253F2"/>
    <w:rsid w:val="009279FC"/>
    <w:rsid w:val="00931AF8"/>
    <w:rsid w:val="009327BC"/>
    <w:rsid w:val="0093423F"/>
    <w:rsid w:val="00934F07"/>
    <w:rsid w:val="00935B07"/>
    <w:rsid w:val="00936D9A"/>
    <w:rsid w:val="009415DC"/>
    <w:rsid w:val="009443B5"/>
    <w:rsid w:val="009449D9"/>
    <w:rsid w:val="00946E41"/>
    <w:rsid w:val="009471E0"/>
    <w:rsid w:val="0094724B"/>
    <w:rsid w:val="00947A14"/>
    <w:rsid w:val="00950B74"/>
    <w:rsid w:val="0095190E"/>
    <w:rsid w:val="009563C5"/>
    <w:rsid w:val="00957AC5"/>
    <w:rsid w:val="00957D59"/>
    <w:rsid w:val="0096466A"/>
    <w:rsid w:val="00967691"/>
    <w:rsid w:val="0097103F"/>
    <w:rsid w:val="00971969"/>
    <w:rsid w:val="00972977"/>
    <w:rsid w:val="00972D22"/>
    <w:rsid w:val="0097399F"/>
    <w:rsid w:val="00974DCA"/>
    <w:rsid w:val="00975A1E"/>
    <w:rsid w:val="00976516"/>
    <w:rsid w:val="00977AC2"/>
    <w:rsid w:val="00977B09"/>
    <w:rsid w:val="00980ACE"/>
    <w:rsid w:val="00981FD0"/>
    <w:rsid w:val="009828DB"/>
    <w:rsid w:val="00983DB2"/>
    <w:rsid w:val="00985742"/>
    <w:rsid w:val="00987736"/>
    <w:rsid w:val="00987DE8"/>
    <w:rsid w:val="00993349"/>
    <w:rsid w:val="00994321"/>
    <w:rsid w:val="009954A0"/>
    <w:rsid w:val="009974F4"/>
    <w:rsid w:val="0099789E"/>
    <w:rsid w:val="009A01EA"/>
    <w:rsid w:val="009A033D"/>
    <w:rsid w:val="009A3906"/>
    <w:rsid w:val="009A395B"/>
    <w:rsid w:val="009A4169"/>
    <w:rsid w:val="009A427B"/>
    <w:rsid w:val="009A4DA3"/>
    <w:rsid w:val="009A5450"/>
    <w:rsid w:val="009A572A"/>
    <w:rsid w:val="009A6D8E"/>
    <w:rsid w:val="009B0190"/>
    <w:rsid w:val="009B28E9"/>
    <w:rsid w:val="009B480D"/>
    <w:rsid w:val="009B7859"/>
    <w:rsid w:val="009C2A3C"/>
    <w:rsid w:val="009C7555"/>
    <w:rsid w:val="009C7AA7"/>
    <w:rsid w:val="009D1B58"/>
    <w:rsid w:val="009D5825"/>
    <w:rsid w:val="009D6075"/>
    <w:rsid w:val="009E00A1"/>
    <w:rsid w:val="009E1641"/>
    <w:rsid w:val="009E236D"/>
    <w:rsid w:val="009E3148"/>
    <w:rsid w:val="009E440F"/>
    <w:rsid w:val="009E4761"/>
    <w:rsid w:val="009E53EE"/>
    <w:rsid w:val="009E649B"/>
    <w:rsid w:val="009F3F9F"/>
    <w:rsid w:val="00A00298"/>
    <w:rsid w:val="00A00FB7"/>
    <w:rsid w:val="00A017FC"/>
    <w:rsid w:val="00A03FA6"/>
    <w:rsid w:val="00A04E67"/>
    <w:rsid w:val="00A05210"/>
    <w:rsid w:val="00A05DEC"/>
    <w:rsid w:val="00A0759B"/>
    <w:rsid w:val="00A1450A"/>
    <w:rsid w:val="00A148B2"/>
    <w:rsid w:val="00A1528A"/>
    <w:rsid w:val="00A15C65"/>
    <w:rsid w:val="00A16214"/>
    <w:rsid w:val="00A16B96"/>
    <w:rsid w:val="00A20373"/>
    <w:rsid w:val="00A20F3D"/>
    <w:rsid w:val="00A22A1F"/>
    <w:rsid w:val="00A2358A"/>
    <w:rsid w:val="00A23A1D"/>
    <w:rsid w:val="00A23E95"/>
    <w:rsid w:val="00A24F4F"/>
    <w:rsid w:val="00A261CB"/>
    <w:rsid w:val="00A272DA"/>
    <w:rsid w:val="00A279F0"/>
    <w:rsid w:val="00A30A92"/>
    <w:rsid w:val="00A31B21"/>
    <w:rsid w:val="00A328DB"/>
    <w:rsid w:val="00A3301A"/>
    <w:rsid w:val="00A33EDE"/>
    <w:rsid w:val="00A33F1A"/>
    <w:rsid w:val="00A33F3F"/>
    <w:rsid w:val="00A3402A"/>
    <w:rsid w:val="00A34F81"/>
    <w:rsid w:val="00A364DB"/>
    <w:rsid w:val="00A37626"/>
    <w:rsid w:val="00A405F6"/>
    <w:rsid w:val="00A40A5D"/>
    <w:rsid w:val="00A43E28"/>
    <w:rsid w:val="00A44470"/>
    <w:rsid w:val="00A452BF"/>
    <w:rsid w:val="00A4622D"/>
    <w:rsid w:val="00A50754"/>
    <w:rsid w:val="00A513A1"/>
    <w:rsid w:val="00A52050"/>
    <w:rsid w:val="00A54E21"/>
    <w:rsid w:val="00A5607E"/>
    <w:rsid w:val="00A603F9"/>
    <w:rsid w:val="00A65655"/>
    <w:rsid w:val="00A65DCC"/>
    <w:rsid w:val="00A66945"/>
    <w:rsid w:val="00A70FBE"/>
    <w:rsid w:val="00A711B6"/>
    <w:rsid w:val="00A73773"/>
    <w:rsid w:val="00A741A6"/>
    <w:rsid w:val="00A74CE9"/>
    <w:rsid w:val="00A7521C"/>
    <w:rsid w:val="00A75C02"/>
    <w:rsid w:val="00A76244"/>
    <w:rsid w:val="00A766E6"/>
    <w:rsid w:val="00A80879"/>
    <w:rsid w:val="00A818CE"/>
    <w:rsid w:val="00A81F6E"/>
    <w:rsid w:val="00A81FD4"/>
    <w:rsid w:val="00A835C4"/>
    <w:rsid w:val="00A848CD"/>
    <w:rsid w:val="00A8493B"/>
    <w:rsid w:val="00A87170"/>
    <w:rsid w:val="00A90B21"/>
    <w:rsid w:val="00A91DC9"/>
    <w:rsid w:val="00A91E85"/>
    <w:rsid w:val="00A926CE"/>
    <w:rsid w:val="00A92706"/>
    <w:rsid w:val="00A95F4B"/>
    <w:rsid w:val="00AA0FF9"/>
    <w:rsid w:val="00AA2A77"/>
    <w:rsid w:val="00AA3178"/>
    <w:rsid w:val="00AA3485"/>
    <w:rsid w:val="00AA4062"/>
    <w:rsid w:val="00AA5B10"/>
    <w:rsid w:val="00AA6128"/>
    <w:rsid w:val="00AA6744"/>
    <w:rsid w:val="00AA70E9"/>
    <w:rsid w:val="00AB0B59"/>
    <w:rsid w:val="00AB0F49"/>
    <w:rsid w:val="00AB0FBA"/>
    <w:rsid w:val="00AB1010"/>
    <w:rsid w:val="00AB19BC"/>
    <w:rsid w:val="00AB2751"/>
    <w:rsid w:val="00AB2D66"/>
    <w:rsid w:val="00AB41EF"/>
    <w:rsid w:val="00AB4DD1"/>
    <w:rsid w:val="00AB7B8E"/>
    <w:rsid w:val="00AC0466"/>
    <w:rsid w:val="00AC0B00"/>
    <w:rsid w:val="00AC2B0A"/>
    <w:rsid w:val="00AC2D6B"/>
    <w:rsid w:val="00AC35D5"/>
    <w:rsid w:val="00AC4A6A"/>
    <w:rsid w:val="00AC5919"/>
    <w:rsid w:val="00AC5A2E"/>
    <w:rsid w:val="00AC6AB2"/>
    <w:rsid w:val="00AD06E4"/>
    <w:rsid w:val="00AD16F4"/>
    <w:rsid w:val="00AD1AC4"/>
    <w:rsid w:val="00AD3CE7"/>
    <w:rsid w:val="00AD3F2A"/>
    <w:rsid w:val="00AD5FEA"/>
    <w:rsid w:val="00AD6008"/>
    <w:rsid w:val="00AD65EB"/>
    <w:rsid w:val="00AD7D83"/>
    <w:rsid w:val="00AE17DF"/>
    <w:rsid w:val="00AE3847"/>
    <w:rsid w:val="00AE4E9C"/>
    <w:rsid w:val="00AE5BB9"/>
    <w:rsid w:val="00AE7772"/>
    <w:rsid w:val="00AE7EA0"/>
    <w:rsid w:val="00AF1175"/>
    <w:rsid w:val="00AF45B5"/>
    <w:rsid w:val="00AF5193"/>
    <w:rsid w:val="00AF5A6D"/>
    <w:rsid w:val="00AF7CC1"/>
    <w:rsid w:val="00B00747"/>
    <w:rsid w:val="00B00EDD"/>
    <w:rsid w:val="00B01CD1"/>
    <w:rsid w:val="00B02548"/>
    <w:rsid w:val="00B0297A"/>
    <w:rsid w:val="00B02A38"/>
    <w:rsid w:val="00B05540"/>
    <w:rsid w:val="00B075FB"/>
    <w:rsid w:val="00B1046F"/>
    <w:rsid w:val="00B1159E"/>
    <w:rsid w:val="00B13F49"/>
    <w:rsid w:val="00B151B5"/>
    <w:rsid w:val="00B2124F"/>
    <w:rsid w:val="00B22F9F"/>
    <w:rsid w:val="00B238AD"/>
    <w:rsid w:val="00B23DCA"/>
    <w:rsid w:val="00B2754F"/>
    <w:rsid w:val="00B279EC"/>
    <w:rsid w:val="00B308B7"/>
    <w:rsid w:val="00B31173"/>
    <w:rsid w:val="00B318B7"/>
    <w:rsid w:val="00B31E84"/>
    <w:rsid w:val="00B32F32"/>
    <w:rsid w:val="00B35BA3"/>
    <w:rsid w:val="00B36C9E"/>
    <w:rsid w:val="00B36EE1"/>
    <w:rsid w:val="00B37736"/>
    <w:rsid w:val="00B37A24"/>
    <w:rsid w:val="00B37BFB"/>
    <w:rsid w:val="00B40E0D"/>
    <w:rsid w:val="00B4209D"/>
    <w:rsid w:val="00B437BD"/>
    <w:rsid w:val="00B43A9C"/>
    <w:rsid w:val="00B46BF5"/>
    <w:rsid w:val="00B50851"/>
    <w:rsid w:val="00B51975"/>
    <w:rsid w:val="00B52D6D"/>
    <w:rsid w:val="00B533DE"/>
    <w:rsid w:val="00B535DF"/>
    <w:rsid w:val="00B53E4D"/>
    <w:rsid w:val="00B57002"/>
    <w:rsid w:val="00B57773"/>
    <w:rsid w:val="00B6046C"/>
    <w:rsid w:val="00B61508"/>
    <w:rsid w:val="00B61CAD"/>
    <w:rsid w:val="00B63BC5"/>
    <w:rsid w:val="00B649AD"/>
    <w:rsid w:val="00B66284"/>
    <w:rsid w:val="00B67308"/>
    <w:rsid w:val="00B7381A"/>
    <w:rsid w:val="00B73B70"/>
    <w:rsid w:val="00B77522"/>
    <w:rsid w:val="00B77565"/>
    <w:rsid w:val="00B82988"/>
    <w:rsid w:val="00B84F5E"/>
    <w:rsid w:val="00B91AA4"/>
    <w:rsid w:val="00B91BB9"/>
    <w:rsid w:val="00B933A0"/>
    <w:rsid w:val="00B94ECE"/>
    <w:rsid w:val="00B95F20"/>
    <w:rsid w:val="00B96EB6"/>
    <w:rsid w:val="00B97B66"/>
    <w:rsid w:val="00BA0EAB"/>
    <w:rsid w:val="00BA19D1"/>
    <w:rsid w:val="00BA1F09"/>
    <w:rsid w:val="00BA2B4A"/>
    <w:rsid w:val="00BA3EB7"/>
    <w:rsid w:val="00BA4ABE"/>
    <w:rsid w:val="00BA7E98"/>
    <w:rsid w:val="00BB0FD9"/>
    <w:rsid w:val="00BB1904"/>
    <w:rsid w:val="00BB222B"/>
    <w:rsid w:val="00BB256E"/>
    <w:rsid w:val="00BB41D9"/>
    <w:rsid w:val="00BC4536"/>
    <w:rsid w:val="00BC7985"/>
    <w:rsid w:val="00BC7AF8"/>
    <w:rsid w:val="00BD0F9A"/>
    <w:rsid w:val="00BD17DE"/>
    <w:rsid w:val="00BD2282"/>
    <w:rsid w:val="00BD3AF9"/>
    <w:rsid w:val="00BD3DBA"/>
    <w:rsid w:val="00BD4CCD"/>
    <w:rsid w:val="00BD6D37"/>
    <w:rsid w:val="00BE57ED"/>
    <w:rsid w:val="00BE5A26"/>
    <w:rsid w:val="00BE79ED"/>
    <w:rsid w:val="00BF0449"/>
    <w:rsid w:val="00BF1053"/>
    <w:rsid w:val="00BF17EE"/>
    <w:rsid w:val="00BF2C82"/>
    <w:rsid w:val="00BF38EB"/>
    <w:rsid w:val="00BF4C2A"/>
    <w:rsid w:val="00BF56B4"/>
    <w:rsid w:val="00BF64B6"/>
    <w:rsid w:val="00BF6887"/>
    <w:rsid w:val="00BF68AA"/>
    <w:rsid w:val="00BF6BB9"/>
    <w:rsid w:val="00BF7AC2"/>
    <w:rsid w:val="00C01286"/>
    <w:rsid w:val="00C02A3E"/>
    <w:rsid w:val="00C03877"/>
    <w:rsid w:val="00C03984"/>
    <w:rsid w:val="00C04267"/>
    <w:rsid w:val="00C0565F"/>
    <w:rsid w:val="00C0614F"/>
    <w:rsid w:val="00C11C80"/>
    <w:rsid w:val="00C123A3"/>
    <w:rsid w:val="00C14888"/>
    <w:rsid w:val="00C17877"/>
    <w:rsid w:val="00C20FBC"/>
    <w:rsid w:val="00C30229"/>
    <w:rsid w:val="00C3047A"/>
    <w:rsid w:val="00C30D52"/>
    <w:rsid w:val="00C3269A"/>
    <w:rsid w:val="00C3409D"/>
    <w:rsid w:val="00C340B5"/>
    <w:rsid w:val="00C4529B"/>
    <w:rsid w:val="00C47052"/>
    <w:rsid w:val="00C47D51"/>
    <w:rsid w:val="00C50205"/>
    <w:rsid w:val="00C50E7D"/>
    <w:rsid w:val="00C50F52"/>
    <w:rsid w:val="00C5132D"/>
    <w:rsid w:val="00C52C7A"/>
    <w:rsid w:val="00C538D4"/>
    <w:rsid w:val="00C540A7"/>
    <w:rsid w:val="00C54310"/>
    <w:rsid w:val="00C5583D"/>
    <w:rsid w:val="00C56007"/>
    <w:rsid w:val="00C5750A"/>
    <w:rsid w:val="00C61E4A"/>
    <w:rsid w:val="00C632CC"/>
    <w:rsid w:val="00C6538E"/>
    <w:rsid w:val="00C7089C"/>
    <w:rsid w:val="00C7286D"/>
    <w:rsid w:val="00C7532F"/>
    <w:rsid w:val="00C7679D"/>
    <w:rsid w:val="00C777A7"/>
    <w:rsid w:val="00C77A82"/>
    <w:rsid w:val="00C80B4D"/>
    <w:rsid w:val="00C82B28"/>
    <w:rsid w:val="00C851AD"/>
    <w:rsid w:val="00C85EC1"/>
    <w:rsid w:val="00C869E0"/>
    <w:rsid w:val="00C86A9E"/>
    <w:rsid w:val="00C90046"/>
    <w:rsid w:val="00C902DE"/>
    <w:rsid w:val="00C903FC"/>
    <w:rsid w:val="00C927F4"/>
    <w:rsid w:val="00C92A2C"/>
    <w:rsid w:val="00C92B1D"/>
    <w:rsid w:val="00C92E32"/>
    <w:rsid w:val="00C9349D"/>
    <w:rsid w:val="00C9413A"/>
    <w:rsid w:val="00C944A4"/>
    <w:rsid w:val="00C9566B"/>
    <w:rsid w:val="00C96174"/>
    <w:rsid w:val="00CA136E"/>
    <w:rsid w:val="00CA26DF"/>
    <w:rsid w:val="00CA54CE"/>
    <w:rsid w:val="00CA6AB5"/>
    <w:rsid w:val="00CA6BE6"/>
    <w:rsid w:val="00CA6DEB"/>
    <w:rsid w:val="00CA75A9"/>
    <w:rsid w:val="00CB0104"/>
    <w:rsid w:val="00CB0619"/>
    <w:rsid w:val="00CB08CD"/>
    <w:rsid w:val="00CB301C"/>
    <w:rsid w:val="00CB5E74"/>
    <w:rsid w:val="00CB696D"/>
    <w:rsid w:val="00CB7DCD"/>
    <w:rsid w:val="00CC2D3E"/>
    <w:rsid w:val="00CC3CF6"/>
    <w:rsid w:val="00CC4518"/>
    <w:rsid w:val="00CC59DC"/>
    <w:rsid w:val="00CD00EA"/>
    <w:rsid w:val="00CD29EF"/>
    <w:rsid w:val="00CD389D"/>
    <w:rsid w:val="00CD4FA4"/>
    <w:rsid w:val="00CD4FE7"/>
    <w:rsid w:val="00CD5E82"/>
    <w:rsid w:val="00CD6F21"/>
    <w:rsid w:val="00CD7A14"/>
    <w:rsid w:val="00CE026C"/>
    <w:rsid w:val="00CE02CB"/>
    <w:rsid w:val="00CE1F19"/>
    <w:rsid w:val="00CE36AC"/>
    <w:rsid w:val="00CE3C1F"/>
    <w:rsid w:val="00CE4279"/>
    <w:rsid w:val="00CF28AB"/>
    <w:rsid w:val="00CF4127"/>
    <w:rsid w:val="00CF4C50"/>
    <w:rsid w:val="00CF56C2"/>
    <w:rsid w:val="00CF7A26"/>
    <w:rsid w:val="00D00484"/>
    <w:rsid w:val="00D0151A"/>
    <w:rsid w:val="00D01750"/>
    <w:rsid w:val="00D02C57"/>
    <w:rsid w:val="00D04FC5"/>
    <w:rsid w:val="00D05287"/>
    <w:rsid w:val="00D14F3C"/>
    <w:rsid w:val="00D15C06"/>
    <w:rsid w:val="00D168BF"/>
    <w:rsid w:val="00D20410"/>
    <w:rsid w:val="00D2192B"/>
    <w:rsid w:val="00D2233E"/>
    <w:rsid w:val="00D2238A"/>
    <w:rsid w:val="00D22921"/>
    <w:rsid w:val="00D23649"/>
    <w:rsid w:val="00D248BC"/>
    <w:rsid w:val="00D26041"/>
    <w:rsid w:val="00D26550"/>
    <w:rsid w:val="00D27DE4"/>
    <w:rsid w:val="00D311B7"/>
    <w:rsid w:val="00D319C2"/>
    <w:rsid w:val="00D3352D"/>
    <w:rsid w:val="00D33D59"/>
    <w:rsid w:val="00D35662"/>
    <w:rsid w:val="00D40DF5"/>
    <w:rsid w:val="00D414C8"/>
    <w:rsid w:val="00D425B2"/>
    <w:rsid w:val="00D507FE"/>
    <w:rsid w:val="00D51108"/>
    <w:rsid w:val="00D5289D"/>
    <w:rsid w:val="00D5401B"/>
    <w:rsid w:val="00D545E9"/>
    <w:rsid w:val="00D560C3"/>
    <w:rsid w:val="00D560D9"/>
    <w:rsid w:val="00D56136"/>
    <w:rsid w:val="00D57B21"/>
    <w:rsid w:val="00D60A64"/>
    <w:rsid w:val="00D61680"/>
    <w:rsid w:val="00D61D6F"/>
    <w:rsid w:val="00D620C6"/>
    <w:rsid w:val="00D627B3"/>
    <w:rsid w:val="00D632FD"/>
    <w:rsid w:val="00D64117"/>
    <w:rsid w:val="00D64F08"/>
    <w:rsid w:val="00D6626B"/>
    <w:rsid w:val="00D66AD4"/>
    <w:rsid w:val="00D72AD2"/>
    <w:rsid w:val="00D731F9"/>
    <w:rsid w:val="00D733DD"/>
    <w:rsid w:val="00D73C7D"/>
    <w:rsid w:val="00D73CEB"/>
    <w:rsid w:val="00D73F83"/>
    <w:rsid w:val="00D7574D"/>
    <w:rsid w:val="00D816B5"/>
    <w:rsid w:val="00D85282"/>
    <w:rsid w:val="00D85D66"/>
    <w:rsid w:val="00D87C0D"/>
    <w:rsid w:val="00D9155E"/>
    <w:rsid w:val="00D91E03"/>
    <w:rsid w:val="00D93A9D"/>
    <w:rsid w:val="00D95B23"/>
    <w:rsid w:val="00D95EC1"/>
    <w:rsid w:val="00D973D5"/>
    <w:rsid w:val="00DA04AD"/>
    <w:rsid w:val="00DA2ACC"/>
    <w:rsid w:val="00DA2C96"/>
    <w:rsid w:val="00DA31F8"/>
    <w:rsid w:val="00DA3994"/>
    <w:rsid w:val="00DA3B03"/>
    <w:rsid w:val="00DA49AC"/>
    <w:rsid w:val="00DA566A"/>
    <w:rsid w:val="00DA59B6"/>
    <w:rsid w:val="00DB0E06"/>
    <w:rsid w:val="00DB3599"/>
    <w:rsid w:val="00DB4AAB"/>
    <w:rsid w:val="00DB57D7"/>
    <w:rsid w:val="00DB582D"/>
    <w:rsid w:val="00DB6B9F"/>
    <w:rsid w:val="00DC07FA"/>
    <w:rsid w:val="00DC36C7"/>
    <w:rsid w:val="00DC4996"/>
    <w:rsid w:val="00DC57A7"/>
    <w:rsid w:val="00DC685E"/>
    <w:rsid w:val="00DD013D"/>
    <w:rsid w:val="00DD1CB6"/>
    <w:rsid w:val="00DD553E"/>
    <w:rsid w:val="00DD5EE1"/>
    <w:rsid w:val="00DD6771"/>
    <w:rsid w:val="00DE0C26"/>
    <w:rsid w:val="00DE2B11"/>
    <w:rsid w:val="00DE348C"/>
    <w:rsid w:val="00DF0B4E"/>
    <w:rsid w:val="00DF21A0"/>
    <w:rsid w:val="00DF24CF"/>
    <w:rsid w:val="00DF279E"/>
    <w:rsid w:val="00DF365A"/>
    <w:rsid w:val="00DF3B49"/>
    <w:rsid w:val="00DF6F90"/>
    <w:rsid w:val="00DF763B"/>
    <w:rsid w:val="00E00A87"/>
    <w:rsid w:val="00E03FF8"/>
    <w:rsid w:val="00E044E7"/>
    <w:rsid w:val="00E0531E"/>
    <w:rsid w:val="00E0550F"/>
    <w:rsid w:val="00E05D4F"/>
    <w:rsid w:val="00E06FBB"/>
    <w:rsid w:val="00E12A19"/>
    <w:rsid w:val="00E15FD7"/>
    <w:rsid w:val="00E1615A"/>
    <w:rsid w:val="00E1641C"/>
    <w:rsid w:val="00E2144B"/>
    <w:rsid w:val="00E2318D"/>
    <w:rsid w:val="00E24B36"/>
    <w:rsid w:val="00E270F3"/>
    <w:rsid w:val="00E329CA"/>
    <w:rsid w:val="00E33A5C"/>
    <w:rsid w:val="00E3758A"/>
    <w:rsid w:val="00E375C7"/>
    <w:rsid w:val="00E37798"/>
    <w:rsid w:val="00E403E8"/>
    <w:rsid w:val="00E41F01"/>
    <w:rsid w:val="00E42007"/>
    <w:rsid w:val="00E42052"/>
    <w:rsid w:val="00E4281E"/>
    <w:rsid w:val="00E46684"/>
    <w:rsid w:val="00E4677F"/>
    <w:rsid w:val="00E46DD2"/>
    <w:rsid w:val="00E470FA"/>
    <w:rsid w:val="00E502F4"/>
    <w:rsid w:val="00E513F8"/>
    <w:rsid w:val="00E5190D"/>
    <w:rsid w:val="00E52026"/>
    <w:rsid w:val="00E52A5A"/>
    <w:rsid w:val="00E52DAA"/>
    <w:rsid w:val="00E53AC4"/>
    <w:rsid w:val="00E5633B"/>
    <w:rsid w:val="00E56481"/>
    <w:rsid w:val="00E56A46"/>
    <w:rsid w:val="00E614A2"/>
    <w:rsid w:val="00E6234D"/>
    <w:rsid w:val="00E62C8E"/>
    <w:rsid w:val="00E64EB0"/>
    <w:rsid w:val="00E65FC0"/>
    <w:rsid w:val="00E66182"/>
    <w:rsid w:val="00E70F07"/>
    <w:rsid w:val="00E73F3D"/>
    <w:rsid w:val="00E75FBE"/>
    <w:rsid w:val="00E770E1"/>
    <w:rsid w:val="00E8161B"/>
    <w:rsid w:val="00E83F32"/>
    <w:rsid w:val="00E8408C"/>
    <w:rsid w:val="00E87E15"/>
    <w:rsid w:val="00E91074"/>
    <w:rsid w:val="00E92F6C"/>
    <w:rsid w:val="00E94269"/>
    <w:rsid w:val="00E96037"/>
    <w:rsid w:val="00E9683F"/>
    <w:rsid w:val="00E9747D"/>
    <w:rsid w:val="00EA1A4C"/>
    <w:rsid w:val="00EA1E63"/>
    <w:rsid w:val="00EA2D7B"/>
    <w:rsid w:val="00EA30EB"/>
    <w:rsid w:val="00EA3B1C"/>
    <w:rsid w:val="00EA5EE1"/>
    <w:rsid w:val="00EB4143"/>
    <w:rsid w:val="00EB419A"/>
    <w:rsid w:val="00EB4C10"/>
    <w:rsid w:val="00EB5529"/>
    <w:rsid w:val="00EB67F5"/>
    <w:rsid w:val="00EB6935"/>
    <w:rsid w:val="00EB6CA3"/>
    <w:rsid w:val="00EC0759"/>
    <w:rsid w:val="00EC25F3"/>
    <w:rsid w:val="00EC2C0D"/>
    <w:rsid w:val="00EC4738"/>
    <w:rsid w:val="00EC5AED"/>
    <w:rsid w:val="00EC7C46"/>
    <w:rsid w:val="00ED1F48"/>
    <w:rsid w:val="00ED21DE"/>
    <w:rsid w:val="00ED4144"/>
    <w:rsid w:val="00EE0C35"/>
    <w:rsid w:val="00EE2186"/>
    <w:rsid w:val="00EE34D9"/>
    <w:rsid w:val="00EE549C"/>
    <w:rsid w:val="00EF093A"/>
    <w:rsid w:val="00EF150C"/>
    <w:rsid w:val="00EF2816"/>
    <w:rsid w:val="00F01D2C"/>
    <w:rsid w:val="00F038C8"/>
    <w:rsid w:val="00F03B54"/>
    <w:rsid w:val="00F0430B"/>
    <w:rsid w:val="00F04C87"/>
    <w:rsid w:val="00F076A6"/>
    <w:rsid w:val="00F077B8"/>
    <w:rsid w:val="00F1121E"/>
    <w:rsid w:val="00F11976"/>
    <w:rsid w:val="00F127CC"/>
    <w:rsid w:val="00F12B6B"/>
    <w:rsid w:val="00F12FDC"/>
    <w:rsid w:val="00F15042"/>
    <w:rsid w:val="00F16A5B"/>
    <w:rsid w:val="00F16F94"/>
    <w:rsid w:val="00F2111C"/>
    <w:rsid w:val="00F2189B"/>
    <w:rsid w:val="00F247F1"/>
    <w:rsid w:val="00F24FBE"/>
    <w:rsid w:val="00F256F5"/>
    <w:rsid w:val="00F278CB"/>
    <w:rsid w:val="00F27E40"/>
    <w:rsid w:val="00F30A26"/>
    <w:rsid w:val="00F3101D"/>
    <w:rsid w:val="00F3140E"/>
    <w:rsid w:val="00F325B3"/>
    <w:rsid w:val="00F34B4D"/>
    <w:rsid w:val="00F35B19"/>
    <w:rsid w:val="00F36363"/>
    <w:rsid w:val="00F37B5D"/>
    <w:rsid w:val="00F42252"/>
    <w:rsid w:val="00F432D4"/>
    <w:rsid w:val="00F4463B"/>
    <w:rsid w:val="00F44D13"/>
    <w:rsid w:val="00F4531B"/>
    <w:rsid w:val="00F46267"/>
    <w:rsid w:val="00F50752"/>
    <w:rsid w:val="00F54A39"/>
    <w:rsid w:val="00F5541F"/>
    <w:rsid w:val="00F6027D"/>
    <w:rsid w:val="00F61A98"/>
    <w:rsid w:val="00F62319"/>
    <w:rsid w:val="00F627C2"/>
    <w:rsid w:val="00F636C1"/>
    <w:rsid w:val="00F64493"/>
    <w:rsid w:val="00F663F6"/>
    <w:rsid w:val="00F66844"/>
    <w:rsid w:val="00F6767E"/>
    <w:rsid w:val="00F700A3"/>
    <w:rsid w:val="00F710E9"/>
    <w:rsid w:val="00F7295A"/>
    <w:rsid w:val="00F7434D"/>
    <w:rsid w:val="00F75256"/>
    <w:rsid w:val="00F7545E"/>
    <w:rsid w:val="00F7778D"/>
    <w:rsid w:val="00F80B49"/>
    <w:rsid w:val="00F80D8F"/>
    <w:rsid w:val="00F80F95"/>
    <w:rsid w:val="00F81145"/>
    <w:rsid w:val="00F8239C"/>
    <w:rsid w:val="00F826B6"/>
    <w:rsid w:val="00F83E23"/>
    <w:rsid w:val="00F87CE6"/>
    <w:rsid w:val="00F90494"/>
    <w:rsid w:val="00F91779"/>
    <w:rsid w:val="00F91B32"/>
    <w:rsid w:val="00F92F27"/>
    <w:rsid w:val="00F94D0B"/>
    <w:rsid w:val="00F9511B"/>
    <w:rsid w:val="00F969CC"/>
    <w:rsid w:val="00F96DBF"/>
    <w:rsid w:val="00FA0550"/>
    <w:rsid w:val="00FA40C6"/>
    <w:rsid w:val="00FA61B7"/>
    <w:rsid w:val="00FA6484"/>
    <w:rsid w:val="00FA69C1"/>
    <w:rsid w:val="00FA718A"/>
    <w:rsid w:val="00FA7347"/>
    <w:rsid w:val="00FA7A6C"/>
    <w:rsid w:val="00FA7E4A"/>
    <w:rsid w:val="00FB0BC4"/>
    <w:rsid w:val="00FB27A8"/>
    <w:rsid w:val="00FB2AD5"/>
    <w:rsid w:val="00FB2DFE"/>
    <w:rsid w:val="00FB4D00"/>
    <w:rsid w:val="00FB504D"/>
    <w:rsid w:val="00FB66B5"/>
    <w:rsid w:val="00FB6705"/>
    <w:rsid w:val="00FB76F2"/>
    <w:rsid w:val="00FB7A32"/>
    <w:rsid w:val="00FB7C0B"/>
    <w:rsid w:val="00FC1808"/>
    <w:rsid w:val="00FC27F5"/>
    <w:rsid w:val="00FC7B2A"/>
    <w:rsid w:val="00FD026E"/>
    <w:rsid w:val="00FD037E"/>
    <w:rsid w:val="00FD14B4"/>
    <w:rsid w:val="00FD47CB"/>
    <w:rsid w:val="00FD6740"/>
    <w:rsid w:val="00FD7120"/>
    <w:rsid w:val="00FD76FA"/>
    <w:rsid w:val="00FD78F7"/>
    <w:rsid w:val="00FE0AF6"/>
    <w:rsid w:val="00FE1EF0"/>
    <w:rsid w:val="00FE26D2"/>
    <w:rsid w:val="00FE2892"/>
    <w:rsid w:val="00FE585F"/>
    <w:rsid w:val="00FE5A8B"/>
    <w:rsid w:val="00FE5D7E"/>
    <w:rsid w:val="00FE729D"/>
    <w:rsid w:val="00FE7F00"/>
    <w:rsid w:val="00FF0740"/>
    <w:rsid w:val="00FF0DED"/>
    <w:rsid w:val="00FF11A3"/>
    <w:rsid w:val="00FF14F8"/>
    <w:rsid w:val="00FF2B59"/>
    <w:rsid w:val="00FF2CB5"/>
    <w:rsid w:val="00FF2DAB"/>
    <w:rsid w:val="00FF3209"/>
    <w:rsid w:val="00FF4C02"/>
    <w:rsid w:val="00FF4D27"/>
    <w:rsid w:val="017AC47A"/>
    <w:rsid w:val="0A7F04F2"/>
    <w:rsid w:val="0D6DF2AF"/>
    <w:rsid w:val="0EFC3B24"/>
    <w:rsid w:val="12D58FE9"/>
    <w:rsid w:val="15D9A23B"/>
    <w:rsid w:val="19D2FA92"/>
    <w:rsid w:val="23A03172"/>
    <w:rsid w:val="2B7C7F6D"/>
    <w:rsid w:val="31D03117"/>
    <w:rsid w:val="33B040B7"/>
    <w:rsid w:val="3FB86B00"/>
    <w:rsid w:val="4A350CB0"/>
    <w:rsid w:val="4AB0CFB0"/>
    <w:rsid w:val="504C88D7"/>
    <w:rsid w:val="55EB8EE1"/>
    <w:rsid w:val="5A066E34"/>
    <w:rsid w:val="5B0CD75C"/>
    <w:rsid w:val="5F202AB9"/>
    <w:rsid w:val="61E75416"/>
    <w:rsid w:val="7CF8FE9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AD7681"/>
  <w15:chartTrackingRefBased/>
  <w15:docId w15:val="{ECD3EEE4-B35D-44AD-8C23-FE8AB8354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27BC"/>
  </w:style>
  <w:style w:type="paragraph" w:styleId="Heading1">
    <w:name w:val="heading 1"/>
    <w:link w:val="Heading1Char"/>
    <w:autoRedefine/>
    <w:uiPriority w:val="2"/>
    <w:qFormat/>
    <w:rsid w:val="006D16F9"/>
    <w:pPr>
      <w:spacing w:after="240" w:line="276" w:lineRule="auto"/>
      <w:outlineLvl w:val="0"/>
    </w:pPr>
    <w:rPr>
      <w:rFonts w:ascii="Calibri" w:eastAsia="Times New Roman" w:hAnsi="Calibri" w:cs="Times New Roman"/>
      <w:b/>
      <w:caps/>
      <w:color w:val="8EAADB" w:themeColor="accent1" w:themeTint="99"/>
      <w:sz w:val="36"/>
      <w:szCs w:val="36"/>
      <w:lang w:val="en-US" w:eastAsia="en-AU"/>
    </w:rPr>
  </w:style>
  <w:style w:type="paragraph" w:styleId="Heading2">
    <w:name w:val="heading 2"/>
    <w:basedOn w:val="Title"/>
    <w:next w:val="Normal"/>
    <w:link w:val="Heading2Char"/>
    <w:uiPriority w:val="9"/>
    <w:unhideWhenUsed/>
    <w:qFormat/>
    <w:rsid w:val="001364C7"/>
    <w:pPr>
      <w:spacing w:after="0"/>
      <w:contextualSpacing w:val="0"/>
      <w:jc w:val="center"/>
      <w:outlineLvl w:val="1"/>
    </w:pPr>
    <w:rPr>
      <w:rFonts w:ascii="Calibri" w:hAnsi="Calibri"/>
      <w:sz w:val="38"/>
      <w:szCs w:val="38"/>
    </w:rPr>
  </w:style>
  <w:style w:type="paragraph" w:styleId="Heading3">
    <w:name w:val="heading 3"/>
    <w:basedOn w:val="Heading1"/>
    <w:next w:val="Normal"/>
    <w:link w:val="Heading3Char"/>
    <w:uiPriority w:val="9"/>
    <w:unhideWhenUsed/>
    <w:qFormat/>
    <w:rsid w:val="000E132D"/>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07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0743"/>
  </w:style>
  <w:style w:type="paragraph" w:styleId="Footer">
    <w:name w:val="footer"/>
    <w:basedOn w:val="Normal"/>
    <w:link w:val="FooterChar"/>
    <w:uiPriority w:val="99"/>
    <w:unhideWhenUsed/>
    <w:rsid w:val="002D07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0743"/>
  </w:style>
  <w:style w:type="paragraph" w:styleId="Title">
    <w:name w:val="Title"/>
    <w:basedOn w:val="Normal"/>
    <w:link w:val="TitleChar"/>
    <w:uiPriority w:val="1"/>
    <w:qFormat/>
    <w:rsid w:val="002D0743"/>
    <w:pPr>
      <w:spacing w:after="240" w:line="240" w:lineRule="auto"/>
      <w:contextualSpacing/>
      <w:jc w:val="both"/>
    </w:pPr>
    <w:rPr>
      <w:rFonts w:asciiTheme="majorHAnsi" w:eastAsia="Times New Roman" w:hAnsiTheme="majorHAnsi" w:cs="Times New Roman"/>
      <w:b/>
      <w:caps/>
      <w:sz w:val="100"/>
      <w:szCs w:val="40"/>
    </w:rPr>
  </w:style>
  <w:style w:type="character" w:customStyle="1" w:styleId="TitleChar">
    <w:name w:val="Title Char"/>
    <w:basedOn w:val="DefaultParagraphFont"/>
    <w:link w:val="Title"/>
    <w:uiPriority w:val="1"/>
    <w:rsid w:val="002D0743"/>
    <w:rPr>
      <w:rFonts w:asciiTheme="majorHAnsi" w:eastAsia="Times New Roman" w:hAnsiTheme="majorHAnsi" w:cs="Times New Roman"/>
      <w:b/>
      <w:caps/>
      <w:sz w:val="100"/>
      <w:szCs w:val="40"/>
    </w:rPr>
  </w:style>
  <w:style w:type="character" w:customStyle="1" w:styleId="Heading1Char">
    <w:name w:val="Heading 1 Char"/>
    <w:basedOn w:val="DefaultParagraphFont"/>
    <w:link w:val="Heading1"/>
    <w:uiPriority w:val="2"/>
    <w:rsid w:val="006D16F9"/>
    <w:rPr>
      <w:rFonts w:ascii="Calibri" w:eastAsia="Times New Roman" w:hAnsi="Calibri" w:cs="Times New Roman"/>
      <w:b/>
      <w:caps/>
      <w:color w:val="8EAADB" w:themeColor="accent1" w:themeTint="99"/>
      <w:sz w:val="36"/>
      <w:szCs w:val="36"/>
      <w:lang w:val="en-US" w:eastAsia="en-AU"/>
    </w:rPr>
  </w:style>
  <w:style w:type="character" w:styleId="Hyperlink">
    <w:name w:val="Hyperlink"/>
    <w:basedOn w:val="DefaultParagraphFont"/>
    <w:uiPriority w:val="99"/>
    <w:unhideWhenUsed/>
    <w:qFormat/>
    <w:rsid w:val="00F81145"/>
    <w:rPr>
      <w:color w:val="0563C1" w:themeColor="hyperlink"/>
      <w:u w:val="single"/>
    </w:rPr>
  </w:style>
  <w:style w:type="paragraph" w:styleId="TOCHeading">
    <w:name w:val="TOC Heading"/>
    <w:basedOn w:val="Heading1"/>
    <w:next w:val="Normal"/>
    <w:uiPriority w:val="39"/>
    <w:unhideWhenUsed/>
    <w:qFormat/>
    <w:rsid w:val="00F81145"/>
    <w:pPr>
      <w:keepLines/>
      <w:spacing w:before="240" w:line="259" w:lineRule="auto"/>
      <w:outlineLvl w:val="9"/>
    </w:pPr>
    <w:rPr>
      <w:rFonts w:eastAsiaTheme="majorEastAsia" w:cstheme="majorBidi"/>
      <w:b w:val="0"/>
      <w:color w:val="2F5496" w:themeColor="accent1" w:themeShade="BF"/>
      <w:sz w:val="32"/>
      <w:szCs w:val="32"/>
    </w:rPr>
  </w:style>
  <w:style w:type="paragraph" w:styleId="TOC1">
    <w:name w:val="toc 1"/>
    <w:basedOn w:val="Normal"/>
    <w:next w:val="Normal"/>
    <w:autoRedefine/>
    <w:uiPriority w:val="39"/>
    <w:unhideWhenUsed/>
    <w:rsid w:val="000D5A35"/>
    <w:pPr>
      <w:tabs>
        <w:tab w:val="right" w:leader="dot" w:pos="9016"/>
      </w:tabs>
      <w:spacing w:after="100" w:line="240" w:lineRule="auto"/>
    </w:pPr>
    <w:rPr>
      <w:rFonts w:ascii="Calibri" w:eastAsiaTheme="minorEastAsia" w:hAnsi="Calibri" w:cs="Calibri"/>
      <w:sz w:val="24"/>
    </w:rPr>
  </w:style>
  <w:style w:type="paragraph" w:styleId="TOC2">
    <w:name w:val="toc 2"/>
    <w:basedOn w:val="Normal"/>
    <w:next w:val="Normal"/>
    <w:autoRedefine/>
    <w:uiPriority w:val="39"/>
    <w:unhideWhenUsed/>
    <w:rsid w:val="00F81145"/>
    <w:pPr>
      <w:spacing w:after="100" w:line="240" w:lineRule="auto"/>
      <w:ind w:left="280"/>
      <w:jc w:val="both"/>
    </w:pPr>
    <w:rPr>
      <w:rFonts w:ascii="Calibri" w:eastAsiaTheme="minorEastAsia" w:hAnsi="Calibri" w:cs="Calibri"/>
      <w:sz w:val="24"/>
    </w:rPr>
  </w:style>
  <w:style w:type="paragraph" w:styleId="ListParagraph">
    <w:name w:val="List Paragraph"/>
    <w:aliases w:val="Recommendation,List Paragraph1,List Paragraph11,L,List Bullet Cab,#List Paragraph,Bullet Level 1,Bullet Point,Bullet point,Bulletr List Paragraph,Content descriptions,FooterText,List Bullet 1,List Paragraph2,List Paragraph21,Listeafsnit1"/>
    <w:basedOn w:val="Normal"/>
    <w:link w:val="ListParagraphChar"/>
    <w:uiPriority w:val="34"/>
    <w:qFormat/>
    <w:rsid w:val="007F213B"/>
    <w:pPr>
      <w:ind w:left="720"/>
      <w:contextualSpacing/>
    </w:pPr>
  </w:style>
  <w:style w:type="paragraph" w:customStyle="1" w:styleId="Default">
    <w:name w:val="Default"/>
    <w:rsid w:val="00BA19D1"/>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BA19D1"/>
    <w:rPr>
      <w:sz w:val="16"/>
      <w:szCs w:val="16"/>
    </w:rPr>
  </w:style>
  <w:style w:type="paragraph" w:styleId="CommentText">
    <w:name w:val="annotation text"/>
    <w:basedOn w:val="Normal"/>
    <w:link w:val="CommentTextChar"/>
    <w:uiPriority w:val="99"/>
    <w:unhideWhenUsed/>
    <w:rsid w:val="00BA19D1"/>
    <w:pPr>
      <w:spacing w:line="240" w:lineRule="auto"/>
    </w:pPr>
    <w:rPr>
      <w:sz w:val="20"/>
      <w:szCs w:val="20"/>
    </w:rPr>
  </w:style>
  <w:style w:type="character" w:customStyle="1" w:styleId="CommentTextChar">
    <w:name w:val="Comment Text Char"/>
    <w:basedOn w:val="DefaultParagraphFont"/>
    <w:link w:val="CommentText"/>
    <w:uiPriority w:val="99"/>
    <w:rsid w:val="00BA19D1"/>
    <w:rPr>
      <w:sz w:val="20"/>
      <w:szCs w:val="20"/>
    </w:rPr>
  </w:style>
  <w:style w:type="character" w:customStyle="1" w:styleId="normaltextrun">
    <w:name w:val="normaltextrun"/>
    <w:basedOn w:val="DefaultParagraphFont"/>
    <w:rsid w:val="00352718"/>
  </w:style>
  <w:style w:type="character" w:customStyle="1" w:styleId="ListParagraphChar">
    <w:name w:val="List Paragraph Char"/>
    <w:aliases w:val="Recommendation Char,List Paragraph1 Char,List Paragraph11 Char,L Char,List Bullet Cab Char,#List Paragraph Char,Bullet Level 1 Char,Bullet Point Char,Bullet point Char,Bulletr List Paragraph Char,Content descriptions Char"/>
    <w:basedOn w:val="DefaultParagraphFont"/>
    <w:link w:val="ListParagraph"/>
    <w:uiPriority w:val="34"/>
    <w:qFormat/>
    <w:locked/>
    <w:rsid w:val="009A4DA3"/>
  </w:style>
  <w:style w:type="paragraph" w:customStyle="1" w:styleId="Recommendationheading">
    <w:name w:val="Recommendation heading"/>
    <w:basedOn w:val="Normal"/>
    <w:qFormat/>
    <w:rsid w:val="009A4DA3"/>
    <w:pPr>
      <w:spacing w:after="0" w:line="240" w:lineRule="auto"/>
    </w:pPr>
    <w:rPr>
      <w:rFonts w:ascii="Calibri" w:hAnsi="Calibri" w:cs="Calibri"/>
      <w:b/>
      <w:bCs/>
      <w:color w:val="AB2070"/>
      <w:sz w:val="20"/>
      <w:szCs w:val="20"/>
    </w:rPr>
  </w:style>
  <w:style w:type="table" w:styleId="TableGrid">
    <w:name w:val="Table Grid"/>
    <w:basedOn w:val="TableNormal"/>
    <w:uiPriority w:val="39"/>
    <w:rsid w:val="002E2B6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3E7CFE"/>
    <w:pPr>
      <w:spacing w:after="0" w:line="240" w:lineRule="auto"/>
    </w:pPr>
    <w:rPr>
      <w:sz w:val="20"/>
      <w:szCs w:val="20"/>
    </w:rPr>
  </w:style>
  <w:style w:type="character" w:customStyle="1" w:styleId="FootnoteTextChar">
    <w:name w:val="Footnote Text Char"/>
    <w:basedOn w:val="DefaultParagraphFont"/>
    <w:link w:val="FootnoteText"/>
    <w:uiPriority w:val="99"/>
    <w:rsid w:val="003E7CFE"/>
    <w:rPr>
      <w:sz w:val="20"/>
      <w:szCs w:val="20"/>
    </w:rPr>
  </w:style>
  <w:style w:type="character" w:styleId="FootnoteReference">
    <w:name w:val="footnote reference"/>
    <w:aliases w:val="Footnotes refss,ftref,4_G,4_G Char Char Char Char Char,Footnotes refss Char Char Char Char Char,ftref Char Char Char Char Char,BVI fnr Char Char Char Char Char,BVI fnr Car Car Char Char Char Char Char,Ref,de nota al pie,註腳內容,11 pt"/>
    <w:basedOn w:val="DefaultParagraphFont"/>
    <w:uiPriority w:val="99"/>
    <w:semiHidden/>
    <w:unhideWhenUsed/>
    <w:rsid w:val="003E7CFE"/>
    <w:rPr>
      <w:vertAlign w:val="superscript"/>
    </w:rPr>
  </w:style>
  <w:style w:type="paragraph" w:customStyle="1" w:styleId="mpcbullets1">
    <w:name w:val="mpc bullets 1"/>
    <w:basedOn w:val="ListParagraph"/>
    <w:qFormat/>
    <w:rsid w:val="00343640"/>
    <w:pPr>
      <w:numPr>
        <w:numId w:val="3"/>
      </w:numPr>
      <w:spacing w:after="0" w:line="240" w:lineRule="auto"/>
    </w:pPr>
    <w:rPr>
      <w:rFonts w:ascii="Calibri" w:hAnsi="Calibri"/>
      <w:sz w:val="24"/>
      <w:szCs w:val="28"/>
    </w:rPr>
  </w:style>
  <w:style w:type="paragraph" w:customStyle="1" w:styleId="mpcbullets2">
    <w:name w:val="mpc bullets 2"/>
    <w:basedOn w:val="ListParagraph"/>
    <w:qFormat/>
    <w:rsid w:val="00343640"/>
    <w:pPr>
      <w:numPr>
        <w:numId w:val="4"/>
      </w:numPr>
      <w:spacing w:after="0" w:line="240" w:lineRule="auto"/>
    </w:pPr>
    <w:rPr>
      <w:rFonts w:ascii="Calibri" w:hAnsi="Calibri"/>
      <w:sz w:val="24"/>
      <w:szCs w:val="24"/>
    </w:rPr>
  </w:style>
  <w:style w:type="paragraph" w:customStyle="1" w:styleId="mpcbullets3">
    <w:name w:val="mpc bullets 3"/>
    <w:basedOn w:val="mpcbullets2"/>
    <w:qFormat/>
    <w:rsid w:val="00343640"/>
    <w:pPr>
      <w:numPr>
        <w:ilvl w:val="1"/>
      </w:numPr>
    </w:pPr>
  </w:style>
  <w:style w:type="paragraph" w:customStyle="1" w:styleId="paragraph">
    <w:name w:val="paragraph"/>
    <w:basedOn w:val="Normal"/>
    <w:rsid w:val="0029337B"/>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eop">
    <w:name w:val="eop"/>
    <w:basedOn w:val="DefaultParagraphFont"/>
    <w:rsid w:val="0029337B"/>
  </w:style>
  <w:style w:type="character" w:customStyle="1" w:styleId="findhit">
    <w:name w:val="findhit"/>
    <w:basedOn w:val="DefaultParagraphFont"/>
    <w:rsid w:val="0029337B"/>
  </w:style>
  <w:style w:type="paragraph" w:styleId="CommentSubject">
    <w:name w:val="annotation subject"/>
    <w:basedOn w:val="CommentText"/>
    <w:next w:val="CommentText"/>
    <w:link w:val="CommentSubjectChar"/>
    <w:uiPriority w:val="99"/>
    <w:semiHidden/>
    <w:unhideWhenUsed/>
    <w:rsid w:val="003D1D8F"/>
    <w:rPr>
      <w:b/>
      <w:bCs/>
    </w:rPr>
  </w:style>
  <w:style w:type="character" w:customStyle="1" w:styleId="CommentSubjectChar">
    <w:name w:val="Comment Subject Char"/>
    <w:basedOn w:val="CommentTextChar"/>
    <w:link w:val="CommentSubject"/>
    <w:uiPriority w:val="99"/>
    <w:semiHidden/>
    <w:rsid w:val="003D1D8F"/>
    <w:rPr>
      <w:b/>
      <w:bCs/>
      <w:sz w:val="20"/>
      <w:szCs w:val="20"/>
    </w:rPr>
  </w:style>
  <w:style w:type="character" w:customStyle="1" w:styleId="A4">
    <w:name w:val="A4"/>
    <w:uiPriority w:val="99"/>
    <w:rsid w:val="00352F17"/>
    <w:rPr>
      <w:rFonts w:cs="Aktiv Grotesk"/>
      <w:color w:val="000000"/>
      <w:sz w:val="18"/>
      <w:szCs w:val="18"/>
    </w:rPr>
  </w:style>
  <w:style w:type="character" w:styleId="Emphasis">
    <w:name w:val="Emphasis"/>
    <w:basedOn w:val="DefaultParagraphFont"/>
    <w:uiPriority w:val="20"/>
    <w:qFormat/>
    <w:rsid w:val="00352F17"/>
    <w:rPr>
      <w:i/>
      <w:iCs/>
    </w:rPr>
  </w:style>
  <w:style w:type="character" w:styleId="Strong">
    <w:name w:val="Strong"/>
    <w:basedOn w:val="DefaultParagraphFont"/>
    <w:uiPriority w:val="22"/>
    <w:qFormat/>
    <w:rsid w:val="002152F6"/>
    <w:rPr>
      <w:b/>
      <w:bCs/>
    </w:rPr>
  </w:style>
  <w:style w:type="character" w:styleId="Mention">
    <w:name w:val="Mention"/>
    <w:basedOn w:val="DefaultParagraphFont"/>
    <w:uiPriority w:val="99"/>
    <w:unhideWhenUsed/>
    <w:rsid w:val="002152F6"/>
    <w:rPr>
      <w:color w:val="2B579A"/>
      <w:shd w:val="clear" w:color="auto" w:fill="E1DFDD"/>
    </w:rPr>
  </w:style>
  <w:style w:type="character" w:customStyle="1" w:styleId="BulletChar">
    <w:name w:val="Bullet Char"/>
    <w:basedOn w:val="DefaultParagraphFont"/>
    <w:link w:val="Bullet"/>
    <w:locked/>
    <w:rsid w:val="00CD29EF"/>
    <w:rPr>
      <w:lang w:eastAsia="en-GB"/>
    </w:rPr>
  </w:style>
  <w:style w:type="paragraph" w:customStyle="1" w:styleId="Bullet">
    <w:name w:val="Bullet"/>
    <w:basedOn w:val="Normal"/>
    <w:link w:val="BulletChar"/>
    <w:rsid w:val="00CD29EF"/>
    <w:pPr>
      <w:numPr>
        <w:numId w:val="11"/>
      </w:numPr>
      <w:spacing w:after="240" w:line="240" w:lineRule="auto"/>
    </w:pPr>
    <w:rPr>
      <w:lang w:eastAsia="en-GB"/>
    </w:rPr>
  </w:style>
  <w:style w:type="paragraph" w:customStyle="1" w:styleId="Dash">
    <w:name w:val="Dash"/>
    <w:basedOn w:val="Normal"/>
    <w:rsid w:val="00CD29EF"/>
    <w:pPr>
      <w:numPr>
        <w:ilvl w:val="1"/>
        <w:numId w:val="11"/>
      </w:numPr>
      <w:spacing w:after="240" w:line="240" w:lineRule="auto"/>
    </w:pPr>
    <w:rPr>
      <w:rFonts w:ascii="Calibri" w:eastAsia="Calibri" w:hAnsi="Calibri" w:cs="Calibri"/>
      <w:sz w:val="24"/>
      <w:szCs w:val="24"/>
      <w:lang w:eastAsia="en-GB"/>
    </w:rPr>
  </w:style>
  <w:style w:type="paragraph" w:customStyle="1" w:styleId="DoubleDot">
    <w:name w:val="Double Dot"/>
    <w:basedOn w:val="Normal"/>
    <w:rsid w:val="00CD29EF"/>
    <w:pPr>
      <w:numPr>
        <w:ilvl w:val="2"/>
        <w:numId w:val="11"/>
      </w:numPr>
      <w:spacing w:after="240" w:line="240" w:lineRule="auto"/>
    </w:pPr>
    <w:rPr>
      <w:rFonts w:ascii="Calibri" w:eastAsia="Calibri" w:hAnsi="Calibri" w:cs="Calibri"/>
      <w:sz w:val="24"/>
      <w:szCs w:val="24"/>
      <w:lang w:eastAsia="en-GB"/>
    </w:rPr>
  </w:style>
  <w:style w:type="character" w:styleId="UnresolvedMention">
    <w:name w:val="Unresolved Mention"/>
    <w:basedOn w:val="DefaultParagraphFont"/>
    <w:uiPriority w:val="99"/>
    <w:semiHidden/>
    <w:unhideWhenUsed/>
    <w:rsid w:val="00CF7A26"/>
    <w:rPr>
      <w:color w:val="605E5C"/>
      <w:shd w:val="clear" w:color="auto" w:fill="E1DFDD"/>
    </w:rPr>
  </w:style>
  <w:style w:type="paragraph" w:styleId="NormalWeb">
    <w:name w:val="Normal (Web)"/>
    <w:basedOn w:val="Normal"/>
    <w:uiPriority w:val="99"/>
    <w:unhideWhenUsed/>
    <w:rsid w:val="00910256"/>
    <w:rPr>
      <w:rFonts w:ascii="Times New Roman" w:hAnsi="Times New Roman" w:cs="Times New Roman"/>
      <w:sz w:val="24"/>
      <w:szCs w:val="24"/>
    </w:rPr>
  </w:style>
  <w:style w:type="paragraph" w:styleId="BodyText">
    <w:name w:val="Body Text"/>
    <w:basedOn w:val="Normal"/>
    <w:link w:val="BodyTextChar"/>
    <w:uiPriority w:val="99"/>
    <w:unhideWhenUsed/>
    <w:rsid w:val="00164895"/>
    <w:pPr>
      <w:spacing w:after="120" w:line="264" w:lineRule="auto"/>
    </w:pPr>
    <w:rPr>
      <w:rFonts w:eastAsiaTheme="minorEastAsia"/>
      <w:sz w:val="20"/>
      <w:szCs w:val="20"/>
    </w:rPr>
  </w:style>
  <w:style w:type="character" w:customStyle="1" w:styleId="BodyTextChar">
    <w:name w:val="Body Text Char"/>
    <w:basedOn w:val="DefaultParagraphFont"/>
    <w:link w:val="BodyText"/>
    <w:uiPriority w:val="99"/>
    <w:rsid w:val="00164895"/>
    <w:rPr>
      <w:rFonts w:eastAsiaTheme="minorEastAsia"/>
      <w:sz w:val="20"/>
      <w:szCs w:val="20"/>
    </w:rPr>
  </w:style>
  <w:style w:type="table" w:customStyle="1" w:styleId="TableGrid1">
    <w:name w:val="Table Grid1"/>
    <w:basedOn w:val="TableNormal"/>
    <w:next w:val="TableGrid"/>
    <w:uiPriority w:val="39"/>
    <w:rsid w:val="00F256F5"/>
    <w:pPr>
      <w:spacing w:after="0" w:line="240" w:lineRule="auto"/>
    </w:pPr>
    <w:rPr>
      <w:rFonts w:eastAsiaTheme="minorEastAsia"/>
      <w:lang w:val="en-US"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martLink">
    <w:name w:val="Smart Link"/>
    <w:basedOn w:val="DefaultParagraphFont"/>
    <w:uiPriority w:val="99"/>
    <w:semiHidden/>
    <w:unhideWhenUsed/>
    <w:rsid w:val="002776AE"/>
    <w:rPr>
      <w:color w:val="0000FF"/>
      <w:u w:val="single"/>
      <w:shd w:val="clear" w:color="auto" w:fill="F3F2F1"/>
    </w:rPr>
  </w:style>
  <w:style w:type="paragraph" w:styleId="EndnoteText">
    <w:name w:val="endnote text"/>
    <w:basedOn w:val="Normal"/>
    <w:link w:val="EndnoteTextChar"/>
    <w:uiPriority w:val="99"/>
    <w:semiHidden/>
    <w:unhideWhenUsed/>
    <w:rsid w:val="00BB222B"/>
    <w:pPr>
      <w:widowControl w:val="0"/>
      <w:autoSpaceDE w:val="0"/>
      <w:autoSpaceDN w:val="0"/>
      <w:spacing w:after="0" w:line="240" w:lineRule="auto"/>
    </w:pPr>
    <w:rPr>
      <w:rFonts w:ascii="Arial" w:eastAsia="Proxima Nova" w:hAnsi="Arial" w:cs="Proxima Nova"/>
      <w:color w:val="44546A" w:themeColor="text2"/>
      <w:sz w:val="20"/>
      <w:szCs w:val="20"/>
      <w:lang w:val="en-US"/>
    </w:rPr>
  </w:style>
  <w:style w:type="character" w:customStyle="1" w:styleId="EndnoteTextChar">
    <w:name w:val="Endnote Text Char"/>
    <w:basedOn w:val="DefaultParagraphFont"/>
    <w:link w:val="EndnoteText"/>
    <w:uiPriority w:val="99"/>
    <w:semiHidden/>
    <w:rsid w:val="00BB222B"/>
    <w:rPr>
      <w:rFonts w:ascii="Arial" w:eastAsia="Proxima Nova" w:hAnsi="Arial" w:cs="Proxima Nova"/>
      <w:color w:val="44546A" w:themeColor="text2"/>
      <w:sz w:val="20"/>
      <w:szCs w:val="20"/>
      <w:lang w:val="en-US"/>
    </w:rPr>
  </w:style>
  <w:style w:type="character" w:styleId="EndnoteReference">
    <w:name w:val="endnote reference"/>
    <w:basedOn w:val="DefaultParagraphFont"/>
    <w:uiPriority w:val="99"/>
    <w:semiHidden/>
    <w:unhideWhenUsed/>
    <w:rsid w:val="00BB222B"/>
    <w:rPr>
      <w:vertAlign w:val="superscript"/>
    </w:rPr>
  </w:style>
  <w:style w:type="paragraph" w:customStyle="1" w:styleId="CoverTitle">
    <w:name w:val="Cover Title"/>
    <w:next w:val="Normal"/>
    <w:qFormat/>
    <w:rsid w:val="00BB222B"/>
    <w:pPr>
      <w:widowControl w:val="0"/>
      <w:autoSpaceDE w:val="0"/>
      <w:autoSpaceDN w:val="0"/>
      <w:spacing w:before="252" w:after="0" w:line="237" w:lineRule="auto"/>
    </w:pPr>
    <w:rPr>
      <w:rFonts w:ascii="Arial" w:eastAsia="Proxima Nova" w:hAnsi="Arial" w:cs="Proxima Nova"/>
      <w:b/>
      <w:bCs/>
      <w:color w:val="44546A" w:themeColor="text2"/>
      <w:sz w:val="80"/>
      <w:szCs w:val="90"/>
      <w:lang w:val="en-US"/>
    </w:rPr>
  </w:style>
  <w:style w:type="character" w:customStyle="1" w:styleId="Heading2Char">
    <w:name w:val="Heading 2 Char"/>
    <w:basedOn w:val="DefaultParagraphFont"/>
    <w:link w:val="Heading2"/>
    <w:uiPriority w:val="9"/>
    <w:rsid w:val="001364C7"/>
    <w:rPr>
      <w:rFonts w:ascii="Calibri" w:eastAsia="Times New Roman" w:hAnsi="Calibri" w:cs="Times New Roman"/>
      <w:b/>
      <w:caps/>
      <w:sz w:val="38"/>
      <w:szCs w:val="38"/>
    </w:rPr>
  </w:style>
  <w:style w:type="paragraph" w:customStyle="1" w:styleId="Style1">
    <w:name w:val="Style1"/>
    <w:basedOn w:val="Heading1"/>
    <w:qFormat/>
    <w:rsid w:val="006D16F9"/>
    <w:rPr>
      <w:rFonts w:ascii="Arial" w:hAnsi="Arial"/>
    </w:rPr>
  </w:style>
  <w:style w:type="paragraph" w:customStyle="1" w:styleId="ACQSCDotpoint1">
    <w:name w:val="ACQSC Dot point 1"/>
    <w:basedOn w:val="ListParagraph"/>
    <w:qFormat/>
    <w:rsid w:val="00077631"/>
    <w:pPr>
      <w:spacing w:after="240" w:line="240" w:lineRule="auto"/>
      <w:ind w:left="360"/>
    </w:pPr>
    <w:rPr>
      <w:rFonts w:ascii="Fira Sans Light" w:eastAsia="Times New Roman" w:hAnsi="Fira Sans Light" w:cs="Arial"/>
      <w:sz w:val="24"/>
      <w:szCs w:val="24"/>
      <w:lang w:eastAsia="en-AU"/>
    </w:rPr>
  </w:style>
  <w:style w:type="paragraph" w:customStyle="1" w:styleId="Pa2">
    <w:name w:val="Pa2"/>
    <w:basedOn w:val="Normal"/>
    <w:next w:val="Normal"/>
    <w:uiPriority w:val="99"/>
    <w:rsid w:val="00077631"/>
    <w:pPr>
      <w:autoSpaceDE w:val="0"/>
      <w:autoSpaceDN w:val="0"/>
      <w:adjustRightInd w:val="0"/>
      <w:spacing w:after="0" w:line="201" w:lineRule="atLeast"/>
    </w:pPr>
    <w:rPr>
      <w:rFonts w:ascii="Fira Sans Light" w:hAnsi="Fira Sans Light"/>
      <w:sz w:val="24"/>
      <w:szCs w:val="24"/>
    </w:rPr>
  </w:style>
  <w:style w:type="table" w:customStyle="1" w:styleId="TableGrid2">
    <w:name w:val="Table Grid2"/>
    <w:basedOn w:val="TableNormal"/>
    <w:next w:val="TableGrid"/>
    <w:uiPriority w:val="39"/>
    <w:rsid w:val="00823E2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roPara">
    <w:name w:val="Intro Para"/>
    <w:basedOn w:val="Normal"/>
    <w:qFormat/>
    <w:rsid w:val="003A7BF7"/>
    <w:pPr>
      <w:suppressAutoHyphens/>
      <w:spacing w:before="180" w:after="180" w:line="240" w:lineRule="auto"/>
    </w:pPr>
    <w:rPr>
      <w:rFonts w:asciiTheme="majorHAnsi" w:eastAsiaTheme="minorEastAsia" w:hAnsiTheme="majorHAnsi"/>
      <w:color w:val="4472C4" w:themeColor="accent1"/>
      <w:sz w:val="26"/>
      <w:szCs w:val="20"/>
      <w:lang w:eastAsia="en-AU"/>
    </w:rPr>
  </w:style>
  <w:style w:type="paragraph" w:customStyle="1" w:styleId="sotext">
    <w:name w:val="sotext"/>
    <w:basedOn w:val="Normal"/>
    <w:rsid w:val="00ED21DE"/>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opara">
    <w:name w:val="sopara"/>
    <w:basedOn w:val="Normal"/>
    <w:rsid w:val="00ED21DE"/>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936D9A"/>
    <w:pPr>
      <w:spacing w:after="0" w:line="240" w:lineRule="auto"/>
    </w:pPr>
  </w:style>
  <w:style w:type="paragraph" w:customStyle="1" w:styleId="acthead5">
    <w:name w:val="acthead5"/>
    <w:basedOn w:val="Normal"/>
    <w:rsid w:val="00577EE4"/>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577EE4"/>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sectno">
    <w:name w:val="charsectno"/>
    <w:basedOn w:val="DefaultParagraphFont"/>
    <w:rsid w:val="00577EE4"/>
  </w:style>
  <w:style w:type="character" w:customStyle="1" w:styleId="Heading3Char">
    <w:name w:val="Heading 3 Char"/>
    <w:basedOn w:val="DefaultParagraphFont"/>
    <w:link w:val="Heading3"/>
    <w:uiPriority w:val="9"/>
    <w:rsid w:val="000E132D"/>
    <w:rPr>
      <w:rFonts w:ascii="Calibri" w:eastAsia="Times New Roman" w:hAnsi="Calibri" w:cs="Times New Roman"/>
      <w:b/>
      <w:caps/>
      <w:color w:val="8EAADB" w:themeColor="accent1" w:themeTint="99"/>
      <w:sz w:val="36"/>
      <w:szCs w:val="36"/>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62513">
      <w:bodyDiv w:val="1"/>
      <w:marLeft w:val="0"/>
      <w:marRight w:val="0"/>
      <w:marTop w:val="0"/>
      <w:marBottom w:val="0"/>
      <w:divBdr>
        <w:top w:val="none" w:sz="0" w:space="0" w:color="auto"/>
        <w:left w:val="none" w:sz="0" w:space="0" w:color="auto"/>
        <w:bottom w:val="none" w:sz="0" w:space="0" w:color="auto"/>
        <w:right w:val="none" w:sz="0" w:space="0" w:color="auto"/>
      </w:divBdr>
    </w:div>
    <w:div w:id="42678909">
      <w:bodyDiv w:val="1"/>
      <w:marLeft w:val="0"/>
      <w:marRight w:val="0"/>
      <w:marTop w:val="0"/>
      <w:marBottom w:val="0"/>
      <w:divBdr>
        <w:top w:val="none" w:sz="0" w:space="0" w:color="auto"/>
        <w:left w:val="none" w:sz="0" w:space="0" w:color="auto"/>
        <w:bottom w:val="none" w:sz="0" w:space="0" w:color="auto"/>
        <w:right w:val="none" w:sz="0" w:space="0" w:color="auto"/>
      </w:divBdr>
    </w:div>
    <w:div w:id="98448484">
      <w:bodyDiv w:val="1"/>
      <w:marLeft w:val="0"/>
      <w:marRight w:val="0"/>
      <w:marTop w:val="0"/>
      <w:marBottom w:val="0"/>
      <w:divBdr>
        <w:top w:val="none" w:sz="0" w:space="0" w:color="auto"/>
        <w:left w:val="none" w:sz="0" w:space="0" w:color="auto"/>
        <w:bottom w:val="none" w:sz="0" w:space="0" w:color="auto"/>
        <w:right w:val="none" w:sz="0" w:space="0" w:color="auto"/>
      </w:divBdr>
    </w:div>
    <w:div w:id="127864192">
      <w:bodyDiv w:val="1"/>
      <w:marLeft w:val="0"/>
      <w:marRight w:val="0"/>
      <w:marTop w:val="0"/>
      <w:marBottom w:val="0"/>
      <w:divBdr>
        <w:top w:val="none" w:sz="0" w:space="0" w:color="auto"/>
        <w:left w:val="none" w:sz="0" w:space="0" w:color="auto"/>
        <w:bottom w:val="none" w:sz="0" w:space="0" w:color="auto"/>
        <w:right w:val="none" w:sz="0" w:space="0" w:color="auto"/>
      </w:divBdr>
    </w:div>
    <w:div w:id="183708539">
      <w:bodyDiv w:val="1"/>
      <w:marLeft w:val="0"/>
      <w:marRight w:val="0"/>
      <w:marTop w:val="0"/>
      <w:marBottom w:val="0"/>
      <w:divBdr>
        <w:top w:val="none" w:sz="0" w:space="0" w:color="auto"/>
        <w:left w:val="none" w:sz="0" w:space="0" w:color="auto"/>
        <w:bottom w:val="none" w:sz="0" w:space="0" w:color="auto"/>
        <w:right w:val="none" w:sz="0" w:space="0" w:color="auto"/>
      </w:divBdr>
    </w:div>
    <w:div w:id="273294302">
      <w:bodyDiv w:val="1"/>
      <w:marLeft w:val="0"/>
      <w:marRight w:val="0"/>
      <w:marTop w:val="0"/>
      <w:marBottom w:val="0"/>
      <w:divBdr>
        <w:top w:val="none" w:sz="0" w:space="0" w:color="auto"/>
        <w:left w:val="none" w:sz="0" w:space="0" w:color="auto"/>
        <w:bottom w:val="none" w:sz="0" w:space="0" w:color="auto"/>
        <w:right w:val="none" w:sz="0" w:space="0" w:color="auto"/>
      </w:divBdr>
    </w:div>
    <w:div w:id="297808549">
      <w:bodyDiv w:val="1"/>
      <w:marLeft w:val="0"/>
      <w:marRight w:val="0"/>
      <w:marTop w:val="0"/>
      <w:marBottom w:val="0"/>
      <w:divBdr>
        <w:top w:val="none" w:sz="0" w:space="0" w:color="auto"/>
        <w:left w:val="none" w:sz="0" w:space="0" w:color="auto"/>
        <w:bottom w:val="none" w:sz="0" w:space="0" w:color="auto"/>
        <w:right w:val="none" w:sz="0" w:space="0" w:color="auto"/>
      </w:divBdr>
    </w:div>
    <w:div w:id="307713625">
      <w:bodyDiv w:val="1"/>
      <w:marLeft w:val="0"/>
      <w:marRight w:val="0"/>
      <w:marTop w:val="0"/>
      <w:marBottom w:val="0"/>
      <w:divBdr>
        <w:top w:val="none" w:sz="0" w:space="0" w:color="auto"/>
        <w:left w:val="none" w:sz="0" w:space="0" w:color="auto"/>
        <w:bottom w:val="none" w:sz="0" w:space="0" w:color="auto"/>
        <w:right w:val="none" w:sz="0" w:space="0" w:color="auto"/>
      </w:divBdr>
    </w:div>
    <w:div w:id="337199910">
      <w:bodyDiv w:val="1"/>
      <w:marLeft w:val="0"/>
      <w:marRight w:val="0"/>
      <w:marTop w:val="0"/>
      <w:marBottom w:val="0"/>
      <w:divBdr>
        <w:top w:val="none" w:sz="0" w:space="0" w:color="auto"/>
        <w:left w:val="none" w:sz="0" w:space="0" w:color="auto"/>
        <w:bottom w:val="none" w:sz="0" w:space="0" w:color="auto"/>
        <w:right w:val="none" w:sz="0" w:space="0" w:color="auto"/>
      </w:divBdr>
    </w:div>
    <w:div w:id="349721653">
      <w:bodyDiv w:val="1"/>
      <w:marLeft w:val="0"/>
      <w:marRight w:val="0"/>
      <w:marTop w:val="0"/>
      <w:marBottom w:val="0"/>
      <w:divBdr>
        <w:top w:val="none" w:sz="0" w:space="0" w:color="auto"/>
        <w:left w:val="none" w:sz="0" w:space="0" w:color="auto"/>
        <w:bottom w:val="none" w:sz="0" w:space="0" w:color="auto"/>
        <w:right w:val="none" w:sz="0" w:space="0" w:color="auto"/>
      </w:divBdr>
    </w:div>
    <w:div w:id="394623100">
      <w:bodyDiv w:val="1"/>
      <w:marLeft w:val="0"/>
      <w:marRight w:val="0"/>
      <w:marTop w:val="0"/>
      <w:marBottom w:val="0"/>
      <w:divBdr>
        <w:top w:val="none" w:sz="0" w:space="0" w:color="auto"/>
        <w:left w:val="none" w:sz="0" w:space="0" w:color="auto"/>
        <w:bottom w:val="none" w:sz="0" w:space="0" w:color="auto"/>
        <w:right w:val="none" w:sz="0" w:space="0" w:color="auto"/>
      </w:divBdr>
    </w:div>
    <w:div w:id="422652468">
      <w:bodyDiv w:val="1"/>
      <w:marLeft w:val="0"/>
      <w:marRight w:val="0"/>
      <w:marTop w:val="0"/>
      <w:marBottom w:val="0"/>
      <w:divBdr>
        <w:top w:val="none" w:sz="0" w:space="0" w:color="auto"/>
        <w:left w:val="none" w:sz="0" w:space="0" w:color="auto"/>
        <w:bottom w:val="none" w:sz="0" w:space="0" w:color="auto"/>
        <w:right w:val="none" w:sz="0" w:space="0" w:color="auto"/>
      </w:divBdr>
    </w:div>
    <w:div w:id="424421953">
      <w:bodyDiv w:val="1"/>
      <w:marLeft w:val="0"/>
      <w:marRight w:val="0"/>
      <w:marTop w:val="0"/>
      <w:marBottom w:val="0"/>
      <w:divBdr>
        <w:top w:val="none" w:sz="0" w:space="0" w:color="auto"/>
        <w:left w:val="none" w:sz="0" w:space="0" w:color="auto"/>
        <w:bottom w:val="none" w:sz="0" w:space="0" w:color="auto"/>
        <w:right w:val="none" w:sz="0" w:space="0" w:color="auto"/>
      </w:divBdr>
    </w:div>
    <w:div w:id="448209977">
      <w:bodyDiv w:val="1"/>
      <w:marLeft w:val="0"/>
      <w:marRight w:val="0"/>
      <w:marTop w:val="0"/>
      <w:marBottom w:val="0"/>
      <w:divBdr>
        <w:top w:val="none" w:sz="0" w:space="0" w:color="auto"/>
        <w:left w:val="none" w:sz="0" w:space="0" w:color="auto"/>
        <w:bottom w:val="none" w:sz="0" w:space="0" w:color="auto"/>
        <w:right w:val="none" w:sz="0" w:space="0" w:color="auto"/>
      </w:divBdr>
    </w:div>
    <w:div w:id="465317914">
      <w:bodyDiv w:val="1"/>
      <w:marLeft w:val="0"/>
      <w:marRight w:val="0"/>
      <w:marTop w:val="0"/>
      <w:marBottom w:val="0"/>
      <w:divBdr>
        <w:top w:val="none" w:sz="0" w:space="0" w:color="auto"/>
        <w:left w:val="none" w:sz="0" w:space="0" w:color="auto"/>
        <w:bottom w:val="none" w:sz="0" w:space="0" w:color="auto"/>
        <w:right w:val="none" w:sz="0" w:space="0" w:color="auto"/>
      </w:divBdr>
    </w:div>
    <w:div w:id="486678078">
      <w:bodyDiv w:val="1"/>
      <w:marLeft w:val="0"/>
      <w:marRight w:val="0"/>
      <w:marTop w:val="0"/>
      <w:marBottom w:val="0"/>
      <w:divBdr>
        <w:top w:val="none" w:sz="0" w:space="0" w:color="auto"/>
        <w:left w:val="none" w:sz="0" w:space="0" w:color="auto"/>
        <w:bottom w:val="none" w:sz="0" w:space="0" w:color="auto"/>
        <w:right w:val="none" w:sz="0" w:space="0" w:color="auto"/>
      </w:divBdr>
    </w:div>
    <w:div w:id="511455063">
      <w:bodyDiv w:val="1"/>
      <w:marLeft w:val="0"/>
      <w:marRight w:val="0"/>
      <w:marTop w:val="0"/>
      <w:marBottom w:val="0"/>
      <w:divBdr>
        <w:top w:val="none" w:sz="0" w:space="0" w:color="auto"/>
        <w:left w:val="none" w:sz="0" w:space="0" w:color="auto"/>
        <w:bottom w:val="none" w:sz="0" w:space="0" w:color="auto"/>
        <w:right w:val="none" w:sz="0" w:space="0" w:color="auto"/>
      </w:divBdr>
    </w:div>
    <w:div w:id="530800395">
      <w:bodyDiv w:val="1"/>
      <w:marLeft w:val="0"/>
      <w:marRight w:val="0"/>
      <w:marTop w:val="0"/>
      <w:marBottom w:val="0"/>
      <w:divBdr>
        <w:top w:val="none" w:sz="0" w:space="0" w:color="auto"/>
        <w:left w:val="none" w:sz="0" w:space="0" w:color="auto"/>
        <w:bottom w:val="none" w:sz="0" w:space="0" w:color="auto"/>
        <w:right w:val="none" w:sz="0" w:space="0" w:color="auto"/>
      </w:divBdr>
    </w:div>
    <w:div w:id="569660797">
      <w:bodyDiv w:val="1"/>
      <w:marLeft w:val="0"/>
      <w:marRight w:val="0"/>
      <w:marTop w:val="0"/>
      <w:marBottom w:val="0"/>
      <w:divBdr>
        <w:top w:val="none" w:sz="0" w:space="0" w:color="auto"/>
        <w:left w:val="none" w:sz="0" w:space="0" w:color="auto"/>
        <w:bottom w:val="none" w:sz="0" w:space="0" w:color="auto"/>
        <w:right w:val="none" w:sz="0" w:space="0" w:color="auto"/>
      </w:divBdr>
    </w:div>
    <w:div w:id="618339447">
      <w:bodyDiv w:val="1"/>
      <w:marLeft w:val="0"/>
      <w:marRight w:val="0"/>
      <w:marTop w:val="0"/>
      <w:marBottom w:val="0"/>
      <w:divBdr>
        <w:top w:val="none" w:sz="0" w:space="0" w:color="auto"/>
        <w:left w:val="none" w:sz="0" w:space="0" w:color="auto"/>
        <w:bottom w:val="none" w:sz="0" w:space="0" w:color="auto"/>
        <w:right w:val="none" w:sz="0" w:space="0" w:color="auto"/>
      </w:divBdr>
    </w:div>
    <w:div w:id="642781164">
      <w:bodyDiv w:val="1"/>
      <w:marLeft w:val="0"/>
      <w:marRight w:val="0"/>
      <w:marTop w:val="0"/>
      <w:marBottom w:val="0"/>
      <w:divBdr>
        <w:top w:val="none" w:sz="0" w:space="0" w:color="auto"/>
        <w:left w:val="none" w:sz="0" w:space="0" w:color="auto"/>
        <w:bottom w:val="none" w:sz="0" w:space="0" w:color="auto"/>
        <w:right w:val="none" w:sz="0" w:space="0" w:color="auto"/>
      </w:divBdr>
    </w:div>
    <w:div w:id="648704816">
      <w:bodyDiv w:val="1"/>
      <w:marLeft w:val="0"/>
      <w:marRight w:val="0"/>
      <w:marTop w:val="0"/>
      <w:marBottom w:val="0"/>
      <w:divBdr>
        <w:top w:val="none" w:sz="0" w:space="0" w:color="auto"/>
        <w:left w:val="none" w:sz="0" w:space="0" w:color="auto"/>
        <w:bottom w:val="none" w:sz="0" w:space="0" w:color="auto"/>
        <w:right w:val="none" w:sz="0" w:space="0" w:color="auto"/>
      </w:divBdr>
    </w:div>
    <w:div w:id="650601746">
      <w:bodyDiv w:val="1"/>
      <w:marLeft w:val="0"/>
      <w:marRight w:val="0"/>
      <w:marTop w:val="0"/>
      <w:marBottom w:val="0"/>
      <w:divBdr>
        <w:top w:val="none" w:sz="0" w:space="0" w:color="auto"/>
        <w:left w:val="none" w:sz="0" w:space="0" w:color="auto"/>
        <w:bottom w:val="none" w:sz="0" w:space="0" w:color="auto"/>
        <w:right w:val="none" w:sz="0" w:space="0" w:color="auto"/>
      </w:divBdr>
    </w:div>
    <w:div w:id="674963505">
      <w:bodyDiv w:val="1"/>
      <w:marLeft w:val="0"/>
      <w:marRight w:val="0"/>
      <w:marTop w:val="0"/>
      <w:marBottom w:val="0"/>
      <w:divBdr>
        <w:top w:val="none" w:sz="0" w:space="0" w:color="auto"/>
        <w:left w:val="none" w:sz="0" w:space="0" w:color="auto"/>
        <w:bottom w:val="none" w:sz="0" w:space="0" w:color="auto"/>
        <w:right w:val="none" w:sz="0" w:space="0" w:color="auto"/>
      </w:divBdr>
    </w:div>
    <w:div w:id="675956802">
      <w:bodyDiv w:val="1"/>
      <w:marLeft w:val="0"/>
      <w:marRight w:val="0"/>
      <w:marTop w:val="0"/>
      <w:marBottom w:val="0"/>
      <w:divBdr>
        <w:top w:val="none" w:sz="0" w:space="0" w:color="auto"/>
        <w:left w:val="none" w:sz="0" w:space="0" w:color="auto"/>
        <w:bottom w:val="none" w:sz="0" w:space="0" w:color="auto"/>
        <w:right w:val="none" w:sz="0" w:space="0" w:color="auto"/>
      </w:divBdr>
    </w:div>
    <w:div w:id="703791662">
      <w:bodyDiv w:val="1"/>
      <w:marLeft w:val="0"/>
      <w:marRight w:val="0"/>
      <w:marTop w:val="0"/>
      <w:marBottom w:val="0"/>
      <w:divBdr>
        <w:top w:val="none" w:sz="0" w:space="0" w:color="auto"/>
        <w:left w:val="none" w:sz="0" w:space="0" w:color="auto"/>
        <w:bottom w:val="none" w:sz="0" w:space="0" w:color="auto"/>
        <w:right w:val="none" w:sz="0" w:space="0" w:color="auto"/>
      </w:divBdr>
    </w:div>
    <w:div w:id="715738186">
      <w:bodyDiv w:val="1"/>
      <w:marLeft w:val="0"/>
      <w:marRight w:val="0"/>
      <w:marTop w:val="0"/>
      <w:marBottom w:val="0"/>
      <w:divBdr>
        <w:top w:val="none" w:sz="0" w:space="0" w:color="auto"/>
        <w:left w:val="none" w:sz="0" w:space="0" w:color="auto"/>
        <w:bottom w:val="none" w:sz="0" w:space="0" w:color="auto"/>
        <w:right w:val="none" w:sz="0" w:space="0" w:color="auto"/>
      </w:divBdr>
    </w:div>
    <w:div w:id="719521171">
      <w:bodyDiv w:val="1"/>
      <w:marLeft w:val="0"/>
      <w:marRight w:val="0"/>
      <w:marTop w:val="0"/>
      <w:marBottom w:val="0"/>
      <w:divBdr>
        <w:top w:val="none" w:sz="0" w:space="0" w:color="auto"/>
        <w:left w:val="none" w:sz="0" w:space="0" w:color="auto"/>
        <w:bottom w:val="none" w:sz="0" w:space="0" w:color="auto"/>
        <w:right w:val="none" w:sz="0" w:space="0" w:color="auto"/>
      </w:divBdr>
    </w:div>
    <w:div w:id="792820781">
      <w:bodyDiv w:val="1"/>
      <w:marLeft w:val="0"/>
      <w:marRight w:val="0"/>
      <w:marTop w:val="0"/>
      <w:marBottom w:val="0"/>
      <w:divBdr>
        <w:top w:val="none" w:sz="0" w:space="0" w:color="auto"/>
        <w:left w:val="none" w:sz="0" w:space="0" w:color="auto"/>
        <w:bottom w:val="none" w:sz="0" w:space="0" w:color="auto"/>
        <w:right w:val="none" w:sz="0" w:space="0" w:color="auto"/>
      </w:divBdr>
    </w:div>
    <w:div w:id="840047252">
      <w:bodyDiv w:val="1"/>
      <w:marLeft w:val="0"/>
      <w:marRight w:val="0"/>
      <w:marTop w:val="0"/>
      <w:marBottom w:val="0"/>
      <w:divBdr>
        <w:top w:val="none" w:sz="0" w:space="0" w:color="auto"/>
        <w:left w:val="none" w:sz="0" w:space="0" w:color="auto"/>
        <w:bottom w:val="none" w:sz="0" w:space="0" w:color="auto"/>
        <w:right w:val="none" w:sz="0" w:space="0" w:color="auto"/>
      </w:divBdr>
    </w:div>
    <w:div w:id="848569872">
      <w:bodyDiv w:val="1"/>
      <w:marLeft w:val="0"/>
      <w:marRight w:val="0"/>
      <w:marTop w:val="0"/>
      <w:marBottom w:val="0"/>
      <w:divBdr>
        <w:top w:val="none" w:sz="0" w:space="0" w:color="auto"/>
        <w:left w:val="none" w:sz="0" w:space="0" w:color="auto"/>
        <w:bottom w:val="none" w:sz="0" w:space="0" w:color="auto"/>
        <w:right w:val="none" w:sz="0" w:space="0" w:color="auto"/>
      </w:divBdr>
    </w:div>
    <w:div w:id="855189687">
      <w:bodyDiv w:val="1"/>
      <w:marLeft w:val="0"/>
      <w:marRight w:val="0"/>
      <w:marTop w:val="0"/>
      <w:marBottom w:val="0"/>
      <w:divBdr>
        <w:top w:val="none" w:sz="0" w:space="0" w:color="auto"/>
        <w:left w:val="none" w:sz="0" w:space="0" w:color="auto"/>
        <w:bottom w:val="none" w:sz="0" w:space="0" w:color="auto"/>
        <w:right w:val="none" w:sz="0" w:space="0" w:color="auto"/>
      </w:divBdr>
    </w:div>
    <w:div w:id="905918464">
      <w:bodyDiv w:val="1"/>
      <w:marLeft w:val="0"/>
      <w:marRight w:val="0"/>
      <w:marTop w:val="0"/>
      <w:marBottom w:val="0"/>
      <w:divBdr>
        <w:top w:val="none" w:sz="0" w:space="0" w:color="auto"/>
        <w:left w:val="none" w:sz="0" w:space="0" w:color="auto"/>
        <w:bottom w:val="none" w:sz="0" w:space="0" w:color="auto"/>
        <w:right w:val="none" w:sz="0" w:space="0" w:color="auto"/>
      </w:divBdr>
    </w:div>
    <w:div w:id="908417290">
      <w:bodyDiv w:val="1"/>
      <w:marLeft w:val="0"/>
      <w:marRight w:val="0"/>
      <w:marTop w:val="0"/>
      <w:marBottom w:val="0"/>
      <w:divBdr>
        <w:top w:val="none" w:sz="0" w:space="0" w:color="auto"/>
        <w:left w:val="none" w:sz="0" w:space="0" w:color="auto"/>
        <w:bottom w:val="none" w:sz="0" w:space="0" w:color="auto"/>
        <w:right w:val="none" w:sz="0" w:space="0" w:color="auto"/>
      </w:divBdr>
    </w:div>
    <w:div w:id="910038212">
      <w:bodyDiv w:val="1"/>
      <w:marLeft w:val="0"/>
      <w:marRight w:val="0"/>
      <w:marTop w:val="0"/>
      <w:marBottom w:val="0"/>
      <w:divBdr>
        <w:top w:val="none" w:sz="0" w:space="0" w:color="auto"/>
        <w:left w:val="none" w:sz="0" w:space="0" w:color="auto"/>
        <w:bottom w:val="none" w:sz="0" w:space="0" w:color="auto"/>
        <w:right w:val="none" w:sz="0" w:space="0" w:color="auto"/>
      </w:divBdr>
    </w:div>
    <w:div w:id="985087902">
      <w:bodyDiv w:val="1"/>
      <w:marLeft w:val="0"/>
      <w:marRight w:val="0"/>
      <w:marTop w:val="0"/>
      <w:marBottom w:val="0"/>
      <w:divBdr>
        <w:top w:val="none" w:sz="0" w:space="0" w:color="auto"/>
        <w:left w:val="none" w:sz="0" w:space="0" w:color="auto"/>
        <w:bottom w:val="none" w:sz="0" w:space="0" w:color="auto"/>
        <w:right w:val="none" w:sz="0" w:space="0" w:color="auto"/>
      </w:divBdr>
    </w:div>
    <w:div w:id="996762028">
      <w:bodyDiv w:val="1"/>
      <w:marLeft w:val="0"/>
      <w:marRight w:val="0"/>
      <w:marTop w:val="0"/>
      <w:marBottom w:val="0"/>
      <w:divBdr>
        <w:top w:val="none" w:sz="0" w:space="0" w:color="auto"/>
        <w:left w:val="none" w:sz="0" w:space="0" w:color="auto"/>
        <w:bottom w:val="none" w:sz="0" w:space="0" w:color="auto"/>
        <w:right w:val="none" w:sz="0" w:space="0" w:color="auto"/>
      </w:divBdr>
    </w:div>
    <w:div w:id="1014962753">
      <w:bodyDiv w:val="1"/>
      <w:marLeft w:val="0"/>
      <w:marRight w:val="0"/>
      <w:marTop w:val="0"/>
      <w:marBottom w:val="0"/>
      <w:divBdr>
        <w:top w:val="none" w:sz="0" w:space="0" w:color="auto"/>
        <w:left w:val="none" w:sz="0" w:space="0" w:color="auto"/>
        <w:bottom w:val="none" w:sz="0" w:space="0" w:color="auto"/>
        <w:right w:val="none" w:sz="0" w:space="0" w:color="auto"/>
      </w:divBdr>
    </w:div>
    <w:div w:id="1024215303">
      <w:bodyDiv w:val="1"/>
      <w:marLeft w:val="0"/>
      <w:marRight w:val="0"/>
      <w:marTop w:val="0"/>
      <w:marBottom w:val="0"/>
      <w:divBdr>
        <w:top w:val="none" w:sz="0" w:space="0" w:color="auto"/>
        <w:left w:val="none" w:sz="0" w:space="0" w:color="auto"/>
        <w:bottom w:val="none" w:sz="0" w:space="0" w:color="auto"/>
        <w:right w:val="none" w:sz="0" w:space="0" w:color="auto"/>
      </w:divBdr>
    </w:div>
    <w:div w:id="1058212426">
      <w:bodyDiv w:val="1"/>
      <w:marLeft w:val="0"/>
      <w:marRight w:val="0"/>
      <w:marTop w:val="0"/>
      <w:marBottom w:val="0"/>
      <w:divBdr>
        <w:top w:val="none" w:sz="0" w:space="0" w:color="auto"/>
        <w:left w:val="none" w:sz="0" w:space="0" w:color="auto"/>
        <w:bottom w:val="none" w:sz="0" w:space="0" w:color="auto"/>
        <w:right w:val="none" w:sz="0" w:space="0" w:color="auto"/>
      </w:divBdr>
    </w:div>
    <w:div w:id="1069423701">
      <w:bodyDiv w:val="1"/>
      <w:marLeft w:val="0"/>
      <w:marRight w:val="0"/>
      <w:marTop w:val="0"/>
      <w:marBottom w:val="0"/>
      <w:divBdr>
        <w:top w:val="none" w:sz="0" w:space="0" w:color="auto"/>
        <w:left w:val="none" w:sz="0" w:space="0" w:color="auto"/>
        <w:bottom w:val="none" w:sz="0" w:space="0" w:color="auto"/>
        <w:right w:val="none" w:sz="0" w:space="0" w:color="auto"/>
      </w:divBdr>
    </w:div>
    <w:div w:id="1082801843">
      <w:bodyDiv w:val="1"/>
      <w:marLeft w:val="0"/>
      <w:marRight w:val="0"/>
      <w:marTop w:val="0"/>
      <w:marBottom w:val="0"/>
      <w:divBdr>
        <w:top w:val="none" w:sz="0" w:space="0" w:color="auto"/>
        <w:left w:val="none" w:sz="0" w:space="0" w:color="auto"/>
        <w:bottom w:val="none" w:sz="0" w:space="0" w:color="auto"/>
        <w:right w:val="none" w:sz="0" w:space="0" w:color="auto"/>
      </w:divBdr>
    </w:div>
    <w:div w:id="1101535766">
      <w:bodyDiv w:val="1"/>
      <w:marLeft w:val="0"/>
      <w:marRight w:val="0"/>
      <w:marTop w:val="0"/>
      <w:marBottom w:val="0"/>
      <w:divBdr>
        <w:top w:val="none" w:sz="0" w:space="0" w:color="auto"/>
        <w:left w:val="none" w:sz="0" w:space="0" w:color="auto"/>
        <w:bottom w:val="none" w:sz="0" w:space="0" w:color="auto"/>
        <w:right w:val="none" w:sz="0" w:space="0" w:color="auto"/>
      </w:divBdr>
    </w:div>
    <w:div w:id="1105923992">
      <w:bodyDiv w:val="1"/>
      <w:marLeft w:val="0"/>
      <w:marRight w:val="0"/>
      <w:marTop w:val="0"/>
      <w:marBottom w:val="0"/>
      <w:divBdr>
        <w:top w:val="none" w:sz="0" w:space="0" w:color="auto"/>
        <w:left w:val="none" w:sz="0" w:space="0" w:color="auto"/>
        <w:bottom w:val="none" w:sz="0" w:space="0" w:color="auto"/>
        <w:right w:val="none" w:sz="0" w:space="0" w:color="auto"/>
      </w:divBdr>
    </w:div>
    <w:div w:id="1108701193">
      <w:bodyDiv w:val="1"/>
      <w:marLeft w:val="0"/>
      <w:marRight w:val="0"/>
      <w:marTop w:val="0"/>
      <w:marBottom w:val="0"/>
      <w:divBdr>
        <w:top w:val="none" w:sz="0" w:space="0" w:color="auto"/>
        <w:left w:val="none" w:sz="0" w:space="0" w:color="auto"/>
        <w:bottom w:val="none" w:sz="0" w:space="0" w:color="auto"/>
        <w:right w:val="none" w:sz="0" w:space="0" w:color="auto"/>
      </w:divBdr>
    </w:div>
    <w:div w:id="1123764313">
      <w:bodyDiv w:val="1"/>
      <w:marLeft w:val="0"/>
      <w:marRight w:val="0"/>
      <w:marTop w:val="0"/>
      <w:marBottom w:val="0"/>
      <w:divBdr>
        <w:top w:val="none" w:sz="0" w:space="0" w:color="auto"/>
        <w:left w:val="none" w:sz="0" w:space="0" w:color="auto"/>
        <w:bottom w:val="none" w:sz="0" w:space="0" w:color="auto"/>
        <w:right w:val="none" w:sz="0" w:space="0" w:color="auto"/>
      </w:divBdr>
    </w:div>
    <w:div w:id="1126584398">
      <w:bodyDiv w:val="1"/>
      <w:marLeft w:val="0"/>
      <w:marRight w:val="0"/>
      <w:marTop w:val="0"/>
      <w:marBottom w:val="0"/>
      <w:divBdr>
        <w:top w:val="none" w:sz="0" w:space="0" w:color="auto"/>
        <w:left w:val="none" w:sz="0" w:space="0" w:color="auto"/>
        <w:bottom w:val="none" w:sz="0" w:space="0" w:color="auto"/>
        <w:right w:val="none" w:sz="0" w:space="0" w:color="auto"/>
      </w:divBdr>
    </w:div>
    <w:div w:id="1129206162">
      <w:bodyDiv w:val="1"/>
      <w:marLeft w:val="0"/>
      <w:marRight w:val="0"/>
      <w:marTop w:val="0"/>
      <w:marBottom w:val="0"/>
      <w:divBdr>
        <w:top w:val="none" w:sz="0" w:space="0" w:color="auto"/>
        <w:left w:val="none" w:sz="0" w:space="0" w:color="auto"/>
        <w:bottom w:val="none" w:sz="0" w:space="0" w:color="auto"/>
        <w:right w:val="none" w:sz="0" w:space="0" w:color="auto"/>
      </w:divBdr>
    </w:div>
    <w:div w:id="1134562964">
      <w:bodyDiv w:val="1"/>
      <w:marLeft w:val="0"/>
      <w:marRight w:val="0"/>
      <w:marTop w:val="0"/>
      <w:marBottom w:val="0"/>
      <w:divBdr>
        <w:top w:val="none" w:sz="0" w:space="0" w:color="auto"/>
        <w:left w:val="none" w:sz="0" w:space="0" w:color="auto"/>
        <w:bottom w:val="none" w:sz="0" w:space="0" w:color="auto"/>
        <w:right w:val="none" w:sz="0" w:space="0" w:color="auto"/>
      </w:divBdr>
    </w:div>
    <w:div w:id="1209684093">
      <w:bodyDiv w:val="1"/>
      <w:marLeft w:val="0"/>
      <w:marRight w:val="0"/>
      <w:marTop w:val="0"/>
      <w:marBottom w:val="0"/>
      <w:divBdr>
        <w:top w:val="none" w:sz="0" w:space="0" w:color="auto"/>
        <w:left w:val="none" w:sz="0" w:space="0" w:color="auto"/>
        <w:bottom w:val="none" w:sz="0" w:space="0" w:color="auto"/>
        <w:right w:val="none" w:sz="0" w:space="0" w:color="auto"/>
      </w:divBdr>
    </w:div>
    <w:div w:id="1210337853">
      <w:bodyDiv w:val="1"/>
      <w:marLeft w:val="0"/>
      <w:marRight w:val="0"/>
      <w:marTop w:val="0"/>
      <w:marBottom w:val="0"/>
      <w:divBdr>
        <w:top w:val="none" w:sz="0" w:space="0" w:color="auto"/>
        <w:left w:val="none" w:sz="0" w:space="0" w:color="auto"/>
        <w:bottom w:val="none" w:sz="0" w:space="0" w:color="auto"/>
        <w:right w:val="none" w:sz="0" w:space="0" w:color="auto"/>
      </w:divBdr>
    </w:div>
    <w:div w:id="1321353103">
      <w:bodyDiv w:val="1"/>
      <w:marLeft w:val="0"/>
      <w:marRight w:val="0"/>
      <w:marTop w:val="0"/>
      <w:marBottom w:val="0"/>
      <w:divBdr>
        <w:top w:val="none" w:sz="0" w:space="0" w:color="auto"/>
        <w:left w:val="none" w:sz="0" w:space="0" w:color="auto"/>
        <w:bottom w:val="none" w:sz="0" w:space="0" w:color="auto"/>
        <w:right w:val="none" w:sz="0" w:space="0" w:color="auto"/>
      </w:divBdr>
    </w:div>
    <w:div w:id="1401782204">
      <w:bodyDiv w:val="1"/>
      <w:marLeft w:val="0"/>
      <w:marRight w:val="0"/>
      <w:marTop w:val="0"/>
      <w:marBottom w:val="0"/>
      <w:divBdr>
        <w:top w:val="none" w:sz="0" w:space="0" w:color="auto"/>
        <w:left w:val="none" w:sz="0" w:space="0" w:color="auto"/>
        <w:bottom w:val="none" w:sz="0" w:space="0" w:color="auto"/>
        <w:right w:val="none" w:sz="0" w:space="0" w:color="auto"/>
      </w:divBdr>
    </w:div>
    <w:div w:id="1477067640">
      <w:bodyDiv w:val="1"/>
      <w:marLeft w:val="0"/>
      <w:marRight w:val="0"/>
      <w:marTop w:val="0"/>
      <w:marBottom w:val="0"/>
      <w:divBdr>
        <w:top w:val="none" w:sz="0" w:space="0" w:color="auto"/>
        <w:left w:val="none" w:sz="0" w:space="0" w:color="auto"/>
        <w:bottom w:val="none" w:sz="0" w:space="0" w:color="auto"/>
        <w:right w:val="none" w:sz="0" w:space="0" w:color="auto"/>
      </w:divBdr>
    </w:div>
    <w:div w:id="1485587430">
      <w:bodyDiv w:val="1"/>
      <w:marLeft w:val="0"/>
      <w:marRight w:val="0"/>
      <w:marTop w:val="0"/>
      <w:marBottom w:val="0"/>
      <w:divBdr>
        <w:top w:val="none" w:sz="0" w:space="0" w:color="auto"/>
        <w:left w:val="none" w:sz="0" w:space="0" w:color="auto"/>
        <w:bottom w:val="none" w:sz="0" w:space="0" w:color="auto"/>
        <w:right w:val="none" w:sz="0" w:space="0" w:color="auto"/>
      </w:divBdr>
    </w:div>
    <w:div w:id="1500390244">
      <w:bodyDiv w:val="1"/>
      <w:marLeft w:val="0"/>
      <w:marRight w:val="0"/>
      <w:marTop w:val="0"/>
      <w:marBottom w:val="0"/>
      <w:divBdr>
        <w:top w:val="none" w:sz="0" w:space="0" w:color="auto"/>
        <w:left w:val="none" w:sz="0" w:space="0" w:color="auto"/>
        <w:bottom w:val="none" w:sz="0" w:space="0" w:color="auto"/>
        <w:right w:val="none" w:sz="0" w:space="0" w:color="auto"/>
      </w:divBdr>
    </w:div>
    <w:div w:id="1516310712">
      <w:bodyDiv w:val="1"/>
      <w:marLeft w:val="0"/>
      <w:marRight w:val="0"/>
      <w:marTop w:val="0"/>
      <w:marBottom w:val="0"/>
      <w:divBdr>
        <w:top w:val="none" w:sz="0" w:space="0" w:color="auto"/>
        <w:left w:val="none" w:sz="0" w:space="0" w:color="auto"/>
        <w:bottom w:val="none" w:sz="0" w:space="0" w:color="auto"/>
        <w:right w:val="none" w:sz="0" w:space="0" w:color="auto"/>
      </w:divBdr>
    </w:div>
    <w:div w:id="1521627340">
      <w:bodyDiv w:val="1"/>
      <w:marLeft w:val="0"/>
      <w:marRight w:val="0"/>
      <w:marTop w:val="0"/>
      <w:marBottom w:val="0"/>
      <w:divBdr>
        <w:top w:val="none" w:sz="0" w:space="0" w:color="auto"/>
        <w:left w:val="none" w:sz="0" w:space="0" w:color="auto"/>
        <w:bottom w:val="none" w:sz="0" w:space="0" w:color="auto"/>
        <w:right w:val="none" w:sz="0" w:space="0" w:color="auto"/>
      </w:divBdr>
    </w:div>
    <w:div w:id="1563443324">
      <w:bodyDiv w:val="1"/>
      <w:marLeft w:val="0"/>
      <w:marRight w:val="0"/>
      <w:marTop w:val="0"/>
      <w:marBottom w:val="0"/>
      <w:divBdr>
        <w:top w:val="none" w:sz="0" w:space="0" w:color="auto"/>
        <w:left w:val="none" w:sz="0" w:space="0" w:color="auto"/>
        <w:bottom w:val="none" w:sz="0" w:space="0" w:color="auto"/>
        <w:right w:val="none" w:sz="0" w:space="0" w:color="auto"/>
      </w:divBdr>
    </w:div>
    <w:div w:id="1570118918">
      <w:bodyDiv w:val="1"/>
      <w:marLeft w:val="0"/>
      <w:marRight w:val="0"/>
      <w:marTop w:val="0"/>
      <w:marBottom w:val="0"/>
      <w:divBdr>
        <w:top w:val="none" w:sz="0" w:space="0" w:color="auto"/>
        <w:left w:val="none" w:sz="0" w:space="0" w:color="auto"/>
        <w:bottom w:val="none" w:sz="0" w:space="0" w:color="auto"/>
        <w:right w:val="none" w:sz="0" w:space="0" w:color="auto"/>
      </w:divBdr>
    </w:div>
    <w:div w:id="1633946080">
      <w:bodyDiv w:val="1"/>
      <w:marLeft w:val="0"/>
      <w:marRight w:val="0"/>
      <w:marTop w:val="0"/>
      <w:marBottom w:val="0"/>
      <w:divBdr>
        <w:top w:val="none" w:sz="0" w:space="0" w:color="auto"/>
        <w:left w:val="none" w:sz="0" w:space="0" w:color="auto"/>
        <w:bottom w:val="none" w:sz="0" w:space="0" w:color="auto"/>
        <w:right w:val="none" w:sz="0" w:space="0" w:color="auto"/>
      </w:divBdr>
    </w:div>
    <w:div w:id="1634672875">
      <w:bodyDiv w:val="1"/>
      <w:marLeft w:val="0"/>
      <w:marRight w:val="0"/>
      <w:marTop w:val="0"/>
      <w:marBottom w:val="0"/>
      <w:divBdr>
        <w:top w:val="none" w:sz="0" w:space="0" w:color="auto"/>
        <w:left w:val="none" w:sz="0" w:space="0" w:color="auto"/>
        <w:bottom w:val="none" w:sz="0" w:space="0" w:color="auto"/>
        <w:right w:val="none" w:sz="0" w:space="0" w:color="auto"/>
      </w:divBdr>
    </w:div>
    <w:div w:id="1710568368">
      <w:bodyDiv w:val="1"/>
      <w:marLeft w:val="0"/>
      <w:marRight w:val="0"/>
      <w:marTop w:val="0"/>
      <w:marBottom w:val="0"/>
      <w:divBdr>
        <w:top w:val="none" w:sz="0" w:space="0" w:color="auto"/>
        <w:left w:val="none" w:sz="0" w:space="0" w:color="auto"/>
        <w:bottom w:val="none" w:sz="0" w:space="0" w:color="auto"/>
        <w:right w:val="none" w:sz="0" w:space="0" w:color="auto"/>
      </w:divBdr>
    </w:div>
    <w:div w:id="1737430850">
      <w:bodyDiv w:val="1"/>
      <w:marLeft w:val="0"/>
      <w:marRight w:val="0"/>
      <w:marTop w:val="0"/>
      <w:marBottom w:val="0"/>
      <w:divBdr>
        <w:top w:val="none" w:sz="0" w:space="0" w:color="auto"/>
        <w:left w:val="none" w:sz="0" w:space="0" w:color="auto"/>
        <w:bottom w:val="none" w:sz="0" w:space="0" w:color="auto"/>
        <w:right w:val="none" w:sz="0" w:space="0" w:color="auto"/>
      </w:divBdr>
    </w:div>
    <w:div w:id="1756245344">
      <w:bodyDiv w:val="1"/>
      <w:marLeft w:val="0"/>
      <w:marRight w:val="0"/>
      <w:marTop w:val="0"/>
      <w:marBottom w:val="0"/>
      <w:divBdr>
        <w:top w:val="none" w:sz="0" w:space="0" w:color="auto"/>
        <w:left w:val="none" w:sz="0" w:space="0" w:color="auto"/>
        <w:bottom w:val="none" w:sz="0" w:space="0" w:color="auto"/>
        <w:right w:val="none" w:sz="0" w:space="0" w:color="auto"/>
      </w:divBdr>
    </w:div>
    <w:div w:id="1913154850">
      <w:bodyDiv w:val="1"/>
      <w:marLeft w:val="0"/>
      <w:marRight w:val="0"/>
      <w:marTop w:val="0"/>
      <w:marBottom w:val="0"/>
      <w:divBdr>
        <w:top w:val="none" w:sz="0" w:space="0" w:color="auto"/>
        <w:left w:val="none" w:sz="0" w:space="0" w:color="auto"/>
        <w:bottom w:val="none" w:sz="0" w:space="0" w:color="auto"/>
        <w:right w:val="none" w:sz="0" w:space="0" w:color="auto"/>
      </w:divBdr>
    </w:div>
    <w:div w:id="2057271481">
      <w:bodyDiv w:val="1"/>
      <w:marLeft w:val="0"/>
      <w:marRight w:val="0"/>
      <w:marTop w:val="0"/>
      <w:marBottom w:val="0"/>
      <w:divBdr>
        <w:top w:val="none" w:sz="0" w:space="0" w:color="auto"/>
        <w:left w:val="none" w:sz="0" w:space="0" w:color="auto"/>
        <w:bottom w:val="none" w:sz="0" w:space="0" w:color="auto"/>
        <w:right w:val="none" w:sz="0" w:space="0" w:color="auto"/>
      </w:divBdr>
    </w:div>
    <w:div w:id="2075542703">
      <w:bodyDiv w:val="1"/>
      <w:marLeft w:val="0"/>
      <w:marRight w:val="0"/>
      <w:marTop w:val="0"/>
      <w:marBottom w:val="0"/>
      <w:divBdr>
        <w:top w:val="none" w:sz="0" w:space="0" w:color="auto"/>
        <w:left w:val="none" w:sz="0" w:space="0" w:color="auto"/>
        <w:bottom w:val="none" w:sz="0" w:space="0" w:color="auto"/>
        <w:right w:val="none" w:sz="0" w:space="0" w:color="auto"/>
      </w:divBdr>
    </w:div>
    <w:div w:id="2095125664">
      <w:bodyDiv w:val="1"/>
      <w:marLeft w:val="0"/>
      <w:marRight w:val="0"/>
      <w:marTop w:val="0"/>
      <w:marBottom w:val="0"/>
      <w:divBdr>
        <w:top w:val="none" w:sz="0" w:space="0" w:color="auto"/>
        <w:left w:val="none" w:sz="0" w:space="0" w:color="auto"/>
        <w:bottom w:val="none" w:sz="0" w:space="0" w:color="auto"/>
        <w:right w:val="none" w:sz="0" w:space="0" w:color="auto"/>
      </w:divBdr>
    </w:div>
    <w:div w:id="2095593084">
      <w:bodyDiv w:val="1"/>
      <w:marLeft w:val="0"/>
      <w:marRight w:val="0"/>
      <w:marTop w:val="0"/>
      <w:marBottom w:val="0"/>
      <w:divBdr>
        <w:top w:val="none" w:sz="0" w:space="0" w:color="auto"/>
        <w:left w:val="none" w:sz="0" w:space="0" w:color="auto"/>
        <w:bottom w:val="none" w:sz="0" w:space="0" w:color="auto"/>
        <w:right w:val="none" w:sz="0" w:space="0" w:color="auto"/>
      </w:divBdr>
    </w:div>
    <w:div w:id="2098209643">
      <w:bodyDiv w:val="1"/>
      <w:marLeft w:val="0"/>
      <w:marRight w:val="0"/>
      <w:marTop w:val="0"/>
      <w:marBottom w:val="0"/>
      <w:divBdr>
        <w:top w:val="none" w:sz="0" w:space="0" w:color="auto"/>
        <w:left w:val="none" w:sz="0" w:space="0" w:color="auto"/>
        <w:bottom w:val="none" w:sz="0" w:space="0" w:color="auto"/>
        <w:right w:val="none" w:sz="0" w:space="0" w:color="auto"/>
      </w:divBdr>
    </w:div>
    <w:div w:id="2120879799">
      <w:bodyDiv w:val="1"/>
      <w:marLeft w:val="0"/>
      <w:marRight w:val="0"/>
      <w:marTop w:val="0"/>
      <w:marBottom w:val="0"/>
      <w:divBdr>
        <w:top w:val="none" w:sz="0" w:space="0" w:color="auto"/>
        <w:left w:val="none" w:sz="0" w:space="0" w:color="auto"/>
        <w:bottom w:val="none" w:sz="0" w:space="0" w:color="auto"/>
        <w:right w:val="none" w:sz="0" w:space="0" w:color="auto"/>
      </w:divBdr>
    </w:div>
    <w:div w:id="2140952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www.agedcarequality.gov.au/sites/default/files/media/acqsc-annual-report-2020-21.pdf" TargetMode="External"/><Relationship Id="rId26" Type="http://schemas.openxmlformats.org/officeDocument/2006/relationships/hyperlink" Target="https://www.health.gov.au/sites/default/files/review-of-national-aged-care-quality-regulatory-processes-report.pdf" TargetMode="External"/><Relationship Id="rId39" Type="http://schemas.openxmlformats.org/officeDocument/2006/relationships/image" Target="media/image7.png"/><Relationship Id="rId21" Type="http://schemas.openxmlformats.org/officeDocument/2006/relationships/image" Target="media/image4.jpeg"/><Relationship Id="rId34" Type="http://schemas.openxmlformats.org/officeDocument/2006/relationships/hyperlink" Target="https://www.cqc.org.uk/" TargetMode="External"/><Relationship Id="rId42" Type="http://schemas.openxmlformats.org/officeDocument/2006/relationships/header" Target="header4.xml"/><Relationship Id="rId47" Type="http://schemas.openxmlformats.org/officeDocument/2006/relationships/footer" Target="footer4.xml"/><Relationship Id="rId50" Type="http://schemas.openxmlformats.org/officeDocument/2006/relationships/hyperlink" Target="https://www.apra.gov.au/sites/default/files/2022-08/APRA%20Corporate%20Plan%202022-23.pdf" TargetMode="External"/><Relationship Id="rId55" Type="http://schemas.openxmlformats.org/officeDocument/2006/relationships/hyperlink" Target="https://deregulation.pmc.gov.au/priorities/regulator-best-practice-and-performance/regulator-performance-guide"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yperlink" Target="https://deregulation.pmc.gov.au/priorities/regulator-best-practice-and-performance/regulator-performance-guide" TargetMode="External"/><Relationship Id="rId29" Type="http://schemas.openxmlformats.org/officeDocument/2006/relationships/hyperlink" Target="https://www.icac.sa.gov.au/__data/assets/pdf_file/0008/370727/ICAC_Report_Oakden.pdf" TargetMode="External"/><Relationship Id="rId41" Type="http://schemas.openxmlformats.org/officeDocument/2006/relationships/image" Target="media/image9.png"/><Relationship Id="rId54" Type="http://schemas.openxmlformats.org/officeDocument/2006/relationships/hyperlink" Target="https://deregulation.pmc.gov.au/priorities/regulator-best-practice-and-performance/regulator-performance-guid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yperlink" Target="https://healthgov.sharepoint.com/:w:/r/sites/CapabilityReviewSupport/Shared%20Documents/Research%20%26%20Background%20Papers/Regulatory%20Approaches/Comparison%20of%20national%20regulators%20-%201.11.22.docx?d=w5d1f9fcde87646a59ba5e31b8e76d298&amp;csf=1&amp;web=1&amp;e=bkbH8A)" TargetMode="External"/><Relationship Id="rId32" Type="http://schemas.openxmlformats.org/officeDocument/2006/relationships/hyperlink" Target="https://www.nds.org.au/news/joint-standing-committee-releases-report-on-ndis-commission" TargetMode="External"/><Relationship Id="rId37" Type="http://schemas.openxmlformats.org/officeDocument/2006/relationships/hyperlink" Target="https://www.pmc.gov.au/ria-mooc/coag/principles-best-practice-regulation" TargetMode="External"/><Relationship Id="rId40" Type="http://schemas.openxmlformats.org/officeDocument/2006/relationships/image" Target="media/image8.svg"/><Relationship Id="rId45" Type="http://schemas.openxmlformats.org/officeDocument/2006/relationships/footer" Target="footer3.xml"/><Relationship Id="rId53" Type="http://schemas.openxmlformats.org/officeDocument/2006/relationships/hyperlink" Target="https://ndiscommission.easyread.com.au/making-the-ndis-safe/" TargetMode="External"/><Relationship Id="rId58" Type="http://schemas.openxmlformats.org/officeDocument/2006/relationships/hyperlink" Target="https://www.finance.gov.au/government/managing-commonwealth-resources/regulator-performance-rmg-128/principle-3-collaboration-and-engagement"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6.svg"/><Relationship Id="rId28" Type="http://schemas.openxmlformats.org/officeDocument/2006/relationships/hyperlink" Target="https://www.alrc.gov.au/wp-content/uploads/2019/08/elder_abuse_131_final_report_31_may_2017.pdf" TargetMode="External"/><Relationship Id="rId36" Type="http://schemas.openxmlformats.org/officeDocument/2006/relationships/hyperlink" Target="https://www.oecd.org/gov/regulatory-policy/governance-regulators.htm" TargetMode="External"/><Relationship Id="rId49" Type="http://schemas.openxmlformats.org/officeDocument/2006/relationships/hyperlink" Target="https://www.asqa.gov.au/" TargetMode="External"/><Relationship Id="rId57" Type="http://schemas.openxmlformats.org/officeDocument/2006/relationships/hyperlink" Target="https://www.finance.gov.au/government/managing-commonwealth-resources/regulator-performance-rmg-128/principle-2-risk-based-and-data-driven" TargetMode="External"/><Relationship Id="rId61"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agedcarequality.gov.au/sites/default/files/media/acqsc_annualreport_2021_22.pdf" TargetMode="External"/><Relationship Id="rId31" Type="http://schemas.openxmlformats.org/officeDocument/2006/relationships/hyperlink" Target="https://www.health.gov.au/sites/default/files/documents/2019/11/inquiry-into-events-at-earle-haven_0.pdf" TargetMode="External"/><Relationship Id="rId44" Type="http://schemas.openxmlformats.org/officeDocument/2006/relationships/footer" Target="footer2.xml"/><Relationship Id="rId52" Type="http://schemas.openxmlformats.org/officeDocument/2006/relationships/hyperlink" Target="https://www.ndiscommission.gov.au/regulatory-approach" TargetMode="External"/><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5.png"/><Relationship Id="rId27" Type="http://schemas.openxmlformats.org/officeDocument/2006/relationships/hyperlink" Target="https://www.alrc.gov.au/wp-content/uploads/2019/08/elder_abuse_131_final_report_31_may_2017.pdf" TargetMode="External"/><Relationship Id="rId30" Type="http://schemas.openxmlformats.org/officeDocument/2006/relationships/hyperlink" Target="https://www.icac.sa.gov.au/__data/assets/pdf_file/0008/370727/ICAC_Report_Oakden.pdf" TargetMode="External"/><Relationship Id="rId35" Type="http://schemas.openxmlformats.org/officeDocument/2006/relationships/hyperlink" Target="https://isqua.org/" TargetMode="External"/><Relationship Id="rId43" Type="http://schemas.openxmlformats.org/officeDocument/2006/relationships/header" Target="header5.xml"/><Relationship Id="rId48" Type="http://schemas.openxmlformats.org/officeDocument/2006/relationships/hyperlink" Target="https://www.asqa.gov.au/sites/default/files/2022-10/asqa_annual_report_2021-22.pdf" TargetMode="External"/><Relationship Id="rId56" Type="http://schemas.openxmlformats.org/officeDocument/2006/relationships/hyperlink" Target="https://www.finance.gov.au/government/managing-commonwealth-resources/regulator-performance-rmg-128/principle-1-continuous-improvement-and-building-trust" TargetMode="External"/><Relationship Id="rId8" Type="http://schemas.openxmlformats.org/officeDocument/2006/relationships/webSettings" Target="webSettings.xml"/><Relationship Id="rId51" Type="http://schemas.openxmlformats.org/officeDocument/2006/relationships/hyperlink" Target="https://www.apra.gov.au/"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hyperlink" Target="https://www.health.gov.au/sites/default/files/documents/2021/05/australian-government-response-to-the-final-report-of-the-royal-commission-into-aged-care-quality-and-safety.pdf" TargetMode="External"/><Relationship Id="rId33" Type="http://schemas.openxmlformats.org/officeDocument/2006/relationships/hyperlink" Target="https://www.nds.org.au/news/joint-standing-committee-releases-report-on-ndis-commission" TargetMode="External"/><Relationship Id="rId38" Type="http://schemas.openxmlformats.org/officeDocument/2006/relationships/hyperlink" Target="https://www.pmc.gov.au/ria-mooc/coag/principles-best-practice-regulation" TargetMode="External"/><Relationship Id="rId46" Type="http://schemas.openxmlformats.org/officeDocument/2006/relationships/header" Target="header6.xml"/><Relationship Id="rId59" Type="http://schemas.openxmlformats.org/officeDocument/2006/relationships/hyperlink" Target="https://www.oecd-ilibrary.org/governance/the-governance-of-regulators_9789264209015-en"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s://www.agedcarequality.gov.au/sites/default/files/media/acqsc_annualreport_2021_22.pdf" TargetMode="External"/><Relationship Id="rId18" Type="http://schemas.openxmlformats.org/officeDocument/2006/relationships/hyperlink" Target="https://www.cqc.org.uk/" TargetMode="External"/><Relationship Id="rId26" Type="http://schemas.openxmlformats.org/officeDocument/2006/relationships/hyperlink" Target="file://central.health/dfsuserenv/Users/STO_UserHome_QLD/DALLKA/Documents/The%20Governance%20of%20Regulators%20|%20READ%20online%20(oecd-ilibrary.org)" TargetMode="External"/><Relationship Id="rId39" Type="http://schemas.openxmlformats.org/officeDocument/2006/relationships/hyperlink" Target="https://www.agedcarequality.gov.au/sites/default/files/media/cost-recovery-implementation-statement-applications-for-aged-care-approved-provider-status-2022-23.pdf" TargetMode="External"/><Relationship Id="rId21" Type="http://schemas.openxmlformats.org/officeDocument/2006/relationships/hyperlink" Target="https://anzsog.edu.au/research-insights-and-resources/research-projects/research-insights/" TargetMode="External"/><Relationship Id="rId34" Type="http://schemas.openxmlformats.org/officeDocument/2006/relationships/hyperlink" Target="file://central.health/dfsuserenv/Users/STO_UserHome_QLD/DALLKA/Documents/State%20of%20the%20Service%20Report%202021-22%20|%20Australian%20Public%20Service%20Commission%20(apsc.gov.au)" TargetMode="External"/><Relationship Id="rId42" Type="http://schemas.openxmlformats.org/officeDocument/2006/relationships/hyperlink" Target="https://www.agedcarequality.gov.au/sites/default/files/media/regulatory_strategy_jan_1_2020_v2.1.pdf" TargetMode="External"/><Relationship Id="rId47" Type="http://schemas.openxmlformats.org/officeDocument/2006/relationships/hyperlink" Target="https://www.agedcarequality.gov.au/sites/default/files/media/acqsc-corporate-plan-2022-23.pdf" TargetMode="External"/><Relationship Id="rId50" Type="http://schemas.openxmlformats.org/officeDocument/2006/relationships/hyperlink" Target="https://www.agedcarequality.gov.au/sites/default/files/media/strengthened_aged_care_quality_standards_pilot_program.pdf" TargetMode="External"/><Relationship Id="rId55" Type="http://schemas.openxmlformats.org/officeDocument/2006/relationships/hyperlink" Target="https://www.agedcarequality.gov.au/resources/rb2021-12-reconsideration-reviewable-decisions" TargetMode="External"/><Relationship Id="rId63" Type="http://schemas.openxmlformats.org/officeDocument/2006/relationships/hyperlink" Target="file://central.health/dfsuserenv/Users/User_11/PETTEM/Documents/The%20Governance%20of%20Regulators%20|%20READ%20online%20(oecd-ilibrary.org)" TargetMode="External"/><Relationship Id="rId68" Type="http://schemas.openxmlformats.org/officeDocument/2006/relationships/hyperlink" Target="https://www.agedcarequality.gov.au/sites/default/files/media/Options%20Paper%20-%20Regulatory%20Powers%20of%20the%20ACQSC%20-%20Final%20201219.pdf" TargetMode="External"/><Relationship Id="rId76" Type="http://schemas.openxmlformats.org/officeDocument/2006/relationships/hyperlink" Target="https://www.agedcarequality.gov.au/about-us/corporate-documents/aged-care-quality-and-safety-commission-glossary" TargetMode="External"/><Relationship Id="rId7" Type="http://schemas.openxmlformats.org/officeDocument/2006/relationships/hyperlink" Target="https://www.agedcarequality.gov.au/sites/default/files/media/regulatory_strategy_jan_1_2020_v2.1.pdf" TargetMode="External"/><Relationship Id="rId71" Type="http://schemas.openxmlformats.org/officeDocument/2006/relationships/hyperlink" Target="https://acwic.com.au/acwic_news/submission-to-the-independent-capability-review-of-the-aged-care-quality-and-safety-commission/" TargetMode="External"/><Relationship Id="rId2" Type="http://schemas.openxmlformats.org/officeDocument/2006/relationships/hyperlink" Target="https://www.health.gov.au/resources/publications/budget-october-2022-23-portfolio-budget-statements?language=en" TargetMode="External"/><Relationship Id="rId16" Type="http://schemas.openxmlformats.org/officeDocument/2006/relationships/hyperlink" Target="https://www.regulatoryreform.gov.au/sites/default/files/regulator-performance-guide.pdf" TargetMode="External"/><Relationship Id="rId29" Type="http://schemas.openxmlformats.org/officeDocument/2006/relationships/hyperlink" Target="https://www.legislation.gov.au/Details/C2022C00332" TargetMode="External"/><Relationship Id="rId11" Type="http://schemas.openxmlformats.org/officeDocument/2006/relationships/hyperlink" Target="https://www.agedcarequality.gov.au/sites/default/files/media/ACQSC_AR2019-20_FULL_FINAL.pdf" TargetMode="External"/><Relationship Id="rId24" Type="http://schemas.openxmlformats.org/officeDocument/2006/relationships/hyperlink" Target="https://www.agedcarequality.gov.au/sites/default/files/media/2022_acqsc_censusdata.pdf" TargetMode="External"/><Relationship Id="rId32" Type="http://schemas.openxmlformats.org/officeDocument/2006/relationships/hyperlink" Target="file://central.health/dfsuserenv/Users/STO_UserHome_QLD/DALLKA/Documents/State%20of%20the%20Service%20Report%202021-22%20|%20Australian%20Public%20Service%20Commission%20(apsc.gov.au)" TargetMode="External"/><Relationship Id="rId37" Type="http://schemas.openxmlformats.org/officeDocument/2006/relationships/hyperlink" Target="https://asic.gov.au/about-asic/news-centre/speeches/regulation-trust-and-social-licence/" TargetMode="External"/><Relationship Id="rId40" Type="http://schemas.openxmlformats.org/officeDocument/2006/relationships/hyperlink" Target="https://www.agedcarequality.gov.au/providers/assessment-processes/accreditation-fees/cost-recovery-accreditation" TargetMode="External"/><Relationship Id="rId45" Type="http://schemas.openxmlformats.org/officeDocument/2006/relationships/hyperlink" Target="https://papers.ssrn.com/sol3/papers.cfm?abstract_id=2698498" TargetMode="External"/><Relationship Id="rId53" Type="http://schemas.openxmlformats.org/officeDocument/2006/relationships/hyperlink" Target="https://www.legislation.gov.au/Details/C2022C00332" TargetMode="External"/><Relationship Id="rId58" Type="http://schemas.openxmlformats.org/officeDocument/2006/relationships/hyperlink" Target="https://www.agedcarequality.gov.au" TargetMode="External"/><Relationship Id="rId66" Type="http://schemas.openxmlformats.org/officeDocument/2006/relationships/hyperlink" Target="https://www.finance.gov.au/sites/default/files/2022-09/Bodies%20list%205%20September%202022%20-%20FINAL_0.pdf" TargetMode="External"/><Relationship Id="rId74" Type="http://schemas.openxmlformats.org/officeDocument/2006/relationships/hyperlink" Target="https://www.agedcarequality.gov.au/sirs/introduction-sirs" TargetMode="External"/><Relationship Id="rId5" Type="http://schemas.openxmlformats.org/officeDocument/2006/relationships/hyperlink" Target="https://www.agedcarequality.gov.au/sites/default/files/media/acqsc-corporate-plan-2022-23.pdf" TargetMode="External"/><Relationship Id="rId15" Type="http://schemas.openxmlformats.org/officeDocument/2006/relationships/hyperlink" Target="https://healthgov.sharepoint.com/:p:/r/sites/CapabilityReviewSupport/Shared%20Documents/Meetings%20%26%20Consultations/Deep%20Dive%201%20-%20Commission%20Overview%20and%20regulatory%20framework%20-%2025%20Oct%202022/Session%201%20Capability%20Review.pptx?d=w5257383ddb4e4518bd9152dd6833d1ba&amp;csf=1&amp;web=1&amp;e=5IJZVJ" TargetMode="External"/><Relationship Id="rId23" Type="http://schemas.openxmlformats.org/officeDocument/2006/relationships/hyperlink" Target="https://www.agedcarequality.gov.au/sites/default/files/media/2022_acqsc_censusdata.pdf" TargetMode="External"/><Relationship Id="rId28" Type="http://schemas.openxmlformats.org/officeDocument/2006/relationships/hyperlink" Target="https://www.regulatoryreform.gov.au/sites/default/files/regulator-performance-guide.pdf" TargetMode="External"/><Relationship Id="rId36" Type="http://schemas.openxmlformats.org/officeDocument/2006/relationships/hyperlink" Target="https://www.regulatoryreform.gov.au/sites/default/files/regulator-performance-guide.pdf" TargetMode="External"/><Relationship Id="rId49" Type="http://schemas.openxmlformats.org/officeDocument/2006/relationships/hyperlink" Target="https://www.agedcarequality.gov.au/sites/default/files/media/acqsc-corporate-plan-2022-23.pdf" TargetMode="External"/><Relationship Id="rId57" Type="http://schemas.openxmlformats.org/officeDocument/2006/relationships/hyperlink" Target="https://agedcare.royalcommission.gov.au/sites/default/files/2021-03/final-report-executive-summary.pdf" TargetMode="External"/><Relationship Id="rId61" Type="http://schemas.openxmlformats.org/officeDocument/2006/relationships/hyperlink" Target="https://www.agedcarequality.gov.au/news-centre/financial-and-prudential-regulatory-insights/financial-and-prudential-regulatory-insights-february-2023" TargetMode="External"/><Relationship Id="rId10" Type="http://schemas.openxmlformats.org/officeDocument/2006/relationships/hyperlink" Target="https://www.agedcarequality.gov.au/sites/default/files/media/ACQSC_AR_2018-19_Full_Final.pdf" TargetMode="External"/><Relationship Id="rId19" Type="http://schemas.openxmlformats.org/officeDocument/2006/relationships/hyperlink" Target="https://anzsog.edu.au/research-insights-and-resources/research/agile-a-new-way-of-governing/" TargetMode="External"/><Relationship Id="rId31" Type="http://schemas.openxmlformats.org/officeDocument/2006/relationships/hyperlink" Target="https://www.agedcarequality.gov.au/sites/default/files/media/attachment_b_acqsc_statement_of_intent.pdf" TargetMode="External"/><Relationship Id="rId44" Type="http://schemas.openxmlformats.org/officeDocument/2006/relationships/hyperlink" Target="https://www.agedcarequality.gov.au/media/92558" TargetMode="External"/><Relationship Id="rId52" Type="http://schemas.openxmlformats.org/officeDocument/2006/relationships/hyperlink" Target="https://www.legislation.gov.au/Details/C2022C00332" TargetMode="External"/><Relationship Id="rId60" Type="http://schemas.openxmlformats.org/officeDocument/2006/relationships/hyperlink" Target="https://agedcare.royalcommission.gov.au/sites/default/files/2021-03/final-report-recommendations.pdf" TargetMode="External"/><Relationship Id="rId65" Type="http://schemas.openxmlformats.org/officeDocument/2006/relationships/hyperlink" Target="file://central.health/dfsuserenv/Users/STO_UserHome_QLD/DALLKA/Desktop/Capability%20Review/Final%20Report/The%20Governance%20of%20Regulators%20|%20READ%20online%20(oecd-ilibrary.org)" TargetMode="External"/><Relationship Id="rId73" Type="http://schemas.openxmlformats.org/officeDocument/2006/relationships/hyperlink" Target="https://www.legislation.gov.au/Details/F2023C00114" TargetMode="External"/><Relationship Id="rId78" Type="http://schemas.openxmlformats.org/officeDocument/2006/relationships/hyperlink" Target="https://www.legislation.gov.au/Details/C2022C00332" TargetMode="External"/><Relationship Id="rId4" Type="http://schemas.openxmlformats.org/officeDocument/2006/relationships/hyperlink" Target="https://www.agedcarequality.gov.au/about-us/legislation-and-policies" TargetMode="External"/><Relationship Id="rId9" Type="http://schemas.openxmlformats.org/officeDocument/2006/relationships/hyperlink" Target="https://www.agedcarequality.gov.au/sites/default/files/media/acqsc-corporate-plan-2022-23.pdf" TargetMode="External"/><Relationship Id="rId14" Type="http://schemas.openxmlformats.org/officeDocument/2006/relationships/hyperlink" Target="https://www.agedcarequality.gov.au/sites/default/files/media/acqsc-corporate-plan-2022-23.pdf" TargetMode="External"/><Relationship Id="rId22" Type="http://schemas.openxmlformats.org/officeDocument/2006/relationships/hyperlink" Target="https://www.apsc.gov.au/working-aps/state-of-service/2022/report" TargetMode="External"/><Relationship Id="rId27" Type="http://schemas.openxmlformats.org/officeDocument/2006/relationships/hyperlink" Target="https://www.regulatoryreform.gov.au/sites/default/files/regulator-performance-guide.pdf" TargetMode="External"/><Relationship Id="rId30" Type="http://schemas.openxmlformats.org/officeDocument/2006/relationships/hyperlink" Target="https://www.agedcarequality.gov.au/" TargetMode="External"/><Relationship Id="rId35" Type="http://schemas.openxmlformats.org/officeDocument/2006/relationships/hyperlink" Target="https://www.agedcarequality.gov.au/sites/default/files/media/2022_acqsc_censusdata.pdf" TargetMode="External"/><Relationship Id="rId43" Type="http://schemas.openxmlformats.org/officeDocument/2006/relationships/hyperlink" Target="https://www.agedcarequality.gov.au/sites/default/files/media/regulatory_strategy_jan_1_2020_v2.1.pdf" TargetMode="External"/><Relationship Id="rId48" Type="http://schemas.openxmlformats.org/officeDocument/2006/relationships/hyperlink" Target="https://www.cqc.org.uk/" TargetMode="External"/><Relationship Id="rId56" Type="http://schemas.openxmlformats.org/officeDocument/2006/relationships/hyperlink" Target="https://www.agedcarequality.gov.au/sites/default/files/media/acqsc_annualreport_2021_22.pdf" TargetMode="External"/><Relationship Id="rId64" Type="http://schemas.openxmlformats.org/officeDocument/2006/relationships/hyperlink" Target="https://www.finance.gov.au/government/managing-commonwealth-resources/structure-australian-government-public-sector/types-australian-government-bodies" TargetMode="External"/><Relationship Id="rId69" Type="http://schemas.openxmlformats.org/officeDocument/2006/relationships/hyperlink" Target="https://agedcare.royalcommission.gov.au/publications/final-report-volume-2" TargetMode="External"/><Relationship Id="rId77" Type="http://schemas.openxmlformats.org/officeDocument/2006/relationships/hyperlink" Target="https://www.agedcarequality.gov.au/sites/default/files/media/code-of-conduct-webinar-slides-11-november-2022.pdf" TargetMode="External"/><Relationship Id="rId8" Type="http://schemas.openxmlformats.org/officeDocument/2006/relationships/hyperlink" Target="https://www.agedcarequality.gov.au/sites/default/files/media/acqsc-corporate-plan-2022-23.pdf" TargetMode="External"/><Relationship Id="rId51" Type="http://schemas.openxmlformats.org/officeDocument/2006/relationships/hyperlink" Target="file://central.health/dfsuserenv/Users/User_11/PETTEM/Documents/The%20Governance%20of%20Regulators%20|%20READ%20online%20(oecd-ilibrary.org)" TargetMode="External"/><Relationship Id="rId72" Type="http://schemas.openxmlformats.org/officeDocument/2006/relationships/hyperlink" Target="https://www.open.edu.au/advice/insights/what-are-soft-skills-and-why-are-they-important" TargetMode="External"/><Relationship Id="rId3" Type="http://schemas.openxmlformats.org/officeDocument/2006/relationships/hyperlink" Target="https://www.agedcarequality.gov.au/sites/default/files/media/acqsc-corporate-plan-2022-23.pdf" TargetMode="External"/><Relationship Id="rId12" Type="http://schemas.openxmlformats.org/officeDocument/2006/relationships/hyperlink" Target="https://www.agedcarequality.gov.au/sites/default/files/media/acqsc-annual-report-2020-21.pdf" TargetMode="External"/><Relationship Id="rId17" Type="http://schemas.openxmlformats.org/officeDocument/2006/relationships/hyperlink" Target="https://read.oecd-ilibrary.org/governance/the-governance-of-regulators_9789264209015-en" TargetMode="External"/><Relationship Id="rId25" Type="http://schemas.openxmlformats.org/officeDocument/2006/relationships/hyperlink" Target="https://www.agedcarequality.gov.au/sites/default/files/media/2022_acqsc_censusdata.pdf" TargetMode="External"/><Relationship Id="rId33" Type="http://schemas.openxmlformats.org/officeDocument/2006/relationships/hyperlink" Target="https://www.cqc.org.uk/" TargetMode="External"/><Relationship Id="rId38" Type="http://schemas.openxmlformats.org/officeDocument/2006/relationships/hyperlink" Target="https://asic.gov.au/about-asic/news-centre/speeches/regulation-trust-and-social-licence/" TargetMode="External"/><Relationship Id="rId46" Type="http://schemas.openxmlformats.org/officeDocument/2006/relationships/hyperlink" Target="https://www.agedcarequality.gov.au/sites/default/files/media/acqsc_annualreport_2021_22.pdf" TargetMode="External"/><Relationship Id="rId59" Type="http://schemas.openxmlformats.org/officeDocument/2006/relationships/hyperlink" Target="https://agedcare.royalcommission.gov.au/sites/default/files/2021-03/final-report-executive-summary.pdf" TargetMode="External"/><Relationship Id="rId67" Type="http://schemas.openxmlformats.org/officeDocument/2006/relationships/hyperlink" Target="file://central.health/dfsuserenv/Users/STO_UserHome_QLD/DALLKA/Desktop/Capability%20Review/Final%20Report/The%20Governance%20of%20Regulators%20|%20READ%20online%20(oecd-ilibrary.org)" TargetMode="External"/><Relationship Id="rId20" Type="http://schemas.openxmlformats.org/officeDocument/2006/relationships/hyperlink" Target="https://www.apsreform.gov.au/resources/reports/aps-hierarchy-and-classification-review" TargetMode="External"/><Relationship Id="rId41" Type="http://schemas.openxmlformats.org/officeDocument/2006/relationships/hyperlink" Target="https://www.agedcarequality.gov.au/media/92558" TargetMode="External"/><Relationship Id="rId54" Type="http://schemas.openxmlformats.org/officeDocument/2006/relationships/hyperlink" Target="https://www.legislation.gov.au/Details/F2022C01173" TargetMode="External"/><Relationship Id="rId62" Type="http://schemas.openxmlformats.org/officeDocument/2006/relationships/hyperlink" Target="https://www.agedcarequality.gov.au/news-centre/newsletter/quality-bulletin-38-february-2022" TargetMode="External"/><Relationship Id="rId70" Type="http://schemas.openxmlformats.org/officeDocument/2006/relationships/hyperlink" Target="https://www.apsreform.gov.au/resources/communication/review-public-sector-board-appointments-processes" TargetMode="External"/><Relationship Id="rId75" Type="http://schemas.openxmlformats.org/officeDocument/2006/relationships/hyperlink" Target="https://www.agedcarequality.gov.au/minimising-restrictive-practices" TargetMode="External"/><Relationship Id="rId1" Type="http://schemas.openxmlformats.org/officeDocument/2006/relationships/hyperlink" Target="https://www.health.gov.au/sites/default/files/health-portfolio-budget-statements-2019-20_0.pdf" TargetMode="External"/><Relationship Id="rId6" Type="http://schemas.openxmlformats.org/officeDocument/2006/relationships/hyperlink" Target="https://www.agedcarequality.gov.au/sites/default/files/media/acqsc-corporate-plan-2022-2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ebf5690-dfa9-46aa-9761-8b851342f711">
      <Terms xmlns="http://schemas.microsoft.com/office/infopath/2007/PartnerControls"/>
    </lcf76f155ced4ddcb4097134ff3c332f>
    <TaxCatchAll xmlns="d48bfc06-5762-4cfb-85f8-969387ebc8a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BF22E431BBE12409AFF64C86A6197B7" ma:contentTypeVersion="15" ma:contentTypeDescription="Create a new document." ma:contentTypeScope="" ma:versionID="6170e4447accd43ae8b4f137195e94c9">
  <xsd:schema xmlns:xsd="http://www.w3.org/2001/XMLSchema" xmlns:xs="http://www.w3.org/2001/XMLSchema" xmlns:p="http://schemas.microsoft.com/office/2006/metadata/properties" xmlns:ns2="0ebf5690-dfa9-46aa-9761-8b851342f711" xmlns:ns3="d48bfc06-5762-4cfb-85f8-969387ebc8ab" targetNamespace="http://schemas.microsoft.com/office/2006/metadata/properties" ma:root="true" ma:fieldsID="65dfc33dedd2464c3fd35590afe64f6e" ns2:_="" ns3:_="">
    <xsd:import namespace="0ebf5690-dfa9-46aa-9761-8b851342f711"/>
    <xsd:import namespace="d48bfc06-5762-4cfb-85f8-969387ebc8a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bf5690-dfa9-46aa-9761-8b851342f7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48bfc06-5762-4cfb-85f8-969387ebc8a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af96c8b9-0522-4152-8c0c-53cd8979cf1f}" ma:internalName="TaxCatchAll" ma:showField="CatchAllData" ma:web="d48bfc06-5762-4cfb-85f8-969387ebc8a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F88F94-4DC8-4263-B429-FA0CBDF21E49}">
  <ds:schemaRefs>
    <ds:schemaRef ds:uri="http://schemas.openxmlformats.org/officeDocument/2006/bibliography"/>
  </ds:schemaRefs>
</ds:datastoreItem>
</file>

<file path=customXml/itemProps2.xml><?xml version="1.0" encoding="utf-8"?>
<ds:datastoreItem xmlns:ds="http://schemas.openxmlformats.org/officeDocument/2006/customXml" ds:itemID="{D795A87D-B213-44DD-ABDB-0161142D7299}">
  <ds:schemaRefs>
    <ds:schemaRef ds:uri="http://schemas.microsoft.com/office/2006/metadata/properties"/>
    <ds:schemaRef ds:uri="http://schemas.microsoft.com/office/infopath/2007/PartnerControls"/>
    <ds:schemaRef ds:uri="0ebf5690-dfa9-46aa-9761-8b851342f711"/>
    <ds:schemaRef ds:uri="d48bfc06-5762-4cfb-85f8-969387ebc8ab"/>
  </ds:schemaRefs>
</ds:datastoreItem>
</file>

<file path=customXml/itemProps3.xml><?xml version="1.0" encoding="utf-8"?>
<ds:datastoreItem xmlns:ds="http://schemas.openxmlformats.org/officeDocument/2006/customXml" ds:itemID="{2EBD065A-5961-4C0E-90C9-4B5B933FCE5A}">
  <ds:schemaRefs>
    <ds:schemaRef ds:uri="http://schemas.microsoft.com/sharepoint/v3/contenttype/forms"/>
  </ds:schemaRefs>
</ds:datastoreItem>
</file>

<file path=customXml/itemProps4.xml><?xml version="1.0" encoding="utf-8"?>
<ds:datastoreItem xmlns:ds="http://schemas.openxmlformats.org/officeDocument/2006/customXml" ds:itemID="{D9C6E1F8-6EAB-4E33-BE86-94511E98B8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bf5690-dfa9-46aa-9761-8b851342f711"/>
    <ds:schemaRef ds:uri="d48bfc06-5762-4cfb-85f8-969387ebc8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120</Pages>
  <Words>41901</Words>
  <Characters>238841</Characters>
  <Application>Microsoft Office Word</Application>
  <DocSecurity>0</DocSecurity>
  <Lines>1990</Lines>
  <Paragraphs>560</Paragraphs>
  <ScaleCrop>false</ScaleCrop>
  <HeadingPairs>
    <vt:vector size="2" baseType="variant">
      <vt:variant>
        <vt:lpstr>Title</vt:lpstr>
      </vt:variant>
      <vt:variant>
        <vt:i4>1</vt:i4>
      </vt:variant>
    </vt:vector>
  </HeadingPairs>
  <TitlesOfParts>
    <vt:vector size="1" baseType="lpstr">
      <vt:lpstr>Final Report – Independent Capability Review of the Aged Care Quality and Safety Commission</vt:lpstr>
    </vt:vector>
  </TitlesOfParts>
  <Company/>
  <LinksUpToDate>false</LinksUpToDate>
  <CharactersWithSpaces>280182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Report – Independent Capability Review of the Aged Care Quality and Safety Commission</dc:title>
  <dc:subject>Aged care</dc:subject>
  <dc:creator>Australian Government Department of Health and Aged Care</dc:creator>
  <cp:keywords>aged care; </cp:keywords>
  <dc:description/>
  <cp:lastModifiedBy>Erynn HAMLEY</cp:lastModifiedBy>
  <cp:revision>2</cp:revision>
  <cp:lastPrinted>2023-03-24T03:21:00Z</cp:lastPrinted>
  <dcterms:created xsi:type="dcterms:W3CDTF">2023-07-20T04:47:00Z</dcterms:created>
  <dcterms:modified xsi:type="dcterms:W3CDTF">2023-07-20T04:47:00Z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0x010100DBF22E431BBE12409AFF64C86A6197B7</vt:lpwstr>
  </property>
  <property fmtid="{D5CDD505-2E9C-101B-9397-08002B2CF9AE}" pid="3" name="MediaServiceImageTags">
    <vt:lpwstr/>
  </property>
</Properties>
</file>